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022940B6" w:rsidR="001807E9" w:rsidRDefault="001807E9" w:rsidP="000B66BC">
      <w:pPr>
        <w:spacing w:after="240"/>
        <w:jc w:val="center"/>
        <w:rPr>
          <w:rFonts w:ascii="Times New Roman" w:hAnsi="Times New Roman"/>
          <w:sz w:val="24"/>
          <w:szCs w:val="24"/>
        </w:rPr>
      </w:pPr>
    </w:p>
    <w:p w14:paraId="252CFAAD" w14:textId="77777777" w:rsidR="00B726E8" w:rsidRPr="000B66BC" w:rsidRDefault="00B726E8" w:rsidP="00B726E8">
      <w:pPr>
        <w:spacing w:after="240"/>
        <w:jc w:val="center"/>
        <w:rPr>
          <w:rFonts w:ascii="Times New Roman" w:hAnsi="Times New Roman"/>
          <w:sz w:val="24"/>
          <w:szCs w:val="24"/>
        </w:rPr>
      </w:pPr>
      <w:r>
        <w:rPr>
          <w:rFonts w:ascii="Times New Roman" w:hAnsi="Times New Roman"/>
          <w:sz w:val="24"/>
        </w:rPr>
        <w:t>ΠΑΡΑΡΤΗΜΑ XI</w:t>
      </w:r>
    </w:p>
    <w:p w14:paraId="4999794B" w14:textId="77777777" w:rsidR="00B726E8" w:rsidRPr="000B66BC" w:rsidRDefault="00B726E8" w:rsidP="00B726E8">
      <w:pPr>
        <w:spacing w:after="240"/>
        <w:jc w:val="center"/>
        <w:rPr>
          <w:rFonts w:ascii="Times New Roman" w:hAnsi="Times New Roman"/>
          <w:sz w:val="24"/>
          <w:szCs w:val="24"/>
        </w:rPr>
      </w:pPr>
      <w:r>
        <w:rPr>
          <w:rFonts w:ascii="Times New Roman" w:hAnsi="Times New Roman"/>
          <w:b/>
          <w:sz w:val="24"/>
        </w:rPr>
        <w:t>ΟΔΗΓΙΕΣ ΓΙΑ ΤΗΝ ΥΠΟΒΟΛΗ ΑΝΑΦΟΡΩΝ ΣΧΕΤΙΚΑ ΜΕ ΤΗ ΜΟΧΛΕΥΣΗ</w:t>
      </w:r>
    </w:p>
    <w:p w14:paraId="1FCEFFCD" w14:textId="77777777" w:rsidR="00B726E8" w:rsidRPr="000B66BC" w:rsidRDefault="00B726E8" w:rsidP="00B726E8">
      <w:pPr>
        <w:pStyle w:val="BodyText1"/>
        <w:spacing w:after="240"/>
        <w:rPr>
          <w:rFonts w:ascii="Times New Roman" w:hAnsi="Times New Roman"/>
          <w:sz w:val="24"/>
          <w:szCs w:val="24"/>
        </w:rPr>
      </w:pPr>
    </w:p>
    <w:p w14:paraId="63380EDF" w14:textId="77777777" w:rsidR="00B726E8" w:rsidRPr="000B66BC" w:rsidRDefault="00B726E8" w:rsidP="00B726E8">
      <w:pPr>
        <w:pStyle w:val="BodyText1"/>
        <w:spacing w:after="240"/>
        <w:rPr>
          <w:rFonts w:ascii="Times New Roman" w:hAnsi="Times New Roman"/>
          <w:sz w:val="24"/>
          <w:szCs w:val="24"/>
        </w:rPr>
      </w:pPr>
    </w:p>
    <w:p w14:paraId="789F7213" w14:textId="77777777" w:rsidR="00B726E8" w:rsidRPr="000B66BC" w:rsidRDefault="00B726E8" w:rsidP="00B726E8">
      <w:pPr>
        <w:pStyle w:val="BodyText1"/>
        <w:spacing w:after="240"/>
        <w:rPr>
          <w:rFonts w:ascii="Times New Roman" w:hAnsi="Times New Roman"/>
          <w:sz w:val="24"/>
          <w:szCs w:val="24"/>
        </w:rPr>
      </w:pPr>
    </w:p>
    <w:p w14:paraId="17E846C7" w14:textId="77777777" w:rsidR="00B726E8" w:rsidRPr="000B66BC" w:rsidRDefault="00B726E8" w:rsidP="00B726E8">
      <w:pPr>
        <w:pStyle w:val="BodyText1"/>
        <w:spacing w:after="240"/>
        <w:ind w:left="720"/>
        <w:rPr>
          <w:rFonts w:ascii="Times New Roman" w:hAnsi="Times New Roman"/>
          <w:sz w:val="24"/>
          <w:szCs w:val="24"/>
        </w:rPr>
      </w:pPr>
    </w:p>
    <w:p w14:paraId="44F00E25" w14:textId="77777777" w:rsidR="00B726E8" w:rsidRDefault="00B726E8" w:rsidP="00B726E8">
      <w:pPr>
        <w:pStyle w:val="TOC1"/>
        <w:rPr>
          <w:rFonts w:asciiTheme="minorHAnsi" w:eastAsiaTheme="minorEastAsia" w:hAnsiTheme="minorHAnsi" w:cstheme="minorBidi"/>
          <w:color w:val="auto"/>
          <w:sz w:val="22"/>
          <w:szCs w:val="22"/>
          <w:lang w:val="en-GB" w:eastAsia="en-GB"/>
        </w:rPr>
      </w:pPr>
      <w:r>
        <w:rPr>
          <w:rFonts w:ascii="Times New Roman" w:hAnsi="Times New Roman"/>
          <w:b/>
          <w:sz w:val="24"/>
        </w:rPr>
        <w:fldChar w:fldCharType="begin"/>
      </w:r>
      <w:r>
        <w:rPr>
          <w:rFonts w:ascii="Times New Roman" w:hAnsi="Times New Roman"/>
          <w:b/>
          <w:sz w:val="24"/>
        </w:rPr>
        <w:instrText xml:space="preserve"> TOC \o "1-3" \h \z \u </w:instrText>
      </w:r>
      <w:r>
        <w:rPr>
          <w:rFonts w:ascii="Times New Roman" w:hAnsi="Times New Roman"/>
          <w:b/>
          <w:sz w:val="24"/>
        </w:rPr>
        <w:fldChar w:fldCharType="separate"/>
      </w:r>
      <w:hyperlink w:anchor="_Toc57208367" w:history="1">
        <w:r w:rsidRPr="00735892">
          <w:rPr>
            <w:rStyle w:val="Hyperlink"/>
            <w:rFonts w:ascii="Times New Roman" w:hAnsi="Times New Roman"/>
            <w:b/>
          </w:rPr>
          <w:t>ΜΕΡΟΣ Ι: ΓΕΝΙΚΕΣ ΟΔΗΓΙΕΣ</w:t>
        </w:r>
        <w:r>
          <w:rPr>
            <w:webHidden/>
          </w:rPr>
          <w:tab/>
        </w:r>
        <w:r>
          <w:rPr>
            <w:webHidden/>
          </w:rPr>
          <w:fldChar w:fldCharType="begin"/>
        </w:r>
        <w:r>
          <w:rPr>
            <w:webHidden/>
          </w:rPr>
          <w:instrText xml:space="preserve"> PAGEREF _Toc57208367 \h </w:instrText>
        </w:r>
        <w:r>
          <w:rPr>
            <w:webHidden/>
          </w:rPr>
        </w:r>
        <w:r>
          <w:rPr>
            <w:webHidden/>
          </w:rPr>
          <w:fldChar w:fldCharType="separate"/>
        </w:r>
        <w:r>
          <w:rPr>
            <w:webHidden/>
          </w:rPr>
          <w:t>2</w:t>
        </w:r>
        <w:r>
          <w:rPr>
            <w:webHidden/>
          </w:rPr>
          <w:fldChar w:fldCharType="end"/>
        </w:r>
      </w:hyperlink>
    </w:p>
    <w:p w14:paraId="485B70B7" w14:textId="77777777" w:rsidR="00B726E8" w:rsidRDefault="00B726E8" w:rsidP="00B726E8">
      <w:pPr>
        <w:pStyle w:val="TOC2"/>
        <w:rPr>
          <w:rFonts w:asciiTheme="minorHAnsi" w:eastAsiaTheme="minorEastAsia" w:hAnsiTheme="minorHAnsi" w:cstheme="minorBidi"/>
          <w:b w:val="0"/>
          <w:smallCaps w:val="0"/>
          <w:sz w:val="22"/>
          <w:lang w:val="en-GB" w:eastAsia="en-GB"/>
        </w:rPr>
      </w:pPr>
      <w:hyperlink w:anchor="_Toc57208368" w:history="1">
        <w:r w:rsidRPr="00735892">
          <w:rPr>
            <w:rStyle w:val="Hyperlink"/>
            <w:rFonts w:ascii="Times New Roman" w:hAnsi="Times New Roman"/>
          </w:rPr>
          <w:t>1.</w:t>
        </w:r>
        <w:r>
          <w:rPr>
            <w:rFonts w:asciiTheme="minorHAnsi" w:eastAsiaTheme="minorEastAsia" w:hAnsiTheme="minorHAnsi" w:cstheme="minorBidi"/>
            <w:b w:val="0"/>
            <w:smallCaps w:val="0"/>
            <w:sz w:val="22"/>
            <w:lang w:val="en-GB" w:eastAsia="en-GB"/>
          </w:rPr>
          <w:tab/>
        </w:r>
        <w:r w:rsidRPr="00735892">
          <w:rPr>
            <w:rStyle w:val="Hyperlink"/>
            <w:rFonts w:ascii="Times New Roman" w:hAnsi="Times New Roman"/>
          </w:rPr>
          <w:t>Δομή και άλλες συμβάσεις</w:t>
        </w:r>
        <w:r>
          <w:rPr>
            <w:webHidden/>
          </w:rPr>
          <w:tab/>
        </w:r>
        <w:r>
          <w:rPr>
            <w:webHidden/>
          </w:rPr>
          <w:fldChar w:fldCharType="begin"/>
        </w:r>
        <w:r>
          <w:rPr>
            <w:webHidden/>
          </w:rPr>
          <w:instrText xml:space="preserve"> PAGEREF _Toc57208368 \h </w:instrText>
        </w:r>
        <w:r>
          <w:rPr>
            <w:webHidden/>
          </w:rPr>
        </w:r>
        <w:r>
          <w:rPr>
            <w:webHidden/>
          </w:rPr>
          <w:fldChar w:fldCharType="separate"/>
        </w:r>
        <w:r>
          <w:rPr>
            <w:webHidden/>
          </w:rPr>
          <w:t>2</w:t>
        </w:r>
        <w:r>
          <w:rPr>
            <w:webHidden/>
          </w:rPr>
          <w:fldChar w:fldCharType="end"/>
        </w:r>
      </w:hyperlink>
    </w:p>
    <w:p w14:paraId="76FFFD0F" w14:textId="77777777" w:rsidR="00B726E8" w:rsidRDefault="00B726E8" w:rsidP="00B726E8">
      <w:pPr>
        <w:pStyle w:val="TOC3"/>
        <w:rPr>
          <w:rFonts w:asciiTheme="minorHAnsi" w:eastAsiaTheme="minorEastAsia" w:hAnsiTheme="minorHAnsi" w:cstheme="minorBidi"/>
          <w:smallCaps w:val="0"/>
          <w:sz w:val="22"/>
          <w:szCs w:val="22"/>
          <w:lang w:val="en-GB" w:eastAsia="en-GB"/>
        </w:rPr>
      </w:pPr>
      <w:hyperlink w:anchor="_Toc57208369" w:history="1">
        <w:r w:rsidRPr="00735892">
          <w:rPr>
            <w:rStyle w:val="Hyperlink"/>
            <w:rFonts w:ascii="Times New Roman" w:hAnsi="Times New Roman"/>
            <w:b/>
          </w:rPr>
          <w:t>1.1.</w:t>
        </w:r>
        <w:r>
          <w:rPr>
            <w:rFonts w:asciiTheme="minorHAnsi" w:eastAsiaTheme="minorEastAsia" w:hAnsiTheme="minorHAnsi" w:cstheme="minorBidi"/>
            <w:smallCaps w:val="0"/>
            <w:sz w:val="22"/>
            <w:szCs w:val="22"/>
            <w:lang w:val="en-GB" w:eastAsia="en-GB"/>
          </w:rPr>
          <w:tab/>
        </w:r>
        <w:r w:rsidRPr="00735892">
          <w:rPr>
            <w:rStyle w:val="Hyperlink"/>
            <w:rFonts w:ascii="Times New Roman" w:hAnsi="Times New Roman"/>
            <w:b/>
          </w:rPr>
          <w:t>Δομή</w:t>
        </w:r>
        <w:r>
          <w:rPr>
            <w:webHidden/>
          </w:rPr>
          <w:tab/>
        </w:r>
        <w:r>
          <w:rPr>
            <w:webHidden/>
          </w:rPr>
          <w:fldChar w:fldCharType="begin"/>
        </w:r>
        <w:r>
          <w:rPr>
            <w:webHidden/>
          </w:rPr>
          <w:instrText xml:space="preserve"> PAGEREF _Toc57208369 \h </w:instrText>
        </w:r>
        <w:r>
          <w:rPr>
            <w:webHidden/>
          </w:rPr>
        </w:r>
        <w:r>
          <w:rPr>
            <w:webHidden/>
          </w:rPr>
          <w:fldChar w:fldCharType="separate"/>
        </w:r>
        <w:r>
          <w:rPr>
            <w:webHidden/>
          </w:rPr>
          <w:t>2</w:t>
        </w:r>
        <w:r>
          <w:rPr>
            <w:webHidden/>
          </w:rPr>
          <w:fldChar w:fldCharType="end"/>
        </w:r>
      </w:hyperlink>
    </w:p>
    <w:p w14:paraId="559C2DD2" w14:textId="77777777" w:rsidR="00B726E8" w:rsidRDefault="00B726E8" w:rsidP="00B726E8">
      <w:pPr>
        <w:pStyle w:val="TOC3"/>
        <w:rPr>
          <w:rFonts w:asciiTheme="minorHAnsi" w:eastAsiaTheme="minorEastAsia" w:hAnsiTheme="minorHAnsi" w:cstheme="minorBidi"/>
          <w:smallCaps w:val="0"/>
          <w:sz w:val="22"/>
          <w:szCs w:val="22"/>
          <w:lang w:val="en-GB" w:eastAsia="en-GB"/>
        </w:rPr>
      </w:pPr>
      <w:hyperlink w:anchor="_Toc57208370" w:history="1">
        <w:r w:rsidRPr="00735892">
          <w:rPr>
            <w:rStyle w:val="Hyperlink"/>
            <w:rFonts w:ascii="Times New Roman" w:hAnsi="Times New Roman"/>
            <w:b/>
          </w:rPr>
          <w:t>1.2.</w:t>
        </w:r>
        <w:r>
          <w:rPr>
            <w:rFonts w:asciiTheme="minorHAnsi" w:eastAsiaTheme="minorEastAsia" w:hAnsiTheme="minorHAnsi" w:cstheme="minorBidi"/>
            <w:smallCaps w:val="0"/>
            <w:sz w:val="22"/>
            <w:szCs w:val="22"/>
            <w:lang w:val="en-GB" w:eastAsia="en-GB"/>
          </w:rPr>
          <w:tab/>
        </w:r>
        <w:r w:rsidRPr="00735892">
          <w:rPr>
            <w:rStyle w:val="Hyperlink"/>
            <w:rFonts w:ascii="Times New Roman" w:hAnsi="Times New Roman"/>
            <w:b/>
          </w:rPr>
          <w:t>Κανόνες αρίθμησης</w:t>
        </w:r>
        <w:r>
          <w:rPr>
            <w:webHidden/>
          </w:rPr>
          <w:tab/>
        </w:r>
        <w:r>
          <w:rPr>
            <w:webHidden/>
          </w:rPr>
          <w:fldChar w:fldCharType="begin"/>
        </w:r>
        <w:r>
          <w:rPr>
            <w:webHidden/>
          </w:rPr>
          <w:instrText xml:space="preserve"> PAGEREF _Toc57208370 \h </w:instrText>
        </w:r>
        <w:r>
          <w:rPr>
            <w:webHidden/>
          </w:rPr>
        </w:r>
        <w:r>
          <w:rPr>
            <w:webHidden/>
          </w:rPr>
          <w:fldChar w:fldCharType="separate"/>
        </w:r>
        <w:r>
          <w:rPr>
            <w:webHidden/>
          </w:rPr>
          <w:t>2</w:t>
        </w:r>
        <w:r>
          <w:rPr>
            <w:webHidden/>
          </w:rPr>
          <w:fldChar w:fldCharType="end"/>
        </w:r>
      </w:hyperlink>
    </w:p>
    <w:p w14:paraId="6396B76A" w14:textId="77777777" w:rsidR="00B726E8" w:rsidRDefault="00B726E8" w:rsidP="00B726E8">
      <w:pPr>
        <w:pStyle w:val="TOC3"/>
        <w:rPr>
          <w:rFonts w:asciiTheme="minorHAnsi" w:eastAsiaTheme="minorEastAsia" w:hAnsiTheme="minorHAnsi" w:cstheme="minorBidi"/>
          <w:smallCaps w:val="0"/>
          <w:sz w:val="22"/>
          <w:szCs w:val="22"/>
          <w:lang w:val="en-GB" w:eastAsia="en-GB"/>
        </w:rPr>
      </w:pPr>
      <w:hyperlink w:anchor="_Toc57208371" w:history="1">
        <w:r w:rsidRPr="00735892">
          <w:rPr>
            <w:rStyle w:val="Hyperlink"/>
            <w:rFonts w:ascii="Times New Roman" w:hAnsi="Times New Roman"/>
            <w:b/>
          </w:rPr>
          <w:t>1.3.</w:t>
        </w:r>
        <w:r>
          <w:rPr>
            <w:rFonts w:asciiTheme="minorHAnsi" w:eastAsiaTheme="minorEastAsia" w:hAnsiTheme="minorHAnsi" w:cstheme="minorBidi"/>
            <w:smallCaps w:val="0"/>
            <w:sz w:val="22"/>
            <w:szCs w:val="22"/>
            <w:lang w:val="en-GB" w:eastAsia="en-GB"/>
          </w:rPr>
          <w:tab/>
        </w:r>
        <w:r w:rsidRPr="00735892">
          <w:rPr>
            <w:rStyle w:val="Hyperlink"/>
            <w:rFonts w:ascii="Times New Roman" w:hAnsi="Times New Roman"/>
            <w:b/>
          </w:rPr>
          <w:t>Συντομογραφίες</w:t>
        </w:r>
        <w:r>
          <w:rPr>
            <w:webHidden/>
          </w:rPr>
          <w:tab/>
        </w:r>
        <w:r>
          <w:rPr>
            <w:webHidden/>
          </w:rPr>
          <w:fldChar w:fldCharType="begin"/>
        </w:r>
        <w:r>
          <w:rPr>
            <w:webHidden/>
          </w:rPr>
          <w:instrText xml:space="preserve"> PAGEREF _Toc57208371 \h </w:instrText>
        </w:r>
        <w:r>
          <w:rPr>
            <w:webHidden/>
          </w:rPr>
        </w:r>
        <w:r>
          <w:rPr>
            <w:webHidden/>
          </w:rPr>
          <w:fldChar w:fldCharType="separate"/>
        </w:r>
        <w:r>
          <w:rPr>
            <w:webHidden/>
          </w:rPr>
          <w:t>3</w:t>
        </w:r>
        <w:r>
          <w:rPr>
            <w:webHidden/>
          </w:rPr>
          <w:fldChar w:fldCharType="end"/>
        </w:r>
      </w:hyperlink>
    </w:p>
    <w:p w14:paraId="28074D74" w14:textId="77777777" w:rsidR="00B726E8" w:rsidRDefault="00B726E8" w:rsidP="00B726E8">
      <w:pPr>
        <w:pStyle w:val="TOC3"/>
        <w:rPr>
          <w:rFonts w:asciiTheme="minorHAnsi" w:eastAsiaTheme="minorEastAsia" w:hAnsiTheme="minorHAnsi" w:cstheme="minorBidi"/>
          <w:smallCaps w:val="0"/>
          <w:sz w:val="22"/>
          <w:szCs w:val="22"/>
          <w:lang w:val="en-GB" w:eastAsia="en-GB"/>
        </w:rPr>
      </w:pPr>
      <w:hyperlink w:anchor="_Toc57208372" w:history="1">
        <w:r w:rsidRPr="00735892">
          <w:rPr>
            <w:rStyle w:val="Hyperlink"/>
            <w:rFonts w:ascii="Times New Roman" w:hAnsi="Times New Roman"/>
            <w:b/>
          </w:rPr>
          <w:t>1.4.</w:t>
        </w:r>
        <w:r>
          <w:rPr>
            <w:rFonts w:asciiTheme="minorHAnsi" w:eastAsiaTheme="minorEastAsia" w:hAnsiTheme="minorHAnsi" w:cstheme="minorBidi"/>
            <w:smallCaps w:val="0"/>
            <w:sz w:val="22"/>
            <w:szCs w:val="22"/>
            <w:lang w:val="en-GB" w:eastAsia="en-GB"/>
          </w:rPr>
          <w:tab/>
        </w:r>
        <w:r w:rsidRPr="00735892">
          <w:rPr>
            <w:rStyle w:val="Hyperlink"/>
            <w:rFonts w:ascii="Times New Roman" w:hAnsi="Times New Roman"/>
            <w:b/>
          </w:rPr>
          <w:t>Κανόνες χρήσης προσήμου</w:t>
        </w:r>
        <w:r>
          <w:rPr>
            <w:webHidden/>
          </w:rPr>
          <w:tab/>
        </w:r>
        <w:r>
          <w:rPr>
            <w:webHidden/>
          </w:rPr>
          <w:fldChar w:fldCharType="begin"/>
        </w:r>
        <w:r>
          <w:rPr>
            <w:webHidden/>
          </w:rPr>
          <w:instrText xml:space="preserve"> PAGEREF _Toc57208372 \h </w:instrText>
        </w:r>
        <w:r>
          <w:rPr>
            <w:webHidden/>
          </w:rPr>
        </w:r>
        <w:r>
          <w:rPr>
            <w:webHidden/>
          </w:rPr>
          <w:fldChar w:fldCharType="separate"/>
        </w:r>
        <w:r>
          <w:rPr>
            <w:webHidden/>
          </w:rPr>
          <w:t>3</w:t>
        </w:r>
        <w:r>
          <w:rPr>
            <w:webHidden/>
          </w:rPr>
          <w:fldChar w:fldCharType="end"/>
        </w:r>
      </w:hyperlink>
    </w:p>
    <w:p w14:paraId="3B331CDA" w14:textId="77777777" w:rsidR="00B726E8" w:rsidRDefault="00B726E8" w:rsidP="00B726E8">
      <w:pPr>
        <w:pStyle w:val="TOC1"/>
        <w:rPr>
          <w:rFonts w:asciiTheme="minorHAnsi" w:eastAsiaTheme="minorEastAsia" w:hAnsiTheme="minorHAnsi" w:cstheme="minorBidi"/>
          <w:color w:val="auto"/>
          <w:sz w:val="22"/>
          <w:szCs w:val="22"/>
          <w:lang w:val="en-GB" w:eastAsia="en-GB"/>
        </w:rPr>
      </w:pPr>
      <w:hyperlink w:anchor="_Toc57208373" w:history="1">
        <w:r w:rsidRPr="00735892">
          <w:rPr>
            <w:rStyle w:val="Hyperlink"/>
            <w:rFonts w:ascii="Times New Roman" w:hAnsi="Times New Roman"/>
            <w:b/>
          </w:rPr>
          <w:t>ΜΕΡΟΣ II: ΟΔΗΓΙΕΣ ΣΧΕΤΙΚΑ ΜΕ ΤΑ ΥΠΟΔΕΙΓΜΑΤΑ</w:t>
        </w:r>
        <w:r>
          <w:rPr>
            <w:webHidden/>
          </w:rPr>
          <w:tab/>
        </w:r>
        <w:r>
          <w:rPr>
            <w:webHidden/>
          </w:rPr>
          <w:fldChar w:fldCharType="begin"/>
        </w:r>
        <w:r>
          <w:rPr>
            <w:webHidden/>
          </w:rPr>
          <w:instrText xml:space="preserve"> PAGEREF _Toc57208373 \h </w:instrText>
        </w:r>
        <w:r>
          <w:rPr>
            <w:webHidden/>
          </w:rPr>
        </w:r>
        <w:r>
          <w:rPr>
            <w:webHidden/>
          </w:rPr>
          <w:fldChar w:fldCharType="separate"/>
        </w:r>
        <w:r>
          <w:rPr>
            <w:webHidden/>
          </w:rPr>
          <w:t>4</w:t>
        </w:r>
        <w:r>
          <w:rPr>
            <w:webHidden/>
          </w:rPr>
          <w:fldChar w:fldCharType="end"/>
        </w:r>
      </w:hyperlink>
    </w:p>
    <w:p w14:paraId="32E6BC80" w14:textId="77777777" w:rsidR="00B726E8" w:rsidRDefault="00B726E8" w:rsidP="00B726E8">
      <w:pPr>
        <w:pStyle w:val="TOC2"/>
        <w:rPr>
          <w:rFonts w:asciiTheme="minorHAnsi" w:eastAsiaTheme="minorEastAsia" w:hAnsiTheme="minorHAnsi" w:cstheme="minorBidi"/>
          <w:b w:val="0"/>
          <w:smallCaps w:val="0"/>
          <w:sz w:val="22"/>
          <w:lang w:val="en-GB" w:eastAsia="en-GB"/>
        </w:rPr>
      </w:pPr>
      <w:hyperlink w:anchor="_Toc57208374" w:history="1">
        <w:r w:rsidRPr="00735892">
          <w:rPr>
            <w:rStyle w:val="Hyperlink"/>
            <w:rFonts w:ascii="Times New Roman" w:hAnsi="Times New Roman"/>
          </w:rPr>
          <w:t>1.</w:t>
        </w:r>
        <w:r>
          <w:rPr>
            <w:rFonts w:asciiTheme="minorHAnsi" w:eastAsiaTheme="minorEastAsia" w:hAnsiTheme="minorHAnsi" w:cstheme="minorBidi"/>
            <w:b w:val="0"/>
            <w:smallCaps w:val="0"/>
            <w:sz w:val="22"/>
            <w:lang w:val="en-GB" w:eastAsia="en-GB"/>
          </w:rPr>
          <w:tab/>
        </w:r>
        <w:r w:rsidRPr="00735892">
          <w:rPr>
            <w:rStyle w:val="Hyperlink"/>
            <w:rFonts w:ascii="Times New Roman" w:hAnsi="Times New Roman"/>
          </w:rPr>
          <w:t>Μαθηματικοί τύποι για τον υπολογισμό του δείκτη μόχλευσης</w:t>
        </w:r>
        <w:r>
          <w:rPr>
            <w:webHidden/>
          </w:rPr>
          <w:tab/>
        </w:r>
        <w:r>
          <w:rPr>
            <w:webHidden/>
          </w:rPr>
          <w:fldChar w:fldCharType="begin"/>
        </w:r>
        <w:r>
          <w:rPr>
            <w:webHidden/>
          </w:rPr>
          <w:instrText xml:space="preserve"> PAGEREF _Toc57208374 \h </w:instrText>
        </w:r>
        <w:r>
          <w:rPr>
            <w:webHidden/>
          </w:rPr>
        </w:r>
        <w:r>
          <w:rPr>
            <w:webHidden/>
          </w:rPr>
          <w:fldChar w:fldCharType="separate"/>
        </w:r>
        <w:r>
          <w:rPr>
            <w:webHidden/>
          </w:rPr>
          <w:t>4</w:t>
        </w:r>
        <w:r>
          <w:rPr>
            <w:webHidden/>
          </w:rPr>
          <w:fldChar w:fldCharType="end"/>
        </w:r>
      </w:hyperlink>
    </w:p>
    <w:p w14:paraId="58DA4427" w14:textId="77777777" w:rsidR="00B726E8" w:rsidRDefault="00B726E8" w:rsidP="00B726E8">
      <w:pPr>
        <w:pStyle w:val="TOC2"/>
        <w:rPr>
          <w:rFonts w:asciiTheme="minorHAnsi" w:eastAsiaTheme="minorEastAsia" w:hAnsiTheme="minorHAnsi" w:cstheme="minorBidi"/>
          <w:b w:val="0"/>
          <w:smallCaps w:val="0"/>
          <w:sz w:val="22"/>
          <w:lang w:val="en-GB" w:eastAsia="en-GB"/>
        </w:rPr>
      </w:pPr>
      <w:hyperlink w:anchor="_Toc57208375" w:history="1">
        <w:r w:rsidRPr="00735892">
          <w:rPr>
            <w:rStyle w:val="Hyperlink"/>
            <w:rFonts w:ascii="Times New Roman" w:hAnsi="Times New Roman"/>
          </w:rPr>
          <w:t>2.</w:t>
        </w:r>
        <w:r>
          <w:rPr>
            <w:rFonts w:asciiTheme="minorHAnsi" w:eastAsiaTheme="minorEastAsia" w:hAnsiTheme="minorHAnsi" w:cstheme="minorBidi"/>
            <w:b w:val="0"/>
            <w:smallCaps w:val="0"/>
            <w:sz w:val="22"/>
            <w:lang w:val="en-GB" w:eastAsia="en-GB"/>
          </w:rPr>
          <w:tab/>
        </w:r>
        <w:r w:rsidRPr="00735892">
          <w:rPr>
            <w:rStyle w:val="Hyperlink"/>
            <w:rFonts w:ascii="Times New Roman" w:hAnsi="Times New Roman"/>
          </w:rPr>
          <w:t>Κατώτατα επίπεδα σημαντικότητας για παράγωγα</w:t>
        </w:r>
        <w:r>
          <w:rPr>
            <w:webHidden/>
          </w:rPr>
          <w:tab/>
        </w:r>
        <w:r>
          <w:rPr>
            <w:webHidden/>
          </w:rPr>
          <w:fldChar w:fldCharType="begin"/>
        </w:r>
        <w:r>
          <w:rPr>
            <w:webHidden/>
          </w:rPr>
          <w:instrText xml:space="preserve"> PAGEREF _Toc57208375 \h </w:instrText>
        </w:r>
        <w:r>
          <w:rPr>
            <w:webHidden/>
          </w:rPr>
        </w:r>
        <w:r>
          <w:rPr>
            <w:webHidden/>
          </w:rPr>
          <w:fldChar w:fldCharType="separate"/>
        </w:r>
        <w:r>
          <w:rPr>
            <w:webHidden/>
          </w:rPr>
          <w:t>4</w:t>
        </w:r>
        <w:r>
          <w:rPr>
            <w:webHidden/>
          </w:rPr>
          <w:fldChar w:fldCharType="end"/>
        </w:r>
      </w:hyperlink>
    </w:p>
    <w:p w14:paraId="48757B36" w14:textId="77777777" w:rsidR="00B726E8" w:rsidRDefault="00B726E8" w:rsidP="00B726E8">
      <w:pPr>
        <w:pStyle w:val="TOC2"/>
        <w:rPr>
          <w:rFonts w:asciiTheme="minorHAnsi" w:eastAsiaTheme="minorEastAsia" w:hAnsiTheme="minorHAnsi" w:cstheme="minorBidi"/>
          <w:b w:val="0"/>
          <w:smallCaps w:val="0"/>
          <w:sz w:val="22"/>
          <w:lang w:val="en-GB" w:eastAsia="en-GB"/>
        </w:rPr>
      </w:pPr>
      <w:hyperlink w:anchor="_Toc57208376" w:history="1">
        <w:r w:rsidRPr="00735892">
          <w:rPr>
            <w:rStyle w:val="Hyperlink"/>
            <w:rFonts w:ascii="Times New Roman" w:hAnsi="Times New Roman"/>
          </w:rPr>
          <w:t>3.</w:t>
        </w:r>
        <w:r>
          <w:rPr>
            <w:rFonts w:asciiTheme="minorHAnsi" w:eastAsiaTheme="minorEastAsia" w:hAnsiTheme="minorHAnsi" w:cstheme="minorBidi"/>
            <w:b w:val="0"/>
            <w:smallCaps w:val="0"/>
            <w:sz w:val="22"/>
            <w:lang w:val="en-GB" w:eastAsia="en-GB"/>
          </w:rPr>
          <w:tab/>
        </w:r>
        <w:r w:rsidRPr="00735892">
          <w:rPr>
            <w:rStyle w:val="Hyperlink"/>
            <w:rFonts w:ascii="Times New Roman" w:hAnsi="Times New Roman"/>
          </w:rPr>
          <w:t>C 47.00 – Υπολογισμός του δείκτη μόχλευσης (LRCalc)</w:t>
        </w:r>
        <w:r>
          <w:rPr>
            <w:webHidden/>
          </w:rPr>
          <w:tab/>
        </w:r>
        <w:r>
          <w:rPr>
            <w:webHidden/>
          </w:rPr>
          <w:fldChar w:fldCharType="begin"/>
        </w:r>
        <w:r>
          <w:rPr>
            <w:webHidden/>
          </w:rPr>
          <w:instrText xml:space="preserve"> PAGEREF _Toc57208376 \h </w:instrText>
        </w:r>
        <w:r>
          <w:rPr>
            <w:webHidden/>
          </w:rPr>
        </w:r>
        <w:r>
          <w:rPr>
            <w:webHidden/>
          </w:rPr>
          <w:fldChar w:fldCharType="separate"/>
        </w:r>
        <w:r>
          <w:rPr>
            <w:webHidden/>
          </w:rPr>
          <w:t>5</w:t>
        </w:r>
        <w:r>
          <w:rPr>
            <w:webHidden/>
          </w:rPr>
          <w:fldChar w:fldCharType="end"/>
        </w:r>
      </w:hyperlink>
    </w:p>
    <w:p w14:paraId="5E04A7CC" w14:textId="77777777" w:rsidR="00B726E8" w:rsidRDefault="00B726E8" w:rsidP="00B726E8">
      <w:pPr>
        <w:pStyle w:val="TOC2"/>
        <w:rPr>
          <w:rFonts w:asciiTheme="minorHAnsi" w:eastAsiaTheme="minorEastAsia" w:hAnsiTheme="minorHAnsi" w:cstheme="minorBidi"/>
          <w:b w:val="0"/>
          <w:smallCaps w:val="0"/>
          <w:sz w:val="22"/>
          <w:lang w:val="en-GB" w:eastAsia="en-GB"/>
        </w:rPr>
      </w:pPr>
      <w:hyperlink w:anchor="_Toc57208377" w:history="1">
        <w:r w:rsidRPr="00735892">
          <w:rPr>
            <w:rStyle w:val="Hyperlink"/>
            <w:rFonts w:ascii="Times New Roman" w:hAnsi="Times New Roman"/>
          </w:rPr>
          <w:t>4.</w:t>
        </w:r>
        <w:r>
          <w:rPr>
            <w:rFonts w:asciiTheme="minorHAnsi" w:eastAsiaTheme="minorEastAsia" w:hAnsiTheme="minorHAnsi" w:cstheme="minorBidi"/>
            <w:b w:val="0"/>
            <w:smallCaps w:val="0"/>
            <w:sz w:val="22"/>
            <w:lang w:val="en-GB" w:eastAsia="en-GB"/>
          </w:rPr>
          <w:tab/>
        </w:r>
        <w:r w:rsidRPr="00735892">
          <w:rPr>
            <w:rStyle w:val="Hyperlink"/>
            <w:rFonts w:ascii="Times New Roman" w:hAnsi="Times New Roman"/>
          </w:rPr>
          <w:t>C 40.00 – Εναλλακτική αντιμετώπιση του μέτρου του ανοίγματος (LR1)</w:t>
        </w:r>
        <w:r>
          <w:rPr>
            <w:webHidden/>
          </w:rPr>
          <w:tab/>
        </w:r>
        <w:r>
          <w:rPr>
            <w:webHidden/>
          </w:rPr>
          <w:fldChar w:fldCharType="begin"/>
        </w:r>
        <w:r>
          <w:rPr>
            <w:webHidden/>
          </w:rPr>
          <w:instrText xml:space="preserve"> PAGEREF _Toc57208377 \h </w:instrText>
        </w:r>
        <w:r>
          <w:rPr>
            <w:webHidden/>
          </w:rPr>
        </w:r>
        <w:r>
          <w:rPr>
            <w:webHidden/>
          </w:rPr>
          <w:fldChar w:fldCharType="separate"/>
        </w:r>
        <w:r>
          <w:rPr>
            <w:webHidden/>
          </w:rPr>
          <w:t>33</w:t>
        </w:r>
        <w:r>
          <w:rPr>
            <w:webHidden/>
          </w:rPr>
          <w:fldChar w:fldCharType="end"/>
        </w:r>
      </w:hyperlink>
    </w:p>
    <w:p w14:paraId="73A62D80" w14:textId="77777777" w:rsidR="00B726E8" w:rsidRDefault="00B726E8" w:rsidP="00B726E8">
      <w:pPr>
        <w:pStyle w:val="TOC2"/>
        <w:rPr>
          <w:rFonts w:asciiTheme="minorHAnsi" w:eastAsiaTheme="minorEastAsia" w:hAnsiTheme="minorHAnsi" w:cstheme="minorBidi"/>
          <w:b w:val="0"/>
          <w:smallCaps w:val="0"/>
          <w:sz w:val="22"/>
          <w:lang w:val="en-GB" w:eastAsia="en-GB"/>
        </w:rPr>
      </w:pPr>
      <w:hyperlink w:anchor="_Toc57208378" w:history="1">
        <w:r w:rsidRPr="00735892">
          <w:rPr>
            <w:rStyle w:val="Hyperlink"/>
            <w:rFonts w:ascii="Times New Roman" w:hAnsi="Times New Roman"/>
          </w:rPr>
          <w:t>5.</w:t>
        </w:r>
        <w:r>
          <w:rPr>
            <w:rFonts w:asciiTheme="minorHAnsi" w:eastAsiaTheme="minorEastAsia" w:hAnsiTheme="minorHAnsi" w:cstheme="minorBidi"/>
            <w:b w:val="0"/>
            <w:smallCaps w:val="0"/>
            <w:sz w:val="22"/>
            <w:lang w:val="en-GB" w:eastAsia="en-GB"/>
          </w:rPr>
          <w:tab/>
        </w:r>
        <w:r w:rsidRPr="00735892">
          <w:rPr>
            <w:rStyle w:val="Hyperlink"/>
            <w:rFonts w:ascii="Times New Roman" w:hAnsi="Times New Roman"/>
          </w:rPr>
          <w:t>C 43.00 – Εναλλακτική ανάλυση των συνιστωσών του μέτρου του ανοίγματος του δείκτη μόχλευσης (LR4)</w:t>
        </w:r>
        <w:r>
          <w:rPr>
            <w:webHidden/>
          </w:rPr>
          <w:tab/>
        </w:r>
        <w:r>
          <w:rPr>
            <w:webHidden/>
          </w:rPr>
          <w:fldChar w:fldCharType="begin"/>
        </w:r>
        <w:r>
          <w:rPr>
            <w:webHidden/>
          </w:rPr>
          <w:instrText xml:space="preserve"> PAGEREF _Toc57208378 \h </w:instrText>
        </w:r>
        <w:r>
          <w:rPr>
            <w:webHidden/>
          </w:rPr>
        </w:r>
        <w:r>
          <w:rPr>
            <w:webHidden/>
          </w:rPr>
          <w:fldChar w:fldCharType="separate"/>
        </w:r>
        <w:r>
          <w:rPr>
            <w:webHidden/>
          </w:rPr>
          <w:t>46</w:t>
        </w:r>
        <w:r>
          <w:rPr>
            <w:webHidden/>
          </w:rPr>
          <w:fldChar w:fldCharType="end"/>
        </w:r>
      </w:hyperlink>
    </w:p>
    <w:p w14:paraId="492C7306" w14:textId="77777777" w:rsidR="00B726E8" w:rsidRDefault="00B726E8" w:rsidP="00B726E8">
      <w:pPr>
        <w:pStyle w:val="TOC2"/>
        <w:rPr>
          <w:rFonts w:asciiTheme="minorHAnsi" w:eastAsiaTheme="minorEastAsia" w:hAnsiTheme="minorHAnsi" w:cstheme="minorBidi"/>
          <w:b w:val="0"/>
          <w:smallCaps w:val="0"/>
          <w:sz w:val="22"/>
          <w:lang w:val="en-GB" w:eastAsia="en-GB"/>
        </w:rPr>
      </w:pPr>
      <w:hyperlink w:anchor="_Toc57208379" w:history="1">
        <w:r w:rsidRPr="00735892">
          <w:rPr>
            <w:rStyle w:val="Hyperlink"/>
            <w:rFonts w:ascii="Times New Roman" w:hAnsi="Times New Roman"/>
          </w:rPr>
          <w:t>6.</w:t>
        </w:r>
        <w:r>
          <w:rPr>
            <w:rFonts w:asciiTheme="minorHAnsi" w:eastAsiaTheme="minorEastAsia" w:hAnsiTheme="minorHAnsi" w:cstheme="minorBidi"/>
            <w:b w:val="0"/>
            <w:smallCaps w:val="0"/>
            <w:sz w:val="22"/>
            <w:lang w:val="en-GB" w:eastAsia="en-GB"/>
          </w:rPr>
          <w:tab/>
        </w:r>
        <w:r w:rsidRPr="00735892">
          <w:rPr>
            <w:rStyle w:val="Hyperlink"/>
            <w:rFonts w:ascii="Times New Roman" w:hAnsi="Times New Roman"/>
          </w:rPr>
          <w:t>C 44.00 – Γενικές πληροφορίες (LR5)</w:t>
        </w:r>
        <w:r>
          <w:rPr>
            <w:webHidden/>
          </w:rPr>
          <w:tab/>
        </w:r>
        <w:r>
          <w:rPr>
            <w:webHidden/>
          </w:rPr>
          <w:fldChar w:fldCharType="begin"/>
        </w:r>
        <w:r>
          <w:rPr>
            <w:webHidden/>
          </w:rPr>
          <w:instrText xml:space="preserve"> PAGEREF _Toc57208379 \h </w:instrText>
        </w:r>
        <w:r>
          <w:rPr>
            <w:webHidden/>
          </w:rPr>
        </w:r>
        <w:r>
          <w:rPr>
            <w:webHidden/>
          </w:rPr>
          <w:fldChar w:fldCharType="separate"/>
        </w:r>
        <w:r>
          <w:rPr>
            <w:webHidden/>
          </w:rPr>
          <w:t>72</w:t>
        </w:r>
        <w:r>
          <w:rPr>
            <w:webHidden/>
          </w:rPr>
          <w:fldChar w:fldCharType="end"/>
        </w:r>
      </w:hyperlink>
    </w:p>
    <w:p w14:paraId="494579D5" w14:textId="77777777" w:rsidR="00B726E8" w:rsidRDefault="00B726E8" w:rsidP="00B726E8">
      <w:pPr>
        <w:pStyle w:val="TOC2"/>
        <w:rPr>
          <w:rFonts w:asciiTheme="minorHAnsi" w:eastAsiaTheme="minorEastAsia" w:hAnsiTheme="minorHAnsi" w:cstheme="minorBidi"/>
          <w:b w:val="0"/>
          <w:smallCaps w:val="0"/>
          <w:sz w:val="22"/>
          <w:lang w:val="en-GB" w:eastAsia="en-GB"/>
        </w:rPr>
      </w:pPr>
      <w:hyperlink w:anchor="_Toc57208380" w:history="1">
        <w:r w:rsidRPr="00735892">
          <w:rPr>
            <w:rStyle w:val="Hyperlink"/>
            <w:rFonts w:ascii="Times New Roman" w:hAnsi="Times New Roman"/>
          </w:rPr>
          <w:t>7.</w:t>
        </w:r>
        <w:r>
          <w:rPr>
            <w:rFonts w:asciiTheme="minorHAnsi" w:eastAsiaTheme="minorEastAsia" w:hAnsiTheme="minorHAnsi" w:cstheme="minorBidi"/>
            <w:b w:val="0"/>
            <w:smallCaps w:val="0"/>
            <w:sz w:val="22"/>
            <w:lang w:val="en-GB" w:eastAsia="en-GB"/>
          </w:rPr>
          <w:tab/>
        </w:r>
        <w:r w:rsidRPr="00735892">
          <w:rPr>
            <w:rStyle w:val="Hyperlink"/>
            <w:rFonts w:ascii="Times New Roman" w:hAnsi="Times New Roman"/>
          </w:rPr>
          <w:t>C 48.00 Μεταβλητότητα του δείκτη μόχλευσης (LR6)</w:t>
        </w:r>
        <w:r>
          <w:rPr>
            <w:webHidden/>
          </w:rPr>
          <w:tab/>
        </w:r>
        <w:r>
          <w:rPr>
            <w:webHidden/>
          </w:rPr>
          <w:fldChar w:fldCharType="begin"/>
        </w:r>
        <w:r>
          <w:rPr>
            <w:webHidden/>
          </w:rPr>
          <w:instrText xml:space="preserve"> PAGEREF _Toc57208380 \h </w:instrText>
        </w:r>
        <w:r>
          <w:rPr>
            <w:webHidden/>
          </w:rPr>
        </w:r>
        <w:r>
          <w:rPr>
            <w:webHidden/>
          </w:rPr>
          <w:fldChar w:fldCharType="separate"/>
        </w:r>
        <w:r>
          <w:rPr>
            <w:webHidden/>
          </w:rPr>
          <w:t>74</w:t>
        </w:r>
        <w:r>
          <w:rPr>
            <w:webHidden/>
          </w:rPr>
          <w:fldChar w:fldCharType="end"/>
        </w:r>
      </w:hyperlink>
    </w:p>
    <w:p w14:paraId="095FB341" w14:textId="77777777" w:rsidR="00B726E8" w:rsidRDefault="00B726E8" w:rsidP="00B726E8">
      <w:pPr>
        <w:pStyle w:val="TOC2"/>
        <w:rPr>
          <w:rFonts w:asciiTheme="minorHAnsi" w:eastAsiaTheme="minorEastAsia" w:hAnsiTheme="minorHAnsi" w:cstheme="minorBidi"/>
          <w:b w:val="0"/>
          <w:smallCaps w:val="0"/>
          <w:sz w:val="22"/>
          <w:lang w:val="en-GB" w:eastAsia="en-GB"/>
        </w:rPr>
      </w:pPr>
      <w:hyperlink w:anchor="_Toc57208381" w:history="1">
        <w:r w:rsidRPr="00735892">
          <w:rPr>
            <w:rStyle w:val="Hyperlink"/>
            <w:rFonts w:ascii="Times New Roman" w:hAnsi="Times New Roman"/>
          </w:rPr>
          <w:t>8.</w:t>
        </w:r>
        <w:r>
          <w:rPr>
            <w:rFonts w:asciiTheme="minorHAnsi" w:eastAsiaTheme="minorEastAsia" w:hAnsiTheme="minorHAnsi" w:cstheme="minorBidi"/>
            <w:b w:val="0"/>
            <w:smallCaps w:val="0"/>
            <w:sz w:val="22"/>
            <w:lang w:val="en-GB" w:eastAsia="en-GB"/>
          </w:rPr>
          <w:tab/>
        </w:r>
        <w:r w:rsidRPr="00735892">
          <w:rPr>
            <w:rStyle w:val="Hyperlink"/>
            <w:rFonts w:ascii="Times New Roman" w:hAnsi="Times New Roman"/>
          </w:rPr>
          <w:t>C 48.01 Μεταβλητότητα του δείκτη μόχλευσης: Μέση τιμή για την περίοδο αναφοράς</w:t>
        </w:r>
        <w:r>
          <w:rPr>
            <w:webHidden/>
          </w:rPr>
          <w:tab/>
        </w:r>
        <w:r>
          <w:rPr>
            <w:webHidden/>
          </w:rPr>
          <w:fldChar w:fldCharType="begin"/>
        </w:r>
        <w:r>
          <w:rPr>
            <w:webHidden/>
          </w:rPr>
          <w:instrText xml:space="preserve"> PAGEREF _Toc57208381 \h </w:instrText>
        </w:r>
        <w:r>
          <w:rPr>
            <w:webHidden/>
          </w:rPr>
        </w:r>
        <w:r>
          <w:rPr>
            <w:webHidden/>
          </w:rPr>
          <w:fldChar w:fldCharType="separate"/>
        </w:r>
        <w:r>
          <w:rPr>
            <w:webHidden/>
          </w:rPr>
          <w:t>74</w:t>
        </w:r>
        <w:r>
          <w:rPr>
            <w:webHidden/>
          </w:rPr>
          <w:fldChar w:fldCharType="end"/>
        </w:r>
      </w:hyperlink>
    </w:p>
    <w:p w14:paraId="376C740B" w14:textId="77777777" w:rsidR="00B726E8" w:rsidRDefault="00B726E8" w:rsidP="00B726E8">
      <w:pPr>
        <w:pStyle w:val="TOC2"/>
        <w:rPr>
          <w:rFonts w:asciiTheme="minorHAnsi" w:eastAsiaTheme="minorEastAsia" w:hAnsiTheme="minorHAnsi" w:cstheme="minorBidi"/>
          <w:b w:val="0"/>
          <w:smallCaps w:val="0"/>
          <w:sz w:val="22"/>
          <w:lang w:val="en-GB" w:eastAsia="en-GB"/>
        </w:rPr>
      </w:pPr>
      <w:hyperlink w:anchor="_Toc57208382" w:history="1">
        <w:r w:rsidRPr="00735892">
          <w:rPr>
            <w:rStyle w:val="Hyperlink"/>
            <w:rFonts w:ascii="Times New Roman" w:hAnsi="Times New Roman"/>
          </w:rPr>
          <w:t>9.</w:t>
        </w:r>
        <w:r>
          <w:rPr>
            <w:rFonts w:asciiTheme="minorHAnsi" w:eastAsiaTheme="minorEastAsia" w:hAnsiTheme="minorHAnsi" w:cstheme="minorBidi"/>
            <w:b w:val="0"/>
            <w:smallCaps w:val="0"/>
            <w:sz w:val="22"/>
            <w:lang w:val="en-GB" w:eastAsia="en-GB"/>
          </w:rPr>
          <w:tab/>
        </w:r>
        <w:r w:rsidRPr="00735892">
          <w:rPr>
            <w:rStyle w:val="Hyperlink"/>
            <w:rFonts w:ascii="Times New Roman" w:hAnsi="Times New Roman"/>
          </w:rPr>
          <w:t>C 48.02 Μεταβλητότητα του δείκτη μόχλευσης</w:t>
        </w:r>
        <w:r>
          <w:rPr>
            <w:rStyle w:val="Hyperlink"/>
            <w:rFonts w:ascii="Times New Roman" w:hAnsi="Times New Roman"/>
            <w:lang w:val="en-US"/>
          </w:rPr>
          <w:t>:</w:t>
        </w:r>
        <w:r w:rsidRPr="00735892">
          <w:rPr>
            <w:rStyle w:val="Hyperlink"/>
            <w:rFonts w:ascii="Times New Roman" w:hAnsi="Times New Roman"/>
          </w:rPr>
          <w:t xml:space="preserve"> Ημερήσιες τιμές για την περίοδο αναφοράς</w:t>
        </w:r>
        <w:r>
          <w:rPr>
            <w:webHidden/>
          </w:rPr>
          <w:tab/>
        </w:r>
        <w:r>
          <w:rPr>
            <w:webHidden/>
          </w:rPr>
          <w:fldChar w:fldCharType="begin"/>
        </w:r>
        <w:r>
          <w:rPr>
            <w:webHidden/>
          </w:rPr>
          <w:instrText xml:space="preserve"> PAGEREF _Toc57208382 \h </w:instrText>
        </w:r>
        <w:r>
          <w:rPr>
            <w:webHidden/>
          </w:rPr>
        </w:r>
        <w:r>
          <w:rPr>
            <w:webHidden/>
          </w:rPr>
          <w:fldChar w:fldCharType="separate"/>
        </w:r>
        <w:r>
          <w:rPr>
            <w:webHidden/>
          </w:rPr>
          <w:t>74</w:t>
        </w:r>
        <w:r>
          <w:rPr>
            <w:webHidden/>
          </w:rPr>
          <w:fldChar w:fldCharType="end"/>
        </w:r>
      </w:hyperlink>
    </w:p>
    <w:p w14:paraId="56ACA303" w14:textId="77777777" w:rsidR="00B726E8" w:rsidRPr="000B66BC" w:rsidRDefault="00B726E8" w:rsidP="00B726E8">
      <w:pPr>
        <w:pStyle w:val="BodyText1"/>
        <w:rPr>
          <w:rFonts w:ascii="Times New Roman" w:hAnsi="Times New Roman"/>
          <w:sz w:val="24"/>
        </w:rPr>
        <w:sectPr w:rsidR="00B726E8" w:rsidRPr="000B66BC" w:rsidSect="00DC2C28">
          <w:footerReference w:type="default" r:id="rId10"/>
          <w:footerReference w:type="first" r:id="rId11"/>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461743"/>
      <w:r>
        <w:rPr>
          <w:rFonts w:ascii="Times New Roman" w:hAnsi="Times New Roman"/>
          <w:b/>
          <w:sz w:val="24"/>
          <w:szCs w:val="24"/>
        </w:rPr>
        <w:t>ΜΕΡΟΣ Ι:</w:t>
      </w:r>
      <w:bookmarkEnd w:id="0"/>
      <w:r>
        <w:rPr>
          <w:rFonts w:ascii="Times New Roman" w:hAnsi="Times New Roman"/>
          <w:b/>
          <w:sz w:val="24"/>
          <w:szCs w:val="24"/>
        </w:rPr>
        <w:t xml:space="preserve"> ΓΕΝΙΚΕΣ ΟΔΗΓΙΕΣ</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2461744"/>
      <w:r>
        <w:rPr>
          <w:rFonts w:ascii="Times New Roman" w:hAnsi="Times New Roman"/>
          <w:b/>
          <w:sz w:val="24"/>
          <w:szCs w:val="24"/>
        </w:rPr>
        <w:t>1.</w:t>
      </w:r>
      <w:r>
        <w:tab/>
      </w:r>
      <w:r>
        <w:rPr>
          <w:rFonts w:ascii="Times New Roman" w:hAnsi="Times New Roman"/>
          <w:b/>
          <w:sz w:val="24"/>
          <w:szCs w:val="24"/>
        </w:rPr>
        <w:t>Δομή και άλλες συμβάσεις</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52461745"/>
      <w:bookmarkStart w:id="15" w:name="_Toc264038399"/>
      <w:bookmarkStart w:id="16" w:name="_Toc294018834"/>
      <w:r>
        <w:rPr>
          <w:rFonts w:ascii="Times New Roman" w:hAnsi="Times New Roman"/>
          <w:b/>
          <w:sz w:val="24"/>
          <w:szCs w:val="24"/>
        </w:rPr>
        <w:t>1.1.</w:t>
      </w:r>
      <w:r>
        <w:tab/>
      </w:r>
      <w:bookmarkEnd w:id="11"/>
      <w:bookmarkEnd w:id="12"/>
      <w:bookmarkEnd w:id="13"/>
      <w:r>
        <w:rPr>
          <w:rFonts w:ascii="Times New Roman" w:hAnsi="Times New Roman"/>
          <w:b/>
          <w:sz w:val="24"/>
          <w:szCs w:val="24"/>
        </w:rPr>
        <w:t>Δομή</w:t>
      </w:r>
      <w:bookmarkEnd w:id="14"/>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Το παρόν παράρτημα περιλαμβάνει συμπληρωματικές οδηγίες για τα υποδείγματα (εφεξής: LR) που περιλαμβάνονται στο Παράρτημα X του παρόντος κανονισμού.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bCs/>
          <w:sz w:val="24"/>
        </w:rPr>
        <w:t>2.</w:t>
      </w:r>
      <w:r>
        <w:tab/>
      </w:r>
      <w:r>
        <w:rPr>
          <w:bCs/>
          <w:sz w:val="24"/>
        </w:rPr>
        <w:t>Συνολικά, το πλαίσιο αποτελείται από πέντε υποδείγματα:</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C47.00: Υπολογισμός του δείκτη μόχλευσης (LRCalc): Υπολογισμός του δείκτη μόχλευσης·</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C40.00: Υπόδειγμα 1 του δείκτη μόχλευσης (LR1): Εναλλακτική αντιμετώπιση του μέτρου του ανοίγματος·</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C43.00: Υπόδειγμα 4 του δείκτη μόχλευσης (LR4): Εναλλακτική ανάλυση των συνιστωσών του μέτρου του ανοίγματος του δείκτη μόχλευσης·</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C44.00: Υπόδειγμα 5 του δείκτη μόχλευσης (LR5): Γενικές πληροφορίες·</w:t>
      </w:r>
    </w:p>
    <w:p w14:paraId="7D668F4C" w14:textId="2EF3E327" w:rsidR="00BE473C" w:rsidRPr="000B66BC" w:rsidRDefault="00BE473C" w:rsidP="009339D1">
      <w:pPr>
        <w:pStyle w:val="InstructionsText2"/>
        <w:numPr>
          <w:ilvl w:val="0"/>
          <w:numId w:val="35"/>
        </w:numPr>
        <w:rPr>
          <w:rFonts w:eastAsia="Times New Roman"/>
          <w:bCs/>
          <w:sz w:val="24"/>
        </w:rPr>
      </w:pPr>
      <w:r>
        <w:rPr>
          <w:bCs/>
          <w:sz w:val="24"/>
        </w:rPr>
        <w:t>C48.00: Μεταβλητότητα του δείκτη μόχλευσης (LR6).</w:t>
      </w:r>
    </w:p>
    <w:p w14:paraId="6D2FC52A" w14:textId="5D5E1B5E" w:rsidR="00FC2664" w:rsidRPr="000B66BC" w:rsidRDefault="00500508" w:rsidP="000B66BC">
      <w:pPr>
        <w:pStyle w:val="InstructionsText2"/>
        <w:numPr>
          <w:ilvl w:val="0"/>
          <w:numId w:val="0"/>
        </w:numPr>
        <w:ind w:left="720" w:hanging="360"/>
        <w:rPr>
          <w:sz w:val="24"/>
        </w:rPr>
      </w:pPr>
      <w:r>
        <w:rPr>
          <w:bCs/>
          <w:sz w:val="24"/>
        </w:rPr>
        <w:t>3.</w:t>
      </w:r>
      <w:r>
        <w:tab/>
      </w:r>
      <w:r>
        <w:rPr>
          <w:bCs/>
          <w:sz w:val="24"/>
        </w:rPr>
        <w:t>Για κάθε υπόδειγμα παρέχονται νομικά κείμενα αναφοράς, καθώς και περαιτέρω λεπτομερείς πληροφορίες σχετικά με γενικότερα ζητήματα που αφορούν την υποβολή αναφορών.</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2461746"/>
      <w:bookmarkEnd w:id="17"/>
      <w:r>
        <w:rPr>
          <w:rFonts w:ascii="Times New Roman" w:hAnsi="Times New Roman"/>
          <w:b/>
          <w:sz w:val="24"/>
          <w:szCs w:val="24"/>
        </w:rPr>
        <w:t>1.2.</w:t>
      </w:r>
      <w:r>
        <w:tab/>
      </w:r>
      <w:r>
        <w:rPr>
          <w:rFonts w:ascii="Times New Roman" w:hAnsi="Times New Roman"/>
          <w:b/>
          <w:sz w:val="24"/>
          <w:szCs w:val="24"/>
        </w:rPr>
        <w:t>Κανόνες αρίθμησης</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4.</w:t>
      </w:r>
      <w:r>
        <w:tab/>
      </w:r>
      <w:r>
        <w:rPr>
          <w:bCs/>
          <w:sz w:val="24"/>
        </w:rPr>
        <w:t>Το έγγραφο θα ακολουθεί τους κανόνες σήμανσης που ορίζονται στις ακόλουθες παραγράφους, όταν γίνεται παραπομπή στις στήλες, τις γραμμές και τα κελιά των υποδειγμάτων. Οι συγκεκριμένοι αριθμητικοί κωδικοί χρησιμοποιούνται εκτεταμένα στους κανόνες επικύρωσης.</w:t>
      </w:r>
    </w:p>
    <w:p w14:paraId="68B33760" w14:textId="28CEF178" w:rsidR="00F4754B" w:rsidRPr="000B66BC" w:rsidRDefault="00500508" w:rsidP="009339D1">
      <w:pPr>
        <w:pStyle w:val="InstructionsText2"/>
        <w:numPr>
          <w:ilvl w:val="0"/>
          <w:numId w:val="0"/>
        </w:numPr>
        <w:ind w:left="720" w:hanging="360"/>
        <w:rPr>
          <w:rFonts w:eastAsia="Times New Roman"/>
          <w:bCs/>
          <w:sz w:val="24"/>
        </w:rPr>
      </w:pPr>
      <w:r>
        <w:rPr>
          <w:bCs/>
          <w:sz w:val="24"/>
        </w:rPr>
        <w:t>5.</w:t>
      </w:r>
      <w:r>
        <w:tab/>
      </w:r>
      <w:r>
        <w:rPr>
          <w:bCs/>
          <w:sz w:val="24"/>
        </w:rPr>
        <w:t>Στις οδηγίες χρησιμοποιείται το ακόλουθο γενικό σύμβολο: {Υπόδειγμα,</w:t>
      </w:r>
      <w:r w:rsidR="00B726E8" w:rsidRPr="00B726E8">
        <w:rPr>
          <w:bCs/>
          <w:sz w:val="24"/>
        </w:rPr>
        <w:t xml:space="preserve"> </w:t>
      </w:r>
      <w:r>
        <w:rPr>
          <w:bCs/>
          <w:sz w:val="24"/>
        </w:rPr>
        <w:t>Γραμμή,</w:t>
      </w:r>
      <w:r w:rsidR="00B726E8" w:rsidRPr="00B726E8">
        <w:rPr>
          <w:bCs/>
          <w:sz w:val="24"/>
        </w:rPr>
        <w:t xml:space="preserve"> </w:t>
      </w:r>
      <w:r>
        <w:rPr>
          <w:bCs/>
          <w:sz w:val="24"/>
        </w:rPr>
        <w:t>Στήλη}. Ο αστερίσκος χρησιμοποιείται για παραπομπή σε ολόκληρη γραμμή ή στήλη.</w:t>
      </w:r>
    </w:p>
    <w:p w14:paraId="3E605DEE" w14:textId="5F8E6136" w:rsidR="00F4754B" w:rsidRPr="000B66BC" w:rsidRDefault="00500508" w:rsidP="009339D1">
      <w:pPr>
        <w:pStyle w:val="InstructionsText2"/>
        <w:numPr>
          <w:ilvl w:val="0"/>
          <w:numId w:val="0"/>
        </w:numPr>
        <w:ind w:left="720" w:hanging="360"/>
        <w:rPr>
          <w:rFonts w:eastAsia="Times New Roman"/>
          <w:bCs/>
          <w:sz w:val="24"/>
        </w:rPr>
      </w:pPr>
      <w:r>
        <w:rPr>
          <w:bCs/>
          <w:sz w:val="24"/>
        </w:rPr>
        <w:t>6.</w:t>
      </w:r>
      <w:r>
        <w:tab/>
      </w:r>
      <w:r>
        <w:rPr>
          <w:bCs/>
          <w:sz w:val="24"/>
        </w:rPr>
        <w:t>Στην περίπτωση επικυρώσεων εντός ενός υποδείγματος, στο οποίο χρησιμοποιούνται μόνο τα σημεία δεδομένων του συγκεκριμένου υποδείγματος, τα σύμβολα δεν θα αναφέρονται σε υπόδειγμα: {Γραμμή,</w:t>
      </w:r>
      <w:r w:rsidR="00B726E8" w:rsidRPr="00B726E8">
        <w:rPr>
          <w:bCs/>
          <w:sz w:val="24"/>
        </w:rPr>
        <w:t xml:space="preserve"> </w:t>
      </w:r>
      <w:r>
        <w:rPr>
          <w:bCs/>
          <w:sz w:val="24"/>
        </w:rPr>
        <w:t>Στήλη}.</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7.</w:t>
      </w:r>
      <w:r>
        <w:tab/>
      </w:r>
      <w:r>
        <w:rPr>
          <w:bCs/>
          <w:sz w:val="24"/>
        </w:rPr>
        <w:t xml:space="preserve">Για τον σκοπό της υποβολής αναφορών σχετικά με τη μόχλευση, η φράση «εκ των οποίων» αναφέρεται σε ένα στοιχείο που είναι υποσύνολο μιας ανώτερης κατηγορίας ανοίγματος, ενώ η φράση «υπομνηματικό στοιχείο» αναφέρεται σε χωριστό στοιχείο το οποίο δεν είναι υποσύνολο μιας κατηγορίας ανοίγματος. Είναι υποχρεωτική η υποβολή αναφορών και για τα δύο είδη κελιών, εκτός εάν ορίζεται διαφορετικά.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2461747"/>
      <w:r>
        <w:rPr>
          <w:rFonts w:ascii="Times New Roman" w:hAnsi="Times New Roman"/>
          <w:b/>
          <w:sz w:val="24"/>
          <w:szCs w:val="24"/>
        </w:rPr>
        <w:lastRenderedPageBreak/>
        <w:t>1.3.</w:t>
      </w:r>
      <w:r>
        <w:tab/>
      </w:r>
      <w:r>
        <w:rPr>
          <w:rFonts w:ascii="Times New Roman" w:hAnsi="Times New Roman"/>
          <w:b/>
          <w:sz w:val="24"/>
          <w:szCs w:val="24"/>
        </w:rPr>
        <w:t>Συντομογραφίες</w:t>
      </w:r>
      <w:bookmarkEnd w:id="23"/>
      <w:bookmarkEnd w:id="24"/>
    </w:p>
    <w:p w14:paraId="72197A49" w14:textId="77777777"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bCs/>
          <w:sz w:val="24"/>
        </w:rPr>
        <w:t>8.</w:t>
      </w:r>
      <w:r>
        <w:tab/>
      </w:r>
      <w:r>
        <w:rPr>
          <w:bCs/>
          <w:sz w:val="24"/>
        </w:rPr>
        <w:t>Για τους σκοπούς του παρόντος παραρτήματος και των σχετικών υποδειγμάτων, χρησιμοποιούνται οι ακόλουθες συντομογραφίες:</w:t>
      </w:r>
    </w:p>
    <w:p w14:paraId="567537B5" w14:textId="77777777" w:rsidR="00627E07" w:rsidRPr="000B66BC" w:rsidRDefault="00500508" w:rsidP="009339D1">
      <w:pPr>
        <w:pStyle w:val="InstructionsText2"/>
        <w:numPr>
          <w:ilvl w:val="0"/>
          <w:numId w:val="0"/>
        </w:numPr>
        <w:ind w:left="1440" w:hanging="360"/>
        <w:rPr>
          <w:rFonts w:eastAsia="Times New Roman"/>
          <w:bCs/>
          <w:sz w:val="24"/>
        </w:rPr>
      </w:pPr>
      <w:r>
        <w:rPr>
          <w:bCs/>
          <w:sz w:val="24"/>
        </w:rPr>
        <w:t>α.</w:t>
      </w:r>
      <w:r>
        <w:tab/>
      </w:r>
      <w:r>
        <w:rPr>
          <w:bCs/>
          <w:sz w:val="24"/>
        </w:rPr>
        <w:t>ΚΚΑ, που πρόκειται για συντομογραφία του κανονισμού για τις κεφαλαιακές απαιτήσεις και παραπέμπει στον κανονισμό (ΕΕ) αριθ. 575/2013·</w:t>
      </w:r>
    </w:p>
    <w:p w14:paraId="69E6F7E3"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β.</w:t>
      </w:r>
      <w:r>
        <w:tab/>
      </w:r>
      <w:r>
        <w:rPr>
          <w:bCs/>
          <w:sz w:val="24"/>
        </w:rPr>
        <w:t>ΟΚΑ, που πρόκειται για συντομογραφία της οδηγίας για τις κεφαλαιακές απαιτήσεις και παραπέμπει στην οδηγία 2013/36/ΕΕ·</w:t>
      </w:r>
    </w:p>
    <w:p w14:paraId="5CC0B733" w14:textId="3EE7532F" w:rsidR="00627E07" w:rsidRPr="000B66BC" w:rsidRDefault="007E2989" w:rsidP="009339D1">
      <w:pPr>
        <w:pStyle w:val="InstructionsText2"/>
        <w:numPr>
          <w:ilvl w:val="0"/>
          <w:numId w:val="0"/>
        </w:numPr>
        <w:ind w:left="1440" w:hanging="360"/>
        <w:rPr>
          <w:rFonts w:eastAsia="Times New Roman"/>
          <w:bCs/>
          <w:sz w:val="24"/>
        </w:rPr>
      </w:pPr>
      <w:r>
        <w:rPr>
          <w:bCs/>
          <w:sz w:val="24"/>
        </w:rPr>
        <w:t>γ.</w:t>
      </w:r>
      <w:r>
        <w:tab/>
      </w:r>
      <w:r>
        <w:rPr>
          <w:bCs/>
          <w:sz w:val="24"/>
        </w:rPr>
        <w:t>ΣΧΤ, που πρόκειται για συντομογραφία του όρου «συναλλαγή χρηματοδότησης τίτλων» και σημαίνει «συναλλαγή επαναγοράς, συναλλαγή δανειοδοσίας ή δανειοληψίας τίτλων ή εμπορευμάτων ή πράξη δανεισμού σε λογαριασμό περιθωρίου ασφάλισης», όπως αναφέρεται στο άρθρο 4 παράγραφος 1 σημείο 139 του κανονισμού (ΕΕ) αριθ.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bCs/>
          <w:sz w:val="24"/>
        </w:rPr>
        <w:t>δ.</w:t>
      </w:r>
      <w:r>
        <w:tab/>
      </w:r>
      <w:r>
        <w:rPr>
          <w:bCs/>
          <w:sz w:val="24"/>
        </w:rPr>
        <w:t>CRM, που πρόκειται για συντομογραφία του όρου «Credit Risk Mitigation» (μετριασμός του πιστωτικού κινδύνου).</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bCs/>
          <w:sz w:val="24"/>
        </w:rPr>
        <w:t>ε.</w:t>
      </w:r>
      <w:r>
        <w:tab/>
      </w:r>
      <w:r>
        <w:rPr>
          <w:bCs/>
          <w:sz w:val="24"/>
        </w:rPr>
        <w:t>ΚΑΤ, που πρόκειται για συντομογραφία του όρου «κεντρικό αποθετήριο τίτλων»·</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στ. </w:t>
      </w:r>
      <w:r>
        <w:tab/>
      </w:r>
      <w:r>
        <w:rPr>
          <w:bCs/>
          <w:sz w:val="24"/>
        </w:rPr>
        <w:t>QCCP, που πρόκειται για συντομογραφία του όρου «Qualifying Central Counterparty» (αναγνωρισμένος κεντρικός αντισυμβαλλόμενος)·</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ζ.</w:t>
      </w:r>
      <w:r>
        <w:tab/>
      </w:r>
      <w:r>
        <w:rPr>
          <w:bCs/>
          <w:sz w:val="24"/>
        </w:rPr>
        <w:t>PFE, που πρόκειται για συντομογραφία του όρου «Potential Future Exposure» (ενδεχόμενο μελλοντικό άνοιγμα).</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52461748"/>
      <w:r>
        <w:rPr>
          <w:rFonts w:ascii="Times New Roman" w:hAnsi="Times New Roman"/>
          <w:b/>
          <w:sz w:val="24"/>
          <w:szCs w:val="24"/>
        </w:rPr>
        <w:t>1.4.</w:t>
      </w:r>
      <w:r>
        <w:tab/>
      </w:r>
      <w:r>
        <w:rPr>
          <w:rFonts w:ascii="Times New Roman" w:hAnsi="Times New Roman"/>
          <w:b/>
          <w:sz w:val="24"/>
          <w:szCs w:val="24"/>
        </w:rPr>
        <w:t>Κανόνες χρήσης προσήμου</w:t>
      </w:r>
      <w:bookmarkEnd w:id="15"/>
      <w:bookmarkEnd w:id="16"/>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bCs/>
          <w:sz w:val="24"/>
        </w:rPr>
        <w:t>9.</w:t>
      </w:r>
      <w:r>
        <w:tab/>
      </w:r>
      <w:r>
        <w:rPr>
          <w:bCs/>
          <w:sz w:val="24"/>
        </w:rPr>
        <w:t>Όλα τα ποσά αναφέρονται ως θετικά στοιχεία.</w:t>
      </w:r>
      <w:bookmarkStart w:id="32" w:name="_Toc264033192"/>
      <w:bookmarkEnd w:id="32"/>
      <w:r>
        <w:rPr>
          <w:bCs/>
          <w:sz w:val="24"/>
        </w:rPr>
        <w:t xml:space="preserve"> Με εξαίρεση:</w:t>
      </w:r>
    </w:p>
    <w:p w14:paraId="7B6D27CF" w14:textId="222C2E2D" w:rsidR="0058289F" w:rsidRPr="000B66BC" w:rsidRDefault="00A5392D" w:rsidP="009339D1">
      <w:pPr>
        <w:pStyle w:val="InstructionsText2"/>
        <w:numPr>
          <w:ilvl w:val="0"/>
          <w:numId w:val="25"/>
        </w:numPr>
        <w:rPr>
          <w:rFonts w:eastAsia="Times New Roman"/>
          <w:bCs/>
          <w:sz w:val="24"/>
        </w:rPr>
      </w:pPr>
      <w:r>
        <w:rPr>
          <w:bCs/>
          <w:sz w:val="24"/>
        </w:rPr>
        <w:t>τα στοιχεία στα οποία υπάρχει αρνητικό πρόσημο (–) πριν από τον τίτλο τους, όταν δεν αναμένεται να αναφερθεί θετική τιμή για τα στοιχεία αυτά·</w:t>
      </w:r>
    </w:p>
    <w:p w14:paraId="259D3174" w14:textId="186210E9" w:rsidR="00E40D66" w:rsidRPr="000B66BC" w:rsidRDefault="00E40D66" w:rsidP="009339D1">
      <w:pPr>
        <w:pStyle w:val="InstructionsText2"/>
        <w:numPr>
          <w:ilvl w:val="0"/>
          <w:numId w:val="25"/>
        </w:numPr>
        <w:rPr>
          <w:rFonts w:eastAsia="Times New Roman"/>
          <w:bCs/>
          <w:sz w:val="24"/>
        </w:rPr>
      </w:pPr>
      <w:r>
        <w:rPr>
          <w:bCs/>
          <w:sz w:val="24"/>
        </w:rPr>
        <w:t>τα στοιχεία {LRCalc,0310,0010}, {LRCalc,0320,0010}, {LRCalc,0330,0010}, {LRCalc,0340,0010}, τα οποία θα μπορούσαν να λάβουν αρνητικές τιμές μόνο σε ακραίες περιπτώσεις, διαφορετικά λαμβάνουν θετικές τιμές.</w:t>
      </w:r>
    </w:p>
    <w:p w14:paraId="1A7EEF5B" w14:textId="10579662" w:rsidR="0060741B" w:rsidRPr="000B66BC" w:rsidRDefault="0060741B" w:rsidP="009339D1">
      <w:pPr>
        <w:pStyle w:val="InstructionsText2"/>
        <w:numPr>
          <w:ilvl w:val="0"/>
          <w:numId w:val="25"/>
        </w:numPr>
        <w:rPr>
          <w:rFonts w:eastAsia="Times New Roman"/>
          <w:bCs/>
          <w:sz w:val="24"/>
        </w:rPr>
      </w:pPr>
      <w:r>
        <w:rPr>
          <w:bCs/>
          <w:sz w:val="24"/>
        </w:rPr>
        <w:t>το στοιχείο {LRCalc,0280,0010}, το οποίο μπορεί να λάβει θετικές τιμές βάσει του άρθρου 473α παράγραφος 7 του ΚΚΑ, διαφορετικά λαμβάνει αρνητικές τιμές.</w:t>
      </w:r>
    </w:p>
    <w:p w14:paraId="12B14317" w14:textId="77777777" w:rsidR="001F28C3" w:rsidRPr="000B66BC" w:rsidRDefault="00360A3D" w:rsidP="009339D1">
      <w:pPr>
        <w:pStyle w:val="InstructionsText2"/>
        <w:numPr>
          <w:ilvl w:val="0"/>
          <w:numId w:val="0"/>
        </w:numPr>
        <w:ind w:left="720"/>
        <w:rPr>
          <w:rFonts w:eastAsia="Times New Roman"/>
          <w:bCs/>
          <w:sz w:val="24"/>
        </w:rPr>
      </w:pPr>
      <w:r>
        <w:rPr>
          <w:bCs/>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2461749"/>
      <w:r>
        <w:rPr>
          <w:rFonts w:ascii="Times New Roman" w:hAnsi="Times New Roman"/>
          <w:b/>
          <w:sz w:val="24"/>
          <w:szCs w:val="24"/>
        </w:rPr>
        <w:lastRenderedPageBreak/>
        <w:t>ΜΕΡΟΣ II: ΟΔΗΓΙΕΣ ΣΧΕΤΙΚΑ ΜΕ ΤΑ ΥΠΟΔΕΙΓΜΑΤΑ</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52461750"/>
      <w:bookmarkStart w:id="40" w:name="_Toc322533849"/>
      <w:r>
        <w:rPr>
          <w:rFonts w:ascii="Times New Roman" w:hAnsi="Times New Roman"/>
          <w:b/>
          <w:sz w:val="24"/>
          <w:szCs w:val="24"/>
        </w:rPr>
        <w:t>1.</w:t>
      </w:r>
      <w:r>
        <w:tab/>
      </w:r>
      <w:r>
        <w:rPr>
          <w:rFonts w:ascii="Times New Roman" w:hAnsi="Times New Roman"/>
          <w:b/>
          <w:sz w:val="24"/>
          <w:szCs w:val="24"/>
        </w:rPr>
        <w:t>Μαθηματικοί τύποι για τον υπολογισμό του δείκτη μόχλευσης</w:t>
      </w:r>
      <w:bookmarkEnd w:id="37"/>
      <w:bookmarkEnd w:id="38"/>
      <w:bookmarkEnd w:id="39"/>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Ο δείκτης μόχλευσης βασίζεται σε ένα μέτρο κεφαλαίου και σε ένα μέτρο συνολικού ανοίγματος, που μπορούν να υπολογιστούν βάσει των κελιών από το LRCalc.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w:t>
      </w:r>
      <w:r>
        <w:tab/>
      </w:r>
      <w:r>
        <w:rPr>
          <w:rFonts w:ascii="Times New Roman" w:hAnsi="Times New Roman"/>
          <w:sz w:val="24"/>
          <w:szCs w:val="24"/>
        </w:rPr>
        <w:t>Δείκτης μόχλευσης – με τη χρήση του ορισμού πλήρους εφαρμογής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w:t>
      </w:r>
      <w:r>
        <w:tab/>
      </w:r>
      <w:r>
        <w:rPr>
          <w:rFonts w:ascii="Times New Roman" w:hAnsi="Times New Roman"/>
          <w:sz w:val="24"/>
          <w:szCs w:val="24"/>
        </w:rPr>
        <w:t>Δείκτης μόχλευσης – με τη χρήση του μεταβατικού ορισμού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52461751"/>
      <w:bookmarkStart w:id="44" w:name="_Toc322533852"/>
      <w:bookmarkEnd w:id="40"/>
      <w:r>
        <w:rPr>
          <w:rFonts w:ascii="Times New Roman" w:hAnsi="Times New Roman"/>
          <w:b/>
          <w:sz w:val="24"/>
          <w:szCs w:val="24"/>
        </w:rPr>
        <w:t>2.</w:t>
      </w:r>
      <w:r>
        <w:tab/>
      </w:r>
      <w:r>
        <w:rPr>
          <w:rFonts w:ascii="Times New Roman" w:hAnsi="Times New Roman"/>
          <w:b/>
          <w:sz w:val="24"/>
          <w:szCs w:val="24"/>
        </w:rPr>
        <w:t>Κατώτατα επίπεδα σημαντικότητας για παράγωγα</w:t>
      </w:r>
      <w:bookmarkEnd w:id="41"/>
      <w:bookmarkEnd w:id="42"/>
      <w:bookmarkEnd w:id="43"/>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4.</w:t>
      </w:r>
      <w:r>
        <w:tab/>
      </w:r>
      <w:r>
        <w:rPr>
          <w:rFonts w:ascii="Times New Roman" w:hAnsi="Times New Roman"/>
          <w:sz w:val="24"/>
          <w:szCs w:val="24"/>
        </w:rPr>
        <w:t>Προκειμένου να μειωθεί ο φόρτος εργασίας τον οποίο συνεπάγεται η υποβολή αναφορών από ιδρύματα με περιορισμένα ανοίγματα σε παράγωγα, χρησιμοποιούνται τα ακόλουθα μέτρα για να εκτιμηθεί η σχετική σημασία των ανοιγμάτων σε παράγωγα στο συνολικό άνοιγμα του δείκτη μόχλευσης. Τα ιδρύματα υπολογίζουν τα εν λόγω μέτρα ως εξής</w:t>
      </w:r>
      <w:bookmarkStart w:id="45" w:name="_Toc322533853"/>
      <w:bookmarkEnd w:id="44"/>
      <w:r>
        <w:rPr>
          <w:rFonts w:ascii="Times New Roman" w:hAnsi="Times New Roman"/>
          <w:sz w:val="24"/>
          <w:szCs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szCs w:val="24"/>
        </w:rPr>
        <w:t>5.</w:t>
      </w:r>
      <w:r>
        <w:tab/>
      </w:r>
      <w:r>
        <w:rPr>
          <w:rFonts w:ascii="Times New Roman" w:hAnsi="Times New Roman"/>
          <w:sz w:val="24"/>
          <w:szCs w:val="24"/>
        </w:rPr>
        <w:t xml:space="preserve">Μερίδιο παραγώγων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6.</w:t>
      </w:r>
      <w:r>
        <w:tab/>
      </w:r>
      <w:r>
        <w:rPr>
          <w:rFonts w:ascii="Times New Roman" w:hAnsi="Times New Roman"/>
          <w:sz w:val="24"/>
          <w:szCs w:val="24"/>
        </w:rPr>
        <w:t>Όπου το μέτρο του ανοίγματος σε παράγωγα ισούται με: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7.</w:t>
      </w:r>
      <w:r>
        <w:tab/>
      </w:r>
      <w:r>
        <w:rPr>
          <w:rFonts w:ascii="Times New Roman" w:hAnsi="Times New Roman"/>
          <w:sz w:val="24"/>
          <w:szCs w:val="24"/>
        </w:rPr>
        <w:t>Όταν το μέτρο του συνολικού ανοίγματος ισούται με: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8.</w:t>
      </w:r>
      <w:r>
        <w:tab/>
      </w:r>
      <w:r>
        <w:rPr>
          <w:rFonts w:ascii="Times New Roman" w:hAnsi="Times New Roman"/>
          <w:sz w:val="24"/>
          <w:szCs w:val="24"/>
        </w:rPr>
        <w:t>Συνολικό ονομαστικό ποσό στο οποίο αναφέρονται τα παράγωγα = {LR1,0010,0070}. Αυτό το κελί αναφέρεται πάντα από τα ιδρύματα.</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9.</w:t>
      </w:r>
      <w:r>
        <w:tab/>
      </w:r>
      <w:r>
        <w:rPr>
          <w:rFonts w:ascii="Times New Roman" w:hAnsi="Times New Roman"/>
          <w:sz w:val="24"/>
          <w:szCs w:val="24"/>
        </w:rPr>
        <w:t>Όγκος πιστωτικών παραγώγων = {LR1,0020,0070} + {LR1,0050,0070}. Αυτά τα κελιά αναφέρονται πάντα από τα ιδρύματα.</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10.</w:t>
      </w:r>
      <w:r>
        <w:tab/>
      </w:r>
      <w:r>
        <w:rPr>
          <w:rFonts w:ascii="Times New Roman" w:hAnsi="Times New Roman"/>
          <w:sz w:val="24"/>
          <w:szCs w:val="24"/>
        </w:rPr>
        <w:t>Τα ιδρύματα υποχρεούνται να αναφέρουν τα κελιά που αναφέρονται στην παράγραφο 13, εφόσον πληρούται οποιαδήποτε από τις ακόλουθες προϋποθέσεις:</w:t>
      </w:r>
    </w:p>
    <w:p w14:paraId="2564CD75" w14:textId="1B9B37E1" w:rsidR="00F4754B" w:rsidRPr="000B66BC" w:rsidRDefault="007A001B" w:rsidP="009339D1">
      <w:pPr>
        <w:pStyle w:val="InstructionsText2"/>
        <w:numPr>
          <w:ilvl w:val="0"/>
          <w:numId w:val="39"/>
        </w:numPr>
        <w:rPr>
          <w:rFonts w:eastAsia="Times New Roman"/>
          <w:bCs/>
          <w:sz w:val="24"/>
        </w:rPr>
      </w:pPr>
      <w:r>
        <w:rPr>
          <w:bCs/>
          <w:sz w:val="24"/>
        </w:rPr>
        <w:t>το μερίδιο παραγώγων που αναφέρεται στην παράγραφο 5 είναι μεγαλύτερο από 1,5 %.</w:t>
      </w:r>
    </w:p>
    <w:p w14:paraId="272AC9A9" w14:textId="6954E060" w:rsidR="00675587" w:rsidRPr="000B66BC" w:rsidRDefault="007A001B" w:rsidP="009339D1">
      <w:pPr>
        <w:pStyle w:val="InstructionsText2"/>
        <w:numPr>
          <w:ilvl w:val="0"/>
          <w:numId w:val="39"/>
        </w:numPr>
        <w:rPr>
          <w:rFonts w:eastAsia="Times New Roman"/>
          <w:bCs/>
          <w:sz w:val="24"/>
        </w:rPr>
      </w:pPr>
      <w:r>
        <w:rPr>
          <w:bCs/>
          <w:sz w:val="24"/>
        </w:rPr>
        <w:t>το μερίδιο παραγώγων που αναφέρεται στην παράγραφο 5 υπερβαίνει το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bCs/>
          <w:sz w:val="24"/>
        </w:rPr>
        <w:t>Εφαρμόζονται τα κριτήρια ένταξης και απένταξης του άρθρου 4 του παρόντος κανονισμού, με εξαίρεση το στοιχείο β), οπότε τα ιδρύματα αρχίζουν να παρέχουν πληροφορίες από την επόμενη ημερομηνία αναφοράς για την υποβολή αναφορών, εφόσον έχουν υπερβεί το όριο για μία ημερομηνία αναφοράς.</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11.</w:t>
      </w:r>
      <w:r>
        <w:tab/>
      </w:r>
      <w:r>
        <w:rPr>
          <w:rFonts w:ascii="Times New Roman" w:hAnsi="Times New Roman"/>
          <w:sz w:val="24"/>
          <w:szCs w:val="24"/>
        </w:rPr>
        <w:t>Ιδρύματα για τα οποία το συνολικό ονομαστικό ποσό στο οποίο αναφέρονται τα παράγωγα, όπως ορίζεται στην παράγραφο 8, υπερβαίνει τα 10 δισ. EUR οφείλουν να υποβάλλουν στοιχεία για τα κελιά που αναφέρονται στην παράγραφο 13, παρότι το μερίδιο παραγώγων τους δεν πληροί τις προϋποθέσεις που περιγράφονται στην παράγραφο 10.</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szCs w:val="24"/>
        </w:rPr>
        <w:t>Τα κριτήρια ένταξης του άρθρου 4</w:t>
      </w:r>
      <w:r>
        <w:rPr>
          <w:sz w:val="24"/>
          <w:szCs w:val="24"/>
        </w:rPr>
        <w:t xml:space="preserve"> </w:t>
      </w:r>
      <w:r>
        <w:rPr>
          <w:rFonts w:ascii="Times New Roman" w:hAnsi="Times New Roman"/>
          <w:sz w:val="24"/>
          <w:szCs w:val="24"/>
        </w:rPr>
        <w:t>του παρόντος κανονισμού δεν εφαρμόζονται για την παράγραφο 4. Τα ιδρύματα αρχίζουν να παρέχουν πληροφορίες από την επόμενη ημερομηνία αναφοράς για την υποβολή αναφορών, εφόσον έχουν υπερβεί το όριο για μία ημερομηνία αναφοράς.</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12.</w:t>
      </w:r>
      <w:r>
        <w:tab/>
      </w:r>
      <w:r>
        <w:rPr>
          <w:rFonts w:ascii="Times New Roman" w:hAnsi="Times New Roman"/>
          <w:sz w:val="24"/>
          <w:szCs w:val="24"/>
        </w:rPr>
        <w:t>Τα ιδρύματα υποχρεούνται να αναφέρουν τα κελιά που αναφέρονται στην παράγραφο 14, εφόσον πληρούται οποιαδήποτε από τις ακόλουθες προϋποθέσεις:</w:t>
      </w:r>
    </w:p>
    <w:p w14:paraId="3F12E5B0" w14:textId="61844629" w:rsidR="00F4754B" w:rsidRPr="000B66BC" w:rsidRDefault="007A001B" w:rsidP="009339D1">
      <w:pPr>
        <w:pStyle w:val="InstructionsText2"/>
        <w:numPr>
          <w:ilvl w:val="0"/>
          <w:numId w:val="40"/>
        </w:numPr>
        <w:rPr>
          <w:rFonts w:eastAsia="Times New Roman"/>
          <w:bCs/>
          <w:sz w:val="24"/>
        </w:rPr>
      </w:pPr>
      <w:r>
        <w:rPr>
          <w:bCs/>
          <w:sz w:val="24"/>
        </w:rPr>
        <w:t>ο όγκος των πιστωτικών παραγώγων που αναφέρεται στην παράγραφο 9 υπερβαίνει τα 300 εκατ. EUR·</w:t>
      </w:r>
    </w:p>
    <w:p w14:paraId="53026947" w14:textId="5B38C368" w:rsidR="00675587" w:rsidRPr="000B66BC" w:rsidRDefault="007A001B" w:rsidP="009339D1">
      <w:pPr>
        <w:pStyle w:val="InstructionsText2"/>
        <w:numPr>
          <w:ilvl w:val="0"/>
          <w:numId w:val="40"/>
        </w:numPr>
        <w:rPr>
          <w:rFonts w:eastAsia="Times New Roman"/>
          <w:bCs/>
          <w:sz w:val="24"/>
        </w:rPr>
      </w:pPr>
      <w:r>
        <w:rPr>
          <w:bCs/>
          <w:sz w:val="24"/>
        </w:rPr>
        <w:t>ο όγκος των πιστωτικών παραγώγων που αναφέρεται στην παράγραφο 9 υπερβαίνει τα 500 εκατ. EUR.</w:t>
      </w:r>
    </w:p>
    <w:p w14:paraId="3B88084F" w14:textId="34241752" w:rsidR="00F4754B" w:rsidRPr="000B66BC" w:rsidRDefault="00242493" w:rsidP="000B66BC">
      <w:pPr>
        <w:pStyle w:val="InstructionsText2"/>
        <w:numPr>
          <w:ilvl w:val="0"/>
          <w:numId w:val="0"/>
        </w:numPr>
        <w:ind w:left="709" w:firstLine="11"/>
        <w:rPr>
          <w:sz w:val="24"/>
        </w:rPr>
      </w:pPr>
      <w:r>
        <w:rPr>
          <w:bCs/>
          <w:sz w:val="24"/>
        </w:rPr>
        <w:t>Εφαρμόζονται τα κριτήρια ένταξης και απένταξης του άρθρου 4 του παρόντος κανονισμού, με εξαίρεση το στοιχείο β), οπότε τα ιδρύματα αρχίζουν να παρέχουν πληροφορίες από την επόμενη ημερομηνία αναφοράς για την υποβολή αναφορών, εφόσον έχουν υπερβεί το όριο για μία ημερομηνία αναφοράς.</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13.</w:t>
      </w:r>
      <w:r>
        <w:tab/>
      </w:r>
      <w:r>
        <w:rPr>
          <w:rFonts w:ascii="Times New Roman" w:hAnsi="Times New Roman"/>
          <w:sz w:val="24"/>
          <w:szCs w:val="24"/>
        </w:rPr>
        <w:t>Τα κελιά που πρέπει να αναφέρονται από τα ιδρύματα σύμφωνα με τις παραγράφους 10 και 11 είναι τα ακόλουθα: {LR1,0010,0010}, {LR1,0010,0020}, {LR1,0020,0010}, {LR1,0020,0020}, {LR1,0030,0070}, {LR1,0040,0070}, {LR1,0050,0010}, {LR1,0050,0020}, {LR1,0060,0010}, {LR1,0060,0020}, και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14.</w:t>
      </w:r>
      <w:r>
        <w:tab/>
      </w:r>
      <w:r>
        <w:rPr>
          <w:rFonts w:ascii="Times New Roman" w:hAnsi="Times New Roman"/>
          <w:sz w:val="24"/>
          <w:szCs w:val="24"/>
        </w:rPr>
        <w:t>Τα κελιά που πρέπει να αναφέρονται από τα ιδρύματα σύμφωνα με την παράγραφο 12 είναι τα ακόλουθα: {LR1,0020,0075}, {LR1,0050,0075} και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9414285"/>
      <w:bookmarkStart w:id="48" w:name="_Toc423089070"/>
      <w:bookmarkStart w:id="49" w:name="_Toc52461752"/>
      <w:bookmarkStart w:id="50" w:name="_Toc322687879"/>
      <w:bookmarkStart w:id="51" w:name="_Toc315961853"/>
      <w:bookmarkEnd w:id="46"/>
      <w:r>
        <w:rPr>
          <w:rFonts w:ascii="Times New Roman" w:hAnsi="Times New Roman"/>
          <w:b/>
          <w:sz w:val="24"/>
          <w:szCs w:val="24"/>
        </w:rPr>
        <w:t>3.</w:t>
      </w:r>
      <w:r>
        <w:tab/>
      </w:r>
      <w:bookmarkStart w:id="52" w:name="_Toc351048506"/>
      <w:r>
        <w:rPr>
          <w:rFonts w:ascii="Times New Roman" w:hAnsi="Times New Roman"/>
          <w:b/>
          <w:sz w:val="24"/>
          <w:szCs w:val="24"/>
        </w:rPr>
        <w:t>C 47.00 – Υπολογισμός του δείκτη μόχλευσης</w:t>
      </w:r>
      <w:bookmarkEnd w:id="52"/>
      <w:bookmarkEnd w:id="47"/>
      <w:r>
        <w:rPr>
          <w:rFonts w:ascii="Times New Roman" w:hAnsi="Times New Roman"/>
          <w:b/>
          <w:sz w:val="24"/>
          <w:szCs w:val="24"/>
        </w:rPr>
        <w:t xml:space="preserve"> (LRCalc)</w:t>
      </w:r>
      <w:bookmarkEnd w:id="48"/>
      <w:bookmarkEnd w:id="49"/>
    </w:p>
    <w:p w14:paraId="5579B71F" w14:textId="0BB469A9"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15.</w:t>
      </w:r>
      <w:r>
        <w:tab/>
      </w:r>
      <w:r>
        <w:rPr>
          <w:rFonts w:ascii="Times New Roman" w:hAnsi="Times New Roman"/>
          <w:sz w:val="24"/>
          <w:szCs w:val="24"/>
        </w:rPr>
        <w:t xml:space="preserve">Σε αυτό το υπόδειγμα συγκεντρώνονται τα στοιχεία που απαιτούνται για τον υπολογισμό του δείκτη μόχλευσης, όπως ορίζεται στο έβδομο μέρος του ΚΚΑ.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16.</w:t>
      </w:r>
      <w:r>
        <w:tab/>
      </w:r>
      <w:r>
        <w:rPr>
          <w:rFonts w:ascii="Times New Roman" w:hAnsi="Times New Roman"/>
          <w:sz w:val="24"/>
          <w:szCs w:val="24"/>
        </w:rPr>
        <w:t>Τα ιδρύματα υποβάλλουν την αναφορά του δείκτη μόχλευσης σε τριμηνιαία βάση. Σε κάθε τρίμηνο, ως αξία «κατά την ημερομηνία αναφοράς για την υποβολή αναφορών» νοείται η αξία κατά την τελευταία ημερολογιακή ημέρα του τρίτου μήνα του αντίστοιχου τριμήνου.</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17.</w:t>
      </w:r>
      <w:r>
        <w:tab/>
      </w:r>
      <w:r>
        <w:rPr>
          <w:rFonts w:ascii="Times New Roman" w:hAnsi="Times New Roman"/>
          <w:sz w:val="24"/>
          <w:szCs w:val="24"/>
        </w:rPr>
        <w:t>Τα ιδρύματα αναφέρουν τα στοιχεία στην ενότητα Αξίες ανοίγματος με θετικό πρόσημο σύμφωνα με τους κανόνες χρήσης προσήμου του παρόντος παραρτήματος μέρος Ι παράγραφος 9 (εξαιρούνται τα στοιχεία {LRCalc,0270,0010} και {LRCalc,0280,0010}), ως εάν να μην εφαρμόζονταν τα στοιχεία με αρνητικό πρόσημο (για παράδειγμα, εξαιρέσεις/αφαιρέσεις) σύμφωνα με τους κανόνες χρήσης προσήμου του παρόντος παραρτήματος μέρος Ι παράγραφος 9.</w:t>
      </w:r>
    </w:p>
    <w:p w14:paraId="725F2D82" w14:textId="2BEB62D8" w:rsidR="00720503" w:rsidRPr="000B66BC" w:rsidRDefault="006F588E" w:rsidP="009339D1">
      <w:pPr>
        <w:pStyle w:val="InstructionsText2"/>
        <w:numPr>
          <w:ilvl w:val="0"/>
          <w:numId w:val="0"/>
        </w:numPr>
        <w:ind w:left="720" w:hanging="360"/>
        <w:rPr>
          <w:sz w:val="24"/>
        </w:rPr>
      </w:pPr>
      <w:r>
        <w:rPr>
          <w:sz w:val="24"/>
        </w:rPr>
        <w:lastRenderedPageBreak/>
        <w:t>18.</w:t>
      </w:r>
      <w:r>
        <w:tab/>
      </w:r>
      <w:r>
        <w:rPr>
          <w:sz w:val="24"/>
        </w:rPr>
        <w:t>Οποιοδήποτε ποσό αυξάνει τα ίδια κεφάλαια ή το άνοιγμα του δείκτη μόχλευσης αναφέρεται ως θετικό. Αντιθέτως, οποιοδήποτε ποσό μειώνει τα συνολικά ίδια κεφάλαια ή το άνοιγμα του δείκτη μόχλευσης αναφέρεται ως αρνητικό. Όπου υπάρχει αρνητικό πρόσημο (-) πριν από τον τίτλο ενός στοιχείου, δεν αναμένεται να αναφερθεί θετική τιμή για το στοιχείο αυτό.</w:t>
      </w:r>
    </w:p>
    <w:p w14:paraId="69E62B50" w14:textId="029D4159" w:rsidR="00EC3422" w:rsidRPr="000B66BC" w:rsidRDefault="006A4991" w:rsidP="009339D1">
      <w:pPr>
        <w:pStyle w:val="InstructionsText2"/>
        <w:numPr>
          <w:ilvl w:val="0"/>
          <w:numId w:val="0"/>
        </w:numPr>
        <w:ind w:left="720" w:hanging="360"/>
        <w:rPr>
          <w:sz w:val="24"/>
        </w:rPr>
      </w:pPr>
      <w:r>
        <w:rPr>
          <w:sz w:val="24"/>
        </w:rPr>
        <w:t>19.  Όταν ένα ποσό πληροί τις προϋποθέσεις για αφαίρεση βάσει πολλαπλών αιτιολογιών, το ποσό μειώνεται από το άνοιγμα σε μία μόνο από τις γραμμές του υποδείγματος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szCs w:val="24"/>
              </w:rPr>
              <w:t>Νομικά κείμενα αναφοράς και οδηγίες</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szCs w:val="24"/>
              </w:rPr>
              <w:t>Γραμμή και στήλη</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bCs/>
                <w:sz w:val="24"/>
                <w:szCs w:val="24"/>
              </w:rPr>
              <w:t>Αξίες ανοίγματος</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590" w:type="dxa"/>
            <w:gridSpan w:val="3"/>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bCs/>
                <w:sz w:val="24"/>
                <w:szCs w:val="24"/>
              </w:rPr>
              <w:t xml:space="preserve">ΣΧΤ: Αξία ανοίγματος </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szCs w:val="24"/>
              </w:rPr>
              <w:t>Άρθρο 429β παράγραφος 1 στοιχείο β) και παράγραφοι 4 και 5 του ΚΚΑ</w:t>
            </w:r>
          </w:p>
          <w:p w14:paraId="4DADBAA1" w14:textId="2D8CC708"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Το άνοιγμα για τις ΣΧΤ υπολογιζόμενο σύμφωνα με το άρθρο 429β παράγραφος 1 στοιχείο β) και παράγραφοι 4 και 5 του ΚΚΑ. </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λαμβάνουν υπόψη σε αυτό το κελί συναλλαγές σύμφωνα με το άρθρο 429ε παράγραφος 7 στοιχείο γ) του ΚΚΑ.</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δεν συμπεριλαμβάνουν στο κελί αυτό τα εισπραχθέντα μετρητά ή οποιονδήποτε τίτλο που παρέχεται σε αντισυμβαλλόμενο μέσω των ανωτέρω συναλλαγών και διατηρείται στον ισολογισμό (δηλαδή δεν πληρούνται τα λογιστικά κριτήρια για μη αναγνώριση). Αντ’ αυτού, τα ιδρύματα περιλαμβάνουν τα στοιχεία αυτά στο {0190,0010}.</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Τα ιδρύματα δεν περιλαμβάνουν σε αυτό το κελί ΣΧΤ αντιπροσώπου, εάν το ίδρυμα παρέχει σε πελάτη ή αντισυμβαλλόμενο αποζημίωση ή εγγύηση η οποία περιορίζεται στο ύψος οποιασδήποτε διαφοράς μεταξύ της αξίας του τίτλου ή των χρηματικών διαθεσίμων που έχει δανειοδοτήσει ο πελάτης και της αξίας των εξασφαλίσεων που έχει παράσχει ο δανειολήπτης, σύμφωνα με το άρθρο 429ε παράγραφος 7 στοιχείο α) του ΚΚΑ.</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ΣΧΤ: Προσαύξηση για πιστωτικό κίνδυνο αντισυμβαλλομένου</w:t>
            </w:r>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429ε παράγραφος 1 του ΚΚΑ</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προσαύξηση για τον πιστωτικό κίνδυνο αντισυμβαλλομένου στις ΣΧΤ, συμπεριλαμβανομένων εκείνων που είναι εκτός ισολογισμού, προσδιορίζεται σύμφωνα με το άρθρο 429ε παράγραφος 2 ή 3 και παράγραφος 4 του ΚΚΑ, κατά περίπτωση.</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λαμβάνουν υπόψη σε αυτό το κελί συναλλαγές σύμφωνα με το άρθρο 429ε παράγραφος 7 στοιχείο γ) του ΚΚΑ.</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Τα ιδρύματα δεν περιλαμβάνουν σε αυτό το κελί ΣΧΤ αντιπροσώπου, εάν το ίδρυμα παρέχει σε πελάτη ή αντισυμβαλλόμενο αποζημίωση ή εγγύηση η οποία περιορίζεται στο ύψος οποιασδήποτε διαφοράς μεταξύ της αξίας του τίτλου ή των χρηματικών διαθεσίμων που έχει δανειοδοτήσει ο πελάτης και της αξίας των εξασφαλίσεων που έχει παράσχει ο δανειολήπτης, σύμφωνα με το άρθρο 429ε παράγραφος 7 στοιχείο α) του ΚΚΑ. Αντ’ αυτού, τα ιδρύματα περιλαμβάνουν τα στοιχεία αυτά στο {0040,0010}.</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Παρέκκλιση για ΣΧΤ: Προσαύξηση σύμφωνα με το άρθρο 429ε παράγραφος 5 και το άρθρο 222 του ΚΚΑ</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429ε παράγραφος 5 και άρθρο 222 του ΚΚΑ</w:t>
            </w:r>
          </w:p>
          <w:p w14:paraId="738B5B54" w14:textId="6EA11F0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Η αξία ανοίγματος για ΣΧΤ, συμπεριλαμβανομένων εκείνων που είναι εκτός ισολογισμού, υπολογίζεται σύμφωνα με το άρθρο 222 του ΚΚΑ, και υπόκειται σε κατώτατο όριο 20 % για τον εφαρμοστέο συντελεστή στάθμισης κινδύνου. </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λαμβάνουν υπόψη σε αυτό το κελί συναλλαγές σύμφωνα με το άρθρο 429ε παράγραφος 7 στοιχείο γ) του ΚΚΑ.</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δεν λαμβάνουν υπόψη σε αυτό το κελί συναλλαγές για τις οποίες το τμήμα προσαύξησης της τιμής του ανοίγματος του δείκτη μόχλευσης προσδιορίζεται σύμφωνα με τη μέθοδο που ορίζεται στο άρθρο 429ε παράγραφος 1 του ΚΚΑ.</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590" w:type="dxa"/>
            <w:gridSpan w:val="3"/>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Πιστωτικός κίνδυνος αντισυμβαλλομένου για ΣΧΤ αντιπροσώπου </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szCs w:val="24"/>
              </w:rPr>
              <w:t>Άρθρο 429ε παράγραφος 7 στοιχείο α) και παράγραφοι 2 και 3 του ΚΚΑ</w:t>
            </w:r>
          </w:p>
          <w:p w14:paraId="1619B100" w14:textId="644E7F3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αξία ανοίγματος για ΣΧΤ αντιπροσώπου, εάν το ίδρυμα παρέχει σε πελάτη ή αντισυμβαλλόμενο αποζημίωση ή εγγύηση η οποία περιορίζεται στο ύψος οποιασδήποτε διαφοράς μεταξύ της αξίας του τίτλου ή των χρηματικών διαθεσίμων που έχει δανειοδοτήσει ο πελάτης και της αξίας των εξασφαλίσεων που έχει παράσχει ο δανειολήπτης, σύμφωνα με το άρθρο 429ε παράγραφος 7 στοιχείο α) του ΚΚΑ, αποτελείται μόνον από την προσαύξηση που προσδιορίζεται σύμφωνα με το άρθρο 429ε παράγραφος 2 ή 3 του ΚΚΑ, κατά περίπτωση.</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δεν περιλαμβάνουν σε αυτό το κελί συναλλαγές σύμφωνα με το άρθρο 429ε παράγραφος 7 στοιχείο γ). Αντ’ αυτού, τα ιδρύματα περιλαμβάνουν τα στοιχεία αυτά στα {0010,0010} και {0020,0010} ή {0010,0010} και {0030,0010}, κατά περίπτωση.</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Απαλλασσόμενο σκέλος κεντρικού αντισυμβαλλομένου (CCP) των ανοιγμάτων διαπραγμάτευσης ΣΧΤ που εκκαθαρίζονται για πελάτη</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429α παράγραφος 1 στοιχείο ζ) και άρθρο 306 παράγραφος 1 στοιχείο γ) του ΚΚΑ</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Το απαλλασσόμενο σκέλος CCP εκκαθαριζόμενων για πελάτη ανοιγμάτων σε ΣΧΤ, εφόσον τα στοιχεία αυτά πληρούν τις προϋποθέσεις που προβλέπονται στο άρθρο 306 παράγραφος 1 στοιχείο γ) του ΚΚΑ.</w:t>
            </w:r>
          </w:p>
          <w:p w14:paraId="39011247" w14:textId="3070CCD7"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bCs/>
                <w:sz w:val="24"/>
                <w:szCs w:val="24"/>
              </w:rPr>
              <w:t>Όταν το απαλλασσόμενο σκέλος CCP είναι τίτλος, δεν αναφέρεται σε αυτό το κελί, εκτός εάν πρόκειται για ε</w:t>
            </w:r>
            <w:r w:rsidR="006A2192">
              <w:rPr>
                <w:rFonts w:ascii="Times New Roman" w:hAnsi="Times New Roman"/>
                <w:bCs/>
                <w:sz w:val="24"/>
                <w:szCs w:val="24"/>
              </w:rPr>
              <w:t>κ νέου ε</w:t>
            </w:r>
            <w:r>
              <w:rPr>
                <w:rFonts w:ascii="Times New Roman" w:hAnsi="Times New Roman"/>
                <w:bCs/>
                <w:sz w:val="24"/>
                <w:szCs w:val="24"/>
              </w:rPr>
              <w:t>νεχυριασθέντα τίτλο ο οποίος, βάσει του εφαρμοστέου λογιστικού πλαισίου (δηλαδή σύμφωνα με το άρθρο 111 παράγραφος 1 πρώτη περίοδος του ΚΚΑ), συμπεριλαμβάνεται στην πλήρη αξία.</w:t>
            </w:r>
          </w:p>
          <w:p w14:paraId="0885E19A" w14:textId="3638EB6E"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περιλαμβάνουν επίσης, ως εάν να μην ίσχυε καμία εξαίρεση, το ποσό που αναφέρεται σε αυτό το κελί στα {0010,0010}, {0020,0010} και {0030,0010}, και επιπλέον στο {0190,0010} εάν πρόκειται για εκ νέου ενεχυριασθέντα τίτλο ο οποίος, βάσει του εφαρμοστέου λογιστικού πλαισίου, συμπεριλαμβάνεται στην πλήρη αξία.</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bCs/>
                <w:sz w:val="24"/>
                <w:szCs w:val="24"/>
              </w:rPr>
              <w:t>Όταν το ίδρυμα έχει καταθέσει αρχικό περιθώριο για ένα απαλλασσόμενο σκέλος ΣΧΤ που αναφέρεται στο {0190,0010} και όχι στο {0020,0010} ή στο {0030,0010}, τότε το ίδρυμα μπορεί να το αναφέρει σε αυτό το κελί.</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Παράγωγα: συνεισφορά του κόστους αντικατάστασης με βάση την SA-CCR (χωρίς την επίπτωση των εξασφαλίσεων στο NICA) </w:t>
            </w:r>
          </w:p>
          <w:p w14:paraId="303004A2" w14:textId="27BF7508"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429γ παράγραφος 1 του ΚΚΑ</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κόστος αντικατάστασης σύμφωνα με το άρθρο 275 του ΚΚΑ χωρίς την επίπτωση των εξασφαλίσεων στο NICA και χωρίς την επίπτωση οποιουδήποτε περιθωρίου διαφοράς αποτίμησης. Τα ιδρύματα δεν εφαρμόζουν τις παρεκκλίσεις του άρθρου 429γ παράγραφοι 3 και 4 και του άρθρου 429α παράγραφος 1 στοιχείο ζ) του ΚΚΑ για τους σκοπούς του παρόντος κελιού. Το ποσό αναφέρεται με εφαρμογή του συντελεστή άλφα 1,4 όπως ορίζεται στο άρθρο 274 παράγραφος 2 του ΚΚΑ.</w:t>
            </w:r>
          </w:p>
          <w:p w14:paraId="69D03BFF" w14:textId="6D701FF0" w:rsidR="000864F6"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Όπως προσδιορίζεται στο άρθρο 429γ παράγραφος 1 του ΚΚΑ, τα ιδρύματα δύνανται να λαμβάνουν υπόψη τις επιπτώσεις των συμβάσεων ανανέωσης οφειλής και άλλων συμφωνιών συμψηφισμού σύμφωνα με το άρθρο 295 του ΚΚΑ. Δεν εφαρμόζεται συμψηφισμός μεταξύ προϊόντων. Ωστόσο, τα ιδρύματα δύνανται να συμψηφίζουν στην κατηγορία των προϊόντων που αναφέρονται στο άρθρο 272 σημείο 25) στοιχείο γ) του ΚΚΑ και τα πιστωτικά παράγωγα, όταν υπόκεινται σε συμφωνία συμβατικού συμψηφισμού μεταξύ προϊόντων που αναφέρεται στο άρθρο 295 στοιχείο γ) του ΚΚΑ.</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περιλαμβάνουν όλα τα πιστωτικά παράγωγα, και όχι μόνον αυτά που περιλαμβάνονται στο χαρτοφυλάκιο συναλλαγών.</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bCs/>
                <w:sz w:val="24"/>
                <w:szCs w:val="24"/>
              </w:rPr>
              <w:t>Τα ιδρύματα δεν λαμβάνουν υπόψη σε αυτό το κελί συμβάσεις που επιμετρώνται με εφαρμογή της απλουστευμένης τυποποιημένης προσέγγισης ή της μεθόδου αρχικού ανοίγματος.</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Επίπτωση της αναγνώρισης των εξασφαλίσεων στο NICA σχετικά με συναλλαγές που εκκαθαρίζονται για πελάτη από QCCP (SA-CCR – κόστος αντικατάστασης)</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429γ παράγραφος 4 του ΚΚΑ</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bCs/>
                <w:sz w:val="24"/>
                <w:szCs w:val="24"/>
              </w:rPr>
              <w:t>Εφαρμογή της παρέκκλισης του άρθρου 429γ παράγραφος 4 του ΚΚΑ σχετικά με τον υπολογισμό του κόστους αντικατάστασης για συμβάσεις παραγώγων με πελάτες, εφόσον οι εν λόγω συμβάσεις εκκαθαρίζονται από QCCP. Το ποσό αναφέρεται με εφαρμογή του συντελεστή άλφα 1,4 όπως ορίζεται στο άρθρο 274 παράγραφος 2 του ΚΚΑ.</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περιλαμβάνουν το ποσό που αναφέρεται σε αυτό το κελί και στο {0061,0010}, ως εάν να μην εφαρμοζόταν παρέκκλιση.</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Επίπτωση του επιλέξιμου περιθωρίου διαφορών αποτίμησης που λαμβάνεται τοις μετρητοίς αντισταθμιζόμενο έναντι παραγώγων αγοραίας αξίας (SA-CCR – κόστος αντικατάστασης)</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429γ παράγραφος 3 του ΚΚΑ</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Περιθώριο διαφορών αποτίμησης που εισπράττεται τοις μετρητοίς από τον αντισυμβαλλόμενο, που έχει επιλεγεί για συμψηφισμό έναντι του τμήματος κόστους αντικατάστασης του ανοίγματος παραγώγων, σύμφωνα με το άρθρο 429γ παράγραφος 3 του ΚΚΑ. Το ποσό αναφέρεται με εφαρμογή του συντελεστή άλφα 1,4 όπως ορίζεται στο άρθρο 274 παράγραφος 2 του ΚΚΑ.</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Δεν αναφέρεται κανένα περιθώριο διαφορών αποτίμησης που έχει ληφθεί σε απαλλασσόμενο σκέλος κεντρικού αντισυμβαλλομένου, σύμφωνα με το άρθρο 429α παράγραφος 1 στοιχείο ζ) του ΚΚΑ.</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περιλαμβάνουν το ποσό που αναφέρεται σε αυτό το κελί και στο {0061,0010}, ως εάν να μην εφαρμοζόταν αφαίρεση από το περιθώριο διαφορών αποτίμησης τοις μετρητοίς.</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bCs/>
                <w:sz w:val="24"/>
                <w:szCs w:val="24"/>
              </w:rPr>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Επίπτωση του απαλλασσόμενου σκέλους CCP των ανοιγμάτων διαπραγμάτευσης που εκκαθαρίζονται για πελάτη (SA-CCR – κόστος αντικατάστασης)</w:t>
            </w:r>
          </w:p>
          <w:p w14:paraId="4B3A4644"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429α παράγραφος 1 στοιχείο ζ) του ΚΚΑ</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τμήμα του κόστους αντικατάστασης απαλλασσόμενων ανοιγμάτων διαπραγμάτευσης έναντι αναγνωρισμένου CCP από συναλλαγές παραγώγων που εκκαθαρίζονται για πελάτη, εφόσον τα στοιχεία αυτά πληρούν τις προϋποθέσεις που προβλέπονται στο άρθρο 306 παράγραφος 1 στοιχείο γ) του ΚΚΑ. Το ποσό αυτό αναφέρεται μικτό με το περιθώριο διαφορών αποτίμησης που λαμβάνεται σε αυτό το σκέλος. Το ποσό αναφέρεται με εφαρμογή του συντελεστή άλφα 1,4 όπως ορίζεται στο άρθρο 274 παράγραφος 2 του ΚΚΑ.</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Τα ιδρύματα περιλαμβάνουν το ποσό που αναφέρεται σε αυτό το κελί και στο {0061,0010}, ως εάν να μην εφαρμοζόταν εξαίρεση.</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{0091,0010}</w:t>
            </w:r>
          </w:p>
        </w:tc>
        <w:tc>
          <w:tcPr>
            <w:tcW w:w="7590" w:type="dxa"/>
            <w:gridSpan w:val="3"/>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Παράγωγα: Συνεισφορά του ενδεχόμενου μελλοντικού ανοίγματος στην SA-CCR (πολλαπλασιαστής ίσος με 1) </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429γ παράγραφος 5 του ΚΚΑ</w:t>
            </w:r>
          </w:p>
          <w:p w14:paraId="77480A73" w14:textId="5C993BF9"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Το ενδεχόμενο μελλοντικό άνοιγμα σύμφωνα με το άρθρο 278 του ΚΚΑ θεωρώντας ότι ο πολλαπλασιαστής ισούται με 1, δηλαδή χωρίς την εφαρμογή της παρέκκλισης του άρθρου 429γ παράγραφος 5 του ΚΚΑ που αφορά συμβάσεις με πελάτες, εφόσον οι εν λόγω συμβάσεις εκκαθαρίζονται από QCCP. Το ποσό αναφέρεται με εφαρμογή του συντελεστή άλφα 1,4 όπως ορίζεται στο άρθρο 274 παράγραφος 2 του ΚΚΑ.</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{0092,0010}</w:t>
            </w:r>
          </w:p>
        </w:tc>
        <w:tc>
          <w:tcPr>
            <w:tcW w:w="7590" w:type="dxa"/>
            <w:gridSpan w:val="3"/>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Επίπτωση του χαμηλότερου πολλαπλασιαστή για συναλλαγές που εκκαθαρίζονται για πελάτη από QCCP στη συνεισφορά του PFE (SA-CCR – ενδεχόμενο μελλοντικό άνοιγμα)</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429γ παράγραφος 5 του ΚΚΑ</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bCs/>
                <w:sz w:val="24"/>
                <w:szCs w:val="24"/>
              </w:rPr>
              <w:t>Εφαρμογή της παρέκκλισης του άρθρου 429γ παράγραφος 5 του ΚΚΑ σχετικά με τον υπολογισμό του PFE για συμβάσεις παραγώγων με πελάτες, εφόσον οι εν λόγω συμβάσεις εκκαθαρίζονται από QCCP. Το ποσό αναφέρεται με εφαρμογή του συντελεστή άλφα 1,4 όπως ορίζεται στο άρθρο 274 παράγραφος 2 του ΚΚΑ.</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περιλαμβάνουν το ποσό που αναφέρεται σε αυτό το κελί και στο {0091,0010}, ως εάν να μην εφαρμοζόταν παρέκκλιση.</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bCs/>
                <w:sz w:val="24"/>
                <w:szCs w:val="24"/>
              </w:rPr>
              <w:t>{0093,0010}</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Επίπτωση του απαλλασσόμενου σκέλους CCP των ανοιγμάτων διαπραγμάτευσης που εκκαθαρίζονται για πελάτη (προσέγγιση SA-CCR – ενδεχόμενο μελλοντικό άνοιγμα)</w:t>
            </w:r>
          </w:p>
          <w:p w14:paraId="638E19CF" w14:textId="71B8ABE4"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429α παράγραφος 1 στοιχείο ζ) του ΚΚΑ</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ενδεχόμενο μελλοντικό άνοιγμα απαλλασσόμενων ανοιγμάτων διαπραγμάτευσης έναντι αναγνωρισμένου CCP από συναλλαγές παραγώγων που εκκαθαρίζονται για πελάτη, εφόσον τα στοιχεία αυτά πληρούν τις προϋποθέσεις που προβλέπονται στο άρθρο 306 παράγραφος 1 στοιχείο γ) του ΚΚΑ. Το ποσό αναφέρεται με εφαρμογή του συντελεστή άλφα 1,4 όπως ορίζεται στο άρθρο 274 παράγραφος 2 του ΚΚΑ.</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περιλαμβάνουν το ποσό που αναφέρεται σε αυτό το κελί και στο {0091,0010}, ως εάν να μην εφαρμοζόταν εξαίρεση.</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bCs/>
                <w:sz w:val="24"/>
                <w:szCs w:val="24"/>
              </w:rPr>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Παρέκκλιση για παράγωγα: συνεισφορά του κόστους αντικατάστασης στο πλαίσιο της απλουστευμένης τυποποιημένης προσέγγισης </w:t>
            </w:r>
          </w:p>
          <w:p w14:paraId="729E4C3C" w14:textId="77777777"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429γ παράγραφος 6 και άρθρο 281 του ΚΚΑ</w:t>
            </w:r>
          </w:p>
          <w:p w14:paraId="4582CAFD" w14:textId="145A1646"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Στο κελί αυτό παρέχεται το μέτρο ανοίγματος των συμβάσεων που παρατίθενται στο παράρτημα II σημεία 1 και 2 του ΚΚΑ, το οποίο υπολογίζεται σύμφωνα με την απλουστευμένη τυποποιημένη προσέγγιση που καθορίζεται στο άρθρο 281 του ΚΚΑ. Το ποσό αναφέρεται με εφαρμογή του συντελεστή άλφα 1,4 όπως ορίζεται στο άρθρο 274 παράγραφος 2 του ΚΚΑ.</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που εφαρμόζουν την απλουστευμένη τυποποιημένη προσέγγιση δεν μειώνουν το μέτρο συνολικού ανοίγματος κατά το ποσό του περιθωρίου που έχουν εισπράξει σύμφωνα με το άρθρο 429γ παράγραφος 6 του ΚΚΑ. Επομένως, δεν εφαρμόζεται η εξαίρεση του άρθρου 429γ παράγραφος 4 του ΚΚΑ για συμβάσεις παραγώγων με πελάτες, εφόσον οι εν λόγω συμβάσεις εκκαθαρίζονται από QCCP.</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δεν λαμβάνουν υπόψη σε αυτό το κελί συμβάσεις που επιμετρώνται με εφαρμογή της SA-CCR ή της μεθόδου αρχικού ανοίγματος.</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{0102,0010}</w:t>
            </w:r>
          </w:p>
        </w:tc>
        <w:tc>
          <w:tcPr>
            <w:tcW w:w="7590" w:type="dxa"/>
            <w:gridSpan w:val="3"/>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Επίπτωση του απαλλασσόμενου σκέλους CCP των ανοιγμάτων διαπραγμάτευσης που εκκαθαρίζονται για πελάτη (απλουστευμένη τυποποιημένη προσέγγιση – κόστη αντικατάστασης)</w:t>
            </w:r>
          </w:p>
          <w:p w14:paraId="145D251C" w14:textId="0940A089"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429α παράγραφος 1 στοιχείο ζ) του ΚΚΑ</w:t>
            </w:r>
          </w:p>
          <w:p w14:paraId="577C5D50" w14:textId="77C00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Το τμήμα του κόστους αντικατάστασης απαλλασσόμενων ανοιγμάτων διαπραγμάτευσης έναντι αναγνωρισμένου CCP από συναλλαγές παραγώγων που εκκαθαρίζονται για πελάτη, εφόσον τα στοιχεία αυτά πληρούν τις προϋποθέσεις που προβλέπονται στο άρθρο 306 παράγραφος 1 στοιχείο γ) του ΚΚΑ. Το ποσό αυτό αναφέρεται μικτό με το περιθώριο διαφορών αποτίμησης που λαμβάνεται σε αυτό το σκέλος. Το ποσό αναφέρεται με εφαρμογή του συντελεστή άλφα 1,4 όπως ορίζεται στο άρθρο 274 παράγραφος 2 του ΚΚΑ.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περιλαμβάνουν το ποσό που αναφέρεται σε αυτό το κελί και στο {0101,0010}, ως εάν να μην εφαρμοζόταν εξαίρεση.</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{0103,0010}</w:t>
            </w:r>
          </w:p>
        </w:tc>
        <w:tc>
          <w:tcPr>
            <w:tcW w:w="7590" w:type="dxa"/>
            <w:gridSpan w:val="3"/>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Παρέκκλιση για παράγωγα: Συνεισφορά του ενδεχόμενου μελλοντικού ανοίγματος στο πλαίσιο της απλουστευμένης τυποποιημένης προσέγγισης (πολλαπλασιαστής ίσος με 1) </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Άρθρο 281 παράγραφος 2 στοιχείο στ) και άρθρο 429γ παράγραφος 6 του ΚΚΑ</w:t>
            </w:r>
          </w:p>
          <w:p w14:paraId="5B7322DC" w14:textId="620AA314" w:rsidR="00201339" w:rsidRPr="000B66BC" w:rsidRDefault="009E7F70" w:rsidP="000B66BC">
            <w:pPr>
              <w:pStyle w:val="BodyText1"/>
              <w:spacing w:after="240"/>
              <w:rPr>
                <w:rFonts w:ascii="Times New Roman" w:hAnsi="Times New Roman"/>
                <w:bCs/>
                <w:sz w:val="24"/>
                <w:szCs w:val="24"/>
              </w:rPr>
            </w:pPr>
            <w:r>
              <w:rPr>
                <w:rFonts w:ascii="Times New Roman" w:hAnsi="Times New Roman"/>
                <w:bCs/>
                <w:sz w:val="24"/>
                <w:szCs w:val="24"/>
              </w:rPr>
              <w:t>Το ενδεχόμενο μελλοντικό άνοιγμα σύμφωνα με την απλουστευμένη τυποποιημένη προσέγγιση που προβλέπεται στο άρθρο 281 του ΚΚΑ, θεωρώντας ότι ο πολλαπλασιαστής ισούται με 1. Το ποσό αναφέρεται με εφαρμογή του συντελεστή άλφα 1,4 όπως ορίζεται στο άρθρο 274 παράγραφος 2 του ΚΚΑ.</w:t>
            </w:r>
          </w:p>
          <w:p w14:paraId="3AE17E54" w14:textId="4D1F2755" w:rsidR="00CB48CC" w:rsidRPr="000B66BC" w:rsidRDefault="00201339" w:rsidP="000B66BC">
            <w:pPr>
              <w:pStyle w:val="BodyText1"/>
              <w:spacing w:after="240"/>
              <w:rPr>
                <w:rFonts w:ascii="Times New Roman" w:hAnsi="Times New Roman"/>
                <w:b/>
                <w:bCs/>
                <w:sz w:val="24"/>
                <w:szCs w:val="24"/>
              </w:rPr>
            </w:pPr>
            <w:r>
              <w:rPr>
                <w:rFonts w:ascii="Times New Roman" w:hAnsi="Times New Roman"/>
                <w:bCs/>
                <w:sz w:val="24"/>
                <w:szCs w:val="24"/>
              </w:rPr>
              <w:lastRenderedPageBreak/>
              <w:t>Τα ιδρύματα που εφαρμόζουν την απλουστευμένη τυποποιημένη προσέγγιση δεν μειώνουν το μέτρο συνολικού ανοίγματος κατά το ποσό του περιθωρίου που έχουν εισπράξει σύμφωνα με το άρθρο 429γ παράγραφος 6 του ΚΚΑ.</w:t>
            </w:r>
            <w:r>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Επίπτωση του απαλλασσόμενου σκέλους CCP των ανοιγμάτων διαπραγμάτευσης που εκκαθαρίζονται για πελάτη (απλουστευμένη τυποποιημένη προσέγγιση – ενδεχόμενο μελλοντικό άνοιγμα)</w:t>
            </w:r>
          </w:p>
          <w:p w14:paraId="350D0B05" w14:textId="3F34C564"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429α παράγραφος 1 στοιχείο ζ) του ΚΚΑ</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ενδεχόμενο μελλοντικό άνοιγμα απαλλασσόμενων ανοιγμάτων διαπραγμάτευσης έναντι αναγνωρισμένου CCP από συναλλαγές παραγώγων που εκκαθαρίζονται για πελάτη, εφόσον τα στοιχεία αυτά πληρούν τις προϋποθέσεις που προβλέπονται στο άρθρο 306 παράγραφος 1 στοιχείο γ) του ΚΚΑ. Το ποσό αναφέρεται με εφαρμογή του συντελεστή άλφα 1,4 όπως ορίζεται στο άρθρο 274 παράγραφος 2 του ΚΚΑ.</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περιλαμβάνουν το ποσό που αναφέρεται σε αυτό το κελί και στο {0103,0010}, ως εάν να μην εφαρμοζόταν εξαίρεση.</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Παρέκκλιση για παράγωγα: μέθοδος αρχικού ανοίγματος</w:t>
            </w:r>
          </w:p>
          <w:p w14:paraId="6E5CD50D" w14:textId="2D0AEC2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429γ παράγραφος 6 και άρθρο 282 του ΚΚΑ</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Στο κελί αυτό παρέχεται το μέτρο ανοίγματος των συμβάσεων που παρατίθενται στο παράρτημα II σημεία 1 και 2 του ΚΚΑ, το οποίο υπολογίζεται σύμφωνα με τη μέθοδο αρχικού ανοίγματος που καθορίζεται στο άρθρο 282 του ΚΚΑ.</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που εφαρμόζουν τη μέθοδο αρχικού ανοίγματος δεν μειώνουν το μέτρο συνολικού ανοίγματος κατά το ποσό του περιθωρίου που έχουν εισπράξει σύμφωνα με το άρθρο 429γ παράγραφος 6 του ΚΚΑ.</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που δεν χρησιμοποιούν τη μέθοδο αρχικού ανοίγματος δεν αναφέρουν το κελί αυτό.</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Τα ιδρύματα δεν λαμβάνουν υπόψη σε αυτό το κελί συμβάσεις που επιμετρώνται με εφαρμογή της SA-CCR ή της απλουστευμένης τυποποιημένης προσέγγισης.</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Απαλλασσόμενο σκέλος CCP των ανοιγμάτων διαπραγμάτευσης που εκκαθαρίζονται για πελάτη (μέθοδος αρχικού ανοίγματος)</w:t>
            </w:r>
          </w:p>
          <w:p w14:paraId="7A371D92" w14:textId="7C6BD53C"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429α παράγραφος 1 στοιχείο ζ) του ΚΚΑ</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Το απαλλασσόμενο σκέλος CCP εκκαθαριζόμενων για πελάτη ανοιγμάτων διαπραγμάτευσης, όταν εφαρμόζεται η μέθοδος αρχικού ανοίγματος όπως καθορίζεται στο άρθρο 282 του ΚΚΑ, εφόσον τα στοιχεία αυτά πληρούν τις </w:t>
            </w:r>
            <w:r>
              <w:rPr>
                <w:rFonts w:ascii="Times New Roman" w:hAnsi="Times New Roman"/>
                <w:bCs/>
                <w:sz w:val="24"/>
                <w:szCs w:val="24"/>
              </w:rPr>
              <w:lastRenderedPageBreak/>
              <w:t>προϋποθέσεις που προβλέπονται στο άρθρο 306 παράγραφος 1 στοιχείο γ) του ΚΚΑ.</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περιλαμβάνουν το ποσό που αναφέρεται σε αυτό το κελί και στο {0110,0010}, ως εάν να μην εφαρμοζόταν εξαίρεση.</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{0130,0010}</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Ανώτατη ονομαστική αξία πωληθέντων πιστωτικών παραγώγων</w:t>
            </w:r>
          </w:p>
          <w:p w14:paraId="3144DF47" w14:textId="2DF8394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429δ του ΚΚΑ</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προσδιορίζουν την ανώτατη ονομαστική αξία πωληθέντων πιστωτικών παραγώγων, όπως ορίζονται στο άρθρο 429δ παράγραφος 1, σύμφωνα με το άρθρο 429δ του ΚΚΑ.</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Αντιστάθμιση επιλέξιμων αγορασθέντων πιστωτικών παραγώγων έναντι πωληθέντων πιστωτικών παραγώγων</w:t>
            </w:r>
          </w:p>
          <w:p w14:paraId="64C8DF12" w14:textId="33012B9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429δ του ΚΚΑ</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ανώτατο ονομαστικό ποσό αγορασθέντων πιστωτικών παραγώγων (δηλαδή όταν το ίδρυμα αγοράζει πιστωτική προστασία από αντισυμβαλλόμενο) για τα ίδια ονόματα αναφοράς με εκείνα των πιστωτικών παραγώγων τα οποία πωλεί το ίδρυμα, και εφόσον η εναπομένουσα ληκτότητα της αγορασθείσας προστασίας είναι ίση ή μεγαλύτερη από την εναπομένουσα ληκτότητα της πωληθείσας προστασίας. Ως εκ τούτου, η αξία δεν υπερβαίνει την αξία που αναγράφεται στο {0130,0010} για κάθε όνομα αναφοράς.</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Στοιχεία εκτός ισολογισμού με συντελεστή πιστωτικής μετατροπής (CCF) 10 %, σύμφωνα με το άρθρο 429στ του ΚΚΑ</w:t>
            </w:r>
          </w:p>
          <w:p w14:paraId="7C110152" w14:textId="3F4973A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429στ, άρθρο 111 παράγραφος 1 στοιχείο δ) και άρθρο 166 παράγραφος 9 του ΚΚΑ</w:t>
            </w:r>
          </w:p>
          <w:p w14:paraId="6707D5C8" w14:textId="57D30EE2"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Η αξία ανοίγματος, σύμφωνα με το άρθρο 429στ και το άρθρο 111 παράγραφος 1 στοιχείο δ) του ΚΚΑ, των εκτός ισολογισμού στοιχείων χαμηλού κινδύνου στα οποία θα εφαρμοζόταν συντελεστής μετατροπής πίστωσης 0 % και τα οποία αναφέρονται στο παράρτημα I σημείο 4 στοιχεία α) έως γ) του ΚΚΑ (υπενθυμίζεται ότι η αξία ανοίγματος εδώ είναι το 10 % της ονομαστικής αξίας).</w:t>
            </w:r>
            <w:r>
              <w:rPr>
                <w:rFonts w:ascii="Times New Roman" w:hAnsi="Times New Roman"/>
                <w:bCs/>
                <w:sz w:val="24"/>
                <w:szCs w:val="24"/>
              </w:rPr>
              <w:t xml:space="preserve"> </w:t>
            </w:r>
            <w:r>
              <w:rPr>
                <w:rFonts w:ascii="Times New Roman" w:hAnsi="Times New Roman"/>
                <w:sz w:val="24"/>
                <w:szCs w:val="24"/>
              </w:rPr>
              <w:t>Δηλαδή, δεσμεύσεις οι οποίες μπορεί να ακυρωθούν από το ίδρυμα άνευ όρων ανά πάσα στιγμή, χωρίς προηγούμενη προειδοποίηση (UCC), ή οι οποίες παρέχουν στο ίδρυμα πραγματική δυνατότητα αυτόματης ακύρωσης λόγω επιδείνωσης της πιστοληπτικής ικανότητας του δανειολήπτη.</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Υπενθυμίζεται ότι η ονομαστική αξία δεν μειώνεται κατά τις ειδικές προσαρμογές πιστωτικού κινδύνου.</w:t>
            </w:r>
            <w:r>
              <w:rPr>
                <w:sz w:val="24"/>
                <w:szCs w:val="24"/>
              </w:rPr>
              <w:t xml:space="preserve"> </w:t>
            </w:r>
            <w:r>
              <w:rPr>
                <w:rFonts w:ascii="Times New Roman" w:hAnsi="Times New Roman"/>
                <w:bCs/>
                <w:sz w:val="24"/>
                <w:szCs w:val="24"/>
              </w:rPr>
              <w:t xml:space="preserve">Αντ’ αυτού, όπως αναφέρεται στο άρθρο 429στ παράγραφος 2, τα ιδρύματα μπορούν να μειώσουν το ισοδύναμο του πιστωτικού ανοίγματος ποσό ενός εκτός ισολογισμού </w:t>
            </w:r>
            <w:r>
              <w:rPr>
                <w:rFonts w:ascii="Times New Roman" w:hAnsi="Times New Roman"/>
                <w:bCs/>
                <w:sz w:val="24"/>
                <w:szCs w:val="24"/>
              </w:rPr>
              <w:lastRenderedPageBreak/>
              <w:t>στοιχείου κατά το αντίστοιχο ποσό των ειδικών προσαρμογών πιστωτικού κινδύνου. Ο υπολογισμός αυτός υπόκειται σε κατώτατο όριο μηδέν.</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Εάν η πιστωτική διευκόλυνση αφορά την επέκταση άλλης πιστωτικής διευκόλυνσης, εφαρμόζεται ο μικρότερος από τους δύο συντελεστές μετατροπής που συνδέονται με τις μεμονωμένες πιστωτικές διευκολύνσεις, σύμφωνα με το άρθρο 166 παράγραφος 9 του ΚΚΑ.</w:t>
            </w:r>
          </w:p>
          <w:p w14:paraId="2398A4B9" w14:textId="4F8273FB" w:rsidR="00CB48CC" w:rsidRPr="000B66BC" w:rsidRDefault="00CB48CC" w:rsidP="0061658B">
            <w:pPr>
              <w:pStyle w:val="BodyText1"/>
              <w:spacing w:after="240"/>
              <w:rPr>
                <w:rFonts w:ascii="Times New Roman" w:hAnsi="Times New Roman"/>
                <w:sz w:val="24"/>
                <w:szCs w:val="24"/>
              </w:rPr>
            </w:pPr>
            <w:r>
              <w:rPr>
                <w:rFonts w:ascii="Times New Roman" w:hAnsi="Times New Roman"/>
                <w:bCs/>
                <w:sz w:val="24"/>
                <w:szCs w:val="24"/>
              </w:rPr>
              <w:t>Τα ιδρύματα δεν λαμβάνουν υπόψη σε αυτό το κελί συμβάσεις οι οποίες παρατίθενται στο παράρτημα II του ΚΚΑ, πιστωτικά παράγωγα, ΣΧΤ και θέσεις που αναφέρονται στο άρθρο 429δ σύμφωνα με το άρθρο 429στ του ΚΚΑ.</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{0160,0010}</w:t>
            </w:r>
          </w:p>
        </w:tc>
        <w:tc>
          <w:tcPr>
            <w:tcW w:w="7590" w:type="dxa"/>
            <w:gridSpan w:val="3"/>
          </w:tcPr>
          <w:p w14:paraId="079FCB69" w14:textId="303958C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Στοιχεία εκτός ισολογισμού με συντελεστή πιστωτικής μετατροπής (CCF) 20 %, σύμφωνα με το άρθρο 429στ του ΚΚΑ</w:t>
            </w:r>
          </w:p>
          <w:p w14:paraId="1808F2C6" w14:textId="231030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429στ, άρθρο 111 παράγραφος 1 στοιχείο γ) και άρθρο 166 παράγραφος 9 του ΚΚΑ</w:t>
            </w:r>
          </w:p>
          <w:p w14:paraId="4A175A4A" w14:textId="3F120C71" w:rsidR="00494A67" w:rsidRPr="000B66BC" w:rsidRDefault="00CB48CC" w:rsidP="000B66BC">
            <w:pPr>
              <w:pStyle w:val="BodyText1"/>
              <w:spacing w:after="240" w:line="240" w:lineRule="auto"/>
              <w:rPr>
                <w:sz w:val="24"/>
                <w:szCs w:val="24"/>
              </w:rPr>
            </w:pPr>
            <w:r>
              <w:rPr>
                <w:rFonts w:ascii="Times New Roman" w:hAnsi="Times New Roman"/>
                <w:sz w:val="24"/>
                <w:szCs w:val="24"/>
              </w:rPr>
              <w:t>Η αξία ανοίγματος, σύμφωνα με το άρθρο 429στ και το άρθρο 111 παράγραφος 1 στοιχείο γ) του ΚΚΑ, των εκτός ισολογισμού στοιχείων μέτριου/χαμηλού κινδύνου στα οποία θα εφαρμοζόταν συντελεστής μετατροπής πίστωσης 20 % και τα οποία αναφέρονται στο παράρτημα I σημείο 3 στοιχεία α) και β) του ΚΚΑ (υπενθυμίζεται ότι η αξία ανοίγματος εδώ είναι το 20 % της ονομαστικής αξίας).</w:t>
            </w:r>
            <w:r>
              <w:rPr>
                <w:sz w:val="24"/>
                <w:szCs w:val="24"/>
              </w:rPr>
              <w:t xml:space="preserve"> </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Υπενθυμίζεται ότι η ονομαστική αξία δεν μειώνεται κατά τις ειδικές προσαρμογές πιστωτικού κινδύνου. Αντ’ αυτού, όπως αναφέρεται στο άρθρο 429στ παράγραφος 2, τα ιδρύματα μπορούν να μειώσουν το ισοδύναμο του πιστωτικού ανοίγματος ποσό ενός εκτός ισολογισμού στοιχείου κατά το αντίστοιχο ποσό των ειδικών προσαρμογών πιστωτικού κινδύνου. Ο υπολογισμός αυτός υπόκειται σε κατώτατο όριο μηδέν.</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Εάν η πιστωτική διευκόλυνση αφορά την επέκταση άλλης πιστωτικής διευκόλυνσης, εφαρμόζεται ο μικρότερος από τους δύο συντελεστές μετατροπής που συνδέονται με τις μεμονωμένες πιστωτικές διευκολύνσεις, σύμφωνα με το άρθρο 166 παράγραφος 9 του ΚΚΑ.</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δεν λαμβάνουν υπόψη σε αυτό το κελί συμβάσεις οι οποίες παρατίθενται στο παράρτημα II του ΚΚΑ, πιστωτικά παράγωγα, ΣΧΤ και θέσεις που αναφέρονται στο άρθρο 429δ σύμφωνα με το άρθρο 429στ του ΚΚΑ.</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Στοιχεία εκτός ισολογισμού με συντελεστή πιστωτικής μετατροπής (CCF) 50 %, σύμφωνα με το άρθρο 429στ του ΚΚΑ</w:t>
            </w:r>
          </w:p>
          <w:p w14:paraId="7DA0F3D2" w14:textId="4AAC15B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429στ, άρθρο 111 παράγραφος 1 στοιχείο β) και άρθρο 166 παράγραφος 9 του ΚΚΑ</w:t>
            </w:r>
          </w:p>
          <w:p w14:paraId="54C0DA6B" w14:textId="46C9D017"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Η αξία ανοίγματος, σύμφωνα με το άρθρο 429στ και το άρθρο 111 παράγραφος 1 στοιχείο β) του ΚΚΑ, των εκτός ισολογισμού στοιχείων μέτριου κινδύνου στα οποία θα εφαρμοζόταν συντελεστής μετατροπής πίστωσης 50 % όπως ορίζεται στην τυποποιημένη προσέγγιση του πιστωτικού κινδύνου και τα οποία αναφέρονται στο παράρτημα I σημείο 2 στοιχεία α) και β) του ΚΚΑ (υπενθυμίζεται ότι η αξία ανοίγματος εδώ είναι το 50 % της ονομαστικής αξίας).</w:t>
            </w:r>
            <w:r>
              <w:rPr>
                <w:rFonts w:ascii="Times New Roman" w:hAnsi="Times New Roman"/>
                <w:bCs/>
                <w:sz w:val="24"/>
                <w:szCs w:val="24"/>
              </w:rPr>
              <w:t xml:space="preserve"> </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Υπενθυμίζεται ότι η ονομαστική αξία δεν μειώνεται κατά τις ειδικές προσαρμογές πιστωτικού κινδύνου. Αντ’ αυτού, όπως αναφέρεται στο άρθρο 429στ παράγραφος 2, τα ιδρύματα μπορούν να μειώσουν το ισοδύναμο του πιστωτικού ανοίγματος ποσό ενός εκτός ισολογισμού στοιχείου κατά το αντίστοιχο ποσό των ειδικών προσαρμογών πιστωτικού κινδύνου. Ο υπολογισμός αυτός υπόκειται σε κατώτατο όριο μηδέν.</w:t>
            </w:r>
          </w:p>
          <w:p w14:paraId="116B0E4F" w14:textId="210C7C2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κελί αυτό περιλαμβάνει ταμειακές διευκολύνσεις και άλλες δεσμεύσεις για τιτλοποιήσεις. Με άλλα λόγια, ο συντελεστής πιστωτικής μετατροπής για όλες τις ταμειακές διευκολύνσεις σύμφωνα με το άρθρο 255 του ΚΚΑ είναι 50 %, ανεξάρτητα από τη ληκτότητα.</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Εάν η πιστωτική διευκόλυνση αφορά την επέκταση άλλης πιστωτικής διευκόλυνσης, εφαρμόζεται ο μικρότερος από τους δύο συντελεστές μετατροπής που συνδέονται με τις μεμονωμένες πιστωτικές διευκολύνσεις, σύμφωνα με το άρθρο 166 παράγραφος 9 του ΚΚΑ.</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δεν λαμβάνουν υπόψη σε αυτό το κελί συμβάσεις οι οποίες παρατίθενται στο παράρτημα II του ΚΚΑ, πιστωτικά παράγωγα, ΣΧΤ και θέσεις που αναφέρονται στο άρθρο 429δ σύμφωνα με το άρθρο 429στ του ΚΚΑ.</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2D9873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Στοιχεία εκτός ισολογισμού με συντελεστή πιστωτικής μετατροπής (CCF) 100 %, σύμφωνα με το άρθρο 429στ του ΚΚΑ </w:t>
            </w:r>
          </w:p>
          <w:p w14:paraId="603EE80E" w14:textId="0C0E4F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429στ, άρθρο 111 παράγραφος 1 στοιχείο α) και άρθρο 166 παράγραφος 9 του ΚΚΑ</w:t>
            </w:r>
          </w:p>
          <w:p w14:paraId="42AF30B9" w14:textId="4B2D78DC"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αξία ανοίγματος, σύμφωνα με το άρθρο 429στ και το άρθρο 111 παράγραφος 1 στοιχείο α) του ΚΚΑ, των εκτός ισολογισμού στοιχείων υψηλού κινδύνου στα οποία θα εφαρμοζόταν συντελεστής μετατροπής πίστωσης 100 % και τα οποία αναφέρονται στο παράρτημα I σημείο 1 στοιχεία α) έως ια) του ΚΚΑ (υπενθυμίζεται ότι η αξία ανοίγματος εδώ είναι το 100 % της ονομαστικής αξίας).</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Υπενθυμίζεται ότι η ονομαστική αξία δεν μειώνεται κατά τις ειδικές προσαρμογές πιστωτικού κινδύνου. Αντ’ αυτού, όπως αναφέρεται στο άρθρο 429στ παράγραφος 2, τα ιδρύματα μπορούν να μειώσουν το ισοδύναμο του πιστωτικού ανοίγματος ποσό ενός εκτός ισολογισμού στοιχείου κατά το αντίστοιχο ποσό των ειδικών προσαρμογών πιστωτικού κινδύνου. Ο υπολογισμός αυτός υπόκειται σε κατώτατο όριο μηδέν.</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Το κελί αυτό περιλαμβάνει ταμειακές διευκολύνσεις και άλλες δεσμεύσεις για τιτλοποιήσεις.</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Εάν η πιστωτική διευκόλυνση αφορά την επέκταση άλλης πιστωτικής διευκόλυνσης, εφαρμόζεται ο μικρότερος από τους δύο συντελεστές μετατροπής που συνδέονται με τις μεμονωμένες πιστωτικές διευκολύνσεις, σύμφωνα με το άρθρο 166 παράγραφος 9 του ΚΚΑ.</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Τα ιδρύματα δεν λαμβάνουν υπόψη σε αυτό το κελί συμβάσεις οι οποίες παρατίθενται στο παράρτημα II του ΚΚΑ, πιστωτικά παράγωγα, ΣΧΤ και θέσεις που αναφέρονται στο άρθρο 429δ σύμφωνα με το άρθρο 429στ του ΚΚΑ.</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Γενικές προσαρμογές πιστωτικού κινδύνου σε στοιχεία εκτός ισολογισμού </w:t>
            </w:r>
          </w:p>
          <w:p w14:paraId="62AD4ABC" w14:textId="404EFC3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Άρθρο 429 παράγραφος 4 του ΚΚΑ</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Το ποσό των γενικών προσαρμογών πιστωτικού κινδύνου που αντιστοιχεί στα στοιχεία εκτός ισολογισμού που αναφέρονται στο άρθρο 429 παράγραφος 4 στοιχείο δ), το οποίο τα ιδρύματα αφαιρούν σύμφωνα με το άρθρο 429 παράγραφος 4 τελευταίο εδάφιο του ΚΚΑ.</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bCs/>
                <w:sz w:val="24"/>
                <w:szCs w:val="24"/>
              </w:rPr>
              <w:t>Το ποσό που αναφέρεται δεν λαμβάνεται υπόψη ως μείωση κατά τον υπολογισμό των στοιχείων εκτός ισολογισμού που αναφέρονται στις γραμμές {0150,0010} έως {0180,0010}.</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Αγορές και πωλήσεις κανονικής παράδοσης για τις οποίες εκκρεμεί διακανονισμός: Λογιστική αξία στο πλαίσιο της λογιστικής βάσει της ημερομηνίας συναλλαγής </w:t>
            </w:r>
          </w:p>
          <w:p w14:paraId="4C694246" w14:textId="3BF041DF"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Άρθρο 429ζ παράγραφος 1 του ΚΚΑ</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Το άθροισμα:</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του ποσού των μετρητών που αφορούν αγοραπωλησίες κανονικής παράδοσης οι οποίες παραμένουν στον ισολογισμό έως την ημερομηνία διακανονισμού, ως στοιχεία ενεργητικού σύμφωνα με το άρθρο 429 παράγραφος 4 στοιχείο α) του ΚΚΑ·</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 xml:space="preserve">του ποσού των απαιτήσεων σε μετρητά που αφορούν πωλήσεις κανονικής παράδοσης οι οποίες παραμένουν στον ισολογισμό ως στοιχεία ενεργητικού έως την ημερομηνία διακανονισμού, σύμφωνα με το άρθρο 429 παράγραφος 4 στοιχείο α) του ΚΚΑ. Το ποσό αυτό είναι μετά την επίπτωση συμψηφισμού μεταξύ απαιτήσεων σε μετρητά για πωλήσεις κανονικής παράδοσης για τις οποίες εκκρεμεί διακανονισμός και υποχρεώσεων σε μετρητά για αγορές κανονικής </w:t>
            </w:r>
            <w:r>
              <w:rPr>
                <w:rFonts w:ascii="Times New Roman" w:hAnsi="Times New Roman"/>
                <w:bCs/>
                <w:color w:val="auto"/>
                <w:sz w:val="24"/>
                <w:szCs w:val="24"/>
              </w:rPr>
              <w:lastRenderedPageBreak/>
              <w:t>παράδοσης για τις οποίες εκκρεμεί διακανονισμός που επιτρέπονται δυνάμει του εφαρμοστέου λογιστικού πλαισίου.</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Τα ιδρύματα που ακολουθούν τη </w:t>
            </w:r>
            <w:r>
              <w:rPr>
                <w:rFonts w:ascii="Times New Roman" w:hAnsi="Times New Roman"/>
                <w:color w:val="auto"/>
                <w:sz w:val="24"/>
                <w:szCs w:val="24"/>
              </w:rPr>
              <w:t>λογιστική βάσει της ημερομηνίας συναλλαγής αναφέρουν το ανωτέρω άθροισμα σε αυτό το κελί αντί στη γραμμή 0190 «Άλλα στοιχεία ενεργητικού», ενώ αναφέρουν τους τίτλους που αφορούν αγορές κανονικής παράδοσης στη γραμμή 0190.</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Πωλήσεις κανονικής παράδοσης για τις οποίες εκκρεμεί διακανονισμός: Αντιστροφή του λογιστικού συμψηφισμού στο πλαίσιο της λογιστικής βάσει της ημερομηνίας συναλλαγής</w:t>
            </w:r>
          </w:p>
          <w:p w14:paraId="20327055" w14:textId="6888C0F3"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Άρθρο 429ζ παράγραφος 2 του ΚΚΑ</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Το ποσό που συμψηφίζεται μεταξύ απαιτήσεων σε μετρητά για πωλήσεις κανονικής παράδοσης για τις οποίες εκκρεμεί διακανονισμός και υποχρεώσεων σε μετρητά για αγορές κανονικής παράδοσης για τις οποίες εκκρεμεί διακανονισμός που επιτρέπονται δυνάμει του εφαρμοστέου λογιστικού πλαισίου.</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bCs/>
                <w:sz w:val="24"/>
                <w:szCs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Πωλήσεις κανονικής παράδοσης για τις οποίες εκκρεμεί διακανονισμός: συμψηφισμός σύμφωνα με το άρθρο 429ζ παράγραφος 2 του ΚΚΑ</w:t>
            </w:r>
          </w:p>
          <w:p w14:paraId="416B6808" w14:textId="7F07F247"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Άρθρο 429ζ παράγραφος 2 του ΚΚΑ</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Το ποσό που συμψηφίζεται μεταξύ απαιτήσεων και υποχρεώσεων σε μετρητά όταν οι συνδεδεμένες πωλήσεις και αγορές κανονικής παράδοσης διακανονίζονται βάσει παράδοσης με την πληρωμή σύμφωνα με το άρθρο 429ζ παράγραφος 2 του ΚΚΑ.</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Αγορές κανονικής παράδοσης για τις οποίες εκκρεμεί διακανονισμός: Πλήρης αναγνώριση των αναλήψεων υποχρεώσεων πληρωμής στο πλαίσιο της λογιστικής της ημερομηνίας διακανονισμού </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Άρθρο 429ζ παράγραφος 3 του ΚΚΑ</w:t>
            </w:r>
          </w:p>
          <w:p w14:paraId="17418655" w14:textId="40ACA37E"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Η πλήρης ονομαστική αξία των αναλήψεων υποχρεώσεων πληρωμής που σχετίζονται με αγορές κανονικής παράδοσης, για ιδρύματα τα οποία, σύμφωνα με το εφαρμοστέο λογιστικό πλαίσιο, εφαρμόζουν λογιστική της ημερομηνίας διακανονισμού στις αγοραπωλησίες κανονικής παράδοσης.</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 xml:space="preserve">Οι τίτλοι που συνδέονται με πωλήσεις κανονικής παράδοσης αναφέρονται στη γραμμή </w:t>
            </w:r>
            <w:r>
              <w:rPr>
                <w:rFonts w:ascii="Times New Roman" w:hAnsi="Times New Roman"/>
                <w:bCs/>
                <w:color w:val="auto"/>
                <w:sz w:val="24"/>
                <w:szCs w:val="24"/>
              </w:rPr>
              <w:t>0</w:t>
            </w:r>
            <w:r>
              <w:rPr>
                <w:rFonts w:ascii="Times New Roman" w:hAnsi="Times New Roman"/>
                <w:color w:val="auto"/>
                <w:sz w:val="24"/>
                <w:szCs w:val="24"/>
              </w:rPr>
              <w:t>190 «Άλλα στοιχεία ενεργητικού».</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Αγορές κανονικής παράδοσης για τις οποίες εκκρεμεί διακανονισμός: συμψηφισμός των αναλήψεων υποχρεώσεων πληρωμής στο πλαίσιο της </w:t>
            </w:r>
            <w:r>
              <w:rPr>
                <w:rFonts w:ascii="Times New Roman" w:hAnsi="Times New Roman"/>
                <w:b/>
                <w:color w:val="auto"/>
                <w:sz w:val="24"/>
                <w:szCs w:val="24"/>
              </w:rPr>
              <w:lastRenderedPageBreak/>
              <w:t>λογιστικής της ημερομηνίας διακανονισμού σύμφωνα με το άρθρο 429ζ παράγραφος 3 του ΚΚΑ</w:t>
            </w:r>
          </w:p>
          <w:p w14:paraId="0155689A" w14:textId="5B8BD83D"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Άρθρο 429ζ παράγραφος 3 του ΚΚΑ </w:t>
            </w:r>
          </w:p>
          <w:p w14:paraId="795D29D1" w14:textId="1EF3903A" w:rsidR="0049459B" w:rsidRPr="000B66BC" w:rsidRDefault="00DC3476" w:rsidP="000B66BC">
            <w:pPr>
              <w:pStyle w:val="BodyText1"/>
              <w:spacing w:after="240"/>
              <w:rPr>
                <w:rFonts w:ascii="Times New Roman" w:hAnsi="Times New Roman"/>
                <w:bCs/>
                <w:sz w:val="24"/>
                <w:szCs w:val="24"/>
              </w:rPr>
            </w:pPr>
            <w:r>
              <w:rPr>
                <w:rFonts w:ascii="Times New Roman" w:hAnsi="Times New Roman"/>
                <w:bCs/>
                <w:sz w:val="24"/>
                <w:szCs w:val="24"/>
              </w:rPr>
              <w:t>Το μέρος του ποσού που αναφέρεται στη γραμμή 0188 και έχει συμψηφιστεί με την πλήρη ονομαστική αξία των απαιτήσεων σε μετρητά που αφορούν τις πωλήσεις κανονικής παράδοσης για τις οποίες εκκρεμεί διακανονισμός σύμφωνα με το άρθρο 429ζ παράγραφος 3 του ΚΚΑ.</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Άλλα στοιχεία ενεργητικού </w:t>
            </w:r>
          </w:p>
          <w:p w14:paraId="6BF56BA7" w14:textId="00F0C269"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Άρθρο 429 παράγραφος 4 στοιχείο α) του ΚΚΑ </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Όλα τα στοιχεία ενεργητικού, εκτός από τις συμβάσεις παραγώγων που παρατίθενται στο παράρτημα II του ΚΚΑ, τα πιστωτικά παράγωγα και τις ΣΧΤ (π.χ., μεταξύ άλλων, τα στοιχεία ενεργητικού που πρέπει να αναφέρονται σε αυτό το κελί είναι λογιστικές απαιτήσεις για περιθώριο διαφορών αποτίμησης που παρέχονται, όταν αναγνωρίζονται σύμφωνα με το λειτουργικό λογιστικό πλαίσιο, ρευστά διαθέσιμα, όπως ορίζονται δυνάμει του δείκτη κάλυψης ρευστότητας, αποτυχημένες και μη διακανονισθείσες συναλλαγές). Τα ιδρύματα βασίζουν την αποτίμηση στις αρχές που καθορίζονται στο άρθρο 429β παράγραφος 1 και στο άρθρο 429 παράγραφος 7 του ΚΚΑ.</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περιλαμβάνουν στο κελί αυτό τα εισπραχθέντα μετρητά ή οποιονδήποτε τίτλο που παρέχεται σε αντισυμβαλλόμενο μέσω ΣΧΤ, και τα οποία διατηρούνται στον ισολογισμό (δηλαδή δεν πληρούνται τα λογιστικά κριτήρια για μη αναγνώριση). Επιπλέον, τα ιδρύματα αναγνωρίζουν εδώ στοιχεία τα οποία αφαιρούνται από το CET1 και πρόσθετα στοιχεία της κατηγορίας 1 (π.χ. άυλα στοιχεία ενεργητικού, αναβαλλόμενες φορολογικές απαιτήσεις κ.λπ.).</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ποσό που αναφέρεται στη γραμμή {0191,0010} δεν λαμβάνεται υπόψη ως μείωση κατά τον υπολογισμό της παρούσας γραμμής.</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bCs/>
                <w:sz w:val="24"/>
                <w:szCs w:val="24"/>
              </w:rPr>
              <w:t>Οι συμφωνίες συγκέντρωσης μετρητών αναφέρονται στις γραμμές {0193,0010}, {0194,0010}, {0195,0010}, {0196,0010}, {0197,0010} και {0198,0010}, και όχι εδώ.</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Γενικές προσαρμογές πιστωτικού κινδύνου σε στοιχεία εντός ισολογισμού </w:t>
            </w:r>
          </w:p>
          <w:p w14:paraId="1CDF58F3" w14:textId="16269291"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Άρθρο 429 παράγραφος 4 του ΚΚΑ </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Το ποσό των γενικών προσαρμογών πιστωτικού κινδύνου που αντιστοιχεί στα στοιχεία εντός ισολογισμού που αναφέρονται στο άρθρο 429 παράγραφος 4 στοιχείο α), το οποίο τα ιδρύματα αφαιρούν σύμφωνα με το άρθρο 429 παράγραφος 4 τελευταίο εδάφιο του ΚΚΑ.</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lastRenderedPageBreak/>
              <w:t>Το ποσό που αναφέρεται δεν λαμβάνεται υπόψη ως μείωση κατά τον υπολογισμό των άλλων στοιχείων ενεργητικού που αναφέρονται στη γραμμή {0190,0010}.</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Συμφωνίες συγκέντρωσης μετρητών που δεν μπορούν να συμψηφιστούν σύμφωνα με την προληπτική εποπτεία: αξία στο λογιστικό πλαίσιο</w:t>
            </w:r>
          </w:p>
          <w:p w14:paraId="01265E9F" w14:textId="60113854"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Άρθρο 429β παράγραφοι 2 και 3 του ΚΚΑ</w:t>
            </w:r>
          </w:p>
          <w:p w14:paraId="421B559D" w14:textId="3A08EC05"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Η λογιστική αξία συμφωνιών συγκέντρωσης μετρητών, δηλαδή συμφωνιών βάσει των οποίων τα πιστωτικά ή χρεωστικά υπόλοιπα διαφόρων ατομικών λογαριασμών συνδυάζονται για σκοπούς διαχείρισης μετρητών ή ρευστότητας, που δεν μπορούν να συμψηφιστούν σύμφωνα με το άρθρο 429β παράγραφοι 2 και 3 του ΚΚΑ.</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Συμφωνίες συγκέντρωσης μετρητών που δεν μπορούν να συμψηφιστούν σύμφωνα με την προληπτική εποπτεία: η επίπτωση της αντιστροφής του συμψηφισμού που εφαρμόζεται στο λογιστικό πλαίσιο</w:t>
            </w:r>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Άρθρο 429 παράγραφος 7 στοιχείο β) και άρθρο 429β παράγραφοι 2 και 3 του ΚΚΑ</w:t>
            </w:r>
          </w:p>
          <w:p w14:paraId="7AC9B352" w14:textId="27100ED4"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Το ποσό που έχει συμψηφιστεί με βάση το εφαρμοστέο λογιστικό πλαίσιο για τις συμφωνίες συγκέντρωσης μετρητών και  δεν μπορούν να συμψηφιστούν σύμφωνα με την προληπτική εποπτεία, και αναφέρεται στο {0193,0010}.</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Συμφωνίες συγκέντρωσης μετρητών που μπορούν να συμψηφιστούν σύμφωνα με την προληπτική εποπτεία: αξία στο λογιστικό πλαίσιο</w:t>
            </w:r>
          </w:p>
          <w:p w14:paraId="444FD556" w14:textId="103ECED4"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Άρθρο 429β παράγραφοι 2 και 3 του ΚΚΑ</w:t>
            </w:r>
          </w:p>
          <w:p w14:paraId="5FF92BE1" w14:textId="741EB54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Η λογιστική αξία συμφωνιών συγκέντρωσης μετρητών, δηλαδή συμφωνιών βάσει των οποίων τα πιστωτικά ή χρεωστικά υπόλοιπα διαφόρων ατομικών λογαριασμών συνδυάζονται για σκοπούς διαχείρισης μετρητών ή ρευστότητας, οι οποίες μπορούν να συμψηφιστούν σύμφωνα με το άρθρο 429β παράγραφοι 2 και 3 του ΚΚΑ.</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Συμφωνίες συγκέντρωσης μετρητών που μπορούν να συμψηφιστούν σύμφωνα με την προληπτική εποπτεία: η επίπτωση της αντιστροφής του συμψηφισμού που εφαρμόζεται στο λογιστικό πλαίσιο</w:t>
            </w:r>
          </w:p>
          <w:p w14:paraId="770F0F10" w14:textId="602EA66B"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Άρθρο 429β παράγραφοι 2 και 3 του ΚΚΑ</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szCs w:val="24"/>
              </w:rPr>
              <w:t>Το ποσό που έχει συμψηφιστεί με βάση το εφαρμοστέο λογιστικό πλαίσιο για τις συμφωνίες συγκέντρωσης μετρητών και το οποίο μπορεί να συμψηφιστεί σύμφωνα με την προληπτική εποπτεία, και αναφέρεται στο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szCs w:val="24"/>
              </w:rPr>
              <w:lastRenderedPageBreak/>
              <w:t>Εάν το ίδρυμα πληροί τις προϋποθέσεις του άρθρου 429β παράγραφος 2 στοιχείο β), δεν εφαρμόζει την αντιστροφή σε αυτή τη γραμμή για υπόλοιπα που έχουν απαλειφθεί με βάση τη διαδικασία που προβλέπεται στο άρθρο 429β παράγραφος 2 στοιχείο α).</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Συμφωνίες συγκέντρωσης μετρητών που μπορούν να συμψηφιστούν σύμφωνα με την προληπτική εποπτεία: Αναγνώριση του συμψηφισμού σύμφωνα με το άρθρο 429β παράγραφος 2 του ΚΚΑ</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Άρθρο 429β παράγραφος 2 του ΚΚΑ</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Το ποσό που έχει συμψηφιστεί από το μικτό άνοιγμα που αφορά συμφωνίες συγκέντρωσης μετρητών (άθροισμα των γραμμών 0195 και 0196) σύμφωνα με το </w:t>
            </w:r>
            <w:r>
              <w:rPr>
                <w:rFonts w:ascii="Times New Roman" w:hAnsi="Times New Roman"/>
                <w:color w:val="auto"/>
                <w:sz w:val="24"/>
                <w:szCs w:val="24"/>
              </w:rPr>
              <w:t>άρθρο 429β παράγραφος 2.</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Συμφωνίες συγκέντρωσης μετρητών που μπορούν να συμψηφιστούν σύμφωνα με την προληπτική εποπτεία: Αναγνώριση του συμψηφισμού σύμφωνα με το άρθρο 429β παράγραφος 3 του ΚΚΑ</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Pr>
                <w:rFonts w:ascii="Times New Roman" w:hAnsi="Times New Roman"/>
                <w:bCs/>
                <w:sz w:val="24"/>
                <w:szCs w:val="24"/>
              </w:rPr>
              <w:t>Άρθρο 429β παράγραφος 3 του ΚΚΑ</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Το ποσό που έχει συμψηφιστεί από το μικτό άνοιγμα που αφορά συμφωνίες συγκέντρωσης μετρητών (άθροισμα των γραμμών 0195 και 0196) σύμφωνα με το </w:t>
            </w:r>
            <w:r>
              <w:rPr>
                <w:rFonts w:ascii="Times New Roman" w:hAnsi="Times New Roman"/>
                <w:color w:val="auto"/>
                <w:sz w:val="24"/>
                <w:szCs w:val="24"/>
              </w:rPr>
              <w:t>άρθρο 429β παράγραφος 3.</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{0200,0010}</w:t>
            </w:r>
          </w:p>
        </w:tc>
        <w:tc>
          <w:tcPr>
            <w:tcW w:w="7590" w:type="dxa"/>
            <w:gridSpan w:val="3"/>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Εξασφάλιση καθαρής απόδοσης για παρεχόμενες εξασφαλίσεις παραγώγων</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429γ παράγραφος 2 του ΚΚΑ</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ποσό οποιασδήποτε παρεχόμενης εξασφάλισης παραγώγων, όταν η παροχή των εν λόγω εξασφαλίσεων μειώνει το ποσό των στοιχείων ενεργητικού σύμφωνα με το εφαρμοστέο λογιστικό πλαίσιο, όπως ορίζεται στο άρθρο 429γ παράγραφος 2 του ΚΚΑ.</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δεν περιλαμβάνουν σε αυτό το κελί το αρχικό περιθώριο για συναλλαγές σε παράγωγα που εκκαθαρίζονται για πελάτη με αναγνωρισμένο CCP (QCCP) ή επιλέξιμο περιθώριο διαφορών αποτίμησης σε μετρητά, όπως ορίζεται στο άρθρο 429γ παράγραφος 3 του ΚΚΑ.</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{0210,0010}</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Απαιτήσεις για περιθώριο διαφορών αποτίμησης που παρέχεται στο πλαίσιο συναλλαγών σε παράγωγα</w:t>
            </w:r>
          </w:p>
          <w:p w14:paraId="353AEF67" w14:textId="168EBF83"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429γ παράγραφος 3 στοιχείο γ) του ΚΚΑ</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Οι απαιτήσεις για περιθώριο διαφορών αποτίμησης που καταβάλλεται τοις μετρητοίς στον αντισυμβαλλόμενο σε συναλλαγές σε παράγωγα, εάν απαιτείται από το ίδρυμα, σύμφωνα με το εφαρμοστέο λογιστικό πλαίσιο, να αναγνωρίσει τις εν λόγω απαιτήσεις ως στοιχεία ενεργητικού, εφόσον </w:t>
            </w:r>
            <w:r>
              <w:rPr>
                <w:rFonts w:ascii="Times New Roman" w:hAnsi="Times New Roman"/>
                <w:bCs/>
                <w:sz w:val="24"/>
                <w:szCs w:val="24"/>
              </w:rPr>
              <w:lastRenderedPageBreak/>
              <w:t>πληρούνται οι προϋποθέσεις του άρθρου 429γ παράγραφος 3 στοιχεία α) έως ε) του ΚΚΑ.</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ποσό που αναφέρεται περιλαμβάνεται επίσης στα άλλα στοιχεία ενεργητικού που αναφέρονται στο {0190,0010}.</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{0220,0010}</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Απαλλασσόμενο σκέλος CCP των ανοιγμάτων διαπραγμάτευσης που εκκαθαρίζονται για πελάτη (αρχικό περιθώριο)</w:t>
            </w:r>
          </w:p>
          <w:p w14:paraId="3E812C65" w14:textId="2E43BC09"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429α παράγραφος 1 στοιχείο ζ) του ΚΚΑ</w:t>
            </w:r>
          </w:p>
          <w:p w14:paraId="5FE3535A" w14:textId="779172E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(παρεχόμενο) τμήμα του αρχικού περιθωρίου απαλλασσόμενων ανοιγμάτων διαπραγμάτευσης έναντι αναγνωρισμένου CCP από συναλλαγές παραγώγων που εκκαθαρίζονται για πελάτη, εφόσον τα στοιχεία αυτά πληρούν τις προϋποθέσεις που προβλέπονται στο άρθρο 306 παράγραφος 1 στοιχείο γ) του ΚΚΑ.</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ποσό που αναφέρεται περιλαμβάνεται επίσης στα άλλα στοιχεία ενεργητικού που αναφέρονται στο {0190,0010}.</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{0230,0010}</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Προσαρμογές για συναλλαγές λογιστικής πωλήσεων ΣΧΤ</w:t>
            </w:r>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429ε παράγραφος 6 του ΚΚΑ</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αξία των δανεισμένων τίτλων σε μια πράξη επαναγοράς που αποαναγνωρίζονται λόγω συναλλαγής λογιστικής πωλήσεων βάσει του εφαρμοστέου λογιστικού πλαισίου.</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{0235,0010}</w:t>
            </w:r>
          </w:p>
        </w:tc>
        <w:tc>
          <w:tcPr>
            <w:tcW w:w="7590" w:type="dxa"/>
            <w:gridSpan w:val="3"/>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Μείωση της αξίας ανοίγματος των προχρηματοδοτήσεων ή των ενδιάμεσων δανείων </w:t>
            </w:r>
          </w:p>
          <w:p w14:paraId="44C18D39" w14:textId="51D265F7"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 παράγραφος 8 του ΚΚΑ</w:t>
            </w:r>
          </w:p>
          <w:p w14:paraId="211507FA" w14:textId="0F9EA14E" w:rsidR="00131C70" w:rsidRPr="000B66BC" w:rsidRDefault="00131C70" w:rsidP="000B66BC">
            <w:pPr>
              <w:pStyle w:val="BodyText1"/>
              <w:spacing w:after="240"/>
              <w:rPr>
                <w:rFonts w:ascii="Times New Roman" w:hAnsi="Times New Roman"/>
                <w:bCs/>
                <w:sz w:val="24"/>
                <w:szCs w:val="24"/>
              </w:rPr>
            </w:pPr>
            <w:r>
              <w:rPr>
                <w:rFonts w:ascii="Times New Roman" w:hAnsi="Times New Roman"/>
                <w:bCs/>
                <w:sz w:val="24"/>
                <w:szCs w:val="24"/>
              </w:rPr>
              <w:t>Το ποσό που μειώνεται από την αξία ανοίγματος μιας προχρηματοδότησης δανείου ή ενός ενδιάμεσου δανείου, σύμφωνα με το άρθρο 429 παράγραφο 8 του ΚΚΑ.</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Το ποσό που αναφέρεται περιλαμβάνεται στα άλλα στοιχεία ενεργητικού που αναφέρονται στο {0190,0010}.</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{0240,0010}</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Καταπιστευματικά στοιχεία ενεργητικού</w:t>
            </w:r>
          </w:p>
          <w:p w14:paraId="7B749386" w14:textId="503A5C32"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429α παράγραφος 1 στοιχείο θ) του ΚΚΑ</w:t>
            </w:r>
          </w:p>
          <w:p w14:paraId="0AD4C34E" w14:textId="5E45FFB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 xml:space="preserve">Η αξία των καταπιστευματικών στοιχείων ενεργητικού που αναγνωρίζονται στον ισολογισμό του ιδρύματος κατά τις εθνικές γενικά αποδεκτές λογιστικές αρχές, πληρούν τα κριτήρια του ΔΠΧΑ 9 για μη αναγνώριση και, κατά περίπτωση, του ΔΠΧΑ 10 για μη ενοποίηση, σύμφωνα με το άρθρο 429α παράγραφος 1 στοιχείο θ) του ΚΚΑ, χωρίς να λαμβάνονται υπόψη τα αποτελέσματα του λογιστικού συμψηφισμού ή άλλα αποτελέσματα CRM </w:t>
            </w:r>
            <w:r>
              <w:rPr>
                <w:rFonts w:ascii="Times New Roman" w:hAnsi="Times New Roman"/>
                <w:bCs/>
                <w:sz w:val="24"/>
                <w:szCs w:val="24"/>
              </w:rPr>
              <w:lastRenderedPageBreak/>
              <w:t>(δηλαδή αντιστρέφονται τα όποια αποτελέσματα του λογιστικού συμψηφισμού ή του CRM που έχουν επηρεάσει τη λογιστική αξία).</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ποσό που αναφέρεται περιλαμβάνεται επίσης στα άλλα στοιχεία ενεργητικού που αναφέρονται στο {0190,0010}.</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{0250,0010}</w:t>
            </w:r>
          </w:p>
        </w:tc>
        <w:tc>
          <w:tcPr>
            <w:tcW w:w="7590" w:type="dxa"/>
            <w:gridSpan w:val="3"/>
            <w:tcBorders>
              <w:bottom w:val="single" w:sz="4" w:space="0" w:color="auto"/>
            </w:tcBorders>
          </w:tcPr>
          <w:p w14:paraId="444C70A3" w14:textId="10B6B4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Ενδοομιλικά ανοίγματα (σε ατομική βάση) που εξαιρούνται σύμφωνα με το άρθρο 429α παράγραφος 1 στοιχείο γ) του ΚΚΑ</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429α παράγραφος 1 στοιχείο γ) και άρθρο 113 παράγραφος 6 του ΚΚΑ</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ανοίγματα που δεν έχουν ενοποιηθεί στο ισχύον επίπεδο ενοποίησης, τα οποία μπορούν να τύχουν της μεταχείρισης που προβλέπεται στο άρθρο 113 παράγραφος 6 του ΚΚΑ, εφόσον πληρούνται όλες οι προϋποθέσεις που καθορίζονται στο άρθρο 113 παράγραφος 6 στοιχεία α) έως ε) του ΚΚΑ και εφόσον έχει ληφθεί έγκριση από τις αρμόδιες αρχές.</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αναφερόμενο ποσό περιλαμβάνεται επίσης στα εφαρμοστέα κελιά ανωτέρω, ως εάν να μην εφαρμοζόταν εξαίρεση.</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{0251,0010}</w:t>
            </w:r>
          </w:p>
        </w:tc>
        <w:tc>
          <w:tcPr>
            <w:tcW w:w="7590" w:type="dxa"/>
            <w:gridSpan w:val="3"/>
            <w:tcBorders>
              <w:bottom w:val="single" w:sz="4" w:space="0" w:color="auto"/>
            </w:tcBorders>
          </w:tcPr>
          <w:p w14:paraId="4730EC18" w14:textId="5DA0D2A7"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szCs w:val="24"/>
              </w:rPr>
              <w:t xml:space="preserve">(-) Ανοίγματα ΘΣΠ που εξαιρούνται σύμφωνα με το άρθρο 429α παράγραφος 1 στοιχείο γ) του ΚΚΑ </w:t>
            </w:r>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szCs w:val="24"/>
              </w:rPr>
              <w:t>Άρθρο 429α παράγραφος 1 στοιχείο γ) και άρθρο 113 παράγραφος 7 του ΚΚΑ</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ανοίγματα που μπορούν να τύχουν της μεταχείρισης που προβλέπεται στο άρθρο 113 παράγραφος 7 του ΚΚΑ, εφόσον πληρούνται όλες οι προϋποθέσεις που καθορίζονται στο άρθρο 113 παράγραφος 7 στοιχεία α) έως θ) του ΚΚΑ και εφόσον έχει ληφθεί έγκριση από τις αρμόδιες αρχές.</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Το αναφερόμενο ποσό περιλαμβάνεται επίσης στα εφαρμοστέα κελιά ανωτέρω, ως εάν να μην εφαρμοζόταν εξαίρεση.</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{0252,0010}</w:t>
            </w:r>
          </w:p>
        </w:tc>
        <w:tc>
          <w:tcPr>
            <w:tcW w:w="7590" w:type="dxa"/>
            <w:gridSpan w:val="3"/>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Εξαιρούμενα καλυπτόμενα από την εγγύηση μέρη των ανοιγμάτων που προκύπτουν από εξαγωγικές πιστώσεις </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429α παράγραφος 1 στοιχείο στ) του ΚΚΑ</w:t>
            </w:r>
          </w:p>
          <w:p w14:paraId="0F2E3189" w14:textId="5999AD94"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Τα καλυπτόμενα από την εγγύηση μέρη των ανοιγμάτων που προκύπτουν από εξαγωγικές πιστώσεις και μπορούν να εξαιρεθούν όταν πληρούνται όλες οι προϋποθέσεις του άρθρου 429α παράγραφος 1 στοιχείο στ) του ΚΚΑ.</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Το αναφερόμενο ποσό περιλαμβάνεται επίσης στα εφαρμοστέα κελιά ανωτέρω, ως εάν να μην εφαρμοζόταν εξαίρεση.</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Εξαιρούμενες επιπλέον εξασφαλίσεις που κατατίθενται σε τριμερείς εντολοδόχους</w:t>
            </w:r>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Άρθρο 429α παράγραφος 1 στοιχείο ια) του ΚΚΑ</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Οι επιπλέον εξασφαλίσεις που κατατίθενται σε τριμερείς εντολοδόχους που δεν έχουν εκμισθωθεί και οι οποίες μπορούν να εξαιρεθούν σύμφωνα με το άρθρο 429α παράγραφος 1 στοιχείο ια).</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Το αναφερόμενο ποσό περιλαμβάνεται επίσης στα εφαρμοστέα κελιά ανωτέρω, ως εάν να μην εφαρμοζόταν εξαίρεση.</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{0254,0010}</w:t>
            </w:r>
          </w:p>
        </w:tc>
        <w:tc>
          <w:tcPr>
            <w:tcW w:w="7590" w:type="dxa"/>
            <w:gridSpan w:val="3"/>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Εξαιρούμενα τιτλοποιημένα ανοίγματα που ενέχουν σημαντική μεταφορά κινδύνου </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429α παράγραφος 1 στοιχείο ιγ) του ΚΚΑ</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τιτλοποιημένα ανοίγματα από παραδοσιακές τιτλοποιήσεις που πληρούν τις προϋποθέσεις για τη σημαντική μεταφορά κινδύνου που ορίζονται στο άρθρο 244 παράγραφος 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Το αναφερόμενο ποσό περιλαμβάνεται επίσης στα εφαρμοστέα κελιά ανωτέρω, ως εάν να μην εφαρμοζόταν εξαίρεση.</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{0255,0010}</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Ανοίγματα στην κεντρική τράπεζα που εξαιρούνται σύμφωνα με το άρθρο 429α παράγραφος 1 στοιχείο ιδ) του ΚΚΑ</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szCs w:val="24"/>
              </w:rPr>
              <w:t>Άρθρο 429α παράγραφος 1 στοιχείο ιδ) του ΚΚΑ</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Το αναφερόμενο ποσό περιλαμβάνεται επίσης στα εφαρμοστέα κελιά ανωτέρω, ως εάν να μην εφαρμοζόταν εξαίρεση.</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{0256,0010}</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Εξαιρούμενα ανοίγματα ΚΑΤ/ιδρυμάτων που οφείλονται σε επικουρικές υπηρεσίες τραπεζικού τύπου σύμφωνα με το άρθρο 429α παράγραφος 1 στοιχείο ιε) του ΚΚΑ</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szCs w:val="24"/>
              </w:rPr>
              <w:t>Άρθρο 429α παράγραφος 1 στοιχείο ιε) του ΚΚΑ</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Το αναφερόμενο ποσό περιλαμβάνεται επίσης στα εφαρμοστέα κελιά ανωτέρω, ως εάν να μην εφαρμοζόταν εξαίρεση.</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bCs/>
                <w:sz w:val="24"/>
                <w:szCs w:val="24"/>
              </w:rPr>
              <w:t>{0257,0010}</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Εξαιρούμενα ανοίγματα καθορισμένων ιδρυμάτων που οφείλονται σε επικουρικές υπηρεσίες τραπεζικού τύπου σύμφωνα με το άρθρο 429α παράγραφος 1 στοιχείο ιστ) του ΚΚΑ</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Άρθρο 429α παράγραφος 1 στοιχείο ιστ) του ΚΚΑ</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Το αναφερόμενο ποσό περιλαμβάνεται επίσης στα εφαρμοστέα κελιά ανωτέρω, ως εάν να μην εφαρμοζόταν εξαίρεση.</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{0260,0010}</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szCs w:val="24"/>
              </w:rPr>
              <w:t>(-) Ανοίγματα που εξαιρούνται σύμφωνα με το άρθρο 429α παράγραφος 1 στοιχείο ι) του ΚΚΑ</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Άρθρο 429α παράγραφος 1 στοιχείο ι) του ΚΚΑ</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Ανοίγματα που εξαιρούνται σύμφωνα με το άρθρο 429α παράγραφος 1 του ΚΚΑ και τα οποία υπόκεινται στην κάλυψη των προϋποθέσεων που αναφέρονται σε αυτό.</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Το αναφερόμενο ποσό περιλαμβάνεται επίσης στα εφαρμοστέα κελιά ανωτέρω, ως εάν να μην εφαρμοζόταν εξαίρεση.</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{0261,0010}</w:t>
            </w:r>
          </w:p>
        </w:tc>
        <w:tc>
          <w:tcPr>
            <w:tcW w:w="7590" w:type="dxa"/>
            <w:gridSpan w:val="3"/>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 </w:t>
            </w:r>
            <w:r>
              <w:rPr>
                <w:rFonts w:ascii="Times New Roman" w:hAnsi="Times New Roman"/>
                <w:b/>
                <w:color w:val="auto"/>
                <w:sz w:val="24"/>
                <w:szCs w:val="24"/>
              </w:rPr>
              <w:t>(-) Εξαιρούμενα ανοίγματα δημόσιων αναπτυξιακών πιστωτικών ιδρυμάτων – Επενδύσεις του δημόσιου τομέα</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szCs w:val="24"/>
              </w:rPr>
              <w:t>Άρθρο 429α παράγραφος 1 στοιχείο δ) και παράγραφος 2 του ΚΚΑ</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Τα ανοίγματα που προκύπτουν από στοιχεία ενεργητικού που συνιστούν απαιτήσεις έναντι κεντρικών κυβερνήσεων, περιφερειακών κυβερνήσεων, τοπικών αρχών ή οντοτήτων του δημόσιου τομέα σε σχέση με επενδύσεις του δημόσιου τομέα, και τα οποία μπορούν να εξαιρεθούν σύμφωνα με το άρθρο 429α παράγραφος 1 στοιχείο δ) του ΚΚΑ.</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Όταν η απαίτηση πληροί τις προϋποθέσεις για προνομιακό δάνειο σύμφωνα με το άρθρο 429α παράγραφος 3, δεν αναφέρεται σε αυτό το κελί αλλά στις γραμμές 0262-0264, κατά περίπτωση.</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Το αναφερόμενο ποσό περιλαμβάνεται επίσης στα εφαρμοστέα κελιά ανωτέρω, ως εάν να μην εφαρμοζόταν εξαίρεση.</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{0262,0010}</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Εξαιρούμενα ανοίγματα δημόσιων αναπτυξιακών πιστωτικών ιδρυμάτων – Προνομιακά δάνεια που χορηγούνται από δημόσιο αναπτυξιακό πιστωτικό ίδρυμα</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szCs w:val="24"/>
              </w:rPr>
              <w:t>Άρθρο 429α παράγραφος 1 στοιχείο δ) και παράγραφοι 2 και 3 του ΚΚΑ</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Τα ανοίγματα που προκύπτουν από προνομιακά δάνεια, περιλαμβανομένων και των προνομιακών δανείων άμεσης επανεκχώρησης, που χορηγεί δημόσιο αναπτυξιακό πιστωτικό ίδρυμα, και τα οποία μπορούν να εξαιρεθούν σύμφωνα με το άρθρο 429α παράγραφος 1 στοιχείο δ) του ΚΚΑ. </w:t>
            </w:r>
            <w:r>
              <w:rPr>
                <w:rFonts w:ascii="Times New Roman" w:hAnsi="Times New Roman"/>
                <w:bCs/>
                <w:sz w:val="24"/>
                <w:szCs w:val="24"/>
              </w:rPr>
              <w:t>Τα ανοίγματα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του ΚΚΑ, υπολογίζονται επίσης.</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Το αναφερόμενο ποσό περιλαμβάνεται επίσης στα εφαρμοστέα κελιά ανωτέρω, ως εάν να μην εφαρμοζόταν εξαίρεση.</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{0263,0010}</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Εξαιρούμενα ανοίγματα δημόσιων αναπτυξιακών πιστωτικών ιδρυμάτων – Προνομιακά δάνεια που χορηγούνται από οντότητα που έχει συσταθεί άμεσα από την κεντρική κυβέρνηση, την περιφερειακή κυβέρνηση ή την τοπική αρχή ενός κράτους μέλους</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Άρθρο 429α παράγραφος 1 στοιχείο δ) και παράγραφοι 2 και 3 του ΚΚΑ</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Τα ανοίγματα που προκύπτουν από προνομιακά δάνεια, περιλαμβανομένων και των προνομιακών δανείων άμεσης επανεκχώρησης, που χορηγεί οντότητα που έχει συσταθεί άμεσα από την κεντρική κυβέρνηση, την περιφερειακή κυβέρνηση ή την τοπική αρχή ενός κράτους μέλους, και τα οποία μπορούν να εξαιρεθούν σύμφωνα με το άρθρο </w:t>
            </w:r>
            <w:r>
              <w:rPr>
                <w:rFonts w:ascii="Times New Roman" w:hAnsi="Times New Roman"/>
                <w:bCs/>
                <w:sz w:val="24"/>
                <w:szCs w:val="24"/>
              </w:rPr>
              <w:t xml:space="preserve">429α παράγραφος 1 στοιχείο δ) του ΚΚΑ. Τα ανοίγματα </w:t>
            </w:r>
            <w:r>
              <w:rPr>
                <w:rFonts w:ascii="Times New Roman" w:hAnsi="Times New Roman"/>
                <w:color w:val="auto"/>
                <w:sz w:val="24"/>
                <w:szCs w:val="24"/>
              </w:rPr>
              <w:t xml:space="preserve">της </w:t>
            </w:r>
            <w:r>
              <w:rPr>
                <w:rFonts w:ascii="Times New Roman" w:hAnsi="Times New Roman"/>
                <w:bCs/>
                <w:sz w:val="24"/>
                <w:szCs w:val="24"/>
              </w:rPr>
              <w:t>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Το αναφερόμενο ποσό περιλαμβάνεται επίσης στα εφαρμοστέα κελιά ανωτέρω, ως εάν να μην εφαρμοζόταν εξαίρεση.</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{0264,0010}</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Εξαιρούμενα ανοίγματα δημόσιων αναπτυξιακών πιστωτικών ιδρυμάτων – Προνομιακά δάνεια που χορηγούνται από οντότητα που έχει συσταθεί από την κεντρική κυβέρνηση, την περιφερειακή κυβέρνηση ή την τοπική αρχή ενός κράτους μέλους μέσω ενδιάμεσου πιστωτικού ιδρύματος</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szCs w:val="24"/>
              </w:rPr>
              <w:t>Άρθρο 429α παράγραφος 1 στοιχείο δ) και παράγραφοι 2 και 3 του ΚΚΑ</w:t>
            </w:r>
          </w:p>
          <w:p w14:paraId="77D97E64" w14:textId="4C8EB305"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Τα ανοίγματα που προκύπτουν από προνομιακά δάνεια,</w:t>
            </w:r>
            <w:r w:rsidR="00DB430C">
              <w:rPr>
                <w:rFonts w:ascii="Times New Roman" w:hAnsi="Times New Roman"/>
                <w:color w:val="auto"/>
                <w:sz w:val="24"/>
                <w:szCs w:val="24"/>
              </w:rPr>
              <w:t xml:space="preserve"> </w:t>
            </w:r>
            <w:r>
              <w:rPr>
                <w:rFonts w:ascii="Times New Roman" w:hAnsi="Times New Roman"/>
                <w:color w:val="auto"/>
                <w:sz w:val="24"/>
                <w:szCs w:val="24"/>
              </w:rPr>
              <w:t>περιλαμβανομένων και των προνομιακών δανείων άμεσης επανεκχώρησης, που χορηγεί οντότητα που έχει συσταθεί από την κεντρική κυβέρνηση, την περιφερειακή κυβέρνηση ή την τοπική αρχή ενός κράτους μέλους μέσω ενδιάμεσου πιστωτικού ιδρύματος, και τα οποία μπορούν να εξαιρεθούν σύμφωνα με το άρθρο </w:t>
            </w:r>
            <w:r>
              <w:rPr>
                <w:rFonts w:ascii="Times New Roman" w:hAnsi="Times New Roman"/>
                <w:bCs/>
                <w:sz w:val="24"/>
                <w:szCs w:val="24"/>
              </w:rPr>
              <w:t xml:space="preserve">429α παράγραφος 1 στοιχείο δ) του ΚΚΑ. Τα ανοίγματα </w:t>
            </w:r>
            <w:r>
              <w:rPr>
                <w:rFonts w:ascii="Times New Roman" w:hAnsi="Times New Roman"/>
                <w:color w:val="auto"/>
                <w:sz w:val="24"/>
                <w:szCs w:val="24"/>
              </w:rPr>
              <w:t xml:space="preserve">της </w:t>
            </w:r>
            <w:r>
              <w:rPr>
                <w:rFonts w:ascii="Times New Roman" w:hAnsi="Times New Roman"/>
                <w:bCs/>
                <w:sz w:val="24"/>
                <w:szCs w:val="24"/>
              </w:rPr>
              <w:t>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Το αναφερόμενο ποσό περιλαμβάνεται επίσης στα εφαρμοστέα κελιά ανωτέρω, ως εάν να μην εφαρμοζόταν εξαίρεση.</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{0265,0010}</w:t>
            </w:r>
          </w:p>
        </w:tc>
        <w:tc>
          <w:tcPr>
            <w:tcW w:w="7590" w:type="dxa"/>
            <w:gridSpan w:val="3"/>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Εξαιρούμενα ανοίγματα από προνομιακά δάνεια άμεσης επανεκχώρησης μέσω μη δημόσιων αναπτυξιακών πιστωτικών ιδρυμάτων (ή μονάδων) – Προνομιακά δάνεια που χορηγούνται από δημόσιο αναπτυξιακό πιστωτικό ίδρυμα</w:t>
            </w:r>
          </w:p>
          <w:p w14:paraId="51F998E0" w14:textId="0F685FC2"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szCs w:val="24"/>
              </w:rPr>
              <w:t>Άρθρο 429α παράγραφος 1 στοιχείο ε) και παράγραφοι 2 και 3 του ΚΚΑ</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Τα τμήματα των ανοιγμάτων που προκύπτουν από προνομιακά δάνεια άμεσης επανεκχώρησης σε άλλα πιστωτικά ιδρύματα, όταν τα προνομιακά δάνεια έχουν χορηγηθεί από δημόσιο αναπτυξιακό πιστωτικό ίδρυμα. </w:t>
            </w:r>
            <w:r>
              <w:rPr>
                <w:rFonts w:ascii="Times New Roman" w:hAnsi="Times New Roman"/>
                <w:bCs/>
                <w:sz w:val="24"/>
                <w:szCs w:val="24"/>
              </w:rPr>
              <w:t>Τα τμήματα των ανοιγμάτων</w:t>
            </w:r>
            <w:r>
              <w:rPr>
                <w:rFonts w:ascii="Times New Roman" w:hAnsi="Times New Roman"/>
                <w:color w:val="auto"/>
                <w:sz w:val="24"/>
                <w:szCs w:val="24"/>
              </w:rPr>
              <w:t xml:space="preserve"> των </w:t>
            </w:r>
            <w:r>
              <w:rPr>
                <w:rFonts w:ascii="Times New Roman" w:hAnsi="Times New Roman"/>
                <w:bCs/>
                <w:sz w:val="24"/>
                <w:szCs w:val="24"/>
              </w:rPr>
              <w:t xml:space="preserve">μονάδων ενός ιδρύματος τα οποία δεν αντιμετωπίζονται ως δημόσια αναπτυξιακά πιστωτικά ιδρύματα από την </w:t>
            </w:r>
            <w:r>
              <w:rPr>
                <w:rFonts w:ascii="Times New Roman" w:hAnsi="Times New Roman"/>
                <w:bCs/>
                <w:sz w:val="24"/>
                <w:szCs w:val="24"/>
              </w:rPr>
              <w:lastRenderedPageBreak/>
              <w:t>αρμόδια αρχή σύμφωνα με το άρθρο 429α παράγραφος 2 τελευταίο εδάφιο, υπολογίζονται επίσης.</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Το αναφερόμενο ποσό περιλαμβάνεται επίσης στα εφαρμοστέα κελιά ανωτέρω, ως εάν να μην εφαρμοζόταν εξαίρεση.</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{0266,0010}</w:t>
            </w:r>
          </w:p>
        </w:tc>
        <w:tc>
          <w:tcPr>
            <w:tcW w:w="7590" w:type="dxa"/>
            <w:gridSpan w:val="3"/>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Εξαιρούμενα ανοίγματα από προνομιακά δάνεια άμεσης επανεκχώρησης μέσω μη δημόσιων αναπτυξιακών πιστωτικών ιδρυμάτων (ή μονάδων) – Προνομιακά δάνεια που χορηγούνται από οντότητα που έχει συσταθεί άμεσα από την κεντρική κυβέρνηση, την περιφερειακή κυβέρνηση ή την τοπική αρχή ενός κράτους μέλους</w:t>
            </w:r>
          </w:p>
          <w:p w14:paraId="003BD5E4" w14:textId="186B4E9B"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szCs w:val="24"/>
              </w:rPr>
              <w:t>Άρθρο 429α παράγραφος 1 στοιχείο ε) και παράγραφοι 2 και 3 του ΚΚΑ</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Τα τμήματα των ανοιγμάτων που προκύπτουν από προνομιακά δάνεια άμεσης επανεκχώρησης σε άλλα πιστωτικά ιδρύματα, όταν τα προνομιακά δάνεια έχουν χορηγηθεί από οντότητα που έχει συσταθεί άμεσα από την κεντρική κυβέρνηση, την περιφερειακή κυβέρνηση ή την τοπική αρχή ενός κράτους μέλους. </w:t>
            </w:r>
            <w:r>
              <w:rPr>
                <w:rFonts w:ascii="Times New Roman" w:hAnsi="Times New Roman"/>
                <w:bCs/>
                <w:sz w:val="24"/>
                <w:szCs w:val="24"/>
              </w:rPr>
              <w:t>Τα τμήματα των ανοιγμάτων</w:t>
            </w:r>
            <w:r>
              <w:rPr>
                <w:rFonts w:ascii="Times New Roman" w:hAnsi="Times New Roman"/>
                <w:color w:val="auto"/>
                <w:sz w:val="24"/>
                <w:szCs w:val="24"/>
              </w:rPr>
              <w:t xml:space="preserve"> των </w:t>
            </w:r>
            <w:r>
              <w:rPr>
                <w:rFonts w:ascii="Times New Roman" w:hAnsi="Times New Roman"/>
                <w:bCs/>
                <w:sz w:val="24"/>
                <w:szCs w:val="24"/>
              </w:rPr>
              <w:t>μονάδων ενός ιδρύματος τα οποία δεν αντιμετωπίζονται ως δημόσια αναπτυξιακά πιστωτικά ιδρύματα από την αρμόδια αρχή σύμφωνα με το άρθρο 429α παράγραφος 2 τελευταίο εδάφιο, υπολογίζονται επίσης.</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Το αναφερόμενο ποσό περιλαμβάνεται επίσης στα εφαρμοστέα κελιά ανωτέρω, ως εάν να μην εφαρμοζόταν εξαίρεση.</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{0267,0010}</w:t>
            </w:r>
          </w:p>
        </w:tc>
        <w:tc>
          <w:tcPr>
            <w:tcW w:w="7590" w:type="dxa"/>
            <w:gridSpan w:val="3"/>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Εξαιρούμενα ανοίγματα από προνομιακά δάνεια άμεσης επανεκχώρησης μέσω μη δημόσιων αναπτυξιακών πιστωτικών ιδρυμάτων (ή μονάδων) – Προνομιακά δάνεια που χορηγούνται από οντότητα που έχει συσταθεί από την κεντρική κυβέρνηση, την περιφερειακή κυβέρνηση ή την τοπική αρχή ενός κράτους μέλους μέσω ενδιάμεσου πιστωτικού ιδρύματος</w:t>
            </w:r>
          </w:p>
          <w:p w14:paraId="30EAE7BC" w14:textId="63AC62A5"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szCs w:val="24"/>
              </w:rPr>
              <w:t>Άρθρο 429α παράγραφος 1 στοιχείο ε) και παράγραφοι 2 και 3 του ΚΚΑ</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Τα τμήματα των ανοιγμάτων που προκύπτουν από προνομιακά δάνεια άμεσης επανεκχώρησης σε άλλα πιστωτικά ιδρύματα, όταν τα προνομιακά δάνεια έχουν χορηγηθεί από οντότητα που έχει συσταθεί από την κεντρική κυβέρνηση, την περιφερειακή κυβέρνηση ή την τοπική αρχή ενός κράτους μέλους μέσω ενδιάμεσου πιστωτικού ιδρύματος. </w:t>
            </w:r>
            <w:r>
              <w:rPr>
                <w:rFonts w:ascii="Times New Roman" w:hAnsi="Times New Roman"/>
                <w:bCs/>
                <w:sz w:val="24"/>
                <w:szCs w:val="24"/>
              </w:rPr>
              <w:t>Τα τμήματα των ανοιγμάτων</w:t>
            </w:r>
            <w:r>
              <w:rPr>
                <w:rFonts w:ascii="Times New Roman" w:hAnsi="Times New Roman"/>
                <w:color w:val="auto"/>
                <w:sz w:val="24"/>
                <w:szCs w:val="24"/>
              </w:rPr>
              <w:t xml:space="preserve"> των </w:t>
            </w:r>
            <w:r>
              <w:rPr>
                <w:rFonts w:ascii="Times New Roman" w:hAnsi="Times New Roman"/>
                <w:bCs/>
                <w:sz w:val="24"/>
                <w:szCs w:val="24"/>
              </w:rPr>
              <w:t>μονάδων ενός ιδρύματος τα οποία δεν αντιμετωπίζονται ως δημόσια αναπτυξιακά πιστωτικά ιδρύματα από την αρμόδια αρχή σύμφωνα με το άρθρο 429α παράγραφος 2 τελευταίο εδάφιο, υπολογίζονται επίσης.</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Το αναφερόμενο ποσό περιλαμβάνεται επίσης στα εφαρμοστέα κελιά ανωτέρω, ως εάν να μην εφαρμοζόταν εξαίρεση.</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bCs/>
                <w:sz w:val="24"/>
                <w:szCs w:val="24"/>
              </w:rPr>
              <w:lastRenderedPageBreak/>
              <w:t>(-) Ποσό στοιχείων ενεργητικού που αφαιρείται – κεφάλαιο της κατηγορίας 1 – ορισμός πλήρους εφαρμογής</w:t>
            </w:r>
          </w:p>
          <w:p w14:paraId="7786B29A" w14:textId="16FE3CE7"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szCs w:val="24"/>
              </w:rPr>
              <w:lastRenderedPageBreak/>
              <w:t>Άρθρο 429α παράγραφος 1 στοιχείο β) και άρθρο 499 παράγραφος 1 στοιχείο α) του ΚΚΑ</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Περιλαμβάνει όλες τις προσαρμογές που στοχεύουν στην αξία ενός στοιχείου ενεργητικού και οι οποίες απαιτούνται βάσει των:</w:t>
            </w:r>
          </w:p>
          <w:p w14:paraId="0ABD1D78" w14:textId="0198F3C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άρθρων 32 έως 35 του ΚΚΑ, ή </w:t>
            </w:r>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άρθρων 36 έως 47 του ΚΚΑ, ή</w:t>
            </w:r>
          </w:p>
          <w:p w14:paraId="33D193AD" w14:textId="220C0D0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άρθρων 56 έως 60 του ΚΚΑ,</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κατά περίπτωση.</w:t>
            </w:r>
          </w:p>
          <w:p w14:paraId="75E8D9BE" w14:textId="7558898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λαμβάνουν υπόψη τις εξαιρέσεις, εναλλακτικές δυνατότητες και απαλλαγές από τις εν λόγω αφαιρέσεις, που προβλέπονται στα άρθρα 48, 49 και 79 του ΚΚΑ, χωρίς να λαμβάνεται υπόψη η παρέκκλιση που προβλέπεται στο δέκατο μέρος τίτλος I κεφάλαια 1, 2 και 4 του ΚΚΑ. Για να αποφευχθεί διπλός υπολογισμός, τα ιδρύματα δεν αναφέρουν προσαρμογές που έχουν ήδη εφαρμοστεί σύμφωνα με το άρθρο 111 του ΚΚΑ κατά τον υπολογισμό της αξίας ανοίγματος στα κελιά {0010,0010} έως {0267,0010}, ούτε αναφέρουν τυχόν προσαρμογές στις οποίες δεν αφαιρείται η αξία ενός συγκεκριμένου στοιχείου ενεργητικού.</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Εφόσον τα ποσά αυτά έχουν ήδη αφαιρεθεί από το μέτρο κεφαλαίου, μειώνουν το άνοιγμα του δείκτη μόχλευσης και αναφέρονται ως αρνητικό αποτέλεσμα.</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Ποσό στοιχείων ενεργητικού που αφαιρείται (-) ή προστίθεται (+) – κεφάλαιο της κατηγορίας 1 – μεταβατικός ορισμός</w:t>
            </w:r>
          </w:p>
          <w:p w14:paraId="552CF68D" w14:textId="18B726F6"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sz w:val="24"/>
                <w:szCs w:val="24"/>
              </w:rPr>
              <w:t>Άρθρο 429α παράγραφος 1 στοιχείο β) και άρθρο 499 παράγραφος 1 στοιχείο α) του ΚΚΑ</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Περιλαμβάνει όλες τις προσαρμογές που προσαρμόζουν την αξία ενός στοιχείου ενεργητικού και οι οποίες απαιτούνται βάσει των:</w:t>
            </w:r>
          </w:p>
          <w:p w14:paraId="2FE9C127" w14:textId="455E590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άρθρων 32 έως 35 του ΚΚΑ, ή </w:t>
            </w:r>
          </w:p>
          <w:p w14:paraId="35A3C50B" w14:textId="4F89203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άρθρων 36 έως 47 του ΚΚΑ, ή </w:t>
            </w:r>
          </w:p>
          <w:p w14:paraId="66CB0299" w14:textId="34D6051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άρθρων 56 έως 60 του ΚΚΑ,</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κατά περίπτωση.</w:t>
            </w:r>
          </w:p>
          <w:p w14:paraId="730A3940" w14:textId="2AFA1AF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Τα ιδρύματα λαμβάνουν υπόψη τις εξαιρέσεις, εναλλακτικές δυνατότητες και απαλλαγές από τις εν λόγω αφαιρέσεις, που προβλέπονται στα άρθρα 48, 49 και 79 του ΚΚΑ, λαμβάνοντας επιπλέον υπόψη τις παρεκκλίσεις που προβλέπονται στο δέκατο μέρος τίτλος I κεφάλαια 1, 2 και 4 του ΚΚΑ. Για να αποφευχθεί διπλός υπολογισμός, τα ιδρύματα δεν αναφέρουν προσαρμογές που έχουν ήδη εφαρμοστεί σύμφωνα με το άρθρο 111 του ΚΚΑ </w:t>
            </w:r>
            <w:r>
              <w:rPr>
                <w:rFonts w:ascii="Times New Roman" w:hAnsi="Times New Roman"/>
                <w:bCs/>
                <w:sz w:val="24"/>
                <w:szCs w:val="24"/>
              </w:rPr>
              <w:lastRenderedPageBreak/>
              <w:t>κατά τον υπολογισμό της αξίας ανοίγματος στα κελιά {0010,0010} έως {0267,0010}, ούτε αναφέρουν τυχόν προσαρμογές στις οποίες δεν αφαιρείται η αξία ενός συγκεκριμένου στοιχείου ενεργητικού.</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Εφόσον τα ποσά αυτά έχουν ήδη αφαιρεθεί από το μέτρο κεφαλαίου, μειώνουν το άνοιγμα του δείκτη μόχλευσης και αναφέρονται ως αρνητικό αποτέλεσμα.</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Επιπρόσθετα, </w:t>
            </w:r>
            <w:r>
              <w:rPr>
                <w:rFonts w:ascii="Times New Roman" w:hAnsi="Times New Roman"/>
                <w:bCs/>
                <w:color w:val="auto"/>
                <w:sz w:val="24"/>
                <w:szCs w:val="24"/>
              </w:rPr>
              <w:t>τα ιδρύματα αναφέρουν σε αυτή τη γραμμή, ως θετική τιμή, τα ποσά που πρέπει να προστεθούν εκ νέου στο μέτρο ανοίγματος του δείκτη μόχλευσης σύμφωνα με το άρθρο 473α παράγραφοι</w:t>
            </w:r>
            <w:r>
              <w:rPr>
                <w:rFonts w:ascii="Times New Roman" w:hAnsi="Times New Roman"/>
                <w:color w:val="auto"/>
                <w:sz w:val="24"/>
                <w:szCs w:val="24"/>
              </w:rPr>
              <w:t> 7 και 7α του ΚΚΑ</w:t>
            </w:r>
            <w:r>
              <w:rPr>
                <w:rFonts w:ascii="Times New Roman" w:hAnsi="Times New Roman"/>
                <w:bCs/>
                <w:color w:val="auto"/>
                <w:sz w:val="24"/>
                <w:szCs w:val="24"/>
              </w:rPr>
              <w:t>.</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Μέτρο συνολικού ανοίγματος του δείκτη μόχλευσης – με χρήση ορισμού πλήρους εφαρμογής του κεφαλαίου της κατηγορίας 1</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αναφέρουν το άθροισμα όλων των γραμμών από 0010 έως 0267 και της γραμμής 0270.</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Μέτρο συνολικού ανοίγματος του δείκτη μόχλευσης – με χρήση μεταβατικού ορισμού του κεφαλαίου της κατηγορίας 1</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αναφέρουν το άθροισμα όλων των γραμμών από 0010 έως 0267 και της γραμμής 0280.</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Γραμμή και στήλη</w:t>
            </w:r>
          </w:p>
        </w:tc>
        <w:tc>
          <w:tcPr>
            <w:tcW w:w="7590" w:type="dxa"/>
            <w:gridSpan w:val="3"/>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Κεφάλαιο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Κεφάλαιο της κατηγορίας 1 – ορισμός πλήρους εφαρμογής</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 παράγραφος 3 και άρθρο 499 παράγραφος 1 στοιχείο α) του ΚΚΑ</w:t>
            </w:r>
          </w:p>
          <w:p w14:paraId="49E3D5DA" w14:textId="329FD52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Αυτό είναι το ποσό του κεφαλαίου της κατηγορίας 1, όπως υπολογίζεται σύμφωνα με το άρθρο 25 του ΚΚΑ, χωρίς να λαμβάνεται υπόψη η παρέκκλιση που προβλέπεται στο δέκατο μέρος τίτλος I κεφάλαια 1, 2 και 4 του ΚΚΑ.</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Κεφάλαιο της κατηγορίας 1 – μεταβατικός ορισμός</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 παράγραφος 3 και άρθρο 499 παράγραφος 1 στοιχείο β) του ΚΚΑ</w:t>
            </w:r>
          </w:p>
          <w:p w14:paraId="3270C368" w14:textId="06319C94"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bCs/>
                <w:sz w:val="24"/>
                <w:szCs w:val="24"/>
              </w:rPr>
              <w:t>Αυτό είναι το ποσό του κεφαλαίου της κατηγορίας 1, όπως υπολογίζεται σύμφωνα με το άρθρο 25 του ΚΚΑ, αφού ληφθεί υπόψη η παρέκκλιση που προβλέπεται στο δέκατο μέρος τίτλος I κεφάλαια 1, 2 και 4 του ΚΚΑ.</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Γραμμή και στήλη</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Δείκτης μόχλευσης</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Δείκτης μόχλευσης – με χρήση ορισμού πλήρους εφαρμογής του κεφαλαίου της κατηγορίας 1</w:t>
            </w:r>
          </w:p>
          <w:p w14:paraId="14103416" w14:textId="56BA3CE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Άρθρο 429 παράγραφος 2 και άρθρο 499 παράγραφος 1 του ΚΚΑ</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bCs/>
                <w:sz w:val="24"/>
                <w:szCs w:val="24"/>
              </w:rPr>
              <w:t>Αυτός είναι ο δείκτης μόχλευσης, όπως υπολογίζεται σύμφωνα με το μέρος II παράγραφος 4 του παρόντος παραρτήματος.</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{0340,0010}</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Δείκτης μόχλευσης – με χρήση μεταβατικού ορισμού του κεφαλαίου της κατηγορίας 1</w:t>
            </w:r>
          </w:p>
          <w:p w14:paraId="26098DFB" w14:textId="7824BAF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429 παράγραφος 2 και άρθρο 499 παράγραφος 1 του ΚΚΑ</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szCs w:val="24"/>
              </w:rPr>
              <w:t>Αυτός είναι ο δείκτης μόχλευσης, όπως υπολογίζεται σύμφωνα με το μέρος II παράγραφος 5 του παρόντος παραρτήματος.</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bCs/>
                <w:sz w:val="24"/>
                <w:szCs w:val="24"/>
              </w:rPr>
              <w:t>Γραμμή και στήλη</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Απαιτήσεις: ποσά</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Απαίτηση 2ου πυλώνα (P2R) για αντιμετώπιση των κινδύνων υπερβολικής μόχλευσης</w:t>
            </w:r>
          </w:p>
          <w:p w14:paraId="52420558" w14:textId="1AD55706"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bCs/>
                <w:sz w:val="24"/>
                <w:szCs w:val="24"/>
              </w:rPr>
              <w:t>Άρθρα 104 και 104α της ΟΚΑ,</w:t>
            </w:r>
            <w:r>
              <w:rPr>
                <w:rFonts w:ascii="Times New Roman" w:hAnsi="Times New Roman"/>
                <w:sz w:val="24"/>
                <w:szCs w:val="24"/>
              </w:rPr>
              <w:t xml:space="preserve"> </w:t>
            </w:r>
            <w:r>
              <w:rPr>
                <w:rFonts w:ascii="Times New Roman" w:hAnsi="Times New Roman"/>
                <w:color w:val="auto"/>
                <w:sz w:val="24"/>
                <w:szCs w:val="24"/>
              </w:rPr>
              <w:t>τα πρόσθετα ίδια κεφάλαια που απαιτεί η αρμόδια αρχή για την αντιμετώπιση των κινδύνων υπερβολικής μόχλευσης όπως αναφέρονται στο άρθρο 104 της ΟΚΑ.</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εκ των οποίων: πρέπει να αποτελείται από κεφάλαιο CET1</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Το μέρος του P2R, που αναφέρεται στη γραμμή 0350, το οποίο απαιτείται από την αρμόδια αρχή να κατέχεται υπό μορφή κεφαλαίου CET1.</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Απόθεμα ασφαλείας του δείκτη μόχλευσης για G-SII</w:t>
            </w:r>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Άρθρο 92 παράγραφος 1α του ΚΚΑ</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Τα G-SII αναφέρουν την αξία της προσαύξησης του δείκτη μόχλευσης για G-SII όπως καθορίζεται σύμφωνα με το άρθρο 92 παράγραφος 1α του ΚΚΑ.</w:t>
            </w:r>
          </w:p>
          <w:p w14:paraId="10B82F9E" w14:textId="4585213B"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bCs/>
                <w:color w:val="auto"/>
                <w:sz w:val="24"/>
                <w:szCs w:val="24"/>
              </w:rPr>
              <w:t>Τα G-SII αναφέρουν το ποσό αυτό από την ημερομηνία εφαρμογής του αποθέματος ασφαλείας σύμφωνα με τον ΚΚΑ.</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Καθοδήγηση 2ου πυλώνα (P2G) για αντιμετώπιση των κινδύνων υπερβολικής μόχλευσης</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Άρθρο 104β της ΟΚΑ· τα πρόσθετα ίδια κεφάλαια που κοινοποιεί η αρμόδια αρχή για την αντιμετώπιση των κινδύνων υπερβολικής μόχλευσης όπως αναφέρονται στο άρθρο 104β της ΟΚΑ.</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εκ των οποίων: πρέπει να αποτελείται από κεφάλαιο CET1</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Το μέρος του P2G, που αναφέρεται στη γραμμή 0380, το οποίο απαιτείται από την αρμόδια αρχή να κατέχεται υπό μορφή κεφαλαίου CET1.</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lastRenderedPageBreak/>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εκ των οποίων: πρέπει να αποτελείται από κεφάλαιο κατηγορίας 1</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Το μέρος του P2G, που αναφέρεται στη γραμμή 0380, το οποίο απαιτείται από την αρμόδια αρχή να κατέχεται υπό μορφή κεφαλαίου κατηγορίας 1.</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bCs/>
                <w:sz w:val="24"/>
                <w:szCs w:val="24"/>
              </w:rPr>
              <w:t>Γραμμή και στήλη</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bCs/>
                <w:sz w:val="24"/>
                <w:szCs w:val="24"/>
              </w:rPr>
              <w:t>Απαιτήσεις: δείκτες</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Απαίτηση 1ου πυλώνα για δείκτη μόχλευσης </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bCs/>
                <w:sz w:val="24"/>
                <w:szCs w:val="24"/>
              </w:rPr>
              <w:t xml:space="preserve">Άρθρο 92 παράγραφος 1 στοιχείο δ), άρθρο 429α παράγραφος 7 και παράγραφος 1 στοιχείο ιδ) του ΚΚΑ· </w:t>
            </w:r>
            <w:r>
              <w:rPr>
                <w:rFonts w:ascii="Times New Roman" w:hAnsi="Times New Roman"/>
                <w:bCs/>
                <w:color w:val="auto"/>
                <w:sz w:val="24"/>
                <w:szCs w:val="24"/>
              </w:rPr>
              <w:t>ο δείκτης μόχλευσης που απαιτείται για την αντιμετώπιση των κινδύνων υπερβολικής μόχλευσης, όπως αναφέρεται στο άρθρο 92 παράγραφος 1 στοιχείο δ) του ΚΚΑ.</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Τα ιδρύματα που εξαιρούν τα ανοίγματα στην κεντρική τράπεζα του ιδρύματος όπως αναφέρεται στο άρθρο</w:t>
            </w:r>
            <w:r>
              <w:rPr>
                <w:rFonts w:ascii="Times New Roman" w:hAnsi="Times New Roman"/>
                <w:bCs/>
                <w:sz w:val="24"/>
                <w:szCs w:val="24"/>
              </w:rPr>
              <w:t> 429α παράγραφος 1 στοιχείο ιδ) αναφέρουν την απαίτηση για</w:t>
            </w:r>
            <w:r>
              <w:rPr>
                <w:rFonts w:ascii="Times New Roman" w:hAnsi="Times New Roman"/>
                <w:sz w:val="24"/>
                <w:szCs w:val="24"/>
              </w:rPr>
              <w:t xml:space="preserve"> προσαρμοσμένο δείκτη μόχλευσης σύμφωνα με το άρθρο </w:t>
            </w:r>
            <w:r>
              <w:rPr>
                <w:rFonts w:ascii="Times New Roman" w:hAnsi="Times New Roman"/>
                <w:bCs/>
                <w:sz w:val="24"/>
                <w:szCs w:val="24"/>
              </w:rPr>
              <w:t>429α παράγραφος 7 του ΚΚΑ</w:t>
            </w:r>
            <w:r>
              <w:rPr>
                <w:rFonts w:ascii="Times New Roman" w:hAnsi="Times New Roman"/>
                <w:sz w:val="24"/>
                <w:szCs w:val="24"/>
              </w:rPr>
              <w:t>.</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Συνολική απαίτηση για τον δείκτη μόχλευσης βάσει της SREP (TSLRR)</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104 και 104α της ΟΚΑ</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άθροισμα των σημείων i) και ii) ως εξής:</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bCs/>
                <w:sz w:val="24"/>
                <w:szCs w:val="24"/>
              </w:rPr>
              <w:t>της απαίτησης 1ου πυλώνα για τον δείκτη μόχλευσης όπως αναφέρεται στη γραμμή 0410·</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bCs/>
                <w:sz w:val="24"/>
                <w:szCs w:val="24"/>
              </w:rPr>
              <w:t>του</w:t>
            </w:r>
            <w:r>
              <w:rPr>
                <w:rFonts w:ascii="Times New Roman" w:hAnsi="Times New Roman"/>
                <w:color w:val="auto"/>
                <w:sz w:val="24"/>
                <w:szCs w:val="24"/>
              </w:rPr>
              <w:t xml:space="preserve"> δείκτη πρόσθετων ιδίων κεφαλαίων που απαιτεί η αρμόδια αρχή (P2R) για την αντιμετώπιση των κινδύνων υπερβολικής μόχλευσης όπως αναφέρονται στο άρθρο 104 της ΟΚΑ</w:t>
            </w:r>
            <w:r>
              <w:rPr>
                <w:rFonts w:ascii="Times New Roman" w:hAnsi="Times New Roman"/>
                <w:b/>
                <w:color w:val="auto"/>
                <w:sz w:val="24"/>
                <w:szCs w:val="24"/>
              </w:rPr>
              <w:t>.</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Τα ιδρύματα υπολογίζουν το σημείο ii) διαιρώντας την τιμή στο {0350,0010} με την τιμή στο </w:t>
            </w:r>
            <w:r>
              <w:rPr>
                <w:rFonts w:ascii="Times New Roman" w:hAnsi="Times New Roman"/>
                <w:bCs/>
                <w:sz w:val="24"/>
                <w:szCs w:val="24"/>
              </w:rPr>
              <w:t>{0300,0010}.</w:t>
            </w:r>
            <w:r>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Σε περίπτωση που δεν έχουν κοινοποιηθεί πρόσθετες απαιτήσεις ιδίων κεφαλαίων από την αρμόδια αρχή, τότε αναφέρεται μόνο το σημείο i).</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TSLRR: πρέπει να αποτελείται από κεφάλαιο CET1</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Το μέρος του δείκτη πρόσθετων ιδίων κεφαλαίων, που αναφέρεται στο σημείο ii) της γραμμής 0420, που απαιτείται από την αρμόδια αρχή να κατέχεται υπό μορφή κεφαλαίου CET1.</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Τα ιδρύματα υπολογίζουν την τιμή διαιρώντας την τιμή στο {0360,0010} με την τιμή στο </w:t>
            </w:r>
            <w:r>
              <w:rPr>
                <w:rFonts w:ascii="Times New Roman" w:hAnsi="Times New Roman"/>
                <w:bCs/>
                <w:sz w:val="24"/>
                <w:szCs w:val="24"/>
              </w:rPr>
              <w:t>{0300,0010}.</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Συνολική απαίτηση για τον δείκτη μόχλευσης (OLRR)</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Άρθρο 92 παράγραφος 1α του ΚΚΑ</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Το άθροισμα των σημείων i) και ii) ως εξής:</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του TSLRR που αναφέρεται στη γραμμή 0420·</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του αποθέματος ασφαλείας του δείκτη μόχλευσης για τα G-SII σύμφωνα με το άρθρο 92 παράγραφος 1α του ΚΚΑ, εκφρασμένο ως ποσοστό</w:t>
            </w:r>
            <w:r>
              <w:rPr>
                <w:rFonts w:ascii="Times New Roman" w:hAnsi="Times New Roman"/>
                <w:color w:val="auto"/>
                <w:sz w:val="24"/>
                <w:szCs w:val="24"/>
              </w:rPr>
              <w:t xml:space="preserve"> του συνολικού ανοίγματος του δείκτη μόχλευσης</w:t>
            </w:r>
            <w:r>
              <w:rPr>
                <w:rFonts w:ascii="Times New Roman" w:hAnsi="Times New Roman"/>
                <w:b/>
                <w:color w:val="auto"/>
                <w:sz w:val="24"/>
                <w:szCs w:val="24"/>
              </w:rPr>
              <w:t>.</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color w:val="auto"/>
                <w:sz w:val="24"/>
                <w:szCs w:val="24"/>
              </w:rPr>
              <w:t xml:space="preserve">Τα ιδρύματα υπολογίζουν το σημείο ii) διαιρώντας την τιμή στο {0370,0010} με την τιμή στο </w:t>
            </w:r>
            <w:r>
              <w:rPr>
                <w:rFonts w:ascii="Times New Roman" w:hAnsi="Times New Roman"/>
                <w:bCs/>
                <w:sz w:val="24"/>
                <w:szCs w:val="24"/>
              </w:rPr>
              <w:t>{0300,0010}.</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Το σημείο ii) λαμβάνεται υπόψη από τα G-SII μόνο από την ημερομηνία εφαρμογής του αποθέματος ασφαλείας σύμφωνα με τον ΚΚΑ.</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Σε περίπτωση που δεν εφαρμόζεται προσαύξηση για G-SII, αναφέρεται μόνο το σημείο i).</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Δείκτης συνολικής απαίτησης για τον δείκτη μόχλευσης (OLRR) και καθοδήγησης 2ου πυλώνα (P2G)</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104β της ΟΚΑ</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άθροισμα των σημείων i) και ii) ως εξής:</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szCs w:val="24"/>
              </w:rPr>
              <w:t>του OLRR που αναφέρεται στη γραμμή 0440·</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bCs/>
                <w:color w:val="auto"/>
                <w:sz w:val="24"/>
                <w:szCs w:val="24"/>
              </w:rPr>
              <w:t>των πρόσθετων ιδίων κεφαλαίων που κοινοποιεί η αρμόδια αρχή για την αντιμετώπιση των κινδύνων υπερβολικής μόχλευσης όπως αναφέρονται στο άρθρο 104β της ΟΚΑ, εκφρασμένων ως ποσοστό του συνολικού ανοίγματος του δείκτη μόχλευσης.</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color w:val="auto"/>
                <w:sz w:val="24"/>
                <w:szCs w:val="24"/>
              </w:rPr>
              <w:t xml:space="preserve">Τα ιδρύματα υπολογίζουν το σημείο ii) διαιρώντας την τιμή στο {0380,0010} με την τιμή στο </w:t>
            </w:r>
            <w:r>
              <w:rPr>
                <w:rFonts w:ascii="Times New Roman" w:hAnsi="Times New Roman"/>
                <w:bCs/>
                <w:sz w:val="24"/>
                <w:szCs w:val="24"/>
              </w:rPr>
              <w:t>{0300,0010}.</w:t>
            </w:r>
            <w:r>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Σε περίπτωση που δεν έχουν κοινοποιηθεί P2G από την αρμόδια αρχή, τότε αναφέρεται μόνο το σημείο i).</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bCs/>
                <w:sz w:val="24"/>
                <w:szCs w:val="24"/>
              </w:rPr>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και P2G: πρέπει να αποτελείται από κεφάλαιο CET1</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Το άθροισμα των σημείων i) και ii) ως εξής:</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του μέρους του δείκτη πρόσθετων ιδίων κεφαλαίων που απαιτείται από την αρμόδια αρχή να κατέχεται υπό μορφή κεφαλαίου CET1, όπως αναφέρεται στη γραμμή 0430·</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lastRenderedPageBreak/>
              <w:t>του μέρους του δείκτη P2G, που αναφέρεται στο σημείο ii) της γραμμής 0450, το οποίο κοινοποιείται από την αρμόδια αρχή και απαιτείται να κατέχεται υπό τη μορφή κεφαλαίου CET1.</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Τα ιδρύματα υπολογίζουν το σημείο ii) διαιρώντας την τιμή στο {0390,0010} με την τιμή στο </w:t>
            </w:r>
            <w:r>
              <w:rPr>
                <w:rFonts w:ascii="Times New Roman" w:hAnsi="Times New Roman"/>
                <w:bCs/>
                <w:sz w:val="24"/>
                <w:szCs w:val="24"/>
              </w:rPr>
              <w:t>{0300,0010}.</w:t>
            </w:r>
            <w:r>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Σε περίπτωση που δεν έχουν κοινοποιηθεί P2G από την αρμόδια αρχή, τότε αναφέρεται μόνο το σημείο i).</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και P2G: πρέπει να αποτελείται από κεφάλαιο κατηγορίας 1</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Το άθροισμα των σημείων i), ii) και iii) ως εξής:</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της συνολικής απαίτησης για τον δείκτη μόχλευσης βάσει της SREP, όπως αναφέρεται στη γραμμή 0420·</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του αποθέματος ασφαλείας του δείκτη μόχλευσης για τα G-SII σύμφωνα με το άρθρο 92 παράγραφος 1α του ΚΚΑ, εκφρασμένο ως ποσοστό του συνολικού ανοίγματος του δείκτη μόχλευσης.</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του μέρους του δείκτη P2G, που αναφέρεται στο σημείο ii) της γραμμής 0450, το οποίο απαιτείται από την αρμόδια αρχή να κατέχεται υπό τη μορφή κεφαλαίου κατηγορίας 1.</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Τα ιδρύματα υπολογίζουν το σημείο ii) διαιρώντας την τιμή στο {0370,0010} με την τιμή στο </w:t>
            </w:r>
            <w:r>
              <w:rPr>
                <w:rFonts w:ascii="Times New Roman" w:hAnsi="Times New Roman"/>
                <w:bCs/>
                <w:sz w:val="24"/>
                <w:szCs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color w:val="auto"/>
                <w:sz w:val="24"/>
                <w:szCs w:val="24"/>
              </w:rPr>
              <w:t xml:space="preserve">Τα ιδρύματα υπολογίζουν το σημείο iii) διαιρώντας την τιμή στο {0400,0010} με την τιμή στο </w:t>
            </w:r>
            <w:r>
              <w:rPr>
                <w:rFonts w:ascii="Times New Roman" w:hAnsi="Times New Roman"/>
                <w:bCs/>
                <w:sz w:val="24"/>
                <w:szCs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Σε περίπτωση που δεν εφαρμόζεται προσαύξηση για G-SII, αναφέρονται μόνο τα σημείο i) και iii).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Σε περίπτωση που δεν έχουν κοινοποιηθεί P2G από την αρμόδια αρχή, τότε αναφέρονται μόνο τα σημεία i) και ii).</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bCs/>
                <w:sz w:val="24"/>
                <w:szCs w:val="24"/>
              </w:rPr>
              <w:t>Γραμμή και στήλη</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Υπομνηματικά στοιχεία</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Δείκτης μόχλευσης ως εάν να μην εφαρμόζονταν οι μεταβατικές ρυθμίσεις του ΔΠΧΑ 9 ή ανάλογων αναμενόμενων πιστωτικών ζημιών</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Άρθρο 473α παράγραφος 8 του ΚΚΑ</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Τα ιδρύματα που έχουν αποφασίσει να εφαρμόσουν τις μεταβατικές ρυθμίσεις που προβλέπονται στο άρθρο 473α του ΚΚΑ αναφέρουν τον δείκτη μόχλευσης που θα είχαν εάν δεν εφάρμοζαν το παρόν άρθρο.</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lastRenderedPageBreak/>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Δείκτης μόχλευσης ως εάν να μην εφαρμοζόταν η προσωρινή μεταχείριση μη πραγματοποιηθέντων κερδών και ζημιών που αποτιμώνται στην εύλογη αξία μέσω άλλων συνολικών εσόδων</w:t>
            </w:r>
          </w:p>
          <w:p w14:paraId="22FC70A7"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Άρθρο 468 παράγραφος 5 του ΚΚΑ</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Τα ιδρύματα που έχουν αποφασίσει να εφαρμόσουν την προσωρινή μεταχείριση που προβλέπεται στο άρθρο 468 παράγραφος 1 του ΚΚΑ αναφέρουν τον δείκτη μόχλευσης που θα είχαν εάν δεν εφάρμοζαν την εν λόγω μεταχείριση.</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9414286"/>
      <w:bookmarkStart w:id="54" w:name="_Toc423089071"/>
      <w:bookmarkStart w:id="55" w:name="_Toc52461753"/>
      <w:r>
        <w:rPr>
          <w:rFonts w:ascii="Times New Roman" w:hAnsi="Times New Roman"/>
          <w:b/>
          <w:sz w:val="24"/>
          <w:szCs w:val="24"/>
        </w:rPr>
        <w:t>4.</w:t>
      </w:r>
      <w:r>
        <w:tab/>
      </w:r>
      <w:bookmarkStart w:id="56" w:name="_Toc351048507"/>
      <w:r>
        <w:rPr>
          <w:rFonts w:ascii="Times New Roman" w:hAnsi="Times New Roman"/>
          <w:b/>
          <w:sz w:val="24"/>
          <w:szCs w:val="24"/>
        </w:rPr>
        <w:t>C 40.00 – Εναλλακτική αντιμετώπιση του μέτρου του ανοίγματος</w:t>
      </w:r>
      <w:bookmarkEnd w:id="50"/>
      <w:bookmarkEnd w:id="56"/>
      <w:bookmarkEnd w:id="53"/>
      <w:r>
        <w:rPr>
          <w:rFonts w:ascii="Times New Roman" w:hAnsi="Times New Roman"/>
          <w:b/>
          <w:sz w:val="24"/>
          <w:szCs w:val="24"/>
        </w:rPr>
        <w:t xml:space="preserve"> (LR1)</w:t>
      </w:r>
      <w:bookmarkEnd w:id="54"/>
      <w:bookmarkEnd w:id="55"/>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20.</w:t>
      </w:r>
      <w:r>
        <w:tab/>
      </w:r>
      <w:r>
        <w:rPr>
          <w:rFonts w:ascii="Times New Roman" w:hAnsi="Times New Roman"/>
          <w:sz w:val="24"/>
          <w:szCs w:val="24"/>
        </w:rPr>
        <w:t xml:space="preserve">Σε αυτό το μέρος της αναφοράς στοιχείων συγκεντρώνονται στοιχεία για την εναλλακτική αντιμετώπιση παραγώγων, </w:t>
      </w:r>
      <w:r>
        <w:rPr>
          <w:rFonts w:ascii="Times New Roman" w:hAnsi="Times New Roman"/>
          <w:bCs/>
          <w:sz w:val="24"/>
          <w:szCs w:val="24"/>
        </w:rPr>
        <w:t>ΣΧΤ</w:t>
      </w:r>
      <w:r>
        <w:rPr>
          <w:rFonts w:ascii="Times New Roman" w:hAnsi="Times New Roman"/>
          <w:sz w:val="24"/>
          <w:szCs w:val="24"/>
        </w:rPr>
        <w:t xml:space="preserve">, στοιχείων εκτός ισολογισμού, εξαιρούμενων επενδύσεων του δημοσίου τομέα και εξαιρούμενων ανοιγμάτων από προνομιακά δάνεια. </w:t>
      </w:r>
    </w:p>
    <w:p w14:paraId="0801E40E" w14:textId="5C86FA03"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21.</w:t>
      </w:r>
      <w:r>
        <w:tab/>
      </w:r>
      <w:r>
        <w:rPr>
          <w:rFonts w:ascii="Times New Roman" w:hAnsi="Times New Roman"/>
          <w:sz w:val="24"/>
          <w:szCs w:val="24"/>
        </w:rPr>
        <w:t xml:space="preserve">Τα ιδρύματα προσδιορίζουν τις «λογιστικές αξίες ισολογισμού» στο υπόδειγμα LR1, βάσει του εφαρμοστέου λογιστικού πλαισίου, σύμφωνα με το άρθρο 4 παράγραφος 1 σημείο 77 του ΚΚΑ. Η «λογιστική αξία με την παραδοχή μη συμψηφισμού ή άλλης τεχνικής CRM» αναφέρεται στη λογιστική αξία ισολογισμού, χωρίς να λαμβάνονται υπόψη τυχόν αποτελέσματα συμψηφισμού ή άλλου μετριασμού του πιστωτικού κινδύνου.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22.</w:t>
      </w:r>
      <w:r>
        <w:tab/>
      </w:r>
      <w:r>
        <w:rPr>
          <w:rFonts w:ascii="Times New Roman" w:hAnsi="Times New Roman"/>
          <w:sz w:val="24"/>
          <w:szCs w:val="24"/>
        </w:rPr>
        <w:t xml:space="preserve">Τα ιδρύματα αναφέρουν τα στοιχεία του υποδείγματος LR1 ως εάν δεν εφαρμόζονταν τα στοιχεία με αρνητικό πρόσημο στο υπόδειγμα LRCalc (για παράδειγμα, εξαιρέσεις/αφαιρέσεις) σύμφωνα με τους κανόνες χρήσης προσήμου του παρόντος παραρτήματος μέρος Ι παράγραφος 9, με εξαίρεση τις γραμμές </w:t>
      </w:r>
      <w:r>
        <w:rPr>
          <w:rFonts w:ascii="Times New Roman" w:hAnsi="Times New Roman"/>
          <w:bCs/>
          <w:sz w:val="24"/>
          <w:szCs w:val="24"/>
        </w:rPr>
        <w:t>{0270,0010} {0280,0010}</w:t>
      </w:r>
      <w:r>
        <w:rPr>
          <w:rFonts w:ascii="Times New Roman" w:hAnsi="Times New Roman"/>
          <w:sz w:val="24"/>
          <w:szCs w:val="24"/>
        </w:rPr>
        <w:t>.</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23.</w:t>
      </w:r>
      <w:r>
        <w:tab/>
      </w:r>
      <w:r>
        <w:rPr>
          <w:rFonts w:ascii="Times New Roman" w:hAnsi="Times New Roman"/>
          <w:sz w:val="24"/>
          <w:szCs w:val="24"/>
        </w:rPr>
        <w:t>Το {r0410,c0010} στο υπόδειγμα 40.00 αναφέρεται μόνο από:</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μεγάλα ιδρύματα τα οποία είτε είναι G-SII είτε έχουν εκδώσει τίτλους που έχουν εισαχθεί προς διαπραγμάτευση σε ρυθμιζόμενη αγορά, ανά εξάμηνο,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μεγάλα ιδρύματα εκτός των G-SII τα οποία είναι μη εισηγμένα ιδρύματα, ετησίως,</w:t>
      </w:r>
    </w:p>
    <w:p w14:paraId="59E3D42C" w14:textId="64FE3358"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άλλα ιδρύματα εκτός των μεγάλων ιδρυμάτων και των μικρών και μη πολύπλοκων ιδρυμάτων τα οποία έχουν εκδώσει τίτλους που έχουν εισαχθεί προς διαπραγμάτευση σε ρυθμιζόμενη αγορά, ετησίως.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Γραμμή και στήλη</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Νομικά κείμενα αναφοράς και οδηγίες</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bCs/>
                <w:sz w:val="24"/>
                <w:szCs w:val="24"/>
              </w:rPr>
              <w:t>Παράγωγα – Λογιστική αξία ισολογισμού</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Είναι το άθροισμα των {0020,010}, {0050,0010} και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Παράγωγα – Λογιστική αξία με την παραδοχή μη συμψηφισμού ή άλλης τεχνικής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Είναι το άθροισμα των {0020,0020}, {0050,0020} και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Παράγωγα – Ονομαστικό ποσό</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Είναι το άθροισμα των {0020,0070}, {0050,0070} και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Πιστωτικά παράγωγα (πωληθείσα προστασία) – Λογιστική αξία ισολογισμού</w:t>
            </w:r>
          </w:p>
          <w:p w14:paraId="0232A08C" w14:textId="71CBB29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Άρθρο 4 παράγραφος 1 σημείο 77 του ΚΚΑ· η λογιστική αξία ισολογισμού, σύμφωνα με το εφαρμοστέο λογιστικό πλαίσιο, των πιστωτικών παραγώγων, όταν το ίδρυμα πωλεί πιστωτική προστασία σε αντισυμβαλλόμενο και η σύμβαση αναγνωρίζεται ως στοιχείο ενεργητικού στον ισολογισμό.</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Πιστωτικά παράγωγα (πωληθείσα προστασία) – Λογιστική αξία με την παραδοχή μη συμψηφισμού ή άλλης τεχνικής CRM</w:t>
            </w:r>
          </w:p>
          <w:p w14:paraId="379F5EE7" w14:textId="22B93F7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Άρθρο 4 παράγραφος 1 σημείο 77 του ΚΚΑ· η λογιστική αξία ισολογισμού, σύμφωνα με το εφαρμοστέο λογιστικό πλαίσιο, των πιστωτικών παραγώγων, όταν το ίδρυμα πωλεί πιστωτική προστασία σε αντισυμβαλλόμενο και η σύμβαση αναγνωρίζεται ως στοιχείο ενεργητικού στον ισολογισμό, χωρίς να λαμβάνονται υπόψη τα αποτελέσματα του προληπτικού ή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Πιστωτικά παράγωγα (πωληθείσα προστασία) – Ονομαστικό ποσό</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Είναι το άθροισμα των κελιών {0030,0070} και{0040,0070}.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Πιστωτικά παράγωγα (πωληθείσα προστασία) – Ανώτατο ονομαστικό ποσό</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αναφέρουν το ονομαστικό ποσό στο οποίο αναφέρονται τα πιστωτικά παράγωγα (πωληθείσα προστασία) όπως στο {0020,0070} μετά την αφαίρεση από οποιεσδήποτε αλλαγές αρνητικής εύλογης αξίας που έχουν ενσωματωθεί σε κεφάλαιο της κατηγορίας 1 σε σχέση με το πωληθέν πιστωτικό παράγωγο.</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Πιστωτικά παράγωγα (πωληθείσα προστασία) που υπόκεινται σε ρήτρα εκκαθάρισης – Ονομαστικό ποσό</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αναφέρουν το ονομαστικό ποσό στο οποίο αναφέρονται τα πιστωτικά παράγωγα, όταν το ίδρυμα πωλεί σε αντισυμβαλλόμενο πιστωτική προστασία η οποία υπόκειται σε ρήτρα εκκαθάρισης.</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Ως ρήτρα εκκαθάρισης ορίζεται η ρήτρα που παρέχει στον αντισυμβαλλόμενο που δεν αθέτησε τις υποχρεώσεις του το δικαίωμα να τερματίσει και να εκκαθαρίσει εγκαίρως όλες τις συναλλαγές που υπάγονται στη σύμβαση, σε περίπτωση αθέτησης υποχρέωσης, συμπεριλαμβανομένων των περιπτώσεων αφερεγγυότητας ή πτώχευσης του αντισυμβαλλομένου.</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λαμβάνουν υπόψη όλα τα πιστωτικά παράγωγα, και όχι μόνον αυτά που εντάσσονται στο χαρτοφυλάκιο συναλλαγών.</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Πιστωτικά παράγωγα (πωληθείσα προστασία) που δεν υπόκεινται σε ρήτρα εκκαθάρισης – Ονομαστικό ποσό</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szCs w:val="24"/>
              </w:rPr>
              <w:t>Τα ιδρύματα αναφέρουν το ονομαστικό ποσό στο οποίο αναφέρονται τα πιστωτικά παράγωγα, όταν το ίδρυμα πωλεί σε αντισυμβαλλόμενο πιστωτική προστασία η οποία δεν υπόκειται σε «ρήτρα εκκαθάρισης».</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Ως ρήτρα εκκαθάρισης ορίζεται η ρήτρα που παρέχει στον αντισυμβαλλόμενο που δεν αθέτησε τις υποχρεώσεις του το δικαίωμα να τερματίσει και να εκκαθαρίσει εγκαίρως όλες τις συναλλαγές που υπάγονται στη σύμβαση, σε περίπτωση αθέτησης υποχρέωσης, συμπεριλαμβανομένων των περιπτώσεων αφερεγγυότητας ή πτώχευσης του αντισυμβαλλομένου.</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λαμβάνουν υπόψη όλα τα πιστωτικά παράγωγα, και όχι μόνον αυτά που εντάσσονται στο χαρτοφυλάκιο συναλλαγών.</w:t>
            </w:r>
            <w:r>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Πιστωτικά παράγωγα (αγορασθείσα προστασία) – Λογιστική αξία ισολογισμού</w:t>
            </w:r>
          </w:p>
          <w:p w14:paraId="253831D8" w14:textId="2DDCF90C"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 παράγραφος 1 σημείο 77 του ΚΚΑ· η λογιστική αξία ισολογισμού, σύμφωνα με το εφαρμοστέο λογιστικό πλαίσιο, των πιστωτικών παραγώγων, όταν το ίδρυμα αγοράζει πιστωτική προστασία από αντισυμβαλλόμενο και η σύμβαση αναγνωρίζεται ως στοιχείο ενεργητικού στον ισολογισμό.</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λαμβάνουν υπόψη όλα τα πιστωτικά παράγωγα, και όχι μόνον αυτά που εντάσσονται στο χαρτοφυλάκιο συναλλαγών.</w:t>
            </w:r>
            <w:r>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Πιστωτικά παράγωγα (αγορασθείσα προστασία) – Λογιστική αξία με την παραδοχή μη συμψηφισμού ή άλλης τεχνικής CRM</w:t>
            </w:r>
          </w:p>
          <w:p w14:paraId="269D2982" w14:textId="78A45E3B"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 παράγραφος 1 σημείο 77 του ΚΚΑ· η λογιστική αξία ισολογισμού, σύμφωνα με το εφαρμοστέο λογιστικό πλαίσιο, των πιστωτικών παραγώγων, όταν το ίδρυμα αγοράζει πιστωτική προστασία από αντισυμβαλλόμενο και η σύμβαση αναγνωρίζεται ως στοιχείο ενεργητικού στον ισολογισμό, χωρίς να λαμβάνονται υπόψη τα αποτελέσματα του προληπτικού ή λογιστικού συμψηφισμού ή αποτελέσματα CRM (δηλαδή αντιστρέφονται τα όποια αποτελέσματα του λογιστικού συμψηφισμού ή του CRM που έχουν επηρεάσει τη λογιστική αξία).</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Τα ιδρύματα λαμβάνουν υπόψη όλα τα πιστωτικά παράγωγα, και όχι μόνον αυτά που εντάσσονται στο χαρτοφυλάκιο συναλλαγών.</w:t>
            </w:r>
            <w:r>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Πιστωτικά παράγωγα (αγορασθείσα προστασία) – Ονομαστικό ποσό</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Τα ιδρύματα αναφέρουν το ονομαστικό ποσό στο οποίο αναφέρονται τα πιστωτικά παράγωγα, όταν το ίδρυμα αγοράζει πιστωτική προστασία από αντισυμβαλλόμενο.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λαμβάνουν υπόψη όλα τα πιστωτικά παράγωγα, και όχι μόνον αυτά που εντάσσονται στο χαρτοφυλάκιο συναλλαγών.</w:t>
            </w:r>
            <w:r>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Πιστωτικά παράγωγα (αγορασθείσα προστασία) – Ανώτατο ονομαστικό ποσό</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αναφέρουν το ονομαστικό ποσό στο οποίο αναφέρονται τα πιστωτικά παράγωγα (αγορασθείσα προστασία) όπως στο {0050,0070}, μετά την αφαίρεση οποιωνδήποτε αλλαγών θετικής εύλογης αξίας που έχουν ενσωματωθεί στο κεφάλαιο της κατηγορίας 1 όσον αφορά το αγορασθέν πιστωτικό παράγωγο.</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Πιστωτικά παράγωγα (αγορασθείσα προστασία) – Ανώτατο ονομαστικό ποσό (ίδιο όνομα αναφοράς)</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szCs w:val="24"/>
              </w:rPr>
              <w:t>Τα ιδρύματα αναφέρουν το ονομαστικό ποσό στο οποίο αναφέρονται τα πιστωτικά παράγωγα, όταν το ίδρυμα αγοράζει πιστωτική προστασία επί του ιδίου υποκείμενου ονόματος αναφοράς με εκείνο των πιστωτικών παραγώγων τα οποία πωλεί το ίδρυμα που υποβάλλει αναφορά.</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Για τους σκοπούς αναφοράς της εν λόγω τιμής κελιού, τα υποκείμενα ονόματα αναφοράς θεωρούνται τα ίδια, εάν αναφέρονται στην ίδια νομική οντότητα και στην ίδια σειρά εξοφλητικής προτεραιότητας.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πιστωτική προστασία που αγοράζεται επί ομάδας οντοτήτων αναφοράς θεωρείται η ίδια εάν η προστασία αυτή είναι οικονομικά ισοδύναμη με την αγορά προστασίας χωριστά σε καθένα από τα επιμέρους ονόματα της ομάδας.</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Εάν ένα ίδρυμα αγοράζει πιστωτική προστασία επί ομάδας ονομάτων αναφοράς, τότε αυτή η πιστωτική προστασία θεωρείται η ίδια μόνον εάν η αγορασθείσα πιστωτική προστασία καλύπτει το σύνολο των υποσυνόλων της ομάδας επί της οποίας έχει πωληθεί πιστωτική προστασία. Με άλλα λόγια, συμψηφισμός μπορεί να αναγνωριστεί μόνον όταν η ομάδα οντοτήτων αναφοράς και το επίπεδο εξοφλητικής προτεραιότητας και στις δύο συναλλαγές είναι ταυτόσημα.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Για κάθε όνομα αναφοράς, τα ονομαστικά ποσά της πιστωτικής προστασίας τα οποία λαμβάνονται υπόψη για τον σκοπό της αναφοράς στο κελί αυτό δεν υπερβαίνουν </w:t>
            </w:r>
            <w:r>
              <w:rPr>
                <w:rFonts w:ascii="Times New Roman" w:hAnsi="Times New Roman"/>
                <w:sz w:val="24"/>
                <w:szCs w:val="24"/>
              </w:rPr>
              <w:t>τα ποσά που αναφέρονται στα {0020,0075} και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Χρηματοοικονομικά παράγωγα – Λογιστική αξία ισολογισμού</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 παράγραφος 1 σημείο 77) του ΚΚΑ</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αναφέρουν τη λογιστική αξία ισολογισμού, σύμφωνα με το εφαρμοστέο λογιστικό πλαίσιο, των συμβάσεων που απαριθμούνται στο παράρτημα II του ΚΚΑ, όπου οι συμβάσεις αναγνωρίζονται ως στοιχεία ενεργητικού στον ισολογισμό.</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Χρηματοοικονομικά παράγωγα – Λογιστική αξία με την παραδοχή μη συμψηφισμού ή άλλης τεχνικής CRM</w:t>
            </w:r>
          </w:p>
          <w:p w14:paraId="00EB79C6" w14:textId="7804F83C"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Άρθρο 4 παράγραφος 1 σημείο 77 του ΚΚΑ· η λογιστική αξία ισολογισμού, σύμφωνα με το εφαρμοστέο λογιστικό πλαίσιο, των συμβάσεων που απαριθμούνται στο παράρτημα II του ΚΚΑ, όπου οι συμβάσεις αναγνωρίζονται ως στοιχεία ενεργητικού στον ισολογισμό, χωρίς να λαμβάνονται υπόψη τα αποτελέσματα του προληπτικού ή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Χρηματοοικονομικά παράγωγα – Ονομαστικό ποσό</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Το κελί αυτό περιλαμβάνει το ονομαστικό ποσό στο οποίο αναφέρονται συμβάσεις που απαριθμούνται στο παράρτημα II του ΚΚΑ.</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Συναλλαγές χρηματοδότησης τίτλων – Λογιστική αξία ισολογισμού</w:t>
            </w:r>
          </w:p>
          <w:p w14:paraId="0D6AB751" w14:textId="715CA2F8"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Άρθρο 4 παράγραφος 1 σημείο 77 του ΚΚΑ· η λογιστική αξία ισολογισμού των ΣΧΤ, σύμφωνα με το εφαρμοστέο λογιστικό πλαίσιο, όπου οι συμβάσεις αναγνωρίζονται ως στοιχεία ενεργητικού στον ισολογισμό.</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δεν συμπεριλαμβάνουν στο κελί αυτό τα εισπραχθέντα μετρητά ή οποιονδήποτε τίτλο που παρέχεται σε αντισυμβαλλόμενο μέσω των ανωτέρω συναλλαγών και διατηρείται στον ισολογισμό (δηλαδή δεν πληρούνται τα λογιστικά κριτήρια για μη αναγνώριση). Αντ’ αυτού, τα ιδρύματα περιλαμβάνουν τα στοιχεία αυτά στο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Συναλλαγές χρηματοδότησης τίτλων – Λογιστική αξία με την παραδοχή μη συμψηφισμού ή άλλης τεχνικής CRM</w:t>
            </w:r>
          </w:p>
          <w:p w14:paraId="07F0EA6D" w14:textId="36DDFB54" w:rsidR="00474B43"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Άρθρο 4 παράγραφος 1 σημείο 77 του ΚΚΑ· η λογιστική αξία ισολογισμού, σύμφωνα με το εφαρμοστέο λογιστικό πλαίσιο, όπου οι συμβάσεις αναγνωρίζονται ως στοιχείο ενεργητικού στον ισολογισμό, χωρίς να λαμβάνονται υπόψη τα αποτελέσματα του προληπτικού ή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Όταν επιτυγχάνεται λογιστική καταχώριση πώλησης για μια ΣΧΤ, σύμφωνα με το εφαρμοστέο λογιστικό πλαίσιο, τα ιδρύματα αντιστρέφουν όλες τις πωλήσεις που σχετίζονται με λογιστικές εγγραφές.</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δεν συμπεριλαμβάνουν στο κελί αυτό τα εισπραχθέντα μετρητά ή οποιονδήποτε τίτλο που παρέχεται σε αντισυμβαλλόμενο μέσω των ανωτέρω συναλλαγών και διατηρείται στον ισολογισμό (δηλαδή δεν πληρούνται τα λογιστικά κριτήρια για μη αναγνώριση). Αντ’ αυτού, τα ιδρύματα περιλαμβάνουν τα στοιχεία αυτά στο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Άλλα στοιχεία ενεργητικού – Λογιστική αξία ισολογισμού</w:t>
            </w:r>
          </w:p>
          <w:p w14:paraId="6BEE30BB" w14:textId="22D8D469"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Άρθρο 4 παράγραφος 1 σημείο 77 του ΚΚΑ· η λογιστική αξία ισολογισμού, σύμφωνα με το εφαρμοστέο λογιστικό πλαίσιο, όλων των στοιχείων ενεργητικού, πλην των συμβάσεων που παρατίθενται στο παράρτημα II του ΚΚΑ, πιστωτικών παραγώγων και ΣΧΤ.</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Άλλα στοιχεία ενεργητικού – Λογιστική αξία με την παραδοχή μη συμψηφισμού ή άλλης τεχνικής CRM</w:t>
            </w:r>
          </w:p>
          <w:p w14:paraId="398E7EA3" w14:textId="1172C7C7" w:rsidR="00410E47" w:rsidRPr="000B66BC" w:rsidRDefault="00E20CD8"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Άρθρο 4 παράγραφος 1 σημείο 77 του ΚΚΑ· η λογιστική αξία ισολογισμού, σύμφωνα με το εφαρμοστέο λογιστικό πλαίσιο, όλων των στοιχείων ενεργητικού, πλην των συμβάσεων που παρατίθενται στο παράρτημα II του ΚΚΑ, πιστωτικών παραγώγων και ΣΧΤ,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Στοιχεία εκτός ισολογισμού</w:t>
            </w:r>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αναφέρουν την ονομαστική αξία στοιχείων εκτός ισολογισμού. Η αξία αυτή δεν μειώνεται κατά τις ειδικές προσαρμογές πιστωτικού κινδύνου.</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δεν λαμβάνουν υπόψη σε αυτό το κελί τις συμβάσεις που παρατίθενται στο παράρτημα II του ΚΚΑ, πιστωτικά παράγωγα και ΣΧΤ, σύμφωνα με το άρθρο 429στ παράγραφος 1 του ΚΚΑ.</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Εξασφαλίσεις με χρηματικά διαθέσιμα που λήφθηκαν σε συναλλαγές σε παράγωγα – Λογιστική αξία με την παραδοχή μη συμψηφισμού ή άλλης τεχνικής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szCs w:val="24"/>
              </w:rPr>
              <w:t>Η λογιστική αξία ισολογισμού, σύμφωνα με το εφαρμοστέο λογιστικό πλαίσιο, των συμβάσεων των εξασφαλίσεων με χρηματικά διαθέσιμα που λήφθηκαν σε συναλλαγές σε παράγωγα,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szCs w:val="24"/>
              </w:rPr>
              <w:lastRenderedPageBreak/>
              <w:t>Για τους σκοπούς αυτού του κελιού, τα χρηματικά διαθέσιμα ορίζονται ως το συνολικό ποσό των μετρητών, συμπεριλαμβανομένων των κερμάτων και των τραπεζογραμματίων/νομισμάτων. Το συνολικό ποσό καταθέσεων σε κεντρικές τράπεζες συμπεριλαμβάνεται στον βαθμό που οι εν λόγω καταθέσεις μπορούν να αναληφθούν σε περιόδους ακραίων συνθηκών. Τα ιδρύματα δεν αναφέρουν στο κελί αυτό τις καταθέσεις μετρητών σε άλλα ιδρύματα.</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Απαιτήσεις για εξασφαλίσεις με χρηματικά διαθέσιμα που παρέχονται στο πλαίσιο συναλλαγών σε παράγωγα – Λογιστική αξία με την παραδοχή μη συμψηφισμού ή άλλης τεχνικής CRM</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Η λογιστική αξία ισολογισμού, σύμφωνα με το εφαρμοστέο λογιστικό πλαίσιο, των απαιτήσεων για εξασφαλίσεις με χρηματικά διαθέσιμα που παρέχονται στο πλαίσιο συναλλαγών σε παράγωγα,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szCs w:val="24"/>
              </w:rPr>
              <w:t>Τα ιδρύματα στα οποία επιτρέπεται, σύμφωνα με το εφαρμοστέο λογιστικό πλαίσιο, να συμψηφίσουν τις απαιτήσεις για εξασφαλίσεις με χρηματικά διαθέσιμα, που παρέχονται έναντι της σχετικής υποχρέωσης από παράγωγα (αρνητική εύλογη αξία) και που επιλέγουν να το πράξουν, αντιστρέφουν τη συμφωνία συμψηφισμού και αναφέρουν την καθαρή απαίτηση μετρητών.</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Τίτλοι που λαμβάνονται σε ΣΧΤ που αναγνωρίζονται ως περιουσιακό στοιχείο – Λογιστική αξία με την παραδοχή μη συμψηφισμού ή άλλης τεχνικής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szCs w:val="24"/>
              </w:rPr>
              <w:t>Η λογιστική αξία ισολογισμού, σύμφωνα με το εφαρμοστέο λογιστικό πλαίσιο, των τίτλων που λαμβάνονται σε ΣΧΤ που αναγνωρίζονται ως περιουσιακό στοιχείο σύμφωνα με το εφαρμοστέο λογιστικό πλαίσιο,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ΣΧΤ cash conduit lending (απαιτήσεις σε μετρητά) – Λογιστική αξία με την παραδοχή μη συμψηφισμού ή άλλης τεχνικής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Η λογιστική αξία ισολογισμού, σύμφωνα με το εφαρμοστέο λογιστικό πλαίσιο, των απαιτήσεων για χρηματικά διαθέσιμα για τον δανεισμό των χρηματικών διαθεσίμων στον ιδιοκτήτη των τίτλων σε μια αποδεκτή συναλλαγή δανεισμού χρηματικών διαθεσίμων μέσω εταιρικού μορφώματος (cash conduit lending transaction – CCLT), χωρίς να λαμβάνονται υπόψη τα αποτελέσματα του λογιστικού συμψηφισμού ή άλλα αποτελέσματα CRM (δηλαδή αντιστρέφονται τα όποια αποτελέσματα του λογιστικού συμψηφισμού ή του CRM που έχουν επηρεάσει τη λογιστική αξία).</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lastRenderedPageBreak/>
              <w:t>Για τους σκοπούς αυτού του κελιού, τα χρηματικά διαθέσιμα ορίζονται ως το συνολικό ποσό των μετρητών, συμπεριλαμβανομένων των κερμάτων και των τραπεζογραμματίων/νομισμάτων. Το συνολικό ποσό καταθέσεων σε κεντρικές τράπεζες συμπεριλαμβάνεται στον βαθμό που οι εν λόγω καταθέσεις μπορούν να αναληφθούν σε περιόδους ακραίων συνθηκών. Τα ιδρύματα δεν αναφέρουν στο κελί αυτό τις καταθέσεις μετρητών σε άλλα ιδρύματα.</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Ως συναλλαγή δανεισμού χρηματικών διαθεσίμων μέσω εταιρικού μορφώματος (CCLT) ορίζεται ένας συνδυασμός δύο συναλλαγών, κατά τις οποίες το ίδρυμα δανείζεται τίτλους από τον ιδιοκτήτη τίτλων και δανείζει τίτλους προς τον δανειολήπτη τίτλων. Παράλληλα, το ίδρυμα λαμβάνει εξασφάλιση σε χρηματικά διαθέσιμα από τον δανειολήπτη τίτλων και δανείζει τα εισπραχθέντα μετρητά στον ιδιοκτήτη των τίτλων. Μια αποδεκτή CCLT πληροί όλες τις ακόλουθες προϋποθέσεις:</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α)</w:t>
            </w:r>
            <w:r>
              <w:tab/>
            </w:r>
            <w:r>
              <w:rPr>
                <w:rFonts w:ascii="Times New Roman" w:hAnsi="Times New Roman"/>
                <w:color w:val="000000"/>
                <w:sz w:val="24"/>
                <w:szCs w:val="24"/>
              </w:rPr>
              <w:t>και οι δύο επιμέρους συναλλαγές που συγκροτούν την αποδεκτή συναλλαγή δανεισμού χρηματικών διαθεσίμων μέσω εταιρικού μορφώματος πραγματοποιούνται κατά την ίδια ημερομηνία συναλλαγής ή, για τις διεθνείς συναλλαγές, σε διαδοχικές εργάσιμες ημέρες·</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β)</w:t>
            </w:r>
            <w:r>
              <w:tab/>
            </w:r>
            <w:r>
              <w:rPr>
                <w:rFonts w:ascii="Times New Roman" w:hAnsi="Times New Roman"/>
                <w:color w:val="000000"/>
                <w:sz w:val="24"/>
                <w:szCs w:val="24"/>
              </w:rPr>
              <w:t>όταν οι συναλλαγές δεν ορίζουν ληκτότητα, το ίδρυμα έχει το νομικό δικαίωμα να εκκαθαρίσει καθεμία από τις δύο πλευρές της CCLT, δηλαδή και τους δύο τύπους συναλλαγών, ανά πάσα στιγμή και χωρίς προειδοποίηση·</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γ)</w:t>
            </w:r>
            <w:r>
              <w:tab/>
            </w:r>
            <w:r>
              <w:rPr>
                <w:rFonts w:ascii="Times New Roman" w:hAnsi="Times New Roman"/>
                <w:color w:val="000000"/>
                <w:sz w:val="24"/>
                <w:szCs w:val="24"/>
              </w:rPr>
              <w:t>όταν οι συναλλαγές ορίζουν ληκτότητα, η CCLT δεν εγείρει αναντιστοιχίες ληκτότητας για το ίδρυμα· το ίδρυμα έχει το νομικό δικαίωμα να εκκαθαρίσει καθεμία από τις δύο πλευρές της CCLT, δηλαδή και τους δύο τύπους συναλλαγών, ανά πάσα στιγμή και χωρίς προειδοποίηση·</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szCs w:val="24"/>
              </w:rPr>
              <w:t>δ)</w:t>
            </w:r>
            <w:r>
              <w:tab/>
            </w:r>
            <w:r>
              <w:rPr>
                <w:rFonts w:ascii="Times New Roman" w:hAnsi="Times New Roman"/>
                <w:sz w:val="24"/>
                <w:szCs w:val="24"/>
              </w:rPr>
              <w:t>δεν συνεπάγεται κανένα άλλο πρόσθετο άνοιγμα.</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1"/>
            <w:r>
              <w:rPr>
                <w:rFonts w:ascii="Times New Roman" w:hAnsi="Times New Roman"/>
                <w:bCs/>
                <w:sz w:val="24"/>
                <w:szCs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Επενδύσεις του δημοσίου τομέα – Απαιτήσεις έναντι κεντρικών κυβερνήσεων – Λογιστική αξία ισολογισμού</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κεντρικών κυβερνήσεων σε σχέση με επενδύσεις του δημόσιου τομέα.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Οι λογιστικές αξίες του ισολογισμού ενός ιδρύματος που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Επενδύσεις του δημοσίου τομέα – Απαιτήσεις έναντι περιφερειακών κυβερνήσεων – Λογιστική αξία ισολογισμού</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lastRenderedPageBreak/>
              <w:t xml:space="preserve">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περιφερειακών κυβερνήσεων σε σχέση με επενδύσεις του δημόσιου τομέα.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Οι λογιστικές αξίες του ισολογισμού ενός ιδρύματος που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lastRenderedPageBreak/>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Επενδύσεις του δημοσίου τομέα – Απαιτήσεις έναντι τοπικών αρχών – Λογιστική αξία ισολογισμού</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τοπικών αρχών σε σχέση με επενδύσεις του δημόσιου τομέα.</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Οι λογιστικές αξίες του ισολογισμού ενός ιδρύματος που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Επενδύσεις του δημοσίου τομέα – Απαιτήσεις έναντι οντοτήτων του δημόσιου τομέα – Λογιστική αξία ισολογισμού</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οντοτήτων του δημόσιου τομέα σε σχέση με επενδύσεις του δημόσιου τομέα.</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Οι λογιστικές αξίες του ισολογισμού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Προνομιακά δάνεια – Απαιτήσεις έναντι κεντρικών κυβερνήσεων – Λογιστική αξία ισολογισμού</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κεντρικών κυβερνήσεων σε σχέση με προνομιακά δάνεια.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Οι λογιστικές αξίες του ισολογισμού της μονάδας ενός ιδρύματος η οποία αντιμετωπίζεται ως δημόσιο αναπτυξιακό πιστωτικό ίδρυμα από</w:t>
            </w:r>
            <w:r>
              <w:rPr>
                <w:rFonts w:ascii="Times New Roman" w:hAnsi="Times New Roman"/>
                <w:b/>
                <w:bCs/>
                <w:sz w:val="24"/>
                <w:szCs w:val="24"/>
              </w:rPr>
              <w:t xml:space="preserve"> </w:t>
            </w:r>
            <w:r>
              <w:rPr>
                <w:rFonts w:ascii="Times New Roman" w:hAnsi="Times New Roman"/>
                <w:bCs/>
                <w:sz w:val="24"/>
                <w:szCs w:val="24"/>
              </w:rPr>
              <w:t>την αρμόδια αρχή σύμφωνα με το άρθρο 429α παράγραφος 2 τελευταίο εδάφιο, υπολογίζονται επίσης.</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bCs/>
                <w:sz w:val="24"/>
                <w:szCs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Προνομιακά δάνεια – Απαιτήσεις έναντι κεντρικών κυβερνήσεων – Ονομαστικό ποσό/Ονομαστική αξία</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Όταν το ίδρυμα είναι δημόσιο αναπτυξιακό πιστωτικό ίδρυμα, το ονομαστικό ποσό των στοιχείων εκτός ισολογισμού που αφορούν το μη αναληφθέν τμήμα προνομιακών δανείων που έχουν χορηγηθεί σε κεντρικές κυβερνήσεις.</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bCs/>
                <w:sz w:val="24"/>
                <w:szCs w:val="24"/>
              </w:rPr>
              <w:t>Τα ονομαστικά ποσά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Προνομιακά δάνεια – Απαιτήσεις έναντι περιφερειακών κυβερνήσεων – Λογιστική αξία ισολογισμού</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περιφερειακών κυβερνήσεων σε σχέση με προνομιακά δάνεια.</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Οι λογιστικές αξίες του ισολογισμού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Προνομιακά δάνεια – Απαιτήσεις έναντι περιφερειακών κυβερνήσεων – Ονομαστικό ποσό/Ονομαστική αξία</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Όταν το ίδρυμα είναι δημόσιο αναπτυξιακό πιστωτικό ίδρυμα, το ονομαστικό ποσό των στοιχείων εκτός ισολογισμού που αφορούν το μη αναληφθέν τμήμα προνομιακών δανείων που έχουν χορηγηθεί σε περιφερειακές κυβερνήσεις.</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Τα ονομαστικά ποσά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Προνομιακά δάνεια – Απαιτήσεις έναντι τοπικών αρχών – Λογιστική αξία ισολογισμού</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τοπικών αρχών σε σχέση με προνομιακά δάνεια.</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Οι λογιστικές αξίες του ισολογισμού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Προνομιακά δάνεια – Απαιτήσεις έναντι τοπικών αρχών – Ονομαστικό ποσό/Ονομαστική αξία</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Όταν το ίδρυμα είναι δημόσιο αναπτυξιακό πιστωτικό ίδρυμα, το ονομαστικό ποσό των στοιχείων εκτός ισολογισμού που αφορούν το μη αναληφθέν τμήμα προνομιακών δανείων που έχουν χορηγηθεί σε τοπικές αρχές.</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ονομαστικά ποσά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Προνομιακά δάνεια – Απαιτήσεις έναντι οντοτήτων του δημόσιου τομέα – Λογιστική αξία ισολογισμού</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οντοτήτων του δημοσίου τομέα σε σχέση με προνομιακά δάνεια.</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Οι λογιστικές αξίες του ισολογισμού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Προνομιακά δάνεια – Απαιτήσεις έναντι οντοτήτων του δημόσιου τομέα – Ονομαστικό ποσό/Ονομαστική αξία</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bCs/>
                <w:sz w:val="24"/>
                <w:szCs w:val="24"/>
              </w:rPr>
              <w:t>Όταν το ίδρυμα είναι δημόσιο αναπτυξιακό πιστωτικό ίδρυμα, το ονομαστικό ποσό των στοιχείων εκτός ισολογισμού που αφορούν το μη αναληφθέν τμήμα προνομιακών δανείων που έχουν χορηγηθεί σε οντότητες του δημόσιου τομέα.</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Τα ονομαστικά ποσά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Προνομιακά δάνεια – Απαιτήσεις έναντι μη χρηματοδοτικών εταιρειών – Λογιστική αξία ισολογισμού</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μη χρηματοδοτικών εταιρειών σε σχέση με προνομιακά δάνεια.</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Οι λογιστικές αξίες του ισολογισμού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bCs/>
                <w:sz w:val="24"/>
                <w:szCs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Προνομιακά δάνεια – Απαιτήσεις έναντι μη χρηματοδοτικών εταιρειών – Ονομαστικό ποσό/Ονομαστική αξία</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Όταν το ίδρυμα είναι δημόσιο αναπτυξιακό πιστωτικό ίδρυμα, το ονομαστικό ποσό των στοιχείων εκτός ισολογισμού που αφορούν το μη αναληφθέν τμήμα προνομιακών δανείων που έχουν χορηγηθεί σε μη χρηματοδοτικές εταιρείες.</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Τα ονομαστικά ποσά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Προνομιακά δάνεια – Απαιτήσεις έναντι νοικοκυριών – Λογιστική αξία ισολογισμού</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Όταν το ίδρυμα είναι δημόσιο αναπτυξιακό πιστωτικό ίδρυμα, η λογιστική αξία του ισολογισμού, σύμφωνα με το εφαρμοστέο λογιστικό πλαίσιο, των στοιχείων ενεργητικού που συνιστούν απαιτήσεις έναντι νοικοκυριών σε σχέση με προνομιακά δάνεια.</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Οι λογιστικές αξίες του ισολογισμού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Προνομιακά δάνεια – Απαιτήσεις έναντι νοικοκυριών – Ονομαστικό ποσό/Ονομαστική αξία</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bCs/>
                <w:sz w:val="24"/>
                <w:szCs w:val="24"/>
              </w:rPr>
              <w:t>Όταν το ίδρυμα είναι δημόσιο αναπτυξιακό πιστωτικό ίδρυμα, το ονομαστικό ποσό των στοιχείων εκτός ισολογισμού που αφορούν το μη αναληφθέν τμήμα προνομιακών δανείων που έχουν χορηγηθεί σε νοικοκυριά.</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Τα ονομαστικά ποσά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Προνομιακά δάνεια – Άμεση επανεκχώρηση – Λογιστική αξία ισολογισμού</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Όταν το ίδρυμα είναι δημόσιο αναπτυξιακό πιστωτικό ίδρυμα, η λογιστική αξία του ισολογισμού, σύμφωνα με το εφαρμοστέο λογιστικό πλαίσιο, των προνομιακών δανείων άμεσης επανεκχώρησης, όταν τα προνομιακά δάνεια δεν έχουν χορηγηθεί από το ίδιο το ίδρυμα.</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Οι λογιστικές αξίες του ισολογισμού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bCs/>
                <w:sz w:val="24"/>
                <w:szCs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Προνομιακά δάνεια – Άμεση επανεκχώρηση – Ονομαστικό ποσό/Ονομαστική αξία</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Όταν το ίδρυμα είναι δημόσιο αναπτυξιακό πιστωτικό ίδρυμα,</w:t>
            </w:r>
            <w:r>
              <w:rPr>
                <w:rFonts w:ascii="Times New Roman" w:hAnsi="Times New Roman"/>
                <w:color w:val="auto"/>
                <w:sz w:val="24"/>
                <w:szCs w:val="24"/>
              </w:rPr>
              <w:t xml:space="preserve"> το </w:t>
            </w:r>
            <w:r>
              <w:rPr>
                <w:rFonts w:ascii="Times New Roman" w:hAnsi="Times New Roman"/>
                <w:bCs/>
                <w:sz w:val="24"/>
                <w:szCs w:val="24"/>
              </w:rPr>
              <w:t>ονομαστικό ποσό των στοιχείων εκτός ισολογισμού που αφορούν το μη αναληφθέν τμήμα</w:t>
            </w:r>
            <w:r>
              <w:rPr>
                <w:rFonts w:ascii="Times New Roman" w:hAnsi="Times New Roman"/>
                <w:color w:val="auto"/>
                <w:sz w:val="24"/>
                <w:szCs w:val="24"/>
              </w:rPr>
              <w:t xml:space="preserve"> </w:t>
            </w:r>
            <w:r>
              <w:rPr>
                <w:rFonts w:ascii="Times New Roman" w:hAnsi="Times New Roman"/>
                <w:color w:val="auto"/>
                <w:sz w:val="24"/>
                <w:szCs w:val="24"/>
              </w:rPr>
              <w:lastRenderedPageBreak/>
              <w:t>προνομιακών δανείων άμεσης επανεκχώρησης, όταν τα προνομιακά δάνεια δεν έχουν χορηγηθεί από το ίδιο το ίδρυμα.</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Τα ονομαστικά ποσά της μονάδας ενός ιδρύματος η οποία αντιμετωπίζεται ως δημόσιο αναπτυξιακό πιστωτικό ίδρυμα από την αρμόδια αρχή σύμφωνα με το άρθρο 429α παράγραφος 2 τελευταίο εδάφιο, υπολογίζονται επίσης.</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Ανοίγματα στην κεντρική τράπεζα -</w:t>
            </w:r>
            <w:r>
              <w:rPr>
                <w:sz w:val="24"/>
                <w:szCs w:val="24"/>
              </w:rPr>
              <w:t xml:space="preserve"> </w:t>
            </w:r>
            <w:r>
              <w:rPr>
                <w:rFonts w:ascii="Times New Roman" w:hAnsi="Times New Roman"/>
                <w:b/>
                <w:bCs/>
                <w:sz w:val="24"/>
                <w:szCs w:val="24"/>
              </w:rPr>
              <w:t>Λογιστική αξία ισολογισμού</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Τα ιδρύματα αναφέρουν, σύμφωνα με το εφαρμοστέο λογιστικό πλαίσιο, την αξία των ακόλουθων ανοιγμάτων στην κεντρική τράπεζα του ιδρύματος: i) κέρματα και τραπεζογραμμάτια που συνιστούν νόμιμο νόμισμα στη δικαιοδοσία της κεντρικής τράπεζας· ii) στοιχεία ενεργητικού που αντιστοιχούν σε απαιτήσεις έναντι της κεντρικής τράπεζας, συμπεριλαμβανομένων αποθεματικών στην κεντρική τράπεζα.</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Τα ιδρύματα περιλαμβάνουν μόνο ανοίγματα τα οποία πληρούν αμφότερες τις ακόλουθες προϋποθέσεις: α) είναι εκφρασμένα στο ίδιο νόμισμα με τις καταθέσεις που δέχεται το ίδρυμα· β) η μέση ληκτότητά τους δεν υπερβαίνει κατά πολύ τη μέση ληκτότητα των καταθέσεων που δέχεται το ίδρυμα.</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color w:val="auto"/>
                <w:sz w:val="24"/>
                <w:szCs w:val="24"/>
              </w:rPr>
              <w:t>Τα ιδρύματα αναφέρουν τα εν λόγω ανοίγματα ανεξάρτητα από το αν εξαιρούνται από το μέτρο συνολικού ανοίγματος σύμφωνα με το άρθρο 429α παράγραφοι 5 και 6 του ΚΚΑ.</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20C39BF3"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Η αξία των ανοιγμάτων στην κεντρική τράπεζα η οποία χρησιμοποιείται για τον υπολογισμό της απαίτησης για προσαρμοσμένο δείκτη μόχλευσης που αναφέρεται στο άρθρο 429α παράγραφος 7 του ΚΚΑ – Ποσό ανοίγματος του δείκτη μόχλευσης</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Η ημερήσια μέση συνολική αξία των ανοιγμάτων του ιδρύματος στην κεντρική του τράπεζα, υπολογιζόμενων καθ’ όλη τη διάρκεια της περιόδου διατήρησης αποθεματικού της κεντρικής τράπεζας αμέσως πριν από την ημερομηνία που αναφέρεται στο άρθρο 429α παράγραφος 5 στοιχείο γ) του ΚΚΑ, τα οποία είναι επιλέξιμα να εξαιρεθούν σύμφωνα με το άρθρο 429α παράγραφος 1 στοιχείο ιδ) του ΚΚΑ</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Μέτρο ανοίγματος του δείκτη μόχλευσης το οποίο χρησιμοποιείται για τον υπολογισμό της απαίτησης για προσαρμοσμένο δείκτη μόχλευσης που αναφέρεται στο άρθρο 429α παράγραφος 7 του ΚΚΑ – Ποσό ανοίγματος του δείκτη μόχλευσης</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Το μέτρο συνολικού ανοίγματος του ιδρύματος όπως ορίζεται στο άρθρο 429 παράγραφος 4 του ΚΚΑ, συμπεριλαμβανομένων των ανοιγμάτων που εξαιρούνται σύμφωνα με το άρθρο 429 παράγραφος 1 στοιχείο ιδ) του ΚΚΑ, κατά την ημέρα που αναφέρεται στο άρθρο 429α παράγραφος 5 στοιχείο γ) του ΚΚΑ.</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bCs/>
                <w:sz w:val="24"/>
                <w:szCs w:val="24"/>
              </w:rPr>
              <w:lastRenderedPageBreak/>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Σύνολο ενεργητικού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Τα ιδρύματα αναφέρουν στο στοιχείο αυτό το σύνολο ενεργητικού σύμφωνα με το πεδίο εφαρμογής που έχει χρησιμοποιηθεί στις δημοσιευμένες οικονομικές καταστάσεις.</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52461754"/>
      <w:bookmarkStart w:id="73" w:name="_Toc322533879"/>
      <w:bookmarkEnd w:id="57"/>
      <w:bookmarkEnd w:id="65"/>
      <w:bookmarkEnd w:id="66"/>
      <w:bookmarkEnd w:id="67"/>
      <w:r>
        <w:rPr>
          <w:rFonts w:ascii="Times New Roman" w:hAnsi="Times New Roman"/>
          <w:b/>
          <w:sz w:val="24"/>
          <w:szCs w:val="24"/>
        </w:rPr>
        <w:t>5.</w:t>
      </w:r>
      <w:r>
        <w:tab/>
      </w:r>
      <w:r>
        <w:rPr>
          <w:rFonts w:ascii="Times New Roman" w:hAnsi="Times New Roman"/>
          <w:b/>
          <w:sz w:val="24"/>
          <w:szCs w:val="24"/>
        </w:rPr>
        <w:t>C 43.00 – Εναλλακτική ανάλυση των συνιστωσών του μέτρου του ανοίγματος του δείκτη μόχλευσης</w:t>
      </w:r>
      <w:bookmarkEnd w:id="68"/>
      <w:bookmarkEnd w:id="69"/>
      <w:bookmarkEnd w:id="70"/>
      <w:r>
        <w:rPr>
          <w:rFonts w:ascii="Times New Roman" w:hAnsi="Times New Roman"/>
          <w:b/>
          <w:sz w:val="24"/>
          <w:szCs w:val="24"/>
        </w:rPr>
        <w:t xml:space="preserve"> (LR4)</w:t>
      </w:r>
      <w:bookmarkEnd w:id="71"/>
      <w:bookmarkEnd w:id="72"/>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24.</w:t>
      </w:r>
      <w:r>
        <w:tab/>
      </w:r>
      <w:r>
        <w:rPr>
          <w:rFonts w:ascii="Times New Roman" w:hAnsi="Times New Roman"/>
          <w:sz w:val="24"/>
          <w:szCs w:val="24"/>
        </w:rPr>
        <w:t xml:space="preserve">Τα ιδρύματα αναφέρουν τις τιμές του ανοίγματος του δείκτη μόχλευσης στο LR4 μετά την εφαρμογή εξαιρέσεων και των αφαιρέσεων στο υπόδειγμα LRCalc, δηλαδή τα στοιχεία με αρνητικό πρόσημο σύμφωνα με τους κανόνες χρήσης προσήμου του παρόντος παραρτήματος μέρος Ι παράγραφος 9, εκτός από τις γραμμές </w:t>
      </w:r>
      <w:r>
        <w:rPr>
          <w:rFonts w:ascii="Times New Roman" w:hAnsi="Times New Roman"/>
          <w:bCs/>
          <w:sz w:val="24"/>
          <w:szCs w:val="24"/>
        </w:rPr>
        <w:t>{0270,0010}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25.</w:t>
      </w:r>
      <w:r>
        <w:tab/>
      </w:r>
      <w:r>
        <w:rPr>
          <w:rFonts w:ascii="Times New Roman" w:hAnsi="Times New Roman"/>
          <w:sz w:val="24"/>
          <w:szCs w:val="24"/>
        </w:rPr>
        <w:t>Προκειμένου να αποφευχθεί ο διπλός υπολογισμός, τα ιδρύματα τηρούν την ακόλουθη εξίσωση:</w:t>
      </w:r>
    </w:p>
    <w:p w14:paraId="6C63F05C" w14:textId="680D603A"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 xml:space="preserve"> </w:t>
      </w:r>
      <w:r>
        <w:tab/>
      </w:r>
      <w:r>
        <w:rPr>
          <w:rFonts w:ascii="Times New Roman" w:hAnsi="Times New Roman"/>
          <w:sz w:val="24"/>
          <w:szCs w:val="24"/>
        </w:rPr>
        <w:t xml:space="preserve">Το άθροισμα </w:t>
      </w:r>
      <w:r>
        <w:rPr>
          <w:rFonts w:ascii="Times New Roman" w:hAnsi="Times New Roman"/>
          <w:bCs/>
          <w:sz w:val="24"/>
          <w:szCs w:val="24"/>
        </w:rPr>
        <w:t>όλων των γραμμών από</w:t>
      </w:r>
      <w:r>
        <w:rPr>
          <w:rFonts w:ascii="Times New Roman" w:hAnsi="Times New Roman"/>
          <w:sz w:val="24"/>
          <w:szCs w:val="24"/>
        </w:rPr>
        <w:t xml:space="preserve"> {0010,0010}</w:t>
      </w:r>
      <w:r>
        <w:rPr>
          <w:rFonts w:ascii="Times New Roman" w:hAnsi="Times New Roman"/>
          <w:bCs/>
          <w:sz w:val="24"/>
          <w:szCs w:val="24"/>
        </w:rPr>
        <w:t xml:space="preserve"> έως </w:t>
      </w:r>
      <w:r>
        <w:rPr>
          <w:rFonts w:ascii="Times New Roman" w:hAnsi="Times New Roman"/>
          <w:sz w:val="24"/>
          <w:szCs w:val="24"/>
        </w:rPr>
        <w:t>{0</w:t>
      </w:r>
      <w:r>
        <w:rPr>
          <w:rFonts w:ascii="Times New Roman" w:hAnsi="Times New Roman"/>
          <w:bCs/>
          <w:sz w:val="24"/>
          <w:szCs w:val="24"/>
        </w:rPr>
        <w:t>267,</w:t>
      </w:r>
      <w:r>
        <w:rPr>
          <w:rFonts w:ascii="Times New Roman" w:hAnsi="Times New Roman"/>
          <w:sz w:val="24"/>
          <w:szCs w:val="24"/>
        </w:rPr>
        <w:t>0010}</w:t>
      </w:r>
      <w:r>
        <w:rPr>
          <w:rFonts w:ascii="Times New Roman" w:hAnsi="Times New Roman"/>
          <w:bCs/>
          <w:sz w:val="24"/>
          <w:szCs w:val="24"/>
        </w:rPr>
        <w:t xml:space="preserve"> στο υπόδειγμα LRCalc ισούται με</w:t>
      </w:r>
      <w:r>
        <w:rPr>
          <w:rFonts w:ascii="Times New Roman" w:hAnsi="Times New Roman"/>
          <w:sz w:val="24"/>
          <w:szCs w:val="24"/>
        </w:rPr>
        <w:t xml:space="preserve">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szCs w:val="24"/>
        </w:rPr>
        <w:t>26.</w:t>
      </w:r>
      <w:r>
        <w:tab/>
      </w:r>
      <w:r>
        <w:rPr>
          <w:rFonts w:ascii="Times New Roman" w:hAnsi="Times New Roman"/>
          <w:sz w:val="24"/>
          <w:szCs w:val="24"/>
        </w:rPr>
        <w:t>Προκειμένου να είναι συνεπή με τις τιμές του ανοίγματος του δείκτη μόχλευσης, τα σταθμισμένα ως προς τον κίνδυνο ποσά ανοίγματος αναφέρονται επίσης με πλήρη εφαρμογή.</w:t>
      </w:r>
    </w:p>
    <w:p w14:paraId="794DC095" w14:textId="689BE33F"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szCs w:val="24"/>
        </w:rPr>
        <w:t xml:space="preserve">27. Τα ιδρύματα αναφέρουν τον αντισυμβαλλόμενο σε σχέση με το RWEA, μετά τις τεχνικές μετριασμού του πιστωτικού κινδύνου (CRM) και τα αποτελέσματα υποκατάστασής τους. Τα ιδρύματα αναφέρουν τον αντισυμβαλλόμενο σε σχέση με το LRE σύμφωνα με τον αρχικό αντισυμβαλλόμενο, δηλαδή χωρίς να λαμβάνεται υπόψη τυχόν CRM ή αποτέλεσμα υποκατάστασης που εφαρμόζεται στο RWEA.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szCs w:val="24"/>
              </w:rPr>
              <w:t>Γραμμή και στήλη</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bCs/>
                <w:sz w:val="24"/>
                <w:szCs w:val="24"/>
              </w:rPr>
              <w:t>Νομικά κείμενα αναφοράς και οδηγίες</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Στοιχεία εκτός ισολογισμού – Τιμή του ανοίγματος του δείκτη μόχλευσης</w:t>
            </w:r>
          </w:p>
          <w:p w14:paraId="158DBAF4" w14:textId="79CDE72A"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Η τιμή του ανοίγματος του δείκτη μόχλευσης υπολογίζεται ως το άθροισμα των {LRCalc,0150,0010}, {LRCalc,0160,0010}, {LRCalc,0170,0010} και {LRCalc,0180,0010}, εκτός των αντίστοιχων ενδοομιλικών ανοιγμάτων </w:t>
            </w:r>
            <w:r>
              <w:rPr>
                <w:rFonts w:ascii="Times New Roman" w:hAnsi="Times New Roman"/>
                <w:sz w:val="24"/>
                <w:szCs w:val="24"/>
              </w:rPr>
              <w:lastRenderedPageBreak/>
              <w:t>(σε ατομική βάση) που εξαιρούνται σύμφωνα με το άρθρο 429α παράγραφος 1 στοιχείο γ) του ΚΚΑ.</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Στοιχεία εκτός ισολογισμού – Ποσό ανοίγματος σταθμισμένο ως προς τον κίνδυνο (RWEA)</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Το σταθμισμένο ως προς τον κίνδυνο ποσό ανοίγματος των εκτός ισολογισμού στοιχείων —εκτός από ΣΧΤ και παράγωγα— όπως στην τυποποιημένη προσέγγιση και την προσέγγιση IRB. </w:t>
            </w:r>
            <w:r>
              <w:rPr>
                <w:rFonts w:ascii="Times New Roman" w:hAnsi="Times New Roman"/>
                <w:sz w:val="24"/>
                <w:szCs w:val="24"/>
              </w:rPr>
              <w:t>Για ανοίγματα στο πλαίσιο της τυποποιημένης προσέγγισης, τα ιδρύματα προσδιορίζουν το σταθμισμένο ως προς τον κίνδυνο ποσό ανοίγματος σύμφωνα με το τρίτο μέρος τίτλος II κεφάλαιο 2 του ΚΚΑ.</w:t>
            </w:r>
            <w:r>
              <w:rPr>
                <w:rFonts w:ascii="Times New Roman" w:hAnsi="Times New Roman"/>
                <w:bCs/>
                <w:sz w:val="24"/>
                <w:szCs w:val="24"/>
              </w:rPr>
              <w:t xml:space="preserve"> </w:t>
            </w:r>
            <w:r>
              <w:rPr>
                <w:rFonts w:ascii="Times New Roman" w:hAnsi="Times New Roman"/>
                <w:sz w:val="24"/>
                <w:szCs w:val="24"/>
              </w:rPr>
              <w:t>Για ανοίγματα στο πλαίσιο της προσέγγισης εσωτερικών διαβαθμίσεων (IRB), τα ιδρύματα προσδιορίζουν το σταθμισμένο ως προς τον κίνδυνο ποσό ανοίγματος σύμφωνα με το τρίτο μέρος τίτλος II κεφάλαιο 3 του ΚΚΑ.</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εκ των οποίων: </w:t>
            </w:r>
            <w:r>
              <w:rPr>
                <w:rFonts w:ascii="Times New Roman" w:hAnsi="Times New Roman"/>
                <w:b/>
                <w:sz w:val="24"/>
                <w:szCs w:val="24"/>
              </w:rPr>
              <w:t>Χρηματοδότηση του εμπορίου – Τιμή του ανοίγματος του δείκτη μόχλευσης</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των στοιχείων εκτός ισολογισμού που σχετίζονται με τη χρηματοδότηση του εμπορίου.</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Για τους σκοπούς της υποβολής αναφορών βάσει του LR4, τα εκτός ισολογισμού στοιχεία που σχετίζονται με τη χρηματοδότηση του εμπορίου αφορούν ενέγγυες πιστώσεις εισαγωγών και εξαγωγών, οι οποίες έχουν εκδοθεί και βεβαιωθεί και οι οποίες είναι βραχυπρόθεσμες και αυτοεξοφλούμενες, καθώς και παρόμοιες πράξεις.</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εκ των οποίων: Χρηματοδότηση του εμπορίου – RWEA</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bCs/>
                <w:sz w:val="24"/>
                <w:szCs w:val="24"/>
              </w:rPr>
              <w:t>Η σταθμισμένη ως προς τον κίνδυνο αξία ανοίγματος των εκτός ισολογισμού στοιχείων —εκτός από ΣΧΤ και παράγωγα— που σχετίζονται με τη χρηματοδότηση του εμπορίου.</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Για τους σκοπούς της υποβολής αναφορών βάσει του LR4, τα εκτός ισολογισμού στοιχεία που σχετίζονται με τη χρηματοδότηση του εμπορίου αφορούν ενέγγυες πιστώσεις εισαγωγών και εξαγωγών, οι οποίες έχουν εκδοθεί και βεβαιωθεί και οι οποίες είναι βραχυπρόθεσμες και αυτοεξοφλούμενες, καθώς και παρόμοιες πράξεις.</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εκ των οποίων: </w:t>
            </w:r>
            <w:r>
              <w:rPr>
                <w:rFonts w:ascii="Times New Roman" w:hAnsi="Times New Roman"/>
                <w:b/>
                <w:sz w:val="24"/>
                <w:szCs w:val="24"/>
              </w:rPr>
              <w:t>Σύμφωνα με το επίσημο καθεστώς ασφάλισης των εξαγωγικών πιστώσεων – Τιμή του ανοίγματος του δείκτη μόχλευσης</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Η τιμή του ανοίγματος του δείκτη μόχλευσης στοιχείων εκτός ισολογισμού που σχετίζονται με τη χρηματοδότηση του εμπορίου σύμφωνα με το επίσημο καθεστώς ασφάλισης των εξαγωγικών πιστώσεων.</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 xml:space="preserve">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w:t>
            </w:r>
            <w:r>
              <w:rPr>
                <w:rFonts w:ascii="Times New Roman" w:hAnsi="Times New Roman"/>
                <w:sz w:val="24"/>
                <w:szCs w:val="24"/>
              </w:rPr>
              <w:lastRenderedPageBreak/>
              <w:t>έναν οργανισμό εξαγωγικών πιστώσεων, με τη μορφή, 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εκ των οποίων: Σύμφωνα με το επίσημο καθεστώς ασφάλισης των εξαγωγικών πιστώσεων – RWEA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Η σταθμισμένη ως προς τον κίνδυνο αξία ανοίγματος εκτός ισολογισμού στοιχείων —εκτός από ΣΧΤ και παράγωγα— που σχετίζονται με τη χρηματοδότηση του εμπορίου σύμφωνα με το επίσημο καθεστώς ασφάλισης των εξαγωγικών πιστώσεων.</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έναν οργανισμό εξαγωγικών πιστώσεων, με τη μορφή, 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Παράγωγα και ΣΧΤ που υπόκεινται σε συμφωνία συμψηφισμού μεταξύ προϊόντων – Τιμή του ανοίγματος του δείκτη μόχλευσης</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Η τιμή του ανοίγματος του δείκτη μόχλευσης των παραγώγων και των ΣΧΤ, εφόσον υπόκεινται σε συμφωνίες συμψηφισμού μεταξύ προϊόντων, όπως ορίζεται στο άρθρο 272 σημείο 25 του ΚΚΑ.</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Παράγωγα και ΣΧΤ που υπόκεινται σε συμφωνία συμψηφισμού μεταξύ προϊόντων – RWEA</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Τα σταθμισμένα ως προς τον κίνδυνο ποσά ανοίγματος για πιστωτικό κίνδυνο και κίνδυνο αντισυμβαλλομένου, όπως υπολογίζονται βάσει του τρίτου μέρους τίτλος II του ΚΚΑ, των παραγώγων και των ΣΧΤ, συμπεριλαμβανομένων εκείνων που είναι εκτός ισολογισμού, εφόσον υπόκεινται σε συμφωνία συμψηφισμού μεταξύ προϊόντων όπως ορίζεται στο άρθρο 272 σημείο 25 του ΚΚΑ.</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Παράγωγα που δεν υπόκεινται σε συμφωνία συμψηφισμού μεταξύ προϊόντων – Τιμή του ανοίγματος του δείκτη μόχλευσης</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Η τιμή του ανοίγματος του δείκτη μόχλευσης των παραγώγων, εφόσον δεν υπόκεινται σε συμφωνία συμψηφισμού μεταξύ προϊόντων όπως ορίζεται στο άρθρο 272 σημείο 25 του ΚΚΑ.</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Παράγωγα που δεν υπόκεινται σε συμφωνία συμψηφισμού μεταξύ προϊόντων – RWEA</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lastRenderedPageBreak/>
              <w:t>Τα σταθμισμένα ως προς τον κίνδυνο ποσά ανοίγματος για πιστωτικό κίνδυνο και κίνδυνο αντισυμβαλλομένου των παραγώγων, όπως υπολογίζονται βάσει του τρίτου μέρους τίτλος II του ΚΚΑ, συμπεριλαμβανομένων εκείνων που είναι εκτός ισολογισμού, εφόσον δεν υπόκεινται σε συμφωνία συμψηφισμού μεταξύ προϊόντων όπως ορίζεται στο άρθρο 272 σημείο 25 του ΚΚΑ.</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ΣΧΤ που δεν υπόκεινται σε συμφωνία συμψηφισμού μεταξύ προϊόντων – Τιμή του ανοίγματος του δείκτη μόχλευσης</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Η τιμή του ανοίγματος του δείκτη μόχλευσης των ανοιγμάτων ΣΧΤ, εφόσον δεν υπόκεινται σε συμφωνία συμψηφισμού μεταξύ προϊόντων όπως ορίζεται στο άρθρο 272 σημείο 25 του ΚΚΑ.</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ΣΧΤ που δεν υπόκεινται σε συμφωνία συμψηφισμού μεταξύ προϊόντων – RWEA</w:t>
            </w:r>
          </w:p>
          <w:p w14:paraId="0358DACB" w14:textId="66B61E47"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Τα σταθμισμένα ως προς τον κίνδυνο ποσά ανοίγματος για πιστωτικό κίνδυνο και κίνδυνο αντισυμβαλλομένου των ΣΧΤ, όπως υπολογίζονται βάσει του τρίτου μέρους τίτλος II του ΚΚΑ, συμπεριλαμβανομένων εκείνων που είναι εκτός ισολογισμού, εφόσον δεν υπόκεινται σε συμφωνία συμψηφισμού μεταξύ προϊόντων όπως ορίζεται στο άρθρο 272 σημείο 25 του ΚΚΑ.</w:t>
            </w:r>
            <w:r>
              <w:rPr>
                <w:rFonts w:ascii="Times New Roman" w:hAnsi="Times New Roman"/>
                <w:bCs/>
                <w:sz w:val="24"/>
                <w:szCs w:val="24"/>
              </w:rPr>
              <w:t xml:space="preserve">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bCs/>
                <w:sz w:val="24"/>
                <w:szCs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szCs w:val="24"/>
              </w:rPr>
              <w:t>Ποσά ανοίγματος που προκύπτουν από την επιπρόσθετη αντιμετώπιση για πιστωτικά παράγωγα – Τιμή του ανοίγματος του δείκτη μόχλευσης</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szCs w:val="24"/>
              </w:rPr>
              <w:t>Το ποσό που αναγράφεται σε αυτό το κελί ισούται με τη διαφορά μεταξύ των {LRCalc,0130,0010} και {LRCalc,0140,0010}, εκτός των αντίστοιχων ενδοομιλικών ανοιγμάτων (σε ατομική βάση) που εξαιρούνται σύμφωνα με το άρθρο 429α παράγραφος 1 στοιχεία γ) του ΚΚΑ.</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szCs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Λοιπά στοιχεία ενεργητικού που ανήκουν στο χαρτοφυλάκιο συναλλαγών – Τιμή του ανοίγματος του δείκτη μόχλευσης</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που αναφέρονται στο {LRCalc,0190,0010}, εξαιρουμένων των στοιχείων εκτός χαρτοφυλακίου συναλλαγών.</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szCs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Λοιπά στοιχεία ενεργητικού που ανήκουν στο χαρτοφυλάκιο συναλλαγών – RWEA</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Απαιτήσεις ιδίων κεφαλαίων πολλαπλασιασμένες επί 12,5 των στοιχείων που υπόκεινται στο τρίτο μέρος τίτλος IV του ΚΚΑ.</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Καλυμμένα ομόλογα – Τιμή του ανοίγματος του δείκτη μόχλευσης – Ανοίγματα τυποποιημένης προσέγγισης (SA)</w:t>
            </w:r>
          </w:p>
          <w:p w14:paraId="7DABED3A" w14:textId="62C07F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Η τιμή του ανοίγματος του δείκτη μόχλευσης στοιχείων ενεργητικού που είναι ανοίγματα SA υπό τη μορφή καλυμμένων ομολόγων σύμφωνα με το άρθρο 129 του ΚΚΑ.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Καλυμμένα ομόλογα – Τιμή του ανοίγματος του δείκτη μόχλευσης – Ανοίγματα IRB</w:t>
            </w:r>
          </w:p>
          <w:p w14:paraId="31EFC20D" w14:textId="6E735E6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IRB υπό τη μορφή καλυμμένων ομολόγων σύμφωνα με το άρθρο 161 παράγραφος 1 στοιχείο δ) του ΚΚΑ.</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Καλυμμένα ομόλογα – RWEA – Ανοίγματα SA</w:t>
            </w:r>
          </w:p>
          <w:p w14:paraId="6C4B05A8" w14:textId="3CC6E09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SA υπό τη μορφή καλυμμένων ομολόγων σύμφωνα με το άρθρο 129 του ΚΚΑ.</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Καλυμμένα ομόλογα – RWEA – Ανοίγματα IRB</w:t>
            </w:r>
          </w:p>
          <w:p w14:paraId="466ABC6A" w14:textId="52C506D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IRB υπό τη μορφή καλυμμένων ομολόγων σύμφωνα με το άρθρο 161 παράγραφος 1 στοιχείο δ) του ΚΚΑ.</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Ανοίγματα που αντιμετωπίζονται ως κρατικά – Τιμή του ανοίγματος του δείκτη μόχλευσης – Ανοίγματα SA</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Είναι το άθροισμα των κελιών από {0100,0010} έως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Ανοίγματα που αντιμετωπίζονται ως κρατικά – Τιμή του ανοίγματος του δείκτη μόχλευσης – Ανοίγματα IRB</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Είναι το άθροισμα των κελιών από {0100,0020} έως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Ανοίγματα που αντιμετωπίζονται ως κρατικά – RWEA – Ανοίγματα SA</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Είναι το άθροισμα των κελιών από {0100,0030} έως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Ανοίγματα που αντιμετωπίζονται ως κρατικά – RWEA – Ανοίγματα IRB</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Είναι το άθροισμα των κελιών από {0100,0040} έως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Κεντρικές κυβερνήσεις και κεντρικές τράπεζες – Τιμή του ανοίγματος του δείκτη μόχλευσης – Ανοίγματα SA</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SA έναντι κεντρικών κυβερνήσεων ή κεντρικών τραπεζών σύμφωνα με το άρθρο 114 του ΚΚΑ.</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Κεντρικές κυβερνήσεις και κεντρικές τράπεζες – Τιμή του ανοίγματος του δείκτη μόχλευσης – Ανοίγματα IRB</w:t>
            </w:r>
          </w:p>
          <w:p w14:paraId="517FD145" w14:textId="3633E71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Η τιμή του ανοίγματος του δείκτη μόχλευσης στοιχείων ενεργητικού που είναι ανοίγματα IRB έναντι κεντρικών κυβερνήσεων ή κεντρικών τραπεζών σύμφωνα με το άρθρο 147 παράγραφος 2 στοιχείο α) του ΚΚΑ.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Κεντρικές κυβερνήσεις και κεντρικές τράπεζες – RWEA – Ανοίγματα SA</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SA έναντι κεντρικών κυβερνήσεων ή κεντρικών τραπεζών σύμφωνα με το άρθρο 114 του ΚΚΑ.</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Κεντρικές κυβερνήσεις και κεντρικές τράπεζες – RWEA – Ανοίγματα IRB</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IRB έναντι κεντρικών κυβερνήσεων ή κεντρικών τραπεζών σύμφωνα με το άρθρο 147 παράγραφος 2 στοιχείο α) του ΚΚΑ.</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Περιφερειακές κυβερνήσεις και τοπικές αρχές που αντιμετωπίζονται ως κρατικές – Τιμή του ανοίγματος του δείκτη μόχλευσης – Ανοίγματα SA</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SA έναντι περιφερειακών κυβερνήσεων και τοπικών αρχών που αντιμετωπίζονται ως κρατικές, τα οποία εμπίπτουν στο άρθρο 115 παράγραφοι 2 και 4 του ΚΚΑ.</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Περιφερειακές κυβερνήσεις και τοπικές αρχές που αντιμετωπίζονται ως κρατικές – Τιμή του ανοίγματος του δείκτη μόχλευσης – Ανοίγματα IRB</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Η τιμή του ανοίγματος του δείκτη μόχλευσης στοιχείων ενεργητικού που είναι ανοίγματα IRB έναντι περιφερειακών κυβερνήσεων και τοπικών αρχών τα οποία εμπίπτουν στο άρθρο 147 παράγραφος 3 στοιχείο α) του ΚΚΑ.</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Περιφερειακές κυβερνήσεις και τοπικές αρχές που αντιμετωπίζονται ως κρατικές – RWEA – Ανοίγματα SA</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SA έναντι περιφερειακών κυβερνήσεων και τοπικών αρχών που αντιμετωπίζονται ως κρατικές, τα οποία εμπίπτουν στο άρθρο 115 παράγραφοι 2 και 4 του ΚΚΑ.</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Περιφερειακές κυβερνήσεις και τοπικές αρχές που αντιμετωπίζονται ως κρατικές – RWEA – Ανοίγματα IRB</w:t>
            </w:r>
          </w:p>
          <w:p w14:paraId="099D799F" w14:textId="7F8E67A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Το σταθμισμένο ως προς τον κίνδυνο ποσό ανοίγματος στοιχείων ενεργητικού που είναι ανοίγματα IRB έναντι περιφερειακών κυβερνήσεων και τοπικών αρχών, τα οποία εμπίπτουν στο άρθρο 147 παράγραφος 3 στοιχείο α) του ΚΚΑ.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Πολυμερείς τράπεζες ανάπτυξης (ΠΤΑ) και διεθνείς οργανισμοί που αντιμετωπίζονται ως κράτη – Τιμή του ανοίγματος του δείκτη μόχλευσης – Ανοίγματα SA</w:t>
            </w:r>
          </w:p>
          <w:p w14:paraId="595E0D3B" w14:textId="420681E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Η τιμή του ανοίγματος του δείκτη μόχλευσης στοιχείων ενεργητικού που είναι ανοίγματα SA έναντι πολυμερών τραπεζών ανάπτυξης και διεθνών </w:t>
            </w:r>
            <w:r>
              <w:rPr>
                <w:rFonts w:ascii="Times New Roman" w:hAnsi="Times New Roman"/>
                <w:bCs/>
                <w:sz w:val="24"/>
                <w:szCs w:val="24"/>
              </w:rPr>
              <w:lastRenderedPageBreak/>
              <w:t xml:space="preserve">οργανισμών, τα οποία εμπίπτουν στο άρθρο 117 παράγραφος 2 και στο άρθρο 118 του ΚΚΑ.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ΠΤΑ και διεθνείς οργανισμοί που αντιμετωπίζονται ως κράτη – Τιμή του ανοίγματος του δείκτη μόχλευσης – Ανοίγματα IRB</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IRB έναντι πολυμερών τραπεζών ανάπτυξης και διεθνών οργανισμών, τα οποία εμπίπτουν στο άρθρο 147 παράγραφος 3 στοιχεία β) και γ) του ΚΚΑ.</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ΠΤΑ και διεθνείς οργανισμοί που αντιμετωπίζονται ως κράτη – RWEA – Ανοίγματα SA</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έναντι πολυμερών τραπεζών ανάπτυξης και διεθνών οργανισμών, τα οποία εμπίπτουν στο άρθρο 117 παράγραφος 2 και στο άρθρο 118 του ΚΚΑ.</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ΠΤΑ και διεθνείς οργανισμοί που αντιμετωπίζονται ως κράτη – RWEA – Ανοίγματα IRB</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IRB έναντι πολυμερών τραπεζών ανάπτυξης και διεθνών οργανισμών, τα οποία εμπίπτουν στο άρθρο 147 παράγραφος 3 στοιχεία β) και γ) του ΚΚΑ.</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Οντότητες του δημόσιου τομέα (ΟΔΤ) που αντιμετωπίζονται ως κρατικές – Τιμή του ανοίγματος του δείκτη μόχλευσης – Ανοίγματα SA</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SA έναντι οντοτήτων του δημόσιου τομέα, τα οποία εμπίπτουν στο πεδίο εφαρμογής του άρθρου 116 παράγραφος 4 του ΚΚΑ.</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ΟΔΤ που αντιμετωπίζονται ως κρατικές – Τιμή του ανοίγματος του δείκτη μόχλευσης – Ανοίγματα IRB</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Το ποσό του ανοίγματος του δείκτη μόχλευσης στοιχείων ενεργητικού που είναι ανοίγματα IRB έναντι οντοτήτων του δημόσιου τομέα, τα οποία εμπίπτουν στο άρθρο 147 παράγραφος 3 στοιχείο α) του ΚΚΑ.</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ΟΔΤ που αντιμετωπίζονται ως κρατικές – RWEA – Ανοίγματα SA</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SA έναντι οντοτήτων του δημόσιου τομέα, τα οποία εμπίπτουν στο άρθρο 116 παράγραφος 4 του ΚΚΑ.</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ΟΔΤ που αντιμετωπίζονται ως κρατικές – RWEA – Ανοίγματα IRB</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IRB έναντι οντοτήτων του δημόσιου τομέα, τα οποία εμπίπτουν στο άρθρο 147 παράγραφος 3 στοιχείο α) του ΚΚΑ.</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Ανοίγματα έναντι περιφερειακών κυβερνήσεων, ΠΤΑ, διεθνών οργανισμών και ΟΔΤ που δεν αντιμετωπίζονται ως κρατικά - Τιμή του ανοίγματος του δείκτη μόχλευσης – Ανοίγματα SA</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Είναι το άθροισμα των κελιών από {0150,0010} έως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Ανοίγματα έναντι περιφερειακών κυβερνήσεων, ΠΤΑ, διεθνών οργανισμών και ΟΔΤ που δεν αντιμετωπίζονται ως κρατικά – Τιμή του ανοίγματος του δείκτη μόχλευσης – Ανοίγματα IRB</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Είναι το άθροισμα των κελιών από {0150,0020} έως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Ανοίγματα έναντι περιφερειακών κυβερνήσεων, ΠΤΑ, διεθνών οργανισμών και ΟΔΤ που δεν αντιμετωπίζονται ως κρατικά – RWEA – Ανοίγματα SA</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Είναι το άθροισμα των κελιών από {0150,0030} έως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Ανοίγματα έναντι περιφερειακών κυβερνήσεων, ΠΤΑ, διεθνών οργανισμών και ΟΔΤ που δεν αντιμετωπίζονται ως κρατικά – RWEA – Ανοίγματα IRB</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Είναι το άθροισμα των κελιών από {0150,0040} έως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Περιφερειακές κυβερνήσεις και τοπικές αρχές που δεν αντιμετωπίζονται ως κρατικές – Τιμή του ανοίγματος του δείκτη μόχλευσης – Ανοίγματα SA</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SA έναντι περιφερειακών κυβερνήσεων και τοπικών αρχών που δεν αντιμετωπίζονται ως κρατικές, τα οποία εμπίπτουν στο άρθρο 115 παράγραφοι 1, 3 και 5 του ΚΚΑ.</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Περιφερειακές κυβερνήσεις και τοπικές αρχές που δεν αντιμετωπίζονται ως κρατικές – Τιμή του ανοίγματος του δείκτη μόχλευσης – Ανοίγματα IRB</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IRB έναντι περιφερειακών κυβερνήσεων και τοπικών αρχών που δεν αντιμετωπίζονται ως κρατικές, τα οποία εμπίπτουν στο άρθρο 147 παράγραφος 4 στοιχείο α) του ΚΚΑ.</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Τα ιδρύματα τα αναφέρουν ως απαλλαγμένα από αθετημένα ανοίγματα IRB.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Περιφερειακές κυβερνήσεις και τοπικές αρχές που δεν αντιμετωπίζονται ως κρατικές – RWEA – Ανοίγματα SA</w:t>
            </w:r>
            <w:r>
              <w:rPr>
                <w:rFonts w:ascii="Times New Roman" w:hAnsi="Times New Roman"/>
                <w:b/>
                <w:bCs/>
                <w:sz w:val="24"/>
                <w:szCs w:val="24"/>
              </w:rPr>
              <w:t xml:space="preserve"> </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SA έναντι περιφερειακών κυβερνήσεων και τοπικών αρχών που δεν αντιμετωπίζονται ως κρατικές, τα οποία εμπίπτουν στο άρθρο 115 παράγραφοι 1, 3 και 5 του ΚΚΑ.</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Περιφερειακές κυβερνήσεις και τοπικές αρχές που δεν αντιμετωπίζονται ως κρατικές – RWEA – Ανοίγματα IRB</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IRB έναντι περιφερειακών κυβερνήσεων και τοπικών αρχών που δεν αντιμετωπίζονται ως κρατικές, τα οποία εμπίπτουν στο άρθρο 147 παράγραφος 4 στοιχείο α) του ΚΚΑ.</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Τα ιδρύματα τα αναφέρουν ως απαλλαγμένα από αθετημένα ανοίγματα IRB.</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ΠΤΑ που </w:t>
            </w:r>
            <w:r>
              <w:rPr>
                <w:rFonts w:ascii="Times New Roman" w:hAnsi="Times New Roman"/>
                <w:b/>
                <w:sz w:val="24"/>
                <w:szCs w:val="24"/>
                <w:u w:val="single"/>
              </w:rPr>
              <w:t>δεν</w:t>
            </w:r>
            <w:r>
              <w:rPr>
                <w:rFonts w:ascii="Times New Roman" w:hAnsi="Times New Roman"/>
                <w:b/>
                <w:sz w:val="24"/>
                <w:szCs w:val="24"/>
              </w:rPr>
              <w:t xml:space="preserve"> αντιμετωπίζονται ως κρατικές – Τιμή του ανοίγματος του δείκτη μόχλευσης – Ανοίγματα SA</w:t>
            </w:r>
          </w:p>
          <w:p w14:paraId="07928584" w14:textId="7FC9EDB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Η τιμή του ανοίγματος του δείκτη μόχλευσης στοιχείων ενεργητικού που είναι ανοίγματα SA έναντι πολυμερών τραπεζών ανάπτυξης, τα οποία εμπίπτουν στο άρθρο 117 παράγραφοι 1 και 3 του ΚΚΑ.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 xml:space="preserve">ΠΤΑ που </w:t>
            </w:r>
            <w:r>
              <w:rPr>
                <w:rFonts w:ascii="Times New Roman" w:hAnsi="Times New Roman"/>
                <w:b/>
                <w:sz w:val="24"/>
                <w:szCs w:val="24"/>
                <w:u w:val="single"/>
              </w:rPr>
              <w:t>δεν</w:t>
            </w:r>
            <w:r>
              <w:rPr>
                <w:rFonts w:ascii="Times New Roman" w:hAnsi="Times New Roman"/>
                <w:b/>
                <w:sz w:val="24"/>
                <w:szCs w:val="24"/>
              </w:rPr>
              <w:t xml:space="preserve"> αντιμετωπίζονται ως κρατικές – Τιμή του ανοίγματος του δείκτη μόχλευσης – Ανοίγματα IRB</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IRB έναντι πολυμερών τραπεζών ανάπτυξης που δεν αντιμετωπίζονται ως κρατικές, τα οποία εμπίπτουν στο άρθρο 147 παράγραφος 4 στοιχείο γ) του ΚΚΑ.</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ΠΤΑ που δεν αντιμετωπίζονται ως κρατικές – RWEA – Ανοίγματα SA</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SA έναντι πολυμερών τραπεζών ανάπτυξης, τα οποία εμπίπτουν στο άρθρο 117 παράγραφοι 1 και 3 του ΚΚΑ.</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ΠΤΑ που δεν αντιμετωπίζονται ως κρατικές – RWEA – Ανοίγματα IRB</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IRB έναντι πολυμερών τραπεζών ανάπτυξης που δεν αντιμετωπίζονται ως κρατικές, τα οποία εμπίπτουν στο άρθρο 147 παράγραφος 4 στοιχείο γ) του ΚΚΑ.</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ΟΔΤ που δεν αντιμετωπίζονται ως κρατικές – Τιμή του ανοίγματος του δείκτη μόχλευσης – Ανοίγματα SA</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SA έναντι οντοτήτων του δημόσιου τομέα, τα οποία εμπίπτουν στο άρθρο 116 παράγραφοι 1, 2, 3 και 5 του ΚΚΑ.</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lastRenderedPageBreak/>
              <w:t>Τα ιδρύματα τα αναφέρουν ως απαλλαγμένα από αθετημένα ανοίγματα SA.</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ΟΔΤ που δεν αντιμετωπίζονται ως κρατικές – Τιμή του ανοίγματος του δείκτη μόχλευσης – Ανοίγματα IRB</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IRB έναντι οντοτήτων του δημόσιου τομέα που δεν αντιμετωπίζονται ως κρατικές, τα οποία εμπίπτουν στο άρθρο 147 παράγραφος 4 στοιχείο β) του ΚΚΑ.</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ΟΔΤ που δεν αντιμετωπίζονται ως κρατικές – RWEA – Ανοίγματα SA</w:t>
            </w:r>
          </w:p>
          <w:p w14:paraId="7ED0D977" w14:textId="5892676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Το σταθμισμένο ως προς τον κίνδυνο ποσό ανοίγματος στοιχείων ενεργητικού που είναι ανοίγματα SA έναντι οντοτήτων του δημόσιου τομέα, τα οποία εμπίπτουν στο άρθρο 116 παράγραφοι 1, 2, 3 και 5 του ΚΚΑ.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ΟΔΤ που δεν αντιμετωπίζονται ως κρατικές – RWEA – Ανοίγματα IRB</w:t>
            </w:r>
          </w:p>
          <w:p w14:paraId="3B167735" w14:textId="1C46124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Το σταθμισμένο ως προς τον κίνδυνο ποσό ανοίγματος στοιχείων ενεργητικού που είναι ανοίγματα IRB έναντι οντοτήτων του δημόσιου τομέα που δεν αντιμετωπίζονται ως κρατικές, τα οποία εμπίπτουν στο άρθρο 147 παράγραφος 4 στοιχείο β) του ΚΚΑ.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Ιδρύματα – Τιμή του ανοίγματος του δείκτη μόχλευσης – Ανοίγματα SA</w:t>
            </w:r>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SA έναντι ιδρυμάτων, τα οποία εμπίπτουν στο πεδίο εφαρμογής των άρθρων 119 έως 121 του ΚΚΑ.</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szCs w:val="24"/>
              </w:rPr>
              <w:t>Ιδρύματα – Τιμή του ανοίγματος του δείκτη μόχλευσης – Ανοίγματα IRB</w:t>
            </w:r>
          </w:p>
          <w:p w14:paraId="50027CF2" w14:textId="0739D51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Η τιμή του ανοίγματος του δείκτη μόχλευσης στοιχείων ενεργητικού που είναι ανοίγματα IRB έναντι ιδρυμάτων που εμπίπτουν στο πεδίο εφαρμογής του άρθρου 147 παράγραφος 2 στοιχείο β) του ΚΚΑ και δεν είναι ανοίγματα υπό τη μορφή καλυμμένων ομολόγων σύμφωνα με το άρθρο 161 παράγραφος 1 στοιχείο δ) του ΚΚΑ και δεν εμπίπτουν στο πεδίο εφαρμογής του άρθρου 147 παράγραφος 4 στοιχεία α) έως γ) του ΚΚΑ.</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Τα ιδρύματα τα αναφέρουν ως απαλλαγμένα από αθετημένα ανοίγματα IRB.</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Ιδρύματα – RWEA – Ανοίγματα SA</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SA έναντι ιδρυμάτων, τα οποία εμπίπτουν στα άρθρα 119 έως 121 του ΚΚΑ.</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Ιδρύματα – RWEA – Ανοίγματα IRB</w:t>
            </w:r>
          </w:p>
          <w:p w14:paraId="5E814575" w14:textId="1984B0A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Το σταθμισμένο ως προς τον κίνδυνο ποσό ανοίγματος στοιχείων ενεργητικού που είναι ανοίγματα IRB έναντι ιδρυμάτων που εμπίπτουν στο πεδίο εφαρμογής του άρθρου 147 παράγραφος 2 στοιχείο β) του ΚΚΑ και δεν είναι ανοίγματα υπό τη μορφή καλυμμένων ομολόγων σύμφωνα με το άρθρο 161 παράγραφος 1 στοιχείο δ) του ΚΚΑ και δεν εμπίπτουν στο πεδίο εφαρμογής του άρθρου 147 παράγραφος 4 στοιχεία α) έως γ) του ΚΚΑ.</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{0190,0010}</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Εξασφαλισμένα με υποθήκες επί ακίνητης περιουσίας – Τιμή του ανοίγματος του δείκτη μόχλευσης – Ανοίγματα SA</w:t>
            </w:r>
          </w:p>
          <w:p w14:paraId="17D67F5E" w14:textId="42D832F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SA εξασφαλισμένα με υποθήκες επί ακίνητης περιουσίας, τα οποία εμπίπτουν στο άρθρο 124 του ΚΚΑ.</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{0190,0020}</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Εξασφαλισμένα με υποθήκες επί ακίνητης περιουσίας – Τιμή του ανοίγματος του δείκτη μόχλευσης – Ανοίγματα IRB</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IRB έναντι επιχειρήσεων, σύμφωνα με το άρθρο 147 παράγραφος 2 στοιχείο γ) του ΚΚΑ, ή ανοίγματα λιανικής τραπεζικής, σύμφωνα με το άρθρο 147 παράγραφος 2 στοιχείο δ) του ΚΚΑ, εφόσον τα ανοίγματα αυτά είναι εξασφαλισμένα με υποθήκες επί ακίνητης περιουσίας, σύμφωνα με το άρθρο 199 παράγραφος 1 στοιχείο α) του ΚΚΑ.</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{0190,0030}</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Εξασφαλισμένα με υποθήκες επί ακίνητης περιουσίας – RWEA – Ανοίγματα SA</w:t>
            </w:r>
          </w:p>
          <w:p w14:paraId="7FD54199" w14:textId="756F763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Το σταθμισμένο ως προς τον κίνδυνο ποσό ανοίγματος στοιχείων ενεργητικού που είναι ανοίγματα SA εξασφαλισμένα με υποθήκες επί ακίνητης περιουσίας, τα οποία εμπίπτουν στο άρθρο 124 του ΚΚΑ.</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{0190,0040}</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bCs/>
                <w:sz w:val="24"/>
                <w:szCs w:val="24"/>
              </w:rPr>
              <w:t>Εξασφαλισμένα με υποθήκες επί ακίνητης περιουσίας – RWEA – Ανοίγματα IRB</w:t>
            </w:r>
            <w: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IRB έναντι επιχειρήσεων, σύμφωνα με το άρθρο 147 παράγραφος 2 στοιχείο γ) του ΚΚΑ, ή ανοίγματα λιανικής τραπεζικής, σύμφωνα με το άρθρο 147 παράγραφος 2 στοιχείο δ) του ΚΚΑ, εφόσον τα ανοίγματα αυτά είναι εξασφαλισμένα με υποθήκες επί ακίνητης περιουσίας, σύμφωνα με το άρθρο 199 παράγραφος 1 στοιχείο α) του ΚΚΑ.</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εκ των οποίων: </w:t>
            </w:r>
            <w:r>
              <w:rPr>
                <w:rFonts w:ascii="Times New Roman" w:hAnsi="Times New Roman"/>
                <w:b/>
                <w:sz w:val="24"/>
                <w:szCs w:val="24"/>
              </w:rPr>
              <w:t>Εξασφαλισμένα με υποθήκες επί ακινήτων που προορίζονται για κατοικία – Τιμή του ανοίγματος του δείκτη μόχλευσης – Ανοίγματα SA</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SA τα οποία εξασφαλίζονται πλήρως και καθ’ ολοκληρία με υποθήκες επί ακινήτων που προορίζονται για κατοικία, τα οποία εμπίπτουν στο άρθρο 125 του ΚΚΑ.</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εκ των οποίων: </w:t>
            </w:r>
            <w:r>
              <w:rPr>
                <w:rFonts w:ascii="Times New Roman" w:hAnsi="Times New Roman"/>
                <w:b/>
                <w:sz w:val="24"/>
                <w:szCs w:val="24"/>
              </w:rPr>
              <w:t>Εξασφαλισμένα με υποθήκες επί ακινήτων που προορίζονται για κατοικία – Τιμή του ανοίγματος του δείκτη μόχλευσης – Ανοίγματα IRB</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IRB έναντι επιχειρήσεων, σύμφωνα με το άρθρο 147 παράγραφος 2 στοιχείο γ) του ΚΚΑ, ή ανοίγματα λιανικής τραπεζικής, σύμφωνα με το άρθρο 147 παράγραφος 2 στοιχείο δ) του ΚΚΑ, εφόσον τα ανοίγματα αυτά είναι εξασφαλισμένα με υποθήκες επί ακινήτων που προορίζονται για κατοικία, σύμφωνα με το άρθρο 199 παράγραφος 1 στοιχείο α) του ΚΚΑ.</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εκ των οποίων: Εξασφαλισμένα με υποθήκες επί ακινήτων που προορίζονται για κατοικία – RWEA – Ανοίγματα SA</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Το σταθμισμένο ως προς τον κίνδυνο ποσό ανοίγματος στοιχείων ενεργητικού που είναι ανοίγματα SA τα οποία εξασφαλίζονται πλήρως και </w:t>
            </w:r>
            <w:r>
              <w:rPr>
                <w:rFonts w:ascii="Times New Roman" w:hAnsi="Times New Roman"/>
                <w:bCs/>
                <w:sz w:val="24"/>
                <w:szCs w:val="24"/>
              </w:rPr>
              <w:lastRenderedPageBreak/>
              <w:t>καθ’ ολοκληρία με υποθήκες επί ακινήτων που προορίζονται για κατοικία, τα οποία εμπίπτουν στο άρθρο 125 του ΚΚΑ.</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εκ των οποίων: Εξασφαλισμένα με υποθήκες επί ακινήτων που προορίζονται για κατοικία – RWEA – Ανοίγματα IRB</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IRB έναντι επιχειρήσεων, σύμφωνα με το άρθρο 147 παράγραφος 2 στοιχείο γ) του ΚΚΑ, ή ανοίγματα λιανικής τραπεζικής, σύμφωνα με το άρθρο 147 παράγραφος 2 στοιχείο δ) του ΚΚΑ, εφόσον τα ανοίγματα αυτά είναι εξασφαλισμένα με υποθήκες επί ακινήτων που προορίζονται για κατοικία, σύμφωνα με το άρθρο 199 παράγραφος 1 στοιχείο α) του ΚΚΑ.</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Ανοίγματα λιανικής τραπεζικής – Τιμή του ανοίγματος του δείκτη μόχλευσης – Ανοίγματα SA</w:t>
            </w:r>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SA λιανικής τραπεζικής, τα οποία εμπίπτουν στο άρθρο 123 του ΚΚΑ.</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Ανοίγματα λιανικής τραπεζικής – Τιμή του ανοίγματος του δείκτη μόχλευσης – Ανοίγματα IRB</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Η τιμή του ανοίγματος του δείκτη μόχλευσης στοιχείων ενεργητικού που είναι ανοίγματα IRB λιανικής τραπεζικής, σύμφωνα με το άρθρο 147 παράγραφος 2 στοιχείο δ) του ΚΚΑ, εφόσον τα ανοίγματα αυτά είναι εξασφαλισμένα με υποθήκες επί ακίνητης περιουσίας, σύμφωνα με το άρθρο 199 παράγραφος 1 στοιχείο α) του ΚΚΑ.</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Ανοίγματα λιανικής τραπεζικής – RWEA – Ανοίγματα SA</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SA λιανικής τραπεζικής, τα οποία εμπίπτουν στο άρθρο 123 του ΚΚΑ.</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Ανοίγματα λιανικής τραπεζικής – RWEA – Ανοίγματα IRB</w:t>
            </w:r>
          </w:p>
          <w:p w14:paraId="270C61EF" w14:textId="1F86C8D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Το σταθμισμένο ως προς τον κίνδυνο ποσό ανοίγματος στοιχείων ενεργητικού που είναι ανοίγματα IRB λιανικής τραπεζικής, σύμφωνα με το άρθρο 147 παράγραφος 2 στοιχείο δ) του ΚΚΑ, εφόσον τα ανοίγματα αυτά είναι εξασφαλισμένα με υποθήκες επί ακίνητης περιουσίας, σύμφωνα με το άρθρο 199 παράγραφος 1 στοιχείο α) του ΚΚΑ.</w:t>
            </w:r>
            <w:r>
              <w:rPr>
                <w:rFonts w:ascii="Times New Roman" w:hAnsi="Times New Roman"/>
                <w:bCs/>
                <w:sz w:val="24"/>
                <w:szCs w:val="24"/>
              </w:rPr>
              <w:t xml:space="preserve">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εκ των οποίων: </w:t>
            </w:r>
            <w:r>
              <w:rPr>
                <w:rFonts w:ascii="Times New Roman" w:hAnsi="Times New Roman"/>
                <w:b/>
                <w:sz w:val="24"/>
                <w:szCs w:val="24"/>
              </w:rPr>
              <w:t>Ανοίγματα λιανικής τραπεζικής σε ΜΜΕ – Τιμή του ανοίγματος του δείκτη μόχλευσης – Ανοίγματα SA</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SA λιανικής τραπεζικής έναντι μικρών και μεσαίων επιχειρήσεων, τα οποία εμπίπτουν στο άρθρο 123 του ΚΚΑ.</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Για τους σκοπούς του παρόντος κελιού, τα ιδρύματα χρησιμοποιούν τον όρο «μικρή και μεσαία επιχείρηση» όπως ορίζεται σύμφωνα με το άρθρο 501 παράγραφος 2 στοιχείο β) του ΚΚΑ.</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εκ των οποίων: </w:t>
            </w:r>
            <w:r>
              <w:rPr>
                <w:rFonts w:ascii="Times New Roman" w:hAnsi="Times New Roman"/>
                <w:b/>
                <w:sz w:val="24"/>
                <w:szCs w:val="24"/>
              </w:rPr>
              <w:t>Ανοίγματα λιανικής τραπεζικής σε ΜΜΕ – Τιμή του ανοίγματος του δείκτη μόχλευσης – Ανοίγματα IRB</w:t>
            </w:r>
          </w:p>
          <w:p w14:paraId="781E0C73" w14:textId="2963C04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Η τιμή του ανοίγματος του δείκτη μόχλευσης στοιχείων ενεργητικού που είναι ανοίγματα IRB λιανικής τραπεζικής, σύμφωνα με το άρθρο 147 παράγραφος 2 στοιχείο δ) του ΚΚΑ, εφόσον τα ανοίγματα αυτά είναι ανοίγματα έναντι μικρών και μεσαίων επιχειρήσεων και δεν είναι εξασφαλισμένα με υποθήκες επί ακίνητης περιουσίας, σύμφωνα με το άρθρο 199 παράγραφος 1 στοιχείο α) του ΚΚΑ.</w:t>
            </w:r>
            <w:r>
              <w:rPr>
                <w:rFonts w:ascii="Times New Roman" w:hAnsi="Times New Roman"/>
                <w:bCs/>
                <w:sz w:val="24"/>
                <w:szCs w:val="24"/>
              </w:rPr>
              <w:t xml:space="preserve"> </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Για τους σκοπούς του παρόντος κελιού, τα ιδρύματα χρησιμοποιούν τον όρο «μικρή και μεσαία επιχείρηση» όπως ορίζεται σύμφωνα με το άρθρο 501 παράγραφος 2 στοιχείο β) του ΚΚΑ.</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εκ των οποίων: Ανοίγματα λιανικής τραπεζικής σε ΜΜΕ – RWEA – Ανοίγματα SA</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SA λιανικής τραπεζικής έναντι μικρών και μεσαίων επιχειρήσεων, τα οποία εμπίπτουν στο άρθρο 123 του ΚΚΑ.</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Για τους σκοπούς του παρόντος κελιού, τα ιδρύματα χρησιμοποιούν τον όρο «μικρή και μεσαία επιχείρηση» όπως ορίζεται σύμφωνα με το άρθρο 501 παράγραφος 2 στοιχείο β) του ΚΚΑ.</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Τα ιδρύματα τα αναφέρουν ως απαλλαγμένα από αθετημένα ανοίγματα SA.</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εκ των οποίων: Ανοίγματα λιανικής τραπεζικής σε ΜΜΕ – RWEA – Ανοίγματα IRB</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Το σταθμισμένο ως προς τον κίνδυνο ποσό ανοίγματος στοιχείων ενεργητικού που είναι ανοίγματα IRB λιανικής τραπεζικής, σύμφωνα με το άρθρο 147 παράγραφος 2 στοιχείο δ) του ΚΚΑ, εφόσον τα ανοίγματα αυτά είναι ανοίγματα έναντι μικρών και μεσαίων επιχειρήσεων και δεν είναι εξασφαλισμένα με υποθήκες επί ακίνητης περιουσίας, σύμφωνα με το άρθρο 199 παράγραφος 1 στοιχείο α) του ΚΚΑ.</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Για τους σκοπούς του παρόντος κελιού, τα ιδρύματα χρησιμοποιούν τον όρο «μικρή και μεσαία επιχείρηση» όπως ορίζεται σύμφωνα με το άρθρο 501 παράγραφος 2 στοιχείο β) του ΚΚΑ.</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Επιχειρήσεις – Τιμή του ανοίγματος του δείκτη μόχλευσης – Ανοίγματα SA</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Είναι το άθροισμα των {0240,0010} και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Τα ιδρύματα τα αναφέρουν ως απαλλαγμένα από αθετημένα ανοίγματα SA.</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Επιχειρήσεις – Τιμή του ανοίγματος του δείκτη μόχλευσης – Ανοίγματα IRB</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Είναι το άθροισμα των {0240,0020} και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Επιχειρήσεις – RWEA – Ανοίγματα SA</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Είναι το άθροισμα των {0240,0030} και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Επιχειρήσεις – RWEA – Ανοίγματα IRB</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Είναι το άθροισμα των {0240,0040} και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Χρηματοδοτικές εταιρείες – Τιμή του ανοίγματος του δείκτη μόχλευσης – Ανοίγματα SA</w:t>
            </w:r>
          </w:p>
          <w:p w14:paraId="7CAB4F9A" w14:textId="3AFB92C6"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Η τιμή του ανοίγματος του δείκτη μόχλευσης στοιχείων ενεργητικού που είναι ανοίγματα SA έναντι χρηματοδοτικών εταιρειών, τα οποία εμπίπτουν στο άρθρο 122 του ΚΚΑ.</w:t>
            </w:r>
          </w:p>
          <w:p w14:paraId="48ACEE9F" w14:textId="4298D83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Για τους σκοπούς της υποβολής αναφορών βάσει του LR4, ως χρηματοδοτικές εταιρείες νοούνται οι ρυθμιζόμενες και μη ρυθμιζόμενες επιχειρήσεις, πλην των ιδρυμάτων που αναφέρονται στο {0180,0010}, των οποίων η κύρια δραστηριότητα συνίσταται στην απόκτηση συμμετοχών ή στην άσκηση μίας ή περισσότερων εκ των δραστηριοτήτων που απαριθμούνται στο παράρτημα I της οδηγίας 2013/36/ΕΕ, καθώς και οι επιχειρήσεις που ορίζονται στο άρθρο 4 παράγραφος 1 σημείο 27 του ΚΚΑ, πλην των ιδρυμάτων που αναφέρονται στο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Χρηματοδοτικές εταιρείες – Τιμή του ανοίγματος του δείκτη μόχλευσης – Ανοίγματα IRB</w:t>
            </w:r>
          </w:p>
          <w:p w14:paraId="058EB000" w14:textId="40B3155C"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Η τιμή του ανοίγματος του δείκτη μόχλευσης στοιχείων ενεργητικού που είναι ανοίγματα IRB έναντι χρηματοδοτικών εταιρειών, σύμφωνα με το άρθρο 147 παράγραφος 2 στοιχείο γ) του ΚΚΑ, εφόσον τα ανοίγματα αυτά είναι εξασφαλισμένα με υποθήκες επί ακίνητης περιουσίας, σύμφωνα με το άρθρο 199 παράγραφος 1 στοιχείο α) του ΚΚΑ.</w:t>
            </w:r>
          </w:p>
          <w:p w14:paraId="07B8C8CE" w14:textId="744B3DC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Για τους σκοπούς της υποβολής αναφορών βάσει του LR4, ως χρηματοδοτικές εταιρείες νοούνται οι ρυθμιζόμενες και μη ρυθμιζόμενες επιχειρήσεις, πλην των ιδρυμάτων που αναφέρονται στο {0180,0010}, των οποίων η κύρια δραστηριότητα συνίσταται στην απόκτηση συμμετοχών ή στην άσκηση μίας ή περισσότερων εκ των δραστηριοτήτων που απαριθμούνται στο παράρτημα I της οδηγίας 2013/36/ΕΕ, καθώς και οι επιχειρήσεις που ορίζονται στο άρθρο 4 παράγραφος 1 σημείο 27 του ΚΚΑ, πλην των ιδρυμάτων που αναφέρονται στο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Χρηματοδοτικές εταιρείες – RWEA – Ανοίγματα SA</w:t>
            </w:r>
          </w:p>
          <w:p w14:paraId="08FF6980" w14:textId="1760010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SA έναντι χρηματοδοτικών εταιρειών, τα οποία εμπίπτουν στο άρθρο 122 του ΚΚΑ.</w:t>
            </w:r>
          </w:p>
          <w:p w14:paraId="4DE325F6" w14:textId="45BD44A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Για τους σκοπούς της υποβολής αναφορών βάσει του LR4, ως χρηματοδοτικές εταιρείες νοούνται οι ρυθμιζόμενες και μη ρυθμιζόμενες επιχειρήσεις, πλην των ιδρυμάτων που αναφέρονται στο {0180,0010}, των οποίων η κύρια δραστηριότητα συνίσταται στην απόκτηση συμμετοχών ή στην άσκηση μίας ή περισσότερων εκ των δραστηριοτήτων που απαριθμούνται στο παράρτημα I της οδηγίας 2013/36/ΕΕ, καθώς και οι </w:t>
            </w:r>
            <w:r>
              <w:rPr>
                <w:rFonts w:ascii="Times New Roman" w:hAnsi="Times New Roman"/>
                <w:bCs/>
                <w:sz w:val="24"/>
                <w:szCs w:val="24"/>
              </w:rPr>
              <w:lastRenderedPageBreak/>
              <w:t xml:space="preserve">επιχειρήσεις που ορίζονται στο άρθρο 4 παράγραφος 1 σημείο 27 του ΚΚΑ, πλην των ιδρυμάτων που αναφέρονται στο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Χρηματοδοτικές εταιρείες – RWEA – Ανοίγματα IRB</w:t>
            </w:r>
          </w:p>
          <w:p w14:paraId="2E63CDE0" w14:textId="5FB3406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Το σταθμισμένο ως προς τον κίνδυνο ποσό ανοίγματος στοιχείων ενεργητικού που είναι ανοίγματα IRB έναντι χρηματοδοτικών εταιρειών, σύμφωνα με το άρθρο 147 παράγραφος 2 στοιχείο γ) του ΚΚΑ, εφόσον τα ανοίγματα αυτά είναι εξασφαλισμένα με υποθήκες επί ακίνητης περιουσίας, σύμφωνα με το άρθρο 199 παράγραφος 1 στοιχείο α) του ΚΚΑ.</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Για τους σκοπούς της υποβολής αναφορών βάσει του LR4, ως χρηματοδοτικές εταιρείες νοούνται οι ρυθμιζόμενες και μη ρυθμιζόμενες επιχειρήσεις, πλην των ιδρυμάτων που αναφέρονται στο {0180,0010}, των οποίων η κύρια δραστηριότητα συνίσταται στην απόκτηση συμμετοχών ή στην άσκηση μίας ή περισσότερων εκ των δραστηριοτήτων που απαριθμούνται στο παράρτημα I της οδηγίας 2013/36/ΕΕ, καθώς και οι επιχειρήσεις που ορίζονται στο άρθρο 4 παράγραφος 1 σημείο 27 του ΚΚΑ, πλην των ιδρυμάτων που αναφέρονται στο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Μη χρηματοδοτικές εταιρείες – Τιμή του ανοίγματος του δείκτη μόχλευσης – Ανοίγματα SA</w:t>
            </w:r>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Η τιμή του ανοίγματος του δείκτη μόχλευσης στοιχείων ενεργητικού που είναι ανοίγματα SA έναντι μη χρηματοδοτικών εταιρειών, τα οποία εμπίπτουν στο άρθρο 122 του ΚΚΑ.</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Είναι το άθροισμα των {0260,0010} και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Μη χρηματοδοτικές εταιρείες – Τιμή του ανοίγματος του δείκτη μόχλευσης – Ανοίγματα IRB</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Η τιμή του ανοίγματος του δείκτη μόχλευσης στοιχείων ενεργητικού που είναι ανοίγματα IRB έναντι μη χρηματοδοτικών εταιρειών, σύμφωνα με το άρθρο 147 παράγραφος 2 στοιχείο γ) του ΚΚΑ, εφόσον τα ανοίγματα αυτά είναι εξασφαλισμένα με υποθήκες επί ακίνητης περιουσίας, σύμφωνα με το άρθρο 199 παράγραφος 1 στοιχείο α) του ΚΚΑ.</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Είναι το άθροισμα των {0260,0020} και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Μη χρηματοδοτικές εταιρείες – RWEA – Ανοίγματα SA</w:t>
            </w:r>
          </w:p>
          <w:p w14:paraId="49E48609" w14:textId="627DE78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Το σταθμισμένο ως προς τον κίνδυνο ποσό ανοίγματος στοιχείων ενεργητικού που είναι ανοίγματα SA έναντι μη χρηματοδοτικών εταιρειών, τα οποία εμπίπτουν στο άρθρο 122 του ΚΚΑ.</w:t>
            </w:r>
            <w:r>
              <w:rPr>
                <w:rFonts w:ascii="Times New Roman" w:hAnsi="Times New Roman"/>
                <w:bCs/>
                <w:sz w:val="24"/>
                <w:szCs w:val="24"/>
              </w:rPr>
              <w:t xml:space="preserve">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Είναι το άθροισμα των {0260,0030} και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Μη χρηματοδοτικές εταιρείες – RWEA – Ανοίγματα IRB</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Το σταθμισμένο ως προς τον κίνδυνο ποσό ανοίγματος στοιχείων ενεργητικού που είναι ανοίγματα IRB έναντι μη χρηματοδοτικών εταιρειών, σύμφωνα με το άρθρο 147 παράγραφος 2 στοιχείο γ) του ΚΚΑ, εφόσον τα ανοίγματα αυτά είναι εξασφαλισμένα με υποθήκες επί ακίνητης περιουσίας, σύμφωνα με το άρθρο 199 παράγραφος 1 στοιχείο α) του ΚΚΑ.</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Είναι το άθροισμα των {0260,0040} και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Ανοίγματα σε ΜΜΕ – Τιμή του ανοίγματος του δείκτη μόχλευσης – Ανοίγματα SA</w:t>
            </w:r>
          </w:p>
          <w:p w14:paraId="1237A324" w14:textId="05FB0CA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Η τιμή του ανοίγματος του δείκτη μόχλευσης στοιχείων ενεργητικού που είναι ανοίγματα SA έναντι επιχειρήσεων, με τη μορφή μικρών και μεσαίων επιχειρήσεων, τα οποία εμπίπτουν στο άρθρο 122 του ΚΚΑ. </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Για τους σκοπούς του παρόντος κελιού, τα ιδρύματα χρησιμοποιούν τον όρο «μικρή και μεσαία επιχείρηση» όπως ορίζεται σύμφωνα με το άρθρο 501 παράγραφος 2 στοιχείο β) του ΚΚΑ.</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Ανοίγματα σε ΜΜΕ – Τιμή του ανοίγματος του δείκτη μόχλευσης – Ανοίγματα IRB</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Η τιμή του ανοίγματος του δείκτη μόχλευσης στοιχείων ενεργητικού που είναι ανοίγματα IRB έναντι επιχειρήσεων, σύμφωνα με το άρθρο 147 παράγραφος 2 στοιχείο γ) του ΚΚΑ, εφόσον τα ανοίγματα αυτά είναι ανοίγματα έναντι μικρών και μεσαίων επιχειρήσεων και δεν είναι εξασφαλισμένα με υποθήκες επί ακίνητης περιουσίας, σύμφωνα με το άρθρο 199 παράγραφος 1 στοιχείο α) του ΚΚΑ.</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Για τους σκοπούς του παρόντος κελιού, τα ιδρύματα χρησιμοποιούν τον όρο «μικρή και μεσαία επιχείρηση» όπως ορίζεται σύμφωνα με το άρθρο 501 παράγραφος 2 στοιχείο β) του ΚΚΑ.</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Τα ιδρύματα τα αναφέρουν ως απαλλαγμένα από αθετημένα ανοίγματα IRB.</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Ανοίγματα σε ΜΜΕ – RWEA – Ανοίγματα SA</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SA έναντι επιχειρήσεων, με τη μορφή μικρών και μεσαίων επιχειρήσεων, τα οποία εμπίπτουν στο άρθρο 122 του ΚΚΑ.</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Για τους σκοπούς του παρόντος κελιού, τα ιδρύματα χρησιμοποιούν τον όρο «μικρή και μεσαία επιχείρηση» όπως ορίζεται σύμφωνα με το άρθρο 501 παράγραφος 2 στοιχείο β) του ΚΚΑ.</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Ανοίγματα σε ΜΜΕ – RWEA – Ανοίγματα IRB</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Το σταθμισμένο ως προς τον κίνδυνο ποσό ανοίγματος στοιχείων ενεργητικού που είναι ανοίγματα IRB έναντι επιχειρήσεων, σύμφωνα με το άρθρο 147 παράγραφος 2 στοιχείο γ) του ΚΚΑ, εφόσον τα ανοίγματα αυτά είναι ανοίγματα έναντι μικρών και μεσαίων επιχειρήσεων και δεν είναι εξασφαλισμένα με υποθήκες επί ακίνητης περιουσίας, σύμφωνα με το άρθρο 199 παράγραφος 1 στοιχείο α) του ΚΚΑ.</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Για τους σκοπούς του παρόντος κελιού, τα ιδρύματα χρησιμοποιούν τον όρο «μικρή και μεσαία επιχείρηση» όπως ορίζεται σύμφωνα με το άρθρο 501 παράγραφος 2 στοιχείο β) του ΚΚΑ.</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szCs w:val="24"/>
              </w:rPr>
              <w:t>Ανοίγματα έναντι εταιρειών εκτός των ΜΜΕ – Τιμή του ανοίγματος του δείκτη μόχλευσης – Ανοίγματα SA</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SA έναντι επιχειρήσεων, τα οποία εμπίπτουν στο άρθρο 122 του ΚΚΑ και τα οποία δεν αναφέρονται στα {0230,0040} και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szCs w:val="24"/>
              </w:rPr>
              <w:t>Ανοίγματα έναντι εταιρειών εκτός των ΜΜΕ – Τιμή του ανοίγματος του δείκτη μόχλευσης – Ανοίγματα IRB</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 xml:space="preserve">Η τιμή του ανοίγματος του δείκτη μόχλευσης στοιχείων ενεργητικού που είναι ανοίγματα IRB έναντι επιχειρήσεων, σύμφωνα με το άρθρο 147 παράγραφος 2 στοιχείο γ) του ΚΚΑ, εφόσον τα ανοίγματα αυτά είναι εξασφαλισμένα με υποθήκες επί ακίνητης περιουσίας, σύμφωνα με το </w:t>
            </w:r>
            <w:r>
              <w:rPr>
                <w:rFonts w:ascii="Times New Roman" w:hAnsi="Times New Roman"/>
                <w:sz w:val="24"/>
                <w:szCs w:val="24"/>
              </w:rPr>
              <w:lastRenderedPageBreak/>
              <w:t>άρθρο 199 παράγραφος 1 στοιχείο α) του ΚΚΑ και δεν αναφέρονται στα {0230,0040} και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Ανοίγματα έναντι εταιρειών εκτός των ΜΜΕ – RWEA – Ανοίγματα SA</w:t>
            </w:r>
          </w:p>
          <w:p w14:paraId="10BEA73F" w14:textId="16DC881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ενεργητικού που είναι ανοίγματα SA έναντι επιχειρήσεων, τα οποία εμπίπτουν στο άρθρο 122 του ΚΚΑ και τα οποία δεν αναφέρονται στα {0230,0040} και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Ανοίγματα έναντι εταιρειών εκτός των ΜΜΕ – RWEA – Ανοίγματα IRB</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Το σταθμισμένο ως προς τον κίνδυνο ποσό ανοίγματος στοιχείων ενεργητικού που είναι ανοίγματα IRB έναντι επιχειρήσεων, σύμφωνα με το άρθρο 147 παράγραφος 2 στοιχείο γ) του ΚΚΑ, εφόσον τα ανοίγματα αυτά είναι εξασφαλισμένα με υποθήκες επί ακίνητης περιουσίας, σύμφωνα με το άρθρο 199 παράγραφος 1 στοιχείο α) του ΚΚΑ και δεν αναφέρονται στα {0230,0040} και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Ανοίγματα σε αθέτηση – Τιμή του ανοίγματος του δείκτη μόχλευσης – Ανοίγματα SA</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αναφέρουν την τιμή του ανοίγματος του δείκτη μόχλευσης στοιχείων ενεργητικού που είναι ανοίγματα SA σε αθέτηση και, επομένως, εμπίπτουν στο άρθρο 127 του ΚΚΑ.</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Ανοίγματα σε αθέτηση – Τιμή του ανοίγματος του δείκτη μόχλευσης – Ανοίγματα IRB</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αναφέρουν την τιμή του ανοίγματος του δείκτη μόχλευσης στοιχείων ενεργητικού που κατατάσσονται στις κατηγορίες ανοιγμάτων που παρατίθενται στο άρθρο 147 παράγραφος 2 του ΚΚΑ, εφόσον, σύμφωνα με το άρθρο 178 του ΚΚΑ, υπήρξε αθέτηση.</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Ανοίγματα σε αθέτηση – RWEA – Ανοίγματα SA</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αναφέρουν το σταθμισμένο ως προς τον κίνδυνο ποσό ανοίγματος στοιχείων ενεργητικού που είναι ανοίγματα σε αθέτηση και, επομένως, εμπίπτουν στο άρθρο 127 του ΚΚΑ.</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Ανοίγματα σε αθέτηση – RWEA – Ανοίγματα IRB</w:t>
            </w:r>
          </w:p>
          <w:p w14:paraId="5EF9576D" w14:textId="62CAC8F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Τα ιδρύματα αναφέρουν το σταθμισμένο ως προς τον κίνδυνο ποσό ανοίγματος στοιχείων ενεργητικού που κατατάσσονται στις κατηγορίες ανοιγμάτων που παρατίθενται στο άρθρο 147 παράγραφος 2 του ΚΚΑ, εφόσον, σύμφωνα με το άρθρο 178 του ΚΚΑ, υπήρξε αθέτηση.</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Άλλα ανοίγματα – Τιμή του ανοίγματος του δείκτη μόχλευσης – Ανοίγματα SA</w:t>
            </w:r>
          </w:p>
          <w:p w14:paraId="59E2187D" w14:textId="188CC7C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Η τιμή του ανοίγματος του δείκτη μόχλευσης στοιχείων ενεργητικού που κατατάσσονται στις κατηγορίες ανοιγμάτων που αναφέρονται στο άρθρο 112 στοιχεία ια), ιγ), ιδ), ιε), ιστ) και ιζ) του ΚΚΑ.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αναφέρουν εδώ στοιχεία ενεργητικού που αφαιρούνται από τα ίδια κεφάλαια (π.χ. άυλα στοιχεία ενεργητικού) αλλά δεν μπορούν να καταταχθούν αλλού, ακόμη και αν δεν απαιτείται μια τέτοια κατάταξη για τον προσδιορισμό των απαιτήσεων ιδίων κεφαλαίων βάσει κινδύνου στις στήλες {*,0030} και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Άλλα ανοίγματα – Τιμή του ανοίγματος του δείκτη μόχλευσης – Ανοίγματα IRB</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ποσό ανοίγματος του δείκτη μόχλευσης στοιχείων ενεργητικού που κατατάσσονται στις κατηγορίες ανοιγμάτων που παρατίθενται στο άρθρο 147 παράγραφος 2 στοιχεία ε), στ) και ζ) του ΚΚΑ.</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αναφέρουν εδώ στοιχεία ενεργητικού που αφαιρούνται από τα ίδια κεφάλαια (π.χ. άυλα στοιχεία ενεργητικού) αλλά δεν μπορούν να καταταχθούν αλλού, ακόμη και αν δεν απαιτείται μια τέτοια κατάταξη για τον προσδιορισμό των απαιτήσεων ιδίων κεφαλαίων βάσει κινδύνου στις στήλες {*,0030} και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Άλλα ανοίγματα — RWEA — Ανοίγματα SA</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σταθμισμένη ως προς τον κίνδυνο τιμή του ανοίγματος στοιχείων ενεργητικού που κατατάσσονται στις κατηγορίες ανοιγμάτων που παρατίθενται στο άρθρο 112 στοιχεία ια), ιγ), ιδ), ιε), ιστ) και ιζ) του ΚΚΑ.</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Άλλα ανοίγματα — RWEA — Ανοίγματα IRB</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σταθμισμένη ως προς τον κίνδυνο τιμή του ανοίγματος στοιχείων ενεργητικού που κατατάσσονται στις κατηγορίες ανοιγμάτων που παρατίθενται στο άρθρο 147 παράγραφος 2 στοιχεία ε), στ) και ζ) του ΚΚΑ.</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Τα ιδρύματα τα αναφέρουν ως απαλλαγμένα από αθετημένα ανοίγματα IRB.</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εκ των οποίων: </w:t>
            </w:r>
            <w:r>
              <w:rPr>
                <w:rFonts w:ascii="Times New Roman" w:hAnsi="Times New Roman"/>
                <w:b/>
                <w:sz w:val="24"/>
                <w:szCs w:val="24"/>
              </w:rPr>
              <w:t>Ανοίγματα τιτλοποίησης – Τιμή του ανοίγματος του δείκτη μόχλευσης – Ανοίγματα SA</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SA σε τιτλοποιήσεις, τα οποία εμπίπτουν στο άρθρο 112 στοιχείο ιγ) του ΚΚΑ.</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εκ των οποίων: </w:t>
            </w:r>
            <w:r>
              <w:rPr>
                <w:rFonts w:ascii="Times New Roman" w:hAnsi="Times New Roman"/>
                <w:b/>
                <w:sz w:val="24"/>
                <w:szCs w:val="24"/>
              </w:rPr>
              <w:t>Ανοίγματα τιτλοποίησης – Τιμή του ανοίγματος του δείκτη μόχλευσης – Ανοίγματα IRB</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ενεργητικού που είναι ανοίγματα IRB σε τιτλοποιήσεις τα οποία εμπίπτουν στο άρθρο 147 παράγραφος 2 στοιχείο στ) του ΚΚΑ.</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εκ των οποίων: Ανοίγματα τιτλοποίησης – RWEA – Ανοίγματα SA</w:t>
            </w:r>
          </w:p>
          <w:p w14:paraId="583F2964" w14:textId="49D5BBD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Το σταθμισμένο ως προς τον κίνδυνο ποσό ανοίγματος στοιχείων ενεργητικού που είναι ανοίγματα SA σε τιτλοποιήσεις, τα οποία εμπίπτουν στο άρθρο 112 στοιχείο ιγ) του ΚΚΑ.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εκ των οποίων: Ανοίγματα τιτλοποίησης – RWEA – Ανοίγματα IRB</w:t>
            </w:r>
          </w:p>
          <w:p w14:paraId="745FCC52" w14:textId="080B8E3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Το σταθμισμένο ως προς τον κίνδυνο ποσό ανοίγματος στοιχείων ενεργητικού που είναι ανοίγματα IRB σε τιτλοποιήσεις τα οποία εμπίπτουν στο άρθρο 147 παράγραφος 2 στοιχείο στ) του ΚΚΑ.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Χρηματοδότηση του εμπορίου (υπομνηματικό στοιχείο) – Τιμή του ανοίγματος του δείκτη μόχλευσης – Ανοίγματα SA</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τιμή του ανοίγματος του δείκτη μόχλευσης στοιχείων εντός ισολογισμού που σχετίζονται με τη δανειοδότηση εξαγωγέα ή εισαγωγέα αγαθών ή υπηρεσιών μέσω εισαγωγικών και εξαγωγικών πιστώσεων και παρόμοιων συναλλαγών.</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Χρηματοδότηση του εμπορίου (υπομνηματικό στοιχείο) – Τιμή του ανοίγματος του δείκτη μόχλευσης – Ανοίγματα IRB</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ποσό ανοίγματος του δείκτη μόχλευσης στοιχείων εντός ισολογισμού που σχετίζονται με τη δανειοδότηση εξαγωγέα ή εισαγωγέα αγαθών ή υπηρεσιών μέσω εισαγωγικών και εξαγωγικών πιστώσεων και παρόμοιων συναλλαγών.</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Χρηματοδότηση του εμπορίου (υπομνηματικό στοιχείο) – RWEA – Ανοίγματα SA</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Η σταθμισμένη ως προς τον κίνδυνο αξία ανοίγματος στοιχείων εντός ισολογισμού που σχετίζονται με τη δανειοδότηση εξαγωγέα ή εισαγωγέα αγαθών ή υπηρεσιών μέσω εισαγωγικών και εξαγωγικών πιστώσεων και παρόμοιων συναλλαγών.</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SA.</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Χρηματοδότηση του εμπορίου (υπομνηματικό στοιχείο) – RWEA – Ανοίγματα IRB</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σταθμισμένο ως προς τον κίνδυνο ποσό ανοίγματος στοιχείων εντός ισολογισμού που σχετίζονται με τη δανειοδότηση εξαγωγέα</w:t>
            </w:r>
            <w:bookmarkStart w:id="74" w:name="_GoBack"/>
            <w:bookmarkEnd w:id="74"/>
            <w:r>
              <w:rPr>
                <w:rFonts w:ascii="Times New Roman" w:hAnsi="Times New Roman"/>
                <w:bCs/>
                <w:sz w:val="24"/>
                <w:szCs w:val="24"/>
              </w:rPr>
              <w:t xml:space="preserve"> ή εισαγωγέα αγαθών ή υπηρεσιών μέσω εισαγωγικών και εξαγωγικών πιστώσεων και παρόμοιων συναλλαγών.</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εκ των οποίων: </w:t>
            </w:r>
            <w:r>
              <w:rPr>
                <w:rFonts w:ascii="Times New Roman" w:hAnsi="Times New Roman"/>
                <w:b/>
                <w:sz w:val="24"/>
                <w:szCs w:val="24"/>
              </w:rPr>
              <w:t>Σύμφωνα με το επίσημο καθεστώς ασφάλισης των εξαγωγικών πιστώσεων – Τιμή του ανοίγματος του δείκτη μόχλευσης – Ανοίγματα SA</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Η τιμή του ανοίγματος του δείκτη μόχλευσης στοιχείων εντός ισολογισμού που σχετίζονται με τη χρηματοδότηση του εμπορίου σύμφωνα με το επίσημο καθεστώς ασφάλισης των εξαγωγικών πιστώσεων.</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έναν οργανισμό εξαγωγικών πιστώσεων, με τη μορφή, 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szCs w:val="24"/>
              </w:rPr>
              <w:t>Τα ιδρύματα τα αναφέρουν ως απαλλαγμένα από αθετημένα ανοίγματα SA.</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εκ των οποίων: </w:t>
            </w:r>
            <w:r>
              <w:rPr>
                <w:rFonts w:ascii="Times New Roman" w:hAnsi="Times New Roman"/>
                <w:b/>
                <w:sz w:val="24"/>
                <w:szCs w:val="24"/>
              </w:rPr>
              <w:t>Σύμφωνα με το επίσημο καθεστώς ασφάλισης των εξαγωγικών πιστώσεων – Τιμή του ανοίγματος του δείκτη μόχλευσης – Ανοίγματα IRB</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Το ποσό ανοίγματος του δείκτη μόχλευσης στοιχείων εντός ισολογισμού που σχετίζονται με τη χρηματοδότηση του εμπορίου σύμφωνα με το επίσημο καθεστώς ασφάλισης των εξαγωγικών πιστώσεων.</w:t>
            </w:r>
            <w:r>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έναν οργανισμό εξαγωγικών πιστώσεων, με τη μορφή, 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εκ των οποίων: Σύμφωνα με το επίσημο καθεστώς ασφάλισης των εξαγωγικών πιστώσεων – RWEA – Ανοίγματα SA</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Η σταθμισμένη ως προς τον κίνδυνο αξία ανοίγματος στοιχείων εντός ισολογισμού που σχετίζονται με τη χρηματοδότηση του εμπορίου σύμφωνα με το επίσημο καθεστώς ασφάλισης των εξαγωγικών πιστώσεων.</w:t>
            </w:r>
            <w:r>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έναν οργανισμό εξαγωγικών πιστώσεων, με τη μορφή, μεταξύ άλλων, των άμεσων πιστώσεων/χρηματοδότησης, αναχρηματοδότησης, στήριξης των 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Τα ιδρύματα τα αναφέρουν ως απαλλαγμένα από αθετημένα ανοίγματα SA.</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εκ των οποίων: Σύμφωνα με το επίσημο καθεστώς ασφάλισης των εξαγωγικών πιστώσεων – RWEA – Ανοίγματα IRB</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Το σταθμισμένο ως προς τον κίνδυνο ποσό ανοίγματος στοιχείων εντός ισολογισμού που σχετίζονται με τη χρηματοδότηση του εμπορίου σύμφωνα με το επίσημο καθεστώς ασφάλισης των εξαγωγικών πιστώσεων.</w:t>
            </w:r>
            <w:r>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Για τους σκοπούς της υποβολής αναφορών βάσει του LR4, το επίσημο καθεστώς ασφάλισης των εξαγωγικών πιστώσεων συνδέεται με δημόσια στήριξη που παρέχεται από την κυβέρνηση ή από άλλη οντότητα, όπως έναν οργανισμό εξαγωγικών πιστώσεων, με τη μορφή, μεταξύ άλλων, των άμεσων πιστώσεων/χρηματοδότησης, αναχρηματοδότησης, στήριξης των </w:t>
            </w:r>
            <w:r>
              <w:rPr>
                <w:rFonts w:ascii="Times New Roman" w:hAnsi="Times New Roman"/>
                <w:sz w:val="24"/>
                <w:szCs w:val="24"/>
              </w:rPr>
              <w:lastRenderedPageBreak/>
              <w:t xml:space="preserve">επιτοκίων (όπου σταθερό επιτόκιο είναι εγγυημένο καθ’ όλη τη διάρκεια της πίστωσης), χρηματοδοτικής ενίσχυσης (πιστώσεις και επιχορηγήσεις), ασφάλισης εξαγωγικών πιστώσεων και εγγυήσεων.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Τα ιδρύματα τα αναφέρουν ως απαλλαγμένα από αθετημένα ανοίγματα IRB.</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3"/>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8" w:name="_Toc52461755"/>
      <w:r>
        <w:rPr>
          <w:rFonts w:ascii="Times New Roman" w:hAnsi="Times New Roman"/>
          <w:b/>
          <w:sz w:val="24"/>
          <w:szCs w:val="24"/>
        </w:rPr>
        <w:t>6.</w:t>
      </w:r>
      <w:r>
        <w:tab/>
      </w:r>
      <w:r>
        <w:rPr>
          <w:rFonts w:ascii="Times New Roman" w:hAnsi="Times New Roman"/>
          <w:b/>
          <w:sz w:val="24"/>
          <w:szCs w:val="24"/>
        </w:rPr>
        <w:t>C 44.00 – Γενικές πληροφορίες</w:t>
      </w:r>
      <w:bookmarkEnd w:id="75"/>
      <w:bookmarkEnd w:id="76"/>
      <w:r>
        <w:rPr>
          <w:rFonts w:ascii="Times New Roman" w:hAnsi="Times New Roman"/>
          <w:b/>
          <w:sz w:val="24"/>
          <w:szCs w:val="24"/>
        </w:rPr>
        <w:t xml:space="preserve"> (LR5)</w:t>
      </w:r>
      <w:bookmarkEnd w:id="77"/>
      <w:bookmarkEnd w:id="78"/>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28.</w:t>
      </w:r>
      <w:r>
        <w:tab/>
      </w:r>
      <w:r>
        <w:rPr>
          <w:rFonts w:ascii="Times New Roman" w:hAnsi="Times New Roman"/>
          <w:sz w:val="24"/>
          <w:szCs w:val="24"/>
        </w:rPr>
        <w:t>Εδώ συλλέγονται πρόσθετες πληροφορίες με σκοπό την κατηγοριοποίηση των δραστηριοτήτων του ιδρύματος και των ρυθμιστικών του επιλογών.</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 xml:space="preserve">Γραμμή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και στήλη</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Οδηγίες</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Εταιρική δομή του ιδρύματος</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ίδρυμα ταξινομεί την εταιρική δομή του σύμφωνα με τις κατωτέρω κατηγορίες:</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συμμετοχική εταιρεία·</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αμοιβαία/συνεταιριστική·</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άλλη μη συμμετοχική εταιρεία.</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Αντιμετώπιση παραγώγων</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ίδρυμα προσδιορίζει την κανονιστική αντιμετώπιση των παραγώγων σύμφωνα με τις κατωτέρω κατηγορίες:</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τυποποιημένη προσέγγιση για τον πιστωτικό κίνδυνο αντισυμβαλλομένου (SA-CCR)·</w:t>
            </w:r>
          </w:p>
          <w:p w14:paraId="43920088" w14:textId="080D2445"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απλουστευμένη τυποποιημένη προσέγγιση για τον πιστωτικό κίνδυνο αντισυμβαλλομένου·</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μέθοδος αρχικού ανοίγματος.</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Είδος ιδρύματος</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Το ίδρυμα κατατάσσεται σε είδος ιδρύματος, σύμφωνα με τις κατωτέρω κατηγορίες:</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υπηρεσίες γενικής τραπεζικής (λιανική/εμπορική και επενδυτική τραπεζική)·</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lastRenderedPageBreak/>
              <w:t>—</w:t>
            </w:r>
            <w:r>
              <w:tab/>
            </w:r>
            <w:r>
              <w:rPr>
                <w:rFonts w:ascii="Times New Roman" w:hAnsi="Times New Roman"/>
                <w:bCs/>
                <w:sz w:val="24"/>
                <w:szCs w:val="24"/>
              </w:rPr>
              <w:t>λιανική/εμπορική τραπεζική·</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επενδυτική τραπεζική·</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ειδικός δανειστής·</w:t>
            </w:r>
          </w:p>
          <w:p w14:paraId="5E1BA609" w14:textId="30316771"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bCs/>
                <w:sz w:val="24"/>
                <w:szCs w:val="24"/>
              </w:rPr>
              <w:t>—</w:t>
            </w:r>
            <w:r>
              <w:rPr>
                <w:rFonts w:ascii="Times New Roman" w:hAnsi="Times New Roman"/>
                <w:bCs/>
                <w:sz w:val="24"/>
                <w:szCs w:val="24"/>
              </w:rPr>
              <w:tab/>
              <w:t xml:space="preserve">δημόσια αναπτυξιακά </w:t>
            </w:r>
            <w:r>
              <w:rPr>
                <w:rFonts w:ascii="Times New Roman" w:hAnsi="Times New Roman"/>
                <w:color w:val="auto"/>
                <w:sz w:val="24"/>
                <w:szCs w:val="24"/>
              </w:rPr>
              <w:t xml:space="preserve"> πιστωτικά ιδρύματα·</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άλλο επιχειρηματικό μοντέλο.</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Ίδρυμα με δημόσια αναπτυξιακή μονάδα</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που δεν αποτελούν δημόσια αναπτυξιακά</w:t>
            </w:r>
            <w:r>
              <w:rPr>
                <w:rFonts w:ascii="Times New Roman" w:hAnsi="Times New Roman"/>
                <w:color w:val="auto"/>
                <w:sz w:val="24"/>
                <w:szCs w:val="24"/>
              </w:rPr>
              <w:t xml:space="preserve"> πιστωτικά ιδρύματα</w:t>
            </w:r>
            <w:r>
              <w:rPr>
                <w:rFonts w:ascii="Times New Roman" w:hAnsi="Times New Roman"/>
                <w:bCs/>
                <w:sz w:val="24"/>
                <w:szCs w:val="24"/>
              </w:rPr>
              <w:t xml:space="preserve"> αναφέρουν εάν έχουν δημόσια αναπτυξιακή μονάδα.</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66B939F9" w14:textId="6DF6B901"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Οντότητα που εγγυάται το δημόσιο αναπτυξιακό πιστωτικό ίδρυμα / τη δημόσια αναπτυξιακή μονάδα σύμφωνα με το άρθρο 429α παράγραφος 2 στοιχείο δ) του ΚΚΑ: κεντρική κυβέρνηση, περιφερειακή κυβέρνηση, τοπική αρχή</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bCs/>
                <w:sz w:val="24"/>
                <w:szCs w:val="24"/>
              </w:rPr>
              <w:t>Τα ιδρύματα που είτε αποτελούν δημόσιο αναπτυξιακό</w:t>
            </w:r>
            <w:r>
              <w:rPr>
                <w:rFonts w:ascii="Times New Roman" w:hAnsi="Times New Roman"/>
                <w:color w:val="auto"/>
                <w:sz w:val="24"/>
                <w:szCs w:val="24"/>
              </w:rPr>
              <w:t xml:space="preserve"> πιστωτικό ίδρυμα </w:t>
            </w:r>
            <w:r>
              <w:rPr>
                <w:rFonts w:ascii="Times New Roman" w:hAnsi="Times New Roman"/>
                <w:bCs/>
                <w:sz w:val="24"/>
                <w:szCs w:val="24"/>
              </w:rPr>
              <w:t>είτε διαθέτουν δημόσια αναπτυξιακή μονάδα αναφέρουν εάν έχουν την εγγύηση κάποιας κεντρικής κυβέρνησης, περιφερειακής κυβέρνησης ή τοπικής αρχής.</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αναφέρουν «TRUE» στη γραμμή που αντιστοιχεί στο κατάλληλο είδος παρόχου προστασίας και «FALSE» στα υπόλοιπα.</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bCs/>
                <w:sz w:val="24"/>
                <w:szCs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Κεντρική κυβέρνηση που εγγυάται το δημόσιο αναπτυξιακό</w:t>
            </w:r>
            <w:r>
              <w:rPr>
                <w:rFonts w:ascii="Times New Roman" w:hAnsi="Times New Roman"/>
                <w:b/>
                <w:color w:val="auto"/>
                <w:sz w:val="24"/>
                <w:szCs w:val="24"/>
              </w:rPr>
              <w:t xml:space="preserve"> πιστωτικό ίδρυμα </w:t>
            </w:r>
            <w:r>
              <w:rPr>
                <w:rFonts w:ascii="Times New Roman" w:hAnsi="Times New Roman"/>
                <w:b/>
                <w:bCs/>
                <w:sz w:val="24"/>
                <w:szCs w:val="24"/>
              </w:rPr>
              <w:t>/ τη δημόσια αναπτυξιακή μονάδα</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Περιφερειακή κυβέρνηση που εγγυάται το δημόσιο αναπτυξιακό</w:t>
            </w:r>
            <w:r>
              <w:rPr>
                <w:rFonts w:ascii="Times New Roman" w:hAnsi="Times New Roman"/>
                <w:b/>
                <w:color w:val="auto"/>
                <w:sz w:val="24"/>
                <w:szCs w:val="24"/>
              </w:rPr>
              <w:t xml:space="preserve"> πιστωτικό ίδρυμα </w:t>
            </w:r>
            <w:r>
              <w:rPr>
                <w:rFonts w:ascii="Times New Roman" w:hAnsi="Times New Roman"/>
                <w:b/>
                <w:bCs/>
                <w:sz w:val="24"/>
                <w:szCs w:val="24"/>
              </w:rPr>
              <w:t>/ τη δημόσια αναπτυξιακή μονάδα</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Τοπική αρχή που εγγυάται το δημόσιο αναπτυξιακό</w:t>
            </w:r>
            <w:r>
              <w:rPr>
                <w:rFonts w:ascii="Times New Roman" w:hAnsi="Times New Roman"/>
                <w:b/>
                <w:color w:val="auto"/>
                <w:sz w:val="24"/>
                <w:szCs w:val="24"/>
              </w:rPr>
              <w:t xml:space="preserve"> πιστωτικό ίδρυμα</w:t>
            </w:r>
            <w:r>
              <w:rPr>
                <w:rFonts w:ascii="Times New Roman" w:hAnsi="Times New Roman"/>
                <w:b/>
                <w:bCs/>
                <w:sz w:val="24"/>
                <w:szCs w:val="24"/>
              </w:rPr>
              <w:t xml:space="preserve"> / τη δημόσια αναπτυξιακή μονάδα</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Είδος ληφθείσας εγγύησης, σύμφωνα με το άρθρο 492α παράγραφος 2 στοιχείο δ) του ΚΚΑ.</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που είτε αποτελούν δημόσιο αναπτυξιακό</w:t>
            </w:r>
            <w:r>
              <w:rPr>
                <w:rFonts w:ascii="Times New Roman" w:hAnsi="Times New Roman"/>
                <w:sz w:val="24"/>
                <w:szCs w:val="24"/>
              </w:rPr>
              <w:t xml:space="preserve"> </w:t>
            </w:r>
            <w:r>
              <w:rPr>
                <w:rFonts w:ascii="Times New Roman" w:hAnsi="Times New Roman"/>
                <w:color w:val="auto"/>
                <w:sz w:val="24"/>
                <w:szCs w:val="24"/>
              </w:rPr>
              <w:t>πιστωτικό ίδρυμα</w:t>
            </w:r>
            <w:r>
              <w:rPr>
                <w:rFonts w:ascii="Times New Roman" w:hAnsi="Times New Roman"/>
                <w:bCs/>
                <w:sz w:val="24"/>
                <w:szCs w:val="24"/>
              </w:rPr>
              <w:t xml:space="preserve"> είτε διαθέτουν δημόσια αναπτυξιακή μονάδα αναφέρουν το είδος της ληφθείσας προστασίας</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Τα ιδρύματα αναφέρουν «TRUE» στη γραμμή που αντιστοιχεί στο κατάλληλο είδος προστασίας και «FALSE» στα υπόλοιπα.</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Υποχρέωση προστασίας της βιωσιμότητας του πιστωτικού ιδρύματος</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lastRenderedPageBreak/>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Άμεση εγγύηση των απαιτήσεων ιδίων κεφαλαίων των πιστωτικών ιδρυμάτων, των απαιτήσεων χρηματοδότησης ή των χορηγούμενων προνομιακών δανείων</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Έμμεση εγγύηση των απαιτήσεων ιδίων κεφαλαίων των πιστωτικών ιδρυμάτων, των απαιτήσεων χρηματοδότησης ή των χορηγούμενων προνομιακών δανείων</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9" w:name="_Toc52461756"/>
      <w:r>
        <w:rPr>
          <w:rFonts w:ascii="Times New Roman" w:hAnsi="Times New Roman"/>
          <w:b/>
          <w:sz w:val="24"/>
          <w:szCs w:val="24"/>
        </w:rPr>
        <w:t>7.</w:t>
      </w:r>
      <w:r>
        <w:tab/>
      </w:r>
      <w:r>
        <w:rPr>
          <w:rFonts w:ascii="Times New Roman" w:hAnsi="Times New Roman"/>
          <w:b/>
          <w:sz w:val="24"/>
          <w:szCs w:val="24"/>
        </w:rPr>
        <w:t>C 48.00 Μεταβλητότητα του δείκτη μόχλευσης (LR6)</w:t>
      </w:r>
      <w:bookmarkEnd w:id="79"/>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29.</w:t>
      </w:r>
      <w:r>
        <w:tab/>
      </w:r>
      <w:r>
        <w:rPr>
          <w:rFonts w:ascii="Times New Roman" w:hAnsi="Times New Roman"/>
          <w:sz w:val="24"/>
          <w:szCs w:val="24"/>
        </w:rPr>
        <w:t xml:space="preserve">Οι πληροφορίες συλλέγονται για τον σκοπό της παρακολούθησης της μεταβλητότητας του δείκτη μόχλευσης. Οι πληροφορίες υποβάλλονται μόνο από μεγάλα ιδρύματα.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0" w:name="_Toc52461757"/>
      <w:r>
        <w:rPr>
          <w:rFonts w:ascii="Times New Roman" w:hAnsi="Times New Roman"/>
          <w:b/>
          <w:sz w:val="24"/>
          <w:szCs w:val="24"/>
        </w:rPr>
        <w:t>8.</w:t>
      </w:r>
      <w:r>
        <w:tab/>
      </w:r>
      <w:r>
        <w:rPr>
          <w:rFonts w:ascii="Times New Roman" w:hAnsi="Times New Roman"/>
          <w:b/>
          <w:sz w:val="24"/>
          <w:szCs w:val="24"/>
        </w:rPr>
        <w:t>C 48.01 Μεταβλητότητα του δείκτη μόχλευσης: Μέση τιμή για την περίοδο αναφοράς</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Γραμμή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και στήλη</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Οδηγίες</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Μέση τιμή για την περίοδο αναφοράς – αξία ανοίγματος ΣΧΤ</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Τα ιδρύματα αναφέρουν τη μέση τιμή των ημερήσιων τιμών του τριμήνου αναφοράς για την αξία ανοίγματος ΣΧΤ, χωρίς το απαλλασσόμενο σκέλος CCP των ανοιγμάτων διαπραγμάτευσης που εκκαθαρίζονται για πελάτη όπως ορίζεται στις γραμμές 0010 και 0050 του υποδείγματος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Μέση τιμή για την περίοδο αναφοράς – Προσαρμογές για συναλλαγές λογιστικής πωλήσεων ΣΧΤ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Τα ιδρύματα αναφέρουν τη μέση τιμή των ημερήσιων τιμών του τριμήνου αναφοράς για τις προσαρμογές για συναλλαγές λογιστικής πωλήσεων ΣΧΤ όπως ορίζονται στη γραμμή 0230</w:t>
            </w:r>
            <w:r>
              <w:rPr>
                <w:rFonts w:ascii="Times New Roman" w:hAnsi="Times New Roman"/>
                <w:sz w:val="24"/>
                <w:szCs w:val="24"/>
              </w:rPr>
              <w:t xml:space="preserve"> του υποδείγματος C47.0</w:t>
            </w:r>
            <w:r>
              <w:rPr>
                <w:rFonts w:ascii="Times New Roman" w:hAnsi="Times New Roman"/>
                <w:color w:val="auto"/>
                <w:sz w:val="24"/>
                <w:szCs w:val="24"/>
              </w:rPr>
              <w:t>0.</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1" w:name="_Toc52461758"/>
      <w:r>
        <w:rPr>
          <w:rFonts w:ascii="Times New Roman" w:hAnsi="Times New Roman"/>
          <w:b/>
          <w:sz w:val="24"/>
          <w:szCs w:val="24"/>
        </w:rPr>
        <w:t>9.</w:t>
      </w:r>
      <w:r>
        <w:tab/>
      </w:r>
      <w:r>
        <w:rPr>
          <w:rFonts w:ascii="Times New Roman" w:hAnsi="Times New Roman"/>
          <w:b/>
          <w:sz w:val="24"/>
          <w:szCs w:val="24"/>
        </w:rPr>
        <w:t>C 48.02 Μεταβλητότητα του δείκτη μόχλευσης: Ημερήσιες τιμές για την περίοδο αναφοράς</w:t>
      </w:r>
      <w:bookmarkEnd w:id="81"/>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30.</w:t>
      </w:r>
      <w:r>
        <w:tab/>
      </w:r>
      <w:r>
        <w:rPr>
          <w:rFonts w:ascii="Times New Roman" w:hAnsi="Times New Roman"/>
          <w:sz w:val="24"/>
          <w:szCs w:val="24"/>
        </w:rPr>
        <w:t xml:space="preserve">Αναφέρονται οι ημερήσιες τιμές του τριμήνου.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Γραμμή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και στήλη</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Οδηγίες</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Ημερομηνία αναφοράς εντός της περιόδου αναφοράς</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lastRenderedPageBreak/>
              <w:t>Τα ιδρύματα αναφέρουν την ημερομηνία στην οποία αναφέρεται η υποβληθείσα ημερήσια τιμή. Αναφέρεται κάθε ημέρα του τριμήνου αναφοράς.</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lastRenderedPageBreak/>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Αξία ανοίγματος ΣΧΤ</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Τα ιδρύματα αναφέρουν τις ημερήσιες τιμές του τριμήνου αναφοράς για την αξία ανοίγματος ΣΧΤ, χωρίς το απαλλασσόμενο σκέλος CCP των ανοιγμάτων διαπραγμάτευσης που εκκαθαρίζονται για πελάτη όπως ορίζεται στις γραμμές 0010 και 0050 του υποδείγματος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Προσαρμογές για συναλλαγές λογιστικής πωλήσεων ΣΧΤ</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Τα ιδρύματα αναφέρουν τις ημερήσιες τιμές του τριμήνου αναφοράς για τις προσαρμογές για συναλλαγές λογιστικής πωλήσεων ΣΧΤ όπως ορίζονται στη γραμμή 0230</w:t>
            </w:r>
            <w:r>
              <w:rPr>
                <w:rFonts w:ascii="Times New Roman" w:hAnsi="Times New Roman"/>
                <w:sz w:val="24"/>
                <w:szCs w:val="24"/>
              </w:rPr>
              <w:t xml:space="preserve"> του υποδείγματος C47.00</w:t>
            </w:r>
            <w:r>
              <w:rPr>
                <w:rFonts w:ascii="Times New Roman" w:hAnsi="Times New Roman"/>
                <w:color w:val="auto"/>
                <w:sz w:val="24"/>
                <w:szCs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footerReference w:type="default" r:id="rId12"/>
      <w:headerReference w:type="first" r:id="rId13"/>
      <w:footerReference w:type="first" r:id="rId14"/>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E3433B" w:rsidRDefault="00E3433B">
      <w:r>
        <w:separator/>
      </w:r>
    </w:p>
  </w:endnote>
  <w:endnote w:type="continuationSeparator" w:id="0">
    <w:p w14:paraId="5FA72A43" w14:textId="77777777" w:rsidR="00E3433B" w:rsidRDefault="00E3433B">
      <w:r>
        <w:continuationSeparator/>
      </w:r>
    </w:p>
  </w:endnote>
  <w:endnote w:type="continuationNotice" w:id="1">
    <w:p w14:paraId="37556CA5" w14:textId="77777777" w:rsidR="00E3433B" w:rsidRDefault="00E343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7B755" w14:textId="77777777" w:rsidR="00E3433B" w:rsidRPr="00A772B4" w:rsidRDefault="00E3433B">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5DE116BD" w14:textId="77777777" w:rsidR="00E3433B" w:rsidRDefault="00E343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2571170"/>
      <w:docPartObj>
        <w:docPartGallery w:val="Page Numbers (Bottom of Page)"/>
        <w:docPartUnique/>
      </w:docPartObj>
    </w:sdtPr>
    <w:sdtEndPr>
      <w:rPr>
        <w:noProof/>
      </w:rPr>
    </w:sdtEndPr>
    <w:sdtContent>
      <w:p w14:paraId="62560504" w14:textId="39A37EA2" w:rsidR="00E3433B" w:rsidRDefault="00E3433B">
        <w:pPr>
          <w:pStyle w:val="Footer"/>
          <w:jc w:val="center"/>
        </w:pPr>
        <w:r>
          <w:fldChar w:fldCharType="begin"/>
        </w:r>
        <w:r>
          <w:instrText xml:space="preserve"> PAGE   \* MERGEFORMAT </w:instrText>
        </w:r>
        <w:r>
          <w:fldChar w:fldCharType="separate"/>
        </w:r>
        <w:r w:rsidR="00321D0F">
          <w:rPr>
            <w:noProof/>
          </w:rPr>
          <w:t>1</w:t>
        </w:r>
        <w:r>
          <w:fldChar w:fldCharType="end"/>
        </w:r>
      </w:p>
    </w:sdtContent>
  </w:sdt>
  <w:p w14:paraId="190B51C8" w14:textId="77777777" w:rsidR="00E3433B" w:rsidRDefault="00E343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Content>
      <w:p w14:paraId="3FFD22B5" w14:textId="2226BB6B" w:rsidR="00E3433B" w:rsidRPr="009A78F0" w:rsidRDefault="00E3433B"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321D0F">
          <w:rPr>
            <w:rFonts w:ascii="Times New Roman" w:hAnsi="Times New Roman"/>
            <w:noProof/>
            <w:sz w:val="20"/>
          </w:rPr>
          <w:t>73</w:t>
        </w:r>
        <w:r>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58D08035" w14:textId="77777777" w:rsidR="00E3433B" w:rsidRDefault="00E3433B">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E3433B" w:rsidRDefault="00E343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E3433B" w:rsidRPr="004D223F" w:rsidRDefault="00E3433B" w:rsidP="00C7701D">
      <w:r>
        <w:continuationSeparator/>
      </w:r>
    </w:p>
  </w:footnote>
  <w:footnote w:type="continuationSeparator" w:id="0">
    <w:p w14:paraId="7AD75631" w14:textId="77777777" w:rsidR="00E3433B" w:rsidRDefault="00E3433B">
      <w:r>
        <w:continuationSeparator/>
      </w:r>
    </w:p>
  </w:footnote>
  <w:footnote w:type="continuationNotice" w:id="1">
    <w:p w14:paraId="0E3C9440" w14:textId="77777777" w:rsidR="00E3433B" w:rsidRDefault="00E3433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E3433B" w:rsidRDefault="00E3433B">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E3433B" w:rsidRDefault="00E3433B">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0F76BD"/>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09F"/>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0F"/>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4EC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192"/>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7A3"/>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6E8"/>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515"/>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430C"/>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33B"/>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6D15"/>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el-G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l-G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l-GR"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870C35-D79A-4408-AC33-1DB9EF748FF2}">
  <ds:schemaRefs>
    <ds:schemaRef ds:uri="http://schemas.openxmlformats.org/officeDocument/2006/bibliography"/>
  </ds:schemaRefs>
</ds:datastoreItem>
</file>

<file path=customXml/itemProps2.xml><?xml version="1.0" encoding="utf-8"?>
<ds:datastoreItem xmlns:ds="http://schemas.openxmlformats.org/officeDocument/2006/customXml" ds:itemID="{6022F396-0CAD-4E99-B3F4-F30854AAB94F}">
  <ds:schemaRefs>
    <ds:schemaRef ds:uri="http://schemas.openxmlformats.org/officeDocument/2006/bibliography"/>
  </ds:schemaRefs>
</ds:datastoreItem>
</file>

<file path=customXml/itemProps3.xml><?xml version="1.0" encoding="utf-8"?>
<ds:datastoreItem xmlns:ds="http://schemas.openxmlformats.org/officeDocument/2006/customXml" ds:itemID="{85C46C35-A616-4D8D-9C32-1F90255B5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21701</Words>
  <Characters>129598</Characters>
  <Application>Microsoft Office Word</Application>
  <DocSecurity>0</DocSecurity>
  <Lines>3027</Lines>
  <Paragraphs>1276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150448</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2020-12-12T16:55:00Z</dcterms:modified>
</cp:coreProperties>
</file>