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11301" w14:textId="4475C7FE" w:rsidR="0040604D" w:rsidRPr="003E55AB" w:rsidRDefault="0040604D" w:rsidP="003E55AB">
      <w:pPr>
        <w:spacing w:before="0"/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ПРИЛОЖЕНИЕ XXI</w:t>
      </w:r>
    </w:p>
    <w:p w14:paraId="55B2E7E1" w14:textId="065A927F" w:rsidR="0040604D" w:rsidRDefault="0040604D" w:rsidP="003E55AB">
      <w:pPr>
        <w:spacing w:before="0"/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УКАЗАНИЯ ЗА ДОКЛАДВАНЕ НА КОНЦЕНТРАЦИЯТА НА КАПАЦИТЕТА ЗА ГЕНЕРИРАНЕ НА ЛИКВИДНОСТ</w:t>
      </w:r>
    </w:p>
    <w:p w14:paraId="6C60C302" w14:textId="77777777" w:rsidR="0081623B" w:rsidRPr="003E55AB" w:rsidRDefault="0081623B" w:rsidP="003E55AB">
      <w:pPr>
        <w:spacing w:before="0"/>
        <w:jc w:val="center"/>
        <w:rPr>
          <w:rFonts w:ascii="Times New Roman" w:hAnsi="Times New Roman"/>
          <w:b/>
          <w:sz w:val="24"/>
        </w:rPr>
      </w:pPr>
    </w:p>
    <w:p w14:paraId="2314BCB9" w14:textId="3D6E6875" w:rsidR="00B1719D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Институциите прилагат указанията от настоящото приложение във връзка със събирането на информация по образец C 71.00 относно концентрацията на капацитета за генериране на ликвидност на докладващите институции според десетте най-големи портфейла от активи, които те държат, или десетте най-големи линии за ликвидност, които са им предоставени.</w:t>
      </w:r>
    </w:p>
    <w:p w14:paraId="6D98D095" w14:textId="6A747233" w:rsidR="00672B1B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2.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Когато даден емитент или контрагент бъде отнесен към повече от един вид продукт, валута или кредитно качество, се докладва общият размер.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Докладва се този вид продукт, валута или кредитно качество, който се отнася за най-големия дял от концентрацията на капацитета за генериране на ликвидност.</w:t>
      </w:r>
      <w:r>
        <w:rPr>
          <w:sz w:val="24"/>
          <w:rFonts w:ascii="Times New Roman" w:hAnsi="Times New Roman"/>
        </w:rPr>
        <w:t xml:space="preserve"> </w:t>
      </w:r>
    </w:p>
    <w:p w14:paraId="1A86D9FE" w14:textId="2D9CE2DF" w:rsidR="00FF4741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Капацитетът за генериране на ликвидност в образец C 71.00 трябва да бъде същият като в образец C 66.00 с уточнението, че активите, докладвани като капацитет за генериране на ликвидност за целите на C 71.00, са свободни от тежести активи, които са на разположение на институцията, така че тя да може да ги преобразува в парични средства на референтната дата на докладване.</w:t>
      </w:r>
    </w:p>
    <w:p w14:paraId="52C95F92" w14:textId="76B8503D" w:rsidR="00EF029F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4.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При изчисляването на концентрациите във връзка с образец за докладване C 71.00 по съществена валута институциите използват концентрациите във всички валути.</w:t>
      </w:r>
    </w:p>
    <w:p w14:paraId="5D592CDE" w14:textId="137C55E0" w:rsidR="0005633D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5.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Информацията за емитент или контрагент, принадлежащ към няколко групи от свързани клиенти, се докладва само веднъж в групата с най-голям капацитет за генериране на ликвидност.</w:t>
      </w:r>
    </w:p>
    <w:p w14:paraId="2C0B2260" w14:textId="17EB1C17" w:rsidR="00CB05F9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6.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С изключение на ред 120, концентрацията на капацитета за генериране на ликвидност, при който емитент или контрагент е централна банка, не се докладва в настоящия образец.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Когато институцията е предоставила активи при централна банка във връзка със стандартни операции по поддържане на ликвидността и ако тези активи спадат към десетте най-значими емитенти или контрагенти на свободен от тежести капацитет за генериране на ликвидност, институциите докладват първоначалния емитент и първоначалния вид продукт.</w:t>
      </w:r>
    </w:p>
    <w:p w14:paraId="423289FA" w14:textId="77777777" w:rsidR="00E05204" w:rsidRPr="0081623B" w:rsidRDefault="00E05204" w:rsidP="003E55AB">
      <w:pPr>
        <w:spacing w:before="0"/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306"/>
      </w:tblGrid>
      <w:tr w:rsidR="00E05204" w:rsidRPr="0081623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Колона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Препратки към правни норми и указания</w:t>
            </w:r>
          </w:p>
        </w:tc>
      </w:tr>
      <w:tr w:rsidR="00E05204" w:rsidRPr="0081623B" w14:paraId="32AA40F1" w14:textId="77777777" w:rsidTr="00845EB1">
        <w:tc>
          <w:tcPr>
            <w:tcW w:w="990" w:type="dxa"/>
          </w:tcPr>
          <w:p w14:paraId="79D5F65E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</w:t>
            </w:r>
          </w:p>
        </w:tc>
        <w:tc>
          <w:tcPr>
            <w:tcW w:w="7306" w:type="dxa"/>
          </w:tcPr>
          <w:p w14:paraId="20597254" w14:textId="73E89BCB" w:rsidR="00E05204" w:rsidRPr="0081623B" w:rsidRDefault="004C1638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Наименование на емитента</w:t>
            </w:r>
          </w:p>
          <w:p w14:paraId="36B02E7E" w14:textId="56EF9FD1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В колона 010 се вписват в низходящ ред имената/фирмите на десетте най-значими емитенти на свободни от тежести активи или контрагенти по неусвоени договорени линии за ликвидност, предоставени на институцията.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Най-голямата позиция се вписва под номер 1.01, втората по значимост — под номер 1.02 и т.н. Емитенти и контрагенти, които образуват група от свързани клиенти, се докладват като една концентрация.</w:t>
            </w:r>
          </w:p>
          <w:p w14:paraId="4E01B5DA" w14:textId="4F0E946D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Вписаното име/фирма на емитента или контрагента е пълното наименование на правния субект, емитирал активите или предоставил линиите за ликвидност, включително видът на дружеството в съответствие с националното дружествено право.</w:t>
            </w:r>
          </w:p>
        </w:tc>
      </w:tr>
      <w:tr w:rsidR="00E05204" w:rsidRPr="0081623B" w14:paraId="5485249F" w14:textId="77777777" w:rsidTr="00845EB1">
        <w:tc>
          <w:tcPr>
            <w:tcW w:w="990" w:type="dxa"/>
          </w:tcPr>
          <w:p w14:paraId="488A21BC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7306" w:type="dxa"/>
          </w:tcPr>
          <w:p w14:paraId="763D0E5F" w14:textId="77777777" w:rsidR="00E05204" w:rsidRPr="0081623B" w:rsidRDefault="00E05204" w:rsidP="003E55AB">
            <w:pPr>
              <w:spacing w:before="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Идентификационен код на правния субект (ИКПС)</w:t>
            </w:r>
          </w:p>
          <w:p w14:paraId="7861A1B2" w14:textId="190A7764" w:rsidR="00E05204" w:rsidRPr="003E55AB" w:rsidRDefault="00E05204" w:rsidP="003E55AB">
            <w:pPr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Идентификационният код на правния субект на контрагента.</w:t>
            </w:r>
            <w:r>
              <w:rPr>
                <w:sz w:val="24"/>
                <w:bCs/>
                <w:rFonts w:ascii="Times New Roman" w:hAnsi="Times New Roman"/>
              </w:rPr>
              <w:t xml:space="preserve"> </w:t>
            </w:r>
          </w:p>
        </w:tc>
      </w:tr>
      <w:tr w:rsidR="00E05204" w:rsidRPr="0081623B" w14:paraId="2B1BAA00" w14:textId="77777777" w:rsidTr="00845EB1">
        <w:tc>
          <w:tcPr>
            <w:tcW w:w="990" w:type="dxa"/>
          </w:tcPr>
          <w:p w14:paraId="12DAC473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</w:t>
            </w:r>
          </w:p>
        </w:tc>
        <w:tc>
          <w:tcPr>
            <w:tcW w:w="7306" w:type="dxa"/>
          </w:tcPr>
          <w:p w14:paraId="6DAF3DB3" w14:textId="4B8E1486" w:rsidR="00E05204" w:rsidRPr="0081623B" w:rsidRDefault="004C1638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Сектор на емитента</w:t>
            </w:r>
          </w:p>
          <w:p w14:paraId="62F53B63" w14:textId="27347E6E" w:rsidR="00E05204" w:rsidRPr="003E55AB" w:rsidRDefault="00E05204" w:rsidP="003E55AB">
            <w:pPr>
              <w:pStyle w:val="InstructionsText"/>
              <w:spacing w:after="12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Всеки емитент или контрагент се разпределя в отделен икономически сектор според класовете икономически сектори съгласно FINREP:</w:t>
            </w:r>
          </w:p>
          <w:p w14:paraId="563180C8" w14:textId="31A14F6F" w:rsidR="00E05204" w:rsidRPr="0081623B" w:rsidRDefault="00E05204" w:rsidP="003E55AB">
            <w:pPr>
              <w:pStyle w:val="InstructionsText"/>
              <w:spacing w:after="12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i) сектор „Държавно управление“;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ii) кредитни институции;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iii) други финансови предприятия;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iv) нефинансови предприятия;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v) домакинства.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  <w:p w14:paraId="3E53ACDF" w14:textId="14712E31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За </w:t>
            </w:r>
            <w:r>
              <w:rPr>
                <w:sz w:val="24"/>
                <w:rFonts w:ascii="Times New Roman" w:hAnsi="Times New Roman"/>
              </w:rPr>
              <w:t xml:space="preserve">групите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от свързани клиенти не се посочва сектор.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</w:tc>
      </w:tr>
      <w:tr w:rsidR="00E05204" w:rsidRPr="0081623B" w14:paraId="66F40C8E" w14:textId="77777777" w:rsidTr="00845EB1">
        <w:tc>
          <w:tcPr>
            <w:tcW w:w="990" w:type="dxa"/>
          </w:tcPr>
          <w:p w14:paraId="5F55844F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</w:t>
            </w:r>
          </w:p>
        </w:tc>
        <w:tc>
          <w:tcPr>
            <w:tcW w:w="7306" w:type="dxa"/>
          </w:tcPr>
          <w:p w14:paraId="6EC1C162" w14:textId="488287EA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Местопребиваване на емитента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F33DF35" w14:textId="52A4F552" w:rsidR="00E05204" w:rsidRPr="0081623B" w:rsidRDefault="00E05204" w:rsidP="003E55AB">
            <w:pPr>
              <w:spacing w:before="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Използва се двубуквеният код по стандарт ISO 3166-1 на държавата на учредяване на емитента или контрагента (включително псевдокодовете по ISO за международните организации</w:t>
            </w:r>
            <w:r>
              <w:rPr>
                <w:sz w:val="24"/>
                <w:rFonts w:ascii="Times New Roman" w:hAnsi="Times New Roman"/>
              </w:rPr>
              <w:t xml:space="preserve">, публикувани в последното издание на наръчника на Евростат относно платежния баланс)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  <w:p w14:paraId="60598FF1" w14:textId="5505D19C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За групи от свързани клиенти не се посочва държава.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81623B" w14:paraId="0F08D697" w14:textId="77777777" w:rsidTr="00845EB1">
        <w:tc>
          <w:tcPr>
            <w:tcW w:w="990" w:type="dxa"/>
          </w:tcPr>
          <w:p w14:paraId="3B929507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050</w:t>
            </w:r>
          </w:p>
        </w:tc>
        <w:tc>
          <w:tcPr>
            <w:tcW w:w="7306" w:type="dxa"/>
          </w:tcPr>
          <w:p w14:paraId="016C0789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Вид продукт</w:t>
            </w:r>
          </w:p>
          <w:p w14:paraId="7DC48699" w14:textId="3405D5A6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За емитентите/ контрагентите, вписани в колона 010, се определя видът продукт, съответстващ на продукта, в който се държи активът или в който е получен стенд-бай механизмът за ликвидност, като се използват следните кодове, дадени в получер шрифт:</w:t>
            </w:r>
          </w:p>
          <w:p w14:paraId="1CB9AEA2" w14:textId="6EDC6F2E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bookmarkStart w:id="1" w:name="OLE_LINK1"/>
            <w:r>
              <w:rPr>
                <w:sz w:val="24"/>
                <w:b/>
                <w:rFonts w:ascii="Times New Roman" w:hAnsi="Times New Roman"/>
              </w:rPr>
              <w:t xml:space="preserve">SrB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първостепенна</w:t>
            </w:r>
            <w:r>
              <w:rPr>
                <w:sz w:val="24"/>
                <w:rFonts w:ascii="Times New Roman" w:hAnsi="Times New Roman"/>
              </w:rPr>
              <w:t xml:space="preserve"> облигация);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ADB0D10" w14:textId="7357AEF5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SubB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подчинена</w:t>
            </w:r>
            <w:r>
              <w:rPr>
                <w:sz w:val="24"/>
                <w:rFonts w:ascii="Times New Roman" w:hAnsi="Times New Roman"/>
              </w:rPr>
              <w:t xml:space="preserve"> облигация);</w:t>
            </w:r>
          </w:p>
          <w:p w14:paraId="08EFBEC2" w14:textId="5FF6EE23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CP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търговски</w:t>
            </w:r>
            <w:r>
              <w:rPr>
                <w:sz w:val="24"/>
                <w:rFonts w:ascii="Times New Roman" w:hAnsi="Times New Roman"/>
              </w:rPr>
              <w:t xml:space="preserve"> актив);</w:t>
            </w:r>
          </w:p>
          <w:p w14:paraId="71AB267C" w14:textId="2722007C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CB </w:t>
            </w:r>
            <w:r>
              <w:rPr>
                <w:sz w:val="24"/>
                <w:rFonts w:ascii="Times New Roman" w:hAnsi="Times New Roman"/>
              </w:rPr>
              <w:t xml:space="preserve">(покрити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облигации</w:t>
            </w:r>
            <w:r>
              <w:rPr>
                <w:sz w:val="24"/>
                <w:rFonts w:ascii="Times New Roman" w:hAnsi="Times New Roman"/>
              </w:rPr>
              <w:t xml:space="preserve">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6004F55" w14:textId="4EBDEEC7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US </w:t>
            </w:r>
            <w:r>
              <w:rPr>
                <w:sz w:val="24"/>
                <w:rFonts w:ascii="Times New Roman" w:hAnsi="Times New Roman"/>
              </w:rPr>
              <w:t xml:space="preserve">(ценни книжа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на ПКИПЦК</w:t>
            </w:r>
            <w:r>
              <w:rPr>
                <w:sz w:val="24"/>
                <w:rFonts w:ascii="Times New Roman" w:hAnsi="Times New Roman"/>
              </w:rPr>
              <w:t xml:space="preserve">, т.е. финансови инструменти, които представляват акции или дялове в предприятие за колективно инвестиране в прехвърлими ценни книжа или ценни книжа, емитирани от такова предприятие);</w:t>
            </w:r>
          </w:p>
          <w:p w14:paraId="2E54EB88" w14:textId="73B3ACBF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ABS</w:t>
            </w:r>
            <w:r>
              <w:rPr>
                <w:sz w:val="24"/>
                <w:rFonts w:ascii="Times New Roman" w:hAnsi="Times New Roman"/>
              </w:rPr>
              <w:t xml:space="preserve"> (ценни книжа, обезпечени с активи);</w:t>
            </w:r>
          </w:p>
          <w:p w14:paraId="47B806DE" w14:textId="0B534D77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bCs/>
                <w:rFonts w:ascii="Times New Roman" w:hAnsi="Times New Roman"/>
              </w:rPr>
              <w:t xml:space="preserve">CrCl</w:t>
            </w:r>
            <w:r>
              <w:rPr>
                <w:sz w:val="24"/>
                <w:rFonts w:ascii="Times New Roman" w:hAnsi="Times New Roman"/>
              </w:rPr>
              <w:t xml:space="preserve"> (кредитно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вземане</w:t>
            </w:r>
            <w:r>
              <w:rPr>
                <w:sz w:val="24"/>
                <w:rFonts w:ascii="Times New Roman" w:hAnsi="Times New Roman"/>
              </w:rPr>
              <w:t xml:space="preserve">);</w:t>
            </w:r>
          </w:p>
          <w:p w14:paraId="77F497F4" w14:textId="220D3D3A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bCs/>
                <w:rFonts w:ascii="Times New Roman" w:hAnsi="Times New Roman"/>
              </w:rPr>
              <w:t xml:space="preserve">Eq</w:t>
            </w:r>
            <w:r>
              <w:rPr>
                <w:sz w:val="24"/>
                <w:rFonts w:ascii="Times New Roman" w:hAnsi="Times New Roman"/>
              </w:rPr>
              <w:t xml:space="preserve"> 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капиталов инструмент</w:t>
            </w:r>
            <w:r>
              <w:rPr>
                <w:sz w:val="24"/>
                <w:rFonts w:ascii="Times New Roman" w:hAnsi="Times New Roman"/>
              </w:rPr>
              <w:t xml:space="preserve">);</w:t>
            </w:r>
          </w:p>
          <w:p w14:paraId="3F4E3AAB" w14:textId="5007592A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Злато </w:t>
            </w:r>
            <w:r>
              <w:rPr>
                <w:sz w:val="24"/>
                <w:rFonts w:ascii="Times New Roman" w:hAnsi="Times New Roman"/>
              </w:rPr>
              <w:t xml:space="preserve">(ако е физическо злато, което може да се третира като отделен контрагент);</w:t>
            </w:r>
          </w:p>
          <w:p w14:paraId="6AE61C73" w14:textId="026D514D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bCs/>
                <w:rFonts w:ascii="Times New Roman" w:hAnsi="Times New Roman"/>
              </w:rPr>
              <w:t xml:space="preserve">LiqL</w:t>
            </w:r>
            <w:r>
              <w:rPr>
                <w:sz w:val="24"/>
                <w:rFonts w:ascii="Times New Roman" w:hAnsi="Times New Roman"/>
              </w:rPr>
              <w:t xml:space="preserve"> 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неусвоена</w:t>
            </w:r>
            <w:r>
              <w:rPr>
                <w:sz w:val="24"/>
                <w:rFonts w:ascii="Times New Roman" w:hAnsi="Times New Roman"/>
              </w:rPr>
              <w:t xml:space="preserve"> договорена линия за ликвидност, предоставена на институцията);</w:t>
            </w:r>
          </w:p>
          <w:p w14:paraId="23B5C30F" w14:textId="792C14AB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OPT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друг</w:t>
            </w:r>
            <w:r>
              <w:rPr>
                <w:sz w:val="24"/>
                <w:rFonts w:ascii="Times New Roman" w:hAnsi="Times New Roman"/>
              </w:rPr>
              <w:t xml:space="preserve"> вид продукт)</w:t>
            </w:r>
            <w:bookmarkEnd w:id="1"/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E05204" w:rsidRPr="0081623B" w14:paraId="4C932A7E" w14:textId="77777777" w:rsidTr="00845EB1">
        <w:tc>
          <w:tcPr>
            <w:tcW w:w="990" w:type="dxa"/>
          </w:tcPr>
          <w:p w14:paraId="611D24E9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060</w:t>
            </w:r>
          </w:p>
        </w:tc>
        <w:tc>
          <w:tcPr>
            <w:tcW w:w="7306" w:type="dxa"/>
          </w:tcPr>
          <w:p w14:paraId="361DF87B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Валута</w:t>
            </w:r>
          </w:p>
          <w:p w14:paraId="1D458B95" w14:textId="65954469" w:rsidR="00C05CCA" w:rsidRPr="0081623B" w:rsidRDefault="004C163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За емитентите или контрагентите, посочени в колона 010, в колона 060 се вписва кодът по ISO на валутата, съответстваща на деноминацията на получения актив или на неусвоените договорени линии за ликвидност, предоставени на институцията.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Докладва се трибуквеният код на валутата съгласно ISO 4217.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4611C9A" w14:textId="73FE19CB" w:rsidR="00774708" w:rsidRPr="0081623B" w:rsidRDefault="00047ECB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Когато в рамките на концентрацията на капацитета за генериране на ликвидност има линия, предоставена в повече от една валута, линията се докладва във валутата, която е основна за останалата част от концентрацията.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Във връзка с посоченото в член 415, параграф 2 от Регламент (ЕС) № 575/2013 отделно докладване по съществени валути, институциите преценяват в коя валута е най-вероятно да възникне потокът и докладват позицията само в тази съществена валута съгласно указанията за отделно докладване на съществените валути в ОЛП в съответствие с Регламент (ЕС) № 2016/322.</w:t>
            </w:r>
          </w:p>
        </w:tc>
      </w:tr>
      <w:tr w:rsidR="00E05204" w:rsidRPr="0081623B" w14:paraId="73A43F51" w14:textId="77777777" w:rsidTr="00845EB1">
        <w:tc>
          <w:tcPr>
            <w:tcW w:w="990" w:type="dxa"/>
          </w:tcPr>
          <w:p w14:paraId="44D208DA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070</w:t>
            </w:r>
          </w:p>
        </w:tc>
        <w:tc>
          <w:tcPr>
            <w:tcW w:w="7306" w:type="dxa"/>
          </w:tcPr>
          <w:p w14:paraId="48AA6E4F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Степен на кредитно качество</w:t>
            </w:r>
          </w:p>
          <w:p w14:paraId="692CB839" w14:textId="76307C3A" w:rsidR="00E05204" w:rsidRPr="0081623B" w:rsidRDefault="00966F82" w:rsidP="003E55AB">
            <w:pPr>
              <w:spacing w:before="0"/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Присъжда се съответната степен на кредитно качество съгласно Регламент (ЕС) № 575/2013, която е същата като степента за позициите, докладвани в падежната стълбица.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При липса на рейтинг се присъжда „без рейтинг“.</w:t>
            </w:r>
          </w:p>
        </w:tc>
      </w:tr>
      <w:tr w:rsidR="00E05204" w:rsidRPr="0081623B" w14:paraId="2461383F" w14:textId="77777777" w:rsidTr="00845EB1">
        <w:tc>
          <w:tcPr>
            <w:tcW w:w="990" w:type="dxa"/>
          </w:tcPr>
          <w:p w14:paraId="7F1DF3BE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080</w:t>
            </w:r>
          </w:p>
        </w:tc>
        <w:tc>
          <w:tcPr>
            <w:tcW w:w="7306" w:type="dxa"/>
          </w:tcPr>
          <w:p w14:paraId="3B1CC0D3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Пазарна/номинална стойност</w:t>
            </w:r>
          </w:p>
          <w:p w14:paraId="78CE7B68" w14:textId="7B52544C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Пазарната стойност или справедливата стойност на активите или, когато е приложимо — номиналната стойност на неусвоената линия за ликвидност, предоставена на институцията.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81623B" w14:paraId="74EA2D80" w14:textId="77777777" w:rsidTr="00845EB1">
        <w:tc>
          <w:tcPr>
            <w:tcW w:w="990" w:type="dxa"/>
          </w:tcPr>
          <w:p w14:paraId="40B79F48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090</w:t>
            </w:r>
          </w:p>
        </w:tc>
        <w:tc>
          <w:tcPr>
            <w:tcW w:w="7306" w:type="dxa"/>
          </w:tcPr>
          <w:p w14:paraId="5F665131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Размер на обезпеченията, приемливи за централната банка</w:t>
            </w:r>
          </w:p>
          <w:p w14:paraId="507C4FE8" w14:textId="2078D53B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Стойността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на обезпечението</w:t>
            </w:r>
            <w:r>
              <w:rPr>
                <w:sz w:val="24"/>
                <w:rFonts w:ascii="Times New Roman" w:hAnsi="Times New Roman"/>
              </w:rPr>
              <w:t xml:space="preserve">, определена в съответствие с разпоредбите на централната банка относно ликвидните улеснения, отнасящи се за конкретните активи.</w:t>
            </w:r>
          </w:p>
          <w:p w14:paraId="4C124B93" w14:textId="3D1AA419" w:rsidR="00BA0551" w:rsidRPr="0081623B" w:rsidRDefault="00B457F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Когато активите са деноминирани във валута, която е включена в Регламент за изпълнение (ЕС) 2015/233 на Комисията като валута, за която централната банка има изключително тясно определение за приемливост, институциите оставят това поле празно.</w:t>
            </w:r>
          </w:p>
        </w:tc>
      </w:tr>
    </w:tbl>
    <w:p w14:paraId="56E0854E" w14:textId="56990862" w:rsidR="00D02FE4" w:rsidRPr="003E55AB" w:rsidRDefault="00D02FE4" w:rsidP="003E55AB">
      <w:pPr>
        <w:pStyle w:val="InstructionsText"/>
        <w:spacing w:after="120"/>
        <w:rPr>
          <w:rStyle w:val="InstructionsTabelleText"/>
          <w:rFonts w:ascii="Times New Roman" w:hAnsi="Times New Roman"/>
          <w:b/>
          <w:sz w:val="24"/>
        </w:rPr>
      </w:pPr>
    </w:p>
    <w:sectPr w:rsidR="00D02FE4" w:rsidRPr="003E55AB" w:rsidSect="001C50E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3B7C51CE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4575">
          <w:t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6FDDED1F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4575">
          <w:t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77777777" w:rsidR="00B85053" w:rsidRDefault="00B85053" w:rsidP="00CB367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77777777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31250521"/>
    <w:multiLevelType w:val="hybridMultilevel"/>
    <w:tmpl w:val="DFE4B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136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55AB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38F5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219"/>
    <w:rsid w:val="00672329"/>
    <w:rsid w:val="00672684"/>
    <w:rsid w:val="00672B1B"/>
    <w:rsid w:val="006761DC"/>
    <w:rsid w:val="00680437"/>
    <w:rsid w:val="00680CBC"/>
    <w:rsid w:val="00681960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623B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357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575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11B2"/>
    <w:rsid w:val="00DC139C"/>
    <w:rsid w:val="00DC1D2D"/>
    <w:rsid w:val="00DC20BD"/>
    <w:rsid w:val="00DC29A9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;"/>
  <w14:docId w14:val="15F5D04F"/>
  <w15:docId w15:val="{499A08ED-D142-4EED-8F03-08BADD85C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val="bg-BG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bg-BG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bg-BG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val="bg-BG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bg-BG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bg-BG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bg-BG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bg-BG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bg-BG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bg-BG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bg-BG"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bg-BG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val="bg-BG"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bg-BG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bg-BG"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bg-BG" w:eastAsia="fr-FR"/>
    </w:rPr>
  </w:style>
  <w:style w:type="table" w:styleId="TableGrid">
    <w:name w:val="Table Grid"/>
    <w:basedOn w:val="TableNormal"/>
    <w:uiPriority w:val="59"/>
    <w:rsid w:val="00E05204"/>
    <w:rPr>
      <w:lang w:val="bg-BG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bg-BG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B6E28-FFB5-480D-AB55-86286DDE41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67933F-D78A-4FEC-ABBC-5D609FE74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868</Words>
  <Characters>4806</Characters>
  <Application>Microsoft Office Word</Application>
  <DocSecurity>0</DocSecurity>
  <Lines>114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GRIKSAS Gintaras (FISMA)</cp:lastModifiedBy>
  <cp:revision>5</cp:revision>
  <cp:lastPrinted>2014-06-12T12:55:00Z</cp:lastPrinted>
  <dcterms:created xsi:type="dcterms:W3CDTF">2020-10-01T13:01:00Z</dcterms:created>
  <dcterms:modified xsi:type="dcterms:W3CDTF">2020-10-01T14:39:00Z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gFAAXJDLFUo5N7unGP9kUBbqvhLQIJscQnjJY4xD+dGpziffwBYUZ621pbLrBPs/WcwN0tcAGQtHvCFM_x000d_
3T/x091d1AWUwMNDdE/Av0CQqYk2Hg/F4Nh6coUUsSD+Tsg4a5ZJenvs72R3+1eLh12dR8xbcXWv_x000d_
K5+xf2hCyazLXhs9NmyqwQNZRDQ2BALi6j02xnsO2ZBYnEuDLhVHmhIl+CEZ9Mda6DOmAr5HhIA0_x000d_
YnlSqt8jOWdj4Tyg8</vt:lpwstr>
  </property>
  <property fmtid="{D5CDD505-2E9C-101B-9397-08002B2CF9AE}" pid="3" name="MAIL_MSG_ID2">
    <vt:lpwstr>WJ8XpAoQxKdbXxCn1bR9Z6fxKZW95BRMdMhhT7m/8Ejv14Oa89m9ZgLkNVM_x000d_
Ussb5/SdsbiPhKK0JA2MqwXAHnFG/VSBfRjOzA==</vt:lpwstr>
  </property>
  <property fmtid="{D5CDD505-2E9C-101B-9397-08002B2CF9AE}" pid="4" name="RESPONSE_SENDER_NAME">
    <vt:lpwstr>sAAA4E8dREqJqIqQ8043TmSfpK2Y3z+Vu+xReiKSeWwV8v0=</vt:lpwstr>
  </property>
  <property fmtid="{D5CDD505-2E9C-101B-9397-08002B2CF9AE}" pid="5" name="EMAIL_OWNER_ADDRESS">
    <vt:lpwstr>4AAAyjQjm0EOGgLdpxEAuTOStZAPJflHB1hBCjK4hju38YpqEB5SAx5tcA==</vt:lpwstr>
  </property>
  <property fmtid="{D5CDD505-2E9C-101B-9397-08002B2CF9AE}" pid="6" name="_NewReviewCycle">
    <vt:lpwstr/>
  </property>
</Properties>
</file>