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bookmarkStart w:id="0" w:name="_GoBack"/>
      <w:bookmarkEnd w:id="0"/>
      <w:r>
        <w:rPr>
          <w:rFonts w:ascii="Times New Roman" w:hAnsi="Times New Roman"/>
          <w:sz w:val="24"/>
        </w:rPr>
        <w:t>PRILOGA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NAVODILA ZA POROČANJE O KONCENTRACIJI SEKUNDARNE LIKVIDNOSTI</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tab/>
      </w:r>
      <w:r>
        <w:rPr>
          <w:rFonts w:ascii="Times New Roman" w:hAnsi="Times New Roman"/>
          <w:sz w:val="24"/>
        </w:rPr>
        <w:t>Za zbiranje informacij o koncentraciji sekundarne likvidnosti institucij poročevalk glede na deset največjih imetij sredstev ali kreditnih linij, odobrenih instituciji v ta namen, v predlogi C 71.00 institucije upoštevajo navodila iz te priloge.</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Kadar se izdajatelju ali nasprotni stranki dodeli več kot ena vrsta produkta, valuta ali stopnja kreditne kakovosti, se poroča skupni znesek. Poročajo se tiste vrste produkta, valute ali stopnje kreditne kakovosti, ki zadevajo največji delež koncentracije sekundarne likvidnosti.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Sekundarna likvidnost v predlogi C 71.00 je enaka kot v predlogi C 66.01 pod pogojem, da sredstva, ki se poročajo kot sekundarna likvidnost za namene predloge C 71.00, niso obremenjena, tako da so instituciji na referenčni datum poročanja na voljo za pretvorbo v denarna sredstva.</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Za izračun koncentracij za namen predloge za poročanje C 71.00 po pomembnih valutah institucije uporabijo koncentracije v vseh valutah.</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Kadar izdajatelj ali nasprotna stranka pripada več skupinam povezanih strank, se poroča samo enkrat v skupini z višjo koncentracijo sekundarne likvidnosti.</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Razen za vrstico 120 se v tej predlogi ne poročajo koncentracije sekundarne likvidnosti, pri katerih je izdajatelj ali nasprotna stranka centralna banka. V primeru, da je institucija predhodno vložila sredstva pri centralni banki za standardne likvidnostne operacije, in v obsegu, v katerem ta sredstva spadajo med deset največjih izdajateljev ali nasprotnih strank neobremenjene sekundarne likvidnosti, institucija sporoči prvotnega izdajatelja in prvotno vrsto produkta.</w:t>
      </w:r>
    </w:p>
    <w:p w14:paraId="423289FA" w14:textId="77777777" w:rsidR="00E05204" w:rsidRPr="0081623B" w:rsidRDefault="00E05204" w:rsidP="003E55AB">
      <w:pPr>
        <w:spacing w:before="0"/>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Stolpec</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Pravna podlaga in navodila</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Ime izdajatelja</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Imena desetih največjih izdajateljev neobremenjenih sredstev ali nasprotnih strank nečrpanih kreditnih linij, odobrenih instituciji, se poročajo v stolpcu 010 v padajočem vrstnem redu. Največja postavka bo zabeležena v vrstični postavki 1.01, druga največja v vrstični postavki 1.02 itd. Izdajatelji in nasprotne stranke, ki tvorijo skupino povezanih strank, se poročajo kot ena sama koncentracija.</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Navedeno ime izdajatelja ali nasprotne stranke je polno ime pravnega subjekta, ki je izdal sredstva ali odobril kreditne linije, vključno z vsemi sklici na vrsto podjetja v skladu z nacionalnim pravom družb.</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Koda LEI</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sz w:val="24"/>
              </w:rPr>
              <w:t>Koda identifikatorja pravnih subjektov nasprotne stranke.</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Sektor izdajatelja</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lastRenderedPageBreak/>
              <w:t>Vsakemu izdajatelju ali nasprotni stranki se dodeli en sektor glede na razrede gospodarskega sektorja na podlagi FINREP:</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sektor država; (ii) kreditne institucije; (iii) druge finančne družbe; (iv) nefinančne družbe; (v) gospodinjstva.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Pri</w:t>
            </w:r>
            <w:r>
              <w:rPr>
                <w:rFonts w:ascii="Times New Roman" w:hAnsi="Times New Roman"/>
                <w:sz w:val="24"/>
              </w:rPr>
              <w:t xml:space="preserve"> skupinah </w:t>
            </w:r>
            <w:r>
              <w:rPr>
                <w:rStyle w:val="FormatvorlageInstructionsTabelleText"/>
                <w:rFonts w:ascii="Times New Roman" w:hAnsi="Times New Roman"/>
                <w:sz w:val="24"/>
              </w:rPr>
              <w:t xml:space="preserve">povezanih strank se sektor ne poroča.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Sedež izdajatelja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Uporabi se koda ISO 3166-1-alfa-2 države registracije izdajatelja ali nasprotne stranke, vključno s psevdo kodami ISO za mednarodne organizacije, ki so na voljo v zadnji</w:t>
            </w:r>
            <w:r>
              <w:rPr>
                <w:rFonts w:ascii="Times New Roman" w:hAnsi="Times New Roman"/>
                <w:sz w:val="24"/>
              </w:rPr>
              <w:t xml:space="preserve"> izdaji Eurostatovega priročnika za posredovanje podatkov o bilancah stanja (</w:t>
            </w:r>
            <w:r>
              <w:rPr>
                <w:rFonts w:ascii="Times New Roman" w:hAnsi="Times New Roman"/>
                <w:i/>
                <w:iCs/>
                <w:sz w:val="24"/>
              </w:rPr>
              <w:t>Balance of Payments Vademecum</w:t>
            </w:r>
            <w:r>
              <w:rPr>
                <w:rFonts w:ascii="Times New Roman" w:hAnsi="Times New Roman"/>
                <w:sz w:val="24"/>
              </w:rPr>
              <w:t>)</w:t>
            </w:r>
            <w:r>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Pri skupinah povezanih strank se država ne poroča.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Vrsta produkta</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Izdajateljem/nasprotnim strankam iz stolpca 010 se dodeli vrsta produkta, ki </w:t>
            </w:r>
            <w:r>
              <w:rPr>
                <w:rStyle w:val="FormatvorlageInstructionsTabelleText"/>
                <w:rFonts w:ascii="Times New Roman" w:hAnsi="Times New Roman"/>
                <w:sz w:val="24"/>
              </w:rPr>
              <w:t>ustreza</w:t>
            </w:r>
            <w:r>
              <w:rPr>
                <w:rFonts w:ascii="Times New Roman" w:hAnsi="Times New Roman"/>
                <w:sz w:val="24"/>
              </w:rPr>
              <w:t xml:space="preserve"> produktu, v katerem je sredstvo ali v katerem je bil zagotovljen rezervni okvirni likvidnostni kredit, pri čemer se uporabijo naslednje kode, ki so navedene v krepkem tisku:</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bookmarkStart w:id="1" w:name="OLE_LINK1"/>
            <w:r>
              <w:rPr>
                <w:rFonts w:ascii="Times New Roman" w:hAnsi="Times New Roman"/>
                <w:b/>
                <w:sz w:val="24"/>
              </w:rPr>
              <w:t>SrB</w:t>
            </w:r>
            <w:r>
              <w:rPr>
                <w:rFonts w:ascii="Times New Roman" w:hAnsi="Times New Roman"/>
                <w:sz w:val="24"/>
              </w:rPr>
              <w:t xml:space="preserve"> (</w:t>
            </w:r>
            <w:r>
              <w:rPr>
                <w:rStyle w:val="FormatvorlageInstructionsTabelleText"/>
                <w:rFonts w:ascii="Times New Roman" w:hAnsi="Times New Roman"/>
                <w:sz w:val="24"/>
              </w:rPr>
              <w:t>nadrejena</w:t>
            </w:r>
            <w:r>
              <w:rPr>
                <w:rFonts w:ascii="Times New Roman" w:hAnsi="Times New Roman"/>
                <w:sz w:val="24"/>
              </w:rPr>
              <w:t xml:space="preserve"> obveznica);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SubB</w:t>
            </w:r>
            <w:r>
              <w:rPr>
                <w:rFonts w:ascii="Times New Roman" w:hAnsi="Times New Roman"/>
                <w:sz w:val="24"/>
              </w:rPr>
              <w:t xml:space="preserve"> (</w:t>
            </w:r>
            <w:r>
              <w:rPr>
                <w:rStyle w:val="FormatvorlageInstructionsTabelleText"/>
                <w:rFonts w:ascii="Times New Roman" w:hAnsi="Times New Roman"/>
                <w:sz w:val="24"/>
              </w:rPr>
              <w:t xml:space="preserve">podrejena </w:t>
            </w:r>
            <w:r>
              <w:rPr>
                <w:rFonts w:ascii="Times New Roman" w:hAnsi="Times New Roman"/>
                <w:sz w:val="24"/>
              </w:rPr>
              <w:t>obveznica);</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CP</w:t>
            </w:r>
            <w:r>
              <w:rPr>
                <w:rFonts w:ascii="Times New Roman" w:hAnsi="Times New Roman"/>
                <w:sz w:val="24"/>
              </w:rPr>
              <w:t xml:space="preserve"> (</w:t>
            </w:r>
            <w:r>
              <w:rPr>
                <w:rStyle w:val="FormatvorlageInstructionsTabelleText"/>
                <w:rFonts w:ascii="Times New Roman" w:hAnsi="Times New Roman"/>
                <w:sz w:val="24"/>
              </w:rPr>
              <w:t xml:space="preserve">komercialni </w:t>
            </w:r>
            <w:r>
              <w:rPr>
                <w:rFonts w:ascii="Times New Roman" w:hAnsi="Times New Roman"/>
                <w:sz w:val="24"/>
              </w:rPr>
              <w:t>zapis);</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CB</w:t>
            </w:r>
            <w:r>
              <w:rPr>
                <w:rFonts w:ascii="Times New Roman" w:hAnsi="Times New Roman"/>
                <w:sz w:val="24"/>
              </w:rPr>
              <w:t xml:space="preserve"> (krite </w:t>
            </w:r>
            <w:r>
              <w:rPr>
                <w:rStyle w:val="FormatvorlageInstructionsTabelleText"/>
                <w:rFonts w:ascii="Times New Roman" w:hAnsi="Times New Roman"/>
                <w:sz w:val="24"/>
              </w:rPr>
              <w:t>obveznice</w:t>
            </w:r>
            <w:r>
              <w:rPr>
                <w:rFonts w:ascii="Times New Roman" w:hAnsi="Times New Roman"/>
                <w:sz w:val="24"/>
              </w:rPr>
              <w:t xml:space="preserve">);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w:t>
            </w:r>
            <w:r>
              <w:rPr>
                <w:rFonts w:ascii="Times New Roman" w:hAnsi="Times New Roman"/>
                <w:sz w:val="24"/>
              </w:rPr>
              <w:t xml:space="preserve"> (</w:t>
            </w:r>
            <w:r>
              <w:rPr>
                <w:rStyle w:val="FormatvorlageInstructionsTabelleText"/>
                <w:rFonts w:ascii="Times New Roman" w:hAnsi="Times New Roman"/>
                <w:sz w:val="24"/>
              </w:rPr>
              <w:t xml:space="preserve">vrednostni papir </w:t>
            </w:r>
            <w:r>
              <w:rPr>
                <w:rFonts w:ascii="Times New Roman" w:hAnsi="Times New Roman"/>
                <w:sz w:val="24"/>
              </w:rPr>
              <w:t>KNPVP, tj. finančni instrumenti, ki predstavljajo enoto kolektivnega naložbenega podjema za vlaganja v prenosljive vrednostne papirje ali vrednostni papir, ki ga izda kolektivni naložbeni podjem za vlaganja v prenosljive vrednostne papirje);</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ABS</w:t>
            </w:r>
            <w:r>
              <w:rPr>
                <w:rFonts w:ascii="Times New Roman" w:hAnsi="Times New Roman"/>
                <w:sz w:val="24"/>
              </w:rPr>
              <w:t xml:space="preserve"> (vrednostni papir s premoženjskim kritjem);</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CrCl</w:t>
            </w:r>
            <w:r>
              <w:rPr>
                <w:rFonts w:ascii="Times New Roman" w:hAnsi="Times New Roman"/>
                <w:sz w:val="24"/>
              </w:rPr>
              <w:t xml:space="preserve"> (kreditna </w:t>
            </w:r>
            <w:r>
              <w:rPr>
                <w:rStyle w:val="FormatvorlageInstructionsTabelleText"/>
                <w:rFonts w:ascii="Times New Roman" w:hAnsi="Times New Roman"/>
                <w:sz w:val="24"/>
              </w:rPr>
              <w:t>terjatev</w:t>
            </w:r>
            <w:r>
              <w:rPr>
                <w:rFonts w:ascii="Times New Roman" w:hAnsi="Times New Roman"/>
                <w:sz w:val="24"/>
              </w:rPr>
              <w:t>);</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EQ</w:t>
            </w:r>
            <w:r>
              <w:rPr>
                <w:rFonts w:ascii="Times New Roman" w:hAnsi="Times New Roman"/>
                <w:sz w:val="24"/>
              </w:rPr>
              <w:t xml:space="preserve"> (</w:t>
            </w:r>
            <w:r>
              <w:rPr>
                <w:rStyle w:val="FormatvorlageInstructionsTabelleText"/>
                <w:rFonts w:ascii="Times New Roman" w:hAnsi="Times New Roman"/>
                <w:sz w:val="24"/>
              </w:rPr>
              <w:t>lastniški kapital</w:t>
            </w:r>
            <w:r>
              <w:rPr>
                <w:rFonts w:ascii="Times New Roman" w:hAnsi="Times New Roman"/>
                <w:sz w:val="24"/>
              </w:rPr>
              <w:t>);</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Zlato</w:t>
            </w:r>
            <w:r>
              <w:rPr>
                <w:rFonts w:ascii="Times New Roman" w:hAnsi="Times New Roman"/>
                <w:sz w:val="24"/>
              </w:rPr>
              <w:t xml:space="preserve"> (če je zlato v fizični obliki, se lahko obravnava kot ena nasprotna stranka);</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LiqL</w:t>
            </w:r>
            <w:r>
              <w:rPr>
                <w:rFonts w:ascii="Times New Roman" w:hAnsi="Times New Roman"/>
                <w:sz w:val="24"/>
              </w:rPr>
              <w:t xml:space="preserve"> (</w:t>
            </w:r>
            <w:r>
              <w:rPr>
                <w:rStyle w:val="FormatvorlageInstructionsTabelleText"/>
                <w:rFonts w:ascii="Times New Roman" w:hAnsi="Times New Roman"/>
                <w:sz w:val="24"/>
              </w:rPr>
              <w:t>nečrpana</w:t>
            </w:r>
            <w:r>
              <w:rPr>
                <w:rFonts w:ascii="Times New Roman" w:hAnsi="Times New Roman"/>
                <w:sz w:val="24"/>
              </w:rPr>
              <w:t xml:space="preserve"> kreditna linija, odobrena instituciji);</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 xml:space="preserve">OPT </w:t>
            </w:r>
            <w:r>
              <w:rPr>
                <w:rFonts w:ascii="Times New Roman" w:hAnsi="Times New Roman"/>
                <w:sz w:val="24"/>
              </w:rPr>
              <w:t>(</w:t>
            </w:r>
            <w:r>
              <w:rPr>
                <w:rStyle w:val="FormatvorlageInstructionsTabelleText"/>
                <w:rFonts w:ascii="Times New Roman" w:hAnsi="Times New Roman"/>
                <w:sz w:val="24"/>
              </w:rPr>
              <w:t>druga</w:t>
            </w:r>
            <w:r>
              <w:rPr>
                <w:rFonts w:ascii="Times New Roman" w:hAnsi="Times New Roman"/>
                <w:sz w:val="24"/>
              </w:rPr>
              <w:t xml:space="preserve"> vrsta produkta)</w:t>
            </w:r>
            <w:bookmarkEnd w:id="1"/>
            <w:r>
              <w:rPr>
                <w:rFonts w:ascii="Times New Roman" w:hAnsi="Times New Roman"/>
                <w:sz w:val="24"/>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Valuta</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Izdajateljem ali nasprotnim strankam iz stolpca 010 se v stolpcu 060 dodeli koda ISO valute, ki ustreza denominaciji prejetega sredstva ali nečrpanih kreditnih linij, odobrenih instituciji. Sporoči se tričrkovna koda valute v skladu z ISO 4217.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Kadar je večvalutna linja del koncentracije v sekundarni likvidnosti, se linija upošteva v valuti, ki prevladuje v preostali koncentraciji. Kar zadeva ločeno poročanje v pomembnih valutah, kot je določeno v členu 415(2) Uredbe (EU) št. 575/2013, institucije opravijo oceno valute, v kateri bo verjetno prišlo do toka, in postavko poročajo samo v tej pomembni valuti v skladu z navodili za ločeno poročanje pomembnih valut v količniku likvidnostnega kritja v skladu z Uredbo (EU)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Stopnja kreditne kakovosti</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Ustrezna stopnja kreditne kakovosti se dodeli v skladu z Uredbo (EU) št. 575/2013 in je enaka kot stopnja postavk, ki se poročajo v lestvici zapadlosti. Kadar ocena ni na voljo, se dodeli stopnja „brez ocene“.</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Tekoča tržna vrednost/nominalna</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Tržna ali poštena vrednost sredstev ali, če je ustrezno, nominalna vrednost nečrpane kreditne linije, odobrene instituciji.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Vrednost zavarovanja s premoženjem, primernega za centralne banke</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Vrednost </w:t>
            </w:r>
            <w:r>
              <w:rPr>
                <w:rStyle w:val="FormatvorlageInstructionsTabelleText"/>
                <w:rFonts w:ascii="Times New Roman" w:hAnsi="Times New Roman"/>
                <w:sz w:val="24"/>
              </w:rPr>
              <w:t>zavarovanja s premoženjem</w:t>
            </w:r>
            <w:r>
              <w:rPr>
                <w:rFonts w:ascii="Times New Roman" w:hAnsi="Times New Roman"/>
                <w:sz w:val="24"/>
              </w:rPr>
              <w:t xml:space="preserve"> v skladu s pravili centralne banke za odprte ponudbe za posamezna sredstva.</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V primeru sredstev, denominiranih v valuti, ki je vključena Uredbo (EU) 2015/233 kot valuta z izjemno omejeno primernostjo za centralne banke, institucije pustijo to polje prazno.</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1579C7F" w:rsidR="008E3ABF" w:rsidRDefault="008E3ABF">
        <w:pPr>
          <w:pStyle w:val="Footer"/>
          <w:jc w:val="center"/>
        </w:pPr>
        <w:r>
          <w:fldChar w:fldCharType="begin"/>
        </w:r>
        <w:r>
          <w:instrText xml:space="preserve"> PAGE   \* MERGEFORMAT </w:instrText>
        </w:r>
        <w:r>
          <w:fldChar w:fldCharType="separate"/>
        </w:r>
        <w:r w:rsidR="00691DFA">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8E43D40" w:rsidR="009B3D8D" w:rsidRDefault="009B3D8D">
        <w:pPr>
          <w:pStyle w:val="Footer"/>
          <w:jc w:val="center"/>
        </w:pPr>
        <w:r>
          <w:fldChar w:fldCharType="begin"/>
        </w:r>
        <w:r>
          <w:instrText xml:space="preserve"> PAGE   \* MERGEFORMAT </w:instrText>
        </w:r>
        <w:r>
          <w:fldChar w:fldCharType="separate"/>
        </w:r>
        <w:r w:rsidR="00691DFA">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1DFA"/>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sl-SI"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sl-SI"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sl-SI"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sl-SI"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sl-SI"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29CEA-1B88-4D03-BB93-A5C9698048BD}">
  <ds:schemaRefs>
    <ds:schemaRef ds:uri="http://schemas.openxmlformats.org/officeDocument/2006/bibliography"/>
  </ds:schemaRefs>
</ds:datastoreItem>
</file>

<file path=customXml/itemProps2.xml><?xml version="1.0" encoding="utf-8"?>
<ds:datastoreItem xmlns:ds="http://schemas.openxmlformats.org/officeDocument/2006/customXml" ds:itemID="{D020EAE8-0F60-4480-8819-119528DA1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773</Words>
  <Characters>4725</Characters>
  <Application>Microsoft Office Word</Application>
  <DocSecurity>0</DocSecurity>
  <Lines>112</Lines>
  <Paragraphs>62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VOLAVSEK Andrej (DGT)</cp:lastModifiedBy>
  <cp:revision>6</cp:revision>
  <cp:lastPrinted>2014-06-12T12:55:00Z</cp:lastPrinted>
  <dcterms:created xsi:type="dcterms:W3CDTF">2020-10-01T13:01:00Z</dcterms:created>
  <dcterms:modified xsi:type="dcterms:W3CDTF">2020-12-07T16:48:00Z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