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AD" w:rsidRPr="00AC35AF" w:rsidRDefault="008D22AD" w:rsidP="008D22A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bookmarkStart w:id="0" w:name="_Toc322687879"/>
      <w:bookmarkStart w:id="1" w:name="_Toc315961853"/>
      <w:r>
        <w:rPr>
          <w:rFonts w:ascii="Times New Roman" w:hAnsi="Times New Roman"/>
          <w:sz w:val="24"/>
          <w:szCs w:val="24"/>
        </w:rPr>
        <w:t>ΠΑΡАΡΤΗΜΑ XIV</w:t>
      </w:r>
    </w:p>
    <w:p w:rsidR="008D22AD" w:rsidRPr="00AC35AF" w:rsidRDefault="008D22AD" w:rsidP="008D22AD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Ενιαίο μοντέλο σημείων δεδομένων</w:t>
      </w:r>
    </w:p>
    <w:p w:rsidR="008D22AD" w:rsidRPr="00AC35AF" w:rsidRDefault="008D22AD" w:rsidP="008D22AD">
      <w:pPr>
        <w:rPr>
          <w:rFonts w:ascii="Times New Roman" w:hAnsi="Times New Roman"/>
          <w:sz w:val="24"/>
          <w:szCs w:val="24"/>
        </w:rPr>
      </w:pPr>
    </w:p>
    <w:p w:rsidR="008D22AD" w:rsidRPr="00AC35AF" w:rsidRDefault="008D22AD" w:rsidP="005B02B1">
      <w:pPr>
        <w:spacing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Όλα τα στοιχεία δεδομένων που περιλαμβάνονται στα παραρτήματα του παρόντος κανονισμού μετατρέπονται σε ένα ενιαίο μοντέλο σημείων δεδομένων, που είναι η βάση για ενιαία συστήματα πληροφορικής των θεσμικών οργάνων και των αρμοδίων αρχών. </w:t>
      </w:r>
    </w:p>
    <w:p w:rsidR="008D22AD" w:rsidRPr="00AC35A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Το ενιαίο μοντέλο σημείων δεδομένων πληροί τα κατωτέρω κριτήρια: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α)</w:t>
      </w:r>
      <w:r>
        <w:tab/>
      </w:r>
      <w:r>
        <w:rPr>
          <w:rFonts w:ascii="Times New Roman" w:hAnsi="Times New Roman"/>
          <w:sz w:val="24"/>
          <w:szCs w:val="24"/>
        </w:rPr>
        <w:t>προβλέπει μια δομημένη απεικόνιση όλων των στοιχείων δεδομένων που περιλαμβάνονται στα παραρτήματα του παρόντος κανονισμού·</w:t>
      </w:r>
    </w:p>
    <w:p w:rsidR="008D22AD" w:rsidRPr="00AC35AF" w:rsidRDefault="008D22AD" w:rsidP="00B51807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β)</w:t>
      </w:r>
      <w:r>
        <w:tab/>
      </w:r>
      <w:r>
        <w:rPr>
          <w:rFonts w:ascii="Times New Roman" w:hAnsi="Times New Roman"/>
          <w:sz w:val="24"/>
          <w:szCs w:val="24"/>
        </w:rPr>
        <w:t>προσδιορίζει όλες τις επιχειρηματικές έννοιες που περιλαμβάνονται στα παραρτήμα</w:t>
      </w:r>
      <w:r w:rsidR="001D36DC">
        <w:rPr>
          <w:rFonts w:ascii="Times New Roman" w:hAnsi="Times New Roman"/>
          <w:sz w:val="24"/>
          <w:szCs w:val="24"/>
        </w:rPr>
        <w:t>τα του παρόντος κανονισμού·</w:t>
      </w:r>
      <w:bookmarkStart w:id="2" w:name="_GoBack"/>
      <w:bookmarkEnd w:id="2"/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γ)</w:t>
      </w:r>
      <w:r>
        <w:tab/>
      </w:r>
      <w:r>
        <w:rPr>
          <w:rFonts w:ascii="Times New Roman" w:hAnsi="Times New Roman"/>
          <w:sz w:val="24"/>
          <w:szCs w:val="24"/>
        </w:rPr>
        <w:t xml:space="preserve">προβλέπει ένα λεξικό δεδομένων, που προσδιορίζει τις ετικέτες πινάκων, τις ετικέτες </w:t>
      </w:r>
      <w:proofErr w:type="spellStart"/>
      <w:r>
        <w:rPr>
          <w:rFonts w:ascii="Times New Roman" w:hAnsi="Times New Roman"/>
          <w:sz w:val="24"/>
          <w:szCs w:val="24"/>
        </w:rPr>
        <w:t>τεταγμένων</w:t>
      </w:r>
      <w:proofErr w:type="spellEnd"/>
      <w:r>
        <w:rPr>
          <w:rFonts w:ascii="Times New Roman" w:hAnsi="Times New Roman"/>
          <w:sz w:val="24"/>
          <w:szCs w:val="24"/>
        </w:rPr>
        <w:t>, τις ετικέτες αξόνων, τις ετικέτες τομέων, τις ετικέτες διαστάσεων και τις ετικέτες μελών·</w:t>
      </w:r>
    </w:p>
    <w:p w:rsidR="008D22AD" w:rsidRPr="00AC35AF" w:rsidRDefault="008D22AD" w:rsidP="00B51807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δ)</w:t>
      </w:r>
      <w:r>
        <w:tab/>
      </w:r>
      <w:r>
        <w:rPr>
          <w:rFonts w:ascii="Times New Roman" w:hAnsi="Times New Roman"/>
          <w:sz w:val="24"/>
          <w:szCs w:val="24"/>
        </w:rPr>
        <w:t>προβλέπει παραμέτρους, που προσδιορίζουν την ιδιότητα ή το ποσό των σημείων δεδομένων·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ε)</w:t>
      </w:r>
      <w:r>
        <w:tab/>
      </w:r>
      <w:r>
        <w:rPr>
          <w:rFonts w:ascii="Times New Roman" w:hAnsi="Times New Roman"/>
          <w:sz w:val="24"/>
          <w:szCs w:val="24"/>
        </w:rPr>
        <w:t>παρέχει ορισμούς των στοιχείων δεδομένων, που εκφράζονται ως σύνθεση των χαρακτηριστικών τα οποία προσδιορίζουν μονοσήμαν</w:t>
      </w:r>
      <w:r w:rsidR="001D36DC">
        <w:rPr>
          <w:rFonts w:ascii="Times New Roman" w:hAnsi="Times New Roman"/>
          <w:sz w:val="24"/>
          <w:szCs w:val="24"/>
        </w:rPr>
        <w:t>τα τη χρηματοοικονομική έννοια·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στ)</w:t>
      </w:r>
      <w:r>
        <w:tab/>
      </w:r>
      <w:r>
        <w:rPr>
          <w:rFonts w:ascii="Times New Roman" w:hAnsi="Times New Roman"/>
          <w:sz w:val="24"/>
          <w:szCs w:val="24"/>
        </w:rPr>
        <w:t>περιέχει όλες τις σχετικές τεχνικές προδιαγραφές που είναι αναγκαίες για την ανάπτυξη λύσεων πληροφορικής για την υποβολή αναφορ</w:t>
      </w:r>
      <w:r w:rsidR="001D36DC">
        <w:rPr>
          <w:rFonts w:ascii="Times New Roman" w:hAnsi="Times New Roman"/>
          <w:sz w:val="24"/>
          <w:szCs w:val="24"/>
        </w:rPr>
        <w:t>ών με ενιαία εποπτικά στοιχεία.</w:t>
      </w:r>
    </w:p>
    <w:bookmarkEnd w:id="0"/>
    <w:bookmarkEnd w:id="1"/>
    <w:p w:rsidR="00AE2798" w:rsidRPr="00AC35AF" w:rsidRDefault="00AE2798" w:rsidP="00B01E43">
      <w:pPr>
        <w:spacing w:after="100" w:afterAutospacing="1"/>
        <w:rPr>
          <w:sz w:val="24"/>
          <w:szCs w:val="24"/>
        </w:rPr>
      </w:pPr>
    </w:p>
    <w:sectPr w:rsidR="00AE2798" w:rsidRPr="00AC35AF" w:rsidSect="002149E4">
      <w:footerReference w:type="default" r:id="rId10"/>
      <w:headerReference w:type="first" r:id="rId11"/>
      <w:footerReference w:type="first" r:id="rId12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23" w:rsidRDefault="00575123">
      <w:r>
        <w:separator/>
      </w:r>
    </w:p>
  </w:endnote>
  <w:endnote w:type="continuationSeparator" w:id="0">
    <w:p w:rsidR="00575123" w:rsidRDefault="00575123">
      <w:r>
        <w:continuationSeparator/>
      </w:r>
    </w:p>
  </w:endnote>
  <w:endnote w:type="continuationNotice" w:id="1">
    <w:p w:rsidR="00575123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EU Albertina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36DC">
          <w:rPr>
            <w:noProof/>
          </w:rPr>
          <w:t>1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44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23" w:rsidRPr="004D223F" w:rsidRDefault="00575123" w:rsidP="00C7701D">
      <w:r>
        <w:continuationSeparator/>
      </w:r>
    </w:p>
  </w:footnote>
  <w:footnote w:type="continuationSeparator" w:id="0">
    <w:p w:rsidR="00575123" w:rsidRDefault="00575123">
      <w:r>
        <w:continuationSeparator/>
      </w:r>
    </w:p>
  </w:footnote>
  <w:footnote w:type="continuationNotice" w:id="1">
    <w:p w:rsidR="00575123" w:rsidRDefault="0057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75" w:rsidRDefault="003A5275">
    <w:pPr>
      <w:pStyle w:val="Header"/>
      <w:tabs>
        <w:tab w:val="clear" w:pos="8306"/>
        <w:tab w:val="right" w:pos="9072"/>
      </w:tabs>
      <w:jc w:val="right"/>
      <w:rPr>
        <w:noProof/>
      </w:rPr>
    </w:pPr>
    <w:r>
      <w:rPr>
        <w:noProof/>
        <w:lang w:val="en-US"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1F6D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Default="00DD0791"/>
  <w:p w:rsidR="00DD0791" w:rsidRDefault="00DD07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12289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3528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6DC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02B1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7768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A5C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35AF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1807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2C46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5912FE77"/>
  <w15:docId w15:val="{37147765-C639-4CF0-8770-2FDDD0A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el-GR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el-GR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el-GR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37CA14-9551-4A24-B8F7-F3D3C52BE3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26E7CE-9433-42A5-93DC-E331011B80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956400-B797-4564-8EEE-38983E1EE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1030</Characters>
  <Application>Microsoft Office Word</Application>
  <DocSecurity>0</DocSecurity>
  <Lines>20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1174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PANAYOTOU-VOKOU Marie (DGT)</cp:lastModifiedBy>
  <cp:revision>6</cp:revision>
  <cp:lastPrinted>2015-04-10T08:05:00Z</cp:lastPrinted>
  <dcterms:created xsi:type="dcterms:W3CDTF">2020-10-01T15:05:00Z</dcterms:created>
  <dcterms:modified xsi:type="dcterms:W3CDTF">2020-12-07T13:40:00Z</dcterms:modified>
</cp:coreProperties>
</file>