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ПРИЛОЖЕНИЕ XXVII</w:t>
      </w:r>
    </w:p>
    <w:p w14:paraId="644BA8AC" w14:textId="2A351565" w:rsidR="002648B0" w:rsidRPr="00EC067D" w:rsidRDefault="002648B0" w:rsidP="00C87CEE">
      <w:pPr>
        <w:jc w:val="center"/>
        <w:rPr>
          <w:rFonts w:ascii="Times New Roman" w:hAnsi="Times New Roman"/>
          <w:b/>
          <w:sz w:val="24"/>
        </w:rPr>
      </w:pPr>
      <w:r>
        <w:rPr>
          <w:rFonts w:ascii="Times New Roman" w:hAnsi="Times New Roman"/>
          <w:b/>
          <w:sz w:val="24"/>
        </w:rPr>
        <w:t xml:space="preserve">УКАЗАНИЯ ЗА ДОКЛАДВАНЕ С ОГЛЕД НА УСТАНОВЯВАНЕТО И ОПРЕДЕЛЯНЕТО </w:t>
      </w:r>
      <w:r w:rsidR="0036081E">
        <w:rPr>
          <w:rFonts w:ascii="Times New Roman" w:hAnsi="Times New Roman"/>
          <w:b/>
          <w:sz w:val="24"/>
        </w:rPr>
        <w:t xml:space="preserve">НА </w:t>
      </w:r>
      <w:r>
        <w:rPr>
          <w:rFonts w:ascii="Times New Roman" w:hAnsi="Times New Roman"/>
          <w:b/>
          <w:sz w:val="24"/>
        </w:rPr>
        <w:t xml:space="preserve">БУФЕРИТЕ ЗА Г-СЗИ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Съдържание</w:t>
      </w:r>
    </w:p>
    <w:p w14:paraId="72D91E51" w14:textId="42B27C49" w:rsidR="0036081E"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320881" w:history="1">
        <w:r w:rsidR="0036081E" w:rsidRPr="00D237D1">
          <w:rPr>
            <w:rStyle w:val="Hyperlink"/>
          </w:rPr>
          <w:t>ЧАСТ I: ОБЩИ УКАЗАНИЯ</w:t>
        </w:r>
        <w:r w:rsidR="0036081E">
          <w:rPr>
            <w:webHidden/>
          </w:rPr>
          <w:tab/>
        </w:r>
        <w:r w:rsidR="0036081E">
          <w:rPr>
            <w:webHidden/>
          </w:rPr>
          <w:fldChar w:fldCharType="begin"/>
        </w:r>
        <w:r w:rsidR="0036081E">
          <w:rPr>
            <w:webHidden/>
          </w:rPr>
          <w:instrText xml:space="preserve"> PAGEREF _Toc58320881 \h </w:instrText>
        </w:r>
        <w:r w:rsidR="0036081E">
          <w:rPr>
            <w:webHidden/>
          </w:rPr>
        </w:r>
        <w:r w:rsidR="0036081E">
          <w:rPr>
            <w:webHidden/>
          </w:rPr>
          <w:fldChar w:fldCharType="separate"/>
        </w:r>
        <w:r w:rsidR="0036081E">
          <w:rPr>
            <w:webHidden/>
          </w:rPr>
          <w:t>2</w:t>
        </w:r>
        <w:r w:rsidR="0036081E">
          <w:rPr>
            <w:webHidden/>
          </w:rPr>
          <w:fldChar w:fldCharType="end"/>
        </w:r>
      </w:hyperlink>
    </w:p>
    <w:p w14:paraId="0E6D000A" w14:textId="322FCA35" w:rsidR="0036081E" w:rsidRDefault="00CD1256">
      <w:pPr>
        <w:pStyle w:val="TOC2"/>
        <w:rPr>
          <w:rFonts w:asciiTheme="minorHAnsi" w:eastAsiaTheme="minorEastAsia" w:hAnsiTheme="minorHAnsi" w:cstheme="minorBidi"/>
          <w:b w:val="0"/>
          <w:smallCaps w:val="0"/>
          <w:sz w:val="22"/>
          <w:lang w:val="en-US"/>
        </w:rPr>
      </w:pPr>
      <w:hyperlink w:anchor="_Toc58320882" w:history="1">
        <w:r w:rsidR="0036081E" w:rsidRPr="00D237D1">
          <w:rPr>
            <w:rStyle w:val="Hyperlink"/>
          </w:rPr>
          <w:t>1.1</w:t>
        </w:r>
        <w:r w:rsidR="0036081E">
          <w:rPr>
            <w:rFonts w:asciiTheme="minorHAnsi" w:eastAsiaTheme="minorEastAsia" w:hAnsiTheme="minorHAnsi" w:cstheme="minorBidi"/>
            <w:b w:val="0"/>
            <w:smallCaps w:val="0"/>
            <w:sz w:val="22"/>
            <w:lang w:val="en-US"/>
          </w:rPr>
          <w:tab/>
        </w:r>
        <w:r w:rsidR="0036081E" w:rsidRPr="00D237D1">
          <w:rPr>
            <w:rStyle w:val="Hyperlink"/>
          </w:rPr>
          <w:t>1. Структура и възприети практики</w:t>
        </w:r>
        <w:r w:rsidR="0036081E">
          <w:rPr>
            <w:webHidden/>
          </w:rPr>
          <w:tab/>
        </w:r>
        <w:r w:rsidR="0036081E">
          <w:rPr>
            <w:webHidden/>
          </w:rPr>
          <w:fldChar w:fldCharType="begin"/>
        </w:r>
        <w:r w:rsidR="0036081E">
          <w:rPr>
            <w:webHidden/>
          </w:rPr>
          <w:instrText xml:space="preserve"> PAGEREF _Toc58320882 \h </w:instrText>
        </w:r>
        <w:r w:rsidR="0036081E">
          <w:rPr>
            <w:webHidden/>
          </w:rPr>
        </w:r>
        <w:r w:rsidR="0036081E">
          <w:rPr>
            <w:webHidden/>
          </w:rPr>
          <w:fldChar w:fldCharType="separate"/>
        </w:r>
        <w:r w:rsidR="0036081E">
          <w:rPr>
            <w:webHidden/>
          </w:rPr>
          <w:t>2</w:t>
        </w:r>
        <w:r w:rsidR="0036081E">
          <w:rPr>
            <w:webHidden/>
          </w:rPr>
          <w:fldChar w:fldCharType="end"/>
        </w:r>
      </w:hyperlink>
    </w:p>
    <w:p w14:paraId="06A747CB" w14:textId="34F174FF" w:rsidR="0036081E" w:rsidRDefault="00CD1256">
      <w:pPr>
        <w:pStyle w:val="TOC2"/>
        <w:rPr>
          <w:rFonts w:asciiTheme="minorHAnsi" w:eastAsiaTheme="minorEastAsia" w:hAnsiTheme="minorHAnsi" w:cstheme="minorBidi"/>
          <w:b w:val="0"/>
          <w:smallCaps w:val="0"/>
          <w:sz w:val="22"/>
          <w:lang w:val="en-US"/>
        </w:rPr>
      </w:pPr>
      <w:hyperlink w:anchor="_Toc58320883" w:history="1">
        <w:r w:rsidR="0036081E" w:rsidRPr="00D237D1">
          <w:rPr>
            <w:rStyle w:val="Hyperlink"/>
          </w:rPr>
          <w:t>2.1</w:t>
        </w:r>
        <w:r w:rsidR="0036081E">
          <w:rPr>
            <w:rFonts w:asciiTheme="minorHAnsi" w:eastAsiaTheme="minorEastAsia" w:hAnsiTheme="minorHAnsi" w:cstheme="minorBidi"/>
            <w:b w:val="0"/>
            <w:smallCaps w:val="0"/>
            <w:sz w:val="22"/>
            <w:lang w:val="en-US"/>
          </w:rPr>
          <w:tab/>
        </w:r>
        <w:r w:rsidR="0036081E" w:rsidRPr="00D237D1">
          <w:rPr>
            <w:rStyle w:val="Hyperlink"/>
          </w:rPr>
          <w:t>1.1. Структура</w:t>
        </w:r>
        <w:r w:rsidR="0036081E">
          <w:rPr>
            <w:webHidden/>
          </w:rPr>
          <w:tab/>
        </w:r>
        <w:r w:rsidR="0036081E">
          <w:rPr>
            <w:webHidden/>
          </w:rPr>
          <w:fldChar w:fldCharType="begin"/>
        </w:r>
        <w:r w:rsidR="0036081E">
          <w:rPr>
            <w:webHidden/>
          </w:rPr>
          <w:instrText xml:space="preserve"> PAGEREF _Toc58320883 \h </w:instrText>
        </w:r>
        <w:r w:rsidR="0036081E">
          <w:rPr>
            <w:webHidden/>
          </w:rPr>
        </w:r>
        <w:r w:rsidR="0036081E">
          <w:rPr>
            <w:webHidden/>
          </w:rPr>
          <w:fldChar w:fldCharType="separate"/>
        </w:r>
        <w:r w:rsidR="0036081E">
          <w:rPr>
            <w:webHidden/>
          </w:rPr>
          <w:t>2</w:t>
        </w:r>
        <w:r w:rsidR="0036081E">
          <w:rPr>
            <w:webHidden/>
          </w:rPr>
          <w:fldChar w:fldCharType="end"/>
        </w:r>
      </w:hyperlink>
    </w:p>
    <w:p w14:paraId="5A79E726" w14:textId="199C0014" w:rsidR="0036081E" w:rsidRDefault="00CD1256">
      <w:pPr>
        <w:pStyle w:val="TOC2"/>
        <w:rPr>
          <w:rFonts w:asciiTheme="minorHAnsi" w:eastAsiaTheme="minorEastAsia" w:hAnsiTheme="minorHAnsi" w:cstheme="minorBidi"/>
          <w:b w:val="0"/>
          <w:smallCaps w:val="0"/>
          <w:sz w:val="22"/>
          <w:lang w:val="en-US"/>
        </w:rPr>
      </w:pPr>
      <w:hyperlink w:anchor="_Toc58320884" w:history="1">
        <w:r w:rsidR="0036081E" w:rsidRPr="00D237D1">
          <w:rPr>
            <w:rStyle w:val="Hyperlink"/>
          </w:rPr>
          <w:t>3.1</w:t>
        </w:r>
        <w:r w:rsidR="0036081E">
          <w:rPr>
            <w:rFonts w:asciiTheme="minorHAnsi" w:eastAsiaTheme="minorEastAsia" w:hAnsiTheme="minorHAnsi" w:cstheme="minorBidi"/>
            <w:b w:val="0"/>
            <w:smallCaps w:val="0"/>
            <w:sz w:val="22"/>
            <w:lang w:val="en-US"/>
          </w:rPr>
          <w:tab/>
        </w:r>
        <w:r w:rsidR="0036081E" w:rsidRPr="00D237D1">
          <w:rPr>
            <w:rStyle w:val="Hyperlink"/>
          </w:rPr>
          <w:t>1.2. Номериране</w:t>
        </w:r>
        <w:r w:rsidR="0036081E">
          <w:rPr>
            <w:webHidden/>
          </w:rPr>
          <w:tab/>
        </w:r>
        <w:r w:rsidR="0036081E">
          <w:rPr>
            <w:webHidden/>
          </w:rPr>
          <w:fldChar w:fldCharType="begin"/>
        </w:r>
        <w:r w:rsidR="0036081E">
          <w:rPr>
            <w:webHidden/>
          </w:rPr>
          <w:instrText xml:space="preserve"> PAGEREF _Toc58320884 \h </w:instrText>
        </w:r>
        <w:r w:rsidR="0036081E">
          <w:rPr>
            <w:webHidden/>
          </w:rPr>
        </w:r>
        <w:r w:rsidR="0036081E">
          <w:rPr>
            <w:webHidden/>
          </w:rPr>
          <w:fldChar w:fldCharType="separate"/>
        </w:r>
        <w:r w:rsidR="0036081E">
          <w:rPr>
            <w:webHidden/>
          </w:rPr>
          <w:t>2</w:t>
        </w:r>
        <w:r w:rsidR="0036081E">
          <w:rPr>
            <w:webHidden/>
          </w:rPr>
          <w:fldChar w:fldCharType="end"/>
        </w:r>
      </w:hyperlink>
    </w:p>
    <w:p w14:paraId="11A583AF" w14:textId="5C4D5096" w:rsidR="0036081E" w:rsidRDefault="00CD1256">
      <w:pPr>
        <w:pStyle w:val="TOC2"/>
        <w:rPr>
          <w:rFonts w:asciiTheme="minorHAnsi" w:eastAsiaTheme="minorEastAsia" w:hAnsiTheme="minorHAnsi" w:cstheme="minorBidi"/>
          <w:b w:val="0"/>
          <w:smallCaps w:val="0"/>
          <w:sz w:val="22"/>
          <w:lang w:val="en-US"/>
        </w:rPr>
      </w:pPr>
      <w:hyperlink w:anchor="_Toc58320885" w:history="1">
        <w:r w:rsidR="0036081E" w:rsidRPr="00D237D1">
          <w:rPr>
            <w:rStyle w:val="Hyperlink"/>
          </w:rPr>
          <w:t>4.1</w:t>
        </w:r>
        <w:r w:rsidR="0036081E">
          <w:rPr>
            <w:rFonts w:asciiTheme="minorHAnsi" w:eastAsiaTheme="minorEastAsia" w:hAnsiTheme="minorHAnsi" w:cstheme="minorBidi"/>
            <w:b w:val="0"/>
            <w:smallCaps w:val="0"/>
            <w:sz w:val="22"/>
            <w:lang w:val="en-US"/>
          </w:rPr>
          <w:tab/>
        </w:r>
        <w:r w:rsidR="0036081E" w:rsidRPr="00D237D1">
          <w:rPr>
            <w:rStyle w:val="Hyperlink"/>
          </w:rPr>
          <w:t>1.3. Знаци</w:t>
        </w:r>
        <w:r w:rsidR="0036081E">
          <w:rPr>
            <w:webHidden/>
          </w:rPr>
          <w:tab/>
        </w:r>
        <w:r w:rsidR="0036081E">
          <w:rPr>
            <w:webHidden/>
          </w:rPr>
          <w:fldChar w:fldCharType="begin"/>
        </w:r>
        <w:r w:rsidR="0036081E">
          <w:rPr>
            <w:webHidden/>
          </w:rPr>
          <w:instrText xml:space="preserve"> PAGEREF _Toc58320885 \h </w:instrText>
        </w:r>
        <w:r w:rsidR="0036081E">
          <w:rPr>
            <w:webHidden/>
          </w:rPr>
        </w:r>
        <w:r w:rsidR="0036081E">
          <w:rPr>
            <w:webHidden/>
          </w:rPr>
          <w:fldChar w:fldCharType="separate"/>
        </w:r>
        <w:r w:rsidR="0036081E">
          <w:rPr>
            <w:webHidden/>
          </w:rPr>
          <w:t>2</w:t>
        </w:r>
        <w:r w:rsidR="0036081E">
          <w:rPr>
            <w:webHidden/>
          </w:rPr>
          <w:fldChar w:fldCharType="end"/>
        </w:r>
      </w:hyperlink>
    </w:p>
    <w:p w14:paraId="15B9931D" w14:textId="1A3A6B5F" w:rsidR="0036081E" w:rsidRDefault="00CD1256">
      <w:pPr>
        <w:pStyle w:val="TOC2"/>
        <w:rPr>
          <w:rFonts w:asciiTheme="minorHAnsi" w:eastAsiaTheme="minorEastAsia" w:hAnsiTheme="minorHAnsi" w:cstheme="minorBidi"/>
          <w:b w:val="0"/>
          <w:smallCaps w:val="0"/>
          <w:sz w:val="22"/>
          <w:lang w:val="en-US"/>
        </w:rPr>
      </w:pPr>
      <w:hyperlink w:anchor="_Toc58320886" w:history="1">
        <w:r w:rsidR="0036081E" w:rsidRPr="00D237D1">
          <w:rPr>
            <w:rStyle w:val="Hyperlink"/>
          </w:rPr>
          <w:t>5.1</w:t>
        </w:r>
        <w:r w:rsidR="0036081E">
          <w:rPr>
            <w:rFonts w:asciiTheme="minorHAnsi" w:eastAsiaTheme="minorEastAsia" w:hAnsiTheme="minorHAnsi" w:cstheme="minorBidi"/>
            <w:b w:val="0"/>
            <w:smallCaps w:val="0"/>
            <w:sz w:val="22"/>
            <w:lang w:val="en-US"/>
          </w:rPr>
          <w:tab/>
        </w:r>
        <w:r w:rsidR="0036081E" w:rsidRPr="00D237D1">
          <w:rPr>
            <w:rStyle w:val="Hyperlink"/>
          </w:rPr>
          <w:t>1.4. Съкращения</w:t>
        </w:r>
        <w:r w:rsidR="0036081E">
          <w:rPr>
            <w:webHidden/>
          </w:rPr>
          <w:tab/>
        </w:r>
        <w:r w:rsidR="0036081E">
          <w:rPr>
            <w:webHidden/>
          </w:rPr>
          <w:fldChar w:fldCharType="begin"/>
        </w:r>
        <w:r w:rsidR="0036081E">
          <w:rPr>
            <w:webHidden/>
          </w:rPr>
          <w:instrText xml:space="preserve"> PAGEREF _Toc58320886 \h </w:instrText>
        </w:r>
        <w:r w:rsidR="0036081E">
          <w:rPr>
            <w:webHidden/>
          </w:rPr>
        </w:r>
        <w:r w:rsidR="0036081E">
          <w:rPr>
            <w:webHidden/>
          </w:rPr>
          <w:fldChar w:fldCharType="separate"/>
        </w:r>
        <w:r w:rsidR="0036081E">
          <w:rPr>
            <w:webHidden/>
          </w:rPr>
          <w:t>2</w:t>
        </w:r>
        <w:r w:rsidR="0036081E">
          <w:rPr>
            <w:webHidden/>
          </w:rPr>
          <w:fldChar w:fldCharType="end"/>
        </w:r>
      </w:hyperlink>
    </w:p>
    <w:p w14:paraId="0B4D7E67" w14:textId="4A3FC5F9" w:rsidR="0036081E" w:rsidRDefault="00CD1256">
      <w:pPr>
        <w:pStyle w:val="TOC2"/>
        <w:rPr>
          <w:rFonts w:asciiTheme="minorHAnsi" w:eastAsiaTheme="minorEastAsia" w:hAnsiTheme="minorHAnsi" w:cstheme="minorBidi"/>
          <w:b w:val="0"/>
          <w:smallCaps w:val="0"/>
          <w:sz w:val="22"/>
          <w:lang w:val="en-US"/>
        </w:rPr>
      </w:pPr>
      <w:hyperlink w:anchor="_Toc58320887" w:history="1">
        <w:r w:rsidR="0036081E" w:rsidRPr="00D237D1">
          <w:rPr>
            <w:rStyle w:val="Hyperlink"/>
          </w:rPr>
          <w:t>ЧАСТ II: УКАЗАНИЯ ЗА ОБРАЗЦИТЕ</w:t>
        </w:r>
        <w:r w:rsidR="0036081E">
          <w:rPr>
            <w:webHidden/>
          </w:rPr>
          <w:tab/>
        </w:r>
        <w:r w:rsidR="0036081E">
          <w:rPr>
            <w:webHidden/>
          </w:rPr>
          <w:fldChar w:fldCharType="begin"/>
        </w:r>
        <w:r w:rsidR="0036081E">
          <w:rPr>
            <w:webHidden/>
          </w:rPr>
          <w:instrText xml:space="preserve"> PAGEREF _Toc58320887 \h </w:instrText>
        </w:r>
        <w:r w:rsidR="0036081E">
          <w:rPr>
            <w:webHidden/>
          </w:rPr>
        </w:r>
        <w:r w:rsidR="0036081E">
          <w:rPr>
            <w:webHidden/>
          </w:rPr>
          <w:fldChar w:fldCharType="separate"/>
        </w:r>
        <w:r w:rsidR="0036081E">
          <w:rPr>
            <w:webHidden/>
          </w:rPr>
          <w:t>3</w:t>
        </w:r>
        <w:r w:rsidR="0036081E">
          <w:rPr>
            <w:webHidden/>
          </w:rPr>
          <w:fldChar w:fldCharType="end"/>
        </w:r>
      </w:hyperlink>
    </w:p>
    <w:p w14:paraId="36F6F81B" w14:textId="5CFE7EF7" w:rsidR="0036081E" w:rsidRDefault="00CD1256">
      <w:pPr>
        <w:pStyle w:val="TOC2"/>
        <w:rPr>
          <w:rFonts w:asciiTheme="minorHAnsi" w:eastAsiaTheme="minorEastAsia" w:hAnsiTheme="minorHAnsi" w:cstheme="minorBidi"/>
          <w:b w:val="0"/>
          <w:smallCaps w:val="0"/>
          <w:sz w:val="22"/>
          <w:lang w:val="en-US"/>
        </w:rPr>
      </w:pPr>
      <w:hyperlink w:anchor="_Toc58320888" w:history="1">
        <w:r w:rsidR="0036081E" w:rsidRPr="00D237D1">
          <w:rPr>
            <w:rStyle w:val="Hyperlink"/>
          </w:rPr>
          <w:t>6.1</w:t>
        </w:r>
        <w:r w:rsidR="0036081E">
          <w:rPr>
            <w:rFonts w:asciiTheme="minorHAnsi" w:eastAsiaTheme="minorEastAsia" w:hAnsiTheme="minorHAnsi" w:cstheme="minorBidi"/>
            <w:b w:val="0"/>
            <w:smallCaps w:val="0"/>
            <w:sz w:val="22"/>
            <w:lang w:val="en-US"/>
          </w:rPr>
          <w:tab/>
        </w:r>
        <w:r w:rsidR="0036081E" w:rsidRPr="00D237D1">
          <w:rPr>
            <w:rStyle w:val="Hyperlink"/>
          </w:rPr>
          <w:t>1. Общи бележки</w:t>
        </w:r>
        <w:r w:rsidR="0036081E">
          <w:rPr>
            <w:webHidden/>
          </w:rPr>
          <w:tab/>
        </w:r>
        <w:r w:rsidR="0036081E">
          <w:rPr>
            <w:webHidden/>
          </w:rPr>
          <w:fldChar w:fldCharType="begin"/>
        </w:r>
        <w:r w:rsidR="0036081E">
          <w:rPr>
            <w:webHidden/>
          </w:rPr>
          <w:instrText xml:space="preserve"> PAGEREF _Toc58320888 \h </w:instrText>
        </w:r>
        <w:r w:rsidR="0036081E">
          <w:rPr>
            <w:webHidden/>
          </w:rPr>
        </w:r>
        <w:r w:rsidR="0036081E">
          <w:rPr>
            <w:webHidden/>
          </w:rPr>
          <w:fldChar w:fldCharType="separate"/>
        </w:r>
        <w:r w:rsidR="0036081E">
          <w:rPr>
            <w:webHidden/>
          </w:rPr>
          <w:t>3</w:t>
        </w:r>
        <w:r w:rsidR="0036081E">
          <w:rPr>
            <w:webHidden/>
          </w:rPr>
          <w:fldChar w:fldCharType="end"/>
        </w:r>
      </w:hyperlink>
    </w:p>
    <w:p w14:paraId="3B98F09C" w14:textId="6DBAF89A" w:rsidR="0036081E" w:rsidRDefault="00CD1256">
      <w:pPr>
        <w:pStyle w:val="TOC2"/>
        <w:rPr>
          <w:rFonts w:asciiTheme="minorHAnsi" w:eastAsiaTheme="minorEastAsia" w:hAnsiTheme="minorHAnsi" w:cstheme="minorBidi"/>
          <w:b w:val="0"/>
          <w:smallCaps w:val="0"/>
          <w:sz w:val="22"/>
          <w:lang w:val="en-US"/>
        </w:rPr>
      </w:pPr>
      <w:hyperlink w:anchor="_Toc58320889" w:history="1">
        <w:r w:rsidR="0036081E" w:rsidRPr="00D237D1">
          <w:rPr>
            <w:rStyle w:val="Hyperlink"/>
          </w:rPr>
          <w:t>7.1</w:t>
        </w:r>
        <w:r w:rsidR="0036081E">
          <w:rPr>
            <w:rFonts w:asciiTheme="minorHAnsi" w:eastAsiaTheme="minorEastAsia" w:hAnsiTheme="minorHAnsi" w:cstheme="minorBidi"/>
            <w:b w:val="0"/>
            <w:smallCaps w:val="0"/>
            <w:sz w:val="22"/>
            <w:lang w:val="en-US"/>
          </w:rPr>
          <w:tab/>
        </w:r>
        <w:r w:rsidR="0036081E" w:rsidRPr="00D237D1">
          <w:rPr>
            <w:rStyle w:val="Hyperlink"/>
          </w:rPr>
          <w:t>2. Указания за определени позиции</w:t>
        </w:r>
        <w:r w:rsidR="0036081E">
          <w:rPr>
            <w:webHidden/>
          </w:rPr>
          <w:tab/>
        </w:r>
        <w:r w:rsidR="0036081E">
          <w:rPr>
            <w:webHidden/>
          </w:rPr>
          <w:fldChar w:fldCharType="begin"/>
        </w:r>
        <w:r w:rsidR="0036081E">
          <w:rPr>
            <w:webHidden/>
          </w:rPr>
          <w:instrText xml:space="preserve"> PAGEREF _Toc58320889 \h </w:instrText>
        </w:r>
        <w:r w:rsidR="0036081E">
          <w:rPr>
            <w:webHidden/>
          </w:rPr>
        </w:r>
        <w:r w:rsidR="0036081E">
          <w:rPr>
            <w:webHidden/>
          </w:rPr>
          <w:fldChar w:fldCharType="separate"/>
        </w:r>
        <w:r w:rsidR="0036081E">
          <w:rPr>
            <w:webHidden/>
          </w:rPr>
          <w:t>3</w:t>
        </w:r>
        <w:r w:rsidR="0036081E">
          <w:rPr>
            <w:webHidden/>
          </w:rPr>
          <w:fldChar w:fldCharType="end"/>
        </w:r>
      </w:hyperlink>
    </w:p>
    <w:p w14:paraId="7AC7042C" w14:textId="5299D6FA"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EC067D" w:rsidRDefault="002648B0" w:rsidP="00EC067D">
      <w:pPr>
        <w:pStyle w:val="Heading2"/>
      </w:pPr>
      <w:bookmarkStart w:id="2" w:name="_Toc264038394"/>
      <w:bookmarkStart w:id="3" w:name="_Toc360188317"/>
      <w:bookmarkStart w:id="4" w:name="_Toc473560865"/>
      <w:bookmarkStart w:id="5" w:name="_Toc58320881"/>
      <w:r>
        <w:lastRenderedPageBreak/>
        <w:t>ЧАСТ I:</w:t>
      </w:r>
      <w:bookmarkEnd w:id="2"/>
      <w:r>
        <w:t xml:space="preserve"> ОБЩИ УКАЗАНИЯ</w:t>
      </w:r>
      <w:bookmarkEnd w:id="3"/>
      <w:bookmarkEnd w:id="4"/>
      <w:bookmarkEnd w:id="5"/>
    </w:p>
    <w:p w14:paraId="134C985E" w14:textId="77777777" w:rsidR="002648B0" w:rsidRPr="00EC067D" w:rsidRDefault="00125707" w:rsidP="00EC067D">
      <w:pPr>
        <w:pStyle w:val="Instructionsberschrift2"/>
        <w:rPr>
          <w:rFonts w:cs="Times New Roman"/>
          <w:sz w:val="24"/>
        </w:rPr>
      </w:pPr>
      <w:bookmarkStart w:id="6" w:name="_Toc360188318"/>
      <w:bookmarkStart w:id="7" w:name="_Toc473560866"/>
      <w:bookmarkStart w:id="8" w:name="_Toc58320882"/>
      <w:r>
        <w:rPr>
          <w:sz w:val="24"/>
        </w:rPr>
        <w:t>1.</w:t>
      </w:r>
      <w:r>
        <w:tab/>
      </w:r>
      <w:r>
        <w:rPr>
          <w:sz w:val="24"/>
        </w:rPr>
        <w:t>Структура и възприети практики</w:t>
      </w:r>
      <w:bookmarkEnd w:id="6"/>
      <w:bookmarkEnd w:id="7"/>
      <w:bookmarkEnd w:id="8"/>
    </w:p>
    <w:p w14:paraId="7C7E012C" w14:textId="77777777" w:rsidR="002648B0" w:rsidRPr="00EC067D" w:rsidRDefault="00125707" w:rsidP="00EC067D">
      <w:pPr>
        <w:pStyle w:val="Instructionsberschrift2"/>
        <w:rPr>
          <w:rFonts w:cs="Times New Roman"/>
          <w:sz w:val="24"/>
        </w:rPr>
      </w:pPr>
      <w:bookmarkStart w:id="9" w:name="_Toc360188319"/>
      <w:bookmarkStart w:id="10" w:name="_Toc473560867"/>
      <w:bookmarkStart w:id="11" w:name="_Toc58320883"/>
      <w:bookmarkStart w:id="12" w:name="_Toc264038399"/>
      <w:bookmarkStart w:id="13" w:name="_Toc294018834"/>
      <w:r>
        <w:rPr>
          <w:sz w:val="24"/>
        </w:rPr>
        <w:t>1.1.</w:t>
      </w:r>
      <w:r>
        <w:tab/>
      </w:r>
      <w:r>
        <w:rPr>
          <w:sz w:val="24"/>
        </w:rPr>
        <w:t>Структура</w:t>
      </w:r>
      <w:bookmarkEnd w:id="9"/>
      <w:bookmarkEnd w:id="10"/>
      <w:bookmarkEnd w:id="11"/>
    </w:p>
    <w:p w14:paraId="6C67B776" w14:textId="5BE94C55" w:rsidR="005643EA" w:rsidRPr="00EC067D" w:rsidRDefault="00125707" w:rsidP="00004542">
      <w:pPr>
        <w:pStyle w:val="InstructionsText2"/>
        <w:numPr>
          <w:ilvl w:val="0"/>
          <w:numId w:val="0"/>
        </w:numPr>
        <w:ind w:left="993"/>
      </w:pPr>
      <w:r>
        <w:t>1.</w:t>
      </w:r>
      <w:r>
        <w:tab/>
        <w:t>Настоящата рамка се състои от един образец, който съдържа информация за показателите от глобално системно значение, и от отделни позиции, необходими за прилагането на методиката на ЕС за определяне на глобалните системно значими институции (Г-СЗИ) и на съответните буфери за тези Г-СЗИ.</w:t>
      </w:r>
    </w:p>
    <w:p w14:paraId="61F62C51" w14:textId="77777777" w:rsidR="002648B0" w:rsidRPr="00EC067D" w:rsidRDefault="00125707" w:rsidP="00EC067D">
      <w:pPr>
        <w:pStyle w:val="Instructionsberschrift2"/>
        <w:rPr>
          <w:rFonts w:cs="Times New Roman"/>
          <w:sz w:val="24"/>
        </w:rPr>
      </w:pPr>
      <w:bookmarkStart w:id="14" w:name="_Toc360188320"/>
      <w:bookmarkStart w:id="15" w:name="_Toc473560868"/>
      <w:bookmarkStart w:id="16" w:name="_Toc58320884"/>
      <w:r>
        <w:rPr>
          <w:sz w:val="24"/>
        </w:rPr>
        <w:t>1.2.</w:t>
      </w:r>
      <w:r>
        <w:tab/>
      </w:r>
      <w:r>
        <w:rPr>
          <w:sz w:val="24"/>
        </w:rPr>
        <w:t>Номериране</w:t>
      </w:r>
      <w:bookmarkEnd w:id="14"/>
      <w:bookmarkEnd w:id="15"/>
      <w:bookmarkEnd w:id="16"/>
    </w:p>
    <w:p w14:paraId="3C0F0268" w14:textId="5212C39C" w:rsidR="002648B0" w:rsidRPr="00EC067D" w:rsidRDefault="006137FD" w:rsidP="00004542">
      <w:pPr>
        <w:pStyle w:val="InstructionsText2"/>
        <w:numPr>
          <w:ilvl w:val="0"/>
          <w:numId w:val="0"/>
        </w:numPr>
        <w:ind w:left="993"/>
      </w:pPr>
      <w:r>
        <w:t>2.</w:t>
      </w:r>
      <w:r>
        <w:tab/>
        <w:t>Когато се правят препратки към колоните, редовете и клетките от образците, в документа е следвано обозначаването, представено в точки 3—5. Тези цифрови кодове се използват широко в правилата за утвърждаване.</w:t>
      </w:r>
    </w:p>
    <w:p w14:paraId="26DC2799" w14:textId="2C43513E" w:rsidR="005643EA" w:rsidRPr="00EC067D" w:rsidRDefault="006137FD" w:rsidP="00004542">
      <w:pPr>
        <w:pStyle w:val="InstructionsText2"/>
        <w:numPr>
          <w:ilvl w:val="0"/>
          <w:numId w:val="0"/>
        </w:numPr>
        <w:ind w:left="993"/>
      </w:pPr>
      <w:r>
        <w:t>3.</w:t>
      </w:r>
      <w:r>
        <w:tab/>
        <w:t>В указанията се съблюдават следните общи означения: {образец; ред; колона}.</w:t>
      </w:r>
    </w:p>
    <w:p w14:paraId="6A9F72AA" w14:textId="1B191E59" w:rsidR="005643EA" w:rsidRPr="00EC067D" w:rsidRDefault="006137FD" w:rsidP="00004542">
      <w:pPr>
        <w:pStyle w:val="InstructionsText2"/>
        <w:numPr>
          <w:ilvl w:val="0"/>
          <w:numId w:val="0"/>
        </w:numPr>
        <w:ind w:left="993"/>
      </w:pPr>
      <w:r>
        <w:t>4.</w:t>
      </w:r>
      <w:r>
        <w:tab/>
        <w:t>При препратки в рамките на даден образец, при които се използват само информационни полета от него, в записа не се включва думата „образец“: {ред; колона}. При образците, които имат само една колона, се посочват само редовете: {образец; ред}.</w:t>
      </w:r>
    </w:p>
    <w:p w14:paraId="01FECE3C" w14:textId="482B71E1" w:rsidR="002648B0" w:rsidRPr="00EC067D" w:rsidRDefault="006137FD" w:rsidP="00004542">
      <w:pPr>
        <w:pStyle w:val="InstructionsText2"/>
        <w:numPr>
          <w:ilvl w:val="0"/>
          <w:numId w:val="0"/>
        </w:numPr>
        <w:ind w:left="993"/>
      </w:pPr>
      <w:r>
        <w:t>5.</w:t>
      </w:r>
      <w:r>
        <w:tab/>
        <w:t>Знакът „звездичка“ се използва, за да се покаже, че препратката обхваща посочените преди това редове или колони.</w:t>
      </w:r>
    </w:p>
    <w:p w14:paraId="273A8B8C" w14:textId="257AD217" w:rsidR="002648B0" w:rsidRPr="00EC067D" w:rsidRDefault="00125707" w:rsidP="00EC067D">
      <w:pPr>
        <w:pStyle w:val="Instructionsberschrift2"/>
        <w:rPr>
          <w:rFonts w:cs="Times New Roman"/>
          <w:sz w:val="24"/>
        </w:rPr>
      </w:pPr>
      <w:bookmarkStart w:id="17" w:name="_Toc360188321"/>
      <w:bookmarkStart w:id="18" w:name="_Toc473560869"/>
      <w:bookmarkStart w:id="19" w:name="_Toc58320885"/>
      <w:r>
        <w:rPr>
          <w:sz w:val="24"/>
        </w:rPr>
        <w:t>1.3.</w:t>
      </w:r>
      <w:r>
        <w:tab/>
      </w:r>
      <w:r>
        <w:rPr>
          <w:sz w:val="24"/>
        </w:rPr>
        <w:t>Знаци</w:t>
      </w:r>
      <w:bookmarkEnd w:id="12"/>
      <w:bookmarkEnd w:id="13"/>
      <w:bookmarkEnd w:id="17"/>
      <w:bookmarkEnd w:id="18"/>
      <w:bookmarkEnd w:id="19"/>
    </w:p>
    <w:p w14:paraId="0C0832BC" w14:textId="4A4E8717" w:rsidR="002648B0" w:rsidRPr="00EC067D" w:rsidRDefault="006137FD" w:rsidP="00004542">
      <w:pPr>
        <w:pStyle w:val="InstructionsText2"/>
        <w:numPr>
          <w:ilvl w:val="0"/>
          <w:numId w:val="0"/>
        </w:numPr>
        <w:ind w:left="993"/>
      </w:pPr>
      <w:r>
        <w:t>6.</w:t>
      </w:r>
      <w:r>
        <w:tab/>
        <w:t>Всяка стойност, с която се увеличава стойността на показател, активи, пасиви или експозиции, се посочва като положително число. Всяка стойност, с която се намалява стойността на показател, активи, пасиви или експозиции, се посочва като отрицателно число. Ако пред обозначението на дадена позиция стои отрицателен знак (–), по нея не се очаква да се посочи положително число.</w:t>
      </w:r>
    </w:p>
    <w:p w14:paraId="318F1B9B" w14:textId="1D0F17A4" w:rsidR="00304CA5" w:rsidRPr="00EC067D" w:rsidRDefault="00304CA5" w:rsidP="00EC067D">
      <w:pPr>
        <w:pStyle w:val="Instructionsberschrift2"/>
        <w:rPr>
          <w:rFonts w:cs="Times New Roman"/>
          <w:sz w:val="24"/>
        </w:rPr>
      </w:pPr>
      <w:bookmarkStart w:id="20" w:name="_Toc58320886"/>
      <w:r>
        <w:rPr>
          <w:sz w:val="24"/>
        </w:rPr>
        <w:t>1.4.</w:t>
      </w:r>
      <w:r>
        <w:tab/>
      </w:r>
      <w:r>
        <w:rPr>
          <w:sz w:val="24"/>
        </w:rPr>
        <w:t>Съкращения</w:t>
      </w:r>
      <w:bookmarkEnd w:id="20"/>
    </w:p>
    <w:p w14:paraId="5A22E3D2" w14:textId="07D28013" w:rsidR="00304CA5" w:rsidRPr="00EC067D" w:rsidRDefault="006137FD" w:rsidP="00004542">
      <w:pPr>
        <w:pStyle w:val="InstructionsText2"/>
        <w:numPr>
          <w:ilvl w:val="0"/>
          <w:numId w:val="0"/>
        </w:numPr>
        <w:ind w:left="993"/>
      </w:pPr>
      <w:r>
        <w:t>7. За целите на настоящото приложение Регламент (ЕС) № 575/2013 на Европейския парламент и на Съвета</w:t>
      </w:r>
      <w:r>
        <w:rPr>
          <w:rStyle w:val="FootnoteReference"/>
          <w:rFonts w:ascii="Times New Roman" w:hAnsi="Times New Roman"/>
          <w:sz w:val="24"/>
          <w:szCs w:val="24"/>
          <w:vertAlign w:val="superscript"/>
        </w:rPr>
        <w:footnoteReference w:id="2"/>
      </w:r>
      <w:r>
        <w:t xml:space="preserve"> се обозначава като „РКИ“, а Директива 2013/36/ЕС на Европейския парламент и на Съвета</w:t>
      </w:r>
      <w:r>
        <w:rPr>
          <w:rStyle w:val="FootnoteReference"/>
          <w:rFonts w:ascii="Times New Roman" w:hAnsi="Times New Roman"/>
          <w:sz w:val="24"/>
          <w:szCs w:val="24"/>
          <w:vertAlign w:val="superscript"/>
        </w:rPr>
        <w:footnoteReference w:id="3"/>
      </w:r>
      <w:r>
        <w:t xml:space="preserve"> — като „ДКИ“.</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14C45261" w:rsidR="002648B0" w:rsidRPr="00EC067D" w:rsidRDefault="002648B0" w:rsidP="00EC067D">
      <w:pPr>
        <w:pStyle w:val="Heading2"/>
      </w:pPr>
      <w:bookmarkStart w:id="22" w:name="_Toc360188322"/>
      <w:bookmarkStart w:id="23" w:name="_Toc473560870"/>
      <w:bookmarkStart w:id="24" w:name="_Toc58320887"/>
      <w:r>
        <w:lastRenderedPageBreak/>
        <w:t>ЧАСТ II: УКАЗАНИЯ ЗА ОБРАЗЦИТЕ</w:t>
      </w:r>
      <w:bookmarkEnd w:id="22"/>
      <w:bookmarkEnd w:id="23"/>
      <w:bookmarkEnd w:id="24"/>
    </w:p>
    <w:p w14:paraId="5E8C221B" w14:textId="6A60103B" w:rsidR="002648B0" w:rsidRPr="00EC067D" w:rsidRDefault="00125707" w:rsidP="00EC067D">
      <w:pPr>
        <w:pStyle w:val="Instructionsberschrift2"/>
        <w:rPr>
          <w:rFonts w:cs="Times New Roman"/>
          <w:sz w:val="24"/>
        </w:rPr>
      </w:pPr>
      <w:bookmarkStart w:id="25" w:name="_Toc360188323"/>
      <w:bookmarkStart w:id="26" w:name="_Toc473560871"/>
      <w:bookmarkStart w:id="27" w:name="_Toc58320888"/>
      <w:r>
        <w:rPr>
          <w:sz w:val="24"/>
        </w:rPr>
        <w:t>1.</w:t>
      </w:r>
      <w:r>
        <w:tab/>
      </w:r>
      <w:bookmarkStart w:id="28" w:name="_Toc308175819"/>
      <w:bookmarkStart w:id="29" w:name="_Toc360188324"/>
      <w:bookmarkStart w:id="30" w:name="_Toc473560872"/>
      <w:bookmarkEnd w:id="25"/>
      <w:bookmarkEnd w:id="26"/>
      <w:r>
        <w:rPr>
          <w:sz w:val="24"/>
        </w:rPr>
        <w:t>Общи бележки</w:t>
      </w:r>
      <w:bookmarkEnd w:id="27"/>
      <w:bookmarkEnd w:id="28"/>
      <w:bookmarkEnd w:id="29"/>
      <w:bookmarkEnd w:id="30"/>
    </w:p>
    <w:p w14:paraId="410557ED" w14:textId="2C0E81CE" w:rsidR="006137FD" w:rsidRPr="00EC067D" w:rsidRDefault="00004542" w:rsidP="00004542">
      <w:pPr>
        <w:pStyle w:val="InstructionsText2"/>
        <w:numPr>
          <w:ilvl w:val="0"/>
          <w:numId w:val="0"/>
        </w:numPr>
        <w:ind w:left="993"/>
      </w:pPr>
      <w:r>
        <w:t>8.</w:t>
      </w:r>
      <w:r>
        <w:tab/>
        <w:t xml:space="preserve">Образецът е разделен на две части. Горният раздел се отнася до показателите за идентифициране на Г-СЗИ, както последните са определени в методиката, разработена от Базелския комитет по банков надзор. Долният раздел съдържа редица позиции, необходими за изчисляването на съответните показатели по методиката, определена въз основа на член 131, параграф 18 от РКИ. </w:t>
      </w:r>
    </w:p>
    <w:p w14:paraId="285BFC5F" w14:textId="50F4BAE2" w:rsidR="005643EA" w:rsidRPr="00EC067D" w:rsidRDefault="00004542" w:rsidP="00004542">
      <w:pPr>
        <w:pStyle w:val="InstructionsText2"/>
        <w:numPr>
          <w:ilvl w:val="0"/>
          <w:numId w:val="0"/>
        </w:numPr>
        <w:ind w:left="993"/>
      </w:pPr>
      <w:r>
        <w:t>9.</w:t>
      </w:r>
      <w:r>
        <w:tab/>
      </w:r>
      <w:proofErr w:type="spellStart"/>
      <w:r>
        <w:t>Kогато</w:t>
      </w:r>
      <w:proofErr w:type="spellEnd"/>
      <w:r>
        <w:t xml:space="preserve"> е приложимо, предоставените в настоящия образец сведения трябва да съответстват на тези, предоставени на съответните органи за целите на събираните от тях стойности на показателите, както е посочено в член 3, параграф 2 от Делегиран регламент (ЕС) № 1222/2014 на Комисията.</w:t>
      </w:r>
    </w:p>
    <w:p w14:paraId="1640AAF5" w14:textId="45848639" w:rsidR="002648B0" w:rsidRPr="00EC067D" w:rsidRDefault="00125707" w:rsidP="00EC067D">
      <w:pPr>
        <w:pStyle w:val="Instructionsberschrift2"/>
        <w:rPr>
          <w:rFonts w:cs="Times New Roman"/>
          <w:sz w:val="24"/>
        </w:rPr>
      </w:pPr>
      <w:bookmarkStart w:id="31" w:name="_Toc310414968"/>
      <w:bookmarkStart w:id="32" w:name="_Toc360188326"/>
      <w:bookmarkStart w:id="33" w:name="_Toc473560874"/>
      <w:bookmarkStart w:id="34" w:name="_Toc58320889"/>
      <w:r>
        <w:rPr>
          <w:sz w:val="24"/>
        </w:rPr>
        <w:t>2.</w:t>
      </w:r>
      <w:r>
        <w:tab/>
      </w:r>
      <w:bookmarkStart w:id="35" w:name="_Toc308175821"/>
      <w:r>
        <w:rPr>
          <w:sz w:val="24"/>
        </w:rPr>
        <w:t xml:space="preserve">Указания за определени </w:t>
      </w:r>
      <w:bookmarkEnd w:id="31"/>
      <w:bookmarkEnd w:id="35"/>
      <w:r>
        <w:rPr>
          <w:sz w:val="24"/>
        </w:rPr>
        <w:t>позиции</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Ред</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правни норми и указания</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Показатели за Г-СЗИ</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Дефиницията на показателите е същата като прилаганата за определяне на информацията, посочена в приложението към Делегиран регламент (ЕС) № 1222/2014 на Комисията.</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При промени в методиката, докладването към края на първото, второто и третото тримесечие на дадена финансова година следва същата методика като използваната за определяне на стойностите на показателите към края на същата финансова година.</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Показателите, с които се измерват потоците, се докладват кумулативно от началото на календарната или финансовата година, според случая.</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Вземания от субекти в други юрисдикции</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Задължения към субекти в други юрисдикции</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Общо експозиции (отношение на </w:t>
            </w:r>
            <w:proofErr w:type="spellStart"/>
            <w:r>
              <w:rPr>
                <w:rStyle w:val="InstructionsTabelleberschrift"/>
                <w:rFonts w:ascii="Times New Roman" w:hAnsi="Times New Roman"/>
                <w:sz w:val="24"/>
              </w:rPr>
              <w:t>ливъридж</w:t>
            </w:r>
            <w:proofErr w:type="spellEnd"/>
            <w:r>
              <w:rPr>
                <w:rStyle w:val="InstructionsTabelleberschrift"/>
                <w:rFonts w:ascii="Times New Roman" w:hAnsi="Times New Roman"/>
                <w:sz w:val="24"/>
              </w:rPr>
              <w:t>)</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Активи в рамките на финансовата система</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Пасиви в рамките на финансовата система</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Ценни книжа, задълженията по които още не са погасени</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Активи под попечителство</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Разплащателна дейност</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Поети емисии на дълговите и капиталовите пазари</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Търгуван обем</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Условна стойност на извънборсовите деривати</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Активи от ниво 3</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Ценни книжа за търговия и на разположение за продажба</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Позиции, при които Европейският банков съюз се разглежда като една юрисдикция</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За целите на определянето на посочените по-долу позиции и при отсъствието на специални указания по-долу, използваните дефиниции и понятия се съгласуват, доколкото е възможно, с тези в насоките за докладване на събираните от БМР статистически данни за международната банкова дейност (</w:t>
            </w:r>
            <w:proofErr w:type="spellStart"/>
            <w:r>
              <w:rPr>
                <w:rStyle w:val="FormatvorlageInstructionsTabelleText"/>
                <w:rFonts w:ascii="Times New Roman" w:hAnsi="Times New Roman"/>
                <w:i/>
                <w:iCs/>
                <w:sz w:val="24"/>
              </w:rPr>
              <w:t>Guidelines</w:t>
            </w:r>
            <w:proofErr w:type="spellEnd"/>
            <w:r>
              <w:rPr>
                <w:rStyle w:val="FormatvorlageInstructionsTabelleText"/>
                <w:rFonts w:ascii="Times New Roman" w:hAnsi="Times New Roman"/>
                <w:i/>
                <w:iCs/>
                <w:sz w:val="24"/>
              </w:rPr>
              <w:t xml:space="preserve"> </w:t>
            </w:r>
            <w:proofErr w:type="spellStart"/>
            <w:r>
              <w:rPr>
                <w:rStyle w:val="FormatvorlageInstructionsTabelleText"/>
                <w:rFonts w:ascii="Times New Roman" w:hAnsi="Times New Roman"/>
                <w:i/>
                <w:iCs/>
                <w:sz w:val="24"/>
              </w:rPr>
              <w:t>for</w:t>
            </w:r>
            <w:proofErr w:type="spellEnd"/>
            <w:r>
              <w:rPr>
                <w:rStyle w:val="FormatvorlageInstructionsTabelleText"/>
                <w:rFonts w:ascii="Times New Roman" w:hAnsi="Times New Roman"/>
                <w:i/>
                <w:iCs/>
                <w:sz w:val="24"/>
              </w:rPr>
              <w:t xml:space="preserve"> </w:t>
            </w:r>
            <w:proofErr w:type="spellStart"/>
            <w:r>
              <w:rPr>
                <w:rStyle w:val="FormatvorlageInstructionsTabelleText"/>
                <w:rFonts w:ascii="Times New Roman" w:hAnsi="Times New Roman"/>
                <w:i/>
                <w:iCs/>
                <w:sz w:val="24"/>
              </w:rPr>
              <w:t>reporting</w:t>
            </w:r>
            <w:proofErr w:type="spellEnd"/>
            <w:r>
              <w:rPr>
                <w:rStyle w:val="FormatvorlageInstructionsTabelleText"/>
                <w:rFonts w:ascii="Times New Roman" w:hAnsi="Times New Roman"/>
                <w:i/>
                <w:iCs/>
                <w:sz w:val="24"/>
              </w:rPr>
              <w:t xml:space="preserve"> </w:t>
            </w:r>
            <w:proofErr w:type="spellStart"/>
            <w:r>
              <w:rPr>
                <w:rStyle w:val="FormatvorlageInstructionsTabelleText"/>
                <w:rFonts w:ascii="Times New Roman" w:hAnsi="Times New Roman"/>
                <w:i/>
                <w:iCs/>
                <w:sz w:val="24"/>
              </w:rPr>
              <w:t>the</w:t>
            </w:r>
            <w:proofErr w:type="spellEnd"/>
            <w:r>
              <w:rPr>
                <w:rStyle w:val="FormatvorlageInstructionsTabelleText"/>
                <w:rFonts w:ascii="Times New Roman" w:hAnsi="Times New Roman"/>
                <w:i/>
                <w:iCs/>
                <w:sz w:val="24"/>
              </w:rPr>
              <w:t xml:space="preserve"> BIS </w:t>
            </w:r>
            <w:proofErr w:type="spellStart"/>
            <w:r>
              <w:rPr>
                <w:rStyle w:val="FormatvorlageInstructionsTabelleText"/>
                <w:rFonts w:ascii="Times New Roman" w:hAnsi="Times New Roman"/>
                <w:i/>
                <w:iCs/>
                <w:sz w:val="24"/>
              </w:rPr>
              <w:t>international</w:t>
            </w:r>
            <w:proofErr w:type="spellEnd"/>
            <w:r>
              <w:rPr>
                <w:rStyle w:val="FormatvorlageInstructionsTabelleText"/>
                <w:rFonts w:ascii="Times New Roman" w:hAnsi="Times New Roman"/>
                <w:i/>
                <w:iCs/>
                <w:sz w:val="24"/>
              </w:rPr>
              <w:t xml:space="preserve"> </w:t>
            </w:r>
            <w:proofErr w:type="spellStart"/>
            <w:r>
              <w:rPr>
                <w:rStyle w:val="FormatvorlageInstructionsTabelleText"/>
                <w:rFonts w:ascii="Times New Roman" w:hAnsi="Times New Roman"/>
                <w:i/>
                <w:iCs/>
                <w:sz w:val="24"/>
              </w:rPr>
              <w:t>banking</w:t>
            </w:r>
            <w:proofErr w:type="spellEnd"/>
            <w:r>
              <w:rPr>
                <w:rStyle w:val="FormatvorlageInstructionsTabelleText"/>
                <w:rFonts w:ascii="Times New Roman" w:hAnsi="Times New Roman"/>
                <w:i/>
                <w:iCs/>
                <w:sz w:val="24"/>
              </w:rPr>
              <w:t xml:space="preserve"> </w:t>
            </w:r>
            <w:proofErr w:type="spellStart"/>
            <w:r>
              <w:rPr>
                <w:rStyle w:val="FormatvorlageInstructionsTabelleText"/>
                <w:rFonts w:ascii="Times New Roman" w:hAnsi="Times New Roman"/>
                <w:i/>
                <w:iCs/>
                <w:sz w:val="24"/>
              </w:rPr>
              <w:t>statistics</w:t>
            </w:r>
            <w:proofErr w:type="spellEnd"/>
            <w:r>
              <w:rPr>
                <w:rStyle w:val="FormatvorlageInstructionsTabelleText"/>
                <w:rFonts w:ascii="Times New Roman" w:hAnsi="Times New Roman"/>
                <w:sz w:val="24"/>
              </w:rPr>
              <w:t>).</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По изключение от гореизложеното, тук не спадат дейностите на докладващите субекти в участващите държави членки, както последните са определени в член 4 от Регламент (ЕС) № 806/2014 на Европейския парламент и на Съвета</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xml:space="preserve"> — т.е. участващите държави членки се приемат за една юрисдикция.</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Общо чуждестранни вземания на база краен риск</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Общата стойност на чуждестранните вземания е сборът на трансграничните и местните вземания на филиалите в чужбина в местна или чуждестранна валута. Тук не се включват вземанията по позиции в договори за деривати. Термините „вземания“, „трансгранични вземания“ и „местни вземания на филиалите в чужбина в местна или чуждестранна валута“ са със значението си, дефинирано в насоките за докладване на събираните от БМР статистически данни за международната банкова дейност.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„На база краен риск“ означава, че за да се определи дали дадено вземане е трансгранично или местно, позицията се отрежда на трета страна — ако има такава, която е сключила договор за поемане на дълговете или задълженията на основния контрагент, ако последният не изпълни задълженията си. Това отреждане се прави съобразно разпоредбите относно прехвърлянето на риск, предвидени в насоките за докладване на събираните от БМР статистически данни за международната банкова дейност.</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Чуждестранни вземания по деривати на база краен риск</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Положителната справедлива стойност на всички вземания по деривати, които са чуждестранни или местни вземания на филиалите в чужбина в местна или чуждестранна валута.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Дериватите включват </w:t>
            </w:r>
            <w:proofErr w:type="spellStart"/>
            <w:r>
              <w:rPr>
                <w:rStyle w:val="FormatvorlageInstructionsTabelleText"/>
                <w:rFonts w:ascii="Times New Roman" w:hAnsi="Times New Roman"/>
                <w:sz w:val="24"/>
              </w:rPr>
              <w:t>форуърди</w:t>
            </w:r>
            <w:proofErr w:type="spellEnd"/>
            <w:r>
              <w:rPr>
                <w:rStyle w:val="FormatvorlageInstructionsTabelleText"/>
                <w:rFonts w:ascii="Times New Roman" w:hAnsi="Times New Roman"/>
                <w:sz w:val="24"/>
              </w:rPr>
              <w:t xml:space="preserve">, суапове и опции върху валутни операции, лихвен процент, собствен капитал, стоки и кредитни инструменти. Тук спадат закупените кредитни деривати, които </w:t>
            </w:r>
            <w:proofErr w:type="spellStart"/>
            <w:r>
              <w:rPr>
                <w:rStyle w:val="FormatvorlageInstructionsTabelleText"/>
                <w:rFonts w:ascii="Times New Roman" w:hAnsi="Times New Roman"/>
                <w:sz w:val="24"/>
              </w:rPr>
              <w:t>хеджират</w:t>
            </w:r>
            <w:proofErr w:type="spellEnd"/>
            <w:r>
              <w:rPr>
                <w:rStyle w:val="FormatvorlageInstructionsTabelleText"/>
                <w:rFonts w:ascii="Times New Roman" w:hAnsi="Times New Roman"/>
                <w:sz w:val="24"/>
              </w:rPr>
              <w:t xml:space="preserve"> или се прихващат срещу продадена кредитна защита, или се държат за търгуване.</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Стойността на такива закупени кредитни деривати не се ограничава до стойността на непосредственото вземане, за гарантирането на което са били закупени.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Положителните справедливи стойности на договорите за деривати могат да се прихващат срещу отрицателните справедливи стойности само ако позициите са били изпълнени с един и същ контрагент по правно обвързващо споразумение за нетиране. Тази позиция съдържа само </w:t>
            </w:r>
            <w:proofErr w:type="spellStart"/>
            <w:r>
              <w:rPr>
                <w:rStyle w:val="FormatvorlageInstructionsTabelleText"/>
                <w:rFonts w:ascii="Times New Roman" w:hAnsi="Times New Roman"/>
                <w:sz w:val="24"/>
              </w:rPr>
              <w:t>нетиращите</w:t>
            </w:r>
            <w:proofErr w:type="spellEnd"/>
            <w:r>
              <w:rPr>
                <w:rStyle w:val="FormatvorlageInstructionsTabelleText"/>
                <w:rFonts w:ascii="Times New Roman" w:hAnsi="Times New Roman"/>
                <w:sz w:val="24"/>
              </w:rPr>
              <w:t xml:space="preserve"> съвкупности с положителна стойност.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Вземанията по деривати се докладват, без да се взимат предвид евентуални парични обезпечения.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 целите на предоставянето на информация на база краен риск се прилага следното:</w:t>
            </w:r>
          </w:p>
          <w:p w14:paraId="11BDA188" w14:textId="218D72C7" w:rsidR="000359E7" w:rsidRPr="00EC067D" w:rsidRDefault="000359E7" w:rsidP="00CD1256">
            <w:pPr>
              <w:pStyle w:val="InstructionsText"/>
              <w:numPr>
                <w:ilvl w:val="0"/>
                <w:numId w:val="22"/>
              </w:numPr>
              <w:rPr>
                <w:rStyle w:val="FormatvorlageInstructionsTabelleText"/>
                <w:rFonts w:ascii="Times New Roman" w:hAnsi="Times New Roman"/>
                <w:sz w:val="24"/>
              </w:rPr>
            </w:pPr>
            <w:r>
              <w:rPr>
                <w:rStyle w:val="FormatvorlageInstructionsTabelleText"/>
                <w:rFonts w:ascii="Times New Roman" w:hAnsi="Times New Roman"/>
                <w:sz w:val="24"/>
              </w:rPr>
              <w:t>Когато крайният риск е при контрагента, дериватът се приема за чуждестранен, ако контрагентът не е в юрисдикцията, в която е установен докладващ</w:t>
            </w:r>
            <w:bookmarkStart w:id="36" w:name="_GoBack"/>
            <w:bookmarkEnd w:id="36"/>
            <w:r>
              <w:rPr>
                <w:rStyle w:val="FormatvorlageInstructionsTabelleText"/>
                <w:rFonts w:ascii="Times New Roman" w:hAnsi="Times New Roman"/>
                <w:sz w:val="24"/>
              </w:rPr>
              <w:t xml:space="preserve">ият субект. </w:t>
            </w:r>
          </w:p>
          <w:p w14:paraId="4EE29D54" w14:textId="079BBA53" w:rsidR="000359E7" w:rsidRPr="00EC067D" w:rsidRDefault="000359E7" w:rsidP="00CD1256">
            <w:pPr>
              <w:pStyle w:val="InstructionsText"/>
              <w:numPr>
                <w:ilvl w:val="0"/>
                <w:numId w:val="22"/>
              </w:numPr>
              <w:rPr>
                <w:rStyle w:val="FormatvorlageInstructionsTabelleText"/>
                <w:rFonts w:ascii="Times New Roman" w:hAnsi="Times New Roman"/>
                <w:sz w:val="24"/>
              </w:rPr>
            </w:pPr>
            <w:r>
              <w:rPr>
                <w:rStyle w:val="FormatvorlageInstructionsTabelleText"/>
                <w:rFonts w:ascii="Times New Roman" w:hAnsi="Times New Roman"/>
                <w:sz w:val="24"/>
              </w:rPr>
              <w:t>Когато крайният риск е при гаранта, дериватът се приема за чуждестранен, ако гарантът не е в юрисдикцията, в която е установен докладващият субект.</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Чуждестранни задължения на база непосредствен риск, в т.ч. по деривати</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Чуждестранните задължения, в т.ч. по деривати, са сборът на чуждестранните задължения и чуждестранните задължения, произтичащи от деривати. Тази позиция не съдържа задълженията по ценни книжа, които са търгуеми финансови активи, емитирани от докладващата институция.</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Дефиницията за деривати е същата като приложимата за ред 0140.</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Отрицателните справедливи стойности на договорите за деривати могат да се прихващат срещу положителните справедливи стойности само ако позициите са били изпълнени с един и същ контрагент по правно обвързващо споразумение за нетиране. Задълженията по деривати се докладват без да се взимат предвид евентуални обезпечения (парични и непарични).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„На база непосредствен риска“ означава, че за да се определи дали дадено вземане е трансгранично или местно, позицията се отрежда на прекия контрагент по договора.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в т.ч.: задължения по деривати към чужбина на база непосредствен риск</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Подгрупа на ред 0160, която обхваща задълженията по деривати.</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035F037B"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ED71AF">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1FC736F3"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ED71AF">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22920B73"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ED71AF">
      <w:rPr>
        <w:rFonts w:ascii="Times New Roman" w:hAnsi="Times New Roman"/>
        <w:noProof/>
        <w:sz w:val="20"/>
        <w:szCs w:val="20"/>
      </w:rPr>
      <w:t>4</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w:t>
      </w:r>
      <w:r>
        <w:rPr>
          <w:rFonts w:ascii="Times New Roman" w:hAnsi="Times New Roman"/>
          <w:iCs/>
          <w:color w:val="444444"/>
          <w:sz w:val="20"/>
          <w:szCs w:val="20"/>
        </w:rPr>
        <w:t>ОВ L 176, 27.6.2013 г., стр.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(ОВ L 176, 27.6.2013 г., стр. 338).</w:t>
      </w:r>
    </w:p>
  </w:footnote>
  <w:footnote w:id="4">
    <w:p w14:paraId="7E81C75F" w14:textId="7AFAACB8" w:rsidR="000359E7" w:rsidRPr="0036081E" w:rsidRDefault="000359E7">
      <w:pPr>
        <w:pStyle w:val="FootnoteText"/>
        <w:rPr>
          <w:rFonts w:ascii="Times New Roman" w:hAnsi="Times New Roman"/>
        </w:rPr>
      </w:pPr>
      <w:r w:rsidRPr="0036081E">
        <w:rPr>
          <w:rStyle w:val="FootnoteReference"/>
          <w:rFonts w:ascii="Times New Roman" w:hAnsi="Times New Roman"/>
          <w:sz w:val="16"/>
          <w:szCs w:val="16"/>
        </w:rPr>
        <w:footnoteRef/>
      </w:r>
      <w:r w:rsidRPr="0036081E">
        <w:rPr>
          <w:rFonts w:ascii="Times New Roman" w:hAnsi="Times New Roman"/>
        </w:rPr>
        <w:tab/>
      </w:r>
      <w:r w:rsidRPr="0036081E">
        <w:rPr>
          <w:rFonts w:ascii="Times New Roman" w:hAnsi="Times New Roman"/>
        </w:rPr>
        <w:t>Регламент (ЕС) № 806/2014 на Европейския парламент и на Съвета от 15 юли 2014 г. за установяването на еднообразни правила и еднообразна процедура за преструктурирането на кредитни институции и някои инвестиционни посредници в рамките на Единния механизъм за преструктуриране и Единния фонд за преструктуриране и за изменение на Регламент (ЕС) № 1093/2010 (ОВ L 225, 30.7.2014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50600C"/>
    <w:multiLevelType w:val="hybridMultilevel"/>
    <w:tmpl w:val="EAECE89A"/>
    <w:lvl w:ilvl="0" w:tplc="77C68118">
      <w:start w:val="1"/>
      <mc:AlternateContent>
        <mc:Choice Requires="w14">
          <w:numFmt w:val="custom" w:format="а, й, к, ..."/>
        </mc:Choice>
        <mc:Fallback>
          <w:numFmt w:val="decimal"/>
        </mc:Fallback>
      </mc:AlternateContent>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20"/>
  </w:num>
  <w:num w:numId="4">
    <w:abstractNumId w:val="9"/>
  </w:num>
  <w:num w:numId="5">
    <w:abstractNumId w:val="17"/>
  </w:num>
  <w:num w:numId="6">
    <w:abstractNumId w:val="8"/>
  </w:num>
  <w:num w:numId="7">
    <w:abstractNumId w:val="19"/>
  </w:num>
  <w:num w:numId="8">
    <w:abstractNumId w:val="2"/>
  </w:num>
  <w:num w:numId="9">
    <w:abstractNumId w:val="15"/>
  </w:num>
  <w:num w:numId="10">
    <w:abstractNumId w:val="7"/>
  </w:num>
  <w:num w:numId="11">
    <w:abstractNumId w:val="11"/>
  </w:num>
  <w:num w:numId="12">
    <w:abstractNumId w:val="3"/>
  </w:num>
  <w:num w:numId="13">
    <w:abstractNumId w:val="16"/>
  </w:num>
  <w:num w:numId="14">
    <w:abstractNumId w:val="13"/>
  </w:num>
  <w:num w:numId="15">
    <w:abstractNumId w:val="5"/>
  </w:num>
  <w:num w:numId="16">
    <w:abstractNumId w:val="10"/>
  </w:num>
  <w:num w:numId="17">
    <w:abstractNumId w:val="4"/>
  </w:num>
  <w:num w:numId="18">
    <w:abstractNumId w:val="18"/>
  </w:num>
  <w:num w:numId="19">
    <w:abstractNumId w:val="1"/>
  </w:num>
  <w:num w:numId="20">
    <w:abstractNumId w:val="6"/>
  </w:num>
  <w:num w:numId="21">
    <w:abstractNumId w:val="5"/>
  </w:num>
  <w:num w:numId="2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081E"/>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3ED"/>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0A24"/>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256"/>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1AF"/>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290C0-A0C7-432F-B28A-D71BD864C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1196</Words>
  <Characters>7494</Characters>
  <Application>Microsoft Office Word</Application>
  <DocSecurity>0</DocSecurity>
  <Lines>192</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BAKOS Tamas (DGT)</cp:lastModifiedBy>
  <cp:revision>8</cp:revision>
  <dcterms:created xsi:type="dcterms:W3CDTF">2020-12-02T17:25:00Z</dcterms:created>
  <dcterms:modified xsi:type="dcterms:W3CDTF">2020-12-09T14:05:00Z</dcterms:modified>
</cp:coreProperties>
</file>