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AA1421" w:rsidRDefault="002648B0" w:rsidP="00A33695">
      <w:pPr>
        <w:jc w:val="center"/>
        <w:rPr>
          <w:rFonts w:ascii="Times New Roman" w:hAnsi="Times New Roman"/>
          <w:sz w:val="24"/>
        </w:rPr>
      </w:pPr>
      <w:bookmarkStart w:id="0" w:name="_Toc262568021"/>
      <w:bookmarkStart w:id="1" w:name="_Toc295829847"/>
      <w:bookmarkStart w:id="2" w:name="_GoBack"/>
      <w:bookmarkEnd w:id="2"/>
      <w:r w:rsidRPr="00AA1421">
        <w:rPr>
          <w:rFonts w:ascii="Times New Roman" w:hAnsi="Times New Roman"/>
          <w:sz w:val="24"/>
        </w:rPr>
        <w:t>ZAŁĄCZNIK II</w:t>
      </w:r>
    </w:p>
    <w:p w:rsidR="002648B0" w:rsidRPr="00AA1421" w:rsidRDefault="00D11E4C" w:rsidP="00C87CEE">
      <w:pPr>
        <w:jc w:val="center"/>
        <w:rPr>
          <w:rFonts w:ascii="Times New Roman" w:hAnsi="Times New Roman"/>
          <w:b/>
          <w:sz w:val="24"/>
        </w:rPr>
      </w:pPr>
      <w:r w:rsidRPr="00AA1421">
        <w:rPr>
          <w:rFonts w:ascii="Times New Roman" w:hAnsi="Times New Roman"/>
          <w:b/>
          <w:sz w:val="24"/>
        </w:rPr>
        <w:t>INSTRUKCJE DOTYCZĄCE SPRAWOZDAWCZOŚCI W ZAKRESIE FUNDUSZY WŁASNYCH ORAZ WYMOGÓW W ZAKRESIE FUNDUSZY WŁASNYCH</w:t>
      </w:r>
    </w:p>
    <w:p w:rsidR="00436204" w:rsidRPr="00AA1421" w:rsidRDefault="00436204" w:rsidP="00C87CEE">
      <w:pPr>
        <w:jc w:val="center"/>
        <w:rPr>
          <w:rFonts w:ascii="Times New Roman" w:hAnsi="Times New Roman"/>
          <w:b/>
          <w:sz w:val="24"/>
          <w:lang w:eastAsia="de-DE"/>
        </w:rPr>
      </w:pPr>
    </w:p>
    <w:p w:rsidR="00783881" w:rsidRPr="00AA1421" w:rsidRDefault="002648B0" w:rsidP="00487A02">
      <w:pPr>
        <w:pStyle w:val="InstructionsText"/>
      </w:pPr>
      <w:r w:rsidRPr="00AA1421">
        <w:t>Spis treści</w:t>
      </w:r>
    </w:p>
    <w:p w:rsidR="00D723DD" w:rsidRPr="00AA1421" w:rsidRDefault="00745369">
      <w:pPr>
        <w:pStyle w:val="TOC2"/>
        <w:rPr>
          <w:rFonts w:asciiTheme="minorHAnsi" w:eastAsiaTheme="minorEastAsia" w:hAnsiTheme="minorHAnsi" w:cstheme="minorBidi"/>
          <w:b w:val="0"/>
          <w:smallCaps w:val="0"/>
          <w:sz w:val="22"/>
          <w:lang w:eastAsia="en-GB"/>
        </w:rPr>
      </w:pPr>
      <w:r w:rsidRPr="00AA1421">
        <w:rPr>
          <w:rFonts w:ascii="Times New Roman" w:hAnsi="Times New Roman"/>
          <w:sz w:val="24"/>
          <w:szCs w:val="24"/>
        </w:rPr>
        <w:fldChar w:fldCharType="begin"/>
      </w:r>
      <w:r w:rsidRPr="00AA1421">
        <w:rPr>
          <w:rFonts w:ascii="Times New Roman" w:hAnsi="Times New Roman"/>
          <w:sz w:val="24"/>
          <w:szCs w:val="24"/>
        </w:rPr>
        <w:instrText xml:space="preserve"> TOC \o "1-3" \h \z \u </w:instrText>
      </w:r>
      <w:r w:rsidRPr="00AA1421">
        <w:rPr>
          <w:rFonts w:ascii="Times New Roman" w:hAnsi="Times New Roman"/>
          <w:sz w:val="24"/>
          <w:szCs w:val="24"/>
        </w:rPr>
        <w:fldChar w:fldCharType="separate"/>
      </w:r>
      <w:hyperlink w:anchor="_Toc58403589" w:history="1">
        <w:r w:rsidR="00D723DD" w:rsidRPr="00AA1421">
          <w:rPr>
            <w:rStyle w:val="Hyperlink"/>
            <w:rFonts w:ascii="Times New Roman" w:hAnsi="Times New Roman"/>
          </w:rPr>
          <w:t>CZĘŚĆ I: INSTRUKCJE OGÓLNE</w:t>
        </w:r>
        <w:r w:rsidR="00D723DD" w:rsidRPr="00AA1421">
          <w:rPr>
            <w:webHidden/>
          </w:rPr>
          <w:tab/>
        </w:r>
        <w:r w:rsidR="00D723DD" w:rsidRPr="00AA1421">
          <w:rPr>
            <w:webHidden/>
          </w:rPr>
          <w:fldChar w:fldCharType="begin"/>
        </w:r>
        <w:r w:rsidR="00D723DD" w:rsidRPr="00AA1421">
          <w:rPr>
            <w:webHidden/>
          </w:rPr>
          <w:instrText xml:space="preserve"> PAGEREF _Toc58403589 \h </w:instrText>
        </w:r>
        <w:r w:rsidR="00D723DD" w:rsidRPr="00AA1421">
          <w:rPr>
            <w:webHidden/>
          </w:rPr>
        </w:r>
        <w:r w:rsidR="00D723DD" w:rsidRPr="00AA1421">
          <w:rPr>
            <w:webHidden/>
          </w:rPr>
          <w:fldChar w:fldCharType="separate"/>
        </w:r>
        <w:r w:rsidR="00D723DD" w:rsidRPr="00AA1421">
          <w:rPr>
            <w:webHidden/>
          </w:rPr>
          <w:t>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0" w:history="1">
        <w:r w:rsidR="00D723DD" w:rsidRPr="00AA1421">
          <w:rPr>
            <w:rStyle w:val="Hyperlink"/>
            <w:rFonts w:ascii="Times New Roman" w:hAnsi="Times New Roman"/>
          </w:rPr>
          <w:t>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Struktura i konwencje</w:t>
        </w:r>
        <w:r w:rsidR="00D723DD" w:rsidRPr="00AA1421">
          <w:rPr>
            <w:webHidden/>
          </w:rPr>
          <w:tab/>
        </w:r>
        <w:r w:rsidR="00D723DD" w:rsidRPr="00AA1421">
          <w:rPr>
            <w:webHidden/>
          </w:rPr>
          <w:fldChar w:fldCharType="begin"/>
        </w:r>
        <w:r w:rsidR="00D723DD" w:rsidRPr="00AA1421">
          <w:rPr>
            <w:webHidden/>
          </w:rPr>
          <w:instrText xml:space="preserve"> PAGEREF _Toc58403590 \h </w:instrText>
        </w:r>
        <w:r w:rsidR="00D723DD" w:rsidRPr="00AA1421">
          <w:rPr>
            <w:webHidden/>
          </w:rPr>
        </w:r>
        <w:r w:rsidR="00D723DD" w:rsidRPr="00AA1421">
          <w:rPr>
            <w:webHidden/>
          </w:rPr>
          <w:fldChar w:fldCharType="separate"/>
        </w:r>
        <w:r w:rsidR="00D723DD" w:rsidRPr="00AA1421">
          <w:rPr>
            <w:webHidden/>
          </w:rPr>
          <w:t>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1" w:history="1">
        <w:r w:rsidR="00D723DD" w:rsidRPr="00AA1421">
          <w:rPr>
            <w:rStyle w:val="Hyperlink"/>
            <w:rFonts w:ascii="Times New Roman" w:hAnsi="Times New Roman"/>
          </w:rPr>
          <w:t>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Struktura</w:t>
        </w:r>
        <w:r w:rsidR="00D723DD" w:rsidRPr="00AA1421">
          <w:rPr>
            <w:webHidden/>
          </w:rPr>
          <w:tab/>
        </w:r>
        <w:r w:rsidR="00D723DD" w:rsidRPr="00AA1421">
          <w:rPr>
            <w:webHidden/>
          </w:rPr>
          <w:fldChar w:fldCharType="begin"/>
        </w:r>
        <w:r w:rsidR="00D723DD" w:rsidRPr="00AA1421">
          <w:rPr>
            <w:webHidden/>
          </w:rPr>
          <w:instrText xml:space="preserve"> PAGEREF _Toc58403591 \h </w:instrText>
        </w:r>
        <w:r w:rsidR="00D723DD" w:rsidRPr="00AA1421">
          <w:rPr>
            <w:webHidden/>
          </w:rPr>
        </w:r>
        <w:r w:rsidR="00D723DD" w:rsidRPr="00AA1421">
          <w:rPr>
            <w:webHidden/>
          </w:rPr>
          <w:fldChar w:fldCharType="separate"/>
        </w:r>
        <w:r w:rsidR="00D723DD" w:rsidRPr="00AA1421">
          <w:rPr>
            <w:webHidden/>
          </w:rPr>
          <w:t>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2" w:history="1">
        <w:r w:rsidR="00D723DD" w:rsidRPr="00AA1421">
          <w:rPr>
            <w:rStyle w:val="Hyperlink"/>
            <w:rFonts w:ascii="Times New Roman" w:hAnsi="Times New Roman"/>
          </w:rPr>
          <w:t>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Konwencja numerowania</w:t>
        </w:r>
        <w:r w:rsidR="00D723DD" w:rsidRPr="00AA1421">
          <w:rPr>
            <w:webHidden/>
          </w:rPr>
          <w:tab/>
        </w:r>
        <w:r w:rsidR="00D723DD" w:rsidRPr="00AA1421">
          <w:rPr>
            <w:webHidden/>
          </w:rPr>
          <w:fldChar w:fldCharType="begin"/>
        </w:r>
        <w:r w:rsidR="00D723DD" w:rsidRPr="00AA1421">
          <w:rPr>
            <w:webHidden/>
          </w:rPr>
          <w:instrText xml:space="preserve"> PAGEREF _Toc58403592 \h </w:instrText>
        </w:r>
        <w:r w:rsidR="00D723DD" w:rsidRPr="00AA1421">
          <w:rPr>
            <w:webHidden/>
          </w:rPr>
        </w:r>
        <w:r w:rsidR="00D723DD" w:rsidRPr="00AA1421">
          <w:rPr>
            <w:webHidden/>
          </w:rPr>
          <w:fldChar w:fldCharType="separate"/>
        </w:r>
        <w:r w:rsidR="00D723DD" w:rsidRPr="00AA1421">
          <w:rPr>
            <w:webHidden/>
          </w:rPr>
          <w:t>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3" w:history="1">
        <w:r w:rsidR="00D723DD" w:rsidRPr="00AA1421">
          <w:rPr>
            <w:rStyle w:val="Hyperlink"/>
            <w:rFonts w:ascii="Times New Roman" w:hAnsi="Times New Roman"/>
          </w:rPr>
          <w:t>1.3.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Konwencja znaku</w:t>
        </w:r>
        <w:r w:rsidR="00D723DD" w:rsidRPr="00AA1421">
          <w:rPr>
            <w:webHidden/>
          </w:rPr>
          <w:tab/>
        </w:r>
        <w:r w:rsidR="00D723DD" w:rsidRPr="00AA1421">
          <w:rPr>
            <w:webHidden/>
          </w:rPr>
          <w:fldChar w:fldCharType="begin"/>
        </w:r>
        <w:r w:rsidR="00D723DD" w:rsidRPr="00AA1421">
          <w:rPr>
            <w:webHidden/>
          </w:rPr>
          <w:instrText xml:space="preserve"> PAGEREF _Toc58403593 \h </w:instrText>
        </w:r>
        <w:r w:rsidR="00D723DD" w:rsidRPr="00AA1421">
          <w:rPr>
            <w:webHidden/>
          </w:rPr>
        </w:r>
        <w:r w:rsidR="00D723DD" w:rsidRPr="00AA1421">
          <w:rPr>
            <w:webHidden/>
          </w:rPr>
          <w:fldChar w:fldCharType="separate"/>
        </w:r>
        <w:r w:rsidR="00D723DD" w:rsidRPr="00AA1421">
          <w:rPr>
            <w:webHidden/>
          </w:rPr>
          <w:t>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4" w:history="1">
        <w:r w:rsidR="00D723DD" w:rsidRPr="00AA1421">
          <w:rPr>
            <w:rStyle w:val="Hyperlink"/>
            <w:rFonts w:ascii="Times New Roman" w:hAnsi="Times New Roman"/>
          </w:rPr>
          <w:t>1.4.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Skróty</w:t>
        </w:r>
        <w:r w:rsidR="00D723DD" w:rsidRPr="00AA1421">
          <w:rPr>
            <w:webHidden/>
          </w:rPr>
          <w:tab/>
        </w:r>
        <w:r w:rsidR="00D723DD" w:rsidRPr="00AA1421">
          <w:rPr>
            <w:webHidden/>
          </w:rPr>
          <w:fldChar w:fldCharType="begin"/>
        </w:r>
        <w:r w:rsidR="00D723DD" w:rsidRPr="00AA1421">
          <w:rPr>
            <w:webHidden/>
          </w:rPr>
          <w:instrText xml:space="preserve"> PAGEREF _Toc58403594 \h </w:instrText>
        </w:r>
        <w:r w:rsidR="00D723DD" w:rsidRPr="00AA1421">
          <w:rPr>
            <w:webHidden/>
          </w:rPr>
        </w:r>
        <w:r w:rsidR="00D723DD" w:rsidRPr="00AA1421">
          <w:rPr>
            <w:webHidden/>
          </w:rPr>
          <w:fldChar w:fldCharType="separate"/>
        </w:r>
        <w:r w:rsidR="00D723DD" w:rsidRPr="00AA1421">
          <w:rPr>
            <w:webHidden/>
          </w:rPr>
          <w:t>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5" w:history="1">
        <w:r w:rsidR="00D723DD" w:rsidRPr="00AA1421">
          <w:rPr>
            <w:rStyle w:val="Hyperlink"/>
            <w:rFonts w:ascii="Times New Roman" w:hAnsi="Times New Roman"/>
          </w:rPr>
          <w:t>CZĘŚĆ II INSTRUKCJE DOTYCZĄCE WZORÓW</w:t>
        </w:r>
        <w:r w:rsidR="00D723DD" w:rsidRPr="00AA1421">
          <w:rPr>
            <w:webHidden/>
          </w:rPr>
          <w:tab/>
        </w:r>
        <w:r w:rsidR="00D723DD" w:rsidRPr="00AA1421">
          <w:rPr>
            <w:webHidden/>
          </w:rPr>
          <w:fldChar w:fldCharType="begin"/>
        </w:r>
        <w:r w:rsidR="00D723DD" w:rsidRPr="00AA1421">
          <w:rPr>
            <w:webHidden/>
          </w:rPr>
          <w:instrText xml:space="preserve"> PAGEREF _Toc58403595 \h </w:instrText>
        </w:r>
        <w:r w:rsidR="00D723DD" w:rsidRPr="00AA1421">
          <w:rPr>
            <w:webHidden/>
          </w:rPr>
        </w:r>
        <w:r w:rsidR="00D723DD" w:rsidRPr="00AA1421">
          <w:rPr>
            <w:webHidden/>
          </w:rPr>
          <w:fldChar w:fldCharType="separate"/>
        </w:r>
        <w:r w:rsidR="00D723DD" w:rsidRPr="00AA1421">
          <w:rPr>
            <w:webHidden/>
          </w:rPr>
          <w:t>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6" w:history="1">
        <w:r w:rsidR="00D723DD" w:rsidRPr="00AA1421">
          <w:rPr>
            <w:rStyle w:val="Hyperlink"/>
            <w:rFonts w:ascii="Times New Roman" w:hAnsi="Times New Roman"/>
          </w:rPr>
          <w:t>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Przegląd adekwatności kapitałowej („CA”)</w:t>
        </w:r>
        <w:r w:rsidR="00D723DD" w:rsidRPr="00AA1421">
          <w:rPr>
            <w:webHidden/>
          </w:rPr>
          <w:tab/>
        </w:r>
        <w:r w:rsidR="00D723DD" w:rsidRPr="00AA1421">
          <w:rPr>
            <w:webHidden/>
          </w:rPr>
          <w:fldChar w:fldCharType="begin"/>
        </w:r>
        <w:r w:rsidR="00D723DD" w:rsidRPr="00AA1421">
          <w:rPr>
            <w:webHidden/>
          </w:rPr>
          <w:instrText xml:space="preserve"> PAGEREF _Toc58403596 \h </w:instrText>
        </w:r>
        <w:r w:rsidR="00D723DD" w:rsidRPr="00AA1421">
          <w:rPr>
            <w:webHidden/>
          </w:rPr>
        </w:r>
        <w:r w:rsidR="00D723DD" w:rsidRPr="00AA1421">
          <w:rPr>
            <w:webHidden/>
          </w:rPr>
          <w:fldChar w:fldCharType="separate"/>
        </w:r>
        <w:r w:rsidR="00D723DD" w:rsidRPr="00AA1421">
          <w:rPr>
            <w:webHidden/>
          </w:rPr>
          <w:t>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7" w:history="1">
        <w:r w:rsidR="00D723DD" w:rsidRPr="00AA1421">
          <w:rPr>
            <w:rStyle w:val="Hyperlink"/>
            <w:rFonts w:ascii="Times New Roman" w:hAnsi="Times New Roman"/>
          </w:rPr>
          <w:t>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_Toc58403597 \h </w:instrText>
        </w:r>
        <w:r w:rsidR="00D723DD" w:rsidRPr="00AA1421">
          <w:rPr>
            <w:webHidden/>
          </w:rPr>
        </w:r>
        <w:r w:rsidR="00D723DD" w:rsidRPr="00AA1421">
          <w:rPr>
            <w:webHidden/>
          </w:rPr>
          <w:fldChar w:fldCharType="separate"/>
        </w:r>
        <w:r w:rsidR="00D723DD" w:rsidRPr="00AA1421">
          <w:rPr>
            <w:webHidden/>
          </w:rPr>
          <w:t>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8" w:history="1">
        <w:r w:rsidR="00D723DD" w:rsidRPr="00AA1421">
          <w:rPr>
            <w:rStyle w:val="Hyperlink"/>
            <w:rFonts w:ascii="Times New Roman" w:hAnsi="Times New Roman"/>
          </w:rPr>
          <w:t>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01.00 – FUNDUSZE WŁASNE (CA1)</w:t>
        </w:r>
        <w:r w:rsidR="00D723DD" w:rsidRPr="00AA1421">
          <w:rPr>
            <w:webHidden/>
          </w:rPr>
          <w:tab/>
        </w:r>
        <w:r w:rsidR="00D723DD" w:rsidRPr="00AA1421">
          <w:rPr>
            <w:webHidden/>
          </w:rPr>
          <w:fldChar w:fldCharType="begin"/>
        </w:r>
        <w:r w:rsidR="00D723DD" w:rsidRPr="00AA1421">
          <w:rPr>
            <w:webHidden/>
          </w:rPr>
          <w:instrText xml:space="preserve"> PAGEREF _Toc58403598 \h </w:instrText>
        </w:r>
        <w:r w:rsidR="00D723DD" w:rsidRPr="00AA1421">
          <w:rPr>
            <w:webHidden/>
          </w:rPr>
        </w:r>
        <w:r w:rsidR="00D723DD" w:rsidRPr="00AA1421">
          <w:rPr>
            <w:webHidden/>
          </w:rPr>
          <w:fldChar w:fldCharType="separate"/>
        </w:r>
        <w:r w:rsidR="00D723DD" w:rsidRPr="00AA1421">
          <w:rPr>
            <w:webHidden/>
          </w:rPr>
          <w:t>10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599" w:history="1">
        <w:r w:rsidR="00D723DD" w:rsidRPr="00AA1421">
          <w:rPr>
            <w:rStyle w:val="Hyperlink"/>
            <w:rFonts w:ascii="Times New Roman" w:hAnsi="Times New Roman"/>
          </w:rPr>
          <w:t>1.2.1.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_Toc58403599 \h </w:instrText>
        </w:r>
        <w:r w:rsidR="00D723DD" w:rsidRPr="00AA1421">
          <w:rPr>
            <w:webHidden/>
          </w:rPr>
        </w:r>
        <w:r w:rsidR="00D723DD" w:rsidRPr="00AA1421">
          <w:rPr>
            <w:webHidden/>
          </w:rPr>
          <w:fldChar w:fldCharType="separate"/>
        </w:r>
        <w:r w:rsidR="00D723DD" w:rsidRPr="00AA1421">
          <w:rPr>
            <w:webHidden/>
          </w:rPr>
          <w:t>10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0" w:history="1">
        <w:r w:rsidR="00D723DD" w:rsidRPr="00AA1421">
          <w:rPr>
            <w:rStyle w:val="Hyperlink"/>
            <w:rFonts w:ascii="Times New Roman" w:hAnsi="Times New Roman"/>
          </w:rPr>
          <w:t>1.3.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02.00 – WYMOGI W ZAKRESIE FUNDUSZY WŁASNYCH (CA2)</w:t>
        </w:r>
        <w:r w:rsidR="00D723DD" w:rsidRPr="00AA1421">
          <w:rPr>
            <w:webHidden/>
          </w:rPr>
          <w:tab/>
        </w:r>
        <w:r w:rsidR="00D723DD" w:rsidRPr="00AA1421">
          <w:rPr>
            <w:webHidden/>
          </w:rPr>
          <w:fldChar w:fldCharType="begin"/>
        </w:r>
        <w:r w:rsidR="00D723DD" w:rsidRPr="00AA1421">
          <w:rPr>
            <w:webHidden/>
          </w:rPr>
          <w:instrText xml:space="preserve"> PAGEREF _Toc58403600 \h </w:instrText>
        </w:r>
        <w:r w:rsidR="00D723DD" w:rsidRPr="00AA1421">
          <w:rPr>
            <w:webHidden/>
          </w:rPr>
        </w:r>
        <w:r w:rsidR="00D723DD" w:rsidRPr="00AA1421">
          <w:rPr>
            <w:webHidden/>
          </w:rPr>
          <w:fldChar w:fldCharType="separate"/>
        </w:r>
        <w:r w:rsidR="00D723DD" w:rsidRPr="00AA1421">
          <w:rPr>
            <w:webHidden/>
          </w:rPr>
          <w:t>28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1" w:history="1">
        <w:r w:rsidR="00D723DD" w:rsidRPr="00AA1421">
          <w:rPr>
            <w:rStyle w:val="Hyperlink"/>
            <w:rFonts w:ascii="Times New Roman" w:hAnsi="Times New Roman"/>
          </w:rPr>
          <w:t>1.3.1.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_Toc58403601 \h </w:instrText>
        </w:r>
        <w:r w:rsidR="00D723DD" w:rsidRPr="00AA1421">
          <w:rPr>
            <w:webHidden/>
          </w:rPr>
        </w:r>
        <w:r w:rsidR="00D723DD" w:rsidRPr="00AA1421">
          <w:rPr>
            <w:webHidden/>
          </w:rPr>
          <w:fldChar w:fldCharType="separate"/>
        </w:r>
        <w:r w:rsidR="00D723DD" w:rsidRPr="00AA1421">
          <w:rPr>
            <w:webHidden/>
          </w:rPr>
          <w:t>28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2" w:history="1">
        <w:r w:rsidR="00D723DD" w:rsidRPr="00AA1421">
          <w:rPr>
            <w:rStyle w:val="Hyperlink"/>
            <w:rFonts w:ascii="Times New Roman" w:hAnsi="Times New Roman"/>
          </w:rPr>
          <w:t>1.4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03.00 – WSPÓŁCZYNNIKI KAPITAŁOWE ORAZ POZIOMY KAPITAŁU (CA3)</w:t>
        </w:r>
        <w:r w:rsidR="00D723DD" w:rsidRPr="00AA1421">
          <w:rPr>
            <w:webHidden/>
          </w:rPr>
          <w:tab/>
        </w:r>
        <w:r w:rsidR="00D723DD" w:rsidRPr="00AA1421">
          <w:rPr>
            <w:webHidden/>
          </w:rPr>
          <w:fldChar w:fldCharType="begin"/>
        </w:r>
        <w:r w:rsidR="00D723DD" w:rsidRPr="00AA1421">
          <w:rPr>
            <w:webHidden/>
          </w:rPr>
          <w:instrText xml:space="preserve"> PAGEREF _Toc58403602 \h </w:instrText>
        </w:r>
        <w:r w:rsidR="00D723DD" w:rsidRPr="00AA1421">
          <w:rPr>
            <w:webHidden/>
          </w:rPr>
        </w:r>
        <w:r w:rsidR="00D723DD" w:rsidRPr="00AA1421">
          <w:rPr>
            <w:webHidden/>
          </w:rPr>
          <w:fldChar w:fldCharType="separate"/>
        </w:r>
        <w:r w:rsidR="00D723DD" w:rsidRPr="00AA1421">
          <w:rPr>
            <w:webHidden/>
          </w:rPr>
          <w:t>35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3" w:history="1">
        <w:r w:rsidR="00D723DD" w:rsidRPr="00AA1421">
          <w:rPr>
            <w:rStyle w:val="Hyperlink"/>
            <w:rFonts w:ascii="Times New Roman" w:hAnsi="Times New Roman"/>
          </w:rPr>
          <w:t>1.4.1.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_Toc58403603 \h </w:instrText>
        </w:r>
        <w:r w:rsidR="00D723DD" w:rsidRPr="00AA1421">
          <w:rPr>
            <w:webHidden/>
          </w:rPr>
        </w:r>
        <w:r w:rsidR="00D723DD" w:rsidRPr="00AA1421">
          <w:rPr>
            <w:webHidden/>
          </w:rPr>
          <w:fldChar w:fldCharType="separate"/>
        </w:r>
        <w:r w:rsidR="00D723DD" w:rsidRPr="00AA1421">
          <w:rPr>
            <w:webHidden/>
          </w:rPr>
          <w:t>35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4" w:history="1">
        <w:r w:rsidR="00D723DD" w:rsidRPr="00AA1421">
          <w:rPr>
            <w:rStyle w:val="Hyperlink"/>
            <w:rFonts w:ascii="Times New Roman" w:hAnsi="Times New Roman"/>
          </w:rPr>
          <w:t>1.5.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04.00 – POZYCJE UZUPEŁNIAJĄCE (CA4)</w:t>
        </w:r>
        <w:r w:rsidR="00D723DD" w:rsidRPr="00AA1421">
          <w:rPr>
            <w:webHidden/>
          </w:rPr>
          <w:tab/>
        </w:r>
        <w:r w:rsidR="00D723DD" w:rsidRPr="00AA1421">
          <w:rPr>
            <w:webHidden/>
          </w:rPr>
          <w:fldChar w:fldCharType="begin"/>
        </w:r>
        <w:r w:rsidR="00D723DD" w:rsidRPr="00AA1421">
          <w:rPr>
            <w:webHidden/>
          </w:rPr>
          <w:instrText xml:space="preserve"> PAGEREF _Toc58403604 \h </w:instrText>
        </w:r>
        <w:r w:rsidR="00D723DD" w:rsidRPr="00AA1421">
          <w:rPr>
            <w:webHidden/>
          </w:rPr>
        </w:r>
        <w:r w:rsidR="00D723DD" w:rsidRPr="00AA1421">
          <w:rPr>
            <w:webHidden/>
          </w:rPr>
          <w:fldChar w:fldCharType="separate"/>
        </w:r>
        <w:r w:rsidR="00D723DD" w:rsidRPr="00AA1421">
          <w:rPr>
            <w:webHidden/>
          </w:rPr>
          <w:t>39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5" w:history="1">
        <w:r w:rsidR="00D723DD" w:rsidRPr="00AA1421">
          <w:rPr>
            <w:rStyle w:val="Hyperlink"/>
            <w:rFonts w:ascii="Times New Roman" w:hAnsi="Times New Roman"/>
          </w:rPr>
          <w:t>1.5.1.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_Toc58403605 \h </w:instrText>
        </w:r>
        <w:r w:rsidR="00D723DD" w:rsidRPr="00AA1421">
          <w:rPr>
            <w:webHidden/>
          </w:rPr>
        </w:r>
        <w:r w:rsidR="00D723DD" w:rsidRPr="00AA1421">
          <w:rPr>
            <w:webHidden/>
          </w:rPr>
          <w:fldChar w:fldCharType="separate"/>
        </w:r>
        <w:r w:rsidR="00D723DD" w:rsidRPr="00AA1421">
          <w:rPr>
            <w:webHidden/>
          </w:rPr>
          <w:t>39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6" w:history="1">
        <w:r w:rsidR="00D723DD" w:rsidRPr="00AA1421">
          <w:rPr>
            <w:rStyle w:val="Hyperlink"/>
            <w:rFonts w:ascii="Times New Roman" w:hAnsi="Times New Roman"/>
          </w:rPr>
          <w:t>1.6</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PRZEPISY PRZEJŚCIOWE oraz INSTRUMENTY PODLEGAJĄCE ZASADZIE PRAW NABYTYCH: INSTRUMENTY NIESTANOWIĄCE POMOCY PAŃSTWA (CA5)</w:t>
        </w:r>
        <w:r w:rsidR="00D723DD" w:rsidRPr="00AA1421">
          <w:rPr>
            <w:webHidden/>
          </w:rPr>
          <w:tab/>
        </w:r>
        <w:r w:rsidR="00D723DD" w:rsidRPr="00AA1421">
          <w:rPr>
            <w:webHidden/>
          </w:rPr>
          <w:fldChar w:fldCharType="begin"/>
        </w:r>
        <w:r w:rsidR="00D723DD" w:rsidRPr="00AA1421">
          <w:rPr>
            <w:webHidden/>
          </w:rPr>
          <w:instrText xml:space="preserve"> PAGEREF _Toc58403606 \h </w:instrText>
        </w:r>
        <w:r w:rsidR="00D723DD" w:rsidRPr="00AA1421">
          <w:rPr>
            <w:webHidden/>
          </w:rPr>
        </w:r>
        <w:r w:rsidR="00D723DD" w:rsidRPr="00AA1421">
          <w:rPr>
            <w:webHidden/>
          </w:rPr>
          <w:fldChar w:fldCharType="separate"/>
        </w:r>
        <w:r w:rsidR="00D723DD" w:rsidRPr="00AA1421">
          <w:rPr>
            <w:webHidden/>
          </w:rPr>
          <w:t>58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7" w:history="1">
        <w:r w:rsidR="00D723DD" w:rsidRPr="00AA1421">
          <w:rPr>
            <w:rStyle w:val="Hyperlink"/>
            <w:rFonts w:ascii="Times New Roman" w:hAnsi="Times New Roman"/>
          </w:rPr>
          <w:t>1.6.1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_Toc58403607 \h </w:instrText>
        </w:r>
        <w:r w:rsidR="00D723DD" w:rsidRPr="00AA1421">
          <w:rPr>
            <w:webHidden/>
          </w:rPr>
        </w:r>
        <w:r w:rsidR="00D723DD" w:rsidRPr="00AA1421">
          <w:rPr>
            <w:webHidden/>
          </w:rPr>
          <w:fldChar w:fldCharType="separate"/>
        </w:r>
        <w:r w:rsidR="00D723DD" w:rsidRPr="00AA1421">
          <w:rPr>
            <w:webHidden/>
          </w:rPr>
          <w:t>58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8" w:history="1">
        <w:r w:rsidR="00D723DD" w:rsidRPr="00AA1421">
          <w:rPr>
            <w:rStyle w:val="Hyperlink"/>
            <w:rFonts w:ascii="Times New Roman" w:hAnsi="Times New Roman"/>
          </w:rPr>
          <w:t>1.6.2.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05.01 – PRZEPISY PRZEJŚCIOWE (CA5.1)</w:t>
        </w:r>
        <w:r w:rsidR="00D723DD" w:rsidRPr="00AA1421">
          <w:rPr>
            <w:webHidden/>
          </w:rPr>
          <w:tab/>
        </w:r>
        <w:r w:rsidR="00D723DD" w:rsidRPr="00AA1421">
          <w:rPr>
            <w:webHidden/>
          </w:rPr>
          <w:fldChar w:fldCharType="begin"/>
        </w:r>
        <w:r w:rsidR="00D723DD" w:rsidRPr="00AA1421">
          <w:rPr>
            <w:webHidden/>
          </w:rPr>
          <w:instrText xml:space="preserve"> PAGEREF _Toc58403608 \h </w:instrText>
        </w:r>
        <w:r w:rsidR="00D723DD" w:rsidRPr="00AA1421">
          <w:rPr>
            <w:webHidden/>
          </w:rPr>
        </w:r>
        <w:r w:rsidR="00D723DD" w:rsidRPr="00AA1421">
          <w:rPr>
            <w:webHidden/>
          </w:rPr>
          <w:fldChar w:fldCharType="separate"/>
        </w:r>
        <w:r w:rsidR="00D723DD" w:rsidRPr="00AA1421">
          <w:rPr>
            <w:webHidden/>
          </w:rPr>
          <w:t>59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09" w:history="1">
        <w:r w:rsidR="00D723DD" w:rsidRPr="00AA1421">
          <w:rPr>
            <w:rStyle w:val="Hyperlink"/>
            <w:rFonts w:ascii="Times New Roman" w:hAnsi="Times New Roman"/>
          </w:rPr>
          <w:t>1.6.2.1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_Toc58403609 \h </w:instrText>
        </w:r>
        <w:r w:rsidR="00D723DD" w:rsidRPr="00AA1421">
          <w:rPr>
            <w:webHidden/>
          </w:rPr>
        </w:r>
        <w:r w:rsidR="00D723DD" w:rsidRPr="00AA1421">
          <w:rPr>
            <w:webHidden/>
          </w:rPr>
          <w:fldChar w:fldCharType="separate"/>
        </w:r>
        <w:r w:rsidR="00D723DD" w:rsidRPr="00AA1421">
          <w:rPr>
            <w:webHidden/>
          </w:rPr>
          <w:t>59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0" w:history="1">
        <w:r w:rsidR="00D723DD" w:rsidRPr="00AA1421">
          <w:rPr>
            <w:rStyle w:val="Hyperlink"/>
            <w:rFonts w:ascii="Times New Roman" w:hAnsi="Times New Roman"/>
          </w:rPr>
          <w:t>1.6.3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05.02 – INSTRUMENTY PODLEGAJĄCE ZASADZIE PRAW NABYTYCH: INSTRUMENTY NIESTANOWIĄCE POMOCY PAŃSTWA (CA5.2)</w:t>
        </w:r>
        <w:r w:rsidR="00D723DD" w:rsidRPr="00AA1421">
          <w:rPr>
            <w:webHidden/>
          </w:rPr>
          <w:tab/>
        </w:r>
        <w:r w:rsidR="00D723DD" w:rsidRPr="00AA1421">
          <w:rPr>
            <w:webHidden/>
          </w:rPr>
          <w:fldChar w:fldCharType="begin"/>
        </w:r>
        <w:r w:rsidR="00D723DD" w:rsidRPr="00AA1421">
          <w:rPr>
            <w:webHidden/>
          </w:rPr>
          <w:instrText xml:space="preserve"> PAGEREF _Toc58403610 \h </w:instrText>
        </w:r>
        <w:r w:rsidR="00D723DD" w:rsidRPr="00AA1421">
          <w:rPr>
            <w:webHidden/>
          </w:rPr>
        </w:r>
        <w:r w:rsidR="00D723DD" w:rsidRPr="00AA1421">
          <w:rPr>
            <w:webHidden/>
          </w:rPr>
          <w:fldChar w:fldCharType="separate"/>
        </w:r>
        <w:r w:rsidR="00D723DD" w:rsidRPr="00AA1421">
          <w:rPr>
            <w:webHidden/>
          </w:rPr>
          <w:t>64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1" w:history="1">
        <w:r w:rsidR="00D723DD" w:rsidRPr="00AA1421">
          <w:rPr>
            <w:rStyle w:val="Hyperlink"/>
            <w:rFonts w:ascii="Times New Roman" w:hAnsi="Times New Roman"/>
          </w:rPr>
          <w:t>1.6.3.1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_Toc58403611 \h </w:instrText>
        </w:r>
        <w:r w:rsidR="00D723DD" w:rsidRPr="00AA1421">
          <w:rPr>
            <w:webHidden/>
          </w:rPr>
        </w:r>
        <w:r w:rsidR="00D723DD" w:rsidRPr="00AA1421">
          <w:rPr>
            <w:webHidden/>
          </w:rPr>
          <w:fldChar w:fldCharType="separate"/>
        </w:r>
        <w:r w:rsidR="00D723DD" w:rsidRPr="00AA1421">
          <w:rPr>
            <w:webHidden/>
          </w:rPr>
          <w:t>64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2" w:history="1">
        <w:r w:rsidR="00D723DD" w:rsidRPr="00AA1421">
          <w:rPr>
            <w:rStyle w:val="Hyperlink"/>
            <w:rFonts w:ascii="Times New Roman" w:hAnsi="Times New Roman"/>
          </w:rPr>
          <w:t>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WYPŁACALNOŚĆ GRUPY: INFORMACJE NA TEMAT PODMIOTÓW POWIĄZANYCH (GS)</w:t>
        </w:r>
        <w:r w:rsidR="00D723DD" w:rsidRPr="00AA1421">
          <w:rPr>
            <w:webHidden/>
          </w:rPr>
          <w:tab/>
        </w:r>
        <w:r w:rsidR="00D723DD" w:rsidRPr="00AA1421">
          <w:rPr>
            <w:webHidden/>
          </w:rPr>
          <w:fldChar w:fldCharType="begin"/>
        </w:r>
        <w:r w:rsidR="00D723DD" w:rsidRPr="00AA1421">
          <w:rPr>
            <w:webHidden/>
          </w:rPr>
          <w:instrText xml:space="preserve"> PAGEREF _Toc58403612 \h </w:instrText>
        </w:r>
        <w:r w:rsidR="00D723DD" w:rsidRPr="00AA1421">
          <w:rPr>
            <w:webHidden/>
          </w:rPr>
        </w:r>
        <w:r w:rsidR="00D723DD" w:rsidRPr="00AA1421">
          <w:rPr>
            <w:webHidden/>
          </w:rPr>
          <w:fldChar w:fldCharType="separate"/>
        </w:r>
        <w:r w:rsidR="00D723DD" w:rsidRPr="00AA1421">
          <w:rPr>
            <w:webHidden/>
          </w:rPr>
          <w:t>68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3" w:history="1">
        <w:r w:rsidR="00D723DD" w:rsidRPr="00AA1421">
          <w:rPr>
            <w:rStyle w:val="Hyperlink"/>
            <w:rFonts w:ascii="Times New Roman" w:hAnsi="Times New Roman"/>
          </w:rPr>
          <w:t>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_Toc58403613 \h </w:instrText>
        </w:r>
        <w:r w:rsidR="00D723DD" w:rsidRPr="00AA1421">
          <w:rPr>
            <w:webHidden/>
          </w:rPr>
        </w:r>
        <w:r w:rsidR="00D723DD" w:rsidRPr="00AA1421">
          <w:rPr>
            <w:webHidden/>
          </w:rPr>
          <w:fldChar w:fldCharType="separate"/>
        </w:r>
        <w:r w:rsidR="00D723DD" w:rsidRPr="00AA1421">
          <w:rPr>
            <w:webHidden/>
          </w:rPr>
          <w:t>68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4" w:history="1">
        <w:r w:rsidR="00D723DD" w:rsidRPr="00AA1421">
          <w:rPr>
            <w:rStyle w:val="Hyperlink"/>
            <w:rFonts w:ascii="Times New Roman" w:hAnsi="Times New Roman"/>
          </w:rPr>
          <w:t>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Szczegółowe informacje na temat wypłacalności grupy</w:t>
        </w:r>
        <w:r w:rsidR="00D723DD" w:rsidRPr="00AA1421">
          <w:rPr>
            <w:webHidden/>
          </w:rPr>
          <w:tab/>
        </w:r>
        <w:r w:rsidR="00D723DD" w:rsidRPr="00AA1421">
          <w:rPr>
            <w:webHidden/>
          </w:rPr>
          <w:fldChar w:fldCharType="begin"/>
        </w:r>
        <w:r w:rsidR="00D723DD" w:rsidRPr="00AA1421">
          <w:rPr>
            <w:webHidden/>
          </w:rPr>
          <w:instrText xml:space="preserve"> PAGEREF _Toc58403614 \h </w:instrText>
        </w:r>
        <w:r w:rsidR="00D723DD" w:rsidRPr="00AA1421">
          <w:rPr>
            <w:webHidden/>
          </w:rPr>
        </w:r>
        <w:r w:rsidR="00D723DD" w:rsidRPr="00AA1421">
          <w:rPr>
            <w:webHidden/>
          </w:rPr>
          <w:fldChar w:fldCharType="separate"/>
        </w:r>
        <w:r w:rsidR="00D723DD" w:rsidRPr="00AA1421">
          <w:rPr>
            <w:webHidden/>
          </w:rPr>
          <w:t>68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5" w:history="1">
        <w:r w:rsidR="00D723DD" w:rsidRPr="00AA1421">
          <w:rPr>
            <w:rStyle w:val="Hyperlink"/>
            <w:rFonts w:ascii="Times New Roman" w:hAnsi="Times New Roman"/>
          </w:rPr>
          <w:t>2.3.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Informacje na temat wkładu poszczególnych podmiotów na rzecz wypłacalności grupy</w:t>
        </w:r>
        <w:r w:rsidR="00D723DD" w:rsidRPr="00AA1421">
          <w:rPr>
            <w:webHidden/>
          </w:rPr>
          <w:tab/>
        </w:r>
        <w:r w:rsidR="00D723DD" w:rsidRPr="00AA1421">
          <w:rPr>
            <w:webHidden/>
          </w:rPr>
          <w:fldChar w:fldCharType="begin"/>
        </w:r>
        <w:r w:rsidR="00D723DD" w:rsidRPr="00AA1421">
          <w:rPr>
            <w:webHidden/>
          </w:rPr>
          <w:instrText xml:space="preserve"> PAGEREF _Toc58403615 \h </w:instrText>
        </w:r>
        <w:r w:rsidR="00D723DD" w:rsidRPr="00AA1421">
          <w:rPr>
            <w:webHidden/>
          </w:rPr>
        </w:r>
        <w:r w:rsidR="00D723DD" w:rsidRPr="00AA1421">
          <w:rPr>
            <w:webHidden/>
          </w:rPr>
          <w:fldChar w:fldCharType="separate"/>
        </w:r>
        <w:r w:rsidR="00D723DD" w:rsidRPr="00AA1421">
          <w:rPr>
            <w:webHidden/>
          </w:rPr>
          <w:t>68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6" w:history="1">
        <w:r w:rsidR="00D723DD" w:rsidRPr="00AA1421">
          <w:rPr>
            <w:rStyle w:val="Hyperlink"/>
            <w:rFonts w:ascii="Times New Roman" w:hAnsi="Times New Roman"/>
          </w:rPr>
          <w:t>2.4.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06.01 – WYPŁACALNOŚĆ GRUPY: INFORMACJE NA TEMAT PODMIOTÓW POWIĄZANYCH – Razem (GS razem)</w:t>
        </w:r>
        <w:r w:rsidR="00D723DD" w:rsidRPr="00AA1421">
          <w:rPr>
            <w:webHidden/>
          </w:rPr>
          <w:tab/>
        </w:r>
        <w:r w:rsidR="00D723DD" w:rsidRPr="00AA1421">
          <w:rPr>
            <w:webHidden/>
          </w:rPr>
          <w:fldChar w:fldCharType="begin"/>
        </w:r>
        <w:r w:rsidR="00D723DD" w:rsidRPr="00AA1421">
          <w:rPr>
            <w:webHidden/>
          </w:rPr>
          <w:instrText xml:space="preserve"> PAGEREF _Toc58403616 \h </w:instrText>
        </w:r>
        <w:r w:rsidR="00D723DD" w:rsidRPr="00AA1421">
          <w:rPr>
            <w:webHidden/>
          </w:rPr>
        </w:r>
        <w:r w:rsidR="00D723DD" w:rsidRPr="00AA1421">
          <w:rPr>
            <w:webHidden/>
          </w:rPr>
          <w:fldChar w:fldCharType="separate"/>
        </w:r>
        <w:r w:rsidR="00D723DD" w:rsidRPr="00AA1421">
          <w:rPr>
            <w:webHidden/>
          </w:rPr>
          <w:t>69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7" w:history="1">
        <w:r w:rsidR="00D723DD" w:rsidRPr="00AA1421">
          <w:rPr>
            <w:rStyle w:val="Hyperlink"/>
            <w:rFonts w:ascii="Times New Roman" w:hAnsi="Times New Roman"/>
          </w:rPr>
          <w:t>2.5.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06.02 – WYPŁACALNOŚĆ GRUPY: INFORMACJE NA TEMAT PODMIOTÓW POWIĄZANYCH (GS)</w:t>
        </w:r>
        <w:r w:rsidR="00D723DD" w:rsidRPr="00AA1421">
          <w:rPr>
            <w:webHidden/>
          </w:rPr>
          <w:tab/>
        </w:r>
        <w:r w:rsidR="00D723DD" w:rsidRPr="00AA1421">
          <w:rPr>
            <w:webHidden/>
          </w:rPr>
          <w:fldChar w:fldCharType="begin"/>
        </w:r>
        <w:r w:rsidR="00D723DD" w:rsidRPr="00AA1421">
          <w:rPr>
            <w:webHidden/>
          </w:rPr>
          <w:instrText xml:space="preserve"> PAGEREF _Toc58403617 \h </w:instrText>
        </w:r>
        <w:r w:rsidR="00D723DD" w:rsidRPr="00AA1421">
          <w:rPr>
            <w:webHidden/>
          </w:rPr>
        </w:r>
        <w:r w:rsidR="00D723DD" w:rsidRPr="00AA1421">
          <w:rPr>
            <w:webHidden/>
          </w:rPr>
          <w:fldChar w:fldCharType="separate"/>
        </w:r>
        <w:r w:rsidR="00D723DD" w:rsidRPr="00AA1421">
          <w:rPr>
            <w:webHidden/>
          </w:rPr>
          <w:t>70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8" w:history="1">
        <w:r w:rsidR="00D723DD" w:rsidRPr="00AA1421">
          <w:rPr>
            <w:rStyle w:val="Hyperlink"/>
            <w:rFonts w:ascii="Times New Roman" w:hAnsi="Times New Roman"/>
          </w:rPr>
          <w:t>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Wzory dotyczące ryzyka kredytowego</w:t>
        </w:r>
        <w:r w:rsidR="00D723DD" w:rsidRPr="00AA1421">
          <w:rPr>
            <w:webHidden/>
          </w:rPr>
          <w:tab/>
        </w:r>
        <w:r w:rsidR="00D723DD" w:rsidRPr="00AA1421">
          <w:rPr>
            <w:webHidden/>
          </w:rPr>
          <w:fldChar w:fldCharType="begin"/>
        </w:r>
        <w:r w:rsidR="00D723DD" w:rsidRPr="00AA1421">
          <w:rPr>
            <w:webHidden/>
          </w:rPr>
          <w:instrText xml:space="preserve"> PAGEREF _Toc58403618 \h </w:instrText>
        </w:r>
        <w:r w:rsidR="00D723DD" w:rsidRPr="00AA1421">
          <w:rPr>
            <w:webHidden/>
          </w:rPr>
        </w:r>
        <w:r w:rsidR="00D723DD" w:rsidRPr="00AA1421">
          <w:rPr>
            <w:webHidden/>
          </w:rPr>
          <w:fldChar w:fldCharType="separate"/>
        </w:r>
        <w:r w:rsidR="00D723DD" w:rsidRPr="00AA1421">
          <w:rPr>
            <w:webHidden/>
          </w:rPr>
          <w:t>79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19" w:history="1">
        <w:r w:rsidR="00D723DD" w:rsidRPr="00AA1421">
          <w:rPr>
            <w:rStyle w:val="Hyperlink"/>
            <w:rFonts w:ascii="Times New Roman" w:hAnsi="Times New Roman"/>
          </w:rPr>
          <w:t>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_Toc58403619 \h </w:instrText>
        </w:r>
        <w:r w:rsidR="00D723DD" w:rsidRPr="00AA1421">
          <w:rPr>
            <w:webHidden/>
          </w:rPr>
        </w:r>
        <w:r w:rsidR="00D723DD" w:rsidRPr="00AA1421">
          <w:rPr>
            <w:webHidden/>
          </w:rPr>
          <w:fldChar w:fldCharType="separate"/>
        </w:r>
        <w:r w:rsidR="00D723DD" w:rsidRPr="00AA1421">
          <w:rPr>
            <w:webHidden/>
          </w:rPr>
          <w:t>79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0" w:history="1">
        <w:r w:rsidR="00D723DD" w:rsidRPr="00AA1421">
          <w:rPr>
            <w:rStyle w:val="Hyperlink"/>
            <w:rFonts w:ascii="Times New Roman" w:hAnsi="Times New Roman"/>
          </w:rPr>
          <w:t>3.1.1.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Sprawozdawczość w zakresie technik ograniczania ryzyka kredytowego z uwzględnieniem efektów substytucyjnych</w:t>
        </w:r>
        <w:r w:rsidR="00D723DD" w:rsidRPr="00AA1421">
          <w:rPr>
            <w:webHidden/>
          </w:rPr>
          <w:tab/>
        </w:r>
        <w:r w:rsidR="00D723DD" w:rsidRPr="00AA1421">
          <w:rPr>
            <w:webHidden/>
          </w:rPr>
          <w:fldChar w:fldCharType="begin"/>
        </w:r>
        <w:r w:rsidR="00D723DD" w:rsidRPr="00AA1421">
          <w:rPr>
            <w:webHidden/>
          </w:rPr>
          <w:instrText xml:space="preserve"> PAGEREF _Toc58403620 \h </w:instrText>
        </w:r>
        <w:r w:rsidR="00D723DD" w:rsidRPr="00AA1421">
          <w:rPr>
            <w:webHidden/>
          </w:rPr>
        </w:r>
        <w:r w:rsidR="00D723DD" w:rsidRPr="00AA1421">
          <w:rPr>
            <w:webHidden/>
          </w:rPr>
          <w:fldChar w:fldCharType="separate"/>
        </w:r>
        <w:r w:rsidR="00D723DD" w:rsidRPr="00AA1421">
          <w:rPr>
            <w:webHidden/>
          </w:rPr>
          <w:t>79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1" w:history="1">
        <w:r w:rsidR="00D723DD" w:rsidRPr="00AA1421">
          <w:rPr>
            <w:rStyle w:val="Hyperlink"/>
            <w:rFonts w:ascii="Times New Roman" w:hAnsi="Times New Roman"/>
          </w:rPr>
          <w:t>3.1.2.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Sprawozdawczość w zakresie ryzyka kredytowego kontrahenta</w:t>
        </w:r>
        <w:r w:rsidR="00D723DD" w:rsidRPr="00AA1421">
          <w:rPr>
            <w:webHidden/>
          </w:rPr>
          <w:tab/>
        </w:r>
        <w:r w:rsidR="00D723DD" w:rsidRPr="00AA1421">
          <w:rPr>
            <w:webHidden/>
          </w:rPr>
          <w:fldChar w:fldCharType="begin"/>
        </w:r>
        <w:r w:rsidR="00D723DD" w:rsidRPr="00AA1421">
          <w:rPr>
            <w:webHidden/>
          </w:rPr>
          <w:instrText xml:space="preserve"> PAGEREF _Toc58403621 \h </w:instrText>
        </w:r>
        <w:r w:rsidR="00D723DD" w:rsidRPr="00AA1421">
          <w:rPr>
            <w:webHidden/>
          </w:rPr>
        </w:r>
        <w:r w:rsidR="00D723DD" w:rsidRPr="00AA1421">
          <w:rPr>
            <w:webHidden/>
          </w:rPr>
          <w:fldChar w:fldCharType="separate"/>
        </w:r>
        <w:r w:rsidR="00D723DD" w:rsidRPr="00AA1421">
          <w:rPr>
            <w:webHidden/>
          </w:rPr>
          <w:t>80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2" w:history="1">
        <w:r w:rsidR="00D723DD" w:rsidRPr="00AA1421">
          <w:rPr>
            <w:rStyle w:val="Hyperlink"/>
            <w:rFonts w:ascii="Times New Roman" w:hAnsi="Times New Roman"/>
          </w:rPr>
          <w:t>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07.00 – Ryzyko kredytowe i ryzyko kredytowe kontrahenta oraz dostawy z późniejszym terminem rozliczenia: Wymogi kapitałowe według metody standardowej</w:t>
        </w:r>
        <w:r w:rsidR="00D723DD" w:rsidRPr="00AA1421">
          <w:rPr>
            <w:rStyle w:val="Hyperlink"/>
          </w:rPr>
          <w:t xml:space="preserve"> </w:t>
        </w:r>
        <w:r w:rsidR="00D723DD" w:rsidRPr="00AA1421">
          <w:rPr>
            <w:rStyle w:val="Hyperlink"/>
            <w:rFonts w:ascii="Times New Roman" w:hAnsi="Times New Roman"/>
          </w:rPr>
          <w:t>(CR SA)</w:t>
        </w:r>
        <w:r w:rsidR="00D723DD" w:rsidRPr="00AA1421">
          <w:rPr>
            <w:webHidden/>
          </w:rPr>
          <w:tab/>
        </w:r>
        <w:r w:rsidR="00D723DD" w:rsidRPr="00AA1421">
          <w:rPr>
            <w:webHidden/>
          </w:rPr>
          <w:fldChar w:fldCharType="begin"/>
        </w:r>
        <w:r w:rsidR="00D723DD" w:rsidRPr="00AA1421">
          <w:rPr>
            <w:webHidden/>
          </w:rPr>
          <w:instrText xml:space="preserve"> PAGEREF _Toc58403622 \h </w:instrText>
        </w:r>
        <w:r w:rsidR="00D723DD" w:rsidRPr="00AA1421">
          <w:rPr>
            <w:webHidden/>
          </w:rPr>
        </w:r>
        <w:r w:rsidR="00D723DD" w:rsidRPr="00AA1421">
          <w:rPr>
            <w:webHidden/>
          </w:rPr>
          <w:fldChar w:fldCharType="separate"/>
        </w:r>
        <w:r w:rsidR="00D723DD" w:rsidRPr="00AA1421">
          <w:rPr>
            <w:webHidden/>
          </w:rPr>
          <w:t>80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3" w:history="1">
        <w:r w:rsidR="00D723DD" w:rsidRPr="00AA1421">
          <w:rPr>
            <w:rStyle w:val="Hyperlink"/>
            <w:rFonts w:ascii="Times New Roman" w:hAnsi="Times New Roman"/>
          </w:rPr>
          <w:t>3.2.1.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_Toc58403623 \h </w:instrText>
        </w:r>
        <w:r w:rsidR="00D723DD" w:rsidRPr="00AA1421">
          <w:rPr>
            <w:webHidden/>
          </w:rPr>
        </w:r>
        <w:r w:rsidR="00D723DD" w:rsidRPr="00AA1421">
          <w:rPr>
            <w:webHidden/>
          </w:rPr>
          <w:fldChar w:fldCharType="separate"/>
        </w:r>
        <w:r w:rsidR="00D723DD" w:rsidRPr="00AA1421">
          <w:rPr>
            <w:webHidden/>
          </w:rPr>
          <w:t>80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4" w:history="1">
        <w:r w:rsidR="00D723DD" w:rsidRPr="00AA1421">
          <w:rPr>
            <w:rStyle w:val="Hyperlink"/>
            <w:rFonts w:ascii="Times New Roman" w:hAnsi="Times New Roman"/>
          </w:rPr>
          <w:t>3.2.2.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Zakres wzoru CR SA</w:t>
        </w:r>
        <w:r w:rsidR="00D723DD" w:rsidRPr="00AA1421">
          <w:rPr>
            <w:webHidden/>
          </w:rPr>
          <w:tab/>
        </w:r>
        <w:r w:rsidR="00D723DD" w:rsidRPr="00AA1421">
          <w:rPr>
            <w:webHidden/>
          </w:rPr>
          <w:fldChar w:fldCharType="begin"/>
        </w:r>
        <w:r w:rsidR="00D723DD" w:rsidRPr="00AA1421">
          <w:rPr>
            <w:webHidden/>
          </w:rPr>
          <w:instrText xml:space="preserve"> PAGEREF _Toc58403624 \h </w:instrText>
        </w:r>
        <w:r w:rsidR="00D723DD" w:rsidRPr="00AA1421">
          <w:rPr>
            <w:webHidden/>
          </w:rPr>
        </w:r>
        <w:r w:rsidR="00D723DD" w:rsidRPr="00AA1421">
          <w:rPr>
            <w:webHidden/>
          </w:rPr>
          <w:fldChar w:fldCharType="separate"/>
        </w:r>
        <w:r w:rsidR="00D723DD" w:rsidRPr="00AA1421">
          <w:rPr>
            <w:webHidden/>
          </w:rPr>
          <w:t>80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5" w:history="1">
        <w:r w:rsidR="00D723DD" w:rsidRPr="00AA1421">
          <w:rPr>
            <w:rStyle w:val="Hyperlink"/>
            <w:rFonts w:ascii="Times New Roman" w:hAnsi="Times New Roman"/>
          </w:rPr>
          <w:t>3.2.3.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 xml:space="preserve"> Klasyfikowanie ekspozycji do kategorii ekspozycji według metody standardowej</w:t>
        </w:r>
        <w:r w:rsidR="00D723DD" w:rsidRPr="00AA1421">
          <w:rPr>
            <w:webHidden/>
          </w:rPr>
          <w:tab/>
        </w:r>
        <w:r w:rsidR="00D723DD" w:rsidRPr="00AA1421">
          <w:rPr>
            <w:webHidden/>
          </w:rPr>
          <w:fldChar w:fldCharType="begin"/>
        </w:r>
        <w:r w:rsidR="00D723DD" w:rsidRPr="00AA1421">
          <w:rPr>
            <w:webHidden/>
          </w:rPr>
          <w:instrText xml:space="preserve"> PAGEREF _Toc58403625 \h </w:instrText>
        </w:r>
        <w:r w:rsidR="00D723DD" w:rsidRPr="00AA1421">
          <w:rPr>
            <w:webHidden/>
          </w:rPr>
        </w:r>
        <w:r w:rsidR="00D723DD" w:rsidRPr="00AA1421">
          <w:rPr>
            <w:webHidden/>
          </w:rPr>
          <w:fldChar w:fldCharType="separate"/>
        </w:r>
        <w:r w:rsidR="00D723DD" w:rsidRPr="00AA1421">
          <w:rPr>
            <w:webHidden/>
          </w:rPr>
          <w:t>82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6" w:history="1">
        <w:r w:rsidR="00D723DD" w:rsidRPr="00AA1421">
          <w:rPr>
            <w:rStyle w:val="Hyperlink"/>
            <w:rFonts w:ascii="Times New Roman" w:hAnsi="Times New Roman"/>
          </w:rPr>
          <w:t>3.2.4.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 xml:space="preserve">Wyjaśnienia dotyczące zakresu pewnych określonych kategorii ekspozycji, o których mowa w </w:t>
        </w:r>
        <w:r w:rsidR="00D723DD" w:rsidRPr="00084F66">
          <w:rPr>
            <w:rStyle w:val="Hyperlink"/>
            <w:rFonts w:ascii="Times New Roman" w:hAnsi="Times New Roman"/>
          </w:rPr>
          <w:t>art.</w:t>
        </w:r>
        <w:r w:rsidRPr="00084F66">
          <w:rPr>
            <w:rStyle w:val="Hyperlink"/>
            <w:rFonts w:ascii="Times New Roman" w:hAnsi="Times New Roman"/>
          </w:rPr>
          <w:t> </w:t>
        </w:r>
        <w:r w:rsidR="00D723DD" w:rsidRPr="00084F66">
          <w:rPr>
            <w:rStyle w:val="Hyperlink"/>
            <w:rFonts w:ascii="Times New Roman" w:hAnsi="Times New Roman"/>
          </w:rPr>
          <w:t>1</w:t>
        </w:r>
        <w:r w:rsidR="00D723DD" w:rsidRPr="00AA1421">
          <w:rPr>
            <w:rStyle w:val="Hyperlink"/>
            <w:rFonts w:ascii="Times New Roman" w:hAnsi="Times New Roman"/>
          </w:rPr>
          <w:t>12 CRR</w:t>
        </w:r>
        <w:r w:rsidR="00D723DD" w:rsidRPr="00AA1421">
          <w:rPr>
            <w:webHidden/>
          </w:rPr>
          <w:tab/>
        </w:r>
        <w:r w:rsidR="00D723DD" w:rsidRPr="00AA1421">
          <w:rPr>
            <w:webHidden/>
          </w:rPr>
          <w:fldChar w:fldCharType="begin"/>
        </w:r>
        <w:r w:rsidR="00D723DD" w:rsidRPr="00AA1421">
          <w:rPr>
            <w:webHidden/>
          </w:rPr>
          <w:instrText xml:space="preserve"> PAGEREF _Toc58403626 \h </w:instrText>
        </w:r>
        <w:r w:rsidR="00D723DD" w:rsidRPr="00AA1421">
          <w:rPr>
            <w:webHidden/>
          </w:rPr>
        </w:r>
        <w:r w:rsidR="00D723DD" w:rsidRPr="00AA1421">
          <w:rPr>
            <w:webHidden/>
          </w:rPr>
          <w:fldChar w:fldCharType="separate"/>
        </w:r>
        <w:r w:rsidR="00D723DD" w:rsidRPr="00AA1421">
          <w:rPr>
            <w:webHidden/>
          </w:rPr>
          <w:t>87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7" w:history="1">
        <w:r w:rsidR="00D723DD" w:rsidRPr="00AA1421">
          <w:rPr>
            <w:rStyle w:val="Hyperlink"/>
            <w:rFonts w:ascii="Times New Roman" w:hAnsi="Times New Roman"/>
          </w:rPr>
          <w:t>3.2.4.1.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Kategoria ekspozycji „ekspozycje wobec instytucji”</w:t>
        </w:r>
        <w:r w:rsidR="00D723DD" w:rsidRPr="00AA1421">
          <w:rPr>
            <w:webHidden/>
          </w:rPr>
          <w:tab/>
        </w:r>
        <w:r w:rsidR="00D723DD" w:rsidRPr="00AA1421">
          <w:rPr>
            <w:webHidden/>
          </w:rPr>
          <w:fldChar w:fldCharType="begin"/>
        </w:r>
        <w:r w:rsidR="00D723DD" w:rsidRPr="00AA1421">
          <w:rPr>
            <w:webHidden/>
          </w:rPr>
          <w:instrText xml:space="preserve"> PAGEREF _Toc58403627 \h </w:instrText>
        </w:r>
        <w:r w:rsidR="00D723DD" w:rsidRPr="00AA1421">
          <w:rPr>
            <w:webHidden/>
          </w:rPr>
        </w:r>
        <w:r w:rsidR="00D723DD" w:rsidRPr="00AA1421">
          <w:rPr>
            <w:webHidden/>
          </w:rPr>
          <w:fldChar w:fldCharType="separate"/>
        </w:r>
        <w:r w:rsidR="00D723DD" w:rsidRPr="00AA1421">
          <w:rPr>
            <w:webHidden/>
          </w:rPr>
          <w:t>87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8" w:history="1">
        <w:r w:rsidR="00D723DD" w:rsidRPr="00AA1421">
          <w:rPr>
            <w:rStyle w:val="Hyperlink"/>
            <w:rFonts w:ascii="Times New Roman" w:hAnsi="Times New Roman"/>
          </w:rPr>
          <w:t>3.2.4.2.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Kategoria ekspozycji „ekspozycje w postaci obligacji zabezpieczonych”</w:t>
        </w:r>
        <w:r w:rsidR="00D723DD" w:rsidRPr="00AA1421">
          <w:rPr>
            <w:webHidden/>
          </w:rPr>
          <w:tab/>
        </w:r>
        <w:r w:rsidR="00D723DD" w:rsidRPr="00AA1421">
          <w:rPr>
            <w:webHidden/>
          </w:rPr>
          <w:fldChar w:fldCharType="begin"/>
        </w:r>
        <w:r w:rsidR="00D723DD" w:rsidRPr="00AA1421">
          <w:rPr>
            <w:webHidden/>
          </w:rPr>
          <w:instrText xml:space="preserve"> PAGEREF _Toc58403628 \h </w:instrText>
        </w:r>
        <w:r w:rsidR="00D723DD" w:rsidRPr="00AA1421">
          <w:rPr>
            <w:webHidden/>
          </w:rPr>
        </w:r>
        <w:r w:rsidR="00D723DD" w:rsidRPr="00AA1421">
          <w:rPr>
            <w:webHidden/>
          </w:rPr>
          <w:fldChar w:fldCharType="separate"/>
        </w:r>
        <w:r w:rsidR="00D723DD" w:rsidRPr="00AA1421">
          <w:rPr>
            <w:webHidden/>
          </w:rPr>
          <w:t>87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29" w:history="1">
        <w:r w:rsidR="00D723DD" w:rsidRPr="00AA1421">
          <w:rPr>
            <w:rStyle w:val="Hyperlink"/>
            <w:rFonts w:ascii="Times New Roman" w:hAnsi="Times New Roman"/>
          </w:rPr>
          <w:t>3.2.4.3.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Kategoria ekspozycji „ekspozycje związane z przedsiębiorstwami zbiorowego inwestowania”</w:t>
        </w:r>
        <w:r w:rsidR="00D723DD" w:rsidRPr="00AA1421">
          <w:rPr>
            <w:webHidden/>
          </w:rPr>
          <w:tab/>
        </w:r>
        <w:r w:rsidR="00D723DD" w:rsidRPr="00AA1421">
          <w:rPr>
            <w:webHidden/>
          </w:rPr>
          <w:fldChar w:fldCharType="begin"/>
        </w:r>
        <w:r w:rsidR="00D723DD" w:rsidRPr="00AA1421">
          <w:rPr>
            <w:webHidden/>
          </w:rPr>
          <w:instrText xml:space="preserve"> PAGEREF _Toc58403629 \h </w:instrText>
        </w:r>
        <w:r w:rsidR="00D723DD" w:rsidRPr="00AA1421">
          <w:rPr>
            <w:webHidden/>
          </w:rPr>
        </w:r>
        <w:r w:rsidR="00D723DD" w:rsidRPr="00AA1421">
          <w:rPr>
            <w:webHidden/>
          </w:rPr>
          <w:fldChar w:fldCharType="separate"/>
        </w:r>
        <w:r w:rsidR="00D723DD" w:rsidRPr="00AA1421">
          <w:rPr>
            <w:webHidden/>
          </w:rPr>
          <w:t>87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0" w:history="1">
        <w:r w:rsidR="00D723DD" w:rsidRPr="00AA1421">
          <w:rPr>
            <w:rStyle w:val="Hyperlink"/>
            <w:rFonts w:ascii="Times New Roman" w:hAnsi="Times New Roman"/>
          </w:rPr>
          <w:t>3.2.5.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_Toc58403630 \h </w:instrText>
        </w:r>
        <w:r w:rsidR="00D723DD" w:rsidRPr="00AA1421">
          <w:rPr>
            <w:webHidden/>
          </w:rPr>
        </w:r>
        <w:r w:rsidR="00D723DD" w:rsidRPr="00AA1421">
          <w:rPr>
            <w:webHidden/>
          </w:rPr>
          <w:fldChar w:fldCharType="separate"/>
        </w:r>
        <w:r w:rsidR="00D723DD" w:rsidRPr="00AA1421">
          <w:rPr>
            <w:webHidden/>
          </w:rPr>
          <w:t>88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1" w:history="1">
        <w:r w:rsidR="00D723DD" w:rsidRPr="00AA1421">
          <w:rPr>
            <w:rStyle w:val="Hyperlink"/>
            <w:rFonts w:ascii="Times New Roman" w:hAnsi="Times New Roman"/>
          </w:rPr>
          <w:t>3.3.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Ryzyko kredytowe i ryzyko kredytowe kontrahenta oraz dostawy z późniejszym terminem rozliczenia: wymogi w zakresie funduszy własnych według metody IRB (CR IRB)</w:t>
        </w:r>
        <w:r w:rsidR="00D723DD" w:rsidRPr="00AA1421">
          <w:rPr>
            <w:webHidden/>
          </w:rPr>
          <w:tab/>
        </w:r>
        <w:r w:rsidR="00D723DD" w:rsidRPr="00AA1421">
          <w:rPr>
            <w:webHidden/>
          </w:rPr>
          <w:fldChar w:fldCharType="begin"/>
        </w:r>
        <w:r w:rsidR="00D723DD" w:rsidRPr="00AA1421">
          <w:rPr>
            <w:webHidden/>
          </w:rPr>
          <w:instrText xml:space="preserve"> PAGEREF _Toc58403631 \h </w:instrText>
        </w:r>
        <w:r w:rsidR="00D723DD" w:rsidRPr="00AA1421">
          <w:rPr>
            <w:webHidden/>
          </w:rPr>
        </w:r>
        <w:r w:rsidR="00D723DD" w:rsidRPr="00AA1421">
          <w:rPr>
            <w:webHidden/>
          </w:rPr>
          <w:fldChar w:fldCharType="separate"/>
        </w:r>
        <w:r w:rsidR="00D723DD" w:rsidRPr="00AA1421">
          <w:rPr>
            <w:webHidden/>
          </w:rPr>
          <w:t>97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2" w:history="1">
        <w:r w:rsidR="00D723DD" w:rsidRPr="00AA1421">
          <w:rPr>
            <w:rStyle w:val="Hyperlink"/>
            <w:rFonts w:ascii="Times New Roman" w:hAnsi="Times New Roman"/>
          </w:rPr>
          <w:t>3.3.1.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Zakres wzoru CR IRB</w:t>
        </w:r>
        <w:r w:rsidR="00D723DD" w:rsidRPr="00AA1421">
          <w:rPr>
            <w:webHidden/>
          </w:rPr>
          <w:tab/>
        </w:r>
        <w:r w:rsidR="00D723DD" w:rsidRPr="00AA1421">
          <w:rPr>
            <w:webHidden/>
          </w:rPr>
          <w:fldChar w:fldCharType="begin"/>
        </w:r>
        <w:r w:rsidR="00D723DD" w:rsidRPr="00AA1421">
          <w:rPr>
            <w:webHidden/>
          </w:rPr>
          <w:instrText xml:space="preserve"> PAGEREF _Toc58403632 \h </w:instrText>
        </w:r>
        <w:r w:rsidR="00D723DD" w:rsidRPr="00AA1421">
          <w:rPr>
            <w:webHidden/>
          </w:rPr>
        </w:r>
        <w:r w:rsidR="00D723DD" w:rsidRPr="00AA1421">
          <w:rPr>
            <w:webHidden/>
          </w:rPr>
          <w:fldChar w:fldCharType="separate"/>
        </w:r>
        <w:r w:rsidR="00D723DD" w:rsidRPr="00AA1421">
          <w:rPr>
            <w:webHidden/>
          </w:rPr>
          <w:t>97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3" w:history="1">
        <w:r w:rsidR="00D723DD" w:rsidRPr="00AA1421">
          <w:rPr>
            <w:rStyle w:val="Hyperlink"/>
            <w:rFonts w:ascii="Times New Roman" w:hAnsi="Times New Roman"/>
          </w:rPr>
          <w:t>3.3.2.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Podział wzoru CR IRB</w:t>
        </w:r>
        <w:r w:rsidR="00D723DD" w:rsidRPr="00AA1421">
          <w:rPr>
            <w:webHidden/>
          </w:rPr>
          <w:tab/>
        </w:r>
        <w:r w:rsidR="00D723DD" w:rsidRPr="00AA1421">
          <w:rPr>
            <w:webHidden/>
          </w:rPr>
          <w:fldChar w:fldCharType="begin"/>
        </w:r>
        <w:r w:rsidR="00D723DD" w:rsidRPr="00AA1421">
          <w:rPr>
            <w:webHidden/>
          </w:rPr>
          <w:instrText xml:space="preserve"> PAGEREF _Toc58403633 \h </w:instrText>
        </w:r>
        <w:r w:rsidR="00D723DD" w:rsidRPr="00AA1421">
          <w:rPr>
            <w:webHidden/>
          </w:rPr>
        </w:r>
        <w:r w:rsidR="00D723DD" w:rsidRPr="00AA1421">
          <w:rPr>
            <w:webHidden/>
          </w:rPr>
          <w:fldChar w:fldCharType="separate"/>
        </w:r>
        <w:r w:rsidR="00D723DD" w:rsidRPr="00AA1421">
          <w:rPr>
            <w:webHidden/>
          </w:rPr>
          <w:t>98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4" w:history="1">
        <w:r w:rsidR="00D723DD" w:rsidRPr="00AA1421">
          <w:rPr>
            <w:rStyle w:val="Hyperlink"/>
            <w:rFonts w:ascii="Times New Roman" w:hAnsi="Times New Roman"/>
          </w:rPr>
          <w:t>3.3.3.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08.01 – Ryzyko kredytowe i ryzyko kredytowe kontrahenta oraz dostawy z późniejszym terminem rozliczenia: wymogi kapitałowe według metody IRB (CR IRB 1)</w:t>
        </w:r>
        <w:r w:rsidR="00D723DD" w:rsidRPr="00AA1421">
          <w:rPr>
            <w:webHidden/>
          </w:rPr>
          <w:tab/>
        </w:r>
        <w:r w:rsidR="00D723DD" w:rsidRPr="00AA1421">
          <w:rPr>
            <w:webHidden/>
          </w:rPr>
          <w:fldChar w:fldCharType="begin"/>
        </w:r>
        <w:r w:rsidR="00D723DD" w:rsidRPr="00AA1421">
          <w:rPr>
            <w:webHidden/>
          </w:rPr>
          <w:instrText xml:space="preserve"> PAGEREF _Toc58403634 \h </w:instrText>
        </w:r>
        <w:r w:rsidR="00D723DD" w:rsidRPr="00AA1421">
          <w:rPr>
            <w:webHidden/>
          </w:rPr>
        </w:r>
        <w:r w:rsidR="00D723DD" w:rsidRPr="00AA1421">
          <w:rPr>
            <w:webHidden/>
          </w:rPr>
          <w:fldChar w:fldCharType="separate"/>
        </w:r>
        <w:r w:rsidR="00D723DD" w:rsidRPr="00AA1421">
          <w:rPr>
            <w:webHidden/>
          </w:rPr>
          <w:t>100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5" w:history="1">
        <w:r w:rsidR="00D723DD" w:rsidRPr="00AA1421">
          <w:rPr>
            <w:rStyle w:val="Hyperlink"/>
            <w:rFonts w:ascii="Times New Roman" w:hAnsi="Times New Roman"/>
          </w:rPr>
          <w:t>3.3.3.1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_Toc58403635 \h </w:instrText>
        </w:r>
        <w:r w:rsidR="00D723DD" w:rsidRPr="00AA1421">
          <w:rPr>
            <w:webHidden/>
          </w:rPr>
        </w:r>
        <w:r w:rsidR="00D723DD" w:rsidRPr="00AA1421">
          <w:rPr>
            <w:webHidden/>
          </w:rPr>
          <w:fldChar w:fldCharType="separate"/>
        </w:r>
        <w:r w:rsidR="00D723DD" w:rsidRPr="00AA1421">
          <w:rPr>
            <w:webHidden/>
          </w:rPr>
          <w:t>100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6" w:history="1">
        <w:r w:rsidR="00D723DD" w:rsidRPr="00AA1421">
          <w:rPr>
            <w:rStyle w:val="Hyperlink"/>
            <w:rFonts w:ascii="Times New Roman" w:hAnsi="Times New Roman"/>
          </w:rPr>
          <w:t>3.3.4.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08.02 – Ryzyko kredytowe i ryzyko kredytowe kontrahenta oraz dostawy z późniejszym terminem rozliczenia: wymogi kapitałowe według metody IRB: podział według klas jakości lub puli dłużników (wzór CR IRB 2)</w:t>
        </w:r>
        <w:r w:rsidR="00D723DD" w:rsidRPr="00AA1421">
          <w:rPr>
            <w:webHidden/>
          </w:rPr>
          <w:tab/>
        </w:r>
        <w:r w:rsidR="00D723DD" w:rsidRPr="00AA1421">
          <w:rPr>
            <w:webHidden/>
          </w:rPr>
          <w:fldChar w:fldCharType="begin"/>
        </w:r>
        <w:r w:rsidR="00D723DD" w:rsidRPr="00AA1421">
          <w:rPr>
            <w:webHidden/>
          </w:rPr>
          <w:instrText xml:space="preserve"> PAGEREF _Toc58403636 \h </w:instrText>
        </w:r>
        <w:r w:rsidR="00D723DD" w:rsidRPr="00AA1421">
          <w:rPr>
            <w:webHidden/>
          </w:rPr>
        </w:r>
        <w:r w:rsidR="00D723DD" w:rsidRPr="00AA1421">
          <w:rPr>
            <w:webHidden/>
          </w:rPr>
          <w:fldChar w:fldCharType="separate"/>
        </w:r>
        <w:r w:rsidR="00D723DD" w:rsidRPr="00AA1421">
          <w:rPr>
            <w:webHidden/>
          </w:rPr>
          <w:t>110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7" w:history="1">
        <w:r w:rsidR="00D723DD" w:rsidRPr="00AA1421">
          <w:rPr>
            <w:rStyle w:val="Hyperlink"/>
            <w:rFonts w:ascii="Times New Roman" w:hAnsi="Times New Roman"/>
          </w:rPr>
          <w:t>3.3.1.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08.03 – Ryzyko kredytowe oraz dostawy z późniejszym terminem rozliczenia: wymogi kapitałowe według metody IRB (podział według zakresów PD (CR IRB 3))</w:t>
        </w:r>
        <w:r w:rsidR="00D723DD" w:rsidRPr="00AA1421">
          <w:rPr>
            <w:webHidden/>
          </w:rPr>
          <w:tab/>
        </w:r>
        <w:r w:rsidR="00D723DD" w:rsidRPr="00AA1421">
          <w:rPr>
            <w:webHidden/>
          </w:rPr>
          <w:fldChar w:fldCharType="begin"/>
        </w:r>
        <w:r w:rsidR="00D723DD" w:rsidRPr="00AA1421">
          <w:rPr>
            <w:webHidden/>
          </w:rPr>
          <w:instrText xml:space="preserve"> PAGEREF _Toc58403637 \h </w:instrText>
        </w:r>
        <w:r w:rsidR="00D723DD" w:rsidRPr="00AA1421">
          <w:rPr>
            <w:webHidden/>
          </w:rPr>
        </w:r>
        <w:r w:rsidR="00D723DD" w:rsidRPr="00AA1421">
          <w:rPr>
            <w:webHidden/>
          </w:rPr>
          <w:fldChar w:fldCharType="separate"/>
        </w:r>
        <w:r w:rsidR="00D723DD" w:rsidRPr="00AA1421">
          <w:rPr>
            <w:webHidden/>
          </w:rPr>
          <w:t>111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8" w:history="1">
        <w:r w:rsidR="00D723DD" w:rsidRPr="00AA1421">
          <w:rPr>
            <w:rStyle w:val="Hyperlink"/>
            <w:rFonts w:ascii="Times New Roman" w:hAnsi="Times New Roman"/>
          </w:rPr>
          <w:t>3.3.1.1.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_Toc58403638 \h </w:instrText>
        </w:r>
        <w:r w:rsidR="00D723DD" w:rsidRPr="00AA1421">
          <w:rPr>
            <w:webHidden/>
          </w:rPr>
        </w:r>
        <w:r w:rsidR="00D723DD" w:rsidRPr="00AA1421">
          <w:rPr>
            <w:webHidden/>
          </w:rPr>
          <w:fldChar w:fldCharType="separate"/>
        </w:r>
        <w:r w:rsidR="00D723DD" w:rsidRPr="00AA1421">
          <w:rPr>
            <w:webHidden/>
          </w:rPr>
          <w:t>111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39" w:history="1">
        <w:r w:rsidR="00D723DD" w:rsidRPr="00AA1421">
          <w:rPr>
            <w:rStyle w:val="Hyperlink"/>
            <w:rFonts w:ascii="Times New Roman" w:hAnsi="Times New Roman"/>
          </w:rPr>
          <w:t>3.3.1.2.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_Toc58403639 \h </w:instrText>
        </w:r>
        <w:r w:rsidR="00D723DD" w:rsidRPr="00AA1421">
          <w:rPr>
            <w:webHidden/>
          </w:rPr>
        </w:r>
        <w:r w:rsidR="00D723DD" w:rsidRPr="00AA1421">
          <w:rPr>
            <w:webHidden/>
          </w:rPr>
          <w:fldChar w:fldCharType="separate"/>
        </w:r>
        <w:r w:rsidR="00D723DD" w:rsidRPr="00AA1421">
          <w:rPr>
            <w:webHidden/>
          </w:rPr>
          <w:t>111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0" w:history="1">
        <w:r w:rsidR="00D723DD" w:rsidRPr="00AA1421">
          <w:rPr>
            <w:rStyle w:val="Hyperlink"/>
            <w:rFonts w:ascii="Times New Roman" w:hAnsi="Times New Roman"/>
          </w:rPr>
          <w:t>3.3.2.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08.04 – Ryzyko kredytowe oraz dostawy z późniejszym terminem rozliczenia: wymogi kapitałowe według metody IRB (rachunki przepływów kwot ekspozycji ważonych ryzykiem (CR IRB 4))</w:t>
        </w:r>
        <w:r w:rsidR="00D723DD" w:rsidRPr="00AA1421">
          <w:rPr>
            <w:webHidden/>
          </w:rPr>
          <w:tab/>
        </w:r>
        <w:r w:rsidR="00D723DD" w:rsidRPr="00AA1421">
          <w:rPr>
            <w:webHidden/>
          </w:rPr>
          <w:fldChar w:fldCharType="begin"/>
        </w:r>
        <w:r w:rsidR="00D723DD" w:rsidRPr="00AA1421">
          <w:rPr>
            <w:webHidden/>
          </w:rPr>
          <w:instrText xml:space="preserve"> PAGEREF _Toc58403640 \h </w:instrText>
        </w:r>
        <w:r w:rsidR="00D723DD" w:rsidRPr="00AA1421">
          <w:rPr>
            <w:webHidden/>
          </w:rPr>
        </w:r>
        <w:r w:rsidR="00D723DD" w:rsidRPr="00AA1421">
          <w:rPr>
            <w:webHidden/>
          </w:rPr>
          <w:fldChar w:fldCharType="separate"/>
        </w:r>
        <w:r w:rsidR="00D723DD" w:rsidRPr="00AA1421">
          <w:rPr>
            <w:webHidden/>
          </w:rPr>
          <w:t>114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1" w:history="1">
        <w:r w:rsidR="00D723DD" w:rsidRPr="00AA1421">
          <w:rPr>
            <w:rStyle w:val="Hyperlink"/>
            <w:rFonts w:ascii="Times New Roman" w:hAnsi="Times New Roman"/>
          </w:rPr>
          <w:t>3.3.2.1.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_Toc58403641 \h </w:instrText>
        </w:r>
        <w:r w:rsidR="00D723DD" w:rsidRPr="00AA1421">
          <w:rPr>
            <w:webHidden/>
          </w:rPr>
        </w:r>
        <w:r w:rsidR="00D723DD" w:rsidRPr="00AA1421">
          <w:rPr>
            <w:webHidden/>
          </w:rPr>
          <w:fldChar w:fldCharType="separate"/>
        </w:r>
        <w:r w:rsidR="00D723DD" w:rsidRPr="00AA1421">
          <w:rPr>
            <w:webHidden/>
          </w:rPr>
          <w:t>114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2" w:history="1">
        <w:r w:rsidR="00D723DD" w:rsidRPr="00AA1421">
          <w:rPr>
            <w:rStyle w:val="Hyperlink"/>
            <w:rFonts w:ascii="Times New Roman" w:hAnsi="Times New Roman"/>
          </w:rPr>
          <w:t>3.3.2.2.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_Toc58403642 \h </w:instrText>
        </w:r>
        <w:r w:rsidR="00D723DD" w:rsidRPr="00AA1421">
          <w:rPr>
            <w:webHidden/>
          </w:rPr>
        </w:r>
        <w:r w:rsidR="00D723DD" w:rsidRPr="00AA1421">
          <w:rPr>
            <w:webHidden/>
          </w:rPr>
          <w:fldChar w:fldCharType="separate"/>
        </w:r>
        <w:r w:rsidR="00D723DD" w:rsidRPr="00AA1421">
          <w:rPr>
            <w:webHidden/>
          </w:rPr>
          <w:t>114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3" w:history="1">
        <w:r w:rsidR="00D723DD" w:rsidRPr="00AA1421">
          <w:rPr>
            <w:rStyle w:val="Hyperlink"/>
            <w:rFonts w:ascii="Times New Roman" w:hAnsi="Times New Roman"/>
          </w:rPr>
          <w:t>3.3.3.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08.05 – Ryzyko kredytowe oraz dostawy z późniejszym terminem rozliczenia: wymogi kapitałowe według metody IRB (weryfikacja historyczna PD (CR IRB 5))</w:t>
        </w:r>
        <w:r w:rsidR="00D723DD" w:rsidRPr="00AA1421">
          <w:rPr>
            <w:webHidden/>
          </w:rPr>
          <w:tab/>
        </w:r>
        <w:r w:rsidR="00D723DD" w:rsidRPr="00AA1421">
          <w:rPr>
            <w:webHidden/>
          </w:rPr>
          <w:fldChar w:fldCharType="begin"/>
        </w:r>
        <w:r w:rsidR="00D723DD" w:rsidRPr="00AA1421">
          <w:rPr>
            <w:webHidden/>
          </w:rPr>
          <w:instrText xml:space="preserve"> PAGEREF _Toc58403643 \h </w:instrText>
        </w:r>
        <w:r w:rsidR="00D723DD" w:rsidRPr="00AA1421">
          <w:rPr>
            <w:webHidden/>
          </w:rPr>
        </w:r>
        <w:r w:rsidR="00D723DD" w:rsidRPr="00AA1421">
          <w:rPr>
            <w:webHidden/>
          </w:rPr>
          <w:fldChar w:fldCharType="separate"/>
        </w:r>
        <w:r w:rsidR="00D723DD" w:rsidRPr="00AA1421">
          <w:rPr>
            <w:webHidden/>
          </w:rPr>
          <w:t>116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4" w:history="1">
        <w:r w:rsidR="00D723DD" w:rsidRPr="00AA1421">
          <w:rPr>
            <w:rStyle w:val="Hyperlink"/>
            <w:rFonts w:ascii="Times New Roman" w:hAnsi="Times New Roman"/>
          </w:rPr>
          <w:t>3.3.3.1.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_Toc58403644 \h </w:instrText>
        </w:r>
        <w:r w:rsidR="00D723DD" w:rsidRPr="00AA1421">
          <w:rPr>
            <w:webHidden/>
          </w:rPr>
        </w:r>
        <w:r w:rsidR="00D723DD" w:rsidRPr="00AA1421">
          <w:rPr>
            <w:webHidden/>
          </w:rPr>
          <w:fldChar w:fldCharType="separate"/>
        </w:r>
        <w:r w:rsidR="00D723DD" w:rsidRPr="00AA1421">
          <w:rPr>
            <w:webHidden/>
          </w:rPr>
          <w:t>116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5" w:history="1">
        <w:r w:rsidR="00D723DD" w:rsidRPr="00AA1421">
          <w:rPr>
            <w:rStyle w:val="Hyperlink"/>
            <w:rFonts w:ascii="Times New Roman" w:hAnsi="Times New Roman"/>
          </w:rPr>
          <w:t>3.3.3.2.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_Toc58403645 \h </w:instrText>
        </w:r>
        <w:r w:rsidR="00D723DD" w:rsidRPr="00AA1421">
          <w:rPr>
            <w:webHidden/>
          </w:rPr>
        </w:r>
        <w:r w:rsidR="00D723DD" w:rsidRPr="00AA1421">
          <w:rPr>
            <w:webHidden/>
          </w:rPr>
          <w:fldChar w:fldCharType="separate"/>
        </w:r>
        <w:r w:rsidR="00D723DD" w:rsidRPr="00AA1421">
          <w:rPr>
            <w:webHidden/>
          </w:rPr>
          <w:t>116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6" w:history="1">
        <w:r w:rsidR="00D723DD" w:rsidRPr="00AA1421">
          <w:rPr>
            <w:rStyle w:val="Hyperlink"/>
            <w:rFonts w:ascii="Times New Roman" w:hAnsi="Times New Roman"/>
          </w:rPr>
          <w:t>3.3.4.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08.05.1 – Ryzyko kredytowe i dostawy z późniejszym terminem rozliczenia: wymogi kapitałowe według metody IRB: weryfikacja historyczna PD (CR IRB 5)</w:t>
        </w:r>
        <w:r w:rsidR="00D723DD" w:rsidRPr="00AA1421">
          <w:rPr>
            <w:webHidden/>
          </w:rPr>
          <w:tab/>
        </w:r>
        <w:r w:rsidR="00D723DD" w:rsidRPr="00AA1421">
          <w:rPr>
            <w:webHidden/>
          </w:rPr>
          <w:fldChar w:fldCharType="begin"/>
        </w:r>
        <w:r w:rsidR="00D723DD" w:rsidRPr="00AA1421">
          <w:rPr>
            <w:webHidden/>
          </w:rPr>
          <w:instrText xml:space="preserve"> PAGEREF _Toc58403646 \h </w:instrText>
        </w:r>
        <w:r w:rsidR="00D723DD" w:rsidRPr="00AA1421">
          <w:rPr>
            <w:webHidden/>
          </w:rPr>
        </w:r>
        <w:r w:rsidR="00D723DD" w:rsidRPr="00AA1421">
          <w:rPr>
            <w:webHidden/>
          </w:rPr>
          <w:fldChar w:fldCharType="separate"/>
        </w:r>
        <w:r w:rsidR="00D723DD" w:rsidRPr="00AA1421">
          <w:rPr>
            <w:webHidden/>
          </w:rPr>
          <w:t>117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7" w:history="1">
        <w:r w:rsidR="00D723DD" w:rsidRPr="00AA1421">
          <w:rPr>
            <w:rStyle w:val="Hyperlink"/>
            <w:rFonts w:ascii="Times New Roman" w:hAnsi="Times New Roman"/>
          </w:rPr>
          <w:t>3.3.4.1.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_Toc58403647 \h </w:instrText>
        </w:r>
        <w:r w:rsidR="00D723DD" w:rsidRPr="00AA1421">
          <w:rPr>
            <w:webHidden/>
          </w:rPr>
        </w:r>
        <w:r w:rsidR="00D723DD" w:rsidRPr="00AA1421">
          <w:rPr>
            <w:webHidden/>
          </w:rPr>
          <w:fldChar w:fldCharType="separate"/>
        </w:r>
        <w:r w:rsidR="00D723DD" w:rsidRPr="00AA1421">
          <w:rPr>
            <w:webHidden/>
          </w:rPr>
          <w:t>117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8" w:history="1">
        <w:r w:rsidR="00D723DD" w:rsidRPr="00AA1421">
          <w:rPr>
            <w:rStyle w:val="Hyperlink"/>
            <w:rFonts w:ascii="Times New Roman" w:hAnsi="Times New Roman"/>
          </w:rPr>
          <w:t>3.3.5.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08.06 – Ryzyko kredytowe oraz dostawy z późniejszym terminem rozliczenia: wymogi kapitałowe według metody IRB (metoda klasyfikacji kredytowania specjalistycznego (CR IRB 6))</w:t>
        </w:r>
        <w:r w:rsidR="00D723DD" w:rsidRPr="00AA1421">
          <w:rPr>
            <w:webHidden/>
          </w:rPr>
          <w:tab/>
        </w:r>
        <w:r w:rsidR="00D723DD" w:rsidRPr="00AA1421">
          <w:rPr>
            <w:webHidden/>
          </w:rPr>
          <w:fldChar w:fldCharType="begin"/>
        </w:r>
        <w:r w:rsidR="00D723DD" w:rsidRPr="00AA1421">
          <w:rPr>
            <w:webHidden/>
          </w:rPr>
          <w:instrText xml:space="preserve"> PAGEREF _Toc58403648 \h </w:instrText>
        </w:r>
        <w:r w:rsidR="00D723DD" w:rsidRPr="00AA1421">
          <w:rPr>
            <w:webHidden/>
          </w:rPr>
        </w:r>
        <w:r w:rsidR="00D723DD" w:rsidRPr="00AA1421">
          <w:rPr>
            <w:webHidden/>
          </w:rPr>
          <w:fldChar w:fldCharType="separate"/>
        </w:r>
        <w:r w:rsidR="00D723DD" w:rsidRPr="00AA1421">
          <w:rPr>
            <w:webHidden/>
          </w:rPr>
          <w:t>118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49" w:history="1">
        <w:r w:rsidR="00D723DD" w:rsidRPr="00AA1421">
          <w:rPr>
            <w:rStyle w:val="Hyperlink"/>
            <w:rFonts w:ascii="Times New Roman" w:hAnsi="Times New Roman"/>
          </w:rPr>
          <w:t>3.3.5.1.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_Toc58403649 \h </w:instrText>
        </w:r>
        <w:r w:rsidR="00D723DD" w:rsidRPr="00AA1421">
          <w:rPr>
            <w:webHidden/>
          </w:rPr>
        </w:r>
        <w:r w:rsidR="00D723DD" w:rsidRPr="00AA1421">
          <w:rPr>
            <w:webHidden/>
          </w:rPr>
          <w:fldChar w:fldCharType="separate"/>
        </w:r>
        <w:r w:rsidR="00D723DD" w:rsidRPr="00AA1421">
          <w:rPr>
            <w:webHidden/>
          </w:rPr>
          <w:t>118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0" w:history="1">
        <w:r w:rsidR="00D723DD" w:rsidRPr="00AA1421">
          <w:rPr>
            <w:rStyle w:val="Hyperlink"/>
            <w:rFonts w:ascii="Times New Roman" w:hAnsi="Times New Roman"/>
          </w:rPr>
          <w:t>3.3.5.2.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_Toc58403650 \h </w:instrText>
        </w:r>
        <w:r w:rsidR="00D723DD" w:rsidRPr="00AA1421">
          <w:rPr>
            <w:webHidden/>
          </w:rPr>
        </w:r>
        <w:r w:rsidR="00D723DD" w:rsidRPr="00AA1421">
          <w:rPr>
            <w:webHidden/>
          </w:rPr>
          <w:fldChar w:fldCharType="separate"/>
        </w:r>
        <w:r w:rsidR="00D723DD" w:rsidRPr="00AA1421">
          <w:rPr>
            <w:webHidden/>
          </w:rPr>
          <w:t>118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1" w:history="1">
        <w:r w:rsidR="00D723DD" w:rsidRPr="00AA1421">
          <w:rPr>
            <w:rStyle w:val="Hyperlink"/>
            <w:rFonts w:ascii="Times New Roman" w:hAnsi="Times New Roman"/>
          </w:rPr>
          <w:t>3.3.6.</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08.07 – Ryzyko kredytowe oraz dostawy z późniejszym terminem rozliczenia: wymogi kapitałowe według metody IRB (zakres stosowania metody IRB i metody standardowej (CR IRB 7))</w:t>
        </w:r>
        <w:r w:rsidR="00D723DD" w:rsidRPr="00AA1421">
          <w:rPr>
            <w:webHidden/>
          </w:rPr>
          <w:tab/>
        </w:r>
        <w:r w:rsidR="00D723DD" w:rsidRPr="00AA1421">
          <w:rPr>
            <w:webHidden/>
          </w:rPr>
          <w:fldChar w:fldCharType="begin"/>
        </w:r>
        <w:r w:rsidR="00D723DD" w:rsidRPr="00AA1421">
          <w:rPr>
            <w:webHidden/>
          </w:rPr>
          <w:instrText xml:space="preserve"> PAGEREF _Toc58403651 \h </w:instrText>
        </w:r>
        <w:r w:rsidR="00D723DD" w:rsidRPr="00AA1421">
          <w:rPr>
            <w:webHidden/>
          </w:rPr>
        </w:r>
        <w:r w:rsidR="00D723DD" w:rsidRPr="00AA1421">
          <w:rPr>
            <w:webHidden/>
          </w:rPr>
          <w:fldChar w:fldCharType="separate"/>
        </w:r>
        <w:r w:rsidR="00D723DD" w:rsidRPr="00AA1421">
          <w:rPr>
            <w:webHidden/>
          </w:rPr>
          <w:t>119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2" w:history="1">
        <w:r w:rsidR="00D723DD" w:rsidRPr="00AA1421">
          <w:rPr>
            <w:rStyle w:val="Hyperlink"/>
            <w:rFonts w:ascii="Times New Roman" w:hAnsi="Times New Roman"/>
          </w:rPr>
          <w:t>3.3.6.1.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_Toc58403652 \h </w:instrText>
        </w:r>
        <w:r w:rsidR="00D723DD" w:rsidRPr="00AA1421">
          <w:rPr>
            <w:webHidden/>
          </w:rPr>
        </w:r>
        <w:r w:rsidR="00D723DD" w:rsidRPr="00AA1421">
          <w:rPr>
            <w:webHidden/>
          </w:rPr>
          <w:fldChar w:fldCharType="separate"/>
        </w:r>
        <w:r w:rsidR="00D723DD" w:rsidRPr="00AA1421">
          <w:rPr>
            <w:webHidden/>
          </w:rPr>
          <w:t>119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3" w:history="1">
        <w:r w:rsidR="00D723DD" w:rsidRPr="00AA1421">
          <w:rPr>
            <w:rStyle w:val="Hyperlink"/>
            <w:rFonts w:ascii="Times New Roman" w:hAnsi="Times New Roman"/>
          </w:rPr>
          <w:t>3.3.6.2.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_Toc58403653 \h </w:instrText>
        </w:r>
        <w:r w:rsidR="00D723DD" w:rsidRPr="00AA1421">
          <w:rPr>
            <w:webHidden/>
          </w:rPr>
        </w:r>
        <w:r w:rsidR="00D723DD" w:rsidRPr="00AA1421">
          <w:rPr>
            <w:webHidden/>
          </w:rPr>
          <w:fldChar w:fldCharType="separate"/>
        </w:r>
        <w:r w:rsidR="00D723DD" w:rsidRPr="00AA1421">
          <w:rPr>
            <w:webHidden/>
          </w:rPr>
          <w:t>120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4" w:history="1">
        <w:r w:rsidR="00D723DD" w:rsidRPr="00AA1421">
          <w:rPr>
            <w:rStyle w:val="Hyperlink"/>
            <w:rFonts w:ascii="Times New Roman" w:hAnsi="Times New Roman"/>
          </w:rPr>
          <w:t>3.4.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Ryzyko kredytowe i ryzyko kredytowe kontrahenta oraz dostawy z późniejszym terminem rozliczenia: Informacje z podziałem pod względem geograficznym</w:t>
        </w:r>
        <w:r w:rsidR="00D723DD" w:rsidRPr="00AA1421">
          <w:rPr>
            <w:webHidden/>
          </w:rPr>
          <w:tab/>
        </w:r>
        <w:r w:rsidR="00D723DD" w:rsidRPr="00AA1421">
          <w:rPr>
            <w:webHidden/>
          </w:rPr>
          <w:fldChar w:fldCharType="begin"/>
        </w:r>
        <w:r w:rsidR="00D723DD" w:rsidRPr="00AA1421">
          <w:rPr>
            <w:webHidden/>
          </w:rPr>
          <w:instrText xml:space="preserve"> PAGEREF _Toc58403654 \h </w:instrText>
        </w:r>
        <w:r w:rsidR="00D723DD" w:rsidRPr="00AA1421">
          <w:rPr>
            <w:webHidden/>
          </w:rPr>
        </w:r>
        <w:r w:rsidR="00D723DD" w:rsidRPr="00AA1421">
          <w:rPr>
            <w:webHidden/>
          </w:rPr>
          <w:fldChar w:fldCharType="separate"/>
        </w:r>
        <w:r w:rsidR="00D723DD" w:rsidRPr="00AA1421">
          <w:rPr>
            <w:webHidden/>
          </w:rPr>
          <w:t>121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5" w:history="1">
        <w:r w:rsidR="00D723DD" w:rsidRPr="00AA1421">
          <w:rPr>
            <w:rStyle w:val="Hyperlink"/>
            <w:rFonts w:ascii="Times New Roman" w:hAnsi="Times New Roman"/>
          </w:rPr>
          <w:t>3.4.1.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09.01 – Podział ekspozycji pod względem geograficznym według siedziby dłużnika: ekspozycje według metody standardowej (CR GB 1)</w:t>
        </w:r>
        <w:r w:rsidR="00D723DD" w:rsidRPr="00AA1421">
          <w:rPr>
            <w:webHidden/>
          </w:rPr>
          <w:tab/>
        </w:r>
        <w:r w:rsidR="00D723DD" w:rsidRPr="00AA1421">
          <w:rPr>
            <w:webHidden/>
          </w:rPr>
          <w:fldChar w:fldCharType="begin"/>
        </w:r>
        <w:r w:rsidR="00D723DD" w:rsidRPr="00AA1421">
          <w:rPr>
            <w:webHidden/>
          </w:rPr>
          <w:instrText xml:space="preserve"> PAGEREF _Toc58403655 \h </w:instrText>
        </w:r>
        <w:r w:rsidR="00D723DD" w:rsidRPr="00AA1421">
          <w:rPr>
            <w:webHidden/>
          </w:rPr>
        </w:r>
        <w:r w:rsidR="00D723DD" w:rsidRPr="00AA1421">
          <w:rPr>
            <w:webHidden/>
          </w:rPr>
          <w:fldChar w:fldCharType="separate"/>
        </w:r>
        <w:r w:rsidR="00D723DD" w:rsidRPr="00AA1421">
          <w:rPr>
            <w:webHidden/>
          </w:rPr>
          <w:t>121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6" w:history="1">
        <w:r w:rsidR="00D723DD" w:rsidRPr="00AA1421">
          <w:rPr>
            <w:rStyle w:val="Hyperlink"/>
            <w:rFonts w:ascii="Times New Roman" w:hAnsi="Times New Roman"/>
          </w:rPr>
          <w:t>3.4.1.1.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_Toc58403656 \h </w:instrText>
        </w:r>
        <w:r w:rsidR="00D723DD" w:rsidRPr="00AA1421">
          <w:rPr>
            <w:webHidden/>
          </w:rPr>
        </w:r>
        <w:r w:rsidR="00D723DD" w:rsidRPr="00AA1421">
          <w:rPr>
            <w:webHidden/>
          </w:rPr>
          <w:fldChar w:fldCharType="separate"/>
        </w:r>
        <w:r w:rsidR="00D723DD" w:rsidRPr="00AA1421">
          <w:rPr>
            <w:webHidden/>
          </w:rPr>
          <w:t>121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7" w:history="1">
        <w:r w:rsidR="00D723DD" w:rsidRPr="00AA1421">
          <w:rPr>
            <w:rStyle w:val="Hyperlink"/>
            <w:rFonts w:ascii="Times New Roman" w:hAnsi="Times New Roman"/>
          </w:rPr>
          <w:t>3.4.2.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09.02 – Podział ekspozycji pod względem geograficznym według siedziby dłużnika: ekspozycje według metody IRB (CR GB 2)</w:t>
        </w:r>
        <w:r w:rsidR="00D723DD" w:rsidRPr="00AA1421">
          <w:rPr>
            <w:webHidden/>
          </w:rPr>
          <w:tab/>
        </w:r>
        <w:r w:rsidR="00D723DD" w:rsidRPr="00AA1421">
          <w:rPr>
            <w:webHidden/>
          </w:rPr>
          <w:fldChar w:fldCharType="begin"/>
        </w:r>
        <w:r w:rsidR="00D723DD" w:rsidRPr="00AA1421">
          <w:rPr>
            <w:webHidden/>
          </w:rPr>
          <w:instrText xml:space="preserve"> PAGEREF _Toc58403657 \h </w:instrText>
        </w:r>
        <w:r w:rsidR="00D723DD" w:rsidRPr="00AA1421">
          <w:rPr>
            <w:webHidden/>
          </w:rPr>
        </w:r>
        <w:r w:rsidR="00D723DD" w:rsidRPr="00AA1421">
          <w:rPr>
            <w:webHidden/>
          </w:rPr>
          <w:fldChar w:fldCharType="separate"/>
        </w:r>
        <w:r w:rsidR="00D723DD" w:rsidRPr="00AA1421">
          <w:rPr>
            <w:webHidden/>
          </w:rPr>
          <w:t>125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8" w:history="1">
        <w:r w:rsidR="00D723DD" w:rsidRPr="00AA1421">
          <w:rPr>
            <w:rStyle w:val="Hyperlink"/>
            <w:rFonts w:ascii="Times New Roman" w:hAnsi="Times New Roman"/>
          </w:rPr>
          <w:t>3.4.2.1.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_Toc58403658 \h </w:instrText>
        </w:r>
        <w:r w:rsidR="00D723DD" w:rsidRPr="00AA1421">
          <w:rPr>
            <w:webHidden/>
          </w:rPr>
        </w:r>
        <w:r w:rsidR="00D723DD" w:rsidRPr="00AA1421">
          <w:rPr>
            <w:webHidden/>
          </w:rPr>
          <w:fldChar w:fldCharType="separate"/>
        </w:r>
        <w:r w:rsidR="00D723DD" w:rsidRPr="00AA1421">
          <w:rPr>
            <w:webHidden/>
          </w:rPr>
          <w:t>125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59" w:history="1">
        <w:r w:rsidR="00D723DD" w:rsidRPr="00AA1421">
          <w:rPr>
            <w:rStyle w:val="Hyperlink"/>
            <w:rFonts w:ascii="Times New Roman" w:hAnsi="Times New Roman"/>
          </w:rPr>
          <w:t>3.4.3.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09.04 – Podział ekspozycji kredytowych istotnych do celów obliczania bufora antycyklicznego według państw oraz specyficznego dla instytucji wskaźnika bufora antycyklicznego (CCB)</w:t>
        </w:r>
        <w:r w:rsidR="00D723DD" w:rsidRPr="00AA1421">
          <w:rPr>
            <w:webHidden/>
          </w:rPr>
          <w:tab/>
        </w:r>
        <w:r w:rsidR="00D723DD" w:rsidRPr="00AA1421">
          <w:rPr>
            <w:webHidden/>
          </w:rPr>
          <w:fldChar w:fldCharType="begin"/>
        </w:r>
        <w:r w:rsidR="00D723DD" w:rsidRPr="00AA1421">
          <w:rPr>
            <w:webHidden/>
          </w:rPr>
          <w:instrText xml:space="preserve"> PAGEREF _Toc58403659 \h </w:instrText>
        </w:r>
        <w:r w:rsidR="00D723DD" w:rsidRPr="00AA1421">
          <w:rPr>
            <w:webHidden/>
          </w:rPr>
        </w:r>
        <w:r w:rsidR="00D723DD" w:rsidRPr="00AA1421">
          <w:rPr>
            <w:webHidden/>
          </w:rPr>
          <w:fldChar w:fldCharType="separate"/>
        </w:r>
        <w:r w:rsidR="00D723DD" w:rsidRPr="00AA1421">
          <w:rPr>
            <w:webHidden/>
          </w:rPr>
          <w:t>128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0" w:history="1">
        <w:r w:rsidR="00D723DD" w:rsidRPr="00AA1421">
          <w:rPr>
            <w:rStyle w:val="Hyperlink"/>
            <w:rFonts w:ascii="Times New Roman" w:hAnsi="Times New Roman"/>
          </w:rPr>
          <w:t>3.4.3.1.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_Toc58403660 \h </w:instrText>
        </w:r>
        <w:r w:rsidR="00D723DD" w:rsidRPr="00AA1421">
          <w:rPr>
            <w:webHidden/>
          </w:rPr>
        </w:r>
        <w:r w:rsidR="00D723DD" w:rsidRPr="00AA1421">
          <w:rPr>
            <w:webHidden/>
          </w:rPr>
          <w:fldChar w:fldCharType="separate"/>
        </w:r>
        <w:r w:rsidR="00D723DD" w:rsidRPr="00AA1421">
          <w:rPr>
            <w:webHidden/>
          </w:rPr>
          <w:t>128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1" w:history="1">
        <w:r w:rsidR="00D723DD" w:rsidRPr="00AA1421">
          <w:rPr>
            <w:rStyle w:val="Hyperlink"/>
            <w:rFonts w:ascii="Times New Roman" w:hAnsi="Times New Roman"/>
          </w:rPr>
          <w:t>3.4.3.2.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_Toc58403661 \h </w:instrText>
        </w:r>
        <w:r w:rsidR="00D723DD" w:rsidRPr="00AA1421">
          <w:rPr>
            <w:webHidden/>
          </w:rPr>
        </w:r>
        <w:r w:rsidR="00D723DD" w:rsidRPr="00AA1421">
          <w:rPr>
            <w:webHidden/>
          </w:rPr>
          <w:fldChar w:fldCharType="separate"/>
        </w:r>
        <w:r w:rsidR="00D723DD" w:rsidRPr="00AA1421">
          <w:rPr>
            <w:webHidden/>
          </w:rPr>
          <w:t>129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2" w:history="1">
        <w:r w:rsidR="00D723DD" w:rsidRPr="00AA1421">
          <w:rPr>
            <w:rStyle w:val="Hyperlink"/>
            <w:rFonts w:ascii="Times New Roman" w:hAnsi="Times New Roman"/>
          </w:rPr>
          <w:t>3.5.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10.01 oraz C 10.02 – Ekspozycje kapitałowe, w odniesieniu do których zastosowano metodę wewnętrznych ratingów (CR EQU IRB 1 oraz CR EQU IRB 2)</w:t>
        </w:r>
        <w:r w:rsidR="00D723DD" w:rsidRPr="00AA1421">
          <w:rPr>
            <w:webHidden/>
          </w:rPr>
          <w:tab/>
        </w:r>
        <w:r w:rsidR="00D723DD" w:rsidRPr="00AA1421">
          <w:rPr>
            <w:webHidden/>
          </w:rPr>
          <w:fldChar w:fldCharType="begin"/>
        </w:r>
        <w:r w:rsidR="00D723DD" w:rsidRPr="00AA1421">
          <w:rPr>
            <w:webHidden/>
          </w:rPr>
          <w:instrText xml:space="preserve"> PAGEREF _Toc58403662 \h </w:instrText>
        </w:r>
        <w:r w:rsidR="00D723DD" w:rsidRPr="00AA1421">
          <w:rPr>
            <w:webHidden/>
          </w:rPr>
        </w:r>
        <w:r w:rsidR="00D723DD" w:rsidRPr="00AA1421">
          <w:rPr>
            <w:webHidden/>
          </w:rPr>
          <w:fldChar w:fldCharType="separate"/>
        </w:r>
        <w:r w:rsidR="00D723DD" w:rsidRPr="00AA1421">
          <w:rPr>
            <w:webHidden/>
          </w:rPr>
          <w:t>133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3" w:history="1">
        <w:r w:rsidR="00D723DD" w:rsidRPr="00AA1421">
          <w:rPr>
            <w:rStyle w:val="Hyperlink"/>
            <w:rFonts w:ascii="Times New Roman" w:hAnsi="Times New Roman"/>
          </w:rPr>
          <w:t>3.5.1.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_Toc58403663 \h </w:instrText>
        </w:r>
        <w:r w:rsidR="00D723DD" w:rsidRPr="00AA1421">
          <w:rPr>
            <w:webHidden/>
          </w:rPr>
        </w:r>
        <w:r w:rsidR="00D723DD" w:rsidRPr="00AA1421">
          <w:rPr>
            <w:webHidden/>
          </w:rPr>
          <w:fldChar w:fldCharType="separate"/>
        </w:r>
        <w:r w:rsidR="00D723DD" w:rsidRPr="00AA1421">
          <w:rPr>
            <w:webHidden/>
          </w:rPr>
          <w:t>133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4" w:history="1">
        <w:r w:rsidR="00D723DD" w:rsidRPr="00AA1421">
          <w:rPr>
            <w:rStyle w:val="Hyperlink"/>
            <w:rFonts w:ascii="Times New Roman" w:hAnsi="Times New Roman"/>
          </w:rPr>
          <w:t>3.5.2.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 (mające zastosowanie zarówno do CR EQU IRB 1, jak i do CR EQU IRB 2)</w:t>
        </w:r>
        <w:r w:rsidR="00D723DD" w:rsidRPr="00AA1421">
          <w:rPr>
            <w:webHidden/>
          </w:rPr>
          <w:tab/>
        </w:r>
        <w:r w:rsidR="00D723DD" w:rsidRPr="00AA1421">
          <w:rPr>
            <w:webHidden/>
          </w:rPr>
          <w:fldChar w:fldCharType="begin"/>
        </w:r>
        <w:r w:rsidR="00D723DD" w:rsidRPr="00AA1421">
          <w:rPr>
            <w:webHidden/>
          </w:rPr>
          <w:instrText xml:space="preserve"> PAGEREF _Toc58403664 \h </w:instrText>
        </w:r>
        <w:r w:rsidR="00D723DD" w:rsidRPr="00AA1421">
          <w:rPr>
            <w:webHidden/>
          </w:rPr>
        </w:r>
        <w:r w:rsidR="00D723DD" w:rsidRPr="00AA1421">
          <w:rPr>
            <w:webHidden/>
          </w:rPr>
          <w:fldChar w:fldCharType="separate"/>
        </w:r>
        <w:r w:rsidR="00D723DD" w:rsidRPr="00AA1421">
          <w:rPr>
            <w:webHidden/>
          </w:rPr>
          <w:t>134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5" w:history="1">
        <w:r w:rsidR="00D723DD" w:rsidRPr="00AA1421">
          <w:rPr>
            <w:rStyle w:val="Hyperlink"/>
            <w:rFonts w:ascii="Times New Roman" w:hAnsi="Times New Roman"/>
          </w:rPr>
          <w:t>3.6.</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11.00 – Ryzyko rozliczenia/dostawy (CR SETT)</w:t>
        </w:r>
        <w:r w:rsidR="00D723DD" w:rsidRPr="00AA1421">
          <w:rPr>
            <w:webHidden/>
          </w:rPr>
          <w:tab/>
        </w:r>
        <w:r w:rsidR="00D723DD" w:rsidRPr="00AA1421">
          <w:rPr>
            <w:webHidden/>
          </w:rPr>
          <w:fldChar w:fldCharType="begin"/>
        </w:r>
        <w:r w:rsidR="00D723DD" w:rsidRPr="00AA1421">
          <w:rPr>
            <w:webHidden/>
          </w:rPr>
          <w:instrText xml:space="preserve"> PAGEREF _Toc58403665 \h </w:instrText>
        </w:r>
        <w:r w:rsidR="00D723DD" w:rsidRPr="00AA1421">
          <w:rPr>
            <w:webHidden/>
          </w:rPr>
        </w:r>
        <w:r w:rsidR="00D723DD" w:rsidRPr="00AA1421">
          <w:rPr>
            <w:webHidden/>
          </w:rPr>
          <w:fldChar w:fldCharType="separate"/>
        </w:r>
        <w:r w:rsidR="00D723DD" w:rsidRPr="00AA1421">
          <w:rPr>
            <w:webHidden/>
          </w:rPr>
          <w:t>138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6" w:history="1">
        <w:r w:rsidR="00D723DD" w:rsidRPr="00AA1421">
          <w:rPr>
            <w:rStyle w:val="Hyperlink"/>
            <w:rFonts w:ascii="Times New Roman" w:hAnsi="Times New Roman"/>
          </w:rPr>
          <w:t>3.6.1.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_Toc58403666 \h </w:instrText>
        </w:r>
        <w:r w:rsidR="00D723DD" w:rsidRPr="00AA1421">
          <w:rPr>
            <w:webHidden/>
          </w:rPr>
        </w:r>
        <w:r w:rsidR="00D723DD" w:rsidRPr="00AA1421">
          <w:rPr>
            <w:webHidden/>
          </w:rPr>
          <w:fldChar w:fldCharType="separate"/>
        </w:r>
        <w:r w:rsidR="00D723DD" w:rsidRPr="00AA1421">
          <w:rPr>
            <w:webHidden/>
          </w:rPr>
          <w:t>138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7" w:history="1">
        <w:r w:rsidR="00D723DD" w:rsidRPr="00AA1421">
          <w:rPr>
            <w:rStyle w:val="Hyperlink"/>
            <w:rFonts w:ascii="Times New Roman" w:hAnsi="Times New Roman"/>
          </w:rPr>
          <w:t>3.6.2.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_Toc58403667 \h </w:instrText>
        </w:r>
        <w:r w:rsidR="00D723DD" w:rsidRPr="00AA1421">
          <w:rPr>
            <w:webHidden/>
          </w:rPr>
        </w:r>
        <w:r w:rsidR="00D723DD" w:rsidRPr="00AA1421">
          <w:rPr>
            <w:webHidden/>
          </w:rPr>
          <w:fldChar w:fldCharType="separate"/>
        </w:r>
        <w:r w:rsidR="00D723DD" w:rsidRPr="00AA1421">
          <w:rPr>
            <w:webHidden/>
          </w:rPr>
          <w:t>139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8" w:history="1">
        <w:r w:rsidR="00D723DD" w:rsidRPr="00AA1421">
          <w:rPr>
            <w:rStyle w:val="Hyperlink"/>
            <w:rFonts w:ascii="Times New Roman" w:hAnsi="Times New Roman"/>
          </w:rPr>
          <w:t>3.7.</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13.01 – Ryzyko kredytowe – sekurytyzacje (CR SEC)</w:t>
        </w:r>
        <w:r w:rsidR="00D723DD" w:rsidRPr="00AA1421">
          <w:rPr>
            <w:webHidden/>
          </w:rPr>
          <w:tab/>
        </w:r>
        <w:r w:rsidR="00D723DD" w:rsidRPr="00AA1421">
          <w:rPr>
            <w:webHidden/>
          </w:rPr>
          <w:fldChar w:fldCharType="begin"/>
        </w:r>
        <w:r w:rsidR="00D723DD" w:rsidRPr="00AA1421">
          <w:rPr>
            <w:webHidden/>
          </w:rPr>
          <w:instrText xml:space="preserve"> PAGEREF _Toc58403668 \h </w:instrText>
        </w:r>
        <w:r w:rsidR="00D723DD" w:rsidRPr="00AA1421">
          <w:rPr>
            <w:webHidden/>
          </w:rPr>
        </w:r>
        <w:r w:rsidR="00D723DD" w:rsidRPr="00AA1421">
          <w:rPr>
            <w:webHidden/>
          </w:rPr>
          <w:fldChar w:fldCharType="separate"/>
        </w:r>
        <w:r w:rsidR="00D723DD" w:rsidRPr="00AA1421">
          <w:rPr>
            <w:webHidden/>
          </w:rPr>
          <w:t>142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69" w:history="1">
        <w:r w:rsidR="00D723DD" w:rsidRPr="00AA1421">
          <w:rPr>
            <w:rStyle w:val="Hyperlink"/>
            <w:rFonts w:ascii="Times New Roman" w:hAnsi="Times New Roman"/>
          </w:rPr>
          <w:t>3.7.1.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_Toc58403669 \h </w:instrText>
        </w:r>
        <w:r w:rsidR="00D723DD" w:rsidRPr="00AA1421">
          <w:rPr>
            <w:webHidden/>
          </w:rPr>
        </w:r>
        <w:r w:rsidR="00D723DD" w:rsidRPr="00AA1421">
          <w:rPr>
            <w:webHidden/>
          </w:rPr>
          <w:fldChar w:fldCharType="separate"/>
        </w:r>
        <w:r w:rsidR="00D723DD" w:rsidRPr="00AA1421">
          <w:rPr>
            <w:webHidden/>
          </w:rPr>
          <w:t>142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0" w:history="1">
        <w:r w:rsidR="00D723DD" w:rsidRPr="00AA1421">
          <w:rPr>
            <w:rStyle w:val="Hyperlink"/>
            <w:rFonts w:ascii="Times New Roman" w:hAnsi="Times New Roman"/>
          </w:rPr>
          <w:t>3.7.2.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_Toc58403670 \h </w:instrText>
        </w:r>
        <w:r w:rsidR="00D723DD" w:rsidRPr="00AA1421">
          <w:rPr>
            <w:webHidden/>
          </w:rPr>
        </w:r>
        <w:r w:rsidR="00D723DD" w:rsidRPr="00AA1421">
          <w:rPr>
            <w:webHidden/>
          </w:rPr>
          <w:fldChar w:fldCharType="separate"/>
        </w:r>
        <w:r w:rsidR="00D723DD" w:rsidRPr="00AA1421">
          <w:rPr>
            <w:webHidden/>
          </w:rPr>
          <w:t>142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1" w:history="1">
        <w:r w:rsidR="00D723DD" w:rsidRPr="00AA1421">
          <w:rPr>
            <w:rStyle w:val="Hyperlink"/>
            <w:rFonts w:ascii="Times New Roman" w:hAnsi="Times New Roman"/>
          </w:rPr>
          <w:t>3.8.</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Szczegółowe informacje na temat sekurytyzacji (SEC SZCZEGÓŁY)</w:t>
        </w:r>
        <w:r w:rsidR="00D723DD" w:rsidRPr="00AA1421">
          <w:rPr>
            <w:webHidden/>
          </w:rPr>
          <w:tab/>
        </w:r>
        <w:r w:rsidR="00D723DD" w:rsidRPr="00AA1421">
          <w:rPr>
            <w:webHidden/>
          </w:rPr>
          <w:fldChar w:fldCharType="begin"/>
        </w:r>
        <w:r w:rsidR="00D723DD" w:rsidRPr="00AA1421">
          <w:rPr>
            <w:webHidden/>
          </w:rPr>
          <w:instrText xml:space="preserve"> PAGEREF _Toc58403671 \h </w:instrText>
        </w:r>
        <w:r w:rsidR="00D723DD" w:rsidRPr="00AA1421">
          <w:rPr>
            <w:webHidden/>
          </w:rPr>
        </w:r>
        <w:r w:rsidR="00D723DD" w:rsidRPr="00AA1421">
          <w:rPr>
            <w:webHidden/>
          </w:rPr>
          <w:fldChar w:fldCharType="separate"/>
        </w:r>
        <w:r w:rsidR="00D723DD" w:rsidRPr="00AA1421">
          <w:rPr>
            <w:webHidden/>
          </w:rPr>
          <w:t>154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2" w:history="1">
        <w:r w:rsidR="00D723DD" w:rsidRPr="00AA1421">
          <w:rPr>
            <w:rStyle w:val="Hyperlink"/>
            <w:rFonts w:ascii="Times New Roman" w:hAnsi="Times New Roman"/>
          </w:rPr>
          <w:t>3.8.1.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Zakres stosowania wzoru SEC SZCZEGÓŁY</w:t>
        </w:r>
        <w:r w:rsidR="00D723DD" w:rsidRPr="00AA1421">
          <w:rPr>
            <w:webHidden/>
          </w:rPr>
          <w:tab/>
        </w:r>
        <w:r w:rsidR="00D723DD" w:rsidRPr="00AA1421">
          <w:rPr>
            <w:webHidden/>
          </w:rPr>
          <w:fldChar w:fldCharType="begin"/>
        </w:r>
        <w:r w:rsidR="00D723DD" w:rsidRPr="00AA1421">
          <w:rPr>
            <w:webHidden/>
          </w:rPr>
          <w:instrText xml:space="preserve"> PAGEREF _Toc58403672 \h </w:instrText>
        </w:r>
        <w:r w:rsidR="00D723DD" w:rsidRPr="00AA1421">
          <w:rPr>
            <w:webHidden/>
          </w:rPr>
        </w:r>
        <w:r w:rsidR="00D723DD" w:rsidRPr="00AA1421">
          <w:rPr>
            <w:webHidden/>
          </w:rPr>
          <w:fldChar w:fldCharType="separate"/>
        </w:r>
        <w:r w:rsidR="00D723DD" w:rsidRPr="00AA1421">
          <w:rPr>
            <w:webHidden/>
          </w:rPr>
          <w:t>154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3" w:history="1">
        <w:r w:rsidR="00D723DD" w:rsidRPr="00AA1421">
          <w:rPr>
            <w:rStyle w:val="Hyperlink"/>
            <w:rFonts w:ascii="Times New Roman" w:hAnsi="Times New Roman"/>
          </w:rPr>
          <w:t>3.8.2 Podział wzoru SEC SZCZEGÓŁY</w:t>
        </w:r>
        <w:r w:rsidR="00D723DD" w:rsidRPr="00AA1421">
          <w:rPr>
            <w:webHidden/>
          </w:rPr>
          <w:tab/>
        </w:r>
        <w:r w:rsidR="00D723DD" w:rsidRPr="00AA1421">
          <w:rPr>
            <w:webHidden/>
          </w:rPr>
          <w:fldChar w:fldCharType="begin"/>
        </w:r>
        <w:r w:rsidR="00D723DD" w:rsidRPr="00AA1421">
          <w:rPr>
            <w:webHidden/>
          </w:rPr>
          <w:instrText xml:space="preserve"> PAGEREF _Toc58403673 \h </w:instrText>
        </w:r>
        <w:r w:rsidR="00D723DD" w:rsidRPr="00AA1421">
          <w:rPr>
            <w:webHidden/>
          </w:rPr>
        </w:r>
        <w:r w:rsidR="00D723DD" w:rsidRPr="00AA1421">
          <w:rPr>
            <w:webHidden/>
          </w:rPr>
          <w:fldChar w:fldCharType="separate"/>
        </w:r>
        <w:r w:rsidR="00D723DD" w:rsidRPr="00AA1421">
          <w:rPr>
            <w:webHidden/>
          </w:rPr>
          <w:t>155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4" w:history="1">
        <w:r w:rsidR="00D723DD" w:rsidRPr="00AA1421">
          <w:rPr>
            <w:rStyle w:val="Hyperlink"/>
            <w:rFonts w:ascii="Times New Roman" w:hAnsi="Times New Roman"/>
          </w:rPr>
          <w:t>3.8.3 C 14.00 – Szczegółowe informacje na temat sekurytyzacji (SEC SZCZEGÓŁY)</w:t>
        </w:r>
        <w:r w:rsidR="00D723DD" w:rsidRPr="00AA1421">
          <w:rPr>
            <w:webHidden/>
          </w:rPr>
          <w:tab/>
        </w:r>
        <w:r w:rsidR="00D723DD" w:rsidRPr="00AA1421">
          <w:rPr>
            <w:webHidden/>
          </w:rPr>
          <w:fldChar w:fldCharType="begin"/>
        </w:r>
        <w:r w:rsidR="00D723DD" w:rsidRPr="00AA1421">
          <w:rPr>
            <w:webHidden/>
          </w:rPr>
          <w:instrText xml:space="preserve"> PAGEREF _Toc58403674 \h </w:instrText>
        </w:r>
        <w:r w:rsidR="00D723DD" w:rsidRPr="00AA1421">
          <w:rPr>
            <w:webHidden/>
          </w:rPr>
        </w:r>
        <w:r w:rsidR="00D723DD" w:rsidRPr="00AA1421">
          <w:rPr>
            <w:webHidden/>
          </w:rPr>
          <w:fldChar w:fldCharType="separate"/>
        </w:r>
        <w:r w:rsidR="00D723DD" w:rsidRPr="00AA1421">
          <w:rPr>
            <w:webHidden/>
          </w:rPr>
          <w:t>156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5" w:history="1">
        <w:r w:rsidR="00D723DD" w:rsidRPr="00AA1421">
          <w:rPr>
            <w:rStyle w:val="Hyperlink"/>
            <w:rFonts w:ascii="Times New Roman" w:hAnsi="Times New Roman"/>
          </w:rPr>
          <w:t>3.8.4.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14.01 – Szczegółowe informacje na temat sekurytyzacji według metody (SEC Szczegóły 2)</w:t>
        </w:r>
        <w:r w:rsidR="00D723DD" w:rsidRPr="00AA1421">
          <w:rPr>
            <w:webHidden/>
          </w:rPr>
          <w:tab/>
        </w:r>
        <w:r w:rsidR="00D723DD" w:rsidRPr="00AA1421">
          <w:rPr>
            <w:webHidden/>
          </w:rPr>
          <w:fldChar w:fldCharType="begin"/>
        </w:r>
        <w:r w:rsidR="00D723DD" w:rsidRPr="00AA1421">
          <w:rPr>
            <w:webHidden/>
          </w:rPr>
          <w:instrText xml:space="preserve"> PAGEREF _Toc58403675 \h </w:instrText>
        </w:r>
        <w:r w:rsidR="00D723DD" w:rsidRPr="00AA1421">
          <w:rPr>
            <w:webHidden/>
          </w:rPr>
        </w:r>
        <w:r w:rsidR="00D723DD" w:rsidRPr="00AA1421">
          <w:rPr>
            <w:webHidden/>
          </w:rPr>
          <w:fldChar w:fldCharType="separate"/>
        </w:r>
        <w:r w:rsidR="00D723DD" w:rsidRPr="00AA1421">
          <w:rPr>
            <w:webHidden/>
          </w:rPr>
          <w:t>169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6" w:history="1">
        <w:r w:rsidR="00D723DD" w:rsidRPr="00AA1421">
          <w:rPr>
            <w:rStyle w:val="Hyperlink"/>
            <w:rFonts w:ascii="Times New Roman" w:hAnsi="Times New Roman"/>
          </w:rPr>
          <w:t>3.9.</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Ryzyko kredytowe kontrahenta</w:t>
        </w:r>
        <w:r w:rsidR="00D723DD" w:rsidRPr="00AA1421">
          <w:rPr>
            <w:webHidden/>
          </w:rPr>
          <w:tab/>
        </w:r>
        <w:r w:rsidR="00D723DD" w:rsidRPr="00AA1421">
          <w:rPr>
            <w:webHidden/>
          </w:rPr>
          <w:fldChar w:fldCharType="begin"/>
        </w:r>
        <w:r w:rsidR="00D723DD" w:rsidRPr="00AA1421">
          <w:rPr>
            <w:webHidden/>
          </w:rPr>
          <w:instrText xml:space="preserve"> PAGEREF _Toc58403676 \h </w:instrText>
        </w:r>
        <w:r w:rsidR="00D723DD" w:rsidRPr="00AA1421">
          <w:rPr>
            <w:webHidden/>
          </w:rPr>
        </w:r>
        <w:r w:rsidR="00D723DD" w:rsidRPr="00AA1421">
          <w:rPr>
            <w:webHidden/>
          </w:rPr>
          <w:fldChar w:fldCharType="separate"/>
        </w:r>
        <w:r w:rsidR="00D723DD" w:rsidRPr="00AA1421">
          <w:rPr>
            <w:webHidden/>
          </w:rPr>
          <w:t>173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7" w:history="1">
        <w:r w:rsidR="00D723DD" w:rsidRPr="00AA1421">
          <w:rPr>
            <w:rStyle w:val="Hyperlink"/>
            <w:rFonts w:ascii="Times New Roman" w:hAnsi="Times New Roman"/>
          </w:rPr>
          <w:t>3.9.1.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Zakres stosowania wzorów dotyczących ryzyka kredytowego kontrahenta</w:t>
        </w:r>
        <w:r w:rsidR="00D723DD" w:rsidRPr="00AA1421">
          <w:rPr>
            <w:webHidden/>
          </w:rPr>
          <w:tab/>
        </w:r>
        <w:r w:rsidR="00D723DD" w:rsidRPr="00AA1421">
          <w:rPr>
            <w:webHidden/>
          </w:rPr>
          <w:fldChar w:fldCharType="begin"/>
        </w:r>
        <w:r w:rsidR="00D723DD" w:rsidRPr="00AA1421">
          <w:rPr>
            <w:webHidden/>
          </w:rPr>
          <w:instrText xml:space="preserve"> PAGEREF _Toc58403677 \h </w:instrText>
        </w:r>
        <w:r w:rsidR="00D723DD" w:rsidRPr="00AA1421">
          <w:rPr>
            <w:webHidden/>
          </w:rPr>
        </w:r>
        <w:r w:rsidR="00D723DD" w:rsidRPr="00AA1421">
          <w:rPr>
            <w:webHidden/>
          </w:rPr>
          <w:fldChar w:fldCharType="separate"/>
        </w:r>
        <w:r w:rsidR="00D723DD" w:rsidRPr="00AA1421">
          <w:rPr>
            <w:webHidden/>
          </w:rPr>
          <w:t>173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8" w:history="1">
        <w:r w:rsidR="00D723DD" w:rsidRPr="00AA1421">
          <w:rPr>
            <w:rStyle w:val="Hyperlink"/>
            <w:rFonts w:ascii="Times New Roman" w:hAnsi="Times New Roman"/>
          </w:rPr>
          <w:t>3.9.2.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34.01 – Wielkość działalności dotyczącej instrumentów pochodnych</w:t>
        </w:r>
        <w:r w:rsidR="00D723DD" w:rsidRPr="00AA1421">
          <w:rPr>
            <w:webHidden/>
          </w:rPr>
          <w:tab/>
        </w:r>
        <w:r w:rsidR="00D723DD" w:rsidRPr="00AA1421">
          <w:rPr>
            <w:webHidden/>
          </w:rPr>
          <w:fldChar w:fldCharType="begin"/>
        </w:r>
        <w:r w:rsidR="00D723DD" w:rsidRPr="00AA1421">
          <w:rPr>
            <w:webHidden/>
          </w:rPr>
          <w:instrText xml:space="preserve"> PAGEREF _Toc58403678 \h </w:instrText>
        </w:r>
        <w:r w:rsidR="00D723DD" w:rsidRPr="00AA1421">
          <w:rPr>
            <w:webHidden/>
          </w:rPr>
        </w:r>
        <w:r w:rsidR="00D723DD" w:rsidRPr="00AA1421">
          <w:rPr>
            <w:webHidden/>
          </w:rPr>
          <w:fldChar w:fldCharType="separate"/>
        </w:r>
        <w:r w:rsidR="00D723DD" w:rsidRPr="00AA1421">
          <w:rPr>
            <w:webHidden/>
          </w:rPr>
          <w:t>173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79" w:history="1">
        <w:r w:rsidR="00D723DD" w:rsidRPr="00AA1421">
          <w:rPr>
            <w:rStyle w:val="Hyperlink"/>
            <w:rFonts w:ascii="Times New Roman" w:hAnsi="Times New Roman"/>
          </w:rPr>
          <w:t>3.9.2.1.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_Toc58403679 \h </w:instrText>
        </w:r>
        <w:r w:rsidR="00D723DD" w:rsidRPr="00AA1421">
          <w:rPr>
            <w:webHidden/>
          </w:rPr>
        </w:r>
        <w:r w:rsidR="00D723DD" w:rsidRPr="00AA1421">
          <w:rPr>
            <w:webHidden/>
          </w:rPr>
          <w:fldChar w:fldCharType="separate"/>
        </w:r>
        <w:r w:rsidR="00D723DD" w:rsidRPr="00AA1421">
          <w:rPr>
            <w:webHidden/>
          </w:rPr>
          <w:t>173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0" w:history="1">
        <w:r w:rsidR="00D723DD" w:rsidRPr="00AA1421">
          <w:rPr>
            <w:rStyle w:val="Hyperlink"/>
            <w:rFonts w:ascii="Times New Roman" w:hAnsi="Times New Roman"/>
          </w:rPr>
          <w:t>3.9.2.2.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_Toc58403680 \h </w:instrText>
        </w:r>
        <w:r w:rsidR="00D723DD" w:rsidRPr="00AA1421">
          <w:rPr>
            <w:webHidden/>
          </w:rPr>
        </w:r>
        <w:r w:rsidR="00D723DD" w:rsidRPr="00AA1421">
          <w:rPr>
            <w:webHidden/>
          </w:rPr>
          <w:fldChar w:fldCharType="separate"/>
        </w:r>
        <w:r w:rsidR="00D723DD" w:rsidRPr="00AA1421">
          <w:rPr>
            <w:webHidden/>
          </w:rPr>
          <w:t>173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1" w:history="1">
        <w:r w:rsidR="00D723DD" w:rsidRPr="00AA1421">
          <w:rPr>
            <w:rStyle w:val="Hyperlink"/>
            <w:rFonts w:ascii="Times New Roman" w:hAnsi="Times New Roman"/>
          </w:rPr>
          <w:t>3.9.3.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34.02 - Ekspozycje na ryzyko kredytowe kontrahenta według metod</w:t>
        </w:r>
        <w:r w:rsidR="00D723DD" w:rsidRPr="00AA1421">
          <w:rPr>
            <w:webHidden/>
          </w:rPr>
          <w:tab/>
        </w:r>
        <w:r w:rsidR="00D723DD" w:rsidRPr="00AA1421">
          <w:rPr>
            <w:webHidden/>
          </w:rPr>
          <w:fldChar w:fldCharType="begin"/>
        </w:r>
        <w:r w:rsidR="00D723DD" w:rsidRPr="00AA1421">
          <w:rPr>
            <w:webHidden/>
          </w:rPr>
          <w:instrText xml:space="preserve"> PAGEREF _Toc58403681 \h </w:instrText>
        </w:r>
        <w:r w:rsidR="00D723DD" w:rsidRPr="00AA1421">
          <w:rPr>
            <w:webHidden/>
          </w:rPr>
        </w:r>
        <w:r w:rsidR="00D723DD" w:rsidRPr="00AA1421">
          <w:rPr>
            <w:webHidden/>
          </w:rPr>
          <w:fldChar w:fldCharType="separate"/>
        </w:r>
        <w:r w:rsidR="00D723DD" w:rsidRPr="00AA1421">
          <w:rPr>
            <w:webHidden/>
          </w:rPr>
          <w:t>175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2" w:history="1">
        <w:r w:rsidR="00D723DD" w:rsidRPr="00AA1421">
          <w:rPr>
            <w:rStyle w:val="Hyperlink"/>
            <w:rFonts w:ascii="Times New Roman" w:hAnsi="Times New Roman"/>
          </w:rPr>
          <w:t>3.9.3.1.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_Toc58403682 \h </w:instrText>
        </w:r>
        <w:r w:rsidR="00D723DD" w:rsidRPr="00AA1421">
          <w:rPr>
            <w:webHidden/>
          </w:rPr>
        </w:r>
        <w:r w:rsidR="00D723DD" w:rsidRPr="00AA1421">
          <w:rPr>
            <w:webHidden/>
          </w:rPr>
          <w:fldChar w:fldCharType="separate"/>
        </w:r>
        <w:r w:rsidR="00D723DD" w:rsidRPr="00AA1421">
          <w:rPr>
            <w:webHidden/>
          </w:rPr>
          <w:t>175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3" w:history="1">
        <w:r w:rsidR="00D723DD" w:rsidRPr="00AA1421">
          <w:rPr>
            <w:rStyle w:val="Hyperlink"/>
            <w:rFonts w:ascii="Times New Roman" w:hAnsi="Times New Roman"/>
          </w:rPr>
          <w:t>3.9.3.2.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_Toc58403683 \h </w:instrText>
        </w:r>
        <w:r w:rsidR="00D723DD" w:rsidRPr="00AA1421">
          <w:rPr>
            <w:webHidden/>
          </w:rPr>
        </w:r>
        <w:r w:rsidR="00D723DD" w:rsidRPr="00AA1421">
          <w:rPr>
            <w:webHidden/>
          </w:rPr>
          <w:fldChar w:fldCharType="separate"/>
        </w:r>
        <w:r w:rsidR="00D723DD" w:rsidRPr="00AA1421">
          <w:rPr>
            <w:webHidden/>
          </w:rPr>
          <w:t>175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4" w:history="1">
        <w:r w:rsidR="00D723DD" w:rsidRPr="00AA1421">
          <w:rPr>
            <w:rStyle w:val="Hyperlink"/>
            <w:rFonts w:ascii="Times New Roman" w:hAnsi="Times New Roman"/>
          </w:rPr>
          <w:t>3.9.4.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34.03 – Ekspozycje na ryzyko kredytowe kontrahenta, w odniesieniu do których zastosowano metody standardowe: metoda standardowa dotycząca ryzyka kredytowego kontrahenta i uproszczona metoda standardowa dotycząca ryzyka kredytowego kontrahenta</w:t>
        </w:r>
        <w:r w:rsidR="00D723DD" w:rsidRPr="00AA1421">
          <w:rPr>
            <w:webHidden/>
          </w:rPr>
          <w:tab/>
        </w:r>
        <w:r w:rsidR="00D723DD" w:rsidRPr="00AA1421">
          <w:rPr>
            <w:webHidden/>
          </w:rPr>
          <w:fldChar w:fldCharType="begin"/>
        </w:r>
        <w:r w:rsidR="00D723DD" w:rsidRPr="00AA1421">
          <w:rPr>
            <w:webHidden/>
          </w:rPr>
          <w:instrText xml:space="preserve"> PAGEREF _Toc58403684 \h </w:instrText>
        </w:r>
        <w:r w:rsidR="00D723DD" w:rsidRPr="00AA1421">
          <w:rPr>
            <w:webHidden/>
          </w:rPr>
        </w:r>
        <w:r w:rsidR="00D723DD" w:rsidRPr="00AA1421">
          <w:rPr>
            <w:webHidden/>
          </w:rPr>
          <w:fldChar w:fldCharType="separate"/>
        </w:r>
        <w:r w:rsidR="00D723DD" w:rsidRPr="00AA1421">
          <w:rPr>
            <w:webHidden/>
          </w:rPr>
          <w:t>183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5" w:history="1">
        <w:r w:rsidR="00D723DD" w:rsidRPr="00AA1421">
          <w:rPr>
            <w:rStyle w:val="Hyperlink"/>
            <w:rFonts w:ascii="Times New Roman" w:hAnsi="Times New Roman"/>
          </w:rPr>
          <w:t>3.9.4.1.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_Toc58403685 \h </w:instrText>
        </w:r>
        <w:r w:rsidR="00D723DD" w:rsidRPr="00AA1421">
          <w:rPr>
            <w:webHidden/>
          </w:rPr>
        </w:r>
        <w:r w:rsidR="00D723DD" w:rsidRPr="00AA1421">
          <w:rPr>
            <w:webHidden/>
          </w:rPr>
          <w:fldChar w:fldCharType="separate"/>
        </w:r>
        <w:r w:rsidR="00D723DD" w:rsidRPr="00AA1421">
          <w:rPr>
            <w:webHidden/>
          </w:rPr>
          <w:t>183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6" w:history="1">
        <w:r w:rsidR="00D723DD" w:rsidRPr="00AA1421">
          <w:rPr>
            <w:rStyle w:val="Hyperlink"/>
            <w:rFonts w:ascii="Times New Roman" w:hAnsi="Times New Roman"/>
          </w:rPr>
          <w:t>3.9.4.2.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_Toc58403686 \h </w:instrText>
        </w:r>
        <w:r w:rsidR="00D723DD" w:rsidRPr="00AA1421">
          <w:rPr>
            <w:webHidden/>
          </w:rPr>
        </w:r>
        <w:r w:rsidR="00D723DD" w:rsidRPr="00AA1421">
          <w:rPr>
            <w:webHidden/>
          </w:rPr>
          <w:fldChar w:fldCharType="separate"/>
        </w:r>
        <w:r w:rsidR="00D723DD" w:rsidRPr="00AA1421">
          <w:rPr>
            <w:webHidden/>
          </w:rPr>
          <w:t>183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7" w:history="1">
        <w:r w:rsidR="00D723DD" w:rsidRPr="00AA1421">
          <w:rPr>
            <w:rStyle w:val="Hyperlink"/>
            <w:rFonts w:ascii="Times New Roman" w:hAnsi="Times New Roman"/>
          </w:rPr>
          <w:t>3.9.5.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34.04 – Ekspozycje na ryzyko kredytowe kontrahenta, w odniesieniu do których zastosowano metodę wyceny pierwotnej ekspozycji</w:t>
        </w:r>
        <w:r w:rsidR="00D723DD" w:rsidRPr="00AA1421">
          <w:rPr>
            <w:webHidden/>
          </w:rPr>
          <w:tab/>
        </w:r>
        <w:r w:rsidR="00D723DD" w:rsidRPr="00AA1421">
          <w:rPr>
            <w:webHidden/>
          </w:rPr>
          <w:fldChar w:fldCharType="begin"/>
        </w:r>
        <w:r w:rsidR="00D723DD" w:rsidRPr="00AA1421">
          <w:rPr>
            <w:webHidden/>
          </w:rPr>
          <w:instrText xml:space="preserve"> PAGEREF _Toc58403687 \h </w:instrText>
        </w:r>
        <w:r w:rsidR="00D723DD" w:rsidRPr="00AA1421">
          <w:rPr>
            <w:webHidden/>
          </w:rPr>
        </w:r>
        <w:r w:rsidR="00D723DD" w:rsidRPr="00AA1421">
          <w:rPr>
            <w:webHidden/>
          </w:rPr>
          <w:fldChar w:fldCharType="separate"/>
        </w:r>
        <w:r w:rsidR="00D723DD" w:rsidRPr="00AA1421">
          <w:rPr>
            <w:webHidden/>
          </w:rPr>
          <w:t>186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8" w:history="1">
        <w:r w:rsidR="00D723DD" w:rsidRPr="00AA1421">
          <w:rPr>
            <w:rStyle w:val="Hyperlink"/>
            <w:rFonts w:ascii="Times New Roman" w:hAnsi="Times New Roman"/>
          </w:rPr>
          <w:t>3.9.5.1.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_Toc58403688 \h </w:instrText>
        </w:r>
        <w:r w:rsidR="00D723DD" w:rsidRPr="00AA1421">
          <w:rPr>
            <w:webHidden/>
          </w:rPr>
        </w:r>
        <w:r w:rsidR="00D723DD" w:rsidRPr="00AA1421">
          <w:rPr>
            <w:webHidden/>
          </w:rPr>
          <w:fldChar w:fldCharType="separate"/>
        </w:r>
        <w:r w:rsidR="00D723DD" w:rsidRPr="00AA1421">
          <w:rPr>
            <w:webHidden/>
          </w:rPr>
          <w:t>186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89" w:history="1">
        <w:r w:rsidR="00D723DD" w:rsidRPr="00AA1421">
          <w:rPr>
            <w:rStyle w:val="Hyperlink"/>
            <w:rFonts w:ascii="Times New Roman" w:hAnsi="Times New Roman"/>
          </w:rPr>
          <w:t>3.9.6.</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34.05 – Ekspozycje na ryzyko kredytowe kontrahenta, w odniesieniu do których zastosowano metodę modeli wewnętrznych (IMM)</w:t>
        </w:r>
        <w:r w:rsidR="00D723DD" w:rsidRPr="00AA1421">
          <w:rPr>
            <w:webHidden/>
          </w:rPr>
          <w:tab/>
        </w:r>
        <w:r w:rsidR="00D723DD" w:rsidRPr="00AA1421">
          <w:rPr>
            <w:webHidden/>
          </w:rPr>
          <w:fldChar w:fldCharType="begin"/>
        </w:r>
        <w:r w:rsidR="00D723DD" w:rsidRPr="00AA1421">
          <w:rPr>
            <w:webHidden/>
          </w:rPr>
          <w:instrText xml:space="preserve"> PAGEREF _Toc58403689 \h </w:instrText>
        </w:r>
        <w:r w:rsidR="00D723DD" w:rsidRPr="00AA1421">
          <w:rPr>
            <w:webHidden/>
          </w:rPr>
        </w:r>
        <w:r w:rsidR="00D723DD" w:rsidRPr="00AA1421">
          <w:rPr>
            <w:webHidden/>
          </w:rPr>
          <w:fldChar w:fldCharType="separate"/>
        </w:r>
        <w:r w:rsidR="00D723DD" w:rsidRPr="00AA1421">
          <w:rPr>
            <w:webHidden/>
          </w:rPr>
          <w:t>186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0" w:history="1">
        <w:r w:rsidR="00D723DD" w:rsidRPr="00AA1421">
          <w:rPr>
            <w:rStyle w:val="Hyperlink"/>
            <w:rFonts w:ascii="Times New Roman" w:hAnsi="Times New Roman"/>
          </w:rPr>
          <w:t>3.9.6.1.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_Toc58403690 \h </w:instrText>
        </w:r>
        <w:r w:rsidR="00D723DD" w:rsidRPr="00AA1421">
          <w:rPr>
            <w:webHidden/>
          </w:rPr>
        </w:r>
        <w:r w:rsidR="00D723DD" w:rsidRPr="00AA1421">
          <w:rPr>
            <w:webHidden/>
          </w:rPr>
          <w:fldChar w:fldCharType="separate"/>
        </w:r>
        <w:r w:rsidR="00D723DD" w:rsidRPr="00AA1421">
          <w:rPr>
            <w:webHidden/>
          </w:rPr>
          <w:t>186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1" w:history="1">
        <w:r w:rsidR="00D723DD" w:rsidRPr="00AA1421">
          <w:rPr>
            <w:rStyle w:val="Hyperlink"/>
            <w:rFonts w:ascii="Times New Roman" w:hAnsi="Times New Roman"/>
          </w:rPr>
          <w:t>3.9.7.</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34.06 – Dwudziestu największych kontrahentów</w:t>
        </w:r>
        <w:r w:rsidR="00D723DD" w:rsidRPr="00AA1421">
          <w:rPr>
            <w:webHidden/>
          </w:rPr>
          <w:tab/>
        </w:r>
        <w:r w:rsidR="00D723DD" w:rsidRPr="00AA1421">
          <w:rPr>
            <w:webHidden/>
          </w:rPr>
          <w:fldChar w:fldCharType="begin"/>
        </w:r>
        <w:r w:rsidR="00D723DD" w:rsidRPr="00AA1421">
          <w:rPr>
            <w:webHidden/>
          </w:rPr>
          <w:instrText xml:space="preserve"> PAGEREF _Toc58403691 \h </w:instrText>
        </w:r>
        <w:r w:rsidR="00D723DD" w:rsidRPr="00AA1421">
          <w:rPr>
            <w:webHidden/>
          </w:rPr>
        </w:r>
        <w:r w:rsidR="00D723DD" w:rsidRPr="00AA1421">
          <w:rPr>
            <w:webHidden/>
          </w:rPr>
          <w:fldChar w:fldCharType="separate"/>
        </w:r>
        <w:r w:rsidR="00D723DD" w:rsidRPr="00AA1421">
          <w:rPr>
            <w:webHidden/>
          </w:rPr>
          <w:t>188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2" w:history="1">
        <w:r w:rsidR="00D723DD" w:rsidRPr="00AA1421">
          <w:rPr>
            <w:rStyle w:val="Hyperlink"/>
            <w:rFonts w:ascii="Times New Roman" w:hAnsi="Times New Roman"/>
          </w:rPr>
          <w:t>3.9.7.1.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_Toc58403692 \h </w:instrText>
        </w:r>
        <w:r w:rsidR="00D723DD" w:rsidRPr="00AA1421">
          <w:rPr>
            <w:webHidden/>
          </w:rPr>
        </w:r>
        <w:r w:rsidR="00D723DD" w:rsidRPr="00AA1421">
          <w:rPr>
            <w:webHidden/>
          </w:rPr>
          <w:fldChar w:fldCharType="separate"/>
        </w:r>
        <w:r w:rsidR="00D723DD" w:rsidRPr="00AA1421">
          <w:rPr>
            <w:webHidden/>
          </w:rPr>
          <w:t>188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3" w:history="1">
        <w:r w:rsidR="00D723DD" w:rsidRPr="00AA1421">
          <w:rPr>
            <w:rStyle w:val="Hyperlink"/>
            <w:rFonts w:ascii="Times New Roman" w:hAnsi="Times New Roman"/>
          </w:rPr>
          <w:t>3.9.7.2.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_Toc58403693 \h </w:instrText>
        </w:r>
        <w:r w:rsidR="00D723DD" w:rsidRPr="00AA1421">
          <w:rPr>
            <w:webHidden/>
          </w:rPr>
        </w:r>
        <w:r w:rsidR="00D723DD" w:rsidRPr="00AA1421">
          <w:rPr>
            <w:webHidden/>
          </w:rPr>
          <w:fldChar w:fldCharType="separate"/>
        </w:r>
        <w:r w:rsidR="00D723DD" w:rsidRPr="00AA1421">
          <w:rPr>
            <w:webHidden/>
          </w:rPr>
          <w:t>189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4" w:history="1">
        <w:r w:rsidR="00D723DD" w:rsidRPr="00AA1421">
          <w:rPr>
            <w:rStyle w:val="Hyperlink"/>
            <w:rFonts w:ascii="Times New Roman" w:hAnsi="Times New Roman"/>
          </w:rPr>
          <w:t>3.9.8.</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34.07 – Metoda IRB – ekspozycje na ryzyko kredytowe kontrahenta według kategorii ekspozycji i skali PD</w:t>
        </w:r>
        <w:r w:rsidR="00D723DD" w:rsidRPr="00AA1421">
          <w:rPr>
            <w:webHidden/>
          </w:rPr>
          <w:tab/>
        </w:r>
        <w:r w:rsidR="00D723DD" w:rsidRPr="00AA1421">
          <w:rPr>
            <w:webHidden/>
          </w:rPr>
          <w:fldChar w:fldCharType="begin"/>
        </w:r>
        <w:r w:rsidR="00D723DD" w:rsidRPr="00AA1421">
          <w:rPr>
            <w:webHidden/>
          </w:rPr>
          <w:instrText xml:space="preserve"> PAGEREF _Toc58403694 \h </w:instrText>
        </w:r>
        <w:r w:rsidR="00D723DD" w:rsidRPr="00AA1421">
          <w:rPr>
            <w:webHidden/>
          </w:rPr>
        </w:r>
        <w:r w:rsidR="00D723DD" w:rsidRPr="00AA1421">
          <w:rPr>
            <w:webHidden/>
          </w:rPr>
          <w:fldChar w:fldCharType="separate"/>
        </w:r>
        <w:r w:rsidR="00D723DD" w:rsidRPr="00AA1421">
          <w:rPr>
            <w:webHidden/>
          </w:rPr>
          <w:t>191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5" w:history="1">
        <w:r w:rsidR="00D723DD" w:rsidRPr="00AA1421">
          <w:rPr>
            <w:rStyle w:val="Hyperlink"/>
            <w:rFonts w:ascii="Times New Roman" w:hAnsi="Times New Roman"/>
          </w:rPr>
          <w:t>3.9.8.1.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_Toc58403695 \h </w:instrText>
        </w:r>
        <w:r w:rsidR="00D723DD" w:rsidRPr="00AA1421">
          <w:rPr>
            <w:webHidden/>
          </w:rPr>
        </w:r>
        <w:r w:rsidR="00D723DD" w:rsidRPr="00AA1421">
          <w:rPr>
            <w:webHidden/>
          </w:rPr>
          <w:fldChar w:fldCharType="separate"/>
        </w:r>
        <w:r w:rsidR="00D723DD" w:rsidRPr="00AA1421">
          <w:rPr>
            <w:webHidden/>
          </w:rPr>
          <w:t>191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6" w:history="1">
        <w:r w:rsidR="00D723DD" w:rsidRPr="00AA1421">
          <w:rPr>
            <w:rStyle w:val="Hyperlink"/>
            <w:rFonts w:ascii="Times New Roman" w:hAnsi="Times New Roman"/>
          </w:rPr>
          <w:t>3.9.8.2.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_Toc58403696 \h </w:instrText>
        </w:r>
        <w:r w:rsidR="00D723DD" w:rsidRPr="00AA1421">
          <w:rPr>
            <w:webHidden/>
          </w:rPr>
        </w:r>
        <w:r w:rsidR="00D723DD" w:rsidRPr="00AA1421">
          <w:rPr>
            <w:webHidden/>
          </w:rPr>
          <w:fldChar w:fldCharType="separate"/>
        </w:r>
        <w:r w:rsidR="00D723DD" w:rsidRPr="00AA1421">
          <w:rPr>
            <w:webHidden/>
          </w:rPr>
          <w:t>191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7" w:history="1">
        <w:r w:rsidR="00D723DD" w:rsidRPr="00AA1421">
          <w:rPr>
            <w:rStyle w:val="Hyperlink"/>
            <w:rFonts w:ascii="Times New Roman" w:hAnsi="Times New Roman"/>
          </w:rPr>
          <w:t>3.9.9.</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34.08 – Skład zabezpieczeń ekspozycji na ryzyko kredytowe kontrahenta</w:t>
        </w:r>
        <w:r w:rsidR="00D723DD" w:rsidRPr="00AA1421">
          <w:rPr>
            <w:webHidden/>
          </w:rPr>
          <w:tab/>
        </w:r>
        <w:r w:rsidR="00D723DD" w:rsidRPr="00AA1421">
          <w:rPr>
            <w:webHidden/>
          </w:rPr>
          <w:fldChar w:fldCharType="begin"/>
        </w:r>
        <w:r w:rsidR="00D723DD" w:rsidRPr="00AA1421">
          <w:rPr>
            <w:webHidden/>
          </w:rPr>
          <w:instrText xml:space="preserve"> PAGEREF _Toc58403697 \h </w:instrText>
        </w:r>
        <w:r w:rsidR="00D723DD" w:rsidRPr="00AA1421">
          <w:rPr>
            <w:webHidden/>
          </w:rPr>
        </w:r>
        <w:r w:rsidR="00D723DD" w:rsidRPr="00AA1421">
          <w:rPr>
            <w:webHidden/>
          </w:rPr>
          <w:fldChar w:fldCharType="separate"/>
        </w:r>
        <w:r w:rsidR="00D723DD" w:rsidRPr="00AA1421">
          <w:rPr>
            <w:webHidden/>
          </w:rPr>
          <w:t>193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8" w:history="1">
        <w:r w:rsidR="00D723DD" w:rsidRPr="00AA1421">
          <w:rPr>
            <w:rStyle w:val="Hyperlink"/>
            <w:rFonts w:ascii="Times New Roman" w:hAnsi="Times New Roman"/>
          </w:rPr>
          <w:t>3.9.9.1.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_Toc58403698 \h </w:instrText>
        </w:r>
        <w:r w:rsidR="00D723DD" w:rsidRPr="00AA1421">
          <w:rPr>
            <w:webHidden/>
          </w:rPr>
        </w:r>
        <w:r w:rsidR="00D723DD" w:rsidRPr="00AA1421">
          <w:rPr>
            <w:webHidden/>
          </w:rPr>
          <w:fldChar w:fldCharType="separate"/>
        </w:r>
        <w:r w:rsidR="00D723DD" w:rsidRPr="00AA1421">
          <w:rPr>
            <w:webHidden/>
          </w:rPr>
          <w:t>193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699" w:history="1">
        <w:r w:rsidR="00D723DD" w:rsidRPr="00AA1421">
          <w:rPr>
            <w:rStyle w:val="Hyperlink"/>
            <w:rFonts w:ascii="Times New Roman" w:hAnsi="Times New Roman"/>
          </w:rPr>
          <w:t>3.9.9.2.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_Toc58403699 \h </w:instrText>
        </w:r>
        <w:r w:rsidR="00D723DD" w:rsidRPr="00AA1421">
          <w:rPr>
            <w:webHidden/>
          </w:rPr>
        </w:r>
        <w:r w:rsidR="00D723DD" w:rsidRPr="00AA1421">
          <w:rPr>
            <w:webHidden/>
          </w:rPr>
          <w:fldChar w:fldCharType="separate"/>
        </w:r>
        <w:r w:rsidR="00D723DD" w:rsidRPr="00AA1421">
          <w:rPr>
            <w:webHidden/>
          </w:rPr>
          <w:t>193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0" w:history="1">
        <w:r w:rsidR="00D723DD" w:rsidRPr="00AA1421">
          <w:rPr>
            <w:rStyle w:val="Hyperlink"/>
            <w:rFonts w:ascii="Times New Roman" w:hAnsi="Times New Roman"/>
          </w:rPr>
          <w:t>3.9.10.</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34.09 – Ekspozycje kredytowe z tytułu instrumentów pochodnych</w:t>
        </w:r>
        <w:r w:rsidR="00D723DD" w:rsidRPr="00AA1421">
          <w:rPr>
            <w:webHidden/>
          </w:rPr>
          <w:tab/>
        </w:r>
        <w:r w:rsidR="00D723DD" w:rsidRPr="00AA1421">
          <w:rPr>
            <w:webHidden/>
          </w:rPr>
          <w:fldChar w:fldCharType="begin"/>
        </w:r>
        <w:r w:rsidR="00D723DD" w:rsidRPr="00AA1421">
          <w:rPr>
            <w:webHidden/>
          </w:rPr>
          <w:instrText xml:space="preserve"> PAGEREF _Toc58403700 \h </w:instrText>
        </w:r>
        <w:r w:rsidR="00D723DD" w:rsidRPr="00AA1421">
          <w:rPr>
            <w:webHidden/>
          </w:rPr>
        </w:r>
        <w:r w:rsidR="00D723DD" w:rsidRPr="00AA1421">
          <w:rPr>
            <w:webHidden/>
          </w:rPr>
          <w:fldChar w:fldCharType="separate"/>
        </w:r>
        <w:r w:rsidR="00D723DD" w:rsidRPr="00AA1421">
          <w:rPr>
            <w:webHidden/>
          </w:rPr>
          <w:t>195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1" w:history="1">
        <w:r w:rsidR="00D723DD" w:rsidRPr="00AA1421">
          <w:rPr>
            <w:rStyle w:val="Hyperlink"/>
            <w:rFonts w:ascii="Times New Roman" w:hAnsi="Times New Roman"/>
          </w:rPr>
          <w:t>3.9.10.1.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_Toc58403701 \h </w:instrText>
        </w:r>
        <w:r w:rsidR="00D723DD" w:rsidRPr="00AA1421">
          <w:rPr>
            <w:webHidden/>
          </w:rPr>
        </w:r>
        <w:r w:rsidR="00D723DD" w:rsidRPr="00AA1421">
          <w:rPr>
            <w:webHidden/>
          </w:rPr>
          <w:fldChar w:fldCharType="separate"/>
        </w:r>
        <w:r w:rsidR="00D723DD" w:rsidRPr="00AA1421">
          <w:rPr>
            <w:webHidden/>
          </w:rPr>
          <w:t>195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2" w:history="1">
        <w:r w:rsidR="00D723DD" w:rsidRPr="00AA1421">
          <w:rPr>
            <w:rStyle w:val="Hyperlink"/>
            <w:rFonts w:ascii="Times New Roman" w:hAnsi="Times New Roman"/>
          </w:rPr>
          <w:t>3.9.11.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34.10 – Ekspozycje wobec CCP</w:t>
        </w:r>
        <w:r w:rsidR="00D723DD" w:rsidRPr="00AA1421">
          <w:rPr>
            <w:webHidden/>
          </w:rPr>
          <w:tab/>
        </w:r>
        <w:r w:rsidR="00D723DD" w:rsidRPr="00AA1421">
          <w:rPr>
            <w:webHidden/>
          </w:rPr>
          <w:fldChar w:fldCharType="begin"/>
        </w:r>
        <w:r w:rsidR="00D723DD" w:rsidRPr="00AA1421">
          <w:rPr>
            <w:webHidden/>
          </w:rPr>
          <w:instrText xml:space="preserve"> PAGEREF _Toc58403702 \h </w:instrText>
        </w:r>
        <w:r w:rsidR="00D723DD" w:rsidRPr="00AA1421">
          <w:rPr>
            <w:webHidden/>
          </w:rPr>
        </w:r>
        <w:r w:rsidR="00D723DD" w:rsidRPr="00AA1421">
          <w:rPr>
            <w:webHidden/>
          </w:rPr>
          <w:fldChar w:fldCharType="separate"/>
        </w:r>
        <w:r w:rsidR="00D723DD" w:rsidRPr="00AA1421">
          <w:rPr>
            <w:webHidden/>
          </w:rPr>
          <w:t>196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3" w:history="1">
        <w:r w:rsidR="00D723DD" w:rsidRPr="00AA1421">
          <w:rPr>
            <w:rStyle w:val="Hyperlink"/>
            <w:rFonts w:ascii="Times New Roman" w:hAnsi="Times New Roman"/>
          </w:rPr>
          <w:t>3.9.11.1.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_Toc58403703 \h </w:instrText>
        </w:r>
        <w:r w:rsidR="00D723DD" w:rsidRPr="00AA1421">
          <w:rPr>
            <w:webHidden/>
          </w:rPr>
        </w:r>
        <w:r w:rsidR="00D723DD" w:rsidRPr="00AA1421">
          <w:rPr>
            <w:webHidden/>
          </w:rPr>
          <w:fldChar w:fldCharType="separate"/>
        </w:r>
        <w:r w:rsidR="00D723DD" w:rsidRPr="00AA1421">
          <w:rPr>
            <w:webHidden/>
          </w:rPr>
          <w:t>196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4" w:history="1">
        <w:r w:rsidR="00D723DD" w:rsidRPr="00AA1421">
          <w:rPr>
            <w:rStyle w:val="Hyperlink"/>
            <w:rFonts w:ascii="Times New Roman" w:hAnsi="Times New Roman"/>
          </w:rPr>
          <w:t>3.9.11.2.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_Toc58403704 \h </w:instrText>
        </w:r>
        <w:r w:rsidR="00D723DD" w:rsidRPr="00AA1421">
          <w:rPr>
            <w:webHidden/>
          </w:rPr>
        </w:r>
        <w:r w:rsidR="00D723DD" w:rsidRPr="00AA1421">
          <w:rPr>
            <w:webHidden/>
          </w:rPr>
          <w:fldChar w:fldCharType="separate"/>
        </w:r>
        <w:r w:rsidR="00D723DD" w:rsidRPr="00AA1421">
          <w:rPr>
            <w:webHidden/>
          </w:rPr>
          <w:t>196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5" w:history="1">
        <w:r w:rsidR="00D723DD" w:rsidRPr="00AA1421">
          <w:rPr>
            <w:rStyle w:val="Hyperlink"/>
            <w:rFonts w:ascii="Times New Roman" w:hAnsi="Times New Roman"/>
          </w:rPr>
          <w:t>3.9.12.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34.11 – Rachunki przepływów kwot ekspozycji ważonych ryzykiem (RWEA) dla ekspozycji na ryzyko kredytowe kontrahenta obliczonych zgodnie z IMM</w:t>
        </w:r>
        <w:r w:rsidR="00D723DD" w:rsidRPr="00AA1421">
          <w:rPr>
            <w:webHidden/>
          </w:rPr>
          <w:tab/>
        </w:r>
        <w:r w:rsidR="00D723DD" w:rsidRPr="00AA1421">
          <w:rPr>
            <w:webHidden/>
          </w:rPr>
          <w:fldChar w:fldCharType="begin"/>
        </w:r>
        <w:r w:rsidR="00D723DD" w:rsidRPr="00AA1421">
          <w:rPr>
            <w:webHidden/>
          </w:rPr>
          <w:instrText xml:space="preserve"> PAGEREF _Toc58403705 \h </w:instrText>
        </w:r>
        <w:r w:rsidR="00D723DD" w:rsidRPr="00AA1421">
          <w:rPr>
            <w:webHidden/>
          </w:rPr>
        </w:r>
        <w:r w:rsidR="00D723DD" w:rsidRPr="00AA1421">
          <w:rPr>
            <w:webHidden/>
          </w:rPr>
          <w:fldChar w:fldCharType="separate"/>
        </w:r>
        <w:r w:rsidR="00D723DD" w:rsidRPr="00AA1421">
          <w:rPr>
            <w:webHidden/>
          </w:rPr>
          <w:t>197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6" w:history="1">
        <w:r w:rsidR="00D723DD" w:rsidRPr="00AA1421">
          <w:rPr>
            <w:rStyle w:val="Hyperlink"/>
            <w:rFonts w:ascii="Times New Roman" w:hAnsi="Times New Roman"/>
          </w:rPr>
          <w:t>3.9.12.1.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_Toc58403706 \h </w:instrText>
        </w:r>
        <w:r w:rsidR="00D723DD" w:rsidRPr="00AA1421">
          <w:rPr>
            <w:webHidden/>
          </w:rPr>
        </w:r>
        <w:r w:rsidR="00D723DD" w:rsidRPr="00AA1421">
          <w:rPr>
            <w:webHidden/>
          </w:rPr>
          <w:fldChar w:fldCharType="separate"/>
        </w:r>
        <w:r w:rsidR="00D723DD" w:rsidRPr="00AA1421">
          <w:rPr>
            <w:webHidden/>
          </w:rPr>
          <w:t>197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7" w:history="1">
        <w:r w:rsidR="00D723DD" w:rsidRPr="00AA1421">
          <w:rPr>
            <w:rStyle w:val="Hyperlink"/>
            <w:rFonts w:ascii="Times New Roman" w:hAnsi="Times New Roman"/>
          </w:rPr>
          <w:t>3.9.12.2.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_Toc58403707 \h </w:instrText>
        </w:r>
        <w:r w:rsidR="00D723DD" w:rsidRPr="00AA1421">
          <w:rPr>
            <w:webHidden/>
          </w:rPr>
        </w:r>
        <w:r w:rsidR="00D723DD" w:rsidRPr="00AA1421">
          <w:rPr>
            <w:webHidden/>
          </w:rPr>
          <w:fldChar w:fldCharType="separate"/>
        </w:r>
        <w:r w:rsidR="00D723DD" w:rsidRPr="00AA1421">
          <w:rPr>
            <w:webHidden/>
          </w:rPr>
          <w:t>198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8" w:history="1">
        <w:r w:rsidR="00D723DD" w:rsidRPr="00AA1421">
          <w:rPr>
            <w:rStyle w:val="Hyperlink"/>
            <w:rFonts w:ascii="Times New Roman" w:hAnsi="Times New Roman"/>
          </w:rPr>
          <w:t>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Wzory dotyczące ryzyka operacyjnego</w:t>
        </w:r>
        <w:r w:rsidR="00D723DD" w:rsidRPr="00AA1421">
          <w:rPr>
            <w:webHidden/>
          </w:rPr>
          <w:tab/>
        </w:r>
        <w:r w:rsidR="00D723DD" w:rsidRPr="00AA1421">
          <w:rPr>
            <w:webHidden/>
          </w:rPr>
          <w:fldChar w:fldCharType="begin"/>
        </w:r>
        <w:r w:rsidR="00D723DD" w:rsidRPr="00AA1421">
          <w:rPr>
            <w:webHidden/>
          </w:rPr>
          <w:instrText xml:space="preserve"> PAGEREF _Toc58403708 \h </w:instrText>
        </w:r>
        <w:r w:rsidR="00D723DD" w:rsidRPr="00AA1421">
          <w:rPr>
            <w:webHidden/>
          </w:rPr>
        </w:r>
        <w:r w:rsidR="00D723DD" w:rsidRPr="00AA1421">
          <w:rPr>
            <w:webHidden/>
          </w:rPr>
          <w:fldChar w:fldCharType="separate"/>
        </w:r>
        <w:r w:rsidR="00D723DD" w:rsidRPr="00AA1421">
          <w:rPr>
            <w:webHidden/>
          </w:rPr>
          <w:t>199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09" w:history="1">
        <w:r w:rsidR="00D723DD" w:rsidRPr="00AA1421">
          <w:rPr>
            <w:rStyle w:val="Hyperlink"/>
            <w:rFonts w:ascii="Times New Roman" w:hAnsi="Times New Roman"/>
          </w:rPr>
          <w:t>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Pr>
          <w:t xml:space="preserve"> </w:t>
        </w:r>
        <w:r w:rsidR="00D723DD" w:rsidRPr="00AA1421">
          <w:rPr>
            <w:rStyle w:val="Hyperlink"/>
            <w:rFonts w:ascii="Times New Roman" w:hAnsi="Times New Roman"/>
          </w:rPr>
          <w:t>C 16.00 – Ryzyko operacyjne (OPR)</w:t>
        </w:r>
        <w:r w:rsidR="00D723DD" w:rsidRPr="00AA1421">
          <w:rPr>
            <w:webHidden/>
          </w:rPr>
          <w:tab/>
        </w:r>
        <w:r w:rsidR="00D723DD" w:rsidRPr="00AA1421">
          <w:rPr>
            <w:webHidden/>
          </w:rPr>
          <w:fldChar w:fldCharType="begin"/>
        </w:r>
        <w:r w:rsidR="00D723DD" w:rsidRPr="00AA1421">
          <w:rPr>
            <w:webHidden/>
          </w:rPr>
          <w:instrText xml:space="preserve"> PAGEREF _Toc58403709 \h </w:instrText>
        </w:r>
        <w:r w:rsidR="00D723DD" w:rsidRPr="00AA1421">
          <w:rPr>
            <w:webHidden/>
          </w:rPr>
        </w:r>
        <w:r w:rsidR="00D723DD" w:rsidRPr="00AA1421">
          <w:rPr>
            <w:webHidden/>
          </w:rPr>
          <w:fldChar w:fldCharType="separate"/>
        </w:r>
        <w:r w:rsidR="00D723DD" w:rsidRPr="00AA1421">
          <w:rPr>
            <w:webHidden/>
          </w:rPr>
          <w:t>199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0" w:history="1">
        <w:r w:rsidR="00D723DD" w:rsidRPr="00AA1421">
          <w:rPr>
            <w:rStyle w:val="Hyperlink"/>
            <w:rFonts w:ascii="Times New Roman" w:hAnsi="Times New Roman"/>
          </w:rPr>
          <w:t>4.1.1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_Toc58403710 \h </w:instrText>
        </w:r>
        <w:r w:rsidR="00D723DD" w:rsidRPr="00AA1421">
          <w:rPr>
            <w:webHidden/>
          </w:rPr>
        </w:r>
        <w:r w:rsidR="00D723DD" w:rsidRPr="00AA1421">
          <w:rPr>
            <w:webHidden/>
          </w:rPr>
          <w:fldChar w:fldCharType="separate"/>
        </w:r>
        <w:r w:rsidR="00D723DD" w:rsidRPr="00AA1421">
          <w:rPr>
            <w:webHidden/>
          </w:rPr>
          <w:t>199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1" w:history="1">
        <w:r w:rsidR="00D723DD" w:rsidRPr="00AA1421">
          <w:rPr>
            <w:rStyle w:val="Hyperlink"/>
            <w:rFonts w:ascii="Times New Roman" w:hAnsi="Times New Roman"/>
          </w:rPr>
          <w:t>4.1.2.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_Toc58403711 \h </w:instrText>
        </w:r>
        <w:r w:rsidR="00D723DD" w:rsidRPr="00AA1421">
          <w:rPr>
            <w:webHidden/>
          </w:rPr>
        </w:r>
        <w:r w:rsidR="00D723DD" w:rsidRPr="00AA1421">
          <w:rPr>
            <w:webHidden/>
          </w:rPr>
          <w:fldChar w:fldCharType="separate"/>
        </w:r>
        <w:r w:rsidR="00D723DD" w:rsidRPr="00AA1421">
          <w:rPr>
            <w:webHidden/>
          </w:rPr>
          <w:t>200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2" w:history="1">
        <w:r w:rsidR="00D723DD" w:rsidRPr="00AA1421">
          <w:rPr>
            <w:rStyle w:val="Hyperlink"/>
            <w:rFonts w:ascii="Times New Roman" w:hAnsi="Times New Roman"/>
          </w:rPr>
          <w:t>4.2.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Ryzyko operacyjne: Szczegółowe informacje na temat strat w ostatnim roku (OPR SZCZEGÓŁY)</w:t>
        </w:r>
        <w:r w:rsidR="00D723DD" w:rsidRPr="00AA1421">
          <w:rPr>
            <w:webHidden/>
          </w:rPr>
          <w:tab/>
        </w:r>
        <w:r w:rsidR="00D723DD" w:rsidRPr="00AA1421">
          <w:rPr>
            <w:webHidden/>
          </w:rPr>
          <w:fldChar w:fldCharType="begin"/>
        </w:r>
        <w:r w:rsidR="00D723DD" w:rsidRPr="00AA1421">
          <w:rPr>
            <w:webHidden/>
          </w:rPr>
          <w:instrText xml:space="preserve"> PAGEREF _Toc58403712 \h </w:instrText>
        </w:r>
        <w:r w:rsidR="00D723DD" w:rsidRPr="00AA1421">
          <w:rPr>
            <w:webHidden/>
          </w:rPr>
        </w:r>
        <w:r w:rsidR="00D723DD" w:rsidRPr="00AA1421">
          <w:rPr>
            <w:webHidden/>
          </w:rPr>
          <w:fldChar w:fldCharType="separate"/>
        </w:r>
        <w:r w:rsidR="00D723DD" w:rsidRPr="00AA1421">
          <w:rPr>
            <w:webHidden/>
          </w:rPr>
          <w:t>204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3" w:history="1">
        <w:r w:rsidR="00D723DD" w:rsidRPr="00AA1421">
          <w:rPr>
            <w:rStyle w:val="Hyperlink"/>
            <w:rFonts w:ascii="Times New Roman" w:hAnsi="Times New Roman"/>
          </w:rPr>
          <w:t>4.2.1.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_Toc58403713 \h </w:instrText>
        </w:r>
        <w:r w:rsidR="00D723DD" w:rsidRPr="00AA1421">
          <w:rPr>
            <w:webHidden/>
          </w:rPr>
        </w:r>
        <w:r w:rsidR="00D723DD" w:rsidRPr="00AA1421">
          <w:rPr>
            <w:webHidden/>
          </w:rPr>
          <w:fldChar w:fldCharType="separate"/>
        </w:r>
        <w:r w:rsidR="00D723DD" w:rsidRPr="00AA1421">
          <w:rPr>
            <w:webHidden/>
          </w:rPr>
          <w:t>204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4" w:history="1">
        <w:r w:rsidR="00D723DD" w:rsidRPr="00AA1421">
          <w:rPr>
            <w:rStyle w:val="Hyperlink"/>
            <w:rFonts w:ascii="Times New Roman" w:hAnsi="Times New Roman"/>
          </w:rPr>
          <w:t>4.2.2.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17.01: Ryzyko operacyjne: straty i odzyskane należności według linii biznesowych i rodzajów zdarzeń straty w ostatnim roku (OPR SZCZEGÓŁY 1)</w:t>
        </w:r>
        <w:r w:rsidR="00D723DD" w:rsidRPr="00AA1421">
          <w:rPr>
            <w:webHidden/>
          </w:rPr>
          <w:tab/>
        </w:r>
        <w:r w:rsidR="00D723DD" w:rsidRPr="00AA1421">
          <w:rPr>
            <w:webHidden/>
          </w:rPr>
          <w:fldChar w:fldCharType="begin"/>
        </w:r>
        <w:r w:rsidR="00D723DD" w:rsidRPr="00AA1421">
          <w:rPr>
            <w:webHidden/>
          </w:rPr>
          <w:instrText xml:space="preserve"> PAGEREF _Toc58403714 \h </w:instrText>
        </w:r>
        <w:r w:rsidR="00D723DD" w:rsidRPr="00AA1421">
          <w:rPr>
            <w:webHidden/>
          </w:rPr>
        </w:r>
        <w:r w:rsidR="00D723DD" w:rsidRPr="00AA1421">
          <w:rPr>
            <w:webHidden/>
          </w:rPr>
          <w:fldChar w:fldCharType="separate"/>
        </w:r>
        <w:r w:rsidR="00D723DD" w:rsidRPr="00AA1421">
          <w:rPr>
            <w:webHidden/>
          </w:rPr>
          <w:t>205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5" w:history="1">
        <w:r w:rsidR="00D723DD" w:rsidRPr="00AA1421">
          <w:rPr>
            <w:rStyle w:val="Hyperlink"/>
            <w:rFonts w:ascii="Times New Roman" w:hAnsi="Times New Roman"/>
          </w:rPr>
          <w:t>4.2.2.1.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_Toc58403715 \h </w:instrText>
        </w:r>
        <w:r w:rsidR="00D723DD" w:rsidRPr="00AA1421">
          <w:rPr>
            <w:webHidden/>
          </w:rPr>
        </w:r>
        <w:r w:rsidR="00D723DD" w:rsidRPr="00AA1421">
          <w:rPr>
            <w:webHidden/>
          </w:rPr>
          <w:fldChar w:fldCharType="separate"/>
        </w:r>
        <w:r w:rsidR="00D723DD" w:rsidRPr="00AA1421">
          <w:rPr>
            <w:webHidden/>
          </w:rPr>
          <w:t>205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6" w:history="1">
        <w:r w:rsidR="00D723DD" w:rsidRPr="00AA1421">
          <w:rPr>
            <w:rStyle w:val="Hyperlink"/>
            <w:rFonts w:ascii="Times New Roman" w:hAnsi="Times New Roman"/>
          </w:rPr>
          <w:t>4.2.2.2.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_Toc58403716 \h </w:instrText>
        </w:r>
        <w:r w:rsidR="00D723DD" w:rsidRPr="00AA1421">
          <w:rPr>
            <w:webHidden/>
          </w:rPr>
        </w:r>
        <w:r w:rsidR="00D723DD" w:rsidRPr="00AA1421">
          <w:rPr>
            <w:webHidden/>
          </w:rPr>
          <w:fldChar w:fldCharType="separate"/>
        </w:r>
        <w:r w:rsidR="00D723DD" w:rsidRPr="00AA1421">
          <w:rPr>
            <w:webHidden/>
          </w:rPr>
          <w:t>206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7" w:history="1">
        <w:r w:rsidR="00D723DD" w:rsidRPr="00AA1421">
          <w:rPr>
            <w:rStyle w:val="Hyperlink"/>
            <w:rFonts w:ascii="Times New Roman" w:hAnsi="Times New Roman"/>
          </w:rPr>
          <w:t>4.2.3.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17.02: Ryzyko operacyjne: Szczegółowe informacje na temat zdarzeń największych strat w ostatnim roku (OPR SZCZEGÓŁY 2)</w:t>
        </w:r>
        <w:r w:rsidR="00D723DD" w:rsidRPr="00AA1421">
          <w:rPr>
            <w:webHidden/>
          </w:rPr>
          <w:tab/>
        </w:r>
        <w:r w:rsidR="00D723DD" w:rsidRPr="00AA1421">
          <w:rPr>
            <w:webHidden/>
          </w:rPr>
          <w:fldChar w:fldCharType="begin"/>
        </w:r>
        <w:r w:rsidR="00D723DD" w:rsidRPr="00AA1421">
          <w:rPr>
            <w:webHidden/>
          </w:rPr>
          <w:instrText xml:space="preserve"> PAGEREF _Toc58403717 \h </w:instrText>
        </w:r>
        <w:r w:rsidR="00D723DD" w:rsidRPr="00AA1421">
          <w:rPr>
            <w:webHidden/>
          </w:rPr>
        </w:r>
        <w:r w:rsidR="00D723DD" w:rsidRPr="00AA1421">
          <w:rPr>
            <w:webHidden/>
          </w:rPr>
          <w:fldChar w:fldCharType="separate"/>
        </w:r>
        <w:r w:rsidR="00D723DD" w:rsidRPr="00AA1421">
          <w:rPr>
            <w:webHidden/>
          </w:rPr>
          <w:t>213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8" w:history="1">
        <w:r w:rsidR="00D723DD" w:rsidRPr="00AA1421">
          <w:rPr>
            <w:rStyle w:val="Hyperlink"/>
            <w:rFonts w:ascii="Times New Roman" w:hAnsi="Times New Roman"/>
          </w:rPr>
          <w:t>4.2.3.1.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_Toc58403718 \h </w:instrText>
        </w:r>
        <w:r w:rsidR="00D723DD" w:rsidRPr="00AA1421">
          <w:rPr>
            <w:webHidden/>
          </w:rPr>
        </w:r>
        <w:r w:rsidR="00D723DD" w:rsidRPr="00AA1421">
          <w:rPr>
            <w:webHidden/>
          </w:rPr>
          <w:fldChar w:fldCharType="separate"/>
        </w:r>
        <w:r w:rsidR="00D723DD" w:rsidRPr="00AA1421">
          <w:rPr>
            <w:webHidden/>
          </w:rPr>
          <w:t>213</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19" w:history="1">
        <w:r w:rsidR="00D723DD" w:rsidRPr="00AA1421">
          <w:rPr>
            <w:rStyle w:val="Hyperlink"/>
            <w:rFonts w:ascii="Times New Roman" w:hAnsi="Times New Roman"/>
          </w:rPr>
          <w:t>4.2.3.2.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_Toc58403719 \h </w:instrText>
        </w:r>
        <w:r w:rsidR="00D723DD" w:rsidRPr="00AA1421">
          <w:rPr>
            <w:webHidden/>
          </w:rPr>
        </w:r>
        <w:r w:rsidR="00D723DD" w:rsidRPr="00AA1421">
          <w:rPr>
            <w:webHidden/>
          </w:rPr>
          <w:fldChar w:fldCharType="separate"/>
        </w:r>
        <w:r w:rsidR="00D723DD" w:rsidRPr="00AA1421">
          <w:rPr>
            <w:webHidden/>
          </w:rPr>
          <w:t>214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0" w:history="1">
        <w:r w:rsidR="00D723DD" w:rsidRPr="00AA1421">
          <w:rPr>
            <w:rStyle w:val="Hyperlink"/>
            <w:rFonts w:ascii="Times New Roman" w:hAnsi="Times New Roman"/>
          </w:rPr>
          <w:t>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Wzory dotyczące ryzyka rynkowego</w:t>
        </w:r>
        <w:r w:rsidR="00D723DD" w:rsidRPr="00AA1421">
          <w:rPr>
            <w:webHidden/>
          </w:rPr>
          <w:tab/>
        </w:r>
        <w:r w:rsidR="00D723DD" w:rsidRPr="00AA1421">
          <w:rPr>
            <w:webHidden/>
          </w:rPr>
          <w:fldChar w:fldCharType="begin"/>
        </w:r>
        <w:r w:rsidR="00D723DD" w:rsidRPr="00AA1421">
          <w:rPr>
            <w:webHidden/>
          </w:rPr>
          <w:instrText xml:space="preserve"> PAGEREF _Toc58403720 \h </w:instrText>
        </w:r>
        <w:r w:rsidR="00D723DD" w:rsidRPr="00AA1421">
          <w:rPr>
            <w:webHidden/>
          </w:rPr>
        </w:r>
        <w:r w:rsidR="00D723DD" w:rsidRPr="00AA1421">
          <w:rPr>
            <w:webHidden/>
          </w:rPr>
          <w:fldChar w:fldCharType="separate"/>
        </w:r>
        <w:r w:rsidR="00D723DD" w:rsidRPr="00AA1421">
          <w:rPr>
            <w:webHidden/>
          </w:rPr>
          <w:t>216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1" w:history="1">
        <w:r w:rsidR="00D723DD" w:rsidRPr="00AA1421">
          <w:rPr>
            <w:rStyle w:val="Hyperlink"/>
            <w:rFonts w:ascii="Times New Roman" w:hAnsi="Times New Roman"/>
          </w:rPr>
          <w:t>5.1.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18.00 – Ryzyko rynkowe: ryzyko pozycji z tytułu rynkowych instrumentów dłużnych według metody standardowej (MKR SA TDI)</w:t>
        </w:r>
        <w:r w:rsidR="00D723DD" w:rsidRPr="00AA1421">
          <w:rPr>
            <w:webHidden/>
          </w:rPr>
          <w:tab/>
        </w:r>
        <w:r w:rsidR="00D723DD" w:rsidRPr="00AA1421">
          <w:rPr>
            <w:webHidden/>
          </w:rPr>
          <w:fldChar w:fldCharType="begin"/>
        </w:r>
        <w:r w:rsidR="00D723DD" w:rsidRPr="00AA1421">
          <w:rPr>
            <w:webHidden/>
          </w:rPr>
          <w:instrText xml:space="preserve"> PAGEREF _Toc58403721 \h </w:instrText>
        </w:r>
        <w:r w:rsidR="00D723DD" w:rsidRPr="00AA1421">
          <w:rPr>
            <w:webHidden/>
          </w:rPr>
        </w:r>
        <w:r w:rsidR="00D723DD" w:rsidRPr="00AA1421">
          <w:rPr>
            <w:webHidden/>
          </w:rPr>
          <w:fldChar w:fldCharType="separate"/>
        </w:r>
        <w:r w:rsidR="00D723DD" w:rsidRPr="00AA1421">
          <w:rPr>
            <w:webHidden/>
          </w:rPr>
          <w:t>216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2" w:history="1">
        <w:r w:rsidR="00D723DD" w:rsidRPr="00AA1421">
          <w:rPr>
            <w:rStyle w:val="Hyperlink"/>
            <w:rFonts w:ascii="Times New Roman" w:hAnsi="Times New Roman"/>
          </w:rPr>
          <w:t>5.1.1.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_Toc58403722 \h </w:instrText>
        </w:r>
        <w:r w:rsidR="00D723DD" w:rsidRPr="00AA1421">
          <w:rPr>
            <w:webHidden/>
          </w:rPr>
        </w:r>
        <w:r w:rsidR="00D723DD" w:rsidRPr="00AA1421">
          <w:rPr>
            <w:webHidden/>
          </w:rPr>
          <w:fldChar w:fldCharType="separate"/>
        </w:r>
        <w:r w:rsidR="00D723DD" w:rsidRPr="00AA1421">
          <w:rPr>
            <w:webHidden/>
          </w:rPr>
          <w:t>216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3" w:history="1">
        <w:r w:rsidR="00D723DD" w:rsidRPr="00AA1421">
          <w:rPr>
            <w:rStyle w:val="Hyperlink"/>
            <w:rFonts w:ascii="Times New Roman" w:hAnsi="Times New Roman"/>
          </w:rPr>
          <w:t>5.1.2.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_Toc58403723 \h </w:instrText>
        </w:r>
        <w:r w:rsidR="00D723DD" w:rsidRPr="00AA1421">
          <w:rPr>
            <w:webHidden/>
          </w:rPr>
        </w:r>
        <w:r w:rsidR="00D723DD" w:rsidRPr="00AA1421">
          <w:rPr>
            <w:webHidden/>
          </w:rPr>
          <w:fldChar w:fldCharType="separate"/>
        </w:r>
        <w:r w:rsidR="00D723DD" w:rsidRPr="00AA1421">
          <w:rPr>
            <w:webHidden/>
          </w:rPr>
          <w:t>216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4" w:history="1">
        <w:r w:rsidR="00D723DD" w:rsidRPr="00AA1421">
          <w:rPr>
            <w:rStyle w:val="Hyperlink"/>
            <w:rFonts w:ascii="Times New Roman" w:hAnsi="Times New Roman"/>
          </w:rPr>
          <w:t>5.2.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19.00 – RYZYKO RYNKOWE: SZCZEGÓLNE RYZYKO Z TYTUŁU SEKURYTYZACJI WEDŁUG METODY STANDARDOWEJ (MKR SA SEC)</w:t>
        </w:r>
        <w:r w:rsidR="00D723DD" w:rsidRPr="00AA1421">
          <w:rPr>
            <w:webHidden/>
          </w:rPr>
          <w:tab/>
        </w:r>
        <w:r w:rsidR="00D723DD" w:rsidRPr="00AA1421">
          <w:rPr>
            <w:webHidden/>
          </w:rPr>
          <w:fldChar w:fldCharType="begin"/>
        </w:r>
        <w:r w:rsidR="00D723DD" w:rsidRPr="00AA1421">
          <w:rPr>
            <w:webHidden/>
          </w:rPr>
          <w:instrText xml:space="preserve"> PAGEREF _Toc58403724 \h </w:instrText>
        </w:r>
        <w:r w:rsidR="00D723DD" w:rsidRPr="00AA1421">
          <w:rPr>
            <w:webHidden/>
          </w:rPr>
        </w:r>
        <w:r w:rsidR="00D723DD" w:rsidRPr="00AA1421">
          <w:rPr>
            <w:webHidden/>
          </w:rPr>
          <w:fldChar w:fldCharType="separate"/>
        </w:r>
        <w:r w:rsidR="00D723DD" w:rsidRPr="00AA1421">
          <w:rPr>
            <w:webHidden/>
          </w:rPr>
          <w:t>219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5" w:history="1">
        <w:r w:rsidR="00D723DD" w:rsidRPr="00AA1421">
          <w:rPr>
            <w:rStyle w:val="Hyperlink"/>
            <w:rFonts w:ascii="Times New Roman" w:hAnsi="Times New Roman"/>
          </w:rPr>
          <w:t>5.2.1.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_Toc58403725 \h </w:instrText>
        </w:r>
        <w:r w:rsidR="00D723DD" w:rsidRPr="00AA1421">
          <w:rPr>
            <w:webHidden/>
          </w:rPr>
        </w:r>
        <w:r w:rsidR="00D723DD" w:rsidRPr="00AA1421">
          <w:rPr>
            <w:webHidden/>
          </w:rPr>
          <w:fldChar w:fldCharType="separate"/>
        </w:r>
        <w:r w:rsidR="00D723DD" w:rsidRPr="00AA1421">
          <w:rPr>
            <w:webHidden/>
          </w:rPr>
          <w:t>219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6" w:history="1">
        <w:r w:rsidR="00D723DD" w:rsidRPr="00AA1421">
          <w:rPr>
            <w:rStyle w:val="Hyperlink"/>
            <w:rFonts w:ascii="Times New Roman" w:hAnsi="Times New Roman"/>
          </w:rPr>
          <w:t>5.2.2.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_Toc58403726 \h </w:instrText>
        </w:r>
        <w:r w:rsidR="00D723DD" w:rsidRPr="00AA1421">
          <w:rPr>
            <w:webHidden/>
          </w:rPr>
        </w:r>
        <w:r w:rsidR="00D723DD" w:rsidRPr="00AA1421">
          <w:rPr>
            <w:webHidden/>
          </w:rPr>
          <w:fldChar w:fldCharType="separate"/>
        </w:r>
        <w:r w:rsidR="00D723DD" w:rsidRPr="00AA1421">
          <w:rPr>
            <w:webHidden/>
          </w:rPr>
          <w:t>219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7" w:history="1">
        <w:r w:rsidR="00D723DD" w:rsidRPr="00AA1421">
          <w:rPr>
            <w:rStyle w:val="Hyperlink"/>
            <w:rFonts w:ascii="Times New Roman" w:hAnsi="Times New Roman"/>
          </w:rPr>
          <w:t>5.3.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20.00 – RYZYKO RYNKOWE: SZCZEGÓLNE RYZYKO Z TYTUŁU KORELACYJNEGO PORTFELA HANDLOWEGO WEDŁUG METODY STANDARDOWEJ (MKR SA CTP)</w:t>
        </w:r>
        <w:r w:rsidR="00D723DD" w:rsidRPr="00AA1421">
          <w:rPr>
            <w:webHidden/>
          </w:rPr>
          <w:tab/>
        </w:r>
        <w:r w:rsidR="00D723DD" w:rsidRPr="00AA1421">
          <w:rPr>
            <w:webHidden/>
          </w:rPr>
          <w:fldChar w:fldCharType="begin"/>
        </w:r>
        <w:r w:rsidR="00D723DD" w:rsidRPr="00AA1421">
          <w:rPr>
            <w:webHidden/>
          </w:rPr>
          <w:instrText xml:space="preserve"> PAGEREF _Toc58403727 \h </w:instrText>
        </w:r>
        <w:r w:rsidR="00D723DD" w:rsidRPr="00AA1421">
          <w:rPr>
            <w:webHidden/>
          </w:rPr>
        </w:r>
        <w:r w:rsidR="00D723DD" w:rsidRPr="00AA1421">
          <w:rPr>
            <w:webHidden/>
          </w:rPr>
          <w:fldChar w:fldCharType="separate"/>
        </w:r>
        <w:r w:rsidR="00D723DD" w:rsidRPr="00AA1421">
          <w:rPr>
            <w:webHidden/>
          </w:rPr>
          <w:t>221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8" w:history="1">
        <w:r w:rsidR="00D723DD" w:rsidRPr="00AA1421">
          <w:rPr>
            <w:rStyle w:val="Hyperlink"/>
            <w:rFonts w:ascii="Times New Roman" w:hAnsi="Times New Roman"/>
          </w:rPr>
          <w:t>5.3.1.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_Toc58403728 \h </w:instrText>
        </w:r>
        <w:r w:rsidR="00D723DD" w:rsidRPr="00AA1421">
          <w:rPr>
            <w:webHidden/>
          </w:rPr>
        </w:r>
        <w:r w:rsidR="00D723DD" w:rsidRPr="00AA1421">
          <w:rPr>
            <w:webHidden/>
          </w:rPr>
          <w:fldChar w:fldCharType="separate"/>
        </w:r>
        <w:r w:rsidR="00D723DD" w:rsidRPr="00AA1421">
          <w:rPr>
            <w:webHidden/>
          </w:rPr>
          <w:t>221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29" w:history="1">
        <w:r w:rsidR="00D723DD" w:rsidRPr="00AA1421">
          <w:rPr>
            <w:rStyle w:val="Hyperlink"/>
            <w:rFonts w:ascii="Times New Roman" w:hAnsi="Times New Roman"/>
          </w:rPr>
          <w:t>5.3.2.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_Toc58403729 \h </w:instrText>
        </w:r>
        <w:r w:rsidR="00D723DD" w:rsidRPr="00AA1421">
          <w:rPr>
            <w:webHidden/>
          </w:rPr>
        </w:r>
        <w:r w:rsidR="00D723DD" w:rsidRPr="00AA1421">
          <w:rPr>
            <w:webHidden/>
          </w:rPr>
          <w:fldChar w:fldCharType="separate"/>
        </w:r>
        <w:r w:rsidR="00D723DD" w:rsidRPr="00AA1421">
          <w:rPr>
            <w:webHidden/>
          </w:rPr>
          <w:t>222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0" w:history="1">
        <w:r w:rsidR="00D723DD" w:rsidRPr="00AA1421">
          <w:rPr>
            <w:rStyle w:val="Hyperlink"/>
            <w:rFonts w:ascii="Times New Roman" w:hAnsi="Times New Roman"/>
          </w:rPr>
          <w:t>5.4.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21.00 – Ryzyko rynkowe: ryzyko pozycji związane z papierami kapitałowymi według metody standardowej (MKR SA EQU)</w:t>
        </w:r>
        <w:r w:rsidR="00D723DD" w:rsidRPr="00AA1421">
          <w:rPr>
            <w:webHidden/>
          </w:rPr>
          <w:tab/>
        </w:r>
        <w:r w:rsidR="00D723DD" w:rsidRPr="00AA1421">
          <w:rPr>
            <w:webHidden/>
          </w:rPr>
          <w:fldChar w:fldCharType="begin"/>
        </w:r>
        <w:r w:rsidR="00D723DD" w:rsidRPr="00AA1421">
          <w:rPr>
            <w:webHidden/>
          </w:rPr>
          <w:instrText xml:space="preserve"> PAGEREF _Toc58403730 \h </w:instrText>
        </w:r>
        <w:r w:rsidR="00D723DD" w:rsidRPr="00AA1421">
          <w:rPr>
            <w:webHidden/>
          </w:rPr>
        </w:r>
        <w:r w:rsidR="00D723DD" w:rsidRPr="00AA1421">
          <w:rPr>
            <w:webHidden/>
          </w:rPr>
          <w:fldChar w:fldCharType="separate"/>
        </w:r>
        <w:r w:rsidR="00D723DD" w:rsidRPr="00AA1421">
          <w:rPr>
            <w:webHidden/>
          </w:rPr>
          <w:t>225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1" w:history="1">
        <w:r w:rsidR="00D723DD" w:rsidRPr="00AA1421">
          <w:rPr>
            <w:rStyle w:val="Hyperlink"/>
            <w:rFonts w:ascii="Times New Roman" w:hAnsi="Times New Roman"/>
          </w:rPr>
          <w:t>5.4.1.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_Toc58403731 \h </w:instrText>
        </w:r>
        <w:r w:rsidR="00D723DD" w:rsidRPr="00AA1421">
          <w:rPr>
            <w:webHidden/>
          </w:rPr>
        </w:r>
        <w:r w:rsidR="00D723DD" w:rsidRPr="00AA1421">
          <w:rPr>
            <w:webHidden/>
          </w:rPr>
          <w:fldChar w:fldCharType="separate"/>
        </w:r>
        <w:r w:rsidR="00D723DD" w:rsidRPr="00AA1421">
          <w:rPr>
            <w:webHidden/>
          </w:rPr>
          <w:t>225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2" w:history="1">
        <w:r w:rsidR="00D723DD" w:rsidRPr="00AA1421">
          <w:rPr>
            <w:rStyle w:val="Hyperlink"/>
            <w:rFonts w:ascii="Times New Roman" w:hAnsi="Times New Roman"/>
          </w:rPr>
          <w:t>5.4.2.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_Toc58403732 \h </w:instrText>
        </w:r>
        <w:r w:rsidR="00D723DD" w:rsidRPr="00AA1421">
          <w:rPr>
            <w:webHidden/>
          </w:rPr>
        </w:r>
        <w:r w:rsidR="00D723DD" w:rsidRPr="00AA1421">
          <w:rPr>
            <w:webHidden/>
          </w:rPr>
          <w:fldChar w:fldCharType="separate"/>
        </w:r>
        <w:r w:rsidR="00D723DD" w:rsidRPr="00AA1421">
          <w:rPr>
            <w:webHidden/>
          </w:rPr>
          <w:t>225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3" w:history="1">
        <w:r w:rsidR="00D723DD" w:rsidRPr="00AA1421">
          <w:rPr>
            <w:rStyle w:val="Hyperlink"/>
            <w:rFonts w:ascii="Times New Roman" w:hAnsi="Times New Roman"/>
          </w:rPr>
          <w:t>5.5.</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22.00 – Ryzyko rynkowe: ryzyko walutowe według metod standardowych (MKR SA FX)</w:t>
        </w:r>
        <w:r w:rsidR="00D723DD" w:rsidRPr="00AA1421">
          <w:rPr>
            <w:webHidden/>
          </w:rPr>
          <w:tab/>
        </w:r>
        <w:r w:rsidR="00D723DD" w:rsidRPr="00AA1421">
          <w:rPr>
            <w:webHidden/>
          </w:rPr>
          <w:fldChar w:fldCharType="begin"/>
        </w:r>
        <w:r w:rsidR="00D723DD" w:rsidRPr="00AA1421">
          <w:rPr>
            <w:webHidden/>
          </w:rPr>
          <w:instrText xml:space="preserve"> PAGEREF _Toc58403733 \h </w:instrText>
        </w:r>
        <w:r w:rsidR="00D723DD" w:rsidRPr="00AA1421">
          <w:rPr>
            <w:webHidden/>
          </w:rPr>
        </w:r>
        <w:r w:rsidR="00D723DD" w:rsidRPr="00AA1421">
          <w:rPr>
            <w:webHidden/>
          </w:rPr>
          <w:fldChar w:fldCharType="separate"/>
        </w:r>
        <w:r w:rsidR="00D723DD" w:rsidRPr="00AA1421">
          <w:rPr>
            <w:webHidden/>
          </w:rPr>
          <w:t>227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4" w:history="1">
        <w:r w:rsidR="00D723DD" w:rsidRPr="00AA1421">
          <w:rPr>
            <w:rStyle w:val="Hyperlink"/>
            <w:rFonts w:ascii="Times New Roman" w:hAnsi="Times New Roman"/>
          </w:rPr>
          <w:t>5.5.1.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_Toc58403734 \h </w:instrText>
        </w:r>
        <w:r w:rsidR="00D723DD" w:rsidRPr="00AA1421">
          <w:rPr>
            <w:webHidden/>
          </w:rPr>
        </w:r>
        <w:r w:rsidR="00D723DD" w:rsidRPr="00AA1421">
          <w:rPr>
            <w:webHidden/>
          </w:rPr>
          <w:fldChar w:fldCharType="separate"/>
        </w:r>
        <w:r w:rsidR="00D723DD" w:rsidRPr="00AA1421">
          <w:rPr>
            <w:webHidden/>
          </w:rPr>
          <w:t>227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5" w:history="1">
        <w:r w:rsidR="00D723DD" w:rsidRPr="00AA1421">
          <w:rPr>
            <w:rStyle w:val="Hyperlink"/>
            <w:rFonts w:ascii="Times New Roman" w:hAnsi="Times New Roman"/>
          </w:rPr>
          <w:t>5.5.2.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_Toc58403735 \h </w:instrText>
        </w:r>
        <w:r w:rsidR="00D723DD" w:rsidRPr="00AA1421">
          <w:rPr>
            <w:webHidden/>
          </w:rPr>
        </w:r>
        <w:r w:rsidR="00D723DD" w:rsidRPr="00AA1421">
          <w:rPr>
            <w:webHidden/>
          </w:rPr>
          <w:fldChar w:fldCharType="separate"/>
        </w:r>
        <w:r w:rsidR="00D723DD" w:rsidRPr="00AA1421">
          <w:rPr>
            <w:webHidden/>
          </w:rPr>
          <w:t>227</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6" w:history="1">
        <w:r w:rsidR="00D723DD" w:rsidRPr="00AA1421">
          <w:rPr>
            <w:rStyle w:val="Hyperlink"/>
            <w:rFonts w:ascii="Times New Roman" w:hAnsi="Times New Roman"/>
          </w:rPr>
          <w:t>5.6.</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23.00 – Ryzyko rynkowe: ryzyko cen towarów według metod standardowych (MKR SA COM)</w:t>
        </w:r>
        <w:r w:rsidR="00D723DD" w:rsidRPr="00AA1421">
          <w:rPr>
            <w:webHidden/>
          </w:rPr>
          <w:tab/>
        </w:r>
        <w:r w:rsidR="00D723DD" w:rsidRPr="00AA1421">
          <w:rPr>
            <w:webHidden/>
          </w:rPr>
          <w:fldChar w:fldCharType="begin"/>
        </w:r>
        <w:r w:rsidR="00D723DD" w:rsidRPr="00AA1421">
          <w:rPr>
            <w:webHidden/>
          </w:rPr>
          <w:instrText xml:space="preserve"> PAGEREF _Toc58403736 \h </w:instrText>
        </w:r>
        <w:r w:rsidR="00D723DD" w:rsidRPr="00AA1421">
          <w:rPr>
            <w:webHidden/>
          </w:rPr>
        </w:r>
        <w:r w:rsidR="00D723DD" w:rsidRPr="00AA1421">
          <w:rPr>
            <w:webHidden/>
          </w:rPr>
          <w:fldChar w:fldCharType="separate"/>
        </w:r>
        <w:r w:rsidR="00D723DD" w:rsidRPr="00AA1421">
          <w:rPr>
            <w:webHidden/>
          </w:rPr>
          <w:t>230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7" w:history="1">
        <w:r w:rsidR="00D723DD" w:rsidRPr="00AA1421">
          <w:rPr>
            <w:rStyle w:val="Hyperlink"/>
            <w:rFonts w:ascii="Times New Roman" w:hAnsi="Times New Roman"/>
          </w:rPr>
          <w:t>5.6.1.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_Toc58403737 \h </w:instrText>
        </w:r>
        <w:r w:rsidR="00D723DD" w:rsidRPr="00AA1421">
          <w:rPr>
            <w:webHidden/>
          </w:rPr>
        </w:r>
        <w:r w:rsidR="00D723DD" w:rsidRPr="00AA1421">
          <w:rPr>
            <w:webHidden/>
          </w:rPr>
          <w:fldChar w:fldCharType="separate"/>
        </w:r>
        <w:r w:rsidR="00D723DD" w:rsidRPr="00AA1421">
          <w:rPr>
            <w:webHidden/>
          </w:rPr>
          <w:t>230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8" w:history="1">
        <w:r w:rsidR="00D723DD" w:rsidRPr="00AA1421">
          <w:rPr>
            <w:rStyle w:val="Hyperlink"/>
            <w:rFonts w:ascii="Times New Roman" w:hAnsi="Times New Roman"/>
          </w:rPr>
          <w:t>5.6.2.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_Toc58403738 \h </w:instrText>
        </w:r>
        <w:r w:rsidR="00D723DD" w:rsidRPr="00AA1421">
          <w:rPr>
            <w:webHidden/>
          </w:rPr>
        </w:r>
        <w:r w:rsidR="00D723DD" w:rsidRPr="00AA1421">
          <w:rPr>
            <w:webHidden/>
          </w:rPr>
          <w:fldChar w:fldCharType="separate"/>
        </w:r>
        <w:r w:rsidR="00D723DD" w:rsidRPr="00AA1421">
          <w:rPr>
            <w:webHidden/>
          </w:rPr>
          <w:t>230</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39" w:history="1">
        <w:r w:rsidR="00D723DD" w:rsidRPr="00AA1421">
          <w:rPr>
            <w:rStyle w:val="Hyperlink"/>
            <w:rFonts w:ascii="Times New Roman" w:hAnsi="Times New Roman"/>
          </w:rPr>
          <w:t>5.7.</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24.00 – Modele wewnętrzne ryzyka rynkowego (MKR IM)</w:t>
        </w:r>
        <w:r w:rsidR="00D723DD" w:rsidRPr="00AA1421">
          <w:rPr>
            <w:webHidden/>
          </w:rPr>
          <w:tab/>
        </w:r>
        <w:r w:rsidR="00D723DD" w:rsidRPr="00AA1421">
          <w:rPr>
            <w:webHidden/>
          </w:rPr>
          <w:fldChar w:fldCharType="begin"/>
        </w:r>
        <w:r w:rsidR="00D723DD" w:rsidRPr="00AA1421">
          <w:rPr>
            <w:webHidden/>
          </w:rPr>
          <w:instrText xml:space="preserve"> PAGEREF _Toc58403739 \h </w:instrText>
        </w:r>
        <w:r w:rsidR="00D723DD" w:rsidRPr="00AA1421">
          <w:rPr>
            <w:webHidden/>
          </w:rPr>
        </w:r>
        <w:r w:rsidR="00D723DD" w:rsidRPr="00AA1421">
          <w:rPr>
            <w:webHidden/>
          </w:rPr>
          <w:fldChar w:fldCharType="separate"/>
        </w:r>
        <w:r w:rsidR="00D723DD" w:rsidRPr="00AA1421">
          <w:rPr>
            <w:webHidden/>
          </w:rPr>
          <w:t>232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0" w:history="1">
        <w:r w:rsidR="00D723DD" w:rsidRPr="00AA1421">
          <w:rPr>
            <w:rStyle w:val="Hyperlink"/>
            <w:rFonts w:ascii="Times New Roman" w:hAnsi="Times New Roman"/>
          </w:rPr>
          <w:t>5.7.1.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_Toc58403740 \h </w:instrText>
        </w:r>
        <w:r w:rsidR="00D723DD" w:rsidRPr="00AA1421">
          <w:rPr>
            <w:webHidden/>
          </w:rPr>
        </w:r>
        <w:r w:rsidR="00D723DD" w:rsidRPr="00AA1421">
          <w:rPr>
            <w:webHidden/>
          </w:rPr>
          <w:fldChar w:fldCharType="separate"/>
        </w:r>
        <w:r w:rsidR="00D723DD" w:rsidRPr="00AA1421">
          <w:rPr>
            <w:webHidden/>
          </w:rPr>
          <w:t>232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1" w:history="1">
        <w:r w:rsidR="00D723DD" w:rsidRPr="00AA1421">
          <w:rPr>
            <w:rStyle w:val="Hyperlink"/>
            <w:rFonts w:ascii="Times New Roman" w:hAnsi="Times New Roman"/>
          </w:rPr>
          <w:t>5.7.2.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_Toc58403741 \h </w:instrText>
        </w:r>
        <w:r w:rsidR="00D723DD" w:rsidRPr="00AA1421">
          <w:rPr>
            <w:webHidden/>
          </w:rPr>
        </w:r>
        <w:r w:rsidR="00D723DD" w:rsidRPr="00AA1421">
          <w:rPr>
            <w:webHidden/>
          </w:rPr>
          <w:fldChar w:fldCharType="separate"/>
        </w:r>
        <w:r w:rsidR="00D723DD" w:rsidRPr="00AA1421">
          <w:rPr>
            <w:webHidden/>
          </w:rPr>
          <w:t>232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2" w:history="1">
        <w:r w:rsidR="00D723DD" w:rsidRPr="00AA1421">
          <w:rPr>
            <w:rStyle w:val="Hyperlink"/>
            <w:rFonts w:ascii="Times New Roman" w:hAnsi="Times New Roman"/>
          </w:rPr>
          <w:t>5.8.</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25.00 – RYZYKO ZWIĄZANE Z KOREKTĄ WYCENY KREDYTOWEJ (CVA)</w:t>
        </w:r>
        <w:r w:rsidR="00D723DD" w:rsidRPr="00AA1421">
          <w:rPr>
            <w:webHidden/>
          </w:rPr>
          <w:tab/>
        </w:r>
        <w:r w:rsidR="00D723DD" w:rsidRPr="00AA1421">
          <w:rPr>
            <w:webHidden/>
          </w:rPr>
          <w:fldChar w:fldCharType="begin"/>
        </w:r>
        <w:r w:rsidR="00D723DD" w:rsidRPr="00AA1421">
          <w:rPr>
            <w:webHidden/>
          </w:rPr>
          <w:instrText xml:space="preserve"> PAGEREF _Toc58403742 \h </w:instrText>
        </w:r>
        <w:r w:rsidR="00D723DD" w:rsidRPr="00AA1421">
          <w:rPr>
            <w:webHidden/>
          </w:rPr>
        </w:r>
        <w:r w:rsidR="00D723DD" w:rsidRPr="00AA1421">
          <w:rPr>
            <w:webHidden/>
          </w:rPr>
          <w:fldChar w:fldCharType="separate"/>
        </w:r>
        <w:r w:rsidR="00D723DD" w:rsidRPr="00AA1421">
          <w:rPr>
            <w:webHidden/>
          </w:rPr>
          <w:t>236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3" w:history="1">
        <w:r w:rsidR="00D723DD" w:rsidRPr="00AA1421">
          <w:rPr>
            <w:rStyle w:val="Hyperlink"/>
            <w:rFonts w:ascii="Times New Roman" w:hAnsi="Times New Roman"/>
          </w:rPr>
          <w:t>5.8.1.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_Toc58403743 \h </w:instrText>
        </w:r>
        <w:r w:rsidR="00D723DD" w:rsidRPr="00AA1421">
          <w:rPr>
            <w:webHidden/>
          </w:rPr>
        </w:r>
        <w:r w:rsidR="00D723DD" w:rsidRPr="00AA1421">
          <w:rPr>
            <w:webHidden/>
          </w:rPr>
          <w:fldChar w:fldCharType="separate"/>
        </w:r>
        <w:r w:rsidR="00D723DD" w:rsidRPr="00AA1421">
          <w:rPr>
            <w:webHidden/>
          </w:rPr>
          <w:t>236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4" w:history="1">
        <w:r w:rsidR="00D723DD" w:rsidRPr="00AA1421">
          <w:rPr>
            <w:rStyle w:val="Hyperlink"/>
            <w:rFonts w:ascii="Times New Roman" w:hAnsi="Times New Roman"/>
          </w:rPr>
          <w:t>6.</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Ostrożna wycena (PruVal)</w:t>
        </w:r>
        <w:r w:rsidR="00D723DD" w:rsidRPr="00AA1421">
          <w:rPr>
            <w:webHidden/>
          </w:rPr>
          <w:tab/>
        </w:r>
        <w:r w:rsidR="00D723DD" w:rsidRPr="00AA1421">
          <w:rPr>
            <w:webHidden/>
          </w:rPr>
          <w:fldChar w:fldCharType="begin"/>
        </w:r>
        <w:r w:rsidR="00D723DD" w:rsidRPr="00AA1421">
          <w:rPr>
            <w:webHidden/>
          </w:rPr>
          <w:instrText xml:space="preserve"> PAGEREF _Toc58403744 \h </w:instrText>
        </w:r>
        <w:r w:rsidR="00D723DD" w:rsidRPr="00AA1421">
          <w:rPr>
            <w:webHidden/>
          </w:rPr>
        </w:r>
        <w:r w:rsidR="00D723DD" w:rsidRPr="00AA1421">
          <w:rPr>
            <w:webHidden/>
          </w:rPr>
          <w:fldChar w:fldCharType="separate"/>
        </w:r>
        <w:r w:rsidR="00D723DD" w:rsidRPr="00AA1421">
          <w:rPr>
            <w:webHidden/>
          </w:rPr>
          <w:t>238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5" w:history="1">
        <w:r w:rsidR="00D723DD" w:rsidRPr="00AA1421">
          <w:rPr>
            <w:rStyle w:val="Hyperlink"/>
            <w:rFonts w:ascii="Times New Roman" w:hAnsi="Times New Roman"/>
          </w:rPr>
          <w:t>6.1.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32.01 - Ostrożna wycena: aktywa i zobowiązania wyceniane według wartości godziwej (PruVal 1)</w:t>
        </w:r>
        <w:r w:rsidR="00D723DD" w:rsidRPr="00AA1421">
          <w:rPr>
            <w:webHidden/>
          </w:rPr>
          <w:tab/>
        </w:r>
        <w:r w:rsidR="00D723DD" w:rsidRPr="00AA1421">
          <w:rPr>
            <w:webHidden/>
          </w:rPr>
          <w:fldChar w:fldCharType="begin"/>
        </w:r>
        <w:r w:rsidR="00D723DD" w:rsidRPr="00AA1421">
          <w:rPr>
            <w:webHidden/>
          </w:rPr>
          <w:instrText xml:space="preserve"> PAGEREF _Toc58403745 \h </w:instrText>
        </w:r>
        <w:r w:rsidR="00D723DD" w:rsidRPr="00AA1421">
          <w:rPr>
            <w:webHidden/>
          </w:rPr>
        </w:r>
        <w:r w:rsidR="00D723DD" w:rsidRPr="00AA1421">
          <w:rPr>
            <w:webHidden/>
          </w:rPr>
          <w:fldChar w:fldCharType="separate"/>
        </w:r>
        <w:r w:rsidR="00D723DD" w:rsidRPr="00AA1421">
          <w:rPr>
            <w:webHidden/>
          </w:rPr>
          <w:t>238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6" w:history="1">
        <w:r w:rsidR="00D723DD" w:rsidRPr="00AA1421">
          <w:rPr>
            <w:rStyle w:val="Hyperlink"/>
            <w:rFonts w:ascii="Times New Roman" w:hAnsi="Times New Roman"/>
          </w:rPr>
          <w:t>6.1.1.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_Toc58403746 \h </w:instrText>
        </w:r>
        <w:r w:rsidR="00D723DD" w:rsidRPr="00AA1421">
          <w:rPr>
            <w:webHidden/>
          </w:rPr>
        </w:r>
        <w:r w:rsidR="00D723DD" w:rsidRPr="00AA1421">
          <w:rPr>
            <w:webHidden/>
          </w:rPr>
          <w:fldChar w:fldCharType="separate"/>
        </w:r>
        <w:r w:rsidR="00D723DD" w:rsidRPr="00AA1421">
          <w:rPr>
            <w:webHidden/>
          </w:rPr>
          <w:t>238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7" w:history="1">
        <w:r w:rsidR="00D723DD" w:rsidRPr="00AA1421">
          <w:rPr>
            <w:rStyle w:val="Hyperlink"/>
            <w:rFonts w:ascii="Times New Roman" w:hAnsi="Times New Roman"/>
          </w:rPr>
          <w:t>6.1.2.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_Toc58403747 \h </w:instrText>
        </w:r>
        <w:r w:rsidR="00D723DD" w:rsidRPr="00AA1421">
          <w:rPr>
            <w:webHidden/>
          </w:rPr>
        </w:r>
        <w:r w:rsidR="00D723DD" w:rsidRPr="00AA1421">
          <w:rPr>
            <w:webHidden/>
          </w:rPr>
          <w:fldChar w:fldCharType="separate"/>
        </w:r>
        <w:r w:rsidR="00D723DD" w:rsidRPr="00AA1421">
          <w:rPr>
            <w:webHidden/>
          </w:rPr>
          <w:t>238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8" w:history="1">
        <w:r w:rsidR="00D723DD" w:rsidRPr="00AA1421">
          <w:rPr>
            <w:rStyle w:val="Hyperlink"/>
            <w:rFonts w:ascii="Times New Roman" w:hAnsi="Times New Roman"/>
          </w:rPr>
          <w:t>6.2.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32.02 - Ostrożna wycena: metoda podstawowa (PruVal 2)</w:t>
        </w:r>
        <w:r w:rsidR="00D723DD" w:rsidRPr="00AA1421">
          <w:rPr>
            <w:webHidden/>
          </w:rPr>
          <w:tab/>
        </w:r>
        <w:r w:rsidR="00D723DD" w:rsidRPr="00AA1421">
          <w:rPr>
            <w:webHidden/>
          </w:rPr>
          <w:fldChar w:fldCharType="begin"/>
        </w:r>
        <w:r w:rsidR="00D723DD" w:rsidRPr="00AA1421">
          <w:rPr>
            <w:webHidden/>
          </w:rPr>
          <w:instrText xml:space="preserve"> PAGEREF _Toc58403748 \h </w:instrText>
        </w:r>
        <w:r w:rsidR="00D723DD" w:rsidRPr="00AA1421">
          <w:rPr>
            <w:webHidden/>
          </w:rPr>
        </w:r>
        <w:r w:rsidR="00D723DD" w:rsidRPr="00AA1421">
          <w:rPr>
            <w:webHidden/>
          </w:rPr>
          <w:fldChar w:fldCharType="separate"/>
        </w:r>
        <w:r w:rsidR="00D723DD" w:rsidRPr="00AA1421">
          <w:rPr>
            <w:webHidden/>
          </w:rPr>
          <w:t>244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49" w:history="1">
        <w:r w:rsidR="00D723DD" w:rsidRPr="00AA1421">
          <w:rPr>
            <w:rStyle w:val="Hyperlink"/>
            <w:rFonts w:ascii="Times New Roman" w:hAnsi="Times New Roman"/>
          </w:rPr>
          <w:t>6.2.1.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_Toc58403749 \h </w:instrText>
        </w:r>
        <w:r w:rsidR="00D723DD" w:rsidRPr="00AA1421">
          <w:rPr>
            <w:webHidden/>
          </w:rPr>
        </w:r>
        <w:r w:rsidR="00D723DD" w:rsidRPr="00AA1421">
          <w:rPr>
            <w:webHidden/>
          </w:rPr>
          <w:fldChar w:fldCharType="separate"/>
        </w:r>
        <w:r w:rsidR="00D723DD" w:rsidRPr="00AA1421">
          <w:rPr>
            <w:webHidden/>
          </w:rPr>
          <w:t>244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0" w:history="1">
        <w:r w:rsidR="00D723DD" w:rsidRPr="00AA1421">
          <w:rPr>
            <w:rStyle w:val="Hyperlink"/>
            <w:rFonts w:ascii="Times New Roman" w:hAnsi="Times New Roman"/>
          </w:rPr>
          <w:t>6.2.2.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_Toc58403750 \h </w:instrText>
        </w:r>
        <w:r w:rsidR="00D723DD" w:rsidRPr="00AA1421">
          <w:rPr>
            <w:webHidden/>
          </w:rPr>
        </w:r>
        <w:r w:rsidR="00D723DD" w:rsidRPr="00AA1421">
          <w:rPr>
            <w:webHidden/>
          </w:rPr>
          <w:fldChar w:fldCharType="separate"/>
        </w:r>
        <w:r w:rsidR="00D723DD" w:rsidRPr="00AA1421">
          <w:rPr>
            <w:webHidden/>
          </w:rPr>
          <w:t>245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1" w:history="1">
        <w:r w:rsidR="00D723DD" w:rsidRPr="00AA1421">
          <w:rPr>
            <w:rStyle w:val="Hyperlink"/>
            <w:rFonts w:ascii="Times New Roman" w:hAnsi="Times New Roman"/>
          </w:rPr>
          <w:t>6.3. C 32.03 - Ostrożna wycena: AVA z tytułu ryzyka modelu (PruVal 3)</w:t>
        </w:r>
        <w:r w:rsidR="00D723DD" w:rsidRPr="00AA1421">
          <w:rPr>
            <w:webHidden/>
          </w:rPr>
          <w:tab/>
        </w:r>
        <w:r w:rsidR="00D723DD" w:rsidRPr="00AA1421">
          <w:rPr>
            <w:webHidden/>
          </w:rPr>
          <w:fldChar w:fldCharType="begin"/>
        </w:r>
        <w:r w:rsidR="00D723DD" w:rsidRPr="00AA1421">
          <w:rPr>
            <w:webHidden/>
          </w:rPr>
          <w:instrText xml:space="preserve"> PAGEREF _Toc58403751 \h </w:instrText>
        </w:r>
        <w:r w:rsidR="00D723DD" w:rsidRPr="00AA1421">
          <w:rPr>
            <w:webHidden/>
          </w:rPr>
        </w:r>
        <w:r w:rsidR="00D723DD" w:rsidRPr="00AA1421">
          <w:rPr>
            <w:webHidden/>
          </w:rPr>
          <w:fldChar w:fldCharType="separate"/>
        </w:r>
        <w:r w:rsidR="00D723DD" w:rsidRPr="00AA1421">
          <w:rPr>
            <w:webHidden/>
          </w:rPr>
          <w:t>255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2" w:history="1">
        <w:r w:rsidR="00D723DD" w:rsidRPr="00AA1421">
          <w:rPr>
            <w:rStyle w:val="Hyperlink"/>
            <w:rFonts w:ascii="Times New Roman" w:hAnsi="Times New Roman"/>
          </w:rPr>
          <w:t>6.3.1.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_Toc58403752 \h </w:instrText>
        </w:r>
        <w:r w:rsidR="00D723DD" w:rsidRPr="00AA1421">
          <w:rPr>
            <w:webHidden/>
          </w:rPr>
        </w:r>
        <w:r w:rsidR="00D723DD" w:rsidRPr="00AA1421">
          <w:rPr>
            <w:webHidden/>
          </w:rPr>
          <w:fldChar w:fldCharType="separate"/>
        </w:r>
        <w:r w:rsidR="00D723DD" w:rsidRPr="00AA1421">
          <w:rPr>
            <w:webHidden/>
          </w:rPr>
          <w:t>255</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3" w:history="1">
        <w:r w:rsidR="00D723DD" w:rsidRPr="00AA1421">
          <w:rPr>
            <w:rStyle w:val="Hyperlink"/>
            <w:rFonts w:ascii="Times New Roman" w:hAnsi="Times New Roman"/>
          </w:rPr>
          <w:t>6.3.2.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_Toc58403753 \h </w:instrText>
        </w:r>
        <w:r w:rsidR="00D723DD" w:rsidRPr="00AA1421">
          <w:rPr>
            <w:webHidden/>
          </w:rPr>
        </w:r>
        <w:r w:rsidR="00D723DD" w:rsidRPr="00AA1421">
          <w:rPr>
            <w:webHidden/>
          </w:rPr>
          <w:fldChar w:fldCharType="separate"/>
        </w:r>
        <w:r w:rsidR="00D723DD" w:rsidRPr="00AA1421">
          <w:rPr>
            <w:webHidden/>
          </w:rPr>
          <w:t>256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4" w:history="1">
        <w:r w:rsidR="00D723DD" w:rsidRPr="00AA1421">
          <w:rPr>
            <w:rStyle w:val="Hyperlink"/>
            <w:rFonts w:ascii="Times New Roman" w:hAnsi="Times New Roman"/>
          </w:rPr>
          <w:t>6.4 C 32.04 – Ostrożna wycena: AVA z tytułu pozycji o dużej koncentracji (PruVal 4)</w:t>
        </w:r>
        <w:r w:rsidR="00D723DD" w:rsidRPr="00AA1421">
          <w:rPr>
            <w:webHidden/>
          </w:rPr>
          <w:tab/>
        </w:r>
        <w:r w:rsidR="00D723DD" w:rsidRPr="00AA1421">
          <w:rPr>
            <w:webHidden/>
          </w:rPr>
          <w:fldChar w:fldCharType="begin"/>
        </w:r>
        <w:r w:rsidR="00D723DD" w:rsidRPr="00AA1421">
          <w:rPr>
            <w:webHidden/>
          </w:rPr>
          <w:instrText xml:space="preserve"> PAGEREF _Toc58403754 \h </w:instrText>
        </w:r>
        <w:r w:rsidR="00D723DD" w:rsidRPr="00AA1421">
          <w:rPr>
            <w:webHidden/>
          </w:rPr>
        </w:r>
        <w:r w:rsidR="00D723DD" w:rsidRPr="00AA1421">
          <w:rPr>
            <w:webHidden/>
          </w:rPr>
          <w:fldChar w:fldCharType="separate"/>
        </w:r>
        <w:r w:rsidR="00D723DD" w:rsidRPr="00AA1421">
          <w:rPr>
            <w:webHidden/>
          </w:rPr>
          <w:t>258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5" w:history="1">
        <w:r w:rsidR="00D723DD" w:rsidRPr="00AA1421">
          <w:rPr>
            <w:rStyle w:val="Hyperlink"/>
            <w:rFonts w:ascii="Times New Roman" w:hAnsi="Times New Roman"/>
          </w:rPr>
          <w:t>6.4.1.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_Toc58403755 \h </w:instrText>
        </w:r>
        <w:r w:rsidR="00D723DD" w:rsidRPr="00AA1421">
          <w:rPr>
            <w:webHidden/>
          </w:rPr>
        </w:r>
        <w:r w:rsidR="00D723DD" w:rsidRPr="00AA1421">
          <w:rPr>
            <w:webHidden/>
          </w:rPr>
          <w:fldChar w:fldCharType="separate"/>
        </w:r>
        <w:r w:rsidR="00D723DD" w:rsidRPr="00AA1421">
          <w:rPr>
            <w:webHidden/>
          </w:rPr>
          <w:t>258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6" w:history="1">
        <w:r w:rsidR="00D723DD" w:rsidRPr="00AA1421">
          <w:rPr>
            <w:rStyle w:val="Hyperlink"/>
            <w:rFonts w:ascii="Times New Roman" w:hAnsi="Times New Roman"/>
          </w:rPr>
          <w:t>6.4.2.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_Toc58403756 \h </w:instrText>
        </w:r>
        <w:r w:rsidR="00D723DD" w:rsidRPr="00AA1421">
          <w:rPr>
            <w:webHidden/>
          </w:rPr>
        </w:r>
        <w:r w:rsidR="00D723DD" w:rsidRPr="00AA1421">
          <w:rPr>
            <w:webHidden/>
          </w:rPr>
          <w:fldChar w:fldCharType="separate"/>
        </w:r>
        <w:r w:rsidR="00D723DD" w:rsidRPr="00AA1421">
          <w:rPr>
            <w:webHidden/>
          </w:rPr>
          <w:t>259</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7" w:history="1">
        <w:r w:rsidR="00D723DD" w:rsidRPr="00AA1421">
          <w:rPr>
            <w:rStyle w:val="Hyperlink"/>
            <w:rFonts w:ascii="Times New Roman" w:hAnsi="Times New Roman"/>
          </w:rPr>
          <w:t>7.</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33.00 – Ekspozycje wobec sektora instytucji rządowych i samorządowych według państwa kontrahenta (GOV)</w:t>
        </w:r>
        <w:r w:rsidR="00D723DD" w:rsidRPr="00AA1421">
          <w:rPr>
            <w:webHidden/>
          </w:rPr>
          <w:tab/>
        </w:r>
        <w:r w:rsidR="00D723DD" w:rsidRPr="00AA1421">
          <w:rPr>
            <w:webHidden/>
          </w:rPr>
          <w:fldChar w:fldCharType="begin"/>
        </w:r>
        <w:r w:rsidR="00D723DD" w:rsidRPr="00AA1421">
          <w:rPr>
            <w:webHidden/>
          </w:rPr>
          <w:instrText xml:space="preserve"> PAGEREF _Toc58403757 \h </w:instrText>
        </w:r>
        <w:r w:rsidR="00D723DD" w:rsidRPr="00AA1421">
          <w:rPr>
            <w:webHidden/>
          </w:rPr>
        </w:r>
        <w:r w:rsidR="00D723DD" w:rsidRPr="00AA1421">
          <w:rPr>
            <w:webHidden/>
          </w:rPr>
          <w:fldChar w:fldCharType="separate"/>
        </w:r>
        <w:r w:rsidR="00D723DD" w:rsidRPr="00AA1421">
          <w:rPr>
            <w:webHidden/>
          </w:rPr>
          <w:t>261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8" w:history="1">
        <w:r w:rsidR="00D723DD" w:rsidRPr="00AA1421">
          <w:rPr>
            <w:rStyle w:val="Hyperlink"/>
            <w:rFonts w:ascii="Times New Roman" w:hAnsi="Times New Roman"/>
          </w:rPr>
          <w:t>7.1.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_Toc58403758 \h </w:instrText>
        </w:r>
        <w:r w:rsidR="00D723DD" w:rsidRPr="00AA1421">
          <w:rPr>
            <w:webHidden/>
          </w:rPr>
        </w:r>
        <w:r w:rsidR="00D723DD" w:rsidRPr="00AA1421">
          <w:rPr>
            <w:webHidden/>
          </w:rPr>
          <w:fldChar w:fldCharType="separate"/>
        </w:r>
        <w:r w:rsidR="00D723DD" w:rsidRPr="00AA1421">
          <w:rPr>
            <w:webHidden/>
          </w:rPr>
          <w:t>261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59" w:history="1">
        <w:r w:rsidR="00D723DD" w:rsidRPr="00AA1421">
          <w:rPr>
            <w:rStyle w:val="Hyperlink"/>
            <w:rFonts w:ascii="Times New Roman" w:hAnsi="Times New Roman"/>
          </w:rPr>
          <w:t>7.2.</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Zakres wzoru dotyczącego ekspozycji wobec „sektora instytucji rządowych i samorządowych”</w:t>
        </w:r>
        <w:r w:rsidR="00D723DD" w:rsidRPr="00AA1421">
          <w:rPr>
            <w:webHidden/>
          </w:rPr>
          <w:tab/>
        </w:r>
        <w:r w:rsidR="00D723DD" w:rsidRPr="00AA1421">
          <w:rPr>
            <w:webHidden/>
          </w:rPr>
          <w:fldChar w:fldCharType="begin"/>
        </w:r>
        <w:r w:rsidR="00D723DD" w:rsidRPr="00AA1421">
          <w:rPr>
            <w:webHidden/>
          </w:rPr>
          <w:instrText xml:space="preserve"> PAGEREF _Toc58403759 \h </w:instrText>
        </w:r>
        <w:r w:rsidR="00D723DD" w:rsidRPr="00AA1421">
          <w:rPr>
            <w:webHidden/>
          </w:rPr>
        </w:r>
        <w:r w:rsidR="00D723DD" w:rsidRPr="00AA1421">
          <w:rPr>
            <w:webHidden/>
          </w:rPr>
          <w:fldChar w:fldCharType="separate"/>
        </w:r>
        <w:r w:rsidR="00D723DD" w:rsidRPr="00AA1421">
          <w:rPr>
            <w:webHidden/>
          </w:rPr>
          <w:t>262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0" w:history="1">
        <w:r w:rsidR="00D723DD" w:rsidRPr="00AA1421">
          <w:rPr>
            <w:rStyle w:val="Hyperlink"/>
            <w:rFonts w:ascii="Times New Roman" w:hAnsi="Times New Roman"/>
          </w:rPr>
          <w:t>7.3.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_Toc58403760 \h </w:instrText>
        </w:r>
        <w:r w:rsidR="00D723DD" w:rsidRPr="00AA1421">
          <w:rPr>
            <w:webHidden/>
          </w:rPr>
        </w:r>
        <w:r w:rsidR="00D723DD" w:rsidRPr="00AA1421">
          <w:rPr>
            <w:webHidden/>
          </w:rPr>
          <w:fldChar w:fldCharType="separate"/>
        </w:r>
        <w:r w:rsidR="00D723DD" w:rsidRPr="00AA1421">
          <w:rPr>
            <w:webHidden/>
          </w:rPr>
          <w:t>262</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1" w:history="1">
        <w:r w:rsidR="00D723DD" w:rsidRPr="00AA1421">
          <w:rPr>
            <w:rStyle w:val="Hyperlink"/>
            <w:rFonts w:ascii="Times New Roman" w:hAnsi="Times New Roman"/>
          </w:rPr>
          <w:t>8.</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Pokrycie strat z tytułu ekspozycji nieobsługiwanych (NPE LC)</w:t>
        </w:r>
        <w:r w:rsidR="00D723DD" w:rsidRPr="00AA1421">
          <w:rPr>
            <w:webHidden/>
          </w:rPr>
          <w:tab/>
        </w:r>
        <w:r w:rsidR="00D723DD" w:rsidRPr="00AA1421">
          <w:rPr>
            <w:webHidden/>
          </w:rPr>
          <w:fldChar w:fldCharType="begin"/>
        </w:r>
        <w:r w:rsidR="00D723DD" w:rsidRPr="00AA1421">
          <w:rPr>
            <w:webHidden/>
          </w:rPr>
          <w:instrText xml:space="preserve"> PAGEREF _Toc58403761 \h </w:instrText>
        </w:r>
        <w:r w:rsidR="00D723DD" w:rsidRPr="00AA1421">
          <w:rPr>
            <w:webHidden/>
          </w:rPr>
        </w:r>
        <w:r w:rsidR="00D723DD" w:rsidRPr="00AA1421">
          <w:rPr>
            <w:webHidden/>
          </w:rPr>
          <w:fldChar w:fldCharType="separate"/>
        </w:r>
        <w:r w:rsidR="00D723DD" w:rsidRPr="00AA1421">
          <w:rPr>
            <w:webHidden/>
          </w:rPr>
          <w:t>274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2" w:history="1">
        <w:r w:rsidR="00D723DD" w:rsidRPr="00AA1421">
          <w:rPr>
            <w:rStyle w:val="Hyperlink"/>
            <w:rFonts w:ascii="Times New Roman" w:hAnsi="Times New Roman"/>
          </w:rPr>
          <w:t>8.1.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Uwagi ogólne</w:t>
        </w:r>
        <w:r w:rsidR="00D723DD" w:rsidRPr="00AA1421">
          <w:rPr>
            <w:webHidden/>
          </w:rPr>
          <w:tab/>
        </w:r>
        <w:r w:rsidR="00D723DD" w:rsidRPr="00AA1421">
          <w:rPr>
            <w:webHidden/>
          </w:rPr>
          <w:fldChar w:fldCharType="begin"/>
        </w:r>
        <w:r w:rsidR="00D723DD" w:rsidRPr="00AA1421">
          <w:rPr>
            <w:webHidden/>
          </w:rPr>
          <w:instrText xml:space="preserve"> PAGEREF _Toc58403762 \h </w:instrText>
        </w:r>
        <w:r w:rsidR="00D723DD" w:rsidRPr="00AA1421">
          <w:rPr>
            <w:webHidden/>
          </w:rPr>
        </w:r>
        <w:r w:rsidR="00D723DD" w:rsidRPr="00AA1421">
          <w:rPr>
            <w:webHidden/>
          </w:rPr>
          <w:fldChar w:fldCharType="separate"/>
        </w:r>
        <w:r w:rsidR="00D723DD" w:rsidRPr="00AA1421">
          <w:rPr>
            <w:webHidden/>
          </w:rPr>
          <w:t>274</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3" w:history="1">
        <w:r w:rsidR="00D723DD" w:rsidRPr="00AA1421">
          <w:rPr>
            <w:rStyle w:val="Hyperlink"/>
            <w:rFonts w:ascii="Times New Roman" w:hAnsi="Times New Roman"/>
          </w:rPr>
          <w:t>8.2. C 35.01 – OBLICZANIE ODLICZEŃ Z TYTUŁU EKSPOZYCJI NIEOBSŁUGIWANYCH (NPE LC1)</w:t>
        </w:r>
        <w:r w:rsidR="00D723DD" w:rsidRPr="00AA1421">
          <w:rPr>
            <w:webHidden/>
          </w:rPr>
          <w:tab/>
        </w:r>
        <w:r w:rsidR="00D723DD" w:rsidRPr="00AA1421">
          <w:rPr>
            <w:webHidden/>
          </w:rPr>
          <w:fldChar w:fldCharType="begin"/>
        </w:r>
        <w:r w:rsidR="00D723DD" w:rsidRPr="00AA1421">
          <w:rPr>
            <w:webHidden/>
          </w:rPr>
          <w:instrText xml:space="preserve"> PAGEREF _Toc58403763 \h </w:instrText>
        </w:r>
        <w:r w:rsidR="00D723DD" w:rsidRPr="00AA1421">
          <w:rPr>
            <w:webHidden/>
          </w:rPr>
        </w:r>
        <w:r w:rsidR="00D723DD" w:rsidRPr="00AA1421">
          <w:rPr>
            <w:webHidden/>
          </w:rPr>
          <w:fldChar w:fldCharType="separate"/>
        </w:r>
        <w:r w:rsidR="00D723DD" w:rsidRPr="00AA1421">
          <w:rPr>
            <w:webHidden/>
          </w:rPr>
          <w:t>276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4" w:history="1">
        <w:r w:rsidR="00D723DD" w:rsidRPr="00AA1421">
          <w:rPr>
            <w:rStyle w:val="Hyperlink"/>
            <w:rFonts w:ascii="Times New Roman" w:hAnsi="Times New Roman"/>
          </w:rPr>
          <w:t>8.2.1.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_Toc58403764 \h </w:instrText>
        </w:r>
        <w:r w:rsidR="00D723DD" w:rsidRPr="00AA1421">
          <w:rPr>
            <w:webHidden/>
          </w:rPr>
        </w:r>
        <w:r w:rsidR="00D723DD" w:rsidRPr="00AA1421">
          <w:rPr>
            <w:webHidden/>
          </w:rPr>
          <w:fldChar w:fldCharType="separate"/>
        </w:r>
        <w:r w:rsidR="00D723DD" w:rsidRPr="00AA1421">
          <w:rPr>
            <w:webHidden/>
          </w:rPr>
          <w:t>276</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5" w:history="1">
        <w:r w:rsidR="00D723DD" w:rsidRPr="00AA1421">
          <w:rPr>
            <w:rStyle w:val="Hyperlink"/>
            <w:rFonts w:ascii="Times New Roman" w:hAnsi="Times New Roman"/>
          </w:rPr>
          <w:t>8.3.</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35.02 – WYMOGI MINIMALNEGO POKRYCIA STRAT I WARTOŚCI EKSPOZYCJI W PRZYPADKU EKSPOZYCJI NIEOBSŁUGIWANYCH, Z WYŁĄCZENIEM EKSPOZYCJI RESTRUKTURYZOWANYCH, KTÓRE SĄ OBJĘTE ART. 47C UST. 6 CRR (NPE LC2)</w:t>
        </w:r>
        <w:r w:rsidR="00D723DD" w:rsidRPr="00AA1421">
          <w:rPr>
            <w:webHidden/>
          </w:rPr>
          <w:tab/>
        </w:r>
        <w:r w:rsidR="00D723DD" w:rsidRPr="00AA1421">
          <w:rPr>
            <w:webHidden/>
          </w:rPr>
          <w:fldChar w:fldCharType="begin"/>
        </w:r>
        <w:r w:rsidR="00D723DD" w:rsidRPr="00AA1421">
          <w:rPr>
            <w:webHidden/>
          </w:rPr>
          <w:instrText xml:space="preserve"> PAGEREF _Toc58403765 \h </w:instrText>
        </w:r>
        <w:r w:rsidR="00D723DD" w:rsidRPr="00AA1421">
          <w:rPr>
            <w:webHidden/>
          </w:rPr>
        </w:r>
        <w:r w:rsidR="00D723DD" w:rsidRPr="00AA1421">
          <w:rPr>
            <w:webHidden/>
          </w:rPr>
          <w:fldChar w:fldCharType="separate"/>
        </w:r>
        <w:r w:rsidR="00D723DD" w:rsidRPr="00AA1421">
          <w:rPr>
            <w:webHidden/>
          </w:rPr>
          <w:t>278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6" w:history="1">
        <w:r w:rsidR="00D723DD" w:rsidRPr="00AA1421">
          <w:rPr>
            <w:rStyle w:val="Hyperlink"/>
            <w:rFonts w:ascii="Times New Roman" w:hAnsi="Times New Roman"/>
          </w:rPr>
          <w:t>8.3.1.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_Toc58403766 \h </w:instrText>
        </w:r>
        <w:r w:rsidR="00D723DD" w:rsidRPr="00AA1421">
          <w:rPr>
            <w:webHidden/>
          </w:rPr>
        </w:r>
        <w:r w:rsidR="00D723DD" w:rsidRPr="00AA1421">
          <w:rPr>
            <w:webHidden/>
          </w:rPr>
          <w:fldChar w:fldCharType="separate"/>
        </w:r>
        <w:r w:rsidR="00D723DD" w:rsidRPr="00AA1421">
          <w:rPr>
            <w:webHidden/>
          </w:rPr>
          <w:t>278</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7" w:history="1">
        <w:r w:rsidR="00D723DD" w:rsidRPr="00AA1421">
          <w:rPr>
            <w:rStyle w:val="Hyperlink"/>
            <w:rFonts w:ascii="Times New Roman" w:hAnsi="Times New Roman"/>
          </w:rPr>
          <w:t>8.4.</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C 35.03 – WYMOGI MINIMALNEGO POKRYCIA STRAT I WARTOŚCI EKSPOZYCJI W PRZYPADKU NIEOBSŁUGIWANYCH EKSPOZYCJI RESTRUKTURYZOWANYCH, KTÓRE SĄ OBJĘTE ART. 47C UST. 6 CRR (NPE LC3)</w:t>
        </w:r>
        <w:r w:rsidR="00D723DD" w:rsidRPr="00AA1421">
          <w:rPr>
            <w:webHidden/>
          </w:rPr>
          <w:tab/>
        </w:r>
        <w:r w:rsidR="00D723DD" w:rsidRPr="00AA1421">
          <w:rPr>
            <w:webHidden/>
          </w:rPr>
          <w:fldChar w:fldCharType="begin"/>
        </w:r>
        <w:r w:rsidR="00D723DD" w:rsidRPr="00AA1421">
          <w:rPr>
            <w:webHidden/>
          </w:rPr>
          <w:instrText xml:space="preserve"> PAGEREF _Toc58403767 \h </w:instrText>
        </w:r>
        <w:r w:rsidR="00D723DD" w:rsidRPr="00AA1421">
          <w:rPr>
            <w:webHidden/>
          </w:rPr>
        </w:r>
        <w:r w:rsidR="00D723DD" w:rsidRPr="00AA1421">
          <w:rPr>
            <w:webHidden/>
          </w:rPr>
          <w:fldChar w:fldCharType="separate"/>
        </w:r>
        <w:r w:rsidR="00D723DD" w:rsidRPr="00AA1421">
          <w:rPr>
            <w:webHidden/>
          </w:rPr>
          <w:t>281</w:t>
        </w:r>
        <w:r w:rsidR="00D723DD" w:rsidRPr="00AA1421">
          <w:rPr>
            <w:webHidden/>
          </w:rPr>
          <w:fldChar w:fldCharType="end"/>
        </w:r>
      </w:hyperlink>
    </w:p>
    <w:p w:rsidR="00D723DD" w:rsidRPr="00AA1421" w:rsidRDefault="00084F66">
      <w:pPr>
        <w:pStyle w:val="TOC2"/>
        <w:rPr>
          <w:rFonts w:asciiTheme="minorHAnsi" w:eastAsiaTheme="minorEastAsia" w:hAnsiTheme="minorHAnsi" w:cstheme="minorBidi"/>
          <w:b w:val="0"/>
          <w:smallCaps w:val="0"/>
          <w:sz w:val="22"/>
          <w:lang w:eastAsia="en-GB"/>
        </w:rPr>
      </w:pPr>
      <w:hyperlink w:anchor="_Toc58403768" w:history="1">
        <w:r w:rsidR="00D723DD" w:rsidRPr="00AA1421">
          <w:rPr>
            <w:rStyle w:val="Hyperlink"/>
            <w:rFonts w:ascii="Times New Roman" w:hAnsi="Times New Roman"/>
          </w:rPr>
          <w:t>8.4.1.</w:t>
        </w:r>
        <w:r w:rsidR="00D723DD" w:rsidRPr="00AA1421">
          <w:rPr>
            <w:rFonts w:asciiTheme="minorHAnsi" w:eastAsiaTheme="minorEastAsia" w:hAnsiTheme="minorHAnsi" w:cstheme="minorBidi"/>
            <w:b w:val="0"/>
            <w:smallCaps w:val="0"/>
            <w:sz w:val="22"/>
            <w:lang w:eastAsia="en-GB"/>
          </w:rPr>
          <w:tab/>
        </w:r>
        <w:r w:rsidR="00D723DD" w:rsidRPr="00AA1421">
          <w:rPr>
            <w:rStyle w:val="Hyperlink"/>
            <w:rFonts w:ascii="Times New Roman" w:hAnsi="Times New Roman"/>
          </w:rPr>
          <w:t>Instrukcje dotyczące poszczególnych pozycji</w:t>
        </w:r>
        <w:r w:rsidR="00D723DD" w:rsidRPr="00AA1421">
          <w:rPr>
            <w:webHidden/>
          </w:rPr>
          <w:tab/>
        </w:r>
        <w:r w:rsidR="00D723DD" w:rsidRPr="00AA1421">
          <w:rPr>
            <w:webHidden/>
          </w:rPr>
          <w:fldChar w:fldCharType="begin"/>
        </w:r>
        <w:r w:rsidR="00D723DD" w:rsidRPr="00AA1421">
          <w:rPr>
            <w:webHidden/>
          </w:rPr>
          <w:instrText xml:space="preserve"> PAGEREF _Toc58403768 \h </w:instrText>
        </w:r>
        <w:r w:rsidR="00D723DD" w:rsidRPr="00AA1421">
          <w:rPr>
            <w:webHidden/>
          </w:rPr>
        </w:r>
        <w:r w:rsidR="00D723DD" w:rsidRPr="00AA1421">
          <w:rPr>
            <w:webHidden/>
          </w:rPr>
          <w:fldChar w:fldCharType="separate"/>
        </w:r>
        <w:r w:rsidR="00D723DD" w:rsidRPr="00AA1421">
          <w:rPr>
            <w:webHidden/>
          </w:rPr>
          <w:t>281</w:t>
        </w:r>
        <w:r w:rsidR="00D723DD" w:rsidRPr="00AA1421">
          <w:rPr>
            <w:webHidden/>
          </w:rPr>
          <w:fldChar w:fldCharType="end"/>
        </w:r>
      </w:hyperlink>
    </w:p>
    <w:p w:rsidR="002648B0" w:rsidRPr="00AA1421" w:rsidRDefault="00745369" w:rsidP="00005FFC">
      <w:pPr>
        <w:rPr>
          <w:rFonts w:ascii="Times New Roman" w:hAnsi="Times New Roman"/>
          <w:sz w:val="24"/>
        </w:rPr>
        <w:sectPr w:rsidR="002648B0" w:rsidRPr="00AA1421"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AA1421">
        <w:rPr>
          <w:rFonts w:ascii="Times New Roman" w:hAnsi="Times New Roman"/>
          <w:sz w:val="24"/>
        </w:rPr>
        <w:fldChar w:fldCharType="end"/>
      </w:r>
    </w:p>
    <w:p w:rsidR="007B4FD3" w:rsidRPr="00AA1421" w:rsidRDefault="007B4FD3" w:rsidP="00EC5046">
      <w:pPr>
        <w:rPr>
          <w:rFonts w:ascii="Times New Roman" w:hAnsi="Times New Roman"/>
          <w:sz w:val="24"/>
        </w:rPr>
      </w:pPr>
    </w:p>
    <w:p w:rsidR="002648B0" w:rsidRPr="00AA1421" w:rsidRDefault="002648B0" w:rsidP="00D64B66">
      <w:pPr>
        <w:pStyle w:val="Heading2"/>
        <w:rPr>
          <w:rFonts w:ascii="Times New Roman" w:hAnsi="Times New Roman"/>
        </w:rPr>
      </w:pPr>
      <w:bookmarkStart w:id="3" w:name="_Toc264038394"/>
      <w:bookmarkStart w:id="4" w:name="_Toc360188317"/>
      <w:bookmarkStart w:id="5" w:name="_Toc473560865"/>
      <w:bookmarkStart w:id="6" w:name="_Toc58403589"/>
      <w:r w:rsidRPr="00AA1421">
        <w:rPr>
          <w:rFonts w:ascii="Times New Roman" w:hAnsi="Times New Roman"/>
        </w:rPr>
        <w:t>CZĘŚĆ I:</w:t>
      </w:r>
      <w:bookmarkEnd w:id="3"/>
      <w:r w:rsidRPr="00AA1421">
        <w:rPr>
          <w:rFonts w:ascii="Times New Roman" w:hAnsi="Times New Roman"/>
        </w:rPr>
        <w:t xml:space="preserve"> INSTRUKCJE OGÓLNE</w:t>
      </w:r>
      <w:bookmarkEnd w:id="4"/>
      <w:bookmarkEnd w:id="5"/>
      <w:bookmarkEnd w:id="6"/>
    </w:p>
    <w:p w:rsidR="002648B0" w:rsidRPr="00AA1421"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403590"/>
      <w:r w:rsidRPr="00AA1421">
        <w:rPr>
          <w:rFonts w:ascii="Times New Roman" w:hAnsi="Times New Roman"/>
          <w:sz w:val="24"/>
          <w:u w:val="none"/>
        </w:rPr>
        <w:t>1.</w:t>
      </w:r>
      <w:r w:rsidRPr="00AA1421">
        <w:rPr>
          <w:u w:val="none"/>
        </w:rPr>
        <w:tab/>
      </w:r>
      <w:r w:rsidRPr="00AA1421">
        <w:rPr>
          <w:rFonts w:ascii="Times New Roman" w:hAnsi="Times New Roman"/>
          <w:sz w:val="24"/>
          <w:u w:val="none"/>
        </w:rPr>
        <w:t>Struktura i konwencje</w:t>
      </w:r>
      <w:bookmarkEnd w:id="7"/>
      <w:bookmarkEnd w:id="8"/>
      <w:bookmarkEnd w:id="9"/>
    </w:p>
    <w:p w:rsidR="002648B0" w:rsidRPr="00AA1421"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58403591"/>
      <w:bookmarkStart w:id="13" w:name="_Toc264038399"/>
      <w:bookmarkStart w:id="14" w:name="_Toc294018834"/>
      <w:r w:rsidRPr="00AA1421">
        <w:rPr>
          <w:rFonts w:ascii="Times New Roman" w:hAnsi="Times New Roman"/>
          <w:sz w:val="24"/>
          <w:u w:val="none"/>
        </w:rPr>
        <w:t>1.1.</w:t>
      </w:r>
      <w:r w:rsidRPr="00AA1421">
        <w:rPr>
          <w:u w:val="none"/>
        </w:rPr>
        <w:tab/>
      </w:r>
      <w:r w:rsidRPr="00AA1421">
        <w:rPr>
          <w:rFonts w:ascii="Times New Roman" w:hAnsi="Times New Roman"/>
          <w:sz w:val="24"/>
          <w:u w:val="none"/>
        </w:rPr>
        <w:t>Struktura</w:t>
      </w:r>
      <w:bookmarkEnd w:id="10"/>
      <w:bookmarkEnd w:id="11"/>
      <w:bookmarkEnd w:id="12"/>
    </w:p>
    <w:p w:rsidR="002648B0" w:rsidRPr="00AA1421" w:rsidRDefault="00AA1421" w:rsidP="00487A02">
      <w:pPr>
        <w:pStyle w:val="InstructionsText2"/>
        <w:numPr>
          <w:ilvl w:val="0"/>
          <w:numId w:val="0"/>
        </w:numPr>
        <w:ind w:left="1353" w:hanging="360"/>
      </w:pPr>
      <w:fldSimple w:instr=" seq paragraphs ">
        <w:r w:rsidR="00D11E4C" w:rsidRPr="00AA1421">
          <w:rPr>
            <w:noProof/>
          </w:rPr>
          <w:t>1</w:t>
        </w:r>
      </w:fldSimple>
      <w:r w:rsidR="00D11E4C" w:rsidRPr="00AA1421">
        <w:t>.</w:t>
      </w:r>
      <w:r w:rsidR="00D11E4C" w:rsidRPr="00AA1421">
        <w:tab/>
        <w:t>Zasadniczo ramy te dotyczą sześciu zagadnień:</w:t>
      </w:r>
    </w:p>
    <w:p w:rsidR="002648B0" w:rsidRPr="00AA1421" w:rsidRDefault="00125707" w:rsidP="00487A02">
      <w:pPr>
        <w:pStyle w:val="InstructionsText2"/>
        <w:numPr>
          <w:ilvl w:val="0"/>
          <w:numId w:val="0"/>
        </w:numPr>
        <w:ind w:left="1353" w:hanging="360"/>
      </w:pPr>
      <w:r w:rsidRPr="00AA1421">
        <w:t>a)</w:t>
      </w:r>
      <w:r w:rsidRPr="00AA1421">
        <w:tab/>
        <w:t>adekwatności kapitałowej, przeglądu kapitału regulacyjnego, łącznej kwoty ekspozycji na ryzyko; ostrożnej wyceny; pokrycia strat z tytułu ekspozycji nieobsługiwanych;</w:t>
      </w:r>
    </w:p>
    <w:p w:rsidR="00436204" w:rsidRPr="00AA1421" w:rsidRDefault="00125707" w:rsidP="00487A02">
      <w:pPr>
        <w:pStyle w:val="InstructionsText2"/>
        <w:numPr>
          <w:ilvl w:val="0"/>
          <w:numId w:val="0"/>
        </w:numPr>
        <w:ind w:left="1353" w:hanging="360"/>
      </w:pPr>
      <w:r w:rsidRPr="00AA1421">
        <w:t>b)</w:t>
      </w:r>
      <w:r w:rsidRPr="00AA1421">
        <w:tab/>
        <w:t>wypłacalności grupy, przeglądu spełniania wymogów dotyczących wypłacalności przez wszystkie poszczególne podmioty objęte zakresem konsolidacji jednostki sprawozdającej;</w:t>
      </w:r>
    </w:p>
    <w:p w:rsidR="002648B0" w:rsidRPr="00AA1421" w:rsidRDefault="00125707" w:rsidP="00487A02">
      <w:pPr>
        <w:pStyle w:val="InstructionsText2"/>
        <w:numPr>
          <w:ilvl w:val="0"/>
          <w:numId w:val="0"/>
        </w:numPr>
        <w:ind w:left="1353" w:hanging="360"/>
      </w:pPr>
      <w:r w:rsidRPr="00AA1421">
        <w:t>c)</w:t>
      </w:r>
      <w:r w:rsidRPr="00AA1421">
        <w:tab/>
        <w:t>ryzyka kredytowego (w tym ryzyka kredytowego kontrahenta, ryzyka rozmycia i ryzyka rozliczenia);</w:t>
      </w:r>
    </w:p>
    <w:p w:rsidR="002648B0" w:rsidRPr="00AA1421" w:rsidRDefault="00125707" w:rsidP="00487A02">
      <w:pPr>
        <w:pStyle w:val="InstructionsText2"/>
        <w:numPr>
          <w:ilvl w:val="0"/>
          <w:numId w:val="0"/>
        </w:numPr>
        <w:ind w:left="1353" w:hanging="360"/>
      </w:pPr>
      <w:r w:rsidRPr="00AA1421">
        <w:t>d)</w:t>
      </w:r>
      <w:r w:rsidRPr="00AA1421">
        <w:tab/>
        <w:t>ryzyka rynkowego (w tym ryzyka pozycji w portfelu handlowym, ryzyka walutowego, ryzyka cen towarów i ryzyka związanego z CVA);</w:t>
      </w:r>
    </w:p>
    <w:p w:rsidR="00C44C83" w:rsidRPr="00AA1421" w:rsidRDefault="00125707" w:rsidP="00487A02">
      <w:pPr>
        <w:pStyle w:val="InstructionsText2"/>
        <w:numPr>
          <w:ilvl w:val="0"/>
          <w:numId w:val="0"/>
        </w:numPr>
        <w:ind w:left="1353" w:hanging="360"/>
      </w:pPr>
      <w:r w:rsidRPr="00AA1421">
        <w:t>e)</w:t>
      </w:r>
      <w:r w:rsidRPr="00AA1421">
        <w:tab/>
        <w:t>ryzyka operacyjnego;</w:t>
      </w:r>
    </w:p>
    <w:p w:rsidR="002648B0" w:rsidRPr="00AA1421" w:rsidRDefault="00C44C83" w:rsidP="00487A02">
      <w:pPr>
        <w:pStyle w:val="InstructionsText2"/>
        <w:numPr>
          <w:ilvl w:val="0"/>
          <w:numId w:val="0"/>
        </w:numPr>
        <w:ind w:left="1353" w:hanging="360"/>
      </w:pPr>
      <w:r w:rsidRPr="00AA1421">
        <w:t>f) ekspozycji wobec sektora instytucji rządowych i samorządowych</w:t>
      </w:r>
    </w:p>
    <w:p w:rsidR="002648B0" w:rsidRPr="00AA1421" w:rsidRDefault="00AA1421" w:rsidP="00487A02">
      <w:pPr>
        <w:pStyle w:val="InstructionsText2"/>
        <w:numPr>
          <w:ilvl w:val="0"/>
          <w:numId w:val="0"/>
        </w:numPr>
        <w:ind w:left="1353" w:hanging="360"/>
      </w:pPr>
      <w:fldSimple w:instr=" seq paragraphs ">
        <w:r w:rsidR="00D11E4C" w:rsidRPr="00AA1421">
          <w:rPr>
            <w:noProof/>
          </w:rPr>
          <w:t>2</w:t>
        </w:r>
      </w:fldSimple>
      <w:r w:rsidR="00D11E4C" w:rsidRPr="00AA1421">
        <w:t>.</w:t>
      </w:r>
      <w:r w:rsidR="00D11E4C" w:rsidRPr="00AA1421">
        <w:tab/>
        <w:t>Dla każdego wzoru podano odniesienia prawne. Niniejsza część niniejszego rozporządzenia wykonawczego zawiera dalsze szczegółowe informacje dotyczące bardziej ogólnych aspektów sprawozdawczości w ramach każdej grupy wzorów, instrukcje dotyczące poszczególnych pozycji, a także reguły walidacyjne.</w:t>
      </w:r>
    </w:p>
    <w:p w:rsidR="005643EA" w:rsidRPr="00AA1421" w:rsidRDefault="00AA1421" w:rsidP="00487A02">
      <w:pPr>
        <w:pStyle w:val="InstructionsText2"/>
        <w:numPr>
          <w:ilvl w:val="0"/>
          <w:numId w:val="0"/>
        </w:numPr>
        <w:ind w:left="1353" w:hanging="360"/>
      </w:pPr>
      <w:fldSimple w:instr=" seq paragraphs ">
        <w:r w:rsidR="00D11E4C" w:rsidRPr="00AA1421">
          <w:rPr>
            <w:noProof/>
          </w:rPr>
          <w:t>3</w:t>
        </w:r>
      </w:fldSimple>
      <w:r w:rsidR="00D11E4C" w:rsidRPr="00AA1421">
        <w:t>.</w:t>
      </w:r>
      <w:r w:rsidR="00D11E4C" w:rsidRPr="00AA1421">
        <w:tab/>
        <w:t>Instytucje zgłaszają tylko te wzory, które są odpowiednie w zależności od podejścia zastosowanego do określenia wymogów w zakresie funduszy własnych.</w:t>
      </w:r>
    </w:p>
    <w:p w:rsidR="002648B0" w:rsidRPr="00AA1421"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403592"/>
      <w:r w:rsidRPr="00AA1421">
        <w:rPr>
          <w:rFonts w:ascii="Times New Roman" w:hAnsi="Times New Roman"/>
          <w:sz w:val="24"/>
          <w:u w:val="none"/>
        </w:rPr>
        <w:t>1.2.</w:t>
      </w:r>
      <w:r w:rsidRPr="00AA1421">
        <w:rPr>
          <w:u w:val="none"/>
        </w:rPr>
        <w:tab/>
      </w:r>
      <w:r w:rsidRPr="00AA1421">
        <w:rPr>
          <w:rFonts w:ascii="Times New Roman" w:hAnsi="Times New Roman"/>
          <w:sz w:val="24"/>
          <w:u w:val="none"/>
        </w:rPr>
        <w:t>Konwencja numerowania</w:t>
      </w:r>
      <w:bookmarkEnd w:id="15"/>
      <w:bookmarkEnd w:id="16"/>
      <w:bookmarkEnd w:id="17"/>
    </w:p>
    <w:p w:rsidR="002648B0" w:rsidRPr="00AA1421" w:rsidRDefault="00AA1421" w:rsidP="00487A02">
      <w:pPr>
        <w:pStyle w:val="InstructionsText2"/>
        <w:numPr>
          <w:ilvl w:val="0"/>
          <w:numId w:val="0"/>
        </w:numPr>
        <w:ind w:left="1353" w:hanging="360"/>
      </w:pPr>
      <w:fldSimple w:instr=" seq paragraphs ">
        <w:r w:rsidR="00D11E4C" w:rsidRPr="00AA1421">
          <w:rPr>
            <w:noProof/>
          </w:rPr>
          <w:t>4</w:t>
        </w:r>
      </w:fldSimple>
      <w:r w:rsidR="00D11E4C" w:rsidRPr="00AA1421">
        <w:t>.</w:t>
      </w:r>
      <w:r w:rsidR="00D11E4C" w:rsidRPr="00AA1421">
        <w:tab/>
        <w:t xml:space="preserve">W przypadku </w:t>
      </w:r>
      <w:proofErr w:type="spellStart"/>
      <w:r w:rsidR="00D11E4C" w:rsidRPr="00AA1421">
        <w:t>odwołań</w:t>
      </w:r>
      <w:proofErr w:type="spellEnd"/>
      <w:r w:rsidR="00D11E4C" w:rsidRPr="00AA1421">
        <w:t xml:space="preserve"> do kolumn, wierszy i komórek poszczególnych wzorów w dokumencie przestrzega się konwencji oznaczania przedstawionej w </w:t>
      </w:r>
      <w:r w:rsidR="00D11E4C" w:rsidRPr="00084F66">
        <w:t>pkt</w:t>
      </w:r>
      <w:r w:rsidR="00084F66" w:rsidRPr="00084F66">
        <w:t> </w:t>
      </w:r>
      <w:r w:rsidR="00D11E4C" w:rsidRPr="00084F66">
        <w:t>5</w:t>
      </w:r>
      <w:r w:rsidR="00D11E4C" w:rsidRPr="00AA1421">
        <w:t>–8. Przedmiotowe kody numeryczne znajdują szerokie zastosowanie w regułach walidacyjnych.</w:t>
      </w:r>
    </w:p>
    <w:p w:rsidR="005643EA" w:rsidRPr="00AA1421" w:rsidRDefault="00AA1421" w:rsidP="00487A02">
      <w:pPr>
        <w:pStyle w:val="InstructionsText2"/>
        <w:numPr>
          <w:ilvl w:val="0"/>
          <w:numId w:val="0"/>
        </w:numPr>
        <w:ind w:left="1353" w:hanging="360"/>
      </w:pPr>
      <w:fldSimple w:instr=" seq paragraphs ">
        <w:r w:rsidR="00D11E4C" w:rsidRPr="00AA1421">
          <w:rPr>
            <w:noProof/>
          </w:rPr>
          <w:t>5</w:t>
        </w:r>
      </w:fldSimple>
      <w:r w:rsidR="00D11E4C" w:rsidRPr="00AA1421">
        <w:t>.</w:t>
      </w:r>
      <w:r w:rsidR="00D11E4C" w:rsidRPr="00AA1421">
        <w:tab/>
        <w:t>W instrukcjach stosowany jest następujący ogólny zapis: {wzór; wiersz; kolumna}.</w:t>
      </w:r>
    </w:p>
    <w:p w:rsidR="002648B0" w:rsidRPr="00AA1421" w:rsidRDefault="00AA1421" w:rsidP="00487A02">
      <w:pPr>
        <w:pStyle w:val="InstructionsText2"/>
        <w:numPr>
          <w:ilvl w:val="0"/>
          <w:numId w:val="0"/>
        </w:numPr>
        <w:ind w:left="1353" w:hanging="360"/>
      </w:pPr>
      <w:fldSimple w:instr=" seq paragraphs ">
        <w:r w:rsidR="00D11E4C" w:rsidRPr="00AA1421">
          <w:rPr>
            <w:noProof/>
          </w:rPr>
          <w:t>6</w:t>
        </w:r>
      </w:fldSimple>
      <w:r w:rsidR="00D11E4C" w:rsidRPr="00AA1421">
        <w:t>.</w:t>
      </w:r>
      <w:r w:rsidR="00D11E4C" w:rsidRPr="00AA1421">
        <w:tab/>
        <w:t>W przypadku walidacji wewnątrz wzoru, która odnosi się tylko do danych zawartych w tym wzorze, adnotacje nie odnoszą się do wzoru: {wiersz; kolumna}.</w:t>
      </w:r>
    </w:p>
    <w:p w:rsidR="005643EA" w:rsidRPr="00AA1421" w:rsidRDefault="00AA1421" w:rsidP="00487A02">
      <w:pPr>
        <w:pStyle w:val="InstructionsText2"/>
        <w:numPr>
          <w:ilvl w:val="0"/>
          <w:numId w:val="0"/>
        </w:numPr>
        <w:ind w:left="1353" w:hanging="360"/>
      </w:pPr>
      <w:fldSimple w:instr=" seq paragraphs ">
        <w:r w:rsidR="00D11E4C" w:rsidRPr="00AA1421">
          <w:rPr>
            <w:noProof/>
          </w:rPr>
          <w:t>7</w:t>
        </w:r>
      </w:fldSimple>
      <w:r w:rsidR="00D11E4C" w:rsidRPr="00AA1421">
        <w:t>.</w:t>
      </w:r>
      <w:r w:rsidR="00D11E4C" w:rsidRPr="00AA1421">
        <w:tab/>
        <w:t>W przypadku wzorów zawierających tylko jedną kolumnę adnotacja odnosi się tylko do wierszy: {wzór; wiersz}.</w:t>
      </w:r>
    </w:p>
    <w:p w:rsidR="002648B0" w:rsidRPr="00AA1421" w:rsidRDefault="00AA1421" w:rsidP="00487A02">
      <w:pPr>
        <w:pStyle w:val="InstructionsText2"/>
        <w:numPr>
          <w:ilvl w:val="0"/>
          <w:numId w:val="0"/>
        </w:numPr>
        <w:ind w:left="1353" w:hanging="360"/>
      </w:pPr>
      <w:fldSimple w:instr=" seq paragraphs ">
        <w:r w:rsidR="00D11E4C" w:rsidRPr="00AA1421">
          <w:rPr>
            <w:noProof/>
          </w:rPr>
          <w:t>8</w:t>
        </w:r>
      </w:fldSimple>
      <w:r w:rsidR="00D11E4C" w:rsidRPr="00AA1421">
        <w:t>.</w:t>
      </w:r>
      <w:r w:rsidR="00D11E4C" w:rsidRPr="00AA1421">
        <w:tab/>
        <w:t>Znaku gwiazdki używa się do wskazania, że walidacja jest wykonywana dla wcześniej określonych wierszy lub kolumn.</w:t>
      </w:r>
    </w:p>
    <w:p w:rsidR="002648B0" w:rsidRPr="00AA1421"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403593"/>
      <w:r w:rsidRPr="00AA1421">
        <w:rPr>
          <w:rFonts w:ascii="Times New Roman" w:hAnsi="Times New Roman"/>
          <w:sz w:val="24"/>
          <w:u w:val="none"/>
        </w:rPr>
        <w:t>1.3.</w:t>
      </w:r>
      <w:r w:rsidRPr="00AA1421">
        <w:rPr>
          <w:u w:val="none"/>
        </w:rPr>
        <w:tab/>
      </w:r>
      <w:r w:rsidRPr="00AA1421">
        <w:rPr>
          <w:rFonts w:ascii="Times New Roman" w:hAnsi="Times New Roman"/>
          <w:sz w:val="24"/>
          <w:u w:val="none"/>
        </w:rPr>
        <w:t>Konwencja znaku</w:t>
      </w:r>
      <w:bookmarkEnd w:id="13"/>
      <w:bookmarkEnd w:id="14"/>
      <w:bookmarkEnd w:id="18"/>
      <w:bookmarkEnd w:id="19"/>
      <w:bookmarkEnd w:id="20"/>
    </w:p>
    <w:p w:rsidR="002648B0" w:rsidRPr="00AA1421" w:rsidRDefault="00AA1421" w:rsidP="00487A02">
      <w:pPr>
        <w:pStyle w:val="InstructionsText2"/>
        <w:numPr>
          <w:ilvl w:val="0"/>
          <w:numId w:val="0"/>
        </w:numPr>
        <w:ind w:left="1353" w:hanging="360"/>
      </w:pPr>
      <w:fldSimple w:instr=" seq paragraphs ">
        <w:r w:rsidR="00D11E4C" w:rsidRPr="00AA1421">
          <w:rPr>
            <w:noProof/>
          </w:rPr>
          <w:t>9</w:t>
        </w:r>
      </w:fldSimple>
      <w:r w:rsidR="00D11E4C" w:rsidRPr="00AA1421">
        <w:t>.</w:t>
      </w:r>
      <w:r w:rsidR="00D11E4C" w:rsidRPr="00AA1421">
        <w:tab/>
        <w:t>Każdą kwotę, która zwiększa fundusze własne lub wymogi kapitałowe, zgłasza się jako wartość dodatnią. Każdą kwotę, która zmniejsza fundusze własne lub wymogi kapitałowe, zgłasza się natomiast jako wartość ujemną. Jeżeli przed oznaczeniem pozycji znajduje się znak ujemny (-), dla tej pozycji nie oczekuje się zgłoszenia wartości dodatniej.</w:t>
      </w:r>
    </w:p>
    <w:p w:rsidR="00304CA5" w:rsidRPr="00AA1421"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403594"/>
      <w:r w:rsidRPr="00AA1421">
        <w:rPr>
          <w:rFonts w:ascii="Times New Roman" w:hAnsi="Times New Roman"/>
          <w:sz w:val="24"/>
          <w:u w:val="none"/>
        </w:rPr>
        <w:t>1.4.</w:t>
      </w:r>
      <w:r w:rsidRPr="00AA1421">
        <w:rPr>
          <w:u w:val="none"/>
        </w:rPr>
        <w:tab/>
      </w:r>
      <w:r w:rsidRPr="00AA1421">
        <w:rPr>
          <w:rFonts w:ascii="Times New Roman" w:hAnsi="Times New Roman"/>
          <w:sz w:val="24"/>
          <w:u w:val="none"/>
        </w:rPr>
        <w:t>Skróty</w:t>
      </w:r>
      <w:bookmarkEnd w:id="21"/>
    </w:p>
    <w:p w:rsidR="00304CA5" w:rsidRPr="00AA1421" w:rsidRDefault="00AA1421" w:rsidP="00487A02">
      <w:pPr>
        <w:pStyle w:val="InstructionsText2"/>
        <w:numPr>
          <w:ilvl w:val="0"/>
          <w:numId w:val="0"/>
        </w:numPr>
        <w:ind w:left="1353" w:hanging="360"/>
      </w:pPr>
      <w:fldSimple w:instr=" seq paragraphs ">
        <w:r w:rsidR="00D11E4C" w:rsidRPr="00AA1421">
          <w:rPr>
            <w:noProof/>
          </w:rPr>
          <w:t>10</w:t>
        </w:r>
      </w:fldSimple>
      <w:r w:rsidR="00D11E4C" w:rsidRPr="00AA1421">
        <w:t xml:space="preserve">. Do celów niniejszego załącznika rozporządzenie Parlamentu Europejskiego i Rady (UE) </w:t>
      </w:r>
      <w:r w:rsidR="00D11E4C" w:rsidRPr="00084F66">
        <w:t>nr</w:t>
      </w:r>
      <w:r w:rsidR="00084F66" w:rsidRPr="00084F66">
        <w:t> </w:t>
      </w:r>
      <w:r w:rsidR="00D11E4C" w:rsidRPr="00084F66">
        <w:t>5</w:t>
      </w:r>
      <w:r w:rsidR="00D11E4C" w:rsidRPr="00AA1421">
        <w:t>75/2013</w:t>
      </w:r>
      <w:r w:rsidR="00D11E4C" w:rsidRPr="00AA1421">
        <w:rPr>
          <w:vertAlign w:val="superscript"/>
        </w:rPr>
        <w:footnoteReference w:id="2"/>
      </w:r>
      <w:r w:rsidR="00D11E4C" w:rsidRPr="00AA1421">
        <w:t xml:space="preserve"> zwane jest „CRR”, dyrektywa Parlamentu Europejskiego i Rady 2013/36/UE</w:t>
      </w:r>
      <w:r w:rsidR="00D11E4C" w:rsidRPr="00AA1421">
        <w:rPr>
          <w:vertAlign w:val="superscript"/>
        </w:rPr>
        <w:footnoteReference w:id="3"/>
      </w:r>
      <w:r w:rsidR="00D11E4C" w:rsidRPr="00AA1421">
        <w:t xml:space="preserve"> zwana jest „CRD”, dyrektywa Parlamentu Europejskiego i Rady 2013/34/UE</w:t>
      </w:r>
      <w:r w:rsidR="00D11E4C" w:rsidRPr="00AA1421">
        <w:rPr>
          <w:vertAlign w:val="superscript"/>
        </w:rPr>
        <w:footnoteReference w:id="4"/>
      </w:r>
      <w:r w:rsidR="00D11E4C" w:rsidRPr="00AA1421">
        <w:t xml:space="preserve"> zwana jest „AD”, dyrektywa Rady 86/635/EWG</w:t>
      </w:r>
      <w:r w:rsidR="00D11E4C" w:rsidRPr="00AA1421">
        <w:rPr>
          <w:vertAlign w:val="superscript"/>
        </w:rPr>
        <w:footnoteReference w:id="5"/>
      </w:r>
      <w:r w:rsidR="00D11E4C" w:rsidRPr="00AA1421">
        <w:t xml:space="preserve"> zwana jest „BAD”, a dyrektywa Parlamentu Europejskiego i Rady 2014/59/UE</w:t>
      </w:r>
      <w:r w:rsidR="00D11E4C" w:rsidRPr="00AA1421">
        <w:rPr>
          <w:vertAlign w:val="superscript"/>
        </w:rPr>
        <w:footnoteReference w:id="6"/>
      </w:r>
      <w:r w:rsidR="00D11E4C" w:rsidRPr="00AA1421">
        <w:t xml:space="preserve"> zwana jest „BRRD”.</w:t>
      </w:r>
    </w:p>
    <w:p w:rsidR="00304CA5" w:rsidRPr="00AA1421" w:rsidRDefault="00304CA5" w:rsidP="00487A02">
      <w:pPr>
        <w:pStyle w:val="InstructionsText2"/>
        <w:numPr>
          <w:ilvl w:val="0"/>
          <w:numId w:val="0"/>
        </w:numPr>
        <w:ind w:left="1353" w:hanging="360"/>
      </w:pPr>
    </w:p>
    <w:p w:rsidR="002648B0" w:rsidRPr="00AA1421" w:rsidRDefault="002648B0" w:rsidP="00487A02">
      <w:pPr>
        <w:pStyle w:val="InstructionsText2"/>
        <w:sectPr w:rsidR="002648B0" w:rsidRPr="00AA1421"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AA1421" w:rsidRDefault="002648B0" w:rsidP="00005FFC">
      <w:pPr>
        <w:rPr>
          <w:rFonts w:ascii="Times New Roman" w:hAnsi="Times New Roman"/>
          <w:sz w:val="24"/>
        </w:rPr>
      </w:pPr>
    </w:p>
    <w:p w:rsidR="002648B0" w:rsidRPr="00AA1421" w:rsidRDefault="002648B0" w:rsidP="00D64B66">
      <w:pPr>
        <w:pStyle w:val="Heading2"/>
        <w:rPr>
          <w:rFonts w:ascii="Times New Roman" w:hAnsi="Times New Roman"/>
        </w:rPr>
      </w:pPr>
      <w:bookmarkStart w:id="23" w:name="_Toc360188322"/>
      <w:bookmarkStart w:id="24" w:name="_Toc473560870"/>
      <w:bookmarkStart w:id="25" w:name="_Toc58403595"/>
      <w:r w:rsidRPr="00AA1421">
        <w:rPr>
          <w:rFonts w:ascii="Times New Roman" w:hAnsi="Times New Roman"/>
        </w:rPr>
        <w:t>CZĘŚĆ II INSTRUKCJE DOTYCZĄCE WZORÓW</w:t>
      </w:r>
      <w:bookmarkEnd w:id="23"/>
      <w:bookmarkEnd w:id="24"/>
      <w:bookmarkEnd w:id="25"/>
    </w:p>
    <w:p w:rsidR="002648B0" w:rsidRPr="00AA1421"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403596"/>
      <w:r w:rsidRPr="00AA1421">
        <w:rPr>
          <w:rFonts w:ascii="Times New Roman" w:hAnsi="Times New Roman"/>
          <w:sz w:val="24"/>
          <w:u w:val="none"/>
        </w:rPr>
        <w:t>1.</w:t>
      </w:r>
      <w:r w:rsidR="00D712CF" w:rsidRPr="00AA1421">
        <w:rPr>
          <w:u w:val="none"/>
        </w:rPr>
        <w:tab/>
      </w:r>
      <w:bookmarkStart w:id="28" w:name="_Toc360188323"/>
      <w:r w:rsidRPr="00AA1421">
        <w:rPr>
          <w:rFonts w:ascii="Times New Roman" w:hAnsi="Times New Roman"/>
          <w:sz w:val="24"/>
          <w:u w:val="none"/>
        </w:rPr>
        <w:t>Przegląd adekwatności kapitałowej („CA”)</w:t>
      </w:r>
      <w:bookmarkEnd w:id="28"/>
      <w:bookmarkEnd w:id="26"/>
      <w:bookmarkEnd w:id="27"/>
    </w:p>
    <w:p w:rsidR="002648B0" w:rsidRPr="00AA1421"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403597"/>
      <w:r w:rsidRPr="00AA1421">
        <w:rPr>
          <w:rFonts w:ascii="Times New Roman" w:hAnsi="Times New Roman"/>
          <w:sz w:val="24"/>
          <w:u w:val="none"/>
        </w:rPr>
        <w:t>1.1.</w:t>
      </w:r>
      <w:r w:rsidR="00D712CF" w:rsidRPr="00AA1421">
        <w:rPr>
          <w:u w:val="none"/>
        </w:rPr>
        <w:tab/>
      </w:r>
      <w:r w:rsidRPr="00AA1421">
        <w:rPr>
          <w:rFonts w:ascii="Times New Roman" w:hAnsi="Times New Roman"/>
          <w:sz w:val="24"/>
          <w:u w:val="none"/>
        </w:rPr>
        <w:t>Uwagi ogólne</w:t>
      </w:r>
      <w:bookmarkEnd w:id="29"/>
      <w:bookmarkEnd w:id="30"/>
      <w:bookmarkEnd w:id="31"/>
      <w:bookmarkEnd w:id="32"/>
    </w:p>
    <w:p w:rsidR="002648B0" w:rsidRPr="00AA1421" w:rsidRDefault="00AA1421" w:rsidP="00487A02">
      <w:pPr>
        <w:pStyle w:val="InstructionsText2"/>
        <w:numPr>
          <w:ilvl w:val="0"/>
          <w:numId w:val="0"/>
        </w:numPr>
        <w:ind w:left="1353" w:hanging="360"/>
      </w:pPr>
      <w:fldSimple w:instr=" seq paragraphs ">
        <w:r w:rsidR="00D11E4C" w:rsidRPr="00AA1421">
          <w:rPr>
            <w:noProof/>
          </w:rPr>
          <w:t>11</w:t>
        </w:r>
      </w:fldSimple>
      <w:r w:rsidR="00D11E4C" w:rsidRPr="00AA1421">
        <w:t>.</w:t>
      </w:r>
      <w:r w:rsidR="00D11E4C" w:rsidRPr="00AA1421">
        <w:tab/>
        <w:t xml:space="preserve">Wzory CA zawierają informacje na temat liczników w ramach filaru 1 (fundusze własne, kapitał </w:t>
      </w:r>
      <w:proofErr w:type="spellStart"/>
      <w:r w:rsidR="00D11E4C" w:rsidRPr="00AA1421">
        <w:t>Tier</w:t>
      </w:r>
      <w:proofErr w:type="spellEnd"/>
      <w:r w:rsidR="00D11E4C" w:rsidRPr="00AA1421">
        <w:t xml:space="preserve"> I, kapitał podstawowy </w:t>
      </w:r>
      <w:proofErr w:type="spellStart"/>
      <w:r w:rsidR="00D11E4C" w:rsidRPr="00AA1421">
        <w:t>Tier</w:t>
      </w:r>
      <w:proofErr w:type="spellEnd"/>
      <w:r w:rsidR="00D11E4C" w:rsidRPr="00AA1421">
        <w:t xml:space="preserve"> I), mianownika (wymogi w zakresie funduszy własnych) oraz stosowania przepisów przejściowych CRR i CRD i składają się one z pięciu wzorów: </w:t>
      </w:r>
    </w:p>
    <w:p w:rsidR="005643EA" w:rsidRPr="00AA1421" w:rsidRDefault="00125707" w:rsidP="00487A02">
      <w:pPr>
        <w:pStyle w:val="InstructionsText2"/>
        <w:numPr>
          <w:ilvl w:val="0"/>
          <w:numId w:val="0"/>
        </w:numPr>
        <w:ind w:left="1353" w:hanging="360"/>
      </w:pPr>
      <w:r w:rsidRPr="00AA1421">
        <w:t>a)</w:t>
      </w:r>
      <w:r w:rsidRPr="00AA1421">
        <w:tab/>
        <w:t>wzór CA1 zawiera kwotę funduszy własnych instytucji z podziałem na pozycje potrzebne do uzyskania tej kwoty. Obliczona kwota funduszy własnych obejmuje zagregowany skutek stosowania przepisów przejściowych CRR i CRD według rodzaju kapitału;</w:t>
      </w:r>
    </w:p>
    <w:p w:rsidR="005643EA" w:rsidRPr="00AA1421" w:rsidRDefault="00125707" w:rsidP="00487A02">
      <w:pPr>
        <w:pStyle w:val="InstructionsText2"/>
        <w:numPr>
          <w:ilvl w:val="0"/>
          <w:numId w:val="0"/>
        </w:numPr>
        <w:ind w:left="1353" w:hanging="360"/>
      </w:pPr>
      <w:r w:rsidRPr="00AA1421">
        <w:t>b)</w:t>
      </w:r>
      <w:r w:rsidRPr="00AA1421">
        <w:tab/>
        <w:t xml:space="preserve">we wzorze CA2 podsumowane są łączne kwoty ekspozycji na ryzyko zgodnie z </w:t>
      </w:r>
      <w:r w:rsidRPr="00084F66">
        <w:t>art.</w:t>
      </w:r>
      <w:r w:rsidR="00084F66" w:rsidRPr="00084F66">
        <w:t> </w:t>
      </w:r>
      <w:r w:rsidRPr="00084F66">
        <w:t>9</w:t>
      </w:r>
      <w:r w:rsidRPr="00AA1421">
        <w:t xml:space="preserve">2 </w:t>
      </w:r>
      <w:r w:rsidRPr="00084F66">
        <w:t>ust.</w:t>
      </w:r>
      <w:r w:rsidR="00084F66" w:rsidRPr="00084F66">
        <w:t> </w:t>
      </w:r>
      <w:r w:rsidRPr="00084F66">
        <w:t>3</w:t>
      </w:r>
      <w:r w:rsidRPr="00AA1421">
        <w:t xml:space="preserve"> CRR;</w:t>
      </w:r>
    </w:p>
    <w:p w:rsidR="005643EA" w:rsidRPr="00AA1421" w:rsidRDefault="00125707" w:rsidP="00487A02">
      <w:pPr>
        <w:pStyle w:val="InstructionsText2"/>
        <w:numPr>
          <w:ilvl w:val="0"/>
          <w:numId w:val="0"/>
        </w:numPr>
        <w:ind w:left="1353" w:hanging="360"/>
      </w:pPr>
      <w:r w:rsidRPr="00AA1421">
        <w:t>c)</w:t>
      </w:r>
      <w:r w:rsidRPr="00AA1421">
        <w:tab/>
        <w:t>wzór CA3 zawiera współczynniki, w odniesieniu do których w CRR określono poziom minimalny, współczynniki filaru 2, a także pewne inne powiązane dane;</w:t>
      </w:r>
    </w:p>
    <w:p w:rsidR="005643EA" w:rsidRPr="00AA1421" w:rsidRDefault="00125707" w:rsidP="00487A02">
      <w:pPr>
        <w:pStyle w:val="InstructionsText2"/>
        <w:numPr>
          <w:ilvl w:val="0"/>
          <w:numId w:val="0"/>
        </w:numPr>
        <w:ind w:left="1353" w:hanging="360"/>
      </w:pPr>
      <w:r w:rsidRPr="00AA1421">
        <w:t>d)</w:t>
      </w:r>
      <w:r w:rsidRPr="00AA1421">
        <w:tab/>
        <w:t xml:space="preserve">wzór CA4 zawiera pozycje uzupełniające niezbędne między innymi do obliczania pozycji we wzorze CA1, jak również informacje na temat buforów kapitałowych określonych w CRD; </w:t>
      </w:r>
    </w:p>
    <w:p w:rsidR="005643EA" w:rsidRPr="00AA1421" w:rsidRDefault="00125707" w:rsidP="00487A02">
      <w:pPr>
        <w:pStyle w:val="InstructionsText2"/>
        <w:numPr>
          <w:ilvl w:val="0"/>
          <w:numId w:val="0"/>
        </w:numPr>
        <w:ind w:left="1353" w:hanging="360"/>
      </w:pPr>
      <w:r w:rsidRPr="00AA1421">
        <w:t>e)</w:t>
      </w:r>
      <w:r w:rsidRPr="00AA1421">
        <w:tab/>
        <w:t>wzór CA5 zawiera dane potrzebne do obliczenia skutku stosowania przepisów przejściowych CRR dla funduszy własnych. Wzór CA5 przestanie istnieć, gdy te przepisy przejściowe utracą moc.</w:t>
      </w:r>
    </w:p>
    <w:p w:rsidR="00783881" w:rsidRPr="00AA1421" w:rsidRDefault="00AA1421" w:rsidP="00487A02">
      <w:pPr>
        <w:pStyle w:val="InstructionsText2"/>
        <w:numPr>
          <w:ilvl w:val="0"/>
          <w:numId w:val="0"/>
        </w:numPr>
        <w:ind w:left="1353" w:hanging="360"/>
      </w:pPr>
      <w:fldSimple w:instr=" seq paragraphs ">
        <w:r w:rsidR="00D11E4C" w:rsidRPr="00AA1421">
          <w:rPr>
            <w:noProof/>
          </w:rPr>
          <w:t>12</w:t>
        </w:r>
      </w:fldSimple>
      <w:r w:rsidR="00D11E4C" w:rsidRPr="00AA1421">
        <w:t>.</w:t>
      </w:r>
      <w:r w:rsidR="00D11E4C" w:rsidRPr="00AA1421">
        <w:tab/>
        <w:t>Wzory stosują wszystkie jednostki sprawozdające, niezależnie od stosowanych standardów rachunkowości, chociaż niektóre pozycje w liczniku są właściwe dla jednostek stosujących zasady wyceny typu MSR/MSSF. Na ogół informacja w mianowniku jest związana z ostatecznymi wynikami zgłoszonymi w odpowiednich wzorach na potrzeby obliczenia łącznej kwoty ekspozycji na ryzyko.</w:t>
      </w:r>
    </w:p>
    <w:p w:rsidR="005643EA" w:rsidRPr="00AA1421" w:rsidRDefault="00AA1421" w:rsidP="00487A02">
      <w:pPr>
        <w:pStyle w:val="InstructionsText2"/>
        <w:numPr>
          <w:ilvl w:val="0"/>
          <w:numId w:val="0"/>
        </w:numPr>
        <w:ind w:left="1353" w:hanging="360"/>
      </w:pPr>
      <w:fldSimple w:instr=" seq paragraphs ">
        <w:r w:rsidR="00D11E4C" w:rsidRPr="00AA1421">
          <w:rPr>
            <w:noProof/>
          </w:rPr>
          <w:t>13</w:t>
        </w:r>
      </w:fldSimple>
      <w:r w:rsidR="00D11E4C" w:rsidRPr="00AA1421">
        <w:t>.</w:t>
      </w:r>
      <w:r w:rsidR="00D11E4C" w:rsidRPr="00AA1421">
        <w:tab/>
        <w:t xml:space="preserve">Łączne fundusze własne składają się z różnych rodzajów kapitału: kapitału </w:t>
      </w:r>
      <w:proofErr w:type="spellStart"/>
      <w:r w:rsidR="00D11E4C" w:rsidRPr="00AA1421">
        <w:t>Tier</w:t>
      </w:r>
      <w:proofErr w:type="spellEnd"/>
      <w:r w:rsidR="00D11E4C" w:rsidRPr="00AA1421">
        <w:t xml:space="preserve"> I, który stanowi sumę kapitału podstawowego </w:t>
      </w:r>
      <w:proofErr w:type="spellStart"/>
      <w:r w:rsidR="00D11E4C" w:rsidRPr="00AA1421">
        <w:t>Tier</w:t>
      </w:r>
      <w:proofErr w:type="spellEnd"/>
      <w:r w:rsidR="00D11E4C" w:rsidRPr="00AA1421">
        <w:t xml:space="preserve"> I </w:t>
      </w:r>
      <w:proofErr w:type="spellStart"/>
      <w:r w:rsidR="00D11E4C" w:rsidRPr="00AA1421">
        <w:t>i</w:t>
      </w:r>
      <w:proofErr w:type="spellEnd"/>
      <w:r w:rsidR="00D11E4C" w:rsidRPr="00AA1421">
        <w:t xml:space="preserve"> kapitału dodatkowego </w:t>
      </w:r>
      <w:proofErr w:type="spellStart"/>
      <w:r w:rsidR="00D11E4C" w:rsidRPr="00AA1421">
        <w:t>Tier</w:t>
      </w:r>
      <w:proofErr w:type="spellEnd"/>
      <w:r w:rsidR="00D11E4C" w:rsidRPr="00AA1421">
        <w:t xml:space="preserve"> I, oraz kapitału </w:t>
      </w:r>
      <w:proofErr w:type="spellStart"/>
      <w:r w:rsidR="00D11E4C" w:rsidRPr="00AA1421">
        <w:t>Tier</w:t>
      </w:r>
      <w:proofErr w:type="spellEnd"/>
      <w:r w:rsidR="00D11E4C" w:rsidRPr="00AA1421">
        <w:t xml:space="preserve"> II. </w:t>
      </w:r>
    </w:p>
    <w:p w:rsidR="00783881" w:rsidRPr="00AA1421" w:rsidRDefault="00AA1421" w:rsidP="00487A02">
      <w:pPr>
        <w:pStyle w:val="InstructionsText2"/>
        <w:numPr>
          <w:ilvl w:val="0"/>
          <w:numId w:val="0"/>
        </w:numPr>
        <w:ind w:left="1353" w:hanging="360"/>
      </w:pPr>
      <w:fldSimple w:instr=" seq paragraphs ">
        <w:r w:rsidR="00D11E4C" w:rsidRPr="00AA1421">
          <w:rPr>
            <w:noProof/>
          </w:rPr>
          <w:t>14</w:t>
        </w:r>
      </w:fldSimple>
      <w:r w:rsidR="00D11E4C" w:rsidRPr="00AA1421">
        <w:t>.</w:t>
      </w:r>
      <w:r w:rsidR="00D11E4C" w:rsidRPr="00AA1421">
        <w:tab/>
        <w:t>Stosowanie przepisów przejściowych CRR i CRD uwzględniono we wzorach CA w następujący sposób:</w:t>
      </w:r>
    </w:p>
    <w:p w:rsidR="00783881" w:rsidRPr="00AA1421" w:rsidRDefault="00125707" w:rsidP="00487A02">
      <w:pPr>
        <w:pStyle w:val="InstructionsText2"/>
        <w:numPr>
          <w:ilvl w:val="0"/>
          <w:numId w:val="0"/>
        </w:numPr>
        <w:ind w:left="1353" w:hanging="360"/>
      </w:pPr>
      <w:r w:rsidRPr="00AA1421">
        <w:t>a)</w:t>
      </w:r>
      <w:r w:rsidRPr="00AA1421">
        <w:tab/>
        <w:t xml:space="preserve">w pozycjach we wzorze CA1 na ogół podaje się wartości przed odliczeniem korekt w okresie przejściowym. Oznacza to, że dane liczbowe w pozycjach wzoru CA1 są obliczane zgodnie z ostatecznie obowiązującymi przepisami (czyli tak, jakby nie było żadnych przepisów przejściowych), z wyjątkiem pozycji, które służą podsumowaniu skutku tych przepisów przejściowych. W odniesieniu do </w:t>
      </w:r>
      <w:r w:rsidRPr="00AA1421">
        <w:lastRenderedPageBreak/>
        <w:t xml:space="preserve">każdego rodzaju kapitału (tj. kapitału podstawowego </w:t>
      </w:r>
      <w:proofErr w:type="spellStart"/>
      <w:r w:rsidRPr="00AA1421">
        <w:t>Tier</w:t>
      </w:r>
      <w:proofErr w:type="spellEnd"/>
      <w:r w:rsidRPr="00AA1421">
        <w:t xml:space="preserve"> I, kapitału dodatkowego </w:t>
      </w:r>
      <w:proofErr w:type="spellStart"/>
      <w:r w:rsidRPr="00AA1421">
        <w:t>Tier</w:t>
      </w:r>
      <w:proofErr w:type="spellEnd"/>
      <w:r w:rsidRPr="00AA1421">
        <w:t xml:space="preserve"> I </w:t>
      </w:r>
      <w:proofErr w:type="spellStart"/>
      <w:r w:rsidRPr="00AA1421">
        <w:t>i</w:t>
      </w:r>
      <w:proofErr w:type="spellEnd"/>
      <w:r w:rsidRPr="00AA1421">
        <w:t xml:space="preserve"> kapitału </w:t>
      </w:r>
      <w:proofErr w:type="spellStart"/>
      <w:r w:rsidRPr="00AA1421">
        <w:t>Tier</w:t>
      </w:r>
      <w:proofErr w:type="spellEnd"/>
      <w:r w:rsidRPr="00AA1421">
        <w:t xml:space="preserve"> II) istnieją trzy różne pozycje, w których ujęte są wszystkie korekty wynikające z tych przepisów przejściowych.</w:t>
      </w:r>
    </w:p>
    <w:p w:rsidR="00113EA5" w:rsidRPr="00AA1421" w:rsidRDefault="00125707" w:rsidP="00487A02">
      <w:pPr>
        <w:pStyle w:val="InstructionsText2"/>
        <w:numPr>
          <w:ilvl w:val="0"/>
          <w:numId w:val="0"/>
        </w:numPr>
        <w:ind w:left="1353" w:hanging="360"/>
      </w:pPr>
      <w:r w:rsidRPr="00AA1421">
        <w:t>b)</w:t>
      </w:r>
      <w:r w:rsidRPr="00AA1421">
        <w:tab/>
        <w:t xml:space="preserve">Przepisy przejściowe mogą również wpływać na niedobór kapitału dodatkowego </w:t>
      </w:r>
      <w:proofErr w:type="spellStart"/>
      <w:r w:rsidRPr="00AA1421">
        <w:t>Tier</w:t>
      </w:r>
      <w:proofErr w:type="spellEnd"/>
      <w:r w:rsidRPr="00AA1421">
        <w:t xml:space="preserve"> I </w:t>
      </w:r>
      <w:proofErr w:type="spellStart"/>
      <w:r w:rsidRPr="00AA1421">
        <w:t>i</w:t>
      </w:r>
      <w:proofErr w:type="spellEnd"/>
      <w:r w:rsidRPr="00AA1421">
        <w:t xml:space="preserve"> kapitału </w:t>
      </w:r>
      <w:proofErr w:type="spellStart"/>
      <w:r w:rsidRPr="00AA1421">
        <w:t>Tier</w:t>
      </w:r>
      <w:proofErr w:type="spellEnd"/>
      <w:r w:rsidRPr="00AA1421">
        <w:t xml:space="preserve"> II (tj. na nadwyżkę odliczenia od pozycji dodatkowych w </w:t>
      </w:r>
      <w:proofErr w:type="spellStart"/>
      <w:r w:rsidRPr="00AA1421">
        <w:t>Tier</w:t>
      </w:r>
      <w:proofErr w:type="spellEnd"/>
      <w:r w:rsidRPr="00AA1421">
        <w:t xml:space="preserve"> I oraz nadwyżkę odliczenia od pozycji w </w:t>
      </w:r>
      <w:proofErr w:type="spellStart"/>
      <w:r w:rsidRPr="00AA1421">
        <w:t>Tier</w:t>
      </w:r>
      <w:proofErr w:type="spellEnd"/>
      <w:r w:rsidRPr="00AA1421">
        <w:t xml:space="preserve"> II, co uregulowane jest odpowiednio w </w:t>
      </w:r>
      <w:r w:rsidRPr="00084F66">
        <w:t>art.</w:t>
      </w:r>
      <w:r w:rsidR="00084F66" w:rsidRPr="00084F66">
        <w:t> </w:t>
      </w:r>
      <w:r w:rsidRPr="00084F66">
        <w:t>3</w:t>
      </w:r>
      <w:r w:rsidRPr="00AA1421">
        <w:t xml:space="preserve">6 </w:t>
      </w:r>
      <w:r w:rsidRPr="00084F66">
        <w:t>ust.</w:t>
      </w:r>
      <w:r w:rsidR="00084F66" w:rsidRPr="00084F66">
        <w:t> </w:t>
      </w:r>
      <w:r w:rsidRPr="00084F66">
        <w:t>1</w:t>
      </w:r>
      <w:r w:rsidRPr="00AA1421">
        <w:t xml:space="preserve"> </w:t>
      </w:r>
      <w:r w:rsidRPr="00084F66">
        <w:t>lit.</w:t>
      </w:r>
      <w:r w:rsidR="00084F66" w:rsidRPr="00084F66">
        <w:t> </w:t>
      </w:r>
      <w:r w:rsidRPr="00084F66">
        <w:t>j)</w:t>
      </w:r>
      <w:r w:rsidRPr="00AA1421">
        <w:t xml:space="preserve"> i w </w:t>
      </w:r>
      <w:r w:rsidRPr="00084F66">
        <w:t>art.</w:t>
      </w:r>
      <w:r w:rsidR="00084F66" w:rsidRPr="00084F66">
        <w:t> </w:t>
      </w:r>
      <w:r w:rsidRPr="00084F66">
        <w:t>5</w:t>
      </w:r>
      <w:r w:rsidRPr="00AA1421">
        <w:t xml:space="preserve">6 </w:t>
      </w:r>
      <w:r w:rsidRPr="00084F66">
        <w:t>lit.</w:t>
      </w:r>
      <w:r w:rsidR="00084F66" w:rsidRPr="00084F66">
        <w:t> </w:t>
      </w:r>
      <w:r w:rsidRPr="00084F66">
        <w:t>e)</w:t>
      </w:r>
      <w:r w:rsidRPr="00AA1421">
        <w:t xml:space="preserve"> CRR), a tym samym pozycje zawierające te niedobory mogą pośrednio odzwierciedlać skutek tych przepisów przejściowych;</w:t>
      </w:r>
    </w:p>
    <w:p w:rsidR="005643EA" w:rsidRPr="00AA1421" w:rsidRDefault="00125707" w:rsidP="00487A02">
      <w:pPr>
        <w:pStyle w:val="InstructionsText2"/>
        <w:numPr>
          <w:ilvl w:val="0"/>
          <w:numId w:val="0"/>
        </w:numPr>
        <w:ind w:left="1353" w:hanging="360"/>
      </w:pPr>
      <w:r w:rsidRPr="00AA1421">
        <w:t>c)</w:t>
      </w:r>
      <w:r w:rsidRPr="00AA1421">
        <w:tab/>
        <w:t xml:space="preserve">Wzór CA5 służy wyłącznie do sprawozdawczości w zakresie skutków wynikających ze stosowania przepisów przejściowych CRR. </w:t>
      </w:r>
    </w:p>
    <w:p w:rsidR="00783881" w:rsidRPr="00AA1421" w:rsidRDefault="00AA1421" w:rsidP="00487A02">
      <w:pPr>
        <w:pStyle w:val="InstructionsText2"/>
        <w:numPr>
          <w:ilvl w:val="0"/>
          <w:numId w:val="0"/>
        </w:numPr>
        <w:ind w:left="1353" w:hanging="360"/>
      </w:pPr>
      <w:fldSimple w:instr=" seq paragraphs ">
        <w:r w:rsidR="00D11E4C" w:rsidRPr="00AA1421">
          <w:rPr>
            <w:noProof/>
          </w:rPr>
          <w:t>15</w:t>
        </w:r>
      </w:fldSimple>
      <w:r w:rsidR="00D11E4C" w:rsidRPr="00AA1421">
        <w:t>.</w:t>
      </w:r>
      <w:r w:rsidR="00D11E4C" w:rsidRPr="00AA1421">
        <w:tab/>
        <w:t>Poszczególne państwa UE mogą różnie traktować wymogi filaru II (</w:t>
      </w:r>
      <w:r w:rsidR="00D11E4C" w:rsidRPr="00084F66">
        <w:t>art.</w:t>
      </w:r>
      <w:r w:rsidR="00084F66" w:rsidRPr="00084F66">
        <w:t> </w:t>
      </w:r>
      <w:r w:rsidR="00D11E4C" w:rsidRPr="00084F66">
        <w:t>1</w:t>
      </w:r>
      <w:r w:rsidR="00D11E4C" w:rsidRPr="00AA1421">
        <w:t xml:space="preserve">04a </w:t>
      </w:r>
      <w:r w:rsidR="00D11E4C" w:rsidRPr="00084F66">
        <w:t>ust.</w:t>
      </w:r>
      <w:r w:rsidR="00084F66" w:rsidRPr="00084F66">
        <w:t> </w:t>
      </w:r>
      <w:r w:rsidR="00D11E4C" w:rsidRPr="00084F66">
        <w:t>1</w:t>
      </w:r>
      <w:r w:rsidR="00D11E4C" w:rsidRPr="00AA1421">
        <w:t xml:space="preserve"> CRD musi być transponowany do przepisów krajowych). W sprawozdawczości dotyczącej wypłacalności na mocy CRR uwzględnia się tylko wpływ wymogów filaru II na współczynnik wypłacalności lub na współczynnik docelowy. </w:t>
      </w:r>
    </w:p>
    <w:p w:rsidR="005643EA" w:rsidRPr="00AA1421" w:rsidRDefault="00125707" w:rsidP="00487A02">
      <w:pPr>
        <w:pStyle w:val="InstructionsText2"/>
        <w:numPr>
          <w:ilvl w:val="0"/>
          <w:numId w:val="0"/>
        </w:numPr>
        <w:ind w:left="1353" w:hanging="360"/>
      </w:pPr>
      <w:r w:rsidRPr="00AA1421">
        <w:t>a)</w:t>
      </w:r>
      <w:r w:rsidRPr="00AA1421">
        <w:tab/>
        <w:t>Wzory CA1, CA2 i CA5 zawierają wyłącznie dane dotyczące zagadnień związanych z filarem I.</w:t>
      </w:r>
    </w:p>
    <w:p w:rsidR="005643EA" w:rsidRPr="00AA1421" w:rsidRDefault="00125707" w:rsidP="00487A02">
      <w:pPr>
        <w:pStyle w:val="InstructionsText2"/>
        <w:numPr>
          <w:ilvl w:val="0"/>
          <w:numId w:val="0"/>
        </w:numPr>
        <w:ind w:left="1353" w:hanging="360"/>
      </w:pPr>
      <w:r w:rsidRPr="00AA1421">
        <w:t>b)</w:t>
      </w:r>
      <w:r w:rsidRPr="00AA1421">
        <w:tab/>
        <w:t>Wzór CA3 dotyczy wpływu dodatkowych wymogów filaru II na współczynnik wypłacalności w ujęciu zagregowanym. Głównie dotyczy on samych współczynników docelowych. Nie ma żadnego dalszego związku z wzorami CA1, CA2 lub CA5.</w:t>
      </w:r>
    </w:p>
    <w:p w:rsidR="005643EA" w:rsidRPr="00AA1421" w:rsidRDefault="00125707" w:rsidP="00487A02">
      <w:pPr>
        <w:pStyle w:val="InstructionsText2"/>
        <w:numPr>
          <w:ilvl w:val="0"/>
          <w:numId w:val="0"/>
        </w:numPr>
        <w:ind w:left="1353" w:hanging="360"/>
      </w:pPr>
      <w:r w:rsidRPr="00AA1421">
        <w:t>c)</w:t>
      </w:r>
      <w:r w:rsidRPr="00AA1421">
        <w:tab/>
        <w:t xml:space="preserve">Wzór CA4 zawiera jedną komórkę dotyczącą dodatkowych wymogów w zakresie funduszy własnych, które to wymogi związane są z filarem II. Komórka ta w żaden sposób nie jest powiązana regułami walidacyjnymi ze współczynnikami kapitałowymi ujętymi we wzorze CA3 i odzwierciedla ona </w:t>
      </w:r>
      <w:r w:rsidRPr="00084F66">
        <w:t>art.</w:t>
      </w:r>
      <w:r w:rsidR="00084F66" w:rsidRPr="00084F66">
        <w:t> </w:t>
      </w:r>
      <w:r w:rsidRPr="00084F66">
        <w:t>1</w:t>
      </w:r>
      <w:r w:rsidRPr="00AA1421">
        <w:t xml:space="preserve">04a </w:t>
      </w:r>
      <w:r w:rsidRPr="00084F66">
        <w:t>ust.</w:t>
      </w:r>
      <w:r w:rsidR="00084F66" w:rsidRPr="00084F66">
        <w:t> </w:t>
      </w:r>
      <w:r w:rsidRPr="00084F66">
        <w:t>1</w:t>
      </w:r>
      <w:r w:rsidRPr="00AA1421">
        <w:t xml:space="preserve"> CRD, w którym to przepisie wyraźnie wymienia się dodatkowe wymogi w zakresie funduszy własnych jako jedną z możliwości podjęcia decyzji w ramach filaru II.</w:t>
      </w:r>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58403598"/>
      <w:bookmarkStart w:id="35" w:name="_Toc308175820"/>
      <w:bookmarkStart w:id="36" w:name="_Toc360188325"/>
      <w:r w:rsidRPr="00AA1421">
        <w:rPr>
          <w:rFonts w:ascii="Times New Roman" w:hAnsi="Times New Roman"/>
          <w:sz w:val="24"/>
          <w:u w:val="none"/>
        </w:rPr>
        <w:t>1.2.</w:t>
      </w:r>
      <w:r w:rsidR="00D712CF" w:rsidRPr="00AA1421">
        <w:rPr>
          <w:u w:val="none"/>
        </w:rPr>
        <w:tab/>
      </w:r>
      <w:r w:rsidRPr="00AA1421">
        <w:rPr>
          <w:rFonts w:ascii="Times New Roman" w:hAnsi="Times New Roman"/>
          <w:sz w:val="24"/>
        </w:rPr>
        <w:t>C 01.00 – FUNDUSZE WŁASNE (CA1)</w:t>
      </w:r>
      <w:bookmarkEnd w:id="33"/>
      <w:bookmarkEnd w:id="34"/>
      <w:r w:rsidRPr="00AA1421">
        <w:rPr>
          <w:rFonts w:ascii="Times New Roman" w:hAnsi="Times New Roman"/>
          <w:sz w:val="24"/>
        </w:rPr>
        <w:t xml:space="preserve"> </w:t>
      </w:r>
      <w:bookmarkEnd w:id="35"/>
      <w:bookmarkEnd w:id="36"/>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403599"/>
      <w:r w:rsidRPr="00AA1421">
        <w:rPr>
          <w:rFonts w:ascii="Times New Roman" w:hAnsi="Times New Roman"/>
          <w:sz w:val="24"/>
          <w:u w:val="none"/>
        </w:rPr>
        <w:t>1.2.1.</w:t>
      </w:r>
      <w:r w:rsidR="00D712CF" w:rsidRPr="00AA1421">
        <w:rPr>
          <w:u w:val="none"/>
        </w:rPr>
        <w:tab/>
      </w:r>
      <w:bookmarkStart w:id="41" w:name="_Toc308175821"/>
      <w:r w:rsidRPr="00AA1421">
        <w:rPr>
          <w:rFonts w:ascii="Times New Roman" w:hAnsi="Times New Roman"/>
          <w:sz w:val="24"/>
        </w:rPr>
        <w:t>Instrukcje dotyczące poszczególnych pozycji</w:t>
      </w:r>
      <w:bookmarkEnd w:id="41"/>
      <w:bookmarkEnd w:id="37"/>
      <w:bookmarkEnd w:id="38"/>
      <w:bookmarkEnd w:id="39"/>
      <w:bookmarkEnd w:id="40"/>
    </w:p>
    <w:p w:rsidR="002648B0" w:rsidRPr="00AA1421"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A1421" w:rsidTr="00D731E3">
        <w:tc>
          <w:tcPr>
            <w:tcW w:w="1129" w:type="dxa"/>
            <w:shd w:val="clear" w:color="auto" w:fill="D9D9D9"/>
          </w:tcPr>
          <w:p w:rsidR="005643EA" w:rsidRPr="00AA1421" w:rsidRDefault="002648B0" w:rsidP="00487A02">
            <w:pPr>
              <w:pStyle w:val="InstructionsText"/>
              <w:rPr>
                <w:rStyle w:val="InstructionsTabelleText"/>
                <w:rFonts w:ascii="Times New Roman" w:hAnsi="Times New Roman"/>
                <w:bCs/>
                <w:sz w:val="24"/>
              </w:rPr>
            </w:pPr>
            <w:r w:rsidRPr="00AA1421">
              <w:rPr>
                <w:rStyle w:val="InstructionsTabelleText"/>
                <w:rFonts w:ascii="Times New Roman" w:hAnsi="Times New Roman"/>
                <w:sz w:val="24"/>
              </w:rPr>
              <w:t>Wiersz</w:t>
            </w:r>
          </w:p>
        </w:tc>
        <w:tc>
          <w:tcPr>
            <w:tcW w:w="7620" w:type="dxa"/>
            <w:shd w:val="clear" w:color="auto" w:fill="D9D9D9"/>
          </w:tcPr>
          <w:p w:rsidR="005643EA" w:rsidRPr="00AA1421" w:rsidRDefault="002648B0" w:rsidP="00487A02">
            <w:pPr>
              <w:pStyle w:val="InstructionsText"/>
              <w:rPr>
                <w:rStyle w:val="InstructionsTabelleText"/>
                <w:rFonts w:ascii="Times New Roman" w:hAnsi="Times New Roman"/>
                <w:bCs/>
                <w:sz w:val="24"/>
              </w:rPr>
            </w:pPr>
            <w:r w:rsidRPr="00AA1421">
              <w:rPr>
                <w:rStyle w:val="InstructionsTabelleText"/>
                <w:rFonts w:ascii="Times New Roman" w:hAnsi="Times New Roman"/>
                <w:sz w:val="24"/>
              </w:rPr>
              <w:t>Odniesienia prawne i instrukcje</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0010</w:t>
            </w:r>
          </w:p>
        </w:tc>
        <w:tc>
          <w:tcPr>
            <w:tcW w:w="7620" w:type="dxa"/>
          </w:tcPr>
          <w:p w:rsidR="00D7242F" w:rsidRPr="00AA1421" w:rsidRDefault="00C66473"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Fundusze własne</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18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7</w:t>
            </w:r>
            <w:r w:rsidRPr="00AA1421">
              <w:rPr>
                <w:rStyle w:val="FormatvorlageInstructionsTabelleText"/>
                <w:rFonts w:ascii="Times New Roman" w:hAnsi="Times New Roman"/>
                <w:sz w:val="24"/>
              </w:rPr>
              <w:t>2 CRR</w:t>
            </w:r>
          </w:p>
          <w:p w:rsidR="005643EA" w:rsidRPr="00AA1421" w:rsidRDefault="002648B0"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Fundusze własne danej instytucji stanowią sumę jej kapitału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w:t>
            </w:r>
            <w:proofErr w:type="spellStart"/>
            <w:r w:rsidRPr="00AA1421">
              <w:rPr>
                <w:rStyle w:val="FormatvorlageInstructionsTabelleText"/>
                <w:rFonts w:ascii="Times New Roman" w:hAnsi="Times New Roman"/>
                <w:sz w:val="24"/>
              </w:rPr>
              <w:t>i</w:t>
            </w:r>
            <w:proofErr w:type="spellEnd"/>
            <w:r w:rsidRPr="00AA1421">
              <w:rPr>
                <w:rStyle w:val="FormatvorlageInstructionsTabelleText"/>
                <w:rFonts w:ascii="Times New Roman" w:hAnsi="Times New Roman"/>
                <w:sz w:val="24"/>
              </w:rPr>
              <w:t xml:space="preserve"> kapitału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w:t>
            </w:r>
          </w:p>
        </w:tc>
      </w:tr>
      <w:tr w:rsidR="00666996" w:rsidRPr="00AA1421" w:rsidTr="00D731E3">
        <w:tc>
          <w:tcPr>
            <w:tcW w:w="1129" w:type="dxa"/>
          </w:tcPr>
          <w:p w:rsidR="00666996"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0015</w:t>
            </w:r>
          </w:p>
        </w:tc>
        <w:tc>
          <w:tcPr>
            <w:tcW w:w="7620" w:type="dxa"/>
          </w:tcPr>
          <w:p w:rsidR="005643EA" w:rsidRPr="00AA1421" w:rsidRDefault="0066699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w:t>
            </w:r>
            <w:r w:rsidR="00744F50" w:rsidRPr="00AA1421">
              <w:rPr>
                <w:b/>
                <w:u w:val="single"/>
              </w:rPr>
              <w:tab/>
            </w:r>
            <w:r w:rsidRPr="00AA1421">
              <w:rPr>
                <w:rStyle w:val="InstructionsTabelleberschrift"/>
                <w:rFonts w:ascii="Times New Roman" w:hAnsi="Times New Roman"/>
                <w:sz w:val="24"/>
              </w:rPr>
              <w:t xml:space="preserve">Kapitał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25 CRR</w:t>
            </w:r>
          </w:p>
          <w:p w:rsidR="005643EA" w:rsidRPr="00AA1421" w:rsidRDefault="00666996"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stanowi sumę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w:t>
            </w:r>
            <w:proofErr w:type="spellStart"/>
            <w:r w:rsidRPr="00AA1421">
              <w:rPr>
                <w:rStyle w:val="FormatvorlageInstructionsTabelleText"/>
                <w:rFonts w:ascii="Times New Roman" w:hAnsi="Times New Roman"/>
                <w:sz w:val="24"/>
              </w:rPr>
              <w:t>i</w:t>
            </w:r>
            <w:proofErr w:type="spellEnd"/>
            <w:r w:rsidRPr="00AA1421">
              <w:rPr>
                <w:rStyle w:val="FormatvorlageInstructionsTabelleText"/>
                <w:rFonts w:ascii="Times New Roman" w:hAnsi="Times New Roman"/>
                <w:sz w:val="24"/>
              </w:rPr>
              <w:t xml:space="preserve"> kapitału dodatkowego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0020</w:t>
            </w:r>
          </w:p>
        </w:tc>
        <w:tc>
          <w:tcPr>
            <w:tcW w:w="7620" w:type="dxa"/>
          </w:tcPr>
          <w:p w:rsidR="005643EA" w:rsidRPr="00AA1421" w:rsidRDefault="0066699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w:t>
            </w:r>
            <w:r w:rsidR="00744F50" w:rsidRPr="00AA1421">
              <w:rPr>
                <w:b/>
                <w:u w:val="single"/>
              </w:rPr>
              <w:tab/>
            </w:r>
            <w:r w:rsidRPr="00AA1421">
              <w:rPr>
                <w:rStyle w:val="InstructionsTabelleberschrift"/>
                <w:rFonts w:ascii="Times New Roman" w:hAnsi="Times New Roman"/>
                <w:sz w:val="24"/>
              </w:rPr>
              <w:t xml:space="preserve">Kapitał podstawowy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50 CRR</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0030</w:t>
            </w:r>
          </w:p>
        </w:tc>
        <w:tc>
          <w:tcPr>
            <w:tcW w:w="7620" w:type="dxa"/>
          </w:tcPr>
          <w:p w:rsidR="005643EA" w:rsidRPr="00AA1421" w:rsidRDefault="000120EB"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w:t>
            </w:r>
            <w:r w:rsidR="00744F50" w:rsidRPr="00AA1421">
              <w:rPr>
                <w:b/>
                <w:u w:val="single"/>
              </w:rPr>
              <w:tab/>
            </w:r>
            <w:r w:rsidRPr="00AA1421">
              <w:rPr>
                <w:rStyle w:val="InstructionsTabelleberschrift"/>
                <w:rFonts w:ascii="Times New Roman" w:hAnsi="Times New Roman"/>
                <w:sz w:val="24"/>
              </w:rPr>
              <w:t xml:space="preserve">Instrumenty kapitałowe kwalifikujące się jako kapitał podstawowy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I</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i b),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7–30,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0040</w:t>
            </w:r>
          </w:p>
        </w:tc>
        <w:tc>
          <w:tcPr>
            <w:tcW w:w="7620" w:type="dxa"/>
          </w:tcPr>
          <w:p w:rsidR="005643EA" w:rsidRPr="00AA1421" w:rsidRDefault="0066699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1.1.1.1.1</w:t>
            </w:r>
            <w:r w:rsidR="00744F50" w:rsidRPr="00AA1421">
              <w:rPr>
                <w:b/>
                <w:u w:val="single"/>
              </w:rPr>
              <w:tab/>
            </w:r>
            <w:r w:rsidRPr="00AA1421">
              <w:rPr>
                <w:rStyle w:val="InstructionsTabelleberschrift"/>
                <w:rFonts w:ascii="Times New Roman" w:hAnsi="Times New Roman"/>
                <w:sz w:val="24"/>
              </w:rPr>
              <w:t>W pełni opłacone instrumenty kapitałowe</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7–31 CRR</w:t>
            </w:r>
          </w:p>
          <w:p w:rsidR="00FE3BD8" w:rsidRPr="00AA1421" w:rsidRDefault="00543DB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Uwzględniane są instrumenty kapitałowe towarzystw ubezpieczeń wzajemnych, spółdzielni lub podobnych instytucji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i 29 CRR).</w:t>
            </w:r>
          </w:p>
          <w:p w:rsidR="00FE3BD8"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Nie uwzględnia się ażio emisyjnego związanego z instrumentami.</w:t>
            </w:r>
          </w:p>
          <w:p w:rsidR="005643EA" w:rsidRPr="00AA1421" w:rsidRDefault="00543DB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kapitałowe subskrybowane przez organy publiczne w sytuacjach nadzwyczajnych są uwzględniane, jeżeli spełnione zostały wszystkie warunki określone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1 CRR.</w:t>
            </w:r>
          </w:p>
        </w:tc>
      </w:tr>
      <w:tr w:rsidR="00216D67" w:rsidRPr="00AA1421" w:rsidTr="00D731E3">
        <w:tc>
          <w:tcPr>
            <w:tcW w:w="1129" w:type="dxa"/>
          </w:tcPr>
          <w:p w:rsidR="00216D67"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0045</w:t>
            </w:r>
          </w:p>
        </w:tc>
        <w:tc>
          <w:tcPr>
            <w:tcW w:w="7620" w:type="dxa"/>
          </w:tcPr>
          <w:p w:rsidR="00216D67" w:rsidRPr="00AA1421" w:rsidRDefault="00DD2C1E"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1.1.1.1.1*</w:t>
            </w:r>
            <w:r w:rsidR="00744F50" w:rsidRPr="00AA1421">
              <w:rPr>
                <w:b/>
                <w:u w:val="single"/>
              </w:rPr>
              <w:tab/>
            </w:r>
            <w:r w:rsidRPr="00AA1421">
              <w:rPr>
                <w:rStyle w:val="InstructionsTabelleberschrift"/>
                <w:rFonts w:ascii="Times New Roman" w:hAnsi="Times New Roman"/>
                <w:sz w:val="24"/>
              </w:rPr>
              <w:t>W tym: instrumenty kapitałowe subskrybowane przez organy publiczne w sytuacjach nadzwyczajnych</w:t>
            </w:r>
          </w:p>
          <w:p w:rsidR="00216D67" w:rsidRPr="00AA1421" w:rsidRDefault="00216D67"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31 CRR</w:t>
            </w:r>
          </w:p>
          <w:p w:rsidR="00216D67" w:rsidRPr="00AA1421" w:rsidRDefault="00216D6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Instrumenty kapitałowe subskrybowane przez organy publiczne w sytuacjach nadzwyczajnych są uwzględniane w kapitale podstawowym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 jeżeli spełnione zostały wszystkie warunki określone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1 CRR.</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0050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1.1.1.1.2*</w:t>
            </w:r>
            <w:r w:rsidR="00744F50" w:rsidRPr="00AA1421">
              <w:rPr>
                <w:b/>
                <w:u w:val="single"/>
              </w:rPr>
              <w:tab/>
            </w:r>
            <w:r w:rsidRPr="00AA1421">
              <w:rPr>
                <w:rStyle w:val="InstructionsTabelleberschrift"/>
                <w:rFonts w:ascii="Times New Roman" w:hAnsi="Times New Roman"/>
                <w:sz w:val="24"/>
              </w:rPr>
              <w:t>Pozycja uzupełniająca: nieuznane instrumenty kapitałowe</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l) i m)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Warunki określone w tych literach odzwierciedlają różne sytuacje dotyczące kapitału, które są odwracalne, a więc kwota tu zgłoszona może zostać uznana w kolejnych okresach.</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nie obejmuje ażio emisyjnego związanego z instrumentami.</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0060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1.1.1.1.3</w:t>
            </w:r>
            <w:r w:rsidR="00744F50" w:rsidRPr="00AA1421">
              <w:rPr>
                <w:b/>
                <w:u w:val="single"/>
              </w:rPr>
              <w:tab/>
            </w:r>
            <w:r w:rsidRPr="00AA1421">
              <w:rPr>
                <w:rStyle w:val="InstructionsTabelleberschrift"/>
                <w:rFonts w:ascii="Times New Roman" w:hAnsi="Times New Roman"/>
                <w:sz w:val="24"/>
              </w:rPr>
              <w:t>Ażio emisyjne</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24,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Ażio emisyjne ma takie samo znaczenie jak w mających zastosowanie standardach rachunkowości. </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w tej pozycji, stanowi część związaną z pozycją „W pełni opłacone instrumenty kapitałowe”. </w:t>
            </w:r>
          </w:p>
        </w:tc>
      </w:tr>
      <w:tr w:rsidR="002648B0" w:rsidRPr="00AA1421" w:rsidTr="00D731E3">
        <w:tc>
          <w:tcPr>
            <w:tcW w:w="1129" w:type="dxa"/>
          </w:tcPr>
          <w:p w:rsidR="002648B0" w:rsidRPr="00AA1421" w:rsidRDefault="00A53185"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0070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w:t>
            </w:r>
            <w:r w:rsidR="00744F50" w:rsidRPr="00AA1421">
              <w:rPr>
                <w:b/>
                <w:u w:val="single"/>
              </w:rPr>
              <w:tab/>
            </w:r>
            <w:r w:rsidRPr="00AA1421">
              <w:rPr>
                <w:rStyle w:val="InstructionsTabelleberschrift"/>
                <w:rFonts w:ascii="Times New Roman" w:hAnsi="Times New Roman"/>
                <w:sz w:val="24"/>
              </w:rPr>
              <w:t xml:space="preserve">(-) Instrumenty własne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własne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będące w posiadaniu instytucji lub grupy sprawozdającej na dzień sprawozdawczy. Z zastrzeżeniem wyjątków przewidzianych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 tym wierszu nie zgłasza się udziałów kapitałowych zaliczanych do „Nieuznanych instrumentów kapitałowych”.</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Kwota, którą należy zgłosić, obejmuje ażio emisyjne związane z własnymi udziałami.</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Pozycje 1.1.1.1.4–1.1.1.1.4.3 nie obejmują faktycznych ani warunkowych zobowiązań do zakupu instrumentów własnych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Faktyczne lub warunkowe zobowiązania do zakupu instrumentów własnych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zgłasza się oddzielnie w pozycji 1.1.1.1.5.</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0080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1.1.1.1.4.1</w:t>
            </w:r>
            <w:r w:rsidR="00744F50" w:rsidRPr="00AA1421">
              <w:rPr>
                <w:b/>
                <w:u w:val="single"/>
              </w:rPr>
              <w:tab/>
            </w:r>
            <w:r w:rsidRPr="00AA1421">
              <w:rPr>
                <w:rStyle w:val="InstructionsTabelleberschrift"/>
                <w:rFonts w:ascii="Times New Roman" w:hAnsi="Times New Roman"/>
                <w:sz w:val="24"/>
              </w:rPr>
              <w:t xml:space="preserve">(-) Bezpośrednie udziały kapitałowe w instrumentach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objęte pozycją 1.1.1.1 i będące w posiadaniu instytucji należących do skonsolidowanej grupy. </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obejmuje wartość posiadanych w portfelu handlowym udziałów kapitałowych obliczoną na podstawie pozycji długiej netto, jak stanowi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2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0090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1.1.1.1.4.2</w:t>
            </w:r>
            <w:r w:rsidR="00744F50" w:rsidRPr="00AA1421">
              <w:rPr>
                <w:b/>
                <w:u w:val="single"/>
              </w:rPr>
              <w:tab/>
            </w:r>
            <w:r w:rsidRPr="00AA1421">
              <w:rPr>
                <w:rStyle w:val="InstructionsTabelleberschrift"/>
                <w:rFonts w:ascii="Times New Roman" w:hAnsi="Times New Roman"/>
                <w:sz w:val="24"/>
              </w:rPr>
              <w:t xml:space="preserve">(-) Pośrednie udziały kapitałowe w instrumentach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14,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tc>
      </w:tr>
      <w:tr w:rsidR="002648B0" w:rsidRPr="00AA1421" w:rsidTr="00D731E3">
        <w:tc>
          <w:tcPr>
            <w:tcW w:w="1129" w:type="dxa"/>
          </w:tcPr>
          <w:p w:rsidR="005643EA"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0091</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1.1.1.1.4.3</w:t>
            </w:r>
            <w:r w:rsidR="00744F50" w:rsidRPr="00AA1421">
              <w:rPr>
                <w:b/>
                <w:u w:val="single"/>
              </w:rPr>
              <w:tab/>
            </w:r>
            <w:r w:rsidRPr="00AA1421">
              <w:rPr>
                <w:rStyle w:val="InstructionsTabelleberschrift"/>
                <w:rFonts w:ascii="Times New Roman" w:hAnsi="Times New Roman"/>
                <w:sz w:val="24"/>
              </w:rPr>
              <w:t xml:space="preserve">(-) Syntetyczne udziały kapitałowe w instrumentach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FF2818" w:rsidP="00487A02">
            <w:pPr>
              <w:pStyle w:val="InstructionsText"/>
              <w:rPr>
                <w:rStyle w:val="InstructionsTabelleberschrift"/>
                <w:rFonts w:ascii="Times New Roman" w:hAnsi="Times New Roman"/>
                <w:b w:val="0"/>
                <w:sz w:val="24"/>
                <w:u w:val="none"/>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26,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0092</w:t>
            </w:r>
          </w:p>
        </w:tc>
        <w:tc>
          <w:tcPr>
            <w:tcW w:w="7620" w:type="dxa"/>
          </w:tcPr>
          <w:p w:rsidR="005643EA" w:rsidRPr="00AA1421" w:rsidRDefault="0066699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1.1.1.1.5</w:t>
            </w:r>
            <w:r w:rsidR="00744F50" w:rsidRPr="00AA1421">
              <w:rPr>
                <w:b/>
                <w:u w:val="single"/>
              </w:rPr>
              <w:tab/>
            </w:r>
            <w:r w:rsidRPr="00AA1421">
              <w:rPr>
                <w:rStyle w:val="InstructionsTabelleberschrift"/>
                <w:rFonts w:ascii="Times New Roman" w:hAnsi="Times New Roman"/>
                <w:sz w:val="24"/>
              </w:rPr>
              <w:t xml:space="preserve">(-) Faktyczne lub warunkowe zobowiązania do zakupu instrumentów własnych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2 CRR</w:t>
            </w:r>
          </w:p>
          <w:p w:rsidR="005643EA" w:rsidRPr="00AA1421" w:rsidRDefault="002648B0" w:rsidP="00487A02">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6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f)</w:t>
            </w:r>
            <w:r w:rsidRPr="00AA1421">
              <w:rPr>
                <w:rStyle w:val="InstructionsTabelleberschrift"/>
                <w:rFonts w:ascii="Times New Roman" w:hAnsi="Times New Roman"/>
                <w:b w:val="0"/>
                <w:sz w:val="24"/>
                <w:u w:val="none"/>
              </w:rPr>
              <w:t xml:space="preserve"> CRR odlicza się „</w:t>
            </w:r>
            <w:r w:rsidRPr="00AA1421">
              <w:t xml:space="preserve">instrumenty własne w kapitale podstawowym </w:t>
            </w:r>
            <w:proofErr w:type="spellStart"/>
            <w:r w:rsidRPr="00AA1421">
              <w:t>Tier</w:t>
            </w:r>
            <w:proofErr w:type="spellEnd"/>
            <w:r w:rsidRPr="00AA1421">
              <w:t xml:space="preserve"> I, do których zakupu instytucja jest faktycznie lub warunkowo zobowiązana na mocy istniejącego zobowiązania umownego”.</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0130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w:t>
            </w:r>
            <w:r w:rsidR="00744F50" w:rsidRPr="00AA1421">
              <w:rPr>
                <w:b/>
                <w:u w:val="single"/>
              </w:rPr>
              <w:tab/>
            </w:r>
            <w:r w:rsidRPr="00AA1421">
              <w:rPr>
                <w:rStyle w:val="InstructionsTabelleberschrift"/>
                <w:rFonts w:ascii="Times New Roman" w:hAnsi="Times New Roman"/>
                <w:sz w:val="24"/>
              </w:rPr>
              <w:t>Zyski zatrzymane</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Zyski zatrzymane obejmują zyski zatrzymane z poprzednich lat powiększone o uznane zyski z bieżącego okresu lub zyski roczne.</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0140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1.1.1.2.1</w:t>
            </w:r>
            <w:r w:rsidR="00744F50" w:rsidRPr="00AA1421">
              <w:rPr>
                <w:b/>
                <w:u w:val="single"/>
              </w:rPr>
              <w:tab/>
            </w:r>
            <w:r w:rsidRPr="00AA1421">
              <w:rPr>
                <w:rStyle w:val="InstructionsTabelleberschrift"/>
                <w:rFonts w:ascii="Times New Roman" w:hAnsi="Times New Roman"/>
                <w:sz w:val="24"/>
              </w:rPr>
              <w:t>Zyski zatrzymane w poprzednich latach</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23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CRR</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23 CRR zyski zatrzymane zdefiniowane są jako „zyski i straty wynikające z ostatecznego zastosowania wyniku finansowego zgodnie z mającymi zastosowanie standardami rachunkowości”.</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0150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1.1.1.2.2</w:t>
            </w:r>
            <w:r w:rsidR="00744F50" w:rsidRPr="00AA1421">
              <w:rPr>
                <w:b/>
                <w:u w:val="single"/>
              </w:rPr>
              <w:tab/>
            </w:r>
            <w:r w:rsidRPr="00AA1421">
              <w:rPr>
                <w:rStyle w:val="InstructionsTabelleberschrift"/>
                <w:rFonts w:ascii="Times New Roman" w:hAnsi="Times New Roman"/>
                <w:sz w:val="24"/>
              </w:rPr>
              <w:t>Uznany zysk lub uznana strata</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21,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 pozwala – pod warunkiem otrzymania wcześniejszej zgody właściwego organu – na włączenie do zysków zatrzymanych zysków z bieżącego okresu lub zysków rocznych, jeśli spełnione są pewne warunki. </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Z kolei straty odlicza się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jak stanowi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tc>
      </w:tr>
      <w:tr w:rsidR="002648B0" w:rsidRPr="00AA1421" w:rsidTr="00D731E3">
        <w:tc>
          <w:tcPr>
            <w:tcW w:w="1129" w:type="dxa"/>
          </w:tcPr>
          <w:p w:rsidR="002648B0" w:rsidRPr="00AA1421" w:rsidRDefault="0025245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0160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1.1.1.2.2.1</w:t>
            </w:r>
            <w:r w:rsidR="00744F50" w:rsidRPr="00AA1421">
              <w:rPr>
                <w:b/>
                <w:u w:val="single"/>
              </w:rPr>
              <w:tab/>
            </w:r>
            <w:r w:rsidRPr="00AA1421">
              <w:rPr>
                <w:rStyle w:val="InstructionsTabelleberschrift"/>
                <w:rFonts w:ascii="Times New Roman" w:hAnsi="Times New Roman"/>
                <w:sz w:val="24"/>
              </w:rPr>
              <w:t>Zysk lub strata możliwe do przypisania właścicielom jednostki dominującej</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jest zyskiem lub stratą, które zgłoszone są w księgowym rachunku zysków i strat.</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0170</w:t>
            </w:r>
          </w:p>
        </w:tc>
        <w:tc>
          <w:tcPr>
            <w:tcW w:w="7620" w:type="dxa"/>
          </w:tcPr>
          <w:p w:rsidR="005643EA" w:rsidRPr="00AA1421" w:rsidRDefault="0066699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1.1.1.2.2.2</w:t>
            </w:r>
            <w:r w:rsidR="00744F50" w:rsidRPr="00AA1421">
              <w:rPr>
                <w:b/>
                <w:u w:val="single"/>
              </w:rPr>
              <w:tab/>
            </w:r>
            <w:r w:rsidRPr="00AA1421">
              <w:rPr>
                <w:rStyle w:val="InstructionsTabelleberschrift"/>
                <w:rFonts w:ascii="Times New Roman" w:hAnsi="Times New Roman"/>
                <w:sz w:val="24"/>
              </w:rPr>
              <w:t>(-) Część nieuznanego zysku z bieżącego okresu lub nieuznanego zysku rocznego</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26 ust. 2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 wierszu tym nie zgłasza się żadnej wartości, jeżeli za okres odniesienia instytucja zgłosiła straty, ponieważ straty te odlicza się w całości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Jeśli instytucja zgłasza zyski, zgłaszana jest część, która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 jest nieuznana (tj. zyski niezweryfikowane przez biegłego rewidenta oraz możliwe do przewidzenia obciążenia lub dywidendy).</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Należy zauważyć, że w przypadku zysków odliczaną kwotę stanowią co najmniej dywidendy wypłacone w ciągu roku obrotowego.</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0180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1.1.1.3</w:t>
            </w:r>
            <w:r w:rsidR="00744F50" w:rsidRPr="00AA1421">
              <w:rPr>
                <w:b/>
                <w:u w:val="single"/>
              </w:rPr>
              <w:tab/>
            </w:r>
            <w:r w:rsidRPr="00AA1421">
              <w:rPr>
                <w:rStyle w:val="InstructionsTabelleberschrift"/>
                <w:rFonts w:ascii="Times New Roman" w:hAnsi="Times New Roman"/>
                <w:sz w:val="24"/>
              </w:rPr>
              <w:t>Skumulowane inne całkowite dochody</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00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d)</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jest kwotą po odliczeniu wszelkich obciążeń podatkowych dających się przewidzieć w chwili wyliczania tej kwoty, a przed zastosowaniem filtrów ostrożnościowych. Kwotę, którą należy zgłosić, </w:t>
            </w:r>
            <w:r w:rsidRPr="00AA1421">
              <w:rPr>
                <w:rStyle w:val="FormatvorlageInstructionsTabelleText"/>
                <w:rFonts w:ascii="Times New Roman" w:hAnsi="Times New Roman"/>
                <w:iCs/>
                <w:sz w:val="24"/>
              </w:rPr>
              <w:t xml:space="preserve">określa się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rozporządzenia delegowanego Komisji (UE) </w:t>
            </w:r>
            <w:r w:rsidRPr="00084F66">
              <w:rPr>
                <w:rStyle w:val="FormatvorlageInstructionsTabelleText"/>
                <w:rFonts w:ascii="Times New Roman" w:hAnsi="Times New Roman"/>
                <w:sz w:val="24"/>
              </w:rPr>
              <w:t>nr</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41/2014</w:t>
            </w:r>
            <w:r w:rsidRPr="00AA1421">
              <w:rPr>
                <w:rStyle w:val="FootnoteReference"/>
                <w:rFonts w:ascii="Times New Roman" w:hAnsi="Times New Roman"/>
                <w:bCs/>
                <w:sz w:val="24"/>
                <w:szCs w:val="24"/>
                <w:vertAlign w:val="superscript"/>
              </w:rPr>
              <w:footnoteReference w:id="7"/>
            </w:r>
            <w:r w:rsidRPr="00AA1421">
              <w:rPr>
                <w:rStyle w:val="FormatvorlageInstructionsTabelleText"/>
                <w:rFonts w:ascii="Times New Roman" w:hAnsi="Times New Roman"/>
                <w:sz w:val="24"/>
              </w:rPr>
              <w:t xml:space="preserve">. </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0200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1.1.1.4</w:t>
            </w:r>
            <w:r w:rsidR="00744F50" w:rsidRPr="00AA1421">
              <w:rPr>
                <w:b/>
                <w:u w:val="single"/>
              </w:rPr>
              <w:tab/>
            </w:r>
            <w:r w:rsidRPr="00AA1421">
              <w:rPr>
                <w:rStyle w:val="InstructionsTabelleberschrift"/>
                <w:rFonts w:ascii="Times New Roman" w:hAnsi="Times New Roman"/>
                <w:sz w:val="24"/>
              </w:rPr>
              <w:t>Kapitał rezerwowy</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17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Kapitał rezerwowy jest zdefiniowany w CRR jako „kapitały w rozumieniu mających zastosowanie standardów rachunkowości, których ujawnienie jest wymagane zgodnie z mającymi zastosowanie standardami rachunkowości, z wyjątkiem wszelkich kwot już uwzględnionych w ramach skumulowanych innych całkowitych dochodów lub zysków zatrzymanych”.</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jest kwotą po odliczeniu wszelkich obciążeń podatkowych dających się przewidzieć w chwili wyliczania tej kwoty.</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0210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1.1.1.5</w:t>
            </w:r>
            <w:r w:rsidR="00744F50" w:rsidRPr="00AA1421">
              <w:rPr>
                <w:b/>
                <w:u w:val="single"/>
              </w:rPr>
              <w:tab/>
            </w:r>
            <w:r w:rsidRPr="00AA1421">
              <w:rPr>
                <w:rStyle w:val="InstructionsTabelleberschrift"/>
                <w:rFonts w:ascii="Times New Roman" w:hAnsi="Times New Roman"/>
                <w:sz w:val="24"/>
              </w:rPr>
              <w:t>Fundusze ogólnego ryzyka bankowego</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12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f)</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Fundusze ogólnego ryzyka bankowego zdefiniowane są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8 BAD jako „kwoty, które instytucja kredytowa decyduje się zarezerwować na pokrycie </w:t>
            </w:r>
            <w:r w:rsidRPr="00AA1421">
              <w:rPr>
                <w:rStyle w:val="FormatvorlageInstructionsTabelleText"/>
                <w:rFonts w:ascii="Times New Roman" w:hAnsi="Times New Roman"/>
                <w:sz w:val="24"/>
              </w:rPr>
              <w:lastRenderedPageBreak/>
              <w:t>ryzyka, w przypadku gdy jest to wymagane ze względu na szczególne rodzaje ryzyka związanego z bankowością”.</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jest kwotą po odliczeniu wszelkich obciążeń podatkowych dających się przewidzieć w chwili wyliczania tej kwoty.</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0220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1.1.1.6</w:t>
            </w:r>
            <w:r w:rsidR="00744F50" w:rsidRPr="00AA1421">
              <w:rPr>
                <w:b/>
                <w:u w:val="single"/>
              </w:rPr>
              <w:tab/>
            </w:r>
            <w:r w:rsidRPr="00AA1421">
              <w:rPr>
                <w:rStyle w:val="InstructionsTabelleberschrift"/>
                <w:rFonts w:ascii="Times New Roman" w:hAnsi="Times New Roman"/>
                <w:sz w:val="24"/>
              </w:rPr>
              <w:t xml:space="preserve">Korekty w okresie przejściowym z tytułu instrumentów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podlegających zasadzie praw nabytych</w:t>
            </w:r>
          </w:p>
          <w:p w:rsidR="005643EA" w:rsidRPr="00AA1421" w:rsidRDefault="002C66A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483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2 i 3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84–487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instrumentów kapitałowych podlegających w okresie przejściowym zasadzie praw nabytych jako kapitał podstawowy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Kwota, którą należy zgłosić, jest uzyskiwana bezpośrednio z CA5.</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0230</w:t>
            </w:r>
          </w:p>
        </w:tc>
        <w:tc>
          <w:tcPr>
            <w:tcW w:w="7620" w:type="dxa"/>
          </w:tcPr>
          <w:p w:rsidR="005643EA" w:rsidRPr="00AA1421" w:rsidRDefault="00666996"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1.1.1.7</w:t>
            </w:r>
            <w:r w:rsidR="00744F50" w:rsidRPr="00AA1421">
              <w:rPr>
                <w:b/>
                <w:u w:val="single"/>
              </w:rPr>
              <w:tab/>
            </w:r>
            <w:r w:rsidRPr="00AA1421">
              <w:rPr>
                <w:rStyle w:val="InstructionsTabelleberschrift"/>
                <w:rFonts w:ascii="Times New Roman" w:hAnsi="Times New Roman"/>
                <w:sz w:val="24"/>
              </w:rPr>
              <w:t xml:space="preserve">Udział mniejszości uznany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20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8</w:t>
            </w:r>
            <w:r w:rsidRPr="00AA1421">
              <w:rPr>
                <w:rStyle w:val="FormatvorlageInstructionsTabelleText"/>
                <w:rFonts w:ascii="Times New Roman" w:hAnsi="Times New Roman"/>
                <w:sz w:val="24"/>
              </w:rPr>
              <w:t>4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Suma wszystkich kwot udziałów mniejszości jednostek zależnych uwzględniona w skonsolidowanym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0240</w:t>
            </w:r>
          </w:p>
        </w:tc>
        <w:tc>
          <w:tcPr>
            <w:tcW w:w="7620"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1.1.1.8</w:t>
            </w:r>
            <w:r w:rsidR="00744F50" w:rsidRPr="00AA1421">
              <w:rPr>
                <w:b/>
                <w:u w:val="single"/>
              </w:rPr>
              <w:tab/>
            </w:r>
            <w:r w:rsidRPr="00AA1421">
              <w:rPr>
                <w:rStyle w:val="InstructionsTabelleberschrift"/>
                <w:rFonts w:ascii="Times New Roman" w:hAnsi="Times New Roman"/>
                <w:sz w:val="24"/>
              </w:rPr>
              <w:t>Korekty w okresie przejściowym z tytułu dodatkowych udziałów mniejszości</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479 i 480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Korekty udziałów mniejszości wynikające z przepisów przejściowych. Pozycja ta jest uzyskiwana bezpośrednio z CA5.</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0250</w:t>
            </w:r>
          </w:p>
        </w:tc>
        <w:tc>
          <w:tcPr>
            <w:tcW w:w="7620"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1.1.1.9</w:t>
            </w:r>
            <w:r w:rsidR="00744F50" w:rsidRPr="00AA1421">
              <w:rPr>
                <w:b/>
                <w:u w:val="single"/>
              </w:rPr>
              <w:tab/>
            </w:r>
            <w:r w:rsidRPr="00AA1421">
              <w:rPr>
                <w:rStyle w:val="InstructionsTabelleberschrift"/>
                <w:rFonts w:ascii="Times New Roman" w:hAnsi="Times New Roman"/>
                <w:sz w:val="24"/>
              </w:rPr>
              <w:t xml:space="preserve">Korekty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z tytułu filtrów ostrożnościowych</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32–35 CRR </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0260</w:t>
            </w:r>
          </w:p>
        </w:tc>
        <w:tc>
          <w:tcPr>
            <w:tcW w:w="7620"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1.1.1.9.1</w:t>
            </w:r>
            <w:r w:rsidR="00744F50" w:rsidRPr="00AA1421">
              <w:rPr>
                <w:b/>
                <w:u w:val="single"/>
              </w:rPr>
              <w:tab/>
            </w:r>
            <w:r w:rsidRPr="00AA1421">
              <w:rPr>
                <w:rStyle w:val="InstructionsTabelleberschrift"/>
                <w:rFonts w:ascii="Times New Roman" w:hAnsi="Times New Roman"/>
                <w:sz w:val="24"/>
              </w:rPr>
              <w:t xml:space="preserve">(-) Zwiększenia kapitału własnego z tytułu aktywów </w:t>
            </w:r>
            <w:proofErr w:type="spellStart"/>
            <w:r w:rsidRPr="00AA1421">
              <w:rPr>
                <w:rStyle w:val="InstructionsTabelleberschrift"/>
                <w:rFonts w:ascii="Times New Roman" w:hAnsi="Times New Roman"/>
                <w:sz w:val="24"/>
              </w:rPr>
              <w:t>sekurytyzowanych</w:t>
            </w:r>
            <w:proofErr w:type="spellEnd"/>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32 ust. 1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stanowi zwiększenie kapitału własnego instytucji z tytułu aktywów </w:t>
            </w:r>
            <w:proofErr w:type="spellStart"/>
            <w:r w:rsidRPr="00AA1421">
              <w:rPr>
                <w:rStyle w:val="FormatvorlageInstructionsTabelleText"/>
                <w:rFonts w:ascii="Times New Roman" w:hAnsi="Times New Roman"/>
                <w:sz w:val="24"/>
              </w:rPr>
              <w:t>sekurytyzowanych</w:t>
            </w:r>
            <w:proofErr w:type="spellEnd"/>
            <w:r w:rsidRPr="00AA1421">
              <w:rPr>
                <w:rStyle w:val="FormatvorlageInstructionsTabelleText"/>
                <w:rFonts w:ascii="Times New Roman" w:hAnsi="Times New Roman"/>
                <w:sz w:val="24"/>
              </w:rPr>
              <w:t xml:space="preserve"> zgodnie z mającymi zastosowanie standardami rachunkowości.</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Pozycja ta obejmuje na przykład przyszłe przychody z tytułu marż będące źródłem zysku ze sprzedaży dla instytucji lub, w przypadku jednostek inicjujących, zyski netto z kapitalizacji przyszłych przychodów z aktywów </w:t>
            </w:r>
            <w:proofErr w:type="spellStart"/>
            <w:r w:rsidRPr="00AA1421">
              <w:rPr>
                <w:rStyle w:val="FormatvorlageInstructionsTabelleText"/>
                <w:rFonts w:ascii="Times New Roman" w:hAnsi="Times New Roman"/>
                <w:sz w:val="24"/>
              </w:rPr>
              <w:t>sekurytyzowanych</w:t>
            </w:r>
            <w:proofErr w:type="spellEnd"/>
            <w:r w:rsidRPr="00AA1421">
              <w:rPr>
                <w:rStyle w:val="FormatvorlageInstructionsTabelleText"/>
                <w:rFonts w:ascii="Times New Roman" w:hAnsi="Times New Roman"/>
                <w:sz w:val="24"/>
              </w:rPr>
              <w:t xml:space="preserve"> stanowiące wsparcie jakości kredytowej dla pozycji sekurytyzacyjnych.</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0270</w:t>
            </w:r>
          </w:p>
        </w:tc>
        <w:tc>
          <w:tcPr>
            <w:tcW w:w="7620"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1.1.1.9.2</w:t>
            </w:r>
            <w:r w:rsidR="00744F50" w:rsidRPr="00AA1421">
              <w:rPr>
                <w:b/>
                <w:u w:val="single"/>
              </w:rPr>
              <w:tab/>
            </w:r>
            <w:r w:rsidRPr="00AA1421">
              <w:rPr>
                <w:rStyle w:val="InstructionsTabelleberschrift"/>
                <w:rFonts w:ascii="Times New Roman" w:hAnsi="Times New Roman"/>
                <w:sz w:val="24"/>
              </w:rPr>
              <w:t>Rezerwa z tytułu instrumentów zabezpieczających przepływy pieniężne</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może mieć wartość dodatnią lub ujemną. Jest ona dodatnia, jeśli instrumenty zabezpieczające przepływy pieniężne przynoszą straty (tj. jeżeli zmniejszają kapitał księgowy), i odwrotnie. Znak może być zatem przeciwny do tego zastosowanego w sprawozdaniach finansowych.</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Kwota ta jest kwotą po odliczeniu wszelkich obciążeń podatkowych dających się przewidzieć w chwili wyliczania tej kwoty.</w:t>
            </w:r>
          </w:p>
        </w:tc>
      </w:tr>
      <w:tr w:rsidR="002648B0" w:rsidRPr="00AA1421" w:rsidTr="00D731E3">
        <w:tc>
          <w:tcPr>
            <w:tcW w:w="1129" w:type="dxa"/>
          </w:tcPr>
          <w:p w:rsidR="002648B0" w:rsidRPr="00AA1421" w:rsidRDefault="00A20B7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0280</w:t>
            </w:r>
          </w:p>
        </w:tc>
        <w:tc>
          <w:tcPr>
            <w:tcW w:w="7620"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1.1.1.9.3</w:t>
            </w:r>
            <w:r w:rsidR="00744F50" w:rsidRPr="00AA1421">
              <w:rPr>
                <w:b/>
                <w:u w:val="single"/>
              </w:rPr>
              <w:tab/>
            </w:r>
            <w:r w:rsidRPr="00AA1421">
              <w:rPr>
                <w:rStyle w:val="InstructionsTabelleberschrift"/>
                <w:rFonts w:ascii="Times New Roman" w:hAnsi="Times New Roman"/>
                <w:sz w:val="24"/>
              </w:rPr>
              <w:t>Skumulowane zyski i straty spowodowane zmianami własnego ryzyka kredytowego w zakresie zobowiązań wycenionych według wartości godziwej</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(tj. jeżeli zmniejszają kapitał księgowy), i odwrotnie. Znak może być zatem przeciwny do tego zastosowanego w sprawozdaniach finansowych.</w:t>
            </w:r>
          </w:p>
          <w:p w:rsidR="005643EA"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 pozycji tej nie uwzględnia się zysku niezweryfikowanego przez biegłego rewidenta.</w:t>
            </w:r>
          </w:p>
        </w:tc>
      </w:tr>
      <w:tr w:rsidR="00666996" w:rsidRPr="00AA1421" w:rsidTr="00D731E3">
        <w:tc>
          <w:tcPr>
            <w:tcW w:w="1129" w:type="dxa"/>
          </w:tcPr>
          <w:p w:rsidR="00666996"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0285</w:t>
            </w:r>
          </w:p>
        </w:tc>
        <w:tc>
          <w:tcPr>
            <w:tcW w:w="7620" w:type="dxa"/>
          </w:tcPr>
          <w:p w:rsidR="005643EA" w:rsidRPr="00AA1421" w:rsidRDefault="00855D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1.1.1.9.4</w:t>
            </w:r>
            <w:r w:rsidR="00744F50" w:rsidRPr="00AA1421">
              <w:rPr>
                <w:b/>
                <w:u w:val="single"/>
              </w:rPr>
              <w:tab/>
            </w:r>
            <w:r w:rsidRPr="00AA1421">
              <w:rPr>
                <w:rStyle w:val="InstructionsTabelleberschrift"/>
                <w:rFonts w:ascii="Times New Roman" w:hAnsi="Times New Roman"/>
                <w:sz w:val="24"/>
              </w:rPr>
              <w:t>Zyski i straty związane z wyceną według wartości godziwej, wynikające z własnego ryzyka kredytowego instytucji związanego z zobowiązaniami będącymi instrumentami pochodnymi</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i odwrotnie. Znak może być zatem przeciwny do tego zastosowanego w sprawozdaniach finansowych.</w:t>
            </w:r>
          </w:p>
          <w:p w:rsidR="005643EA" w:rsidRPr="00AA1421" w:rsidRDefault="00666996" w:rsidP="00487A02">
            <w:pPr>
              <w:pStyle w:val="InstructionsText"/>
              <w:rPr>
                <w:rStyle w:val="InstructionsTabelleberschrift"/>
                <w:rFonts w:ascii="Times New Roman" w:hAnsi="Times New Roman"/>
                <w:b w:val="0"/>
                <w:sz w:val="24"/>
                <w:u w:val="none"/>
              </w:rPr>
            </w:pPr>
            <w:r w:rsidRPr="00AA1421">
              <w:rPr>
                <w:rStyle w:val="FormatvorlageInstructionsTabelleText"/>
                <w:rFonts w:ascii="Times New Roman" w:hAnsi="Times New Roman"/>
                <w:sz w:val="24"/>
              </w:rPr>
              <w:t>W pozycji tej nie uwzględnia się zysku niezweryfikowanego przez biegłego rewidenta.</w:t>
            </w:r>
          </w:p>
        </w:tc>
      </w:tr>
      <w:tr w:rsidR="00666996" w:rsidRPr="00AA1421" w:rsidTr="00D731E3">
        <w:tc>
          <w:tcPr>
            <w:tcW w:w="1129" w:type="dxa"/>
          </w:tcPr>
          <w:p w:rsidR="00666996"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0290</w:t>
            </w:r>
          </w:p>
        </w:tc>
        <w:tc>
          <w:tcPr>
            <w:tcW w:w="7620" w:type="dxa"/>
          </w:tcPr>
          <w:p w:rsidR="005643EA" w:rsidRPr="00AA1421" w:rsidRDefault="00855D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1.1.1.9.5</w:t>
            </w:r>
            <w:r w:rsidR="00744F50" w:rsidRPr="00AA1421">
              <w:rPr>
                <w:b/>
                <w:u w:val="single"/>
              </w:rPr>
              <w:tab/>
            </w:r>
            <w:r w:rsidRPr="00AA1421">
              <w:rPr>
                <w:rStyle w:val="InstructionsTabelleberschrift"/>
                <w:rFonts w:ascii="Times New Roman" w:hAnsi="Times New Roman"/>
                <w:sz w:val="24"/>
              </w:rPr>
              <w:t>(-) Korekty wartości z tytułu wymogów w zakresie ostrożnej wyceny</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34 i 105 CRR</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Korekty wartości godziwej ekspozycji uwzględnionych w portfelu handlowym lub portfelu bankowym z tytułu bardziej rygorystycznych norm w zakresie ostrożnej wyceny określonych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05 CRR.</w:t>
            </w:r>
          </w:p>
        </w:tc>
      </w:tr>
      <w:tr w:rsidR="00666996" w:rsidRPr="00AA1421" w:rsidTr="00D731E3">
        <w:tc>
          <w:tcPr>
            <w:tcW w:w="1129" w:type="dxa"/>
          </w:tcPr>
          <w:p w:rsidR="00666996"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0300</w:t>
            </w:r>
          </w:p>
        </w:tc>
        <w:tc>
          <w:tcPr>
            <w:tcW w:w="7620" w:type="dxa"/>
          </w:tcPr>
          <w:p w:rsidR="005643EA" w:rsidRPr="00AA1421" w:rsidRDefault="00855D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w:t>
            </w:r>
            <w:r w:rsidR="00744F50" w:rsidRPr="00AA1421">
              <w:rPr>
                <w:b/>
                <w:u w:val="single"/>
              </w:rPr>
              <w:tab/>
            </w:r>
            <w:r w:rsidRPr="00AA1421">
              <w:rPr>
                <w:rStyle w:val="InstructionsTabelleberschrift"/>
                <w:rFonts w:ascii="Times New Roman" w:hAnsi="Times New Roman"/>
                <w:sz w:val="24"/>
              </w:rPr>
              <w:t>(-) Wartość firmy</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13,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7 CRR</w:t>
            </w:r>
          </w:p>
        </w:tc>
      </w:tr>
      <w:tr w:rsidR="00666996" w:rsidRPr="00AA1421" w:rsidTr="00D731E3">
        <w:tc>
          <w:tcPr>
            <w:tcW w:w="1129" w:type="dxa"/>
          </w:tcPr>
          <w:p w:rsidR="00666996"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0310</w:t>
            </w:r>
          </w:p>
        </w:tc>
        <w:tc>
          <w:tcPr>
            <w:tcW w:w="7620" w:type="dxa"/>
          </w:tcPr>
          <w:p w:rsidR="005643EA" w:rsidRPr="00AA1421" w:rsidRDefault="00855D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1.1.1.10.1</w:t>
            </w:r>
            <w:r w:rsidR="00744F50" w:rsidRPr="00AA1421">
              <w:rPr>
                <w:b/>
                <w:u w:val="single"/>
              </w:rPr>
              <w:tab/>
            </w:r>
            <w:r w:rsidRPr="00AA1421">
              <w:rPr>
                <w:rStyle w:val="InstructionsTabelleberschrift"/>
                <w:rFonts w:ascii="Times New Roman" w:hAnsi="Times New Roman"/>
                <w:sz w:val="24"/>
              </w:rPr>
              <w:t>(-) Wartość firmy rozliczana jako aktywa niematerialne i prawne</w:t>
            </w:r>
          </w:p>
          <w:p w:rsidR="005643EA" w:rsidRPr="00AA1421" w:rsidRDefault="00FF281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13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Wartość firmy ma takie samo znaczenie jak w mających zastosowanie standardach rachunkowości.</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tu zgłosić, odpowiada kwocie zgłoszonej w bilansie.</w:t>
            </w:r>
          </w:p>
        </w:tc>
      </w:tr>
      <w:tr w:rsidR="00666996" w:rsidRPr="00AA1421" w:rsidTr="00D731E3">
        <w:tc>
          <w:tcPr>
            <w:tcW w:w="1129" w:type="dxa"/>
          </w:tcPr>
          <w:p w:rsidR="00666996"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0320</w:t>
            </w:r>
          </w:p>
        </w:tc>
        <w:tc>
          <w:tcPr>
            <w:tcW w:w="7620" w:type="dxa"/>
          </w:tcPr>
          <w:p w:rsidR="005643EA" w:rsidRPr="00AA1421" w:rsidRDefault="00855D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1.1.1.10.2</w:t>
            </w:r>
            <w:r w:rsidR="00744F50" w:rsidRPr="00AA1421">
              <w:rPr>
                <w:b/>
                <w:u w:val="single"/>
              </w:rPr>
              <w:tab/>
            </w:r>
            <w:r w:rsidRPr="00AA1421">
              <w:rPr>
                <w:rStyle w:val="InstructionsTabelleberschrift"/>
                <w:rFonts w:ascii="Times New Roman" w:hAnsi="Times New Roman"/>
                <w:sz w:val="24"/>
              </w:rPr>
              <w:t>(-) Wartość firmy uwzględniona w wycenie znacznych inwestycji</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37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3 CRR</w:t>
            </w:r>
          </w:p>
        </w:tc>
      </w:tr>
      <w:tr w:rsidR="00666996" w:rsidRPr="00AA1421" w:rsidTr="00D731E3">
        <w:tc>
          <w:tcPr>
            <w:tcW w:w="1129" w:type="dxa"/>
          </w:tcPr>
          <w:p w:rsidR="00666996"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0330</w:t>
            </w:r>
          </w:p>
        </w:tc>
        <w:tc>
          <w:tcPr>
            <w:tcW w:w="7620" w:type="dxa"/>
          </w:tcPr>
          <w:p w:rsidR="005643EA" w:rsidRPr="00AA1421" w:rsidRDefault="00AD70F1"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1.1.1.10.3</w:t>
            </w:r>
            <w:r w:rsidR="00744F50" w:rsidRPr="00AA1421">
              <w:rPr>
                <w:b/>
                <w:u w:val="single"/>
              </w:rPr>
              <w:tab/>
            </w:r>
            <w:r w:rsidRPr="00AA1421">
              <w:rPr>
                <w:rStyle w:val="InstructionsTabelleberschrift"/>
                <w:rFonts w:ascii="Times New Roman" w:hAnsi="Times New Roman"/>
                <w:sz w:val="24"/>
              </w:rPr>
              <w:t>Rezerwy z tytułu odroczonego podatku dochodowego związane z wartością firmy</w:t>
            </w:r>
          </w:p>
          <w:p w:rsidR="005643EA" w:rsidRPr="00AA1421" w:rsidRDefault="00C7103D"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Art. 37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5643EA" w:rsidRPr="00AA1421" w:rsidRDefault="0066699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rezerwy z tytułu odroczonego podatku dochodowego, która byłaby rozwiązana w przypadku utraty wartości firmy lub jej wyłączenia z bilansu zgodnie z mającymi zastosowanie standardami rachunkowości.</w:t>
            </w:r>
          </w:p>
        </w:tc>
      </w:tr>
      <w:tr w:rsidR="00D731E3" w:rsidRPr="00AA1421" w:rsidTr="00D731E3">
        <w:tc>
          <w:tcPr>
            <w:tcW w:w="1129" w:type="dxa"/>
          </w:tcPr>
          <w:p w:rsidR="00D731E3" w:rsidRPr="00AA1421" w:rsidRDefault="007C233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0335</w:t>
            </w:r>
          </w:p>
        </w:tc>
        <w:tc>
          <w:tcPr>
            <w:tcW w:w="7620" w:type="dxa"/>
          </w:tcPr>
          <w:p w:rsidR="00D731E3" w:rsidRPr="00AA1421" w:rsidRDefault="00D731E3"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1.1.1.10.4</w:t>
            </w:r>
            <w:r w:rsidR="00744F50" w:rsidRPr="00AA1421">
              <w:rPr>
                <w:b/>
                <w:u w:val="single"/>
              </w:rPr>
              <w:tab/>
            </w:r>
            <w:r w:rsidRPr="00AA1421">
              <w:rPr>
                <w:rStyle w:val="InstructionsTabelleberschrift"/>
                <w:rFonts w:ascii="Times New Roman" w:hAnsi="Times New Roman"/>
                <w:sz w:val="24"/>
              </w:rPr>
              <w:t>Zaktualizowana wycena księgowa wartości firmy jednostek zależnych wynikającej z konsolidacji jednostek zależnych, możliwej do przypisania osobom trzecim</w:t>
            </w:r>
          </w:p>
          <w:p w:rsidR="00D731E3" w:rsidRPr="00AA1421" w:rsidRDefault="0006415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37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CRR</w:t>
            </w:r>
          </w:p>
          <w:p w:rsidR="00D731E3" w:rsidRPr="00AA1421" w:rsidRDefault="00D731E3"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Kwota zaktualizowanej wyceny księgowej wartości firmy jednostek zależnych wynikającej z konsolidacji jednostek zależnych, możliwej do przypisania osobom innym niż przedsiębiorstwa objęte konsolidacją zgodnie z częścią pierwszą tytuł II rozdział 2.</w:t>
            </w:r>
          </w:p>
        </w:tc>
      </w:tr>
      <w:tr w:rsidR="00D731E3" w:rsidRPr="00AA1421" w:rsidTr="00D731E3">
        <w:tc>
          <w:tcPr>
            <w:tcW w:w="1129" w:type="dxa"/>
          </w:tcPr>
          <w:p w:rsidR="00D731E3" w:rsidRPr="00AA1421" w:rsidRDefault="003172C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0340</w:t>
            </w:r>
          </w:p>
        </w:tc>
        <w:tc>
          <w:tcPr>
            <w:tcW w:w="7620" w:type="dxa"/>
          </w:tcPr>
          <w:p w:rsidR="00D731E3" w:rsidRPr="00AA1421" w:rsidRDefault="00D731E3"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1.1.1.11</w:t>
            </w:r>
            <w:r w:rsidR="00744F50" w:rsidRPr="00AA1421">
              <w:rPr>
                <w:b/>
                <w:u w:val="single"/>
              </w:rPr>
              <w:tab/>
            </w:r>
            <w:r w:rsidRPr="00AA1421">
              <w:rPr>
                <w:rStyle w:val="InstructionsTabelleberschrift"/>
                <w:rFonts w:ascii="Times New Roman" w:hAnsi="Times New Roman"/>
                <w:sz w:val="24"/>
              </w:rPr>
              <w:t>(-) Inne wartości niematerialne i prawne</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15,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i c) CRR</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Inne wartości niematerialne i prawne to wartości niematerialne i prawne zgodnie z mającymi zastosowanie standardami rachunkowości, pomniejszone o wartość firmy, również zgodnie z mającymi zastosowanie standardami rachunkowości.</w:t>
            </w:r>
          </w:p>
        </w:tc>
      </w:tr>
      <w:tr w:rsidR="00D731E3" w:rsidRPr="00AA1421" w:rsidTr="00D731E3">
        <w:tc>
          <w:tcPr>
            <w:tcW w:w="1129" w:type="dxa"/>
          </w:tcPr>
          <w:p w:rsidR="00D731E3" w:rsidRPr="00AA1421" w:rsidRDefault="003172C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0350</w:t>
            </w:r>
          </w:p>
        </w:tc>
        <w:tc>
          <w:tcPr>
            <w:tcW w:w="7620" w:type="dxa"/>
          </w:tcPr>
          <w:p w:rsidR="00D731E3" w:rsidRPr="00AA1421" w:rsidRDefault="00D731E3"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1.1.1.11.1</w:t>
            </w:r>
            <w:r w:rsidR="00744F50" w:rsidRPr="00AA1421">
              <w:rPr>
                <w:b/>
                <w:u w:val="single"/>
              </w:rPr>
              <w:tab/>
            </w:r>
            <w:r w:rsidRPr="00AA1421">
              <w:rPr>
                <w:rStyle w:val="InstructionsTabelleberschrift"/>
                <w:rFonts w:ascii="Times New Roman" w:hAnsi="Times New Roman"/>
                <w:sz w:val="24"/>
              </w:rPr>
              <w:t>(-) Inne wartości niematerialne i prawne przed odliczeniem rezerw z tytułu odroczonego podatku dochodowego</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15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Inne wartości niematerialne i prawne to wartości niematerialne i prawne zgodnie z mającymi zastosowanie standardami rachunkowości, pomniejszone o wartość firmy, również zgodnie z mającymi zastosowanie standardami rachunkowości.</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tu zgłosić, odpowiada kwocie zgłoszonej w bilansie wartości niematerialnych i prawnych innych niż wartość firmy.</w:t>
            </w:r>
          </w:p>
        </w:tc>
      </w:tr>
      <w:tr w:rsidR="00D731E3" w:rsidRPr="00AA1421" w:rsidTr="00D731E3">
        <w:tc>
          <w:tcPr>
            <w:tcW w:w="1129" w:type="dxa"/>
          </w:tcPr>
          <w:p w:rsidR="00D731E3" w:rsidRPr="00AA1421" w:rsidRDefault="003172C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0360</w:t>
            </w:r>
          </w:p>
        </w:tc>
        <w:tc>
          <w:tcPr>
            <w:tcW w:w="7620" w:type="dxa"/>
          </w:tcPr>
          <w:p w:rsidR="00D731E3" w:rsidRPr="00AA1421" w:rsidRDefault="00D731E3"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1.1.1.11.2</w:t>
            </w:r>
            <w:r w:rsidR="00744F50" w:rsidRPr="00AA1421">
              <w:rPr>
                <w:b/>
                <w:u w:val="single"/>
              </w:rPr>
              <w:tab/>
            </w:r>
            <w:r w:rsidRPr="00AA1421">
              <w:rPr>
                <w:rStyle w:val="InstructionsTabelleberschrift"/>
                <w:rFonts w:ascii="Times New Roman" w:hAnsi="Times New Roman"/>
                <w:sz w:val="24"/>
              </w:rPr>
              <w:t>Rezerwy z tytułu odroczonego podatku dochodowego związane z innymi wartościami niematerialnymi i prawnymi</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37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D731E3" w:rsidRPr="00AA1421" w:rsidRDefault="00D731E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rezerwy z tytułu odroczonego podatku dochodowego, która byłaby rozwiązana w przypadku utraty wartości składnika aktywów w postaci wartości niematerialnych i prawnych innych niż wartość firmy lub wyłączenia z bilansu zgodnie z mającymi zastosowanie standardami rachunkowości.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0365</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1.1.1.11.3</w:t>
            </w:r>
            <w:r w:rsidR="00744F50" w:rsidRPr="00AA1421">
              <w:rPr>
                <w:b/>
                <w:u w:val="single"/>
              </w:rPr>
              <w:tab/>
            </w:r>
            <w:r w:rsidRPr="00AA1421">
              <w:rPr>
                <w:rStyle w:val="InstructionsTabelleberschrift"/>
                <w:rFonts w:ascii="Times New Roman" w:hAnsi="Times New Roman"/>
                <w:sz w:val="24"/>
              </w:rPr>
              <w:t>Zaktualizowana wycena księgowa innych wartości niematerialnych i prawnych jednostek zależnych wynikających z konsolidacji jednostek zależnych, możliwych do przypisania osobom trzecim</w:t>
            </w:r>
          </w:p>
          <w:p w:rsidR="0022315F" w:rsidRPr="00AA1421" w:rsidRDefault="0006415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37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Kwota zaktualizowanej wyceny księgowej wartości niematerialnych i prawnych innych niż wartość firmy jednostek zależnych wynikających z konsolidacji jednostek zależnych, możliwych do przypisania osobom innym niż </w:t>
            </w:r>
            <w:r w:rsidRPr="00AA1421">
              <w:rPr>
                <w:rStyle w:val="FormatvorlageInstructionsTabelleText"/>
                <w:rFonts w:ascii="Times New Roman" w:hAnsi="Times New Roman"/>
                <w:sz w:val="24"/>
              </w:rPr>
              <w:lastRenderedPageBreak/>
              <w:t>przedsiębiorstwa objęte konsolidacją zgodnie z częścią pierwszą tytuł II rozdział 2.</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0370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1.1.1.12</w:t>
            </w:r>
            <w:r w:rsidR="00744F50" w:rsidRPr="00AA1421">
              <w:rPr>
                <w:b/>
                <w:u w:val="single"/>
              </w:rPr>
              <w:tab/>
            </w:r>
            <w:r w:rsidRPr="00AA1421">
              <w:rPr>
                <w:rStyle w:val="InstructionsTabelleberschrift"/>
                <w:rFonts w:ascii="Times New Roman" w:hAnsi="Times New Roman"/>
                <w:sz w:val="24"/>
              </w:rPr>
              <w:t>(-) Aktywa z tytułu odroczonego podatku dochodowego oparte na przyszłej rentowności i niewynikające z różnic przejściowych po odliczeniu powiązanych rezerw z tytułu podatku dochodowego</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8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0380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1.1.1.13</w:t>
            </w:r>
            <w:r w:rsidR="00744F50" w:rsidRPr="00AA1421">
              <w:rPr>
                <w:b/>
                <w:u w:val="single"/>
              </w:rPr>
              <w:tab/>
            </w:r>
            <w:r w:rsidRPr="00AA1421">
              <w:rPr>
                <w:rStyle w:val="InstructionsTabelleberschrift"/>
                <w:rFonts w:ascii="Times New Roman" w:hAnsi="Times New Roman"/>
                <w:sz w:val="24"/>
              </w:rPr>
              <w:t>(-) Niedobór korekt z tytułu ryzyka kredytowego wobec oczekiwanych strat według metody IRB</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d)</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0, 158 i 159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Kwoty, którą należy zgłosić, „nie pomniejsza się o wzrost poziomu aktywów z tytułu odroczonego podatku dochodowego opartych na przyszłej rentowności ani o inne dodatkowe skutki podatkowe, jakie mogłyby wystąpić w przypadku wzrostu poziomu rezerw do poziomu oczekiwanych strat”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0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0390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w:t>
            </w:r>
            <w:r w:rsidR="00744F50" w:rsidRPr="00AA1421">
              <w:rPr>
                <w:b/>
                <w:u w:val="single"/>
              </w:rPr>
              <w:tab/>
            </w:r>
            <w:r w:rsidRPr="00AA1421">
              <w:rPr>
                <w:rStyle w:val="InstructionsTabelleberschrift"/>
                <w:rFonts w:ascii="Times New Roman" w:hAnsi="Times New Roman"/>
                <w:sz w:val="24"/>
              </w:rPr>
              <w:t>(-) Aktywa funduszu emerytalnego ze zdefiniowanymi świadczeniami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09,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1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0400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1.1.1.14.1</w:t>
            </w:r>
            <w:r w:rsidR="00744F50" w:rsidRPr="00AA1421">
              <w:rPr>
                <w:b/>
                <w:u w:val="single"/>
              </w:rPr>
              <w:tab/>
            </w:r>
            <w:r w:rsidRPr="00AA1421">
              <w:rPr>
                <w:rStyle w:val="InstructionsTabelleberschrift"/>
                <w:rFonts w:ascii="Times New Roman" w:hAnsi="Times New Roman"/>
                <w:sz w:val="24"/>
              </w:rPr>
              <w:t xml:space="preserve">(-) Aktywa funduszu emerytalnego ze zdefiniowanymi świadczeniami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09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Aktywa funduszu emerytalnego ze zdefiniowanymi świadczeniami definiuje się jako „w stosownych przypadkach, aktywa określonego funduszu lub programu emerytalnego, których wartość została obliczona po odjęciu od nich kwoty zobowiązań w ramach tego samego funduszu lub programu”.</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tu zgłosić, odpowiada kwocie zgłoszonej w bilansie (jeżeli zgłaszana jest oddzielnie).</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0410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1.1.1.14.2</w:t>
            </w:r>
            <w:r w:rsidR="00744F50" w:rsidRPr="00AA1421">
              <w:rPr>
                <w:b/>
                <w:u w:val="single"/>
              </w:rPr>
              <w:tab/>
            </w:r>
            <w:r w:rsidRPr="00AA1421">
              <w:rPr>
                <w:rStyle w:val="InstructionsTabelleberschrift"/>
                <w:rFonts w:ascii="Times New Roman" w:hAnsi="Times New Roman"/>
                <w:sz w:val="24"/>
              </w:rPr>
              <w:t>Rezerwy z tytułu odroczonego podatku dochodowego związane z aktywami funduszu emerytalnego ze zdefiniowanymi świadczeniami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08 i 109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1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rezerwy z tytułu odroczonego podatku dochodowego, która byłaby rozwiązana w przypadku utraty wartości aktywów funduszu emerytalnego ze zdefiniowanymi świadczeniami lub wyłączenia ich z bilansu zgodnie z mającymi zastosowanie standardami rachunkowości.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0420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1.1.1.14.3</w:t>
            </w:r>
            <w:r w:rsidR="00744F50" w:rsidRPr="00AA1421">
              <w:rPr>
                <w:b/>
                <w:u w:val="single"/>
              </w:rPr>
              <w:tab/>
            </w:r>
            <w:r w:rsidRPr="00AA1421">
              <w:rPr>
                <w:rStyle w:val="InstructionsTabelleberschrift"/>
                <w:rFonts w:ascii="Times New Roman" w:hAnsi="Times New Roman"/>
                <w:sz w:val="24"/>
              </w:rPr>
              <w:t>Aktywa funduszu emerytalnego ze zdefiniowanymi świadczeniami, które instytucja może wykorzystywać w nieograniczony sposób</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09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1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 pozycji tej zgłasza się jakąkolwiek kwotę tylko wtedy, gdy właściwy organ wcześniej zezwoli na zmniejszenie odliczanej kwoty aktywów funduszu emerytalnego ze zdefiniowanymi świadczeniami.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Aktywa ujęte w tym wierszu otrzymują wagę ryzyka dla celów wymogów z tytułu ryzyka kredytowego.</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0430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1.1.1.15</w:t>
            </w:r>
            <w:r w:rsidR="00744F50" w:rsidRPr="00AA1421">
              <w:rPr>
                <w:b/>
                <w:u w:val="single"/>
              </w:rPr>
              <w:tab/>
            </w:r>
            <w:r w:rsidRPr="00AA1421">
              <w:rPr>
                <w:rStyle w:val="InstructionsTabelleberschrift"/>
                <w:rFonts w:ascii="Times New Roman" w:hAnsi="Times New Roman"/>
                <w:sz w:val="24"/>
              </w:rPr>
              <w:t xml:space="preserve">(-) Krzyżowe powiązania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22,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g)</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4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Udziały kapitałowe w instrumentach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CRR), jeżeli istnieje krzyżowe powiązanie kapitałowe, uznane przez właściwy organ za mające na celu sztuczne zawyżanie funduszy własnych instytucji.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Kwotę, którą należy tu zgłosić, oblicza się na podstawie pozycji długich brutto i obejmuje ona pozycje ubezpieczeniowe funduszy własnych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0440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1.1.1.16</w:t>
            </w:r>
            <w:r w:rsidR="00744F50" w:rsidRPr="00AA1421">
              <w:rPr>
                <w:b/>
                <w:u w:val="single"/>
              </w:rPr>
              <w:tab/>
            </w:r>
            <w:r w:rsidRPr="00AA1421">
              <w:rPr>
                <w:rStyle w:val="InstructionsTabelleberschrift"/>
                <w:rFonts w:ascii="Times New Roman" w:hAnsi="Times New Roman"/>
                <w:sz w:val="24"/>
              </w:rPr>
              <w:t xml:space="preserve">(-) Nadwyżka odliczenia od pozycji dodatkowych w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ponad kapitał dodatkowy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j)</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jest uzyskiwana bezpośrednio z pozycji CA1 „Nadwyżka odliczenia od pozycji dodatkowych w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ponad kapitał dodatkowy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Kwotę tę należy odliczyć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0450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1.1.1.17</w:t>
            </w:r>
            <w:r w:rsidR="00744F50" w:rsidRPr="00AA1421">
              <w:rPr>
                <w:b/>
                <w:u w:val="single"/>
              </w:rPr>
              <w:tab/>
            </w:r>
            <w:r w:rsidRPr="00AA1421">
              <w:rPr>
                <w:rStyle w:val="InstructionsTabelleberschrift"/>
                <w:rFonts w:ascii="Times New Roman" w:hAnsi="Times New Roman"/>
                <w:sz w:val="24"/>
              </w:rPr>
              <w:t>(-) Znaczne pakiety akcji poza sektorem finansowym, które alternatywnie mogą podlegać stosowaniu wagi ryzyka 1 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i i)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8</w:t>
            </w:r>
            <w:r w:rsidRPr="00AA1421">
              <w:rPr>
                <w:rStyle w:val="FormatvorlageInstructionsTabelleText"/>
                <w:rFonts w:ascii="Times New Roman" w:hAnsi="Times New Roman"/>
                <w:sz w:val="24"/>
              </w:rPr>
              <w:t>9–91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Znaczny pakiet akcji definiuje się jako „posiadany bezpośredni lub pośredni udział w przedsiębiorstwie reprezentujący co najmniej 1</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kapitału lub praw głosu lub umożliwiający wywieranie znacznego wpływu na zarządzanie tym przedsiębiorstwem”.</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 CRR znaczne pakiety akcji można w ramach rozwiązania alternatywnego odliczyć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(używając tej pozycji) lub zastosować wobec nich wagę ryzyka równą 1 25</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0460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1.1.1.18</w:t>
            </w:r>
            <w:r w:rsidR="00744F50" w:rsidRPr="00AA1421">
              <w:rPr>
                <w:b/>
                <w:u w:val="single"/>
              </w:rPr>
              <w:tab/>
            </w:r>
            <w:r w:rsidRPr="00AA1421">
              <w:rPr>
                <w:rStyle w:val="InstructionsTabelleberschrift"/>
                <w:rFonts w:ascii="Times New Roman" w:hAnsi="Times New Roman"/>
                <w:sz w:val="24"/>
              </w:rPr>
              <w:t>(-) Pozycje sekurytyzacyjne, które alternatywnie mogą podlegać stosowaniu wagi ryzyka 125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244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45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53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CRR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 tej pozycji zgłasza się pozycje sekurytyzacyjne, które są objęte wagą ryzyka równą 1 25</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lecz które można alternatywnie odliczyć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(ii)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0470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1.1.1.19</w:t>
            </w:r>
            <w:r w:rsidR="00744F50" w:rsidRPr="00AA1421">
              <w:rPr>
                <w:b/>
                <w:u w:val="single"/>
              </w:rPr>
              <w:tab/>
            </w:r>
            <w:r w:rsidRPr="00AA1421">
              <w:rPr>
                <w:rStyle w:val="InstructionsTabelleberschrift"/>
                <w:rFonts w:ascii="Times New Roman" w:hAnsi="Times New Roman"/>
                <w:sz w:val="24"/>
              </w:rPr>
              <w:t>(-) Dostawy z późniejszym terminem rozliczenia, które alternatywnie mogą podlegać stosowaniu wagi ryzyka 1 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(iii)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79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Zgodnie z wymogami w zakresie funduszy własnych z tytułu ryzyka rozliczenia, dostawy z późniejszym terminem rozliczenia są objęte wagą ryzyka równą 1 25</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po</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 dniach od drugiej umownej płatności lub dostawie do wygaśnięcia transakcji. W ramach rozwiązania alternatywnego można je odliczyć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(iii) CRR). W tym ostatnim przypadku dostawy te zgłasza się w tej pozycji.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0471</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1.1.1.20</w:t>
            </w:r>
            <w:r w:rsidR="00744F50" w:rsidRPr="00AA1421">
              <w:rPr>
                <w:b/>
                <w:u w:val="single"/>
              </w:rPr>
              <w:tab/>
            </w:r>
            <w:r w:rsidRPr="00AA1421">
              <w:rPr>
                <w:rStyle w:val="InstructionsTabelleberschrift"/>
                <w:rFonts w:ascii="Times New Roman" w:hAnsi="Times New Roman"/>
                <w:sz w:val="24"/>
              </w:rPr>
              <w:t>(-) Pozycje w koszyku, w odniesieniu do których instytucja nie może określić wagi ryzyka przy zastosowaniu metody IRB oraz które alternatywnie mogą podlegać stosowaniu wagi ryzyka 1 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36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k)</w:t>
            </w:r>
            <w:r w:rsidRPr="00AA1421">
              <w:rPr>
                <w:rStyle w:val="InstructionsTabelleberschrift"/>
                <w:rFonts w:ascii="Times New Roman" w:hAnsi="Times New Roman"/>
                <w:b w:val="0"/>
                <w:sz w:val="24"/>
                <w:u w:val="none"/>
              </w:rPr>
              <w:t xml:space="preserve"> </w:t>
            </w:r>
            <w:proofErr w:type="spellStart"/>
            <w:r w:rsidRPr="00AA1421">
              <w:rPr>
                <w:rStyle w:val="InstructionsTabelleberschrift"/>
                <w:rFonts w:ascii="Times New Roman" w:hAnsi="Times New Roman"/>
                <w:b w:val="0"/>
                <w:sz w:val="24"/>
                <w:u w:val="none"/>
              </w:rPr>
              <w:t>ppkt</w:t>
            </w:r>
            <w:proofErr w:type="spellEnd"/>
            <w:r w:rsidRPr="00AA1421">
              <w:rPr>
                <w:rStyle w:val="InstructionsTabelleberschrift"/>
                <w:rFonts w:ascii="Times New Roman" w:hAnsi="Times New Roman"/>
                <w:b w:val="0"/>
                <w:sz w:val="24"/>
                <w:u w:val="none"/>
              </w:rPr>
              <w:t xml:space="preserve"> (iv)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53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8</w:t>
            </w:r>
            <w:r w:rsidRPr="00AA1421">
              <w:rPr>
                <w:rStyle w:val="InstructionsTabelleberschrift"/>
                <w:rFonts w:ascii="Times New Roman" w:hAnsi="Times New Roman"/>
                <w:b w:val="0"/>
                <w:sz w:val="24"/>
                <w:u w:val="none"/>
              </w:rPr>
              <w:t xml:space="preserve"> CRR</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FormatvorlageInstructionsTabelleText"/>
                <w:rFonts w:ascii="Times New Roman" w:hAnsi="Times New Roman"/>
                <w:sz w:val="24"/>
              </w:rPr>
              <w:t xml:space="preserve">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(iv) CRR, </w:t>
            </w:r>
            <w:r w:rsidRPr="00AA1421">
              <w:rPr>
                <w:rStyle w:val="InstructionsTabelleberschrift"/>
                <w:rFonts w:ascii="Times New Roman" w:hAnsi="Times New Roman"/>
                <w:b w:val="0"/>
                <w:sz w:val="24"/>
                <w:u w:val="none"/>
              </w:rPr>
              <w:t>(-) pozycje w koszyku, w odniesieniu do których instytucja nie może określić wagi ryzyka przy zastosowaniu metody IRB</w:t>
            </w:r>
            <w:r w:rsidRPr="00AA1421">
              <w:rPr>
                <w:rStyle w:val="FormatvorlageInstructionsTabelleText"/>
                <w:rFonts w:ascii="Times New Roman" w:hAnsi="Times New Roman"/>
                <w:sz w:val="24"/>
              </w:rPr>
              <w:t xml:space="preserve"> mogą alternatywnie podlegać odliczeniu z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(używając tej pozycji) lub stosowaniu wagi ryzyka 1 25</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0472</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1.1.1.21</w:t>
            </w:r>
            <w:r w:rsidR="00744F50" w:rsidRPr="00AA1421">
              <w:rPr>
                <w:b/>
                <w:u w:val="single"/>
              </w:rPr>
              <w:tab/>
            </w:r>
            <w:r w:rsidRPr="00AA1421">
              <w:rPr>
                <w:rStyle w:val="InstructionsTabelleberschrift"/>
                <w:rFonts w:ascii="Times New Roman" w:hAnsi="Times New Roman"/>
                <w:sz w:val="24"/>
              </w:rPr>
              <w:t>(-) Ekspozycje kapitałowe przy zastosowaniu metody modeli wewnętrznych, które alternatywnie mogą podlegać stosowaniu wagi ryzyka 1 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36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k)</w:t>
            </w:r>
            <w:r w:rsidRPr="00AA1421">
              <w:rPr>
                <w:rStyle w:val="InstructionsTabelleberschrift"/>
                <w:rFonts w:ascii="Times New Roman" w:hAnsi="Times New Roman"/>
                <w:b w:val="0"/>
                <w:sz w:val="24"/>
                <w:u w:val="none"/>
              </w:rPr>
              <w:t xml:space="preserve"> </w:t>
            </w:r>
            <w:proofErr w:type="spellStart"/>
            <w:r w:rsidRPr="00AA1421">
              <w:rPr>
                <w:rStyle w:val="InstructionsTabelleberschrift"/>
                <w:rFonts w:ascii="Times New Roman" w:hAnsi="Times New Roman"/>
                <w:b w:val="0"/>
                <w:sz w:val="24"/>
                <w:u w:val="none"/>
              </w:rPr>
              <w:t>ppkt</w:t>
            </w:r>
            <w:proofErr w:type="spellEnd"/>
            <w:r w:rsidRPr="00AA1421">
              <w:rPr>
                <w:rStyle w:val="InstructionsTabelleberschrift"/>
                <w:rFonts w:ascii="Times New Roman" w:hAnsi="Times New Roman"/>
                <w:b w:val="0"/>
                <w:sz w:val="24"/>
                <w:u w:val="none"/>
              </w:rPr>
              <w:t xml:space="preserve"> (v)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55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FormatvorlageInstructionsTabelleText"/>
                <w:rFonts w:ascii="Times New Roman" w:hAnsi="Times New Roman"/>
                <w:sz w:val="24"/>
              </w:rPr>
              <w:t xml:space="preserve">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k)</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(v) CRR </w:t>
            </w:r>
            <w:r w:rsidRPr="00AA1421">
              <w:rPr>
                <w:rStyle w:val="InstructionsTabelleberschrift"/>
                <w:rFonts w:ascii="Times New Roman" w:hAnsi="Times New Roman"/>
                <w:b w:val="0"/>
                <w:sz w:val="24"/>
                <w:u w:val="none"/>
              </w:rPr>
              <w:t>ekspozycje kapitałowe przy zastosowaniu metody modeli wewnętrznych</w:t>
            </w:r>
            <w:r w:rsidRPr="00AA1421">
              <w:rPr>
                <w:rStyle w:val="FormatvorlageInstructionsTabelleText"/>
                <w:rFonts w:ascii="Times New Roman" w:hAnsi="Times New Roman"/>
                <w:sz w:val="24"/>
              </w:rPr>
              <w:t xml:space="preserve"> można w ramach rozwiązania alternatywnego odliczyć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(używając tej pozycji) lub mogą one podlegać stosowaniu wagi ryzyka 1 25</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0480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1.1.1.22</w:t>
            </w:r>
            <w:r w:rsidR="00744F50" w:rsidRPr="00AA1421">
              <w:rPr>
                <w:b/>
                <w:u w:val="single"/>
              </w:rPr>
              <w:tab/>
            </w:r>
            <w:r w:rsidRPr="00AA1421">
              <w:rPr>
                <w:rStyle w:val="InstructionsTabelleberschrift"/>
                <w:rFonts w:ascii="Times New Roman" w:hAnsi="Times New Roman"/>
                <w:sz w:val="24"/>
              </w:rPr>
              <w:t xml:space="preserve">(-) Instrumenty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h)</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3–46,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9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i 3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7</w:t>
            </w:r>
            <w:r w:rsidRPr="00AA1421">
              <w:rPr>
                <w:rStyle w:val="FormatvorlageInstructionsTabelleText"/>
                <w:rFonts w:ascii="Times New Roman" w:hAnsi="Times New Roman"/>
                <w:sz w:val="24"/>
              </w:rPr>
              <w:t>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Część posiadanych przez instytucję udziałów kapitałowych w instrumentach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CRR) w przypadkach, gdy instytucja nie dokonała znacznej inwestycji w te podmioty, którą należy odliczyć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opcje alternatywne dotyczące odliczeń w przypadku zastosowania konsolidacji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9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i 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0490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1.1.1.23</w:t>
            </w:r>
            <w:r w:rsidR="00744F50" w:rsidRPr="00AA1421">
              <w:rPr>
                <w:b/>
                <w:u w:val="single"/>
              </w:rPr>
              <w:tab/>
            </w:r>
            <w:r w:rsidRPr="00AA1421">
              <w:rPr>
                <w:rStyle w:val="InstructionsTabelleberschrift"/>
                <w:rFonts w:ascii="Times New Roman" w:hAnsi="Times New Roman"/>
                <w:sz w:val="24"/>
              </w:rPr>
              <w:t>(-) Aktywa z tytułu odroczonego podatku dochodowego oparte na przyszłej rentowności i wynikające z różnic przejściowych</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Art. 38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Część aktywów z tytułu odroczonego podatku dochodowego opartych na przyszłej rentowności i wynikających z różnic przejściowych (po odliczeniu części powiązanych rezerw z tytułu odroczonego podatku dochodowego zakwalifikowanych do aktywów z tytułu odroczonego podatku dochodowego wynikających z różnic przejściowych), które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 należy odjąć, stosując próg 1</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określony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0500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1.1.1.24</w:t>
            </w:r>
            <w:r w:rsidR="00744F50" w:rsidRPr="00AA1421">
              <w:rPr>
                <w:b/>
                <w:u w:val="single"/>
              </w:rPr>
              <w:tab/>
            </w:r>
            <w:r w:rsidRPr="00AA1421">
              <w:rPr>
                <w:rStyle w:val="InstructionsTabelleberschrift"/>
                <w:rFonts w:ascii="Times New Roman" w:hAnsi="Times New Roman"/>
                <w:sz w:val="24"/>
              </w:rPr>
              <w:t xml:space="preserve">(-) Instrumenty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3, 45, 47,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9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2 i 3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7</w:t>
            </w:r>
            <w:r w:rsidRPr="00AA1421">
              <w:rPr>
                <w:rStyle w:val="FormatvorlageInstructionsTabelleText"/>
                <w:rFonts w:ascii="Times New Roman" w:hAnsi="Times New Roman"/>
                <w:sz w:val="24"/>
              </w:rPr>
              <w:t>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Część posiadanych przez instytucję udziałów kapitałowych w instrumentach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podmiotów sektora finansowego (zgodnie z </w:t>
            </w:r>
            <w:r w:rsidRPr="00AA1421">
              <w:rPr>
                <w:rStyle w:val="FormatvorlageInstructionsTabelleText"/>
                <w:rFonts w:ascii="Times New Roman" w:hAnsi="Times New Roman"/>
                <w:sz w:val="24"/>
              </w:rPr>
              <w:lastRenderedPageBreak/>
              <w:t xml:space="preserve">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CRR) w przypadkach, gdy instytucja dokonała znacznej inwestycji, którą to część należy odliczyć, stosując próg 1</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określony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opcje alternatywne dotyczące odliczeń w przypadku zastosowania konsolidacji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9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2 i 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0510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1.1.1.25</w:t>
            </w:r>
            <w:r w:rsidR="00744F50" w:rsidRPr="00AA1421">
              <w:rPr>
                <w:b/>
                <w:u w:val="single"/>
              </w:rPr>
              <w:tab/>
            </w:r>
            <w:r w:rsidRPr="00AA1421">
              <w:rPr>
                <w:rStyle w:val="InstructionsTabelleberschrift"/>
                <w:rFonts w:ascii="Times New Roman" w:hAnsi="Times New Roman"/>
                <w:sz w:val="24"/>
              </w:rPr>
              <w:t>(-) Kwota przekraczająca próg 17,6</w:t>
            </w:r>
            <w:r w:rsidRPr="00084F66">
              <w:rPr>
                <w:rStyle w:val="InstructionsTabelleberschrift"/>
                <w:rFonts w:ascii="Times New Roman" w:hAnsi="Times New Roman"/>
                <w:sz w:val="24"/>
              </w:rPr>
              <w:t>5</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48 ust. 2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Część aktywów z tytułu odroczonego podatku dochodowego opartych na przyszłej rentowności i wynikających z różnic przejściowych oraz posiadane przez instytucję bezpośrednie, pośrednie i syntetyczne udziały kapitałowe w instrumentach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CRR) w przypadkach, gdy instytucja dokonała znacznej inwestycji, którą to część należy odliczyć, stosując próg 17,6</w:t>
            </w:r>
            <w:r w:rsidRPr="00084F66">
              <w:rPr>
                <w:rStyle w:val="FormatvorlageInstructionsTabelleText"/>
                <w:rFonts w:ascii="Times New Roman" w:hAnsi="Times New Roman"/>
                <w:sz w:val="24"/>
              </w:rPr>
              <w:t>5</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określony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0511</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1.1.1.25.1</w:t>
            </w:r>
            <w:r w:rsidR="00744F50" w:rsidRPr="00AA1421">
              <w:rPr>
                <w:b/>
                <w:u w:val="single"/>
              </w:rPr>
              <w:tab/>
            </w:r>
            <w:r w:rsidRPr="00AA1421">
              <w:rPr>
                <w:rStyle w:val="InstructionsTabelleberschrift"/>
                <w:rFonts w:ascii="Times New Roman" w:hAnsi="Times New Roman"/>
                <w:sz w:val="24"/>
              </w:rPr>
              <w:t>(-) Kwota przekraczająca próg 17,6</w:t>
            </w:r>
            <w:r w:rsidRPr="00084F66">
              <w:rPr>
                <w:rStyle w:val="InstructionsTabelleberschrift"/>
                <w:rFonts w:ascii="Times New Roman" w:hAnsi="Times New Roman"/>
                <w:sz w:val="24"/>
              </w:rPr>
              <w:t>5</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 xml:space="preserve"> odnosząca się do instrumentów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0512</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1.1.1.25.2</w:t>
            </w:r>
            <w:r w:rsidR="00744F50" w:rsidRPr="00AA1421">
              <w:rPr>
                <w:b/>
                <w:u w:val="single"/>
              </w:rPr>
              <w:tab/>
            </w:r>
            <w:r w:rsidRPr="00AA1421">
              <w:rPr>
                <w:rStyle w:val="InstructionsTabelleberschrift"/>
                <w:rFonts w:ascii="Times New Roman" w:hAnsi="Times New Roman"/>
                <w:sz w:val="24"/>
              </w:rPr>
              <w:t>(-) Kwota przekraczająca próg 17,6</w:t>
            </w:r>
            <w:r w:rsidRPr="00084F66">
              <w:rPr>
                <w:rStyle w:val="InstructionsTabelleberschrift"/>
                <w:rFonts w:ascii="Times New Roman" w:hAnsi="Times New Roman"/>
                <w:sz w:val="24"/>
              </w:rPr>
              <w:t>5</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 xml:space="preserve"> odnosząca się do aktywów z tytułu odroczonego podatku dochodowego wynikających z różnic przejściowych</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0513</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1.1.1.25A (-) Niewystarczające pokrycie strat z tytułu ekspozycji nieobsługiwanych</w:t>
            </w:r>
          </w:p>
          <w:p w:rsidR="0022315F" w:rsidRPr="00AA1421" w:rsidRDefault="0044539D"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m)</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7c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0514</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1.1.1.25B (-) Braki z tytułu zobowiązań dotyczących wartości minimalnej</w:t>
            </w:r>
          </w:p>
          <w:p w:rsidR="0022315F" w:rsidRPr="00AA1421" w:rsidRDefault="0044539D"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n)</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32c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0515</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1.1.1.25C (-) Inne przewidywalne obciążenia podatkowe</w:t>
            </w:r>
          </w:p>
          <w:p w:rsidR="0022315F" w:rsidRPr="00AA1421" w:rsidRDefault="0044539D" w:rsidP="00487A02">
            <w:pPr>
              <w:pStyle w:val="InstructionsText"/>
              <w:rPr>
                <w:rStyle w:val="FormatvorlageInstructionsTabelleText"/>
                <w:rFonts w:ascii="Times New Roman" w:hAnsi="Times New Roman"/>
                <w:b/>
                <w:sz w:val="24"/>
              </w:rPr>
            </w:pPr>
            <w:r w:rsidRPr="00AA1421">
              <w:rPr>
                <w:rStyle w:val="FormatvorlageInstructionsTabelleText"/>
                <w:rFonts w:ascii="Times New Roman" w:hAnsi="Times New Roman"/>
                <w:sz w:val="24"/>
              </w:rPr>
              <w:t>Art.</w:t>
            </w:r>
            <w:r w:rsidRPr="00AA1421">
              <w:rPr>
                <w:rStyle w:val="FormatvorlageInstructionsTabelleText"/>
                <w:rFonts w:ascii="Times New Roman" w:hAnsi="Times New Roman"/>
                <w:b/>
                <w:sz w:val="24"/>
              </w:rPr>
              <w:t xml:space="preserve"> </w:t>
            </w:r>
            <w:r w:rsidRPr="00AA1421">
              <w:rPr>
                <w:rStyle w:val="FormatvorlageInstructionsTabelleText"/>
                <w:rFonts w:ascii="Times New Roman" w:hAnsi="Times New Roman"/>
                <w:sz w:val="24"/>
              </w:rPr>
              <w:t>36</w:t>
            </w:r>
            <w:r w:rsidRPr="00AA1421">
              <w:rPr>
                <w:rStyle w:val="FormatvorlageInstructionsTabelleText"/>
                <w:rFonts w:ascii="Times New Roman" w:hAnsi="Times New Roman"/>
                <w:b/>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b/>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l)</w:t>
            </w:r>
            <w:r w:rsidRPr="00AA1421">
              <w:rPr>
                <w:rStyle w:val="FormatvorlageInstructionsTabelleText"/>
                <w:rFonts w:ascii="Times New Roman" w:hAnsi="Times New Roman"/>
                <w:b/>
                <w:sz w:val="24"/>
              </w:rPr>
              <w:t xml:space="preserve"> </w:t>
            </w:r>
            <w:r w:rsidRPr="00AA1421">
              <w:rPr>
                <w:rStyle w:val="FormatvorlageInstructionsTabelleText"/>
                <w:rFonts w:ascii="Times New Roman" w:hAnsi="Times New Roman"/>
                <w:sz w:val="24"/>
              </w:rPr>
              <w:t>CRR</w:t>
            </w:r>
          </w:p>
          <w:p w:rsidR="0022315F" w:rsidRPr="00AA1421" w:rsidRDefault="0022315F"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Obciążenia podatkowe związane z pozycjami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dające się przewidzieć w momencie dokonywania wyliczenia inne niż obciążenia podatkowe uwzględnione już w dowolnych innych wierszach odzwierciedlających pozycje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poprzez obniżenie kwoty danej pozycji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0520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1.1.1.26</w:t>
            </w:r>
            <w:r w:rsidR="00744F50" w:rsidRPr="00AA1421">
              <w:rPr>
                <w:b/>
                <w:u w:val="single"/>
              </w:rPr>
              <w:tab/>
            </w:r>
            <w:r w:rsidRPr="00AA1421">
              <w:rPr>
                <w:rStyle w:val="InstructionsTabelleberschrift"/>
                <w:rFonts w:ascii="Times New Roman" w:hAnsi="Times New Roman"/>
                <w:sz w:val="24"/>
              </w:rPr>
              <w:t xml:space="preserve">Inne korekty w okresie przejściowym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469–478 i 481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Korekty odliczeń wynikające z przepisów przejściowych. Kwota, którą należy zgłosić,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0524</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1.1.1.27</w:t>
            </w:r>
            <w:r w:rsidR="00744F50" w:rsidRPr="00AA1421">
              <w:rPr>
                <w:b/>
                <w:u w:val="single"/>
              </w:rPr>
              <w:tab/>
            </w:r>
            <w:r w:rsidRPr="00AA1421">
              <w:rPr>
                <w:rStyle w:val="InstructionsTabelleberschrift"/>
                <w:rFonts w:ascii="Times New Roman" w:hAnsi="Times New Roman"/>
                <w:sz w:val="24"/>
              </w:rPr>
              <w:t xml:space="preserve">(-) Dodatkowe odliczenia od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 CRR</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0529</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1.1.1.28</w:t>
            </w:r>
            <w:r w:rsidR="00744F50" w:rsidRPr="00AA1421">
              <w:rPr>
                <w:b/>
                <w:u w:val="single"/>
              </w:rPr>
              <w:tab/>
            </w:r>
            <w:r w:rsidRPr="00AA1421">
              <w:rPr>
                <w:rStyle w:val="InstructionsTabelleberschrift"/>
                <w:rFonts w:ascii="Times New Roman" w:hAnsi="Times New Roman"/>
                <w:sz w:val="24"/>
              </w:rPr>
              <w:t xml:space="preserve">Elementy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lub odliczenia od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 inne</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Wiersz ten ma na celu zapewnienie elastyczności wyłącznie dla celów sprawozdawczości. Wprowadza się w nim dane w tych rzadkich przypadkach, gdy nie ma ostatecznej decyzji w sprawie zgłaszania poszczególnych pozycji kapitału/odliczeń we wzorze CA1. W konsekwencji wiersz ten wypełnia się tylko wtedy, gdy elementu kapitału podstawowego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 lub odliczenia od elementu kapitału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 nie można przypisać do żadnego z wierszy </w:t>
            </w:r>
            <w:r w:rsidRPr="00084F66">
              <w:rPr>
                <w:rStyle w:val="InstructionsTabelleberschrift"/>
                <w:rFonts w:ascii="Times New Roman" w:hAnsi="Times New Roman"/>
                <w:b w:val="0"/>
                <w:sz w:val="24"/>
                <w:u w:val="none"/>
              </w:rPr>
              <w:t>od</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0</w:t>
            </w:r>
            <w:r w:rsidRPr="00AA1421">
              <w:rPr>
                <w:rStyle w:val="InstructionsTabelleberschrift"/>
                <w:rFonts w:ascii="Times New Roman" w:hAnsi="Times New Roman"/>
                <w:b w:val="0"/>
                <w:sz w:val="24"/>
                <w:u w:val="none"/>
              </w:rPr>
              <w:t xml:space="preserve">20 </w:t>
            </w:r>
            <w:r w:rsidRPr="00084F66">
              <w:rPr>
                <w:rStyle w:val="InstructionsTabelleberschrift"/>
                <w:rFonts w:ascii="Times New Roman" w:hAnsi="Times New Roman"/>
                <w:b w:val="0"/>
                <w:sz w:val="24"/>
                <w:u w:val="none"/>
              </w:rPr>
              <w:t>do</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24. </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Wiersza tego nie używa się do uwzględniania pozycji kapitału/odliczeń, które nie są objęte zakresem stosowania CRR, w celu obliczenia współczynników wypłacalności (np. przypisania pozycji kapitału/odliczeń, które określono według przepisów krajowych, a które nie wchodzą w zakres stosowania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0530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w:t>
            </w:r>
            <w:r w:rsidR="00744F50" w:rsidRPr="00AA1421">
              <w:rPr>
                <w:b/>
                <w:u w:val="single"/>
              </w:rPr>
              <w:tab/>
            </w:r>
            <w:r w:rsidRPr="00AA1421">
              <w:rPr>
                <w:rStyle w:val="InstructionsTabelleberschrift"/>
                <w:rFonts w:ascii="Times New Roman" w:hAnsi="Times New Roman"/>
                <w:sz w:val="24"/>
              </w:rPr>
              <w:t>KAPITAŁ DODATKOWY TIER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61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0540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w:t>
            </w:r>
            <w:r w:rsidR="00744F50" w:rsidRPr="00AA1421">
              <w:rPr>
                <w:b/>
                <w:u w:val="single"/>
              </w:rPr>
              <w:tab/>
            </w:r>
            <w:r w:rsidRPr="00AA1421">
              <w:rPr>
                <w:rStyle w:val="InstructionsTabelleberschrift"/>
                <w:rFonts w:ascii="Times New Roman" w:hAnsi="Times New Roman"/>
                <w:sz w:val="24"/>
              </w:rPr>
              <w:t xml:space="preserve">Instrumenty kapitałowe kwalifikujące się jako kapitał dodatkowy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51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2, 53 i 54,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7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0551</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1.1.2.1.1</w:t>
            </w:r>
            <w:r w:rsidR="00744F50" w:rsidRPr="00AA1421">
              <w:rPr>
                <w:b/>
                <w:u w:val="single"/>
              </w:rPr>
              <w:tab/>
            </w:r>
            <w:r w:rsidRPr="00AA1421">
              <w:rPr>
                <w:rStyle w:val="InstructionsTabelleberschrift"/>
                <w:rFonts w:ascii="Times New Roman" w:hAnsi="Times New Roman"/>
                <w:sz w:val="24"/>
              </w:rPr>
              <w:t>W pełni opłacone, bezpośrednio wyemitowane instrumenty kapitałowe</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51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2, 53 i 54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nie obejmuje ażio emisyjnego związanego z instrumentami.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0560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1.1.2.1.2 (*)</w:t>
            </w:r>
            <w:r w:rsidR="00744F50" w:rsidRPr="00AA1421">
              <w:rPr>
                <w:b/>
                <w:u w:val="single"/>
              </w:rPr>
              <w:tab/>
            </w:r>
            <w:r w:rsidRPr="00AA1421">
              <w:rPr>
                <w:rStyle w:val="InstructionsTabelleberschrift"/>
                <w:rFonts w:ascii="Times New Roman" w:hAnsi="Times New Roman"/>
                <w:sz w:val="24"/>
              </w:rPr>
              <w:t>Pozycja uzupełniająca: nieuznane instrumenty kapitałowe</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e) i f)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Warunki określone w tych literach odzwierciedlają różne sytuacje dotyczące kapitału, które są odwracalne, a więc kwota tu zgłoszona może zostać uznana w kolejnych okresach.</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nie obejmuje ażio emisyjnego związanego z instrumentami.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0571</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1.1.2.1.3</w:t>
            </w:r>
            <w:r w:rsidR="00744F50" w:rsidRPr="00AA1421">
              <w:rPr>
                <w:b/>
                <w:u w:val="single"/>
              </w:rPr>
              <w:tab/>
            </w:r>
            <w:r w:rsidRPr="00AA1421">
              <w:rPr>
                <w:rStyle w:val="InstructionsTabelleberschrift"/>
                <w:rFonts w:ascii="Times New Roman" w:hAnsi="Times New Roman"/>
                <w:sz w:val="24"/>
              </w:rPr>
              <w:t>Ażio emisyjne</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51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Ażio emisyjne ma takie samo znaczenie jak w mających zastosowanie standardach rachunkowości.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w tej pozycji, stanowi część związaną z pozycją „W pełni opłacone, bezpośrednio wyemitowane instrumenty kapitałowe”.</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0580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1.1.2.1.4</w:t>
            </w:r>
            <w:r w:rsidR="00744F50" w:rsidRPr="00AA1421">
              <w:rPr>
                <w:b/>
                <w:u w:val="single"/>
              </w:rPr>
              <w:tab/>
            </w:r>
            <w:r w:rsidRPr="00AA1421">
              <w:rPr>
                <w:rStyle w:val="InstructionsTabelleberschrift"/>
                <w:rFonts w:ascii="Times New Roman" w:hAnsi="Times New Roman"/>
                <w:sz w:val="24"/>
              </w:rPr>
              <w:t xml:space="preserve">(-) Instrumenty własne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własne w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będące w posiadaniu instytucji lub grupy sprawozdającej na dzień sprawozdawczy. Z zastrzeżeniem wyjątków przewidzianych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W tym wierszu nie zgłasza się udziałów kapitałowych zaliczanych do „Nieuznanych instrumentów kapitałowych”.</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obejmuje ażio emisyjne związane z własnymi udziałami.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Pozycje 1.1.2.1.4–1.1.2.1.4.3 nie obejmują faktycznych ani warunkowych zobowiązań do zakupu instrumentów własnych w kapitale podstawowym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Faktyczne lub warunkowe zobowiązania do zakupu instrumentów własnych w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zgłasza się oddzielnie w pozycji 1.1.2.1.5.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0590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1.1.2.1.4.1</w:t>
            </w:r>
            <w:r w:rsidR="00744F50" w:rsidRPr="00AA1421">
              <w:rPr>
                <w:b/>
                <w:u w:val="single"/>
              </w:rPr>
              <w:tab/>
            </w:r>
            <w:r w:rsidRPr="00AA1421">
              <w:rPr>
                <w:rStyle w:val="InstructionsTabelleberschrift"/>
                <w:rFonts w:ascii="Times New Roman" w:hAnsi="Times New Roman"/>
                <w:sz w:val="24"/>
              </w:rPr>
              <w:t xml:space="preserve">(-) Bezpośrednie udziały kapitałowe w instrumentach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44,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w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objęte pozycją 1.1.2.1.1 i będące w posiadaniu instytucji należących do skonsolidowanej grupy. </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0620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1.1.2.1.4.2</w:t>
            </w:r>
            <w:r w:rsidR="00744F50" w:rsidRPr="00AA1421">
              <w:rPr>
                <w:b/>
                <w:u w:val="single"/>
              </w:rPr>
              <w:tab/>
            </w:r>
            <w:r w:rsidRPr="00AA1421">
              <w:rPr>
                <w:rStyle w:val="InstructionsTabelleberschrift"/>
                <w:rFonts w:ascii="Times New Roman" w:hAnsi="Times New Roman"/>
                <w:sz w:val="24"/>
              </w:rPr>
              <w:t xml:space="preserve">(-) Pośrednie udziały kapitałowe w instrumentach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7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0621</w:t>
            </w:r>
          </w:p>
        </w:tc>
        <w:tc>
          <w:tcPr>
            <w:tcW w:w="7620" w:type="dxa"/>
          </w:tcPr>
          <w:p w:rsidR="0022315F" w:rsidRPr="00AA1421" w:rsidRDefault="0022315F" w:rsidP="00487A02">
            <w:pPr>
              <w:pStyle w:val="InstructionsText"/>
            </w:pPr>
            <w:r w:rsidRPr="00AA1421">
              <w:rPr>
                <w:rStyle w:val="InstructionsTabelleberschrift"/>
                <w:rFonts w:ascii="Times New Roman" w:hAnsi="Times New Roman"/>
                <w:sz w:val="24"/>
              </w:rPr>
              <w:t>1.1.2.1.4.3</w:t>
            </w:r>
            <w:r w:rsidR="00744F50" w:rsidRPr="00AA1421">
              <w:rPr>
                <w:b/>
                <w:u w:val="single"/>
              </w:rPr>
              <w:tab/>
            </w:r>
            <w:r w:rsidRPr="00AA1421">
              <w:rPr>
                <w:rStyle w:val="InstructionsTabelleberschrift"/>
                <w:rFonts w:ascii="Times New Roman" w:hAnsi="Times New Roman"/>
                <w:sz w:val="24"/>
              </w:rPr>
              <w:t xml:space="preserve">(-) Syntetyczne udziały kapitałowe w instrumentach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w:t>
            </w:r>
            <w:r w:rsidRPr="00084F66">
              <w:t>art.</w:t>
            </w:r>
            <w:r w:rsidR="00084F66" w:rsidRPr="00084F66">
              <w:t> </w:t>
            </w:r>
            <w:r w:rsidRPr="00084F66">
              <w:t>5</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b)</w:t>
            </w:r>
            <w:r w:rsidRPr="00AA1421">
              <w:t xml:space="preserve">, </w:t>
            </w:r>
            <w:r w:rsidRPr="00084F66">
              <w:t>art.</w:t>
            </w:r>
            <w:r w:rsidR="00084F66" w:rsidRPr="00084F66">
              <w:t> </w:t>
            </w:r>
            <w:r w:rsidRPr="00084F66">
              <w:t>5</w:t>
            </w:r>
            <w:r w:rsidRPr="00AA1421">
              <w:t xml:space="preserve">6 </w:t>
            </w:r>
            <w:r w:rsidRPr="00084F66">
              <w:t>lit.</w:t>
            </w:r>
            <w:r w:rsidR="00084F66" w:rsidRPr="00084F66">
              <w:t> </w:t>
            </w:r>
            <w:r w:rsidRPr="00084F66">
              <w:t>a)</w:t>
            </w:r>
            <w:r w:rsidRPr="00AA1421">
              <w:t xml:space="preserve"> oraz </w:t>
            </w:r>
            <w:r w:rsidRPr="00084F66">
              <w:t>art.</w:t>
            </w:r>
            <w:r w:rsidR="00084F66" w:rsidRPr="00084F66">
              <w:t> </w:t>
            </w:r>
            <w:r w:rsidRPr="00084F66">
              <w:t>5</w:t>
            </w:r>
            <w:r w:rsidRPr="00AA1421">
              <w:t>7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0622</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1.1.2.1.5</w:t>
            </w:r>
            <w:r w:rsidR="00744F50" w:rsidRPr="00AA1421">
              <w:rPr>
                <w:b/>
                <w:u w:val="single"/>
              </w:rPr>
              <w:tab/>
            </w:r>
            <w:r w:rsidRPr="00AA1421">
              <w:rPr>
                <w:rStyle w:val="InstructionsTabelleberschrift"/>
                <w:rFonts w:ascii="Times New Roman" w:hAnsi="Times New Roman"/>
                <w:sz w:val="24"/>
              </w:rPr>
              <w:t xml:space="preserve">(-) Faktyczne lub warunkowe zobowiązania do zakupu instrumentów własnych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56 pkt a)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6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 </w:t>
            </w:r>
            <w:r w:rsidRPr="00AA1421">
              <w:t xml:space="preserve">odlicza się udziały kapitałowe we „własnych instrumentach dodatkowych w </w:t>
            </w:r>
            <w:proofErr w:type="spellStart"/>
            <w:r w:rsidRPr="00AA1421">
              <w:t>Tier</w:t>
            </w:r>
            <w:proofErr w:type="spellEnd"/>
            <w:r w:rsidRPr="00AA1421">
              <w:t xml:space="preserve"> I, które instytucja mogłaby mieć obowiązek kupić na mocy istniejących zobowiązań umownych”.</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0660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1.1.2.2</w:t>
            </w:r>
            <w:r w:rsidR="00744F50" w:rsidRPr="00AA1421">
              <w:rPr>
                <w:b/>
                <w:u w:val="single"/>
              </w:rPr>
              <w:tab/>
            </w:r>
            <w:r w:rsidRPr="00AA1421">
              <w:rPr>
                <w:rStyle w:val="InstructionsTabelleberschrift"/>
                <w:rFonts w:ascii="Times New Roman" w:hAnsi="Times New Roman"/>
                <w:sz w:val="24"/>
              </w:rPr>
              <w:t xml:space="preserve">Korekty w okresie przejściowym z tytułu instrumentów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podlegających zasadzie praw nabytych</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483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i 5,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84–487,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89 i 491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instrumentów kapitałowych podlegających w okresie przejściowym zasadzie praw nabytych jako kapitał dodatkowy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Kwota, którą należy zgłosić,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0670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1.1.2.3</w:t>
            </w:r>
            <w:r w:rsidR="00744F50" w:rsidRPr="00AA1421">
              <w:rPr>
                <w:b/>
                <w:u w:val="single"/>
              </w:rPr>
              <w:tab/>
            </w:r>
            <w:r w:rsidRPr="00AA1421">
              <w:rPr>
                <w:rStyle w:val="InstructionsTabelleberschrift"/>
                <w:rFonts w:ascii="Times New Roman" w:hAnsi="Times New Roman"/>
                <w:sz w:val="24"/>
              </w:rPr>
              <w:t xml:space="preserve">Instrumenty emitowane przez jednostki zależne ujmowane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83, 85 i 86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Suma wszystkich kwot kwalifikującego się kapitału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jednostek zależnych uwzględniona w skonsolidowanym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Uwzględniany jest kwalifikujący się kapitał dodatkowy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emitowany przez jednostkę specjalnego przeznaczenia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8</w:t>
            </w:r>
            <w:r w:rsidRPr="00AA1421">
              <w:rPr>
                <w:rStyle w:val="FormatvorlageInstructionsTabelleText"/>
                <w:rFonts w:ascii="Times New Roman" w:hAnsi="Times New Roman"/>
                <w:sz w:val="24"/>
              </w:rPr>
              <w:t>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0680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1.1.2.4</w:t>
            </w:r>
            <w:r w:rsidR="00744F50" w:rsidRPr="00AA1421">
              <w:rPr>
                <w:b/>
                <w:u w:val="single"/>
              </w:rPr>
              <w:tab/>
            </w:r>
            <w:r w:rsidRPr="00AA1421">
              <w:rPr>
                <w:rStyle w:val="InstructionsTabelleberschrift"/>
                <w:rFonts w:ascii="Times New Roman" w:hAnsi="Times New Roman"/>
                <w:sz w:val="24"/>
              </w:rPr>
              <w:t xml:space="preserve">Korekty w okresie przejściowym z tytułu dodatkowego ujęcia instrumentów emitowanych przez jednostki zależne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Art. 480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Korekty kwalifikującego się kapitału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uwzględnionego w skonsolidowanym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wynikające z przepisów przejściowych. Pozycja ta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0690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1.1.2.5</w:t>
            </w:r>
            <w:r w:rsidR="00744F50" w:rsidRPr="00AA1421">
              <w:rPr>
                <w:b/>
                <w:u w:val="single"/>
              </w:rPr>
              <w:tab/>
            </w:r>
            <w:r w:rsidRPr="00AA1421">
              <w:rPr>
                <w:rStyle w:val="InstructionsTabelleberschrift"/>
                <w:rFonts w:ascii="Times New Roman" w:hAnsi="Times New Roman"/>
                <w:sz w:val="24"/>
              </w:rPr>
              <w:t xml:space="preserve">(-) Krzyżowe powiązania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22,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8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Udziały kapitałowe w instrumentach w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CRR), jeżeli istnieje krzyżowe powiązanie kapitałowe, uznane przez właściwy organ za mające na celu sztuczne zawyżanie funduszy własnych instytucji.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Kwotę, którą należy tu zgłosić, oblicza się na podstawie pozycji długich brutto i obejmuje ona dodatkowe pozycje ubezpieczeniowe funduszy własnych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0700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1.1.2.6</w:t>
            </w:r>
            <w:r w:rsidR="00744F50" w:rsidRPr="00AA1421">
              <w:rPr>
                <w:b/>
                <w:u w:val="single"/>
              </w:rPr>
              <w:tab/>
            </w:r>
            <w:r w:rsidRPr="00AA1421">
              <w:rPr>
                <w:rStyle w:val="InstructionsTabelleberschrift"/>
                <w:rFonts w:ascii="Times New Roman" w:hAnsi="Times New Roman"/>
                <w:sz w:val="24"/>
              </w:rPr>
              <w:t xml:space="preserve">(-) Instrumenty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9, 60 i 79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Część posiadanych przez instytucję udziałów kapitałowych w instrumentach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CRR) w przypadkach, gdy instytucja nie dokonała znacznej inwestycji w te podmioty, którą należy odliczyć od kapitału dodatkowego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0710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1.1.2.7</w:t>
            </w:r>
            <w:r w:rsidR="00744F50" w:rsidRPr="00AA1421">
              <w:rPr>
                <w:b/>
                <w:u w:val="single"/>
              </w:rPr>
              <w:tab/>
            </w:r>
            <w:r w:rsidRPr="00AA1421">
              <w:rPr>
                <w:rStyle w:val="InstructionsTabelleberschrift"/>
                <w:rFonts w:ascii="Times New Roman" w:hAnsi="Times New Roman"/>
                <w:sz w:val="24"/>
              </w:rPr>
              <w:t xml:space="preserve">(-) Instrumenty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d)</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5</w:t>
            </w:r>
            <w:r w:rsidRPr="00AA1421">
              <w:rPr>
                <w:rStyle w:val="FormatvorlageInstructionsTabelleText"/>
                <w:rFonts w:ascii="Times New Roman" w:hAnsi="Times New Roman"/>
                <w:sz w:val="24"/>
              </w:rPr>
              <w:t>9 i 79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Posiadane przez instytucję udziały kapitałowe w instrumentach w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CRR) są całkowicie odliczane w przypadkach, gdy instytucja dokonała znacznej inwestycji.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0720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1.1.2.8</w:t>
            </w:r>
            <w:r w:rsidR="00744F50" w:rsidRPr="00AA1421">
              <w:rPr>
                <w:b/>
                <w:u w:val="single"/>
              </w:rPr>
              <w:tab/>
            </w:r>
            <w:r w:rsidRPr="00AA1421">
              <w:rPr>
                <w:rStyle w:val="InstructionsTabelleberschrift"/>
                <w:rFonts w:ascii="Times New Roman" w:hAnsi="Times New Roman"/>
                <w:sz w:val="24"/>
              </w:rPr>
              <w:t xml:space="preserve">(-) Nadwyżka odliczenia od pozycji w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ponad kapitał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jest uzyskiwana bezpośrednio z pozycji CA1 „Nadwyżka odliczenia od pozycji w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ponad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(odliczenie w kapitale dodatkowym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0730</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1.1.2.9</w:t>
            </w:r>
            <w:r w:rsidR="00744F50" w:rsidRPr="00AA1421">
              <w:rPr>
                <w:b/>
                <w:u w:val="single"/>
              </w:rPr>
              <w:tab/>
            </w:r>
            <w:r w:rsidRPr="00AA1421">
              <w:rPr>
                <w:rStyle w:val="InstructionsTabelleberschrift"/>
                <w:rFonts w:ascii="Times New Roman" w:hAnsi="Times New Roman"/>
                <w:sz w:val="24"/>
              </w:rPr>
              <w:t xml:space="preserve">Inne korekty w okresie przejściowym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472, 473a, 474, 475, 478 i 481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Korekty wynikające z przepisów przejściowych. Kwota, którą należy zgłosić,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0740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1.1.2.10</w:t>
            </w:r>
            <w:r w:rsidR="00744F50" w:rsidRPr="00AA1421">
              <w:rPr>
                <w:b/>
                <w:u w:val="single"/>
              </w:rPr>
              <w:tab/>
            </w:r>
            <w:r w:rsidRPr="00AA1421">
              <w:rPr>
                <w:rStyle w:val="InstructionsTabelleberschrift"/>
                <w:rFonts w:ascii="Times New Roman" w:hAnsi="Times New Roman"/>
                <w:sz w:val="24"/>
              </w:rPr>
              <w:t xml:space="preserve">Nadwyżka odliczenia od pozycji dodatkowych w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ponad kapitał dodatkowy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(odliczenie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j)</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Dodatkowy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nie może mieć wartości ujemnej, ale możliwa jest sytuacja, w której odliczenia od pozycji dodatkowych w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mają większą wartość niż kapitał dodatkowy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powiększony o powiązane ażio emisyjne. W taki przypadku wartość kapitału dodatkowego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musi być równa zeru, a nadwyżkę odliczenia od pozycji dodatkowych w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 należy odjąć od kapitału podstawowego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Wskutek tej pozycji suma pozycji </w:t>
            </w:r>
            <w:r w:rsidRPr="00084F66">
              <w:rPr>
                <w:rStyle w:val="FormatvorlageInstructionsTabelleText"/>
                <w:rFonts w:ascii="Times New Roman" w:hAnsi="Times New Roman"/>
                <w:sz w:val="24"/>
              </w:rPr>
              <w:t>od</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.1.2.1 </w:t>
            </w:r>
            <w:r w:rsidRPr="00084F66">
              <w:rPr>
                <w:rStyle w:val="FormatvorlageInstructionsTabelleText"/>
                <w:rFonts w:ascii="Times New Roman" w:hAnsi="Times New Roman"/>
                <w:sz w:val="24"/>
              </w:rPr>
              <w:t>do</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.1.2.12 nigdy nie jest mniejsza od zera. Jeżeli jednak w pozycji tej podana jest wartość dodatnia, w pozycji 1.1.1.16 widnieje odwrotność tej liczby.</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0744</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1.1.2.11</w:t>
            </w:r>
            <w:r w:rsidR="00744F50" w:rsidRPr="00AA1421">
              <w:rPr>
                <w:b/>
                <w:u w:val="single"/>
              </w:rPr>
              <w:tab/>
            </w:r>
            <w:r w:rsidRPr="00AA1421">
              <w:rPr>
                <w:rStyle w:val="InstructionsTabelleberschrift"/>
                <w:rFonts w:ascii="Times New Roman" w:hAnsi="Times New Roman"/>
                <w:sz w:val="24"/>
              </w:rPr>
              <w:t xml:space="preserve">(-) Dodatkowe odliczenia od kapitału dodatkowego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 CRR</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0748</w:t>
            </w:r>
          </w:p>
        </w:tc>
        <w:tc>
          <w:tcPr>
            <w:tcW w:w="7620" w:type="dxa"/>
          </w:tcPr>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sz w:val="24"/>
              </w:rPr>
              <w:t>1.1.2.12</w:t>
            </w:r>
            <w:r w:rsidR="00744F50" w:rsidRPr="00AA1421">
              <w:rPr>
                <w:b/>
                <w:u w:val="single"/>
              </w:rPr>
              <w:tab/>
            </w:r>
            <w:r w:rsidRPr="00AA1421">
              <w:rPr>
                <w:rStyle w:val="InstructionsTabelleberschrift"/>
                <w:rFonts w:ascii="Times New Roman" w:hAnsi="Times New Roman"/>
                <w:sz w:val="24"/>
              </w:rPr>
              <w:t xml:space="preserve">Elementy kapitału dodatkowego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lub odliczenia od kapitału dodatkowego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 inne</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Wiersz ten ma na celu zapewnienie elastyczności wyłącznie dla celów sprawozdawczości. Wprowadza się w nim dane w tych rzadkich przypadkach, gdy nie ma ostatecznej decyzji w sprawie zgłaszania poszczególnych pozycji kapitału/odliczeń we wzorze CA1. W konsekwencji wiersz ten wypełnia się tylko wtedy, gdy elementu kapitału dodatkowego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 lub odliczenia od elementu kapitału dodatkowego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 nie można przypisać do żadnego z wierszy </w:t>
            </w:r>
            <w:r w:rsidRPr="00084F66">
              <w:rPr>
                <w:rStyle w:val="InstructionsTabelleberschrift"/>
                <w:rFonts w:ascii="Times New Roman" w:hAnsi="Times New Roman"/>
                <w:b w:val="0"/>
                <w:sz w:val="24"/>
                <w:u w:val="none"/>
              </w:rPr>
              <w:t>od</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30 </w:t>
            </w:r>
            <w:r w:rsidRPr="00084F66">
              <w:rPr>
                <w:rStyle w:val="InstructionsTabelleberschrift"/>
                <w:rFonts w:ascii="Times New Roman" w:hAnsi="Times New Roman"/>
                <w:b w:val="0"/>
                <w:sz w:val="24"/>
                <w:u w:val="none"/>
              </w:rPr>
              <w:t>do</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7</w:t>
            </w:r>
            <w:r w:rsidRPr="00AA1421">
              <w:rPr>
                <w:rStyle w:val="InstructionsTabelleberschrift"/>
                <w:rFonts w:ascii="Times New Roman" w:hAnsi="Times New Roman"/>
                <w:b w:val="0"/>
                <w:sz w:val="24"/>
                <w:u w:val="none"/>
              </w:rPr>
              <w:t xml:space="preserve">44. </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Wiersza tego nie używa się do uwzględniania pozycji kapitału/odliczeń, które nie są objęte zakresem stosowania CRR, w celu obliczenia współczynników wypłacalności (np. przypisania pozycji kapitału/odliczeń, które określono według przepisów krajowych, a które nie wchodzą w zakres stosowania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0750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w:t>
            </w:r>
            <w:r w:rsidR="00744F50" w:rsidRPr="00AA1421">
              <w:rPr>
                <w:b/>
                <w:u w:val="single"/>
              </w:rPr>
              <w:tab/>
            </w:r>
            <w:r w:rsidRPr="00AA1421">
              <w:rPr>
                <w:rStyle w:val="InstructionsTabelleberschrift"/>
                <w:rFonts w:ascii="Times New Roman" w:hAnsi="Times New Roman"/>
                <w:sz w:val="24"/>
              </w:rPr>
              <w:t>KAPITAŁ TIER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71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0760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w:t>
            </w:r>
            <w:r w:rsidR="00744F50" w:rsidRPr="00AA1421">
              <w:rPr>
                <w:b/>
                <w:u w:val="single"/>
              </w:rPr>
              <w:tab/>
            </w:r>
            <w:r w:rsidRPr="00AA1421">
              <w:rPr>
                <w:rStyle w:val="InstructionsTabelleberschrift"/>
                <w:rFonts w:ascii="Times New Roman" w:hAnsi="Times New Roman"/>
                <w:sz w:val="24"/>
              </w:rPr>
              <w:t xml:space="preserve">Instrumenty kapitałowe kwalifikujące się jako kapitał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62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3–65,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0771</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1.2.1.1</w:t>
            </w:r>
            <w:r w:rsidR="00744F50" w:rsidRPr="00AA1421">
              <w:rPr>
                <w:b/>
                <w:u w:val="single"/>
              </w:rPr>
              <w:tab/>
            </w:r>
            <w:r w:rsidRPr="00AA1421">
              <w:rPr>
                <w:rStyle w:val="InstructionsTabelleberschrift"/>
                <w:rFonts w:ascii="Times New Roman" w:hAnsi="Times New Roman"/>
                <w:sz w:val="24"/>
              </w:rPr>
              <w:t>W pełni opłacone, bezpośrednio wyemitowane instrumenty kapitałowe</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62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3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5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nie obejmuje ażio emisyjnego związanego z instrumentami.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Takie instrumenty kapitałowe mogą obejmować kapitał własny lub zobowiązania, w tym pożyczki podporządkowane, które spełniają kryteria kwalifikowalności.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0780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1.2.1.2 (*)</w:t>
            </w:r>
            <w:r w:rsidR="00744F50" w:rsidRPr="00AA1421">
              <w:rPr>
                <w:b/>
                <w:u w:val="single"/>
              </w:rPr>
              <w:tab/>
            </w:r>
            <w:r w:rsidRPr="00AA1421">
              <w:rPr>
                <w:rStyle w:val="InstructionsTabelleberschrift"/>
                <w:rFonts w:ascii="Times New Roman" w:hAnsi="Times New Roman"/>
                <w:sz w:val="24"/>
              </w:rPr>
              <w:t>Pozycja uzupełniająca: Nieuznane instrumenty</w:t>
            </w:r>
            <w:r w:rsidRPr="00AA1421">
              <w:t xml:space="preserve"> </w:t>
            </w:r>
            <w:r w:rsidRPr="00AA1421">
              <w:rPr>
                <w:rStyle w:val="InstructionsTabelleberschrift"/>
                <w:rFonts w:ascii="Times New Roman" w:hAnsi="Times New Roman"/>
                <w:sz w:val="24"/>
              </w:rPr>
              <w:t>kapitałowe</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Art. 63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e) i f)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4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Warunki określone w tych literach odzwierciedlają różne sytuacje dotyczące kapitału, które są odwracalne, a więc kwota tu zgłoszona może zostać uznana w kolejnych okresach.</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nie obejmuje ażio emisyjnego związanego z instrumentami.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Takie instrumenty kapitałowe mogą obejmować kapitał własny lub zobowiązania, w tym pożyczki podporządkowane.</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0791</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1.2.1.3</w:t>
            </w:r>
            <w:r w:rsidR="00744F50" w:rsidRPr="00AA1421">
              <w:rPr>
                <w:b/>
                <w:u w:val="single"/>
              </w:rPr>
              <w:tab/>
            </w:r>
            <w:r w:rsidRPr="00AA1421">
              <w:rPr>
                <w:rStyle w:val="InstructionsTabelleberschrift"/>
                <w:rFonts w:ascii="Times New Roman" w:hAnsi="Times New Roman"/>
                <w:sz w:val="24"/>
              </w:rPr>
              <w:t>Ażio emisyjne</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62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5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Ażio emisyjne ma takie samo znaczenie jak w mających zastosowanie standardach rachunkowości.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w tej pozycji, stanowi część związaną z pozycją „W pełni opłacone, bezpośrednio wyemitowane instrumenty kapitałowe”.</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0800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1.2.1.4</w:t>
            </w:r>
            <w:r w:rsidR="00744F50" w:rsidRPr="00AA1421">
              <w:rPr>
                <w:b/>
                <w:u w:val="single"/>
              </w:rPr>
              <w:tab/>
            </w:r>
            <w:r w:rsidRPr="00AA1421">
              <w:rPr>
                <w:rStyle w:val="InstructionsTabelleberschrift"/>
                <w:rFonts w:ascii="Times New Roman" w:hAnsi="Times New Roman"/>
                <w:sz w:val="24"/>
              </w:rPr>
              <w:t xml:space="preserve">(-) Instrumenty własne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63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własne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będące w posiadaniu instytucji lub grupy sprawozdającej na dzień sprawozdawczy. Z zastrzeżeniem wyjątków przewidzianych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W tym wierszu nie zgłasza się udziałów kapitałowych zaliczanych do „Nieuznanych instrumentów kapitałowych”.</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Kwota, którą należy zgłosić, obejmuje ażio emisyjne związane z własnymi udziałami.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Pozycje 1.2.1.4–1.2.1.4.3 nie obejmują faktycznych ani warunkowych zobowiązań do zakupu instrumentów własnych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Faktyczne lub warunkowe zobowiązania do zakupu instrumentów własnych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zgłasza się oddzielnie w pozycji 1.2.1.5.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0810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1.2.1.4.1</w:t>
            </w:r>
            <w:r w:rsidR="00744F50" w:rsidRPr="00AA1421">
              <w:rPr>
                <w:b/>
                <w:u w:val="single"/>
              </w:rPr>
              <w:tab/>
            </w:r>
            <w:r w:rsidRPr="00AA1421">
              <w:rPr>
                <w:rStyle w:val="InstructionsTabelleberschrift"/>
                <w:rFonts w:ascii="Times New Roman" w:hAnsi="Times New Roman"/>
                <w:sz w:val="24"/>
              </w:rPr>
              <w:t xml:space="preserve">(-) Bezpośrednie udziały kapitałowe w instrumentach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63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Instrumenty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objęte pozycją 1.2.1.1 i będące w posiadaniu instytucji należących do skonsolidowanej grupy. </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0840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1.2.1.4.2</w:t>
            </w:r>
            <w:r w:rsidR="00744F50" w:rsidRPr="00AA1421">
              <w:rPr>
                <w:b/>
                <w:u w:val="single"/>
              </w:rPr>
              <w:tab/>
            </w:r>
            <w:r w:rsidRPr="00AA1421">
              <w:rPr>
                <w:rStyle w:val="InstructionsTabelleberschrift"/>
                <w:rFonts w:ascii="Times New Roman" w:hAnsi="Times New Roman"/>
                <w:sz w:val="24"/>
              </w:rPr>
              <w:t xml:space="preserve">(-) Pośrednie udziały kapitałowe w instrumentach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14,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3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0841</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1.2.1.4.3</w:t>
            </w:r>
            <w:r w:rsidR="00744F50" w:rsidRPr="00AA1421">
              <w:rPr>
                <w:b/>
                <w:u w:val="single"/>
              </w:rPr>
              <w:tab/>
            </w:r>
            <w:r w:rsidRPr="00AA1421">
              <w:rPr>
                <w:rStyle w:val="InstructionsTabelleberschrift"/>
                <w:rFonts w:ascii="Times New Roman" w:hAnsi="Times New Roman"/>
                <w:sz w:val="24"/>
              </w:rPr>
              <w:t xml:space="preserve">(-) Syntetyczne udziały kapitałowe w instrumentach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26,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3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0842</w:t>
            </w:r>
          </w:p>
        </w:tc>
        <w:tc>
          <w:tcPr>
            <w:tcW w:w="7620" w:type="dxa"/>
          </w:tcPr>
          <w:p w:rsidR="0022315F" w:rsidRPr="00AA1421" w:rsidRDefault="0022315F" w:rsidP="00487A02">
            <w:pPr>
              <w:pStyle w:val="InstructionsText"/>
              <w:rPr>
                <w:rStyle w:val="InstructionsTabelleberschrift"/>
                <w:rFonts w:ascii="Times New Roman" w:hAnsi="Times New Roman"/>
                <w:b w:val="0"/>
                <w:sz w:val="24"/>
              </w:rPr>
            </w:pPr>
            <w:r w:rsidRPr="00AA1421">
              <w:rPr>
                <w:rStyle w:val="InstructionsTabelleberschrift"/>
                <w:rFonts w:ascii="Times New Roman" w:hAnsi="Times New Roman"/>
                <w:sz w:val="24"/>
              </w:rPr>
              <w:t>1.2.1.5</w:t>
            </w:r>
            <w:r w:rsidR="00744F50" w:rsidRPr="00AA1421">
              <w:rPr>
                <w:b/>
                <w:u w:val="single"/>
              </w:rPr>
              <w:tab/>
            </w:r>
            <w:r w:rsidRPr="00AA1421">
              <w:rPr>
                <w:rStyle w:val="InstructionsTabelleberschrift"/>
                <w:rFonts w:ascii="Times New Roman" w:hAnsi="Times New Roman"/>
                <w:sz w:val="24"/>
              </w:rPr>
              <w:t xml:space="preserve">(-) Faktyczne lub warunkowe zobowiązania do zakupu instrumentów własnych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Art. 66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7 CRR</w:t>
            </w:r>
          </w:p>
          <w:p w:rsidR="0022315F" w:rsidRPr="00AA1421" w:rsidRDefault="0022315F" w:rsidP="00487A02">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6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 </w:t>
            </w:r>
            <w:r w:rsidRPr="00AA1421">
              <w:t xml:space="preserve">odlicza się udziały kapitałowe w „instrumentach własnych w </w:t>
            </w:r>
            <w:proofErr w:type="spellStart"/>
            <w:r w:rsidRPr="00AA1421">
              <w:t>Tier</w:t>
            </w:r>
            <w:proofErr w:type="spellEnd"/>
            <w:r w:rsidRPr="00AA1421">
              <w:t xml:space="preserve"> II, które instytucja mogłaby mieć obowiązek kupić na mocy istniejących zobowiązań umownych”.</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0880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1.2.2</w:t>
            </w:r>
            <w:r w:rsidR="00744F50" w:rsidRPr="00AA1421">
              <w:rPr>
                <w:b/>
                <w:u w:val="single"/>
              </w:rPr>
              <w:tab/>
            </w:r>
            <w:r w:rsidRPr="00AA1421">
              <w:rPr>
                <w:rStyle w:val="InstructionsTabelleberschrift"/>
                <w:rFonts w:ascii="Times New Roman" w:hAnsi="Times New Roman"/>
                <w:sz w:val="24"/>
              </w:rPr>
              <w:t xml:space="preserve">Korekty w okresie przejściowym z tytułu instrumentów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podlegających zasadzie praw nabytych </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483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 i 7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84,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86,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88, art.490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91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instrumentów kapitałowych podlegających w okresie przejściowym zasadzie praw nabytych jako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Kwota, którą należy zgłosić,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0890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1.2.3</w:t>
            </w:r>
            <w:r w:rsidR="00744F50" w:rsidRPr="00AA1421">
              <w:rPr>
                <w:b/>
                <w:u w:val="single"/>
              </w:rPr>
              <w:tab/>
            </w:r>
            <w:r w:rsidRPr="00AA1421">
              <w:rPr>
                <w:rStyle w:val="InstructionsTabelleberschrift"/>
                <w:rFonts w:ascii="Times New Roman" w:hAnsi="Times New Roman"/>
                <w:sz w:val="24"/>
              </w:rPr>
              <w:t xml:space="preserve">Instrumenty emitowane przez jednostki zależne uznane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83, 87 i 88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Suma wszystkich kwot uznanych funduszy własnych jednostek zależnych uwzględniona w skonsolidowanym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Uwzględniany jest kwalifikujący się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emitowany przez jednostkę specjalnego przeznaczenia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8</w:t>
            </w:r>
            <w:r w:rsidRPr="00AA1421">
              <w:rPr>
                <w:rStyle w:val="FormatvorlageInstructionsTabelleText"/>
                <w:rFonts w:ascii="Times New Roman" w:hAnsi="Times New Roman"/>
                <w:sz w:val="24"/>
              </w:rPr>
              <w:t>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0900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1.2.4</w:t>
            </w:r>
            <w:r w:rsidR="00744F50" w:rsidRPr="00AA1421">
              <w:rPr>
                <w:b/>
                <w:u w:val="single"/>
              </w:rPr>
              <w:tab/>
            </w:r>
            <w:r w:rsidRPr="00AA1421">
              <w:rPr>
                <w:rStyle w:val="InstructionsTabelleberschrift"/>
                <w:rFonts w:ascii="Times New Roman" w:hAnsi="Times New Roman"/>
                <w:sz w:val="24"/>
              </w:rPr>
              <w:t xml:space="preserve">Korekty w okresie przejściowym z tytułu dodatkowego uznania instrumentów emitowanych przez jednostki zależne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480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Korekty kwalifikujących się funduszy własnych uwzględnionych w skonsolidowanym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wynikające z przepisów przejściowych. Pozycja ta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0910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1.2.5</w:t>
            </w:r>
            <w:r w:rsidR="00744F50" w:rsidRPr="00AA1421">
              <w:rPr>
                <w:b/>
                <w:u w:val="single"/>
              </w:rPr>
              <w:tab/>
            </w:r>
            <w:r w:rsidRPr="00AA1421">
              <w:rPr>
                <w:rStyle w:val="InstructionsTabelleberschrift"/>
                <w:rFonts w:ascii="Times New Roman" w:hAnsi="Times New Roman"/>
                <w:sz w:val="24"/>
              </w:rPr>
              <w:t>Nadwyżka rezerw ponad oczekiwane uznane straty według metody IRB</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62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d)</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 przypadku instytucji obliczających kwoty ekspozycji ważonych ryzykiem według metody IRB pozycja ta zawiera kwoty dodatnie wynikające z porównania rezerw i oczekiwanych strat, które to kwoty kwalifikują się jako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0920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1.2.6</w:t>
            </w:r>
            <w:r w:rsidR="00744F50" w:rsidRPr="00AA1421">
              <w:rPr>
                <w:b/>
                <w:u w:val="single"/>
              </w:rPr>
              <w:tab/>
            </w:r>
            <w:r w:rsidRPr="00AA1421">
              <w:rPr>
                <w:rStyle w:val="InstructionsTabelleberschrift"/>
                <w:rFonts w:ascii="Times New Roman" w:hAnsi="Times New Roman"/>
                <w:sz w:val="24"/>
              </w:rPr>
              <w:t>Korekty z tytułu ogólnego ryzyka kredytowego według metody standardowej</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62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 przypadku instytucji obliczających kwoty ekspozycji ważonych ryzykiem według metody standardowej pozycja ta zawiera korekty z tytułu ogólnego ryzyka kredytowego kwalifikujące się jako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0930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1.2.7</w:t>
            </w:r>
            <w:r w:rsidR="00744F50" w:rsidRPr="00AA1421">
              <w:rPr>
                <w:b/>
                <w:u w:val="single"/>
              </w:rPr>
              <w:tab/>
            </w:r>
            <w:r w:rsidRPr="00AA1421">
              <w:rPr>
                <w:rStyle w:val="InstructionsTabelleberschrift"/>
                <w:rFonts w:ascii="Times New Roman" w:hAnsi="Times New Roman"/>
                <w:sz w:val="24"/>
              </w:rPr>
              <w:t xml:space="preserve">(-) Krzyżowe powiązania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22,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8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Udziały kapitałowe w instrumentach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CRR), jeżeli istnieje </w:t>
            </w:r>
            <w:r w:rsidRPr="00AA1421">
              <w:rPr>
                <w:rStyle w:val="FormatvorlageInstructionsTabelleText"/>
                <w:rFonts w:ascii="Times New Roman" w:hAnsi="Times New Roman"/>
                <w:sz w:val="24"/>
              </w:rPr>
              <w:lastRenderedPageBreak/>
              <w:t>krzyżowe powiązanie kapitałowe, uznane przez właściwy organ za mające na celu sztuczne zawyżanie funduszy własnych instytucji.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Kwotę, którą należy tu zgłosić, oblicza się na podstawie pozycji długich brutto i obejmuje ona pozycje ubezpieczeniowe funduszy własnych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i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0940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1.2.8</w:t>
            </w:r>
            <w:r w:rsidR="00744F50" w:rsidRPr="00AA1421">
              <w:rPr>
                <w:b/>
                <w:u w:val="single"/>
              </w:rPr>
              <w:tab/>
            </w:r>
            <w:r w:rsidRPr="00AA1421">
              <w:rPr>
                <w:rStyle w:val="InstructionsTabelleberschrift"/>
                <w:rFonts w:ascii="Times New Roman" w:hAnsi="Times New Roman"/>
                <w:sz w:val="24"/>
              </w:rPr>
              <w:t xml:space="preserve">(-) Instrumenty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8–70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7</w:t>
            </w:r>
            <w:r w:rsidRPr="00AA1421">
              <w:rPr>
                <w:rStyle w:val="FormatvorlageInstructionsTabelleText"/>
                <w:rFonts w:ascii="Times New Roman" w:hAnsi="Times New Roman"/>
                <w:sz w:val="24"/>
              </w:rPr>
              <w:t>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Część posiadanych przez instytucję udziałów kapitałowych w instrumentach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CRR) w przypadkach, gdy instytucja nie dokonała znacznej inwestycji w te podmioty, którą należy odliczyć od kapitału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0950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1.2.9</w:t>
            </w:r>
            <w:r w:rsidR="00744F50" w:rsidRPr="00AA1421">
              <w:rPr>
                <w:b/>
                <w:u w:val="single"/>
              </w:rPr>
              <w:tab/>
            </w:r>
            <w:r w:rsidRPr="00AA1421">
              <w:rPr>
                <w:rStyle w:val="InstructionsTabelleberschrift"/>
                <w:rFonts w:ascii="Times New Roman" w:hAnsi="Times New Roman"/>
                <w:sz w:val="24"/>
              </w:rPr>
              <w:t xml:space="preserve">(-) Instrumenty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7,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d)</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6</w:t>
            </w:r>
            <w:r w:rsidRPr="00AA1421">
              <w:rPr>
                <w:rStyle w:val="FormatvorlageInstructionsTabelleText"/>
                <w:rFonts w:ascii="Times New Roman" w:hAnsi="Times New Roman"/>
                <w:sz w:val="24"/>
              </w:rPr>
              <w:t xml:space="preserve">9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7</w:t>
            </w:r>
            <w:r w:rsidRPr="00AA1421">
              <w:rPr>
                <w:rStyle w:val="FormatvorlageInstructionsTabelleText"/>
                <w:rFonts w:ascii="Times New Roman" w:hAnsi="Times New Roman"/>
                <w:sz w:val="24"/>
              </w:rPr>
              <w:t>9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Posiadane przez instytucję udziały kapitałowe w instrumentach w kapitale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podmiotów sektora finansowego (zgodnie z definicją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pkt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7 CRR) są całkowicie odliczane w przypadkach, gdy instytucja dokonała znacznej inwestycji.</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0955</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1.2.9A</w:t>
            </w:r>
            <w:r w:rsidR="00744F50" w:rsidRPr="00AA1421">
              <w:rPr>
                <w:b/>
                <w:u w:val="single"/>
              </w:rPr>
              <w:tab/>
            </w:r>
            <w:r w:rsidRPr="00AA1421">
              <w:rPr>
                <w:rStyle w:val="InstructionsTabelleberschrift"/>
                <w:rFonts w:ascii="Times New Roman" w:hAnsi="Times New Roman"/>
                <w:sz w:val="24"/>
              </w:rPr>
              <w:t>(-) Nadwyżka odliczeń od zobowiązań kwalifikowalnych ponad zobowiązania kwalifikowane</w:t>
            </w:r>
          </w:p>
          <w:p w:rsidR="0022315F" w:rsidRPr="00AA1421" w:rsidRDefault="0022315F"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Art. 66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0960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1.2.10</w:t>
            </w:r>
            <w:r w:rsidR="00744F50" w:rsidRPr="00AA1421">
              <w:rPr>
                <w:b/>
                <w:u w:val="single"/>
              </w:rPr>
              <w:tab/>
            </w:r>
            <w:r w:rsidRPr="00AA1421">
              <w:rPr>
                <w:rStyle w:val="InstructionsTabelleberschrift"/>
                <w:rFonts w:ascii="Times New Roman" w:hAnsi="Times New Roman"/>
                <w:sz w:val="24"/>
              </w:rPr>
              <w:t xml:space="preserve">Inne korekty w okresie przejściowym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472, 473a, 476, 477, 478 i 481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Korekty wynikające z przepisów przejściowych. Kwota, którą należy zgłosić, jest uzyskiwana bezpośrednio z CA5.</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0970</w:t>
            </w:r>
          </w:p>
        </w:tc>
        <w:tc>
          <w:tcPr>
            <w:tcW w:w="7620" w:type="dxa"/>
          </w:tcPr>
          <w:p w:rsidR="0022315F" w:rsidRPr="00AA1421" w:rsidRDefault="0022315F"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1.2.11</w:t>
            </w:r>
            <w:r w:rsidR="00744F50" w:rsidRPr="00AA1421">
              <w:rPr>
                <w:b/>
                <w:u w:val="single"/>
              </w:rPr>
              <w:tab/>
            </w:r>
            <w:r w:rsidRPr="00AA1421">
              <w:rPr>
                <w:rStyle w:val="InstructionsTabelleberschrift"/>
                <w:rFonts w:ascii="Times New Roman" w:hAnsi="Times New Roman"/>
                <w:sz w:val="24"/>
              </w:rPr>
              <w:t xml:space="preserve">Nadwyżka odliczenia od pozycji w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ponad kapitał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(odliczenie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56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CRR</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nie może mieć wartości ujemnej, ale możliwa jest sytuacja, w której odliczenia od pozycji w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mają większą wartość niż kapitał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powiększony o powiązane ażio emisyjne. W takim przypadku wartość kapitału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musi być równa zeru, a nadwyżkę odliczenia od pozycji w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II należy odjąć od kapitału dodatkowego </w:t>
            </w:r>
            <w:proofErr w:type="spellStart"/>
            <w:r w:rsidRPr="00AA1421">
              <w:rPr>
                <w:rStyle w:val="FormatvorlageInstructionsTabelleText"/>
                <w:rFonts w:ascii="Times New Roman" w:hAnsi="Times New Roman"/>
                <w:sz w:val="24"/>
              </w:rPr>
              <w:t>Tier</w:t>
            </w:r>
            <w:proofErr w:type="spellEnd"/>
            <w:r w:rsidRPr="00AA1421">
              <w:rPr>
                <w:rStyle w:val="FormatvorlageInstructionsTabelleText"/>
                <w:rFonts w:ascii="Times New Roman" w:hAnsi="Times New Roman"/>
                <w:sz w:val="24"/>
              </w:rPr>
              <w:t xml:space="preserve"> I.</w:t>
            </w:r>
          </w:p>
          <w:p w:rsidR="0022315F" w:rsidRPr="00AA1421" w:rsidRDefault="0022315F"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Wskutek tej pozycji suma pozycji </w:t>
            </w:r>
            <w:r w:rsidRPr="00084F66">
              <w:rPr>
                <w:rStyle w:val="FormatvorlageInstructionsTabelleText"/>
                <w:rFonts w:ascii="Times New Roman" w:hAnsi="Times New Roman"/>
                <w:sz w:val="24"/>
              </w:rPr>
              <w:t>od</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.2.1 </w:t>
            </w:r>
            <w:r w:rsidRPr="00084F66">
              <w:rPr>
                <w:rStyle w:val="FormatvorlageInstructionsTabelleText"/>
                <w:rFonts w:ascii="Times New Roman" w:hAnsi="Times New Roman"/>
                <w:sz w:val="24"/>
              </w:rPr>
              <w:t>do</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.2.13 nigdy nie jest mniejsza od zera. Jeżeli jednak w pozycji tej podana jest wartość dodatnia, w pozycji 1.1.2.8 widnieje odwrotność tej liczby.</w:t>
            </w:r>
          </w:p>
        </w:tc>
      </w:tr>
      <w:tr w:rsidR="0022315F" w:rsidRPr="00AA1421" w:rsidTr="00D731E3">
        <w:tc>
          <w:tcPr>
            <w:tcW w:w="1129" w:type="dxa"/>
          </w:tcPr>
          <w:p w:rsidR="0022315F" w:rsidRPr="00AA1421" w:rsidDel="00BD687C"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0974</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1.2.12</w:t>
            </w:r>
            <w:r w:rsidR="00744F50" w:rsidRPr="00AA1421">
              <w:rPr>
                <w:b/>
                <w:u w:val="single"/>
              </w:rPr>
              <w:tab/>
            </w:r>
            <w:r w:rsidRPr="00AA1421">
              <w:rPr>
                <w:rStyle w:val="InstructionsTabelleberschrift"/>
                <w:rFonts w:ascii="Times New Roman" w:hAnsi="Times New Roman"/>
                <w:sz w:val="24"/>
              </w:rPr>
              <w:t xml:space="preserve">(-) Dodatkowe odliczenia od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 CRR</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3 CRR</w:t>
            </w:r>
          </w:p>
        </w:tc>
      </w:tr>
      <w:tr w:rsidR="0022315F" w:rsidRPr="00AA1421" w:rsidTr="00D731E3">
        <w:tc>
          <w:tcPr>
            <w:tcW w:w="1129" w:type="dxa"/>
          </w:tcPr>
          <w:p w:rsidR="0022315F"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0978</w:t>
            </w:r>
          </w:p>
        </w:tc>
        <w:tc>
          <w:tcPr>
            <w:tcW w:w="7620" w:type="dxa"/>
          </w:tcPr>
          <w:p w:rsidR="0022315F" w:rsidRPr="00AA1421" w:rsidRDefault="0022315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1.2.13</w:t>
            </w:r>
            <w:r w:rsidR="00744F50" w:rsidRPr="00AA1421">
              <w:rPr>
                <w:b/>
                <w:u w:val="single"/>
              </w:rPr>
              <w:tab/>
            </w:r>
            <w:r w:rsidRPr="00AA1421">
              <w:rPr>
                <w:rStyle w:val="InstructionsTabelleberschrift"/>
                <w:rFonts w:ascii="Times New Roman" w:hAnsi="Times New Roman"/>
                <w:sz w:val="24"/>
              </w:rPr>
              <w:t xml:space="preserve">Elementy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lub odliczenia od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 inne </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 xml:space="preserve">Wiersz ten zapewnia elastyczność wyłącznie dla celów sprawozdawczości. Wprowadza się w nim dane w tych rzadkich przypadkach, gdy nie ma ostatecznej decyzji w sprawie zgłaszania poszczególnych pozycji kapitału/odliczeń we wzorze CA1. W konsekwencji wiersz ten wypełnia się tylko wtedy, gdy elementu kapitału podstawowego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II lub odliczenia od elementu kapitału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II nie można przypisać do żadnego z wierszy </w:t>
            </w:r>
            <w:r w:rsidRPr="00084F66">
              <w:rPr>
                <w:rStyle w:val="InstructionsTabelleberschrift"/>
                <w:rFonts w:ascii="Times New Roman" w:hAnsi="Times New Roman"/>
                <w:b w:val="0"/>
                <w:sz w:val="24"/>
                <w:u w:val="none"/>
              </w:rPr>
              <w:t>od</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7</w:t>
            </w:r>
            <w:r w:rsidRPr="00AA1421">
              <w:rPr>
                <w:rStyle w:val="InstructionsTabelleberschrift"/>
                <w:rFonts w:ascii="Times New Roman" w:hAnsi="Times New Roman"/>
                <w:b w:val="0"/>
                <w:sz w:val="24"/>
                <w:u w:val="none"/>
              </w:rPr>
              <w:t xml:space="preserve">50 </w:t>
            </w:r>
            <w:r w:rsidRPr="00084F66">
              <w:rPr>
                <w:rStyle w:val="InstructionsTabelleberschrift"/>
                <w:rFonts w:ascii="Times New Roman" w:hAnsi="Times New Roman"/>
                <w:b w:val="0"/>
                <w:sz w:val="24"/>
                <w:u w:val="none"/>
              </w:rPr>
              <w:t>do</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9</w:t>
            </w:r>
            <w:r w:rsidRPr="00AA1421">
              <w:rPr>
                <w:rStyle w:val="InstructionsTabelleberschrift"/>
                <w:rFonts w:ascii="Times New Roman" w:hAnsi="Times New Roman"/>
                <w:b w:val="0"/>
                <w:sz w:val="24"/>
                <w:u w:val="none"/>
              </w:rPr>
              <w:t xml:space="preserve">74. </w:t>
            </w:r>
          </w:p>
          <w:p w:rsidR="0022315F" w:rsidRPr="00AA1421" w:rsidRDefault="0022315F"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Wiersza tego nie używa się do uwzględniania pozycji kapitału/odliczeń, które nie są objęte zakresem stosowania CRR, w celu obliczenia współczynników wypłacalności (np. przypisania pozycji kapitału/odliczeń, które określono według przepisów krajowych, a które nie wchodzą w zakres stosowania CRR).</w:t>
            </w:r>
          </w:p>
        </w:tc>
      </w:tr>
    </w:tbl>
    <w:p w:rsidR="005643EA" w:rsidRPr="00AA1421" w:rsidRDefault="005643EA" w:rsidP="00487A02">
      <w:pPr>
        <w:pStyle w:val="InstructionsText"/>
      </w:pPr>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58403600"/>
      <w:bookmarkStart w:id="44" w:name="_Toc308175823"/>
      <w:bookmarkStart w:id="45" w:name="_Toc360188327"/>
      <w:r w:rsidRPr="00AA1421">
        <w:rPr>
          <w:rFonts w:ascii="Times New Roman" w:hAnsi="Times New Roman"/>
          <w:sz w:val="24"/>
          <w:u w:val="none"/>
        </w:rPr>
        <w:t>1.3.</w:t>
      </w:r>
      <w:r w:rsidR="00D712CF" w:rsidRPr="00AA1421">
        <w:rPr>
          <w:u w:val="none"/>
        </w:rPr>
        <w:tab/>
      </w:r>
      <w:r w:rsidRPr="00AA1421">
        <w:rPr>
          <w:rFonts w:ascii="Times New Roman" w:hAnsi="Times New Roman"/>
          <w:sz w:val="24"/>
        </w:rPr>
        <w:t>C 02.00 – WYMOGI W ZAKRESIE FUNDUSZY WŁASNYCH (CA2)</w:t>
      </w:r>
      <w:bookmarkEnd w:id="42"/>
      <w:bookmarkEnd w:id="43"/>
      <w:r w:rsidRPr="00AA1421">
        <w:rPr>
          <w:rFonts w:ascii="Times New Roman" w:hAnsi="Times New Roman"/>
          <w:sz w:val="24"/>
        </w:rPr>
        <w:t xml:space="preserve"> </w:t>
      </w:r>
      <w:bookmarkEnd w:id="44"/>
      <w:bookmarkEnd w:id="45"/>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403601"/>
      <w:r w:rsidRPr="00AA1421">
        <w:rPr>
          <w:rFonts w:ascii="Times New Roman" w:hAnsi="Times New Roman"/>
          <w:sz w:val="24"/>
          <w:u w:val="none"/>
        </w:rPr>
        <w:t>1.3.1.</w:t>
      </w:r>
      <w:r w:rsidR="00D712CF" w:rsidRPr="00AA1421">
        <w:rPr>
          <w:u w:val="none"/>
        </w:rPr>
        <w:tab/>
      </w:r>
      <w:bookmarkStart w:id="50" w:name="_Toc308175824"/>
      <w:r w:rsidRPr="00AA1421">
        <w:rPr>
          <w:rFonts w:ascii="Times New Roman" w:hAnsi="Times New Roman"/>
          <w:sz w:val="24"/>
        </w:rPr>
        <w:t>Instrukcje dotyczące poszczególnych pozycji</w:t>
      </w:r>
      <w:bookmarkEnd w:id="50"/>
      <w:bookmarkEnd w:id="46"/>
      <w:bookmarkEnd w:id="47"/>
      <w:bookmarkEnd w:id="48"/>
      <w:bookmarkEnd w:id="49"/>
    </w:p>
    <w:p w:rsidR="002648B0" w:rsidRPr="00AA1421"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AA1421" w:rsidTr="00672D2A">
        <w:tc>
          <w:tcPr>
            <w:tcW w:w="1591" w:type="dxa"/>
            <w:shd w:val="clear" w:color="auto" w:fill="D9D9D9"/>
          </w:tcPr>
          <w:p w:rsidR="002648B0" w:rsidRPr="00AA1421" w:rsidRDefault="002648B0" w:rsidP="00487A02">
            <w:pPr>
              <w:pStyle w:val="InstructionsText"/>
            </w:pPr>
            <w:r w:rsidRPr="00AA1421">
              <w:t>Wiersz</w:t>
            </w:r>
          </w:p>
        </w:tc>
        <w:tc>
          <w:tcPr>
            <w:tcW w:w="7274" w:type="dxa"/>
            <w:shd w:val="clear" w:color="auto" w:fill="D9D9D9"/>
          </w:tcPr>
          <w:p w:rsidR="005643EA" w:rsidRPr="00AA1421" w:rsidRDefault="002648B0" w:rsidP="00487A02">
            <w:pPr>
              <w:pStyle w:val="InstructionsText"/>
            </w:pPr>
            <w:r w:rsidRPr="00AA1421">
              <w:t>Odniesienia prawne i instrukcje</w:t>
            </w:r>
          </w:p>
        </w:tc>
      </w:tr>
      <w:tr w:rsidR="002648B0" w:rsidRPr="00AA1421" w:rsidTr="00672D2A">
        <w:tc>
          <w:tcPr>
            <w:tcW w:w="1591" w:type="dxa"/>
          </w:tcPr>
          <w:p w:rsidR="002648B0" w:rsidRPr="00AA1421" w:rsidRDefault="00CF1093" w:rsidP="00487A02">
            <w:pPr>
              <w:pStyle w:val="InstructionsText"/>
            </w:pPr>
            <w:r w:rsidRPr="00AA1421">
              <w:t>0010</w:t>
            </w:r>
          </w:p>
        </w:tc>
        <w:tc>
          <w:tcPr>
            <w:tcW w:w="7274" w:type="dxa"/>
          </w:tcPr>
          <w:p w:rsidR="005643EA" w:rsidRPr="00AA1421" w:rsidRDefault="00C66473" w:rsidP="00487A02">
            <w:pPr>
              <w:pStyle w:val="InstructionsText"/>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ŁĄCZNA KWOTA EKSPOZYCJI NA RYZYKO</w:t>
            </w:r>
          </w:p>
          <w:p w:rsidR="002648B0" w:rsidRPr="00AA1421" w:rsidRDefault="002648B0" w:rsidP="00487A02">
            <w:pPr>
              <w:pStyle w:val="InstructionsText"/>
            </w:pPr>
            <w:r w:rsidRPr="00AA1421">
              <w:t xml:space="preserve">Art. 92 </w:t>
            </w:r>
            <w:r w:rsidRPr="00084F66">
              <w:t>ust.</w:t>
            </w:r>
            <w:r w:rsidR="00084F66" w:rsidRPr="00084F66">
              <w:t> </w:t>
            </w:r>
            <w:r w:rsidRPr="00084F66">
              <w:t>3</w:t>
            </w:r>
            <w:r w:rsidRPr="00AA1421">
              <w:t xml:space="preserve"> i </w:t>
            </w:r>
            <w:r w:rsidRPr="00084F66">
              <w:t>art.</w:t>
            </w:r>
            <w:r w:rsidR="00084F66" w:rsidRPr="00084F66">
              <w:t> </w:t>
            </w:r>
            <w:r w:rsidRPr="00084F66">
              <w:t>9</w:t>
            </w:r>
            <w:r w:rsidRPr="00AA1421">
              <w:t xml:space="preserve">5, </w:t>
            </w:r>
            <w:r w:rsidRPr="00084F66">
              <w:t>art.</w:t>
            </w:r>
            <w:r w:rsidR="00084F66" w:rsidRPr="00084F66">
              <w:t> </w:t>
            </w:r>
            <w:r w:rsidRPr="00084F66">
              <w:t>9</w:t>
            </w:r>
            <w:r w:rsidRPr="00AA1421">
              <w:t xml:space="preserve">6 i </w:t>
            </w:r>
            <w:r w:rsidRPr="00084F66">
              <w:t>art.</w:t>
            </w:r>
            <w:r w:rsidR="00084F66" w:rsidRPr="00084F66">
              <w:t> </w:t>
            </w:r>
            <w:r w:rsidRPr="00084F66">
              <w:t>9</w:t>
            </w:r>
            <w:r w:rsidRPr="00AA1421">
              <w:t>8 CRR</w:t>
            </w:r>
          </w:p>
        </w:tc>
      </w:tr>
      <w:tr w:rsidR="002648B0" w:rsidRPr="00AA1421" w:rsidTr="00672D2A">
        <w:tc>
          <w:tcPr>
            <w:tcW w:w="1591" w:type="dxa"/>
          </w:tcPr>
          <w:p w:rsidR="002648B0" w:rsidRPr="00AA1421" w:rsidRDefault="00CF1093" w:rsidP="00487A02">
            <w:pPr>
              <w:pStyle w:val="InstructionsText"/>
            </w:pPr>
            <w:r w:rsidRPr="00AA1421">
              <w:t>0020</w:t>
            </w:r>
          </w:p>
        </w:tc>
        <w:tc>
          <w:tcPr>
            <w:tcW w:w="7274" w:type="dxa"/>
          </w:tcPr>
          <w:p w:rsidR="005643EA" w:rsidRPr="00AA1421" w:rsidRDefault="002648B0" w:rsidP="00487A02">
            <w:pPr>
              <w:pStyle w:val="InstructionsText"/>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 xml:space="preserve">W tym: firmy inwestycyjne, o których mowa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9</w:t>
            </w:r>
            <w:r w:rsidRPr="00AA1421">
              <w:rPr>
                <w:rStyle w:val="InstructionsTabelleberschrift"/>
                <w:rFonts w:ascii="Times New Roman" w:hAnsi="Times New Roman"/>
                <w:sz w:val="24"/>
              </w:rPr>
              <w:t xml:space="preserve">5 </w:t>
            </w:r>
            <w:r w:rsidRPr="00084F66">
              <w:rPr>
                <w:rStyle w:val="InstructionsTabelleberschrift"/>
                <w:rFonts w:ascii="Times New Roman" w:hAnsi="Times New Roman"/>
                <w:sz w:val="24"/>
              </w:rPr>
              <w:t>ust.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2</w:t>
            </w:r>
            <w:r w:rsidRPr="00AA1421">
              <w:rPr>
                <w:rStyle w:val="InstructionsTabelleberschrift"/>
                <w:rFonts w:ascii="Times New Roman" w:hAnsi="Times New Roman"/>
                <w:sz w:val="24"/>
              </w:rPr>
              <w:t xml:space="preserve"> oraz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9</w:t>
            </w:r>
            <w:r w:rsidRPr="00AA1421">
              <w:rPr>
                <w:rStyle w:val="InstructionsTabelleberschrift"/>
                <w:rFonts w:ascii="Times New Roman" w:hAnsi="Times New Roman"/>
                <w:sz w:val="24"/>
              </w:rPr>
              <w:t>8 CRR</w:t>
            </w:r>
          </w:p>
          <w:p w:rsidR="005643EA" w:rsidRPr="00AA1421" w:rsidRDefault="002648B0" w:rsidP="00487A02">
            <w:pPr>
              <w:pStyle w:val="InstructionsText"/>
            </w:pPr>
            <w:r w:rsidRPr="00AA1421">
              <w:t xml:space="preserve">W przypadku firm inwestycyjnych, o których mowa w </w:t>
            </w:r>
            <w:r w:rsidRPr="00084F66">
              <w:t>art.</w:t>
            </w:r>
            <w:r w:rsidR="00084F66" w:rsidRPr="00084F66">
              <w:t> </w:t>
            </w:r>
            <w:r w:rsidRPr="00084F66">
              <w:t>9</w:t>
            </w:r>
            <w:r w:rsidRPr="00AA1421">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t xml:space="preserve"> oraz w </w:t>
            </w:r>
            <w:r w:rsidRPr="00084F66">
              <w:t>art.</w:t>
            </w:r>
            <w:r w:rsidR="00084F66" w:rsidRPr="00084F66">
              <w:t> </w:t>
            </w:r>
            <w:r w:rsidRPr="00084F66">
              <w:t>9</w:t>
            </w:r>
            <w:r w:rsidRPr="00AA1421">
              <w:t>8 CRR</w:t>
            </w:r>
          </w:p>
        </w:tc>
      </w:tr>
      <w:tr w:rsidR="002648B0" w:rsidRPr="00AA1421" w:rsidTr="00672D2A">
        <w:tc>
          <w:tcPr>
            <w:tcW w:w="1591" w:type="dxa"/>
          </w:tcPr>
          <w:p w:rsidR="002648B0" w:rsidRPr="00AA1421" w:rsidRDefault="00CF1093" w:rsidP="00487A02">
            <w:pPr>
              <w:pStyle w:val="InstructionsText"/>
            </w:pPr>
            <w:r w:rsidRPr="00AA1421">
              <w:t>0030</w:t>
            </w:r>
          </w:p>
        </w:tc>
        <w:tc>
          <w:tcPr>
            <w:tcW w:w="7274" w:type="dxa"/>
          </w:tcPr>
          <w:p w:rsidR="005643EA" w:rsidRPr="00AA1421" w:rsidRDefault="002648B0" w:rsidP="00487A02">
            <w:pPr>
              <w:pStyle w:val="InstructionsText"/>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 xml:space="preserve">W tym: firmy inwestycyjne, o których mowa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9</w:t>
            </w:r>
            <w:r w:rsidRPr="00AA1421">
              <w:rPr>
                <w:rStyle w:val="InstructionsTabelleberschrift"/>
                <w:rFonts w:ascii="Times New Roman" w:hAnsi="Times New Roman"/>
                <w:sz w:val="24"/>
              </w:rPr>
              <w:t xml:space="preserve">6 </w:t>
            </w:r>
            <w:r w:rsidRPr="00084F66">
              <w:rPr>
                <w:rStyle w:val="InstructionsTabelleberschrift"/>
                <w:rFonts w:ascii="Times New Roman" w:hAnsi="Times New Roman"/>
                <w:sz w:val="24"/>
              </w:rPr>
              <w:t>ust.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2</w:t>
            </w:r>
            <w:r w:rsidRPr="00AA1421">
              <w:rPr>
                <w:rStyle w:val="InstructionsTabelleberschrift"/>
                <w:rFonts w:ascii="Times New Roman" w:hAnsi="Times New Roman"/>
                <w:sz w:val="24"/>
              </w:rPr>
              <w:t xml:space="preserve"> oraz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9</w:t>
            </w:r>
            <w:r w:rsidRPr="00AA1421">
              <w:rPr>
                <w:rStyle w:val="InstructionsTabelleberschrift"/>
                <w:rFonts w:ascii="Times New Roman" w:hAnsi="Times New Roman"/>
                <w:sz w:val="24"/>
              </w:rPr>
              <w:t>7 CRR</w:t>
            </w:r>
          </w:p>
          <w:p w:rsidR="005643EA" w:rsidRPr="00AA1421" w:rsidRDefault="002648B0" w:rsidP="00487A02">
            <w:pPr>
              <w:pStyle w:val="InstructionsText"/>
            </w:pPr>
            <w:r w:rsidRPr="00AA1421">
              <w:t xml:space="preserve">W przypadku firm inwestycyjnych, o których mowa w </w:t>
            </w:r>
            <w:r w:rsidRPr="00084F66">
              <w:t>art.</w:t>
            </w:r>
            <w:r w:rsidR="00084F66" w:rsidRPr="00084F66">
              <w:t> </w:t>
            </w:r>
            <w:r w:rsidRPr="00084F66">
              <w:t>9</w:t>
            </w:r>
            <w:r w:rsidRPr="00AA1421">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t xml:space="preserve"> oraz w </w:t>
            </w:r>
            <w:r w:rsidRPr="00084F66">
              <w:t>art.</w:t>
            </w:r>
            <w:r w:rsidR="00084F66" w:rsidRPr="00084F66">
              <w:t> </w:t>
            </w:r>
            <w:r w:rsidRPr="00084F66">
              <w:t>9</w:t>
            </w:r>
            <w:r w:rsidRPr="00AA1421">
              <w:t>7 CRR</w:t>
            </w:r>
          </w:p>
        </w:tc>
      </w:tr>
      <w:tr w:rsidR="002648B0" w:rsidRPr="00AA1421" w:rsidTr="00672D2A">
        <w:tc>
          <w:tcPr>
            <w:tcW w:w="1591" w:type="dxa"/>
          </w:tcPr>
          <w:p w:rsidR="002648B0"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0040</w:t>
            </w:r>
          </w:p>
        </w:tc>
        <w:tc>
          <w:tcPr>
            <w:tcW w:w="7274"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w:t>
            </w:r>
            <w:r w:rsidR="00744F50" w:rsidRPr="00AA1421">
              <w:rPr>
                <w:b/>
                <w:u w:val="single"/>
              </w:rPr>
              <w:tab/>
            </w:r>
            <w:r w:rsidRPr="00AA1421">
              <w:rPr>
                <w:rStyle w:val="InstructionsTabelleberschrift"/>
                <w:rFonts w:ascii="Times New Roman" w:hAnsi="Times New Roman"/>
                <w:sz w:val="24"/>
              </w:rPr>
              <w:t>KWOTY EKSPOZYCJI WAŻONYCH RYZYKIEM Z TYTUŁU RYZYKA KREDYTOWEGO, RYZYKA KREDYTOWEGO KONTRAHENTA, RYZYKA ROZMYCIA ORAZ DOSTAW Z PÓŹNIEJSZYM TERMINEM ROZLICZENIA</w:t>
            </w:r>
          </w:p>
          <w:p w:rsidR="005643EA" w:rsidRPr="00AA1421" w:rsidRDefault="002C66A4"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92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i f) CRR</w:t>
            </w:r>
          </w:p>
        </w:tc>
      </w:tr>
      <w:tr w:rsidR="002648B0" w:rsidRPr="00AA1421" w:rsidTr="00672D2A">
        <w:tc>
          <w:tcPr>
            <w:tcW w:w="1591" w:type="dxa"/>
          </w:tcPr>
          <w:p w:rsidR="002648B0"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0050</w:t>
            </w:r>
          </w:p>
        </w:tc>
        <w:tc>
          <w:tcPr>
            <w:tcW w:w="7274"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w:t>
            </w:r>
            <w:r w:rsidR="00744F50" w:rsidRPr="00AA1421">
              <w:rPr>
                <w:b/>
                <w:u w:val="single"/>
              </w:rPr>
              <w:tab/>
            </w:r>
            <w:r w:rsidRPr="00AA1421">
              <w:rPr>
                <w:rStyle w:val="InstructionsTabelleberschrift"/>
                <w:rFonts w:ascii="Times New Roman" w:hAnsi="Times New Roman"/>
                <w:sz w:val="24"/>
              </w:rPr>
              <w:t>Metoda standardowa (SA)</w:t>
            </w:r>
          </w:p>
          <w:p w:rsidR="002648B0" w:rsidRPr="00AA1421" w:rsidRDefault="002648B0" w:rsidP="00487A02">
            <w:pPr>
              <w:pStyle w:val="InstructionsText"/>
              <w:rPr>
                <w:rStyle w:val="FormatvorlageInstructionsTabelleText"/>
                <w:rFonts w:ascii="Times New Roman" w:hAnsi="Times New Roman"/>
                <w:sz w:val="24"/>
              </w:rPr>
            </w:pPr>
            <w:r w:rsidRPr="00AA1421">
              <w:rPr>
                <w:rStyle w:val="InstructionsTabelleberschrift"/>
                <w:rFonts w:ascii="Times New Roman" w:hAnsi="Times New Roman"/>
                <w:b w:val="0"/>
                <w:sz w:val="24"/>
                <w:u w:val="none"/>
              </w:rPr>
              <w:t>Wzory CR SA i SEC SA na poziomie ekspozycji całkowitych</w:t>
            </w:r>
          </w:p>
        </w:tc>
      </w:tr>
      <w:tr w:rsidR="00802958" w:rsidRPr="00AA1421" w:rsidTr="00672D2A">
        <w:tc>
          <w:tcPr>
            <w:tcW w:w="1591" w:type="dxa"/>
          </w:tcPr>
          <w:p w:rsidR="00802958"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0051</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w:t>
            </w:r>
            <w:r w:rsidR="00744F50" w:rsidRPr="00AA1421">
              <w:rPr>
                <w:b/>
                <w:u w:val="single"/>
              </w:rPr>
              <w:tab/>
            </w:r>
            <w:r w:rsidRPr="00AA1421">
              <w:rPr>
                <w:rStyle w:val="InstructionsTabelleberschrift"/>
                <w:rFonts w:ascii="Times New Roman" w:hAnsi="Times New Roman"/>
                <w:sz w:val="24"/>
              </w:rPr>
              <w:t xml:space="preserve">W tym: z tytułu dodatkowych, surowszych wymogów ostrożnościowych na podstawie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24 CRR</w:t>
            </w:r>
          </w:p>
          <w:p w:rsidR="00802958" w:rsidRPr="00AA1421" w:rsidRDefault="004852B9" w:rsidP="00487A02">
            <w:pPr>
              <w:pStyle w:val="InstructionsText"/>
              <w:rPr>
                <w:rStyle w:val="InstructionsTabelleberschrift"/>
                <w:rFonts w:ascii="Times New Roman" w:hAnsi="Times New Roman"/>
                <w:sz w:val="24"/>
              </w:rPr>
            </w:pPr>
            <w:r w:rsidRPr="00AA1421">
              <w:t xml:space="preserve">Instytucje zgłaszają dodatkowe kwoty ekspozycji na ryzyko niezbędne do osiągnięcia zgodności z surowszymi wymogami ostrożnościowymi podanymi do wiadomości instytucji po przeprowadzeniu konsultacji z EUNB, zgodnie z </w:t>
            </w:r>
            <w:r w:rsidRPr="00084F66">
              <w:t>art.</w:t>
            </w:r>
            <w:r w:rsidR="00084F66" w:rsidRPr="00084F66">
              <w:t> </w:t>
            </w:r>
            <w:r w:rsidRPr="00084F66">
              <w:t>1</w:t>
            </w:r>
            <w:r w:rsidRPr="00AA1421">
              <w:t xml:space="preserve">24 </w:t>
            </w:r>
            <w:r w:rsidRPr="00084F66">
              <w:t>ust.</w:t>
            </w:r>
            <w:r w:rsidR="00084F66" w:rsidRPr="00084F66">
              <w:t> </w:t>
            </w:r>
            <w:r w:rsidRPr="00084F66">
              <w:t>2</w:t>
            </w:r>
            <w:r w:rsidRPr="00AA1421">
              <w:t xml:space="preserve"> i 5 CRR.</w:t>
            </w:r>
          </w:p>
        </w:tc>
      </w:tr>
      <w:tr w:rsidR="002648B0" w:rsidRPr="00AA1421" w:rsidTr="00672D2A">
        <w:tc>
          <w:tcPr>
            <w:tcW w:w="1591" w:type="dxa"/>
          </w:tcPr>
          <w:p w:rsidR="002648B0"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0060</w:t>
            </w:r>
          </w:p>
        </w:tc>
        <w:tc>
          <w:tcPr>
            <w:tcW w:w="7274" w:type="dxa"/>
          </w:tcPr>
          <w:p w:rsidR="00C44421" w:rsidRPr="00AA1421" w:rsidRDefault="00C44421"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w:t>
            </w:r>
            <w:r w:rsidR="00744F50" w:rsidRPr="00AA1421">
              <w:rPr>
                <w:b/>
                <w:u w:val="single"/>
              </w:rPr>
              <w:tab/>
            </w:r>
            <w:r w:rsidRPr="00AA1421">
              <w:rPr>
                <w:rStyle w:val="InstructionsTabelleberschrift"/>
                <w:rFonts w:ascii="Times New Roman" w:hAnsi="Times New Roman"/>
                <w:sz w:val="24"/>
              </w:rPr>
              <w:t>Kategorie ekspozycji według metody standardowej z wyłączeniem pozycji sekurytyzacyjnych</w:t>
            </w:r>
          </w:p>
          <w:p w:rsidR="002648B0" w:rsidRPr="00AA1421" w:rsidRDefault="002648B0"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Wzór CR SA na poziomie ekspozycji całkowitych. Kategoriami ekspozycji według metody standardowej są kategorie </w:t>
            </w:r>
            <w:r w:rsidRPr="00AA1421">
              <w:rPr>
                <w:rStyle w:val="InstructionsTabelleberschrift"/>
                <w:rFonts w:ascii="Times New Roman" w:hAnsi="Times New Roman"/>
                <w:b w:val="0"/>
                <w:sz w:val="24"/>
                <w:u w:val="none"/>
              </w:rPr>
              <w:t>wymienione</w:t>
            </w:r>
            <w:r w:rsidRPr="00AA1421">
              <w:rPr>
                <w:rStyle w:val="FormatvorlageInstructionsTabelleText"/>
                <w:rFonts w:ascii="Times New Roman" w:hAnsi="Times New Roman"/>
                <w:sz w:val="24"/>
              </w:rPr>
              <w:t xml:space="preserve">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12 CRR z wyłączeniem pozycji sekurytyzacyjnych.</w:t>
            </w:r>
          </w:p>
        </w:tc>
      </w:tr>
      <w:tr w:rsidR="002648B0" w:rsidRPr="00AA1421" w:rsidTr="00672D2A">
        <w:tc>
          <w:tcPr>
            <w:tcW w:w="1591" w:type="dxa"/>
          </w:tcPr>
          <w:p w:rsidR="002648B0"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0070</w:t>
            </w:r>
          </w:p>
        </w:tc>
        <w:tc>
          <w:tcPr>
            <w:tcW w:w="7274"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1.1.1.1.01</w:t>
            </w:r>
            <w:r w:rsidR="00744F50" w:rsidRPr="00AA1421">
              <w:rPr>
                <w:b/>
                <w:u w:val="single"/>
              </w:rPr>
              <w:tab/>
            </w:r>
            <w:r w:rsidRPr="00AA1421">
              <w:rPr>
                <w:rStyle w:val="InstructionsTabelleberschrift"/>
                <w:rFonts w:ascii="Times New Roman" w:hAnsi="Times New Roman"/>
                <w:sz w:val="24"/>
              </w:rPr>
              <w:t>Ekspozycje wobec rządów centralnych lub banków centralnych</w:t>
            </w:r>
          </w:p>
          <w:p w:rsidR="00496C53" w:rsidRPr="00AA1421" w:rsidRDefault="00D212FE"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0080</w:t>
            </w:r>
          </w:p>
        </w:tc>
        <w:tc>
          <w:tcPr>
            <w:tcW w:w="7274" w:type="dxa"/>
          </w:tcPr>
          <w:p w:rsidR="00783881"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1.1.1.1.02</w:t>
            </w:r>
            <w:r w:rsidR="00744F50" w:rsidRPr="00AA1421">
              <w:rPr>
                <w:b/>
                <w:u w:val="single"/>
              </w:rPr>
              <w:tab/>
            </w:r>
            <w:r w:rsidRPr="00AA1421">
              <w:rPr>
                <w:rStyle w:val="InstructionsTabelleberschrift"/>
                <w:rFonts w:ascii="Times New Roman" w:hAnsi="Times New Roman"/>
                <w:sz w:val="24"/>
              </w:rPr>
              <w:t>Ekspozycje wobec samorządów regionalnych lub władz lokalnych</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0090</w:t>
            </w:r>
          </w:p>
        </w:tc>
        <w:tc>
          <w:tcPr>
            <w:tcW w:w="7274" w:type="dxa"/>
          </w:tcPr>
          <w:p w:rsidR="005643EA" w:rsidRPr="00AA1421" w:rsidRDefault="002648B0" w:rsidP="00487A02">
            <w:pPr>
              <w:pStyle w:val="InstructionsText"/>
              <w:rPr>
                <w:rStyle w:val="FormatvorlageInstructionsTabelleText"/>
                <w:rFonts w:ascii="Times New Roman" w:hAnsi="Times New Roman"/>
                <w:b/>
                <w:bCs w:val="0"/>
                <w:sz w:val="24"/>
                <w:u w:val="single"/>
              </w:rPr>
            </w:pPr>
            <w:r w:rsidRPr="00AA1421">
              <w:rPr>
                <w:rStyle w:val="InstructionsTabelleberschrift"/>
                <w:rFonts w:ascii="Times New Roman" w:hAnsi="Times New Roman"/>
                <w:sz w:val="24"/>
              </w:rPr>
              <w:t>1.1.1.1.03</w:t>
            </w:r>
            <w:r w:rsidR="00744F50" w:rsidRPr="00AA1421">
              <w:rPr>
                <w:b/>
                <w:u w:val="single"/>
              </w:rPr>
              <w:tab/>
            </w:r>
            <w:r w:rsidRPr="00AA1421">
              <w:rPr>
                <w:rStyle w:val="InstructionsTabelleberschrift"/>
                <w:rFonts w:ascii="Times New Roman" w:hAnsi="Times New Roman"/>
                <w:sz w:val="24"/>
              </w:rPr>
              <w:t>Ekspozycje wobec podmiotów sektora publicznego</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0100</w:t>
            </w:r>
          </w:p>
        </w:tc>
        <w:tc>
          <w:tcPr>
            <w:tcW w:w="7274" w:type="dxa"/>
          </w:tcPr>
          <w:p w:rsidR="002648B0"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1.1.1.1.04</w:t>
            </w:r>
            <w:r w:rsidR="00744F50" w:rsidRPr="00AA1421">
              <w:rPr>
                <w:b/>
                <w:u w:val="single"/>
              </w:rPr>
              <w:tab/>
            </w:r>
            <w:r w:rsidRPr="00AA1421">
              <w:rPr>
                <w:rStyle w:val="InstructionsTabelleberschrift"/>
                <w:rFonts w:ascii="Times New Roman" w:hAnsi="Times New Roman"/>
                <w:sz w:val="24"/>
              </w:rPr>
              <w:t>Ekspozycje wobec wielostronnych banków rozwoju</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Zob. wzór CR SA </w:t>
            </w:r>
          </w:p>
        </w:tc>
      </w:tr>
      <w:tr w:rsidR="002648B0" w:rsidRPr="00AA1421" w:rsidTr="00672D2A">
        <w:tc>
          <w:tcPr>
            <w:tcW w:w="1591" w:type="dxa"/>
          </w:tcPr>
          <w:p w:rsidR="00783881"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0110</w:t>
            </w:r>
          </w:p>
        </w:tc>
        <w:tc>
          <w:tcPr>
            <w:tcW w:w="7274" w:type="dxa"/>
          </w:tcPr>
          <w:p w:rsidR="005643EA"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1.1.1.1.05</w:t>
            </w:r>
            <w:r w:rsidR="00744F50" w:rsidRPr="00AA1421">
              <w:rPr>
                <w:b/>
                <w:u w:val="single"/>
              </w:rPr>
              <w:tab/>
            </w:r>
            <w:r w:rsidRPr="00AA1421">
              <w:rPr>
                <w:rStyle w:val="InstructionsTabelleberschrift"/>
                <w:rFonts w:ascii="Times New Roman" w:hAnsi="Times New Roman"/>
                <w:sz w:val="24"/>
              </w:rPr>
              <w:t>Ekspozycje wobec organizacji międzynarodowych</w:t>
            </w:r>
          </w:p>
          <w:p w:rsidR="002648B0" w:rsidRPr="00AA1421" w:rsidRDefault="00783881"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CF1093"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0120</w:t>
            </w:r>
          </w:p>
        </w:tc>
        <w:tc>
          <w:tcPr>
            <w:tcW w:w="7274" w:type="dxa"/>
          </w:tcPr>
          <w:p w:rsidR="005643EA" w:rsidRPr="00AA1421" w:rsidRDefault="00783881"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1.1.1.1.06</w:t>
            </w:r>
            <w:r w:rsidR="00744F50" w:rsidRPr="00AA1421">
              <w:rPr>
                <w:b/>
                <w:u w:val="single"/>
              </w:rPr>
              <w:tab/>
            </w:r>
            <w:r w:rsidRPr="00AA1421">
              <w:rPr>
                <w:rStyle w:val="InstructionsTabelleberschrift"/>
                <w:rFonts w:ascii="Times New Roman" w:hAnsi="Times New Roman"/>
                <w:sz w:val="24"/>
              </w:rPr>
              <w:t>Ekspozycje wobec instytucji</w:t>
            </w:r>
          </w:p>
          <w:p w:rsidR="002648B0" w:rsidRPr="00AA1421" w:rsidRDefault="00783881"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0130</w:t>
            </w:r>
          </w:p>
        </w:tc>
        <w:tc>
          <w:tcPr>
            <w:tcW w:w="7274" w:type="dxa"/>
          </w:tcPr>
          <w:p w:rsidR="00783881" w:rsidRPr="00AA1421" w:rsidRDefault="002648B0"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1.1.1.1.07</w:t>
            </w:r>
            <w:r w:rsidR="00744F50" w:rsidRPr="00AA1421">
              <w:rPr>
                <w:b/>
                <w:u w:val="single"/>
              </w:rPr>
              <w:tab/>
            </w:r>
            <w:r w:rsidRPr="00AA1421">
              <w:rPr>
                <w:rStyle w:val="InstructionsTabelleberschrift"/>
                <w:rFonts w:ascii="Times New Roman" w:hAnsi="Times New Roman"/>
                <w:sz w:val="24"/>
              </w:rPr>
              <w:t>Ekspozycje wobec przedsiębiorstw</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0140</w:t>
            </w:r>
          </w:p>
        </w:tc>
        <w:tc>
          <w:tcPr>
            <w:tcW w:w="7274" w:type="dxa"/>
          </w:tcPr>
          <w:p w:rsidR="005643EA" w:rsidRPr="00AA1421" w:rsidRDefault="002648B0" w:rsidP="00487A02">
            <w:pPr>
              <w:pStyle w:val="InstructionsText"/>
              <w:rPr>
                <w:rStyle w:val="FormatvorlageInstructionsTabelleText"/>
                <w:rFonts w:ascii="Times New Roman" w:hAnsi="Times New Roman"/>
                <w:b/>
                <w:bCs w:val="0"/>
                <w:sz w:val="24"/>
                <w:u w:val="single"/>
              </w:rPr>
            </w:pPr>
            <w:r w:rsidRPr="00AA1421">
              <w:rPr>
                <w:rStyle w:val="InstructionsTabelleberschrift"/>
                <w:rFonts w:ascii="Times New Roman" w:hAnsi="Times New Roman"/>
                <w:sz w:val="24"/>
              </w:rPr>
              <w:t>1.1.1.1.08</w:t>
            </w:r>
            <w:r w:rsidR="00744F50" w:rsidRPr="00AA1421">
              <w:rPr>
                <w:b/>
                <w:u w:val="single"/>
              </w:rPr>
              <w:tab/>
            </w:r>
            <w:r w:rsidRPr="00AA1421">
              <w:rPr>
                <w:rStyle w:val="InstructionsTabelleberschrift"/>
                <w:rFonts w:ascii="Times New Roman" w:hAnsi="Times New Roman"/>
                <w:sz w:val="24"/>
              </w:rPr>
              <w:t>Ekspozycje detaliczne</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2648B0"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0150</w:t>
            </w:r>
          </w:p>
        </w:tc>
        <w:tc>
          <w:tcPr>
            <w:tcW w:w="7274" w:type="dxa"/>
          </w:tcPr>
          <w:p w:rsidR="005643EA" w:rsidRPr="00AA1421" w:rsidRDefault="002648B0"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1.1.1.1.09</w:t>
            </w:r>
            <w:r w:rsidR="00744F50" w:rsidRPr="00AA1421">
              <w:rPr>
                <w:b/>
                <w:u w:val="single"/>
              </w:rPr>
              <w:tab/>
            </w:r>
            <w:r w:rsidRPr="00AA1421">
              <w:rPr>
                <w:rStyle w:val="InstructionsTabelleberschrift"/>
                <w:rFonts w:ascii="Times New Roman" w:hAnsi="Times New Roman"/>
                <w:sz w:val="24"/>
              </w:rPr>
              <w:t>Ekspozycje zabezpieczone hipotekami na nieruchomościach</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2648B0"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0160</w:t>
            </w:r>
          </w:p>
        </w:tc>
        <w:tc>
          <w:tcPr>
            <w:tcW w:w="7274" w:type="dxa"/>
          </w:tcPr>
          <w:p w:rsidR="005643EA" w:rsidRPr="00AA1421" w:rsidRDefault="002648B0"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1.1.1.1.10</w:t>
            </w:r>
            <w:r w:rsidR="00744F50" w:rsidRPr="00AA1421">
              <w:rPr>
                <w:b/>
                <w:u w:val="single"/>
              </w:rPr>
              <w:tab/>
            </w:r>
            <w:r w:rsidRPr="00AA1421">
              <w:rPr>
                <w:rStyle w:val="InstructionsTabelleberschrift"/>
                <w:rFonts w:ascii="Times New Roman" w:hAnsi="Times New Roman"/>
                <w:sz w:val="24"/>
              </w:rPr>
              <w:t>Ekspozycje, których dotyczy niewykonanie zobowiązania</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0170</w:t>
            </w:r>
          </w:p>
        </w:tc>
        <w:tc>
          <w:tcPr>
            <w:tcW w:w="7274" w:type="dxa"/>
          </w:tcPr>
          <w:p w:rsidR="00783881"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1.1.1.1.11</w:t>
            </w:r>
            <w:r w:rsidR="00744F50" w:rsidRPr="00AA1421">
              <w:rPr>
                <w:b/>
                <w:u w:val="single"/>
              </w:rPr>
              <w:tab/>
            </w:r>
            <w:r w:rsidRPr="00AA1421">
              <w:rPr>
                <w:rStyle w:val="InstructionsTabelleberschrift"/>
                <w:rFonts w:ascii="Times New Roman" w:hAnsi="Times New Roman"/>
                <w:sz w:val="24"/>
              </w:rPr>
              <w:t>Pozycje związane ze szczególnie wysokim ryzykiem</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783881"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0180</w:t>
            </w:r>
          </w:p>
        </w:tc>
        <w:tc>
          <w:tcPr>
            <w:tcW w:w="7274" w:type="dxa"/>
          </w:tcPr>
          <w:p w:rsidR="005643EA" w:rsidRPr="00AA1421" w:rsidRDefault="002648B0"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1.1.1.1.12</w:t>
            </w:r>
            <w:r w:rsidR="00744F50" w:rsidRPr="00AA1421">
              <w:rPr>
                <w:b/>
                <w:u w:val="single"/>
              </w:rPr>
              <w:tab/>
            </w:r>
            <w:r w:rsidRPr="00AA1421">
              <w:rPr>
                <w:rStyle w:val="InstructionsTabelleberschrift"/>
                <w:rFonts w:ascii="Times New Roman" w:hAnsi="Times New Roman"/>
                <w:sz w:val="24"/>
              </w:rPr>
              <w:t>Obligacje zabezpieczone</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2648B0"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0190</w:t>
            </w:r>
          </w:p>
        </w:tc>
        <w:tc>
          <w:tcPr>
            <w:tcW w:w="7274" w:type="dxa"/>
          </w:tcPr>
          <w:p w:rsidR="005643EA" w:rsidRPr="00AA1421" w:rsidRDefault="002648B0"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1.1.1.1.13</w:t>
            </w:r>
            <w:r w:rsidR="00744F50" w:rsidRPr="00AA1421">
              <w:rPr>
                <w:b/>
                <w:u w:val="single"/>
              </w:rPr>
              <w:tab/>
            </w:r>
            <w:r w:rsidRPr="00AA1421">
              <w:rPr>
                <w:rStyle w:val="InstructionsTabelleberschrift"/>
                <w:rFonts w:ascii="Times New Roman" w:hAnsi="Times New Roman"/>
                <w:sz w:val="24"/>
              </w:rPr>
              <w:t>Ekspozycje z tytułu należności od instytucji i przedsiębiorstw posiadających krótkoterminową ocenę kredytową</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5643EA" w:rsidRPr="00AA1421" w:rsidRDefault="00B13F06"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0200</w:t>
            </w:r>
          </w:p>
        </w:tc>
        <w:tc>
          <w:tcPr>
            <w:tcW w:w="7274" w:type="dxa"/>
          </w:tcPr>
          <w:p w:rsidR="005643EA" w:rsidRPr="00AA1421" w:rsidRDefault="002648B0" w:rsidP="00487A02">
            <w:pPr>
              <w:pStyle w:val="InstructionsText"/>
              <w:rPr>
                <w:rStyle w:val="FormatvorlageInstructionsTabelleText"/>
                <w:rFonts w:ascii="Times New Roman" w:hAnsi="Times New Roman"/>
                <w:bCs w:val="0"/>
                <w:sz w:val="24"/>
              </w:rPr>
            </w:pPr>
            <w:r w:rsidRPr="00AA1421">
              <w:rPr>
                <w:rStyle w:val="InstructionsTabelleberschrift"/>
                <w:rFonts w:ascii="Times New Roman" w:hAnsi="Times New Roman"/>
                <w:sz w:val="24"/>
              </w:rPr>
              <w:t>1.1.1.1.14</w:t>
            </w:r>
            <w:r w:rsidR="00744F50" w:rsidRPr="00AA1421">
              <w:rPr>
                <w:b/>
                <w:u w:val="single"/>
              </w:rPr>
              <w:tab/>
            </w:r>
            <w:r w:rsidRPr="00AA1421">
              <w:rPr>
                <w:rStyle w:val="InstructionsTabelleberschrift"/>
                <w:rFonts w:ascii="Times New Roman" w:hAnsi="Times New Roman"/>
                <w:sz w:val="24"/>
              </w:rPr>
              <w:t>Przedsiębiorstwa zbiorowego inwestowania</w:t>
            </w:r>
          </w:p>
          <w:p w:rsidR="002648B0" w:rsidRPr="00AA1421" w:rsidRDefault="00D212FE"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2648B0"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0210</w:t>
            </w:r>
          </w:p>
        </w:tc>
        <w:tc>
          <w:tcPr>
            <w:tcW w:w="7274" w:type="dxa"/>
          </w:tcPr>
          <w:p w:rsidR="005643EA" w:rsidRPr="00AA1421" w:rsidRDefault="002648B0"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1.1.1.1.15</w:t>
            </w:r>
            <w:r w:rsidR="00744F50" w:rsidRPr="00AA1421">
              <w:rPr>
                <w:b/>
                <w:u w:val="single"/>
              </w:rPr>
              <w:tab/>
            </w:r>
            <w:r w:rsidRPr="00AA1421">
              <w:rPr>
                <w:rStyle w:val="InstructionsTabelleberschrift"/>
                <w:rFonts w:ascii="Times New Roman" w:hAnsi="Times New Roman"/>
                <w:sz w:val="24"/>
              </w:rPr>
              <w:t>Ekspozycje kapitałowe</w:t>
            </w:r>
          </w:p>
          <w:p w:rsidR="002648B0" w:rsidRPr="00AA1421" w:rsidRDefault="00D212FE" w:rsidP="007106FB">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2648B0"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0211</w:t>
            </w:r>
          </w:p>
        </w:tc>
        <w:tc>
          <w:tcPr>
            <w:tcW w:w="7274" w:type="dxa"/>
          </w:tcPr>
          <w:p w:rsidR="005643EA" w:rsidRPr="00AA1421" w:rsidRDefault="002648B0"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1.1.1.1.16</w:t>
            </w:r>
            <w:r w:rsidR="00744F50" w:rsidRPr="00AA1421">
              <w:rPr>
                <w:b/>
                <w:u w:val="single"/>
              </w:rPr>
              <w:tab/>
            </w:r>
            <w:r w:rsidRPr="00AA1421">
              <w:rPr>
                <w:rStyle w:val="InstructionsTabelleberschrift"/>
                <w:rFonts w:ascii="Times New Roman" w:hAnsi="Times New Roman"/>
                <w:sz w:val="24"/>
              </w:rPr>
              <w:t>Inne pozycje</w:t>
            </w:r>
          </w:p>
          <w:p w:rsidR="005643EA" w:rsidRPr="00AA1421" w:rsidRDefault="00D212FE" w:rsidP="00487A02">
            <w:pPr>
              <w:pStyle w:val="InstructionsText"/>
              <w:rPr>
                <w:rStyle w:val="InstructionsTabelleberschrift"/>
                <w:rFonts w:ascii="Times New Roman" w:hAnsi="Times New Roman"/>
                <w:bCs w:val="0"/>
                <w:sz w:val="24"/>
              </w:rPr>
            </w:pPr>
            <w:r w:rsidRPr="00AA1421">
              <w:rPr>
                <w:rStyle w:val="FormatvorlageInstructionsTabelleText"/>
                <w:rFonts w:ascii="Times New Roman" w:hAnsi="Times New Roman"/>
                <w:sz w:val="24"/>
              </w:rPr>
              <w:t>Zob. wzór CR SA</w:t>
            </w:r>
          </w:p>
        </w:tc>
      </w:tr>
      <w:tr w:rsidR="002648B0" w:rsidRPr="00AA1421" w:rsidTr="00672D2A">
        <w:tc>
          <w:tcPr>
            <w:tcW w:w="1591" w:type="dxa"/>
          </w:tcPr>
          <w:p w:rsidR="002648B0"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0240</w:t>
            </w:r>
          </w:p>
        </w:tc>
        <w:tc>
          <w:tcPr>
            <w:tcW w:w="7274" w:type="dxa"/>
          </w:tcPr>
          <w:p w:rsidR="005643EA" w:rsidRPr="00AA1421" w:rsidRDefault="002648B0" w:rsidP="00487A02">
            <w:pPr>
              <w:pStyle w:val="InstructionsText"/>
              <w:rPr>
                <w:rStyle w:val="FormatvorlageInstructionsTabelleText"/>
                <w:rFonts w:ascii="Times New Roman" w:hAnsi="Times New Roman"/>
                <w:sz w:val="24"/>
              </w:rPr>
            </w:pPr>
            <w:r w:rsidRPr="00AA1421">
              <w:rPr>
                <w:rStyle w:val="InstructionsTabelleberschrift"/>
                <w:rFonts w:ascii="Times New Roman" w:hAnsi="Times New Roman"/>
                <w:sz w:val="24"/>
              </w:rPr>
              <w:t>1.1.2</w:t>
            </w:r>
            <w:r w:rsidR="00744F50" w:rsidRPr="00AA1421">
              <w:rPr>
                <w:b/>
                <w:u w:val="single"/>
              </w:rPr>
              <w:tab/>
            </w:r>
            <w:r w:rsidRPr="00AA1421">
              <w:rPr>
                <w:rStyle w:val="InstructionsTabelleberschrift"/>
                <w:rFonts w:ascii="Times New Roman" w:hAnsi="Times New Roman"/>
                <w:sz w:val="24"/>
              </w:rPr>
              <w:t xml:space="preserve">Metoda wewnętrznych ratingów (IRB)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0241</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w:t>
            </w:r>
            <w:r w:rsidR="00744F50" w:rsidRPr="00AA1421">
              <w:rPr>
                <w:b/>
                <w:u w:val="single"/>
              </w:rPr>
              <w:tab/>
            </w:r>
            <w:r w:rsidRPr="00AA1421">
              <w:rPr>
                <w:rStyle w:val="InstructionsTabelleberschrift"/>
                <w:rFonts w:ascii="Times New Roman" w:hAnsi="Times New Roman"/>
                <w:sz w:val="24"/>
              </w:rPr>
              <w:t xml:space="preserve">W tym: z tytułu dodatkowych, surowszych wymogów ostrożnościowych na podstawie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64 CRR</w:t>
            </w:r>
          </w:p>
          <w:p w:rsidR="00802958" w:rsidRPr="00AA1421" w:rsidRDefault="004852B9" w:rsidP="00487A02">
            <w:pPr>
              <w:pStyle w:val="InstructionsText"/>
              <w:rPr>
                <w:rStyle w:val="InstructionsTabelleberschrift"/>
                <w:rFonts w:ascii="Times New Roman" w:hAnsi="Times New Roman"/>
                <w:sz w:val="24"/>
              </w:rPr>
            </w:pPr>
            <w:r w:rsidRPr="00AA1421">
              <w:t xml:space="preserve">Instytucje zgłaszają dodatkowe kwoty ekspozycji na ryzyko niezbędne do osiągnięcia zgodności z surowszymi wymogami ostrożnościowymi podanymi do wiadomości instytucji po powiadomieniu EUNB, zgodnie z </w:t>
            </w:r>
            <w:r w:rsidRPr="00084F66">
              <w:t>art.</w:t>
            </w:r>
            <w:r w:rsidR="00084F66" w:rsidRPr="00084F66">
              <w:t> </w:t>
            </w:r>
            <w:r w:rsidRPr="00084F66">
              <w:t>1</w:t>
            </w:r>
            <w:r w:rsidRPr="00AA1421">
              <w:t xml:space="preserve">64 </w:t>
            </w:r>
            <w:r w:rsidRPr="00084F66">
              <w:t>ust.</w:t>
            </w:r>
            <w:r w:rsidR="00084F66" w:rsidRPr="00084F66">
              <w:t> </w:t>
            </w:r>
            <w:r w:rsidRPr="00084F66">
              <w:t>5</w:t>
            </w:r>
            <w:r w:rsidRPr="00AA1421">
              <w:t xml:space="preserve"> i 7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0242</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w:t>
            </w:r>
            <w:r w:rsidR="00744F50" w:rsidRPr="00AA1421">
              <w:rPr>
                <w:b/>
                <w:u w:val="single"/>
              </w:rPr>
              <w:tab/>
            </w:r>
            <w:r w:rsidRPr="00AA1421">
              <w:rPr>
                <w:rStyle w:val="InstructionsTabelleberschrift"/>
                <w:rFonts w:ascii="Times New Roman" w:hAnsi="Times New Roman"/>
                <w:sz w:val="24"/>
              </w:rPr>
              <w:t xml:space="preserve">W tym: z tytułu dodatkowych, surowszych wymogów ostrożnościowych na podstawie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24 CRR</w:t>
            </w:r>
          </w:p>
          <w:p w:rsidR="00802958" w:rsidRPr="00AA1421" w:rsidRDefault="004852B9" w:rsidP="00487A02">
            <w:pPr>
              <w:pStyle w:val="InstructionsText"/>
              <w:rPr>
                <w:rStyle w:val="InstructionsTabelleberschrift"/>
                <w:rFonts w:ascii="Times New Roman" w:hAnsi="Times New Roman"/>
                <w:sz w:val="24"/>
              </w:rPr>
            </w:pPr>
            <w:r w:rsidRPr="00AA1421">
              <w:t xml:space="preserve">Instytucje zgłaszają dodatkowe kwoty ekspozycji na ryzyko niezbędne do osiągnięcia zgodności z surowszymi wymogami ostrożnościowymi określonymi przez właściwe organy po przeprowadzeniu konsultacji z EUNB, zgodnie z </w:t>
            </w:r>
            <w:r w:rsidRPr="00084F66">
              <w:t>art.</w:t>
            </w:r>
            <w:r w:rsidR="00084F66" w:rsidRPr="00084F66">
              <w:t> </w:t>
            </w:r>
            <w:r w:rsidRPr="00084F66">
              <w:t>1</w:t>
            </w:r>
            <w:r w:rsidRPr="00AA1421">
              <w:t xml:space="preserve">24 </w:t>
            </w:r>
            <w:r w:rsidRPr="00084F66">
              <w:t>ust.</w:t>
            </w:r>
            <w:r w:rsidR="00084F66" w:rsidRPr="00084F66">
              <w:t> </w:t>
            </w:r>
            <w:r w:rsidRPr="00084F66">
              <w:t>2</w:t>
            </w:r>
            <w:r w:rsidRPr="00AA1421">
              <w:t xml:space="preserve"> i 5 CRR, oraz powiązanymi z limitami dotyczącymi uznanej wartości rynkowej zabezpieczenia, jak określono w </w:t>
            </w:r>
            <w:r w:rsidRPr="00084F66">
              <w:t>art.</w:t>
            </w:r>
            <w:r w:rsidR="00084F66" w:rsidRPr="00084F66">
              <w:t> </w:t>
            </w:r>
            <w:r w:rsidRPr="00084F66">
              <w:t>1</w:t>
            </w:r>
            <w:r w:rsidRPr="00AA1421">
              <w:t xml:space="preserve">25 </w:t>
            </w:r>
            <w:r w:rsidRPr="00084F66">
              <w:t>ust.</w:t>
            </w:r>
            <w:r w:rsidR="00084F66" w:rsidRPr="00084F66">
              <w:t> </w:t>
            </w:r>
            <w:r w:rsidRPr="00084F66">
              <w:t>2</w:t>
            </w:r>
            <w:r w:rsidRPr="00AA1421">
              <w:t xml:space="preserve"> </w:t>
            </w:r>
            <w:r w:rsidRPr="00084F66">
              <w:t>lit.</w:t>
            </w:r>
            <w:r w:rsidR="00084F66" w:rsidRPr="00084F66">
              <w:t> </w:t>
            </w:r>
            <w:r w:rsidRPr="00084F66">
              <w:t>d)</w:t>
            </w:r>
            <w:r w:rsidRPr="00AA1421">
              <w:t xml:space="preserve"> oraz </w:t>
            </w:r>
            <w:r w:rsidRPr="00084F66">
              <w:t>art.</w:t>
            </w:r>
            <w:r w:rsidR="00084F66" w:rsidRPr="00084F66">
              <w:t> </w:t>
            </w:r>
            <w:r w:rsidRPr="00084F66">
              <w:t>1</w:t>
            </w:r>
            <w:r w:rsidRPr="00AA1421">
              <w:t xml:space="preserve">26 </w:t>
            </w:r>
            <w:r w:rsidRPr="00084F66">
              <w:t>ust.</w:t>
            </w:r>
            <w:r w:rsidR="00084F66" w:rsidRPr="00084F66">
              <w:t> </w:t>
            </w:r>
            <w:r w:rsidRPr="00084F66">
              <w:t>2</w:t>
            </w:r>
            <w:r w:rsidRPr="00AA1421">
              <w:t xml:space="preserve"> </w:t>
            </w:r>
            <w:r w:rsidRPr="00084F66">
              <w:t>lit.</w:t>
            </w:r>
            <w:r w:rsidR="00084F66" w:rsidRPr="00084F66">
              <w:t> </w:t>
            </w:r>
            <w:r w:rsidRPr="00084F66">
              <w:t>d)</w:t>
            </w:r>
            <w:r w:rsidRPr="00AA1421">
              <w:t xml:space="preserve">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0250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1.1.2.1</w:t>
            </w:r>
            <w:r w:rsidR="00744F50" w:rsidRPr="00AA1421">
              <w:rPr>
                <w:b/>
                <w:u w:val="single"/>
              </w:rPr>
              <w:tab/>
            </w:r>
            <w:r w:rsidRPr="00AA1421">
              <w:rPr>
                <w:rStyle w:val="InstructionsTabelleberschrift"/>
                <w:rFonts w:ascii="Times New Roman" w:hAnsi="Times New Roman"/>
                <w:sz w:val="24"/>
              </w:rPr>
              <w:t>Metody IRB w przypadku gdy nie są stosowane własne oszacowania LGD ani współczynniki konwersji</w:t>
            </w:r>
          </w:p>
          <w:p w:rsidR="00802958" w:rsidRPr="00AA1421" w:rsidRDefault="00802958" w:rsidP="006A6822">
            <w:pPr>
              <w:rPr>
                <w:rStyle w:val="FormatvorlageInstructionsTabelleText"/>
                <w:rFonts w:ascii="Times New Roman" w:hAnsi="Times New Roman"/>
                <w:sz w:val="24"/>
              </w:rPr>
            </w:pPr>
            <w:r w:rsidRPr="00AA1421">
              <w:rPr>
                <w:rStyle w:val="FormatvorlageInstructionsTabelleText"/>
                <w:rFonts w:ascii="Times New Roman" w:hAnsi="Times New Roman"/>
                <w:sz w:val="24"/>
              </w:rPr>
              <w:t>Wzór CR IRB na poziomie ekspozycji całkowitych (jeżeli nie są stosowane własne oszacowania LGD ani współczynniki konwersji)</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0260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1.1.2.1.01</w:t>
            </w:r>
            <w:r w:rsidR="00744F50" w:rsidRPr="00AA1421">
              <w:rPr>
                <w:b/>
                <w:u w:val="single"/>
              </w:rPr>
              <w:tab/>
            </w:r>
            <w:r w:rsidRPr="00AA1421">
              <w:rPr>
                <w:rStyle w:val="InstructionsTabelleberschrift"/>
                <w:rFonts w:ascii="Times New Roman" w:hAnsi="Times New Roman"/>
                <w:sz w:val="24"/>
              </w:rPr>
              <w:t>Ekspozycje wobec rządów centralnych i banków centralnych</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0270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1.1.2.1.02</w:t>
            </w:r>
            <w:r w:rsidR="00744F50" w:rsidRPr="00AA1421">
              <w:rPr>
                <w:b/>
                <w:u w:val="single"/>
              </w:rPr>
              <w:tab/>
            </w:r>
            <w:r w:rsidRPr="00AA1421">
              <w:rPr>
                <w:rStyle w:val="InstructionsTabelleberschrift"/>
                <w:rFonts w:ascii="Times New Roman" w:hAnsi="Times New Roman"/>
                <w:sz w:val="24"/>
              </w:rPr>
              <w:t>Ekspozycje wobec instytucji</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0280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1.1.2.1.03</w:t>
            </w:r>
            <w:r w:rsidR="00744F50" w:rsidRPr="00AA1421">
              <w:rPr>
                <w:b/>
                <w:u w:val="single"/>
              </w:rPr>
              <w:tab/>
            </w:r>
            <w:r w:rsidRPr="00AA1421">
              <w:rPr>
                <w:rStyle w:val="InstructionsTabelleberschrift"/>
                <w:rFonts w:ascii="Times New Roman" w:hAnsi="Times New Roman"/>
                <w:sz w:val="24"/>
              </w:rPr>
              <w:t>Ekspozycje wobec przedsiębiorstw – MŚP</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0290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1.1.2.1.04</w:t>
            </w:r>
            <w:r w:rsidR="00744F50" w:rsidRPr="00AA1421">
              <w:rPr>
                <w:b/>
                <w:u w:val="single"/>
              </w:rPr>
              <w:tab/>
            </w:r>
            <w:r w:rsidRPr="00AA1421">
              <w:rPr>
                <w:rStyle w:val="InstructionsTabelleberschrift"/>
                <w:rFonts w:ascii="Times New Roman" w:hAnsi="Times New Roman"/>
                <w:sz w:val="24"/>
              </w:rPr>
              <w:t>Ekspozycje wobec przedsiębiorstw – kredytowanie specjalistyczne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Zob. wzór CR IRB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0300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1.1.2.1.05</w:t>
            </w:r>
            <w:r w:rsidR="00744F50" w:rsidRPr="00AA1421">
              <w:rPr>
                <w:b/>
                <w:u w:val="single"/>
              </w:rPr>
              <w:tab/>
            </w:r>
            <w:r w:rsidRPr="00AA1421">
              <w:rPr>
                <w:rStyle w:val="InstructionsTabelleberschrift"/>
                <w:rFonts w:ascii="Times New Roman" w:hAnsi="Times New Roman"/>
                <w:sz w:val="24"/>
              </w:rPr>
              <w:t>Ekspozycje wobec przedsiębiorstw – inne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0310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w:t>
            </w:r>
            <w:r w:rsidR="00744F50" w:rsidRPr="00AA1421">
              <w:rPr>
                <w:b/>
                <w:u w:val="single"/>
              </w:rPr>
              <w:tab/>
            </w:r>
            <w:r w:rsidRPr="00AA1421">
              <w:rPr>
                <w:rStyle w:val="InstructionsTabelleberschrift"/>
                <w:rFonts w:ascii="Times New Roman" w:hAnsi="Times New Roman"/>
                <w:sz w:val="24"/>
              </w:rPr>
              <w:t>Metody IRB w przypadku gdy stosowane są własne oszacowania LGD lub współczynniki konwersji</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Wzór CR IRB na poziomie ekspozycji całkowitych (jeżeli stosowane są własne oszacowania LGD lub współczynniki konwersji)</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0320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1.1.2.2.01</w:t>
            </w:r>
            <w:r w:rsidR="00744F50" w:rsidRPr="00AA1421">
              <w:rPr>
                <w:b/>
                <w:u w:val="single"/>
              </w:rPr>
              <w:tab/>
            </w:r>
            <w:r w:rsidRPr="00AA1421">
              <w:rPr>
                <w:rStyle w:val="InstructionsTabelleberschrift"/>
                <w:rFonts w:ascii="Times New Roman" w:hAnsi="Times New Roman"/>
                <w:sz w:val="24"/>
              </w:rPr>
              <w:t>Ekspozycje wobec rządów centralnych i banków centralnych</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0330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1.1.2.2.02</w:t>
            </w:r>
            <w:r w:rsidR="00744F50" w:rsidRPr="00AA1421">
              <w:rPr>
                <w:b/>
                <w:u w:val="single"/>
              </w:rPr>
              <w:tab/>
            </w:r>
            <w:r w:rsidRPr="00AA1421">
              <w:rPr>
                <w:rStyle w:val="InstructionsTabelleberschrift"/>
                <w:rFonts w:ascii="Times New Roman" w:hAnsi="Times New Roman"/>
                <w:sz w:val="24"/>
              </w:rPr>
              <w:t>Ekspozycje wobec instytucji</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Zob. wzór CR IRB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0340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1.1.2.2.03</w:t>
            </w:r>
            <w:r w:rsidR="00744F50" w:rsidRPr="00AA1421">
              <w:rPr>
                <w:b/>
                <w:u w:val="single"/>
              </w:rPr>
              <w:tab/>
            </w:r>
            <w:r w:rsidRPr="00AA1421">
              <w:rPr>
                <w:rStyle w:val="InstructionsTabelleberschrift"/>
                <w:rFonts w:ascii="Times New Roman" w:hAnsi="Times New Roman"/>
                <w:sz w:val="24"/>
              </w:rPr>
              <w:t>Ekspozycje wobec przedsiębiorstw – MŚP</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0350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1.1.2.2.04</w:t>
            </w:r>
            <w:r w:rsidR="00744F50" w:rsidRPr="00AA1421">
              <w:rPr>
                <w:b/>
                <w:u w:val="single"/>
              </w:rPr>
              <w:tab/>
            </w:r>
            <w:r w:rsidRPr="00AA1421">
              <w:rPr>
                <w:rStyle w:val="InstructionsTabelleberschrift"/>
                <w:rFonts w:ascii="Times New Roman" w:hAnsi="Times New Roman"/>
                <w:sz w:val="24"/>
              </w:rPr>
              <w:t>Ekspozycje wobec przedsiębiorstw – kredytowanie specjalistyczne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0360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1.1.2.2.05</w:t>
            </w:r>
            <w:r w:rsidR="00744F50" w:rsidRPr="00AA1421">
              <w:rPr>
                <w:b/>
                <w:u w:val="single"/>
              </w:rPr>
              <w:tab/>
            </w:r>
            <w:r w:rsidRPr="00AA1421">
              <w:rPr>
                <w:rStyle w:val="InstructionsTabelleberschrift"/>
                <w:rFonts w:ascii="Times New Roman" w:hAnsi="Times New Roman"/>
                <w:sz w:val="24"/>
              </w:rPr>
              <w:t>Ekspozycje wobec przedsiębiorstw – inne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0370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1.1.2.2.06</w:t>
            </w:r>
            <w:r w:rsidR="00744F50" w:rsidRPr="00AA1421">
              <w:rPr>
                <w:b/>
                <w:u w:val="single"/>
              </w:rPr>
              <w:tab/>
            </w:r>
            <w:r w:rsidRPr="00AA1421">
              <w:rPr>
                <w:rStyle w:val="InstructionsTabelleberschrift"/>
                <w:rFonts w:ascii="Times New Roman" w:hAnsi="Times New Roman"/>
                <w:sz w:val="24"/>
              </w:rPr>
              <w:t>Ekspozycje detaliczne – wobec MŚP zabezpieczone nieruchomością</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0380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1.1.2.2.07</w:t>
            </w:r>
            <w:r w:rsidR="00744F50" w:rsidRPr="00AA1421">
              <w:rPr>
                <w:b/>
                <w:u w:val="single"/>
              </w:rPr>
              <w:tab/>
            </w:r>
            <w:r w:rsidRPr="00AA1421">
              <w:rPr>
                <w:rStyle w:val="InstructionsTabelleberschrift"/>
                <w:rFonts w:ascii="Times New Roman" w:hAnsi="Times New Roman"/>
                <w:sz w:val="24"/>
              </w:rPr>
              <w:t>Ekspozycje detaliczne – ekspozycje zabezpieczone nieruchomością wobec podmiotów niebędących MŚP</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0390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1.1.2.2.08</w:t>
            </w:r>
            <w:r w:rsidR="00744F50" w:rsidRPr="00AA1421">
              <w:rPr>
                <w:b/>
                <w:u w:val="single"/>
              </w:rPr>
              <w:tab/>
            </w:r>
            <w:r w:rsidRPr="00AA1421">
              <w:rPr>
                <w:rStyle w:val="InstructionsTabelleberschrift"/>
                <w:rFonts w:ascii="Times New Roman" w:hAnsi="Times New Roman"/>
                <w:sz w:val="24"/>
              </w:rPr>
              <w:t>Kwalifikowane odnawialne ekspozycje detaliczne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0400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1.1.2.2.09</w:t>
            </w:r>
            <w:r w:rsidR="00744F50" w:rsidRPr="00AA1421">
              <w:rPr>
                <w:b/>
                <w:u w:val="single"/>
              </w:rPr>
              <w:tab/>
            </w:r>
            <w:r w:rsidRPr="00AA1421">
              <w:rPr>
                <w:rStyle w:val="InstructionsTabelleberschrift"/>
                <w:rFonts w:ascii="Times New Roman" w:hAnsi="Times New Roman"/>
                <w:sz w:val="24"/>
              </w:rPr>
              <w:t>Ekspozycje detaliczne – inne ekspozycje wobec MŚP</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0410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1.1.2.2.10</w:t>
            </w:r>
            <w:r w:rsidR="00744F50" w:rsidRPr="00AA1421">
              <w:rPr>
                <w:b/>
                <w:u w:val="single"/>
              </w:rPr>
              <w:tab/>
            </w:r>
            <w:r w:rsidRPr="00AA1421">
              <w:rPr>
                <w:rStyle w:val="InstructionsTabelleberschrift"/>
                <w:rFonts w:ascii="Times New Roman" w:hAnsi="Times New Roman"/>
                <w:sz w:val="24"/>
              </w:rPr>
              <w:t>Ekspozycje detaliczne – inne ekspozycje wobec podmiotów niebędących MŚP</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0420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1.1.2.3</w:t>
            </w:r>
            <w:r w:rsidR="00744F50" w:rsidRPr="00AA1421">
              <w:rPr>
                <w:b/>
                <w:u w:val="single"/>
              </w:rPr>
              <w:tab/>
            </w:r>
            <w:r w:rsidRPr="00AA1421">
              <w:rPr>
                <w:rStyle w:val="InstructionsTabelleberschrift"/>
                <w:rFonts w:ascii="Times New Roman" w:hAnsi="Times New Roman"/>
                <w:sz w:val="24"/>
              </w:rPr>
              <w:t>Ekspozycje kapitałowe według metody IRB</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EQU IRB</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0450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1.1.2.5</w:t>
            </w:r>
            <w:r w:rsidR="00744F50" w:rsidRPr="00AA1421">
              <w:rPr>
                <w:b/>
                <w:u w:val="single"/>
              </w:rPr>
              <w:tab/>
            </w:r>
            <w:r w:rsidRPr="00AA1421">
              <w:rPr>
                <w:rStyle w:val="InstructionsTabelleberschrift"/>
                <w:rFonts w:ascii="Times New Roman" w:hAnsi="Times New Roman"/>
                <w:sz w:val="24"/>
              </w:rPr>
              <w:t>Inne aktywa niegenerujące zobowiązania kredytowego</w:t>
            </w:r>
          </w:p>
          <w:p w:rsidR="00802958" w:rsidRPr="00AA1421" w:rsidRDefault="00802958" w:rsidP="006A6822">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Kwota, którą należy zgłosić, jest kwotą ekspozycji ważonych ryzykiem obliczoną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56 CRR.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0460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1.1.3</w:t>
            </w:r>
            <w:r w:rsidR="00744F50" w:rsidRPr="00AA1421">
              <w:rPr>
                <w:b/>
                <w:u w:val="single"/>
              </w:rPr>
              <w:tab/>
            </w:r>
            <w:r w:rsidRPr="00AA1421">
              <w:rPr>
                <w:rStyle w:val="InstructionsTabelleberschrift"/>
                <w:rFonts w:ascii="Times New Roman" w:hAnsi="Times New Roman"/>
                <w:sz w:val="24"/>
              </w:rPr>
              <w:t>Kwota ekspozycji na ryzyko z tytułu wkładu do funduszu kontrahenta centralnego na wypadek niewykonania zobowiązania</w:t>
            </w:r>
          </w:p>
          <w:p w:rsidR="00802958" w:rsidRPr="00AA1421" w:rsidRDefault="00802958" w:rsidP="00167619">
            <w:pPr>
              <w:rPr>
                <w:rStyle w:val="FormatvorlageInstructionsTabelleText"/>
                <w:rFonts w:ascii="Times New Roman" w:hAnsi="Times New Roman"/>
                <w:sz w:val="24"/>
              </w:rPr>
            </w:pPr>
            <w:r w:rsidRPr="00AA1421">
              <w:rPr>
                <w:rStyle w:val="FormatvorlageInstructionsTabelleText"/>
                <w:rFonts w:ascii="Times New Roman" w:hAnsi="Times New Roman"/>
                <w:sz w:val="24"/>
              </w:rPr>
              <w:t>Art. 307, 308 i 309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0470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1.1.4 Pozycje sekurytyzacyjne</w:t>
            </w:r>
          </w:p>
          <w:p w:rsidR="00802958" w:rsidRPr="00AA1421" w:rsidRDefault="00802958"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Zob. wzór CR SEC</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0490</w:t>
            </w:r>
          </w:p>
        </w:tc>
        <w:tc>
          <w:tcPr>
            <w:tcW w:w="7274" w:type="dxa"/>
          </w:tcPr>
          <w:p w:rsidR="00802958" w:rsidRPr="00AA1421" w:rsidRDefault="00802958" w:rsidP="00487A02">
            <w:pPr>
              <w:pStyle w:val="InstructionsText"/>
              <w:rPr>
                <w:rStyle w:val="InstructionsTabelleberschrift"/>
                <w:rFonts w:ascii="Times New Roman" w:hAnsi="Times New Roman"/>
                <w:strike/>
                <w:sz w:val="24"/>
              </w:rPr>
            </w:pPr>
            <w:r w:rsidRPr="00AA1421">
              <w:rPr>
                <w:rStyle w:val="InstructionsTabelleberschrift"/>
                <w:rFonts w:ascii="Times New Roman" w:hAnsi="Times New Roman"/>
                <w:sz w:val="24"/>
              </w:rPr>
              <w:t>1.2</w:t>
            </w:r>
            <w:r w:rsidR="00744F50" w:rsidRPr="00AA1421">
              <w:rPr>
                <w:b/>
                <w:u w:val="single"/>
              </w:rPr>
              <w:tab/>
            </w:r>
            <w:r w:rsidRPr="00AA1421">
              <w:rPr>
                <w:rStyle w:val="InstructionsTabelleberschrift"/>
                <w:rFonts w:ascii="Times New Roman" w:hAnsi="Times New Roman"/>
                <w:sz w:val="24"/>
              </w:rPr>
              <w:t>ŁĄCZNA KWOTA EKSPOZYCJI NA RYZYKO ROZLICZENIA/DOSTAWY</w:t>
            </w:r>
          </w:p>
          <w:p w:rsidR="00802958" w:rsidRPr="00AA1421" w:rsidRDefault="006A6822" w:rsidP="006A6822">
            <w:pPr>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Art. 92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(ii)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0500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1.2.1</w:t>
            </w:r>
            <w:r w:rsidR="00744F50" w:rsidRPr="00AA1421">
              <w:rPr>
                <w:b/>
                <w:u w:val="single"/>
              </w:rPr>
              <w:tab/>
            </w:r>
            <w:r w:rsidRPr="00AA1421">
              <w:rPr>
                <w:rStyle w:val="InstructionsTabelleberschrift"/>
                <w:rFonts w:ascii="Times New Roman" w:hAnsi="Times New Roman"/>
                <w:sz w:val="24"/>
              </w:rPr>
              <w:t>Ryzyko rozliczenia/dostawy w portfelu bankowym</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SETT</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0510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1.2.2</w:t>
            </w:r>
            <w:r w:rsidR="00744F50" w:rsidRPr="00AA1421">
              <w:rPr>
                <w:b/>
                <w:u w:val="single"/>
              </w:rPr>
              <w:tab/>
            </w:r>
            <w:r w:rsidRPr="00AA1421">
              <w:rPr>
                <w:rStyle w:val="InstructionsTabelleberschrift"/>
                <w:rFonts w:ascii="Times New Roman" w:hAnsi="Times New Roman"/>
                <w:sz w:val="24"/>
              </w:rPr>
              <w:t>Ryzyko rozliczenia/dostawy w portfelu handlowym</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CR SETT</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0520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 xml:space="preserve">ŁĄCZNA KWOTA EKSPOZYCJI NA RYZYKO Z TYTUŁU RYZYKA POZYCJI, RYZYKA WALUTOWEGO I RYZYKA CEN TOWARÓW </w:t>
            </w:r>
          </w:p>
          <w:p w:rsidR="00802958" w:rsidRPr="00AA1421" w:rsidRDefault="006A6822"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 xml:space="preserve">Art. 92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 oraz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 i (iii)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0530</w:t>
            </w:r>
          </w:p>
        </w:tc>
        <w:tc>
          <w:tcPr>
            <w:tcW w:w="7274" w:type="dxa"/>
          </w:tcPr>
          <w:p w:rsidR="00802958" w:rsidRPr="00AA1421" w:rsidRDefault="00802958"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1.3.1</w:t>
            </w:r>
            <w:r w:rsidR="00744F50" w:rsidRPr="00AA1421">
              <w:rPr>
                <w:b/>
                <w:u w:val="single"/>
              </w:rPr>
              <w:tab/>
            </w:r>
            <w:r w:rsidRPr="00AA1421">
              <w:rPr>
                <w:rStyle w:val="InstructionsTabelleberschrift"/>
                <w:rFonts w:ascii="Times New Roman" w:hAnsi="Times New Roman"/>
                <w:sz w:val="24"/>
              </w:rPr>
              <w:t>Kwota ekspozycji na ryzyko z tytułu ryzyka pozycji, ryzyka walutowego i ryzyka cen towarów według metod standardowych (SA)</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0540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1.3.1.1</w:t>
            </w:r>
            <w:r w:rsidR="00744F50" w:rsidRPr="00AA1421">
              <w:rPr>
                <w:b/>
                <w:u w:val="single"/>
              </w:rPr>
              <w:tab/>
            </w:r>
            <w:r w:rsidRPr="00AA1421">
              <w:rPr>
                <w:rStyle w:val="InstructionsTabelleberschrift"/>
                <w:rFonts w:ascii="Times New Roman" w:hAnsi="Times New Roman"/>
                <w:sz w:val="24"/>
              </w:rPr>
              <w:t>Rynkowe instrumenty dłużne</w:t>
            </w:r>
          </w:p>
          <w:p w:rsidR="00802958" w:rsidRPr="00AA1421" w:rsidRDefault="00802958" w:rsidP="00487A02">
            <w:pPr>
              <w:pStyle w:val="InstructionsText"/>
              <w:rPr>
                <w:rStyle w:val="FormatvorlageInstructionsTabelleText"/>
                <w:rFonts w:ascii="Times New Roman" w:hAnsi="Times New Roman"/>
                <w:bCs w:val="0"/>
                <w:sz w:val="24"/>
              </w:rPr>
            </w:pPr>
            <w:r w:rsidRPr="00AA1421">
              <w:rPr>
                <w:rStyle w:val="InstructionsTabelleberschrift"/>
                <w:rFonts w:ascii="Times New Roman" w:hAnsi="Times New Roman"/>
                <w:b w:val="0"/>
                <w:sz w:val="24"/>
                <w:u w:val="none"/>
              </w:rPr>
              <w:t>Wzór MKR SA TDI przy poziomie całkowitych wartości walut.</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0550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1.3.1.2</w:t>
            </w:r>
            <w:r w:rsidR="00744F50" w:rsidRPr="00AA1421">
              <w:rPr>
                <w:b/>
                <w:u w:val="single"/>
              </w:rPr>
              <w:tab/>
            </w:r>
            <w:r w:rsidRPr="00AA1421">
              <w:rPr>
                <w:rStyle w:val="InstructionsTabelleberschrift"/>
                <w:rFonts w:ascii="Times New Roman" w:hAnsi="Times New Roman"/>
                <w:sz w:val="24"/>
              </w:rPr>
              <w:t>Ekspozycje kapitałowe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Wzór MKR SA EQU na poziomie całkowitych wartości rynków krajowych.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0555</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1.3.1.3</w:t>
            </w:r>
            <w:r w:rsidR="00744F50" w:rsidRPr="00AA1421">
              <w:rPr>
                <w:b/>
                <w:u w:val="single"/>
              </w:rPr>
              <w:tab/>
            </w:r>
            <w:r w:rsidRPr="00AA1421">
              <w:rPr>
                <w:rStyle w:val="InstructionsTabelleberschrift"/>
                <w:rFonts w:ascii="Times New Roman" w:hAnsi="Times New Roman"/>
                <w:sz w:val="24"/>
              </w:rPr>
              <w:t>Szczególna metoda stosowana w odniesieniu do ryzyka pozycji w przedsiębiorstwach zbiorowego inwestowania</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348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50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64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Łączna kwota ekspozycji na ryzyko z tytułu pozycji w przedsiębiorstwach zbiorowego inwestowania, jeżeli wymogi kapitałowe oblicza się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48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CRR niezwłocznie lub w wyniku zastosowania pułapu określonego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50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c)</w:t>
            </w:r>
            <w:r w:rsidRPr="00AA1421">
              <w:rPr>
                <w:rStyle w:val="FormatvorlageInstructionsTabelleText"/>
                <w:rFonts w:ascii="Times New Roman" w:hAnsi="Times New Roman"/>
                <w:sz w:val="24"/>
              </w:rPr>
              <w:t xml:space="preserve"> CRR. Zgodnie z CRR przedmiotowe pozycje nie są bezpośrednio przypisywane do ryzyka stopy procentowej ani ryzyka związanego z inwestowaniem w akcje.</w:t>
            </w:r>
          </w:p>
          <w:p w:rsidR="00802958" w:rsidRPr="00AA1421" w:rsidRDefault="00FF281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 przypadku stosowania metody szczególnej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48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zdanie pierwsze CRR zgłaszana kwota odpowiada kwocie stanowiącej 3</w:t>
            </w:r>
            <w:r w:rsidRPr="00084F66">
              <w:rPr>
                <w:rStyle w:val="FormatvorlageInstructionsTabelleText"/>
                <w:rFonts w:ascii="Times New Roman" w:hAnsi="Times New Roman"/>
                <w:sz w:val="24"/>
              </w:rPr>
              <w:t>2</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pozycji netto danej ekspozycji przedsiębiorstwa zbiorowego inwestowania, pomnożonej przez 12,5. </w:t>
            </w:r>
          </w:p>
          <w:p w:rsidR="00802958" w:rsidRPr="00AA1421" w:rsidRDefault="00FF2818" w:rsidP="006A6822">
            <w:pPr>
              <w:rPr>
                <w:rStyle w:val="InstructionsTabelleberschrift"/>
                <w:rFonts w:ascii="Times New Roman" w:hAnsi="Times New Roman"/>
                <w:sz w:val="24"/>
              </w:rPr>
            </w:pPr>
            <w:r w:rsidRPr="00AA1421">
              <w:rPr>
                <w:rStyle w:val="FormatvorlageInstructionsTabelleText"/>
                <w:rFonts w:ascii="Times New Roman" w:hAnsi="Times New Roman"/>
                <w:sz w:val="24"/>
              </w:rPr>
              <w:t xml:space="preserve">W przypadku stosowania metody szczególnej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48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zdanie drugie CRR zgłaszana kwota odpowiada niższej z następujących wartości: 3</w:t>
            </w:r>
            <w:r w:rsidRPr="00084F66">
              <w:rPr>
                <w:rStyle w:val="FormatvorlageInstructionsTabelleText"/>
                <w:rFonts w:ascii="Times New Roman" w:hAnsi="Times New Roman"/>
                <w:sz w:val="24"/>
              </w:rPr>
              <w:t>2</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pozycji netto odpowiedniej ekspozycji przedsiębiorstwa zbiorowego inwestowania lub różnicy między 4</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tej pozycji netto a wymogami w zakresie funduszy własnych wynikającymi z ryzyka walutowego powiązanego z tą ekspozycją przedsiębiorstwa zbiorowego inwestowania, każdorazowo pomnożonej przez 12,5.</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0556</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1.3.1.3.*</w:t>
            </w:r>
            <w:r w:rsidR="00744F50" w:rsidRPr="00AA1421">
              <w:rPr>
                <w:b/>
                <w:u w:val="single"/>
              </w:rPr>
              <w:tab/>
            </w:r>
            <w:r w:rsidRPr="00AA1421">
              <w:rPr>
                <w:rStyle w:val="InstructionsTabelleberschrift"/>
                <w:rFonts w:ascii="Times New Roman" w:hAnsi="Times New Roman"/>
                <w:sz w:val="24"/>
              </w:rPr>
              <w:t>Pozycja uzupełniająca: Przedsiębiorstwa zbiorowego inwestowania, które zainwestowały wyłącznie w rynkowe instrumenty dłużne</w:t>
            </w:r>
          </w:p>
          <w:p w:rsidR="00802958" w:rsidRPr="00AA1421" w:rsidRDefault="00802958" w:rsidP="00802958">
            <w:pPr>
              <w:rPr>
                <w:rStyle w:val="InstructionsTabelleberschrift"/>
                <w:rFonts w:ascii="Times New Roman" w:hAnsi="Times New Roman"/>
                <w:sz w:val="24"/>
              </w:rPr>
            </w:pPr>
            <w:r w:rsidRPr="00AA1421">
              <w:rPr>
                <w:rStyle w:val="FormatvorlageInstructionsTabelleText"/>
                <w:rFonts w:ascii="Times New Roman" w:hAnsi="Times New Roman"/>
                <w:sz w:val="24"/>
              </w:rPr>
              <w:lastRenderedPageBreak/>
              <w:t>Łączna kwota ekspozycji na ryzyko z tytułu pozycji w przedsiębiorstwach zbiorowego inwestowania, jeżeli przedsiębiorstwo zbiorowego inwestowania zainwestowało wyłącznie w instrumenty narażone na ryzyko stopy procentowej.</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0557</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1.3.1.3.**</w:t>
            </w:r>
            <w:r w:rsidR="00744F50" w:rsidRPr="00AA1421">
              <w:rPr>
                <w:b/>
                <w:u w:val="single"/>
              </w:rPr>
              <w:tab/>
            </w:r>
            <w:r w:rsidRPr="00AA1421">
              <w:rPr>
                <w:rStyle w:val="InstructionsTabelleberschrift"/>
                <w:rFonts w:ascii="Times New Roman" w:hAnsi="Times New Roman"/>
                <w:sz w:val="24"/>
              </w:rPr>
              <w:t>Przedsiębiorstwa zbiorowego inwestowania, które zainwestowały wyłącznie w instrumenty udziałowe lub w instrumenty mieszane</w:t>
            </w:r>
          </w:p>
          <w:p w:rsidR="00802958" w:rsidRPr="00AA1421" w:rsidRDefault="00802958" w:rsidP="00802958">
            <w:pPr>
              <w:rPr>
                <w:rStyle w:val="InstructionsTabelleberschrift"/>
                <w:rFonts w:ascii="Times New Roman" w:hAnsi="Times New Roman"/>
                <w:sz w:val="24"/>
              </w:rPr>
            </w:pPr>
            <w:r w:rsidRPr="00AA1421">
              <w:rPr>
                <w:rStyle w:val="FormatvorlageInstructionsTabelleText"/>
                <w:rFonts w:ascii="Times New Roman" w:hAnsi="Times New Roman"/>
                <w:sz w:val="24"/>
              </w:rPr>
              <w:t>Łączna kwota ekspozycji na ryzyko z tytułu pozycji w przedsiębiorstwach zbiorowego inwestowania, jeżeli przedsiębiorstwo zbiorowego inwestowania zainwestowało wyłącznie w instrumenty narażone na ryzyko związane z inwestowaniem w akcje albo w instrumenty mieszane lub też jeżeli części składowe przedsiębiorstwa zbiorowego inwestowania są nieznane.</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0560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1.3.1.4</w:t>
            </w:r>
            <w:r w:rsidR="00744F50" w:rsidRPr="00AA1421">
              <w:rPr>
                <w:b/>
                <w:u w:val="single"/>
              </w:rPr>
              <w:tab/>
            </w:r>
            <w:r w:rsidRPr="00AA1421">
              <w:rPr>
                <w:rStyle w:val="InstructionsTabelleberschrift"/>
                <w:rFonts w:ascii="Times New Roman" w:hAnsi="Times New Roman"/>
                <w:sz w:val="24"/>
              </w:rPr>
              <w:t>Ryzyko walutowe</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MKR SA FX</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0570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1.3.1.5</w:t>
            </w:r>
            <w:r w:rsidR="00744F50" w:rsidRPr="00AA1421">
              <w:rPr>
                <w:b/>
                <w:u w:val="single"/>
              </w:rPr>
              <w:tab/>
            </w:r>
            <w:r w:rsidRPr="00AA1421">
              <w:rPr>
                <w:rStyle w:val="InstructionsTabelleberschrift"/>
                <w:rFonts w:ascii="Times New Roman" w:hAnsi="Times New Roman"/>
                <w:sz w:val="24"/>
              </w:rPr>
              <w:t>Ryzyko cen towarów</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MKR SA COM</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0580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1.3.2</w:t>
            </w:r>
            <w:r w:rsidR="00744F50" w:rsidRPr="00AA1421">
              <w:rPr>
                <w:b/>
                <w:u w:val="single"/>
              </w:rPr>
              <w:tab/>
            </w:r>
            <w:r w:rsidRPr="00AA1421">
              <w:rPr>
                <w:rStyle w:val="InstructionsTabelleberschrift"/>
                <w:rFonts w:ascii="Times New Roman" w:hAnsi="Times New Roman"/>
                <w:sz w:val="24"/>
              </w:rPr>
              <w:t>Kwota ekspozycji na ryzyko z tytułu ryzyka pozycji, ryzyka walutowego i ryzyka cen towarów według modeli wewnętrznych</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MKR IM</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0590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1.4</w:t>
            </w:r>
            <w:r w:rsidR="00744F50" w:rsidRPr="00AA1421">
              <w:rPr>
                <w:b/>
                <w:u w:val="single"/>
              </w:rPr>
              <w:tab/>
            </w:r>
            <w:r w:rsidRPr="00AA1421">
              <w:rPr>
                <w:rStyle w:val="InstructionsTabelleberschrift"/>
                <w:rFonts w:ascii="Times New Roman" w:hAnsi="Times New Roman"/>
                <w:sz w:val="24"/>
              </w:rPr>
              <w:t>ŁĄCZNA KWOTA EKSPOZYCJI NA RYZYKO Z TYTUŁU RYZYKA OPERACYJNEGO</w:t>
            </w:r>
          </w:p>
          <w:p w:rsidR="00802958" w:rsidRPr="00AA1421" w:rsidRDefault="006A6822"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 xml:space="preserve">Art. 92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e)</w:t>
            </w:r>
            <w:r w:rsidRPr="00AA1421">
              <w:rPr>
                <w:rStyle w:val="FormatvorlageInstructionsTabelleText"/>
                <w:rFonts w:ascii="Times New Roman" w:hAnsi="Times New Roman"/>
                <w:sz w:val="24"/>
              </w:rPr>
              <w:t xml:space="preserve">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w:t>
            </w:r>
          </w:p>
          <w:p w:rsidR="00802958" w:rsidRPr="00AA1421" w:rsidRDefault="00802958" w:rsidP="006A6822">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 przypadku firm inwestycyjnych, o których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oraz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8 CRR, wartość tego elementu wynosi zero.</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0600</w:t>
            </w:r>
          </w:p>
        </w:tc>
        <w:tc>
          <w:tcPr>
            <w:tcW w:w="7274" w:type="dxa"/>
          </w:tcPr>
          <w:p w:rsidR="00802958" w:rsidRPr="00AA1421" w:rsidRDefault="00802958" w:rsidP="00487A02">
            <w:pPr>
              <w:pStyle w:val="InstructionsText"/>
              <w:rPr>
                <w:rStyle w:val="FormatvorlageInstructionsTabelleText"/>
                <w:rFonts w:ascii="Times New Roman" w:hAnsi="Times New Roman"/>
                <w:bCs w:val="0"/>
                <w:sz w:val="24"/>
              </w:rPr>
            </w:pPr>
            <w:r w:rsidRPr="00AA1421">
              <w:rPr>
                <w:rStyle w:val="InstructionsTabelleberschrift"/>
                <w:rFonts w:ascii="Times New Roman" w:hAnsi="Times New Roman"/>
                <w:sz w:val="24"/>
              </w:rPr>
              <w:t>1.4.1</w:t>
            </w:r>
            <w:r w:rsidR="00744F50" w:rsidRPr="00AA1421">
              <w:rPr>
                <w:b/>
                <w:u w:val="single"/>
              </w:rPr>
              <w:tab/>
            </w:r>
            <w:r w:rsidRPr="00AA1421">
              <w:rPr>
                <w:rStyle w:val="InstructionsTabelleberschrift"/>
                <w:rFonts w:ascii="Times New Roman" w:hAnsi="Times New Roman"/>
                <w:sz w:val="24"/>
              </w:rPr>
              <w:t>Ryzyko operacyjne według metody wskaźnika bazowego</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OPR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0610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1.4.2</w:t>
            </w:r>
            <w:r w:rsidR="00744F50" w:rsidRPr="00AA1421">
              <w:rPr>
                <w:b/>
                <w:u w:val="single"/>
              </w:rPr>
              <w:tab/>
            </w:r>
            <w:r w:rsidRPr="00AA1421">
              <w:rPr>
                <w:rStyle w:val="InstructionsTabelleberschrift"/>
                <w:rFonts w:ascii="Times New Roman" w:hAnsi="Times New Roman"/>
                <w:sz w:val="24"/>
              </w:rPr>
              <w:t>Ryzyko operacyjne według metody standardowej/alternatywnej metody standardowej</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OPR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0620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1.4.3</w:t>
            </w:r>
            <w:r w:rsidR="00744F50" w:rsidRPr="00AA1421">
              <w:rPr>
                <w:b/>
                <w:u w:val="single"/>
              </w:rPr>
              <w:tab/>
            </w:r>
            <w:r w:rsidRPr="00AA1421">
              <w:rPr>
                <w:rStyle w:val="InstructionsTabelleberschrift"/>
                <w:rFonts w:ascii="Times New Roman" w:hAnsi="Times New Roman"/>
                <w:sz w:val="24"/>
              </w:rPr>
              <w:t>Metody zaawansowanego pomiaru w odniesieniu do ryzyka operacyjnego</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OPR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0630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1.5</w:t>
            </w:r>
            <w:r w:rsidR="00744F50" w:rsidRPr="00AA1421">
              <w:rPr>
                <w:b/>
                <w:u w:val="single"/>
              </w:rPr>
              <w:tab/>
            </w:r>
            <w:r w:rsidRPr="00AA1421">
              <w:rPr>
                <w:rStyle w:val="InstructionsTabelleberschrift"/>
                <w:rFonts w:ascii="Times New Roman" w:hAnsi="Times New Roman"/>
                <w:sz w:val="24"/>
              </w:rPr>
              <w:t>DODATKOWA KWOTA EKSPOZYCJI NA RYZYKO Z TYTUŁU STAŁYCH KOSZTÓW POŚREDNICH</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Art. 95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i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7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Jedynie w przypadku firm inwestycyjnych, o których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6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oraz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8 CRR Zob. także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7 CRR. </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Firmy inwestycyjne, o których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6 CRR, zgłaszają kwotę, o której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7, pomnożoną przez liczbę 12,5.</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Firmy inwestycyjne, o których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5 CRR, zgłaszają w następujący sposób:</w:t>
            </w:r>
          </w:p>
          <w:p w:rsidR="00802958" w:rsidRPr="00AA1421" w:rsidRDefault="00802958" w:rsidP="00487A02">
            <w:pPr>
              <w:pStyle w:val="InstructionsText"/>
              <w:rPr>
                <w:rStyle w:val="FormatvorlageInstructionsTabelleText"/>
                <w:rFonts w:ascii="Times New Roman" w:hAnsi="Times New Roman"/>
                <w:sz w:val="24"/>
              </w:rPr>
            </w:pPr>
            <w:r w:rsidRPr="00AA1421">
              <w:rPr>
                <w:rStyle w:val="FormatvorlageInstructionsTabelleText"/>
                <w:rFonts w:ascii="Arial" w:hAnsi="Arial"/>
                <w:sz w:val="24"/>
              </w:rPr>
              <w:t>-</w:t>
            </w:r>
            <w:r w:rsidRPr="00AA1421">
              <w:tab/>
            </w:r>
            <w:r w:rsidRPr="00AA1421">
              <w:rPr>
                <w:rStyle w:val="FormatvorlageInstructionsTabelleText"/>
                <w:rFonts w:ascii="Times New Roman" w:hAnsi="Times New Roman"/>
                <w:sz w:val="24"/>
              </w:rPr>
              <w:t xml:space="preserve">jeżeli </w:t>
            </w:r>
            <w:r w:rsidRPr="00AA1421">
              <w:t>kwota</w:t>
            </w:r>
            <w:r w:rsidRPr="00AA1421">
              <w:rPr>
                <w:rStyle w:val="FormatvorlageInstructionsTabelleText"/>
                <w:rFonts w:ascii="Times New Roman" w:hAnsi="Times New Roman"/>
                <w:sz w:val="24"/>
              </w:rPr>
              <w:t xml:space="preserve">, o której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 jest większa niż kwota, o której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 zgłaszają kwotę równą zero;</w:t>
            </w:r>
          </w:p>
          <w:p w:rsidR="00802958" w:rsidRPr="00AA1421" w:rsidRDefault="00802958" w:rsidP="00487A02">
            <w:pPr>
              <w:pStyle w:val="InstructionsText"/>
              <w:rPr>
                <w:rStyle w:val="FormatvorlageInstructionsTabelleText"/>
                <w:rFonts w:ascii="Times New Roman" w:hAnsi="Times New Roman"/>
                <w:sz w:val="24"/>
              </w:rPr>
            </w:pPr>
            <w:r w:rsidRPr="00AA1421">
              <w:rPr>
                <w:rStyle w:val="FormatvorlageInstructionsTabelleText"/>
                <w:rFonts w:ascii="Arial" w:hAnsi="Arial"/>
                <w:sz w:val="24"/>
              </w:rPr>
              <w:t>-</w:t>
            </w:r>
            <w:r w:rsidRPr="00AA1421">
              <w:tab/>
            </w:r>
            <w:r w:rsidRPr="00AA1421">
              <w:rPr>
                <w:rStyle w:val="FormatvorlageInstructionsTabelleText"/>
                <w:rFonts w:ascii="Times New Roman" w:hAnsi="Times New Roman"/>
                <w:sz w:val="24"/>
              </w:rPr>
              <w:t xml:space="preserve">jeżeli </w:t>
            </w:r>
            <w:r w:rsidRPr="00AA1421">
              <w:t>kwota</w:t>
            </w:r>
            <w:r w:rsidRPr="00AA1421">
              <w:rPr>
                <w:rStyle w:val="FormatvorlageInstructionsTabelleText"/>
                <w:rFonts w:ascii="Times New Roman" w:hAnsi="Times New Roman"/>
                <w:sz w:val="24"/>
              </w:rPr>
              <w:t xml:space="preserve">, o której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CRR, jest większa niż kwota, o której mowa w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9</w:t>
            </w:r>
            <w:r w:rsidRPr="00AA1421">
              <w:rPr>
                <w:rStyle w:val="FormatvorlageInstructionsTabelleText"/>
                <w:rFonts w:ascii="Times New Roman" w:hAnsi="Times New Roman"/>
                <w:sz w:val="24"/>
              </w:rPr>
              <w:t xml:space="preserve">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a)</w:t>
            </w:r>
            <w:r w:rsidRPr="00AA1421">
              <w:rPr>
                <w:rStyle w:val="FormatvorlageInstructionsTabelleText"/>
                <w:rFonts w:ascii="Times New Roman" w:hAnsi="Times New Roman"/>
                <w:sz w:val="24"/>
              </w:rPr>
              <w:t xml:space="preserve"> CRR, zgłaszają kwotę będącą wynikiem odjęcia tej drugiej kwoty od pierwszej.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0640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1.6</w:t>
            </w:r>
            <w:r w:rsidR="00744F50" w:rsidRPr="00AA1421">
              <w:rPr>
                <w:b/>
                <w:u w:val="single"/>
              </w:rPr>
              <w:tab/>
            </w:r>
            <w:r w:rsidRPr="00AA1421">
              <w:rPr>
                <w:rStyle w:val="InstructionsTabelleberschrift"/>
                <w:rFonts w:ascii="Times New Roman" w:hAnsi="Times New Roman"/>
                <w:sz w:val="24"/>
              </w:rPr>
              <w:t>ŁĄCZNA KWOTA EKSPOZYCJI NA RYZYKO Z TYTUŁU KOREKTY WYCENY KREDYTOWEJ</w:t>
            </w:r>
          </w:p>
          <w:p w:rsidR="00E3279F" w:rsidRPr="00AA1421" w:rsidRDefault="006A6822"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92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d)</w:t>
            </w:r>
            <w:r w:rsidRPr="00AA1421">
              <w:rPr>
                <w:rStyle w:val="InstructionsTabelleberschrift"/>
                <w:rFonts w:ascii="Times New Roman" w:hAnsi="Times New Roman"/>
                <w:b w:val="0"/>
                <w:sz w:val="24"/>
                <w:u w:val="none"/>
              </w:rPr>
              <w:t xml:space="preserve"> CRR</w:t>
            </w:r>
          </w:p>
          <w:p w:rsidR="00802958" w:rsidRPr="00AA1421" w:rsidRDefault="00802958" w:rsidP="00487A02">
            <w:pPr>
              <w:pStyle w:val="InstructionsText"/>
              <w:rPr>
                <w:rStyle w:val="FormatvorlageInstructionsTabelleText"/>
                <w:rFonts w:ascii="Times New Roman" w:hAnsi="Times New Roman"/>
                <w:bCs w:val="0"/>
                <w:sz w:val="24"/>
              </w:rPr>
            </w:pPr>
            <w:r w:rsidRPr="00AA1421">
              <w:rPr>
                <w:rStyle w:val="InstructionsTabelleberschrift"/>
                <w:rFonts w:ascii="Times New Roman" w:hAnsi="Times New Roman"/>
                <w:b w:val="0"/>
                <w:sz w:val="24"/>
                <w:u w:val="none"/>
              </w:rPr>
              <w:t>Zob. wzór CVA.</w:t>
            </w:r>
            <w:r w:rsidRPr="00AA1421">
              <w:rPr>
                <w:rStyle w:val="FormatvorlageInstructionsTabelleText"/>
                <w:rFonts w:ascii="Times New Roman" w:hAnsi="Times New Roman"/>
                <w:sz w:val="24"/>
              </w:rPr>
              <w:t xml:space="preserve">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0650</w:t>
            </w:r>
          </w:p>
        </w:tc>
        <w:tc>
          <w:tcPr>
            <w:tcW w:w="7274" w:type="dxa"/>
          </w:tcPr>
          <w:p w:rsidR="00802958" w:rsidRPr="00AA1421" w:rsidRDefault="00802958"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1.6.1</w:t>
            </w:r>
            <w:r w:rsidR="00744F50" w:rsidRPr="00AA1421">
              <w:rPr>
                <w:b/>
                <w:u w:val="single"/>
              </w:rPr>
              <w:tab/>
            </w:r>
            <w:r w:rsidRPr="00AA1421">
              <w:rPr>
                <w:rStyle w:val="InstructionsTabelleberschrift"/>
                <w:rFonts w:ascii="Times New Roman" w:hAnsi="Times New Roman"/>
                <w:sz w:val="24"/>
              </w:rPr>
              <w:t>Metoda zaawansowana</w:t>
            </w:r>
          </w:p>
          <w:p w:rsidR="001E3EF1"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Wymogi w zakresie funduszy własnych z tytułu ryzyka związanego z korektą wyceny kredytowej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83 CRR.</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CVA.</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0660</w:t>
            </w:r>
          </w:p>
        </w:tc>
        <w:tc>
          <w:tcPr>
            <w:tcW w:w="7274" w:type="dxa"/>
          </w:tcPr>
          <w:p w:rsidR="00802958" w:rsidRPr="00AA1421" w:rsidRDefault="00802958"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1.6.2</w:t>
            </w:r>
            <w:r w:rsidR="00744F50" w:rsidRPr="00AA1421">
              <w:rPr>
                <w:b/>
                <w:u w:val="single"/>
              </w:rPr>
              <w:tab/>
            </w:r>
            <w:r w:rsidRPr="00AA1421">
              <w:rPr>
                <w:rStyle w:val="InstructionsTabelleberschrift"/>
                <w:rFonts w:ascii="Times New Roman" w:hAnsi="Times New Roman"/>
                <w:sz w:val="24"/>
              </w:rPr>
              <w:t>Metoda standardowa</w:t>
            </w:r>
          </w:p>
          <w:p w:rsidR="001E3EF1"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Wymogi w zakresie funduszy własnych z tytułu ryzyka związanego z korektą wyceny kredytowej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84 CRR. </w:t>
            </w:r>
          </w:p>
          <w:p w:rsidR="00802958" w:rsidRPr="00AA1421" w:rsidRDefault="00802958" w:rsidP="00802958">
            <w:pPr>
              <w:rPr>
                <w:rStyle w:val="FormatvorlageInstructionsTabelleText"/>
                <w:rFonts w:ascii="Times New Roman" w:hAnsi="Times New Roman"/>
                <w:sz w:val="24"/>
              </w:rPr>
            </w:pPr>
            <w:r w:rsidRPr="00AA1421">
              <w:rPr>
                <w:rStyle w:val="FormatvorlageInstructionsTabelleText"/>
                <w:rFonts w:ascii="Times New Roman" w:hAnsi="Times New Roman"/>
                <w:sz w:val="24"/>
              </w:rPr>
              <w:t>Zob. wzór CVA.</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0670</w:t>
            </w:r>
          </w:p>
        </w:tc>
        <w:tc>
          <w:tcPr>
            <w:tcW w:w="7274" w:type="dxa"/>
          </w:tcPr>
          <w:p w:rsidR="00802958" w:rsidRPr="00AA1421" w:rsidRDefault="00802958"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1.6.3.</w:t>
            </w:r>
            <w:r w:rsidR="00744F50" w:rsidRPr="00AA1421">
              <w:rPr>
                <w:b/>
                <w:u w:val="single"/>
              </w:rPr>
              <w:tab/>
            </w:r>
            <w:r w:rsidRPr="00AA1421">
              <w:rPr>
                <w:rStyle w:val="InstructionsTabelleberschrift"/>
                <w:rFonts w:ascii="Times New Roman" w:hAnsi="Times New Roman"/>
                <w:sz w:val="24"/>
              </w:rPr>
              <w:t>Na podstawie metody wyceny pierwotnej ekspozycji</w:t>
            </w:r>
          </w:p>
          <w:p w:rsidR="001E3EF1" w:rsidRPr="00AA1421" w:rsidRDefault="0080295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 xml:space="preserve">Wymogi w zakresie funduszy własnych z tytułu ryzyka związanego z korektą wyceny kredytowej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85 CRR. </w:t>
            </w:r>
          </w:p>
          <w:p w:rsidR="00802958" w:rsidRPr="00AA1421" w:rsidRDefault="00802958" w:rsidP="00487A02">
            <w:pPr>
              <w:pStyle w:val="InstructionsText"/>
              <w:rPr>
                <w:rStyle w:val="InstructionsTabelleberschrift"/>
                <w:rFonts w:ascii="Times New Roman" w:hAnsi="Times New Roman"/>
                <w:b w:val="0"/>
                <w:bCs w:val="0"/>
                <w:sz w:val="24"/>
                <w:u w:val="none"/>
              </w:rPr>
            </w:pPr>
            <w:r w:rsidRPr="00AA1421">
              <w:rPr>
                <w:rStyle w:val="FormatvorlageInstructionsTabelleText"/>
                <w:rFonts w:ascii="Times New Roman" w:hAnsi="Times New Roman"/>
                <w:sz w:val="24"/>
              </w:rPr>
              <w:t>Zob. wzór CVA.</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0680</w:t>
            </w:r>
          </w:p>
        </w:tc>
        <w:tc>
          <w:tcPr>
            <w:tcW w:w="7274" w:type="dxa"/>
          </w:tcPr>
          <w:p w:rsidR="00802958" w:rsidRPr="00AA1421" w:rsidRDefault="00802958" w:rsidP="00487A02">
            <w:pPr>
              <w:pStyle w:val="InstructionsText"/>
              <w:rPr>
                <w:rStyle w:val="FormatvorlageInstructionsTabelleText"/>
                <w:rFonts w:ascii="Times New Roman" w:hAnsi="Times New Roman"/>
                <w:b/>
                <w:bCs w:val="0"/>
                <w:sz w:val="24"/>
                <w:u w:val="single"/>
              </w:rPr>
            </w:pPr>
            <w:r w:rsidRPr="00AA1421">
              <w:rPr>
                <w:rStyle w:val="InstructionsTabelleberschrift"/>
                <w:rFonts w:ascii="Times New Roman" w:hAnsi="Times New Roman"/>
                <w:sz w:val="24"/>
              </w:rPr>
              <w:t>1.7</w:t>
            </w:r>
            <w:r w:rsidR="00744F50" w:rsidRPr="00AA1421">
              <w:rPr>
                <w:b/>
                <w:u w:val="single"/>
              </w:rPr>
              <w:tab/>
            </w:r>
            <w:r w:rsidRPr="00AA1421">
              <w:rPr>
                <w:rStyle w:val="InstructionsTabelleberschrift"/>
                <w:rFonts w:ascii="Times New Roman" w:hAnsi="Times New Roman"/>
                <w:sz w:val="24"/>
              </w:rPr>
              <w:t>ŁĄCZNA KWOTA EKSPOZYCJI NA RYZYKO Z TYTUŁU DUŻYCH EKSPOZYCJI W PORTFELU HANDLOWYM</w:t>
            </w:r>
          </w:p>
          <w:p w:rsidR="00802958" w:rsidRPr="00AA1421" w:rsidRDefault="006A6822"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 xml:space="preserve">Art. 92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w:t>
            </w:r>
            <w:proofErr w:type="spellStart"/>
            <w:r w:rsidRPr="00AA1421">
              <w:rPr>
                <w:rStyle w:val="FormatvorlageInstructionsTabelleText"/>
                <w:rFonts w:ascii="Times New Roman" w:hAnsi="Times New Roman"/>
                <w:sz w:val="24"/>
              </w:rPr>
              <w:t>ppkt</w:t>
            </w:r>
            <w:proofErr w:type="spellEnd"/>
            <w:r w:rsidRPr="00AA1421">
              <w:rPr>
                <w:rStyle w:val="FormatvorlageInstructionsTabelleText"/>
                <w:rFonts w:ascii="Times New Roman" w:hAnsi="Times New Roman"/>
                <w:sz w:val="24"/>
              </w:rPr>
              <w:t xml:space="preserve"> (ii) oraz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3</w:t>
            </w:r>
            <w:r w:rsidRPr="00AA1421">
              <w:rPr>
                <w:rStyle w:val="FormatvorlageInstructionsTabelleText"/>
                <w:rFonts w:ascii="Times New Roman" w:hAnsi="Times New Roman"/>
                <w:sz w:val="24"/>
              </w:rPr>
              <w:t>95–401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0690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1.8</w:t>
            </w:r>
            <w:r w:rsidR="00744F50" w:rsidRPr="00AA1421">
              <w:rPr>
                <w:b/>
                <w:u w:val="single"/>
              </w:rPr>
              <w:tab/>
            </w:r>
            <w:r w:rsidRPr="00AA1421">
              <w:rPr>
                <w:rStyle w:val="InstructionsTabelleberschrift"/>
                <w:rFonts w:ascii="Times New Roman" w:hAnsi="Times New Roman"/>
                <w:sz w:val="24"/>
              </w:rPr>
              <w:t>KWOTY INNYCH EKSPOZYCJI NA RYZYKO</w:t>
            </w:r>
          </w:p>
          <w:p w:rsidR="00802958" w:rsidRPr="00AA1421" w:rsidRDefault="00802958" w:rsidP="00487A02">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Art. 3, 458 i 459 CRR oraz kwoty ekspozycji na ryzyko, których nie można przypisać do jednej z pozycji </w:t>
            </w:r>
            <w:r w:rsidRPr="00084F66">
              <w:rPr>
                <w:rStyle w:val="InstructionsTabelleberschrift"/>
                <w:rFonts w:ascii="Times New Roman" w:hAnsi="Times New Roman"/>
                <w:b w:val="0"/>
                <w:sz w:val="24"/>
                <w:u w:val="none"/>
              </w:rPr>
              <w:t>od</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.1 </w:t>
            </w:r>
            <w:r w:rsidRPr="00084F66">
              <w:rPr>
                <w:rStyle w:val="InstructionsTabelleberschrift"/>
                <w:rFonts w:ascii="Times New Roman" w:hAnsi="Times New Roman"/>
                <w:b w:val="0"/>
                <w:sz w:val="24"/>
                <w:u w:val="none"/>
              </w:rPr>
              <w:t>do</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.7. </w:t>
            </w:r>
          </w:p>
          <w:p w:rsidR="00802958" w:rsidRPr="00AA1421" w:rsidRDefault="00802958" w:rsidP="00487A02">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Instytucje zgłaszają kwoty niezbędne do osiągnięcia zgodności z:</w:t>
            </w:r>
          </w:p>
          <w:p w:rsidR="00802958" w:rsidRPr="00AA1421" w:rsidRDefault="00802958" w:rsidP="00487A02">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Surowszymi wymogami ostrożnościowymi nałożonymi przez Komisję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58 i 459 CRR. </w:t>
            </w:r>
          </w:p>
          <w:p w:rsidR="00802958" w:rsidRPr="00AA1421" w:rsidRDefault="00802958" w:rsidP="00487A02">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Dodatkowymi kwotami ekspozycji na ryzyko z tytułu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CRR.</w:t>
            </w:r>
          </w:p>
          <w:p w:rsidR="00802958" w:rsidRPr="00AA1421" w:rsidRDefault="00802958" w:rsidP="00487A02">
            <w:pPr>
              <w:pStyle w:val="InstructionsText"/>
              <w:rPr>
                <w:rStyle w:val="InstructionsTabelleberschrift"/>
                <w:rFonts w:ascii="Times New Roman" w:hAnsi="Times New Roman"/>
                <w:bCs w:val="0"/>
                <w:sz w:val="24"/>
                <w:u w:val="none"/>
              </w:rPr>
            </w:pPr>
            <w:r w:rsidRPr="00AA1421">
              <w:rPr>
                <w:rStyle w:val="InstructionsTabelleberschrift"/>
                <w:rFonts w:ascii="Times New Roman" w:hAnsi="Times New Roman"/>
                <w:b w:val="0"/>
                <w:sz w:val="24"/>
                <w:u w:val="none"/>
              </w:rPr>
              <w:t xml:space="preserve">Pozycja ta nie ma związku ze wzorem zawierającym szczegółowe informacje. </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0710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1.8.2</w:t>
            </w:r>
            <w:r w:rsidR="00744F50" w:rsidRPr="00AA1421">
              <w:rPr>
                <w:b/>
                <w:u w:val="single"/>
              </w:rPr>
              <w:tab/>
            </w:r>
            <w:r w:rsidRPr="00AA1421">
              <w:rPr>
                <w:rStyle w:val="InstructionsTabelleberschrift"/>
                <w:rFonts w:ascii="Times New Roman" w:hAnsi="Times New Roman"/>
                <w:sz w:val="24"/>
              </w:rPr>
              <w:t xml:space="preserve">W tym: z tytułu dodatkowych, surowszych wymogów ostrożnościowych na podstawie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58 CRR</w:t>
            </w:r>
          </w:p>
          <w:p w:rsidR="00802958" w:rsidRPr="00AA1421" w:rsidRDefault="00802958" w:rsidP="00487A02">
            <w:pPr>
              <w:pStyle w:val="InstructionsText"/>
              <w:rPr>
                <w:rStyle w:val="InstructionsTabelleberschrift"/>
                <w:rFonts w:ascii="Times New Roman" w:hAnsi="Times New Roman"/>
                <w:b w:val="0"/>
                <w:sz w:val="24"/>
                <w:u w:val="none"/>
              </w:rPr>
            </w:pPr>
            <w:r w:rsidRPr="00AA1421">
              <w:rPr>
                <w:rStyle w:val="FormatvorlageInstructionsTabelleText"/>
                <w:rFonts w:ascii="Times New Roman" w:hAnsi="Times New Roman"/>
                <w:sz w:val="24"/>
              </w:rPr>
              <w:t>Art. 458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0720</w:t>
            </w:r>
          </w:p>
        </w:tc>
        <w:tc>
          <w:tcPr>
            <w:tcW w:w="7274" w:type="dxa"/>
          </w:tcPr>
          <w:p w:rsidR="00802958" w:rsidRPr="00AA1421" w:rsidRDefault="00802958" w:rsidP="00487A02">
            <w:pPr>
              <w:pStyle w:val="InstructionsText"/>
            </w:pPr>
            <w:r w:rsidRPr="00AA1421">
              <w:rPr>
                <w:rStyle w:val="InstructionsTabelleberschrift"/>
                <w:rFonts w:ascii="Times New Roman" w:hAnsi="Times New Roman"/>
                <w:sz w:val="24"/>
              </w:rPr>
              <w:t>1.8.2*</w:t>
            </w:r>
            <w:r w:rsidR="00744F50" w:rsidRPr="00AA1421">
              <w:rPr>
                <w:b/>
                <w:u w:val="single"/>
              </w:rPr>
              <w:tab/>
            </w:r>
            <w:r w:rsidRPr="00AA1421">
              <w:rPr>
                <w:rStyle w:val="InstructionsTabelleberschrift"/>
                <w:rFonts w:ascii="Times New Roman" w:hAnsi="Times New Roman"/>
                <w:sz w:val="24"/>
              </w:rPr>
              <w:t>W tym: z tytułu wymogów dotyczących dużych ekspozycji</w:t>
            </w:r>
          </w:p>
          <w:p w:rsidR="00802958" w:rsidRPr="00AA1421" w:rsidRDefault="00802958" w:rsidP="00487A02">
            <w:pPr>
              <w:pStyle w:val="InstructionsText"/>
              <w:rPr>
                <w:rStyle w:val="InstructionsTabelleberschrift"/>
                <w:rFonts w:ascii="Times New Roman" w:hAnsi="Times New Roman"/>
                <w:sz w:val="24"/>
              </w:rPr>
            </w:pPr>
            <w:r w:rsidRPr="00AA1421">
              <w:t>Art. 458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0730</w:t>
            </w:r>
          </w:p>
        </w:tc>
        <w:tc>
          <w:tcPr>
            <w:tcW w:w="7274" w:type="dxa"/>
          </w:tcPr>
          <w:p w:rsidR="00802958" w:rsidRPr="00AA1421" w:rsidRDefault="00802958" w:rsidP="00487A02">
            <w:pPr>
              <w:pStyle w:val="InstructionsText"/>
            </w:pPr>
            <w:r w:rsidRPr="00AA1421">
              <w:rPr>
                <w:rStyle w:val="InstructionsTabelleberschrift"/>
                <w:rFonts w:ascii="Times New Roman" w:hAnsi="Times New Roman"/>
                <w:sz w:val="24"/>
              </w:rPr>
              <w:t>1.8.2**</w:t>
            </w:r>
            <w:r w:rsidR="00744F50" w:rsidRPr="00AA1421">
              <w:rPr>
                <w:b/>
                <w:u w:val="single"/>
              </w:rPr>
              <w:tab/>
            </w:r>
            <w:r w:rsidRPr="00AA1421">
              <w:rPr>
                <w:rStyle w:val="InstructionsTabelleberschrift"/>
                <w:rFonts w:ascii="Times New Roman" w:hAnsi="Times New Roman"/>
                <w:sz w:val="24"/>
              </w:rPr>
              <w:t>W tym: z tytułu zmodyfikowanych wag ryzyka w odniesieniu do baniek spekulacyjnych dotyczących sektora nieruchomości mieszkalnych i komercyjnych</w:t>
            </w:r>
          </w:p>
          <w:p w:rsidR="00802958" w:rsidRPr="00AA1421" w:rsidRDefault="00802958" w:rsidP="00487A02">
            <w:pPr>
              <w:pStyle w:val="InstructionsText"/>
              <w:rPr>
                <w:rStyle w:val="InstructionsTabelleberschrift"/>
                <w:rFonts w:ascii="Times New Roman" w:hAnsi="Times New Roman"/>
                <w:sz w:val="24"/>
              </w:rPr>
            </w:pPr>
            <w:r w:rsidRPr="00AA1421">
              <w:t>Art. 458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0740</w:t>
            </w:r>
          </w:p>
        </w:tc>
        <w:tc>
          <w:tcPr>
            <w:tcW w:w="7274" w:type="dxa"/>
          </w:tcPr>
          <w:p w:rsidR="00802958" w:rsidRPr="00AA1421" w:rsidRDefault="00802958" w:rsidP="00487A02">
            <w:pPr>
              <w:pStyle w:val="InstructionsText"/>
            </w:pPr>
            <w:r w:rsidRPr="00AA1421">
              <w:rPr>
                <w:rStyle w:val="InstructionsTabelleberschrift"/>
                <w:rFonts w:ascii="Times New Roman" w:hAnsi="Times New Roman"/>
                <w:sz w:val="24"/>
              </w:rPr>
              <w:t>1.8.2***</w:t>
            </w:r>
            <w:r w:rsidR="00744F50" w:rsidRPr="00AA1421">
              <w:rPr>
                <w:b/>
                <w:u w:val="single"/>
              </w:rPr>
              <w:tab/>
            </w:r>
            <w:r w:rsidRPr="00AA1421">
              <w:rPr>
                <w:rStyle w:val="InstructionsTabelleberschrift"/>
                <w:rFonts w:ascii="Times New Roman" w:hAnsi="Times New Roman"/>
                <w:sz w:val="24"/>
              </w:rPr>
              <w:t>W tym: z tytułu ekspozycji wewnątrz sektora finansowego</w:t>
            </w:r>
          </w:p>
          <w:p w:rsidR="00802958" w:rsidRPr="00AA1421" w:rsidRDefault="00802958" w:rsidP="00487A02">
            <w:pPr>
              <w:pStyle w:val="InstructionsText"/>
              <w:rPr>
                <w:rStyle w:val="InstructionsTabelleberschrift"/>
                <w:rFonts w:ascii="Times New Roman" w:hAnsi="Times New Roman"/>
                <w:sz w:val="24"/>
              </w:rPr>
            </w:pPr>
            <w:r w:rsidRPr="00AA1421">
              <w:t>Art. 458 CRR</w:t>
            </w:r>
          </w:p>
        </w:tc>
      </w:tr>
      <w:tr w:rsidR="00802958" w:rsidRPr="00AA1421" w:rsidTr="00672D2A">
        <w:tc>
          <w:tcPr>
            <w:tcW w:w="1591" w:type="dxa"/>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0750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1.8.3</w:t>
            </w:r>
            <w:r w:rsidR="00744F50" w:rsidRPr="00AA1421">
              <w:rPr>
                <w:b/>
                <w:u w:val="single"/>
              </w:rPr>
              <w:tab/>
            </w:r>
            <w:r w:rsidRPr="00AA1421">
              <w:rPr>
                <w:rStyle w:val="InstructionsTabelleberschrift"/>
                <w:rFonts w:ascii="Times New Roman" w:hAnsi="Times New Roman"/>
                <w:sz w:val="24"/>
              </w:rPr>
              <w:t xml:space="preserve">W tym: z tytułu dodatkowych, surowszych wymogów ostrożnościowych na podstawie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59 CRR</w:t>
            </w:r>
          </w:p>
          <w:p w:rsidR="00802958" w:rsidRPr="00AA1421" w:rsidRDefault="00802958" w:rsidP="00487A02">
            <w:pPr>
              <w:pStyle w:val="InstructionsText"/>
              <w:rPr>
                <w:rStyle w:val="InstructionsTabelleberschrift"/>
                <w:rFonts w:ascii="Times New Roman" w:hAnsi="Times New Roman"/>
                <w:sz w:val="24"/>
              </w:rPr>
            </w:pPr>
            <w:r w:rsidRPr="00AA1421">
              <w:rPr>
                <w:rStyle w:val="FormatvorlageInstructionsTabelleText"/>
                <w:rFonts w:ascii="Times New Roman" w:hAnsi="Times New Roman"/>
                <w:sz w:val="24"/>
              </w:rPr>
              <w:t>Art. 459 CRR</w:t>
            </w:r>
          </w:p>
        </w:tc>
      </w:tr>
      <w:tr w:rsidR="00802958" w:rsidRPr="00AA1421" w:rsidTr="00672D2A">
        <w:tc>
          <w:tcPr>
            <w:tcW w:w="1591" w:type="dxa"/>
            <w:shd w:val="clear" w:color="auto" w:fill="auto"/>
          </w:tcPr>
          <w:p w:rsidR="00802958" w:rsidRPr="00AA1421" w:rsidRDefault="00B13F06"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0760</w:t>
            </w:r>
          </w:p>
        </w:tc>
        <w:tc>
          <w:tcPr>
            <w:tcW w:w="7274" w:type="dxa"/>
          </w:tcPr>
          <w:p w:rsidR="00802958" w:rsidRPr="00AA1421" w:rsidRDefault="0080295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1.8.4</w:t>
            </w:r>
            <w:r w:rsidR="00744F50" w:rsidRPr="00AA1421">
              <w:rPr>
                <w:b/>
                <w:u w:val="single"/>
              </w:rPr>
              <w:tab/>
            </w:r>
            <w:r w:rsidRPr="00AA1421">
              <w:rPr>
                <w:rStyle w:val="InstructionsTabelleberschrift"/>
                <w:rFonts w:ascii="Times New Roman" w:hAnsi="Times New Roman"/>
                <w:sz w:val="24"/>
              </w:rPr>
              <w:t xml:space="preserve">W tym: dodatkowa kwota ekspozycji na ryzyko wynikająca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 CRR</w:t>
            </w:r>
          </w:p>
          <w:p w:rsidR="00802958" w:rsidRPr="00AA1421" w:rsidRDefault="00802958" w:rsidP="00487A02">
            <w:pPr>
              <w:pStyle w:val="InstructionsText"/>
              <w:rPr>
                <w:rStyle w:val="FormatvorlageInstructionsTabelleText"/>
                <w:rFonts w:ascii="Times New Roman" w:hAnsi="Times New Roman"/>
                <w:sz w:val="24"/>
              </w:rPr>
            </w:pPr>
            <w:r w:rsidRPr="00AA1421">
              <w:rPr>
                <w:rStyle w:val="FormatvorlageInstructionsTabelleText"/>
                <w:rFonts w:ascii="Times New Roman" w:hAnsi="Times New Roman"/>
                <w:sz w:val="24"/>
              </w:rPr>
              <w:t>Art. 3 CRR</w:t>
            </w:r>
          </w:p>
          <w:p w:rsidR="00802958" w:rsidRPr="00AA1421" w:rsidRDefault="00802958"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Zgłasza się dodatkową kwotę ekspozycji na ryzyko. Obejmuje ona wyłącznie dodatkowe kwoty (np. jeżeli ekspozycja o wartości 100 ma wagę ryzyka równą 2</w:t>
            </w:r>
            <w:r w:rsidRPr="00084F66">
              <w:rPr>
                <w:rStyle w:val="InstructionsTabelleberschrift"/>
                <w:rFonts w:ascii="Times New Roman" w:hAnsi="Times New Roman"/>
                <w:b w:val="0"/>
                <w:sz w:val="24"/>
                <w:u w:val="none"/>
              </w:rPr>
              <w:t>0</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w:t>
            </w:r>
            <w:r w:rsidRPr="00AA1421">
              <w:rPr>
                <w:rStyle w:val="InstructionsTabelleberschrift"/>
                <w:rFonts w:ascii="Times New Roman" w:hAnsi="Times New Roman"/>
                <w:b w:val="0"/>
                <w:sz w:val="24"/>
                <w:u w:val="none"/>
              </w:rPr>
              <w:t xml:space="preserve">, a instytucje stosują w oparciu o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CRR wagę ryzyka równą 5</w:t>
            </w:r>
            <w:r w:rsidRPr="00084F66">
              <w:rPr>
                <w:rStyle w:val="InstructionsTabelleberschrift"/>
                <w:rFonts w:ascii="Times New Roman" w:hAnsi="Times New Roman"/>
                <w:b w:val="0"/>
                <w:sz w:val="24"/>
                <w:u w:val="none"/>
              </w:rPr>
              <w:t>0</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w:t>
            </w:r>
            <w:r w:rsidRPr="00AA1421">
              <w:rPr>
                <w:rStyle w:val="InstructionsTabelleberschrift"/>
                <w:rFonts w:ascii="Times New Roman" w:hAnsi="Times New Roman"/>
                <w:b w:val="0"/>
                <w:sz w:val="24"/>
                <w:u w:val="none"/>
              </w:rPr>
              <w:t xml:space="preserve">, kwota, którą należy zgłosić, wynosi 30). </w:t>
            </w:r>
          </w:p>
        </w:tc>
      </w:tr>
    </w:tbl>
    <w:p w:rsidR="002648B0" w:rsidRPr="00AA1421"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58403602"/>
      <w:bookmarkStart w:id="53" w:name="_Toc308175826"/>
      <w:bookmarkStart w:id="54" w:name="_Toc360188329"/>
      <w:r w:rsidRPr="00AA1421">
        <w:rPr>
          <w:rFonts w:ascii="Times New Roman" w:hAnsi="Times New Roman"/>
          <w:sz w:val="24"/>
          <w:u w:val="none"/>
        </w:rPr>
        <w:t>1.4</w:t>
      </w:r>
      <w:r w:rsidR="00D712CF" w:rsidRPr="00AA1421">
        <w:rPr>
          <w:u w:val="none"/>
        </w:rPr>
        <w:tab/>
      </w:r>
      <w:r w:rsidRPr="00AA1421">
        <w:rPr>
          <w:rFonts w:ascii="Times New Roman" w:hAnsi="Times New Roman"/>
          <w:sz w:val="24"/>
          <w:u w:val="none"/>
        </w:rPr>
        <w:t>C 03.00 – WSPÓŁCZYNNIKI KAPITAŁOWE ORAZ POZIOMY KAPITAŁU (CA3)</w:t>
      </w:r>
      <w:bookmarkEnd w:id="51"/>
      <w:bookmarkEnd w:id="52"/>
      <w:r w:rsidRPr="00AA1421">
        <w:rPr>
          <w:rFonts w:ascii="Times New Roman" w:hAnsi="Times New Roman"/>
          <w:sz w:val="24"/>
          <w:u w:val="none"/>
        </w:rPr>
        <w:t xml:space="preserve"> </w:t>
      </w:r>
      <w:bookmarkEnd w:id="53"/>
      <w:bookmarkEnd w:id="54"/>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403603"/>
      <w:r w:rsidRPr="00AA1421">
        <w:rPr>
          <w:rFonts w:ascii="Times New Roman" w:hAnsi="Times New Roman"/>
          <w:sz w:val="24"/>
          <w:u w:val="none"/>
        </w:rPr>
        <w:t>1.4.1.</w:t>
      </w:r>
      <w:r w:rsidR="00D712CF" w:rsidRPr="00AA1421">
        <w:rPr>
          <w:u w:val="none"/>
        </w:rPr>
        <w:tab/>
      </w:r>
      <w:bookmarkStart w:id="59" w:name="_Toc308175827"/>
      <w:r w:rsidRPr="00AA1421">
        <w:rPr>
          <w:rFonts w:ascii="Times New Roman" w:hAnsi="Times New Roman"/>
          <w:sz w:val="24"/>
        </w:rPr>
        <w:t>Instrukcje dotyczące poszczególnych pozycji</w:t>
      </w:r>
      <w:bookmarkEnd w:id="59"/>
      <w:bookmarkEnd w:id="55"/>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AA1421" w:rsidTr="00672D2A">
        <w:tc>
          <w:tcPr>
            <w:tcW w:w="8783" w:type="dxa"/>
            <w:gridSpan w:val="2"/>
            <w:shd w:val="clear" w:color="auto" w:fill="D9D9D9"/>
          </w:tcPr>
          <w:p w:rsidR="005643EA" w:rsidRPr="00AA1421" w:rsidRDefault="002648B0" w:rsidP="00487A02">
            <w:pPr>
              <w:pStyle w:val="InstructionsText"/>
            </w:pPr>
            <w:r w:rsidRPr="00AA1421">
              <w:t>Wiersze</w:t>
            </w:r>
          </w:p>
        </w:tc>
      </w:tr>
      <w:tr w:rsidR="002648B0" w:rsidRPr="00AA1421" w:rsidTr="003E47C5">
        <w:tc>
          <w:tcPr>
            <w:tcW w:w="1163" w:type="dxa"/>
          </w:tcPr>
          <w:p w:rsidR="002648B0" w:rsidRPr="00AA1421" w:rsidRDefault="00B13F06" w:rsidP="00487A02">
            <w:pPr>
              <w:pStyle w:val="InstructionsText"/>
            </w:pPr>
            <w:r w:rsidRPr="00AA1421">
              <w:t>0010</w:t>
            </w:r>
          </w:p>
        </w:tc>
        <w:tc>
          <w:tcPr>
            <w:tcW w:w="7620" w:type="dxa"/>
          </w:tcPr>
          <w:p w:rsidR="005643EA" w:rsidRPr="00AA1421" w:rsidRDefault="002648B0" w:rsidP="00487A02">
            <w:pPr>
              <w:pStyle w:val="InstructionsText"/>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 xml:space="preserve">Współczynnik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705025" w:rsidP="00487A02">
            <w:pPr>
              <w:pStyle w:val="InstructionsText"/>
            </w:pPr>
            <w:r w:rsidRPr="00AA1421">
              <w:t xml:space="preserve">Art. 92 </w:t>
            </w:r>
            <w:r w:rsidRPr="00084F66">
              <w:t>ust.</w:t>
            </w:r>
            <w:r w:rsidR="00084F66" w:rsidRPr="00084F66">
              <w:t> </w:t>
            </w:r>
            <w:r w:rsidRPr="00084F66">
              <w:t>2</w:t>
            </w:r>
            <w:r w:rsidRPr="00AA1421">
              <w:t xml:space="preserve"> </w:t>
            </w:r>
            <w:r w:rsidRPr="00084F66">
              <w:t>lit.</w:t>
            </w:r>
            <w:r w:rsidR="00084F66" w:rsidRPr="00084F66">
              <w:t> </w:t>
            </w:r>
            <w:r w:rsidRPr="00084F66">
              <w:t>a)</w:t>
            </w:r>
            <w:r w:rsidRPr="00AA1421">
              <w:t xml:space="preserve"> CRR</w:t>
            </w:r>
          </w:p>
          <w:p w:rsidR="005643EA" w:rsidRPr="00AA1421" w:rsidRDefault="002648B0" w:rsidP="00487A02">
            <w:pPr>
              <w:pStyle w:val="InstructionsText"/>
            </w:pPr>
            <w:r w:rsidRPr="00AA1421">
              <w:t xml:space="preserve">Współczynnik kapitału podstawowego </w:t>
            </w:r>
            <w:proofErr w:type="spellStart"/>
            <w:r w:rsidRPr="00AA1421">
              <w:t>Tier</w:t>
            </w:r>
            <w:proofErr w:type="spellEnd"/>
            <w:r w:rsidRPr="00AA1421">
              <w:t xml:space="preserve"> I stanowi kapitał podstawowy </w:t>
            </w:r>
            <w:proofErr w:type="spellStart"/>
            <w:r w:rsidRPr="00AA1421">
              <w:t>Tier</w:t>
            </w:r>
            <w:proofErr w:type="spellEnd"/>
            <w:r w:rsidRPr="00AA1421">
              <w:t xml:space="preserve"> I instytucji wyrażony jako odsetek łącznej kwoty ekspozycji na ryzyko.</w:t>
            </w:r>
          </w:p>
        </w:tc>
      </w:tr>
      <w:tr w:rsidR="002648B0" w:rsidRPr="00AA1421" w:rsidTr="003E47C5">
        <w:tc>
          <w:tcPr>
            <w:tcW w:w="1163" w:type="dxa"/>
          </w:tcPr>
          <w:p w:rsidR="002648B0" w:rsidRPr="00AA1421" w:rsidRDefault="00B13F06" w:rsidP="00487A02">
            <w:pPr>
              <w:pStyle w:val="InstructionsText"/>
            </w:pPr>
            <w:r w:rsidRPr="00AA1421">
              <w:t>0020</w:t>
            </w:r>
          </w:p>
        </w:tc>
        <w:tc>
          <w:tcPr>
            <w:tcW w:w="7620"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w:t>
            </w:r>
            <w:r w:rsidR="00744F50" w:rsidRPr="00AA1421">
              <w:rPr>
                <w:b/>
                <w:u w:val="single"/>
              </w:rPr>
              <w:tab/>
            </w:r>
            <w:r w:rsidRPr="00AA1421">
              <w:rPr>
                <w:rStyle w:val="InstructionsTabelleberschrift"/>
                <w:rFonts w:ascii="Times New Roman" w:hAnsi="Times New Roman"/>
                <w:sz w:val="24"/>
              </w:rPr>
              <w:t xml:space="preserve">Nadwyżka(+)/niedobór(-)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2648B0" w:rsidP="00487A02">
            <w:pPr>
              <w:pStyle w:val="InstructionsText"/>
            </w:pPr>
            <w:r w:rsidRPr="00AA1421">
              <w:t xml:space="preserve">Pozycja ta przedstawia – w wartościach bezwzględnych – kwotę nadwyżki lub niedoboru kapitału podstawowego </w:t>
            </w:r>
            <w:proofErr w:type="spellStart"/>
            <w:r w:rsidRPr="00AA1421">
              <w:t>Tier</w:t>
            </w:r>
            <w:proofErr w:type="spellEnd"/>
            <w:r w:rsidRPr="00AA1421">
              <w:t xml:space="preserve"> I w stosunku do wymogu określonego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CRR (4,</w:t>
            </w:r>
            <w:r w:rsidRPr="00084F66">
              <w:t>5</w:t>
            </w:r>
            <w:r w:rsidR="00084F66" w:rsidRPr="00084F66">
              <w:t> </w:t>
            </w:r>
            <w:r w:rsidRPr="00084F66">
              <w:t>%</w:t>
            </w:r>
            <w:r w:rsidRPr="00AA1421">
              <w:t>), tj. bez uwzględnienia buforów kapitałowych i przepisów przejściowych dotyczących współczynnika.</w:t>
            </w:r>
          </w:p>
        </w:tc>
      </w:tr>
      <w:tr w:rsidR="002648B0" w:rsidRPr="00AA1421" w:rsidTr="003E47C5">
        <w:tc>
          <w:tcPr>
            <w:tcW w:w="1163" w:type="dxa"/>
          </w:tcPr>
          <w:p w:rsidR="002648B0" w:rsidRPr="00AA1421" w:rsidRDefault="00B13F06" w:rsidP="00487A02">
            <w:pPr>
              <w:pStyle w:val="InstructionsText"/>
            </w:pPr>
            <w:r w:rsidRPr="00AA1421">
              <w:t>0030</w:t>
            </w:r>
          </w:p>
        </w:tc>
        <w:tc>
          <w:tcPr>
            <w:tcW w:w="7620" w:type="dxa"/>
          </w:tcPr>
          <w:p w:rsidR="005643EA" w:rsidRPr="00AA1421" w:rsidRDefault="002648B0" w:rsidP="00487A02">
            <w:pPr>
              <w:pStyle w:val="InstructionsText"/>
            </w:pPr>
            <w:r w:rsidRPr="00AA1421">
              <w:rPr>
                <w:rStyle w:val="InstructionsTabelleberschrift"/>
                <w:rFonts w:ascii="Times New Roman" w:hAnsi="Times New Roman"/>
                <w:sz w:val="24"/>
              </w:rPr>
              <w:t>3</w:t>
            </w:r>
            <w:r w:rsidR="00744F50" w:rsidRPr="00AA1421">
              <w:rPr>
                <w:b/>
                <w:u w:val="single"/>
              </w:rPr>
              <w:tab/>
            </w:r>
            <w:r w:rsidRPr="00AA1421">
              <w:rPr>
                <w:rStyle w:val="InstructionsTabelleberschrift"/>
                <w:rFonts w:ascii="Times New Roman" w:hAnsi="Times New Roman"/>
                <w:sz w:val="24"/>
              </w:rPr>
              <w:t xml:space="preserve">Współczynnik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705025" w:rsidP="00487A02">
            <w:pPr>
              <w:pStyle w:val="InstructionsText"/>
            </w:pPr>
            <w:r w:rsidRPr="00AA1421">
              <w:t xml:space="preserve">Art. 92 </w:t>
            </w:r>
            <w:r w:rsidRPr="00084F66">
              <w:t>ust.</w:t>
            </w:r>
            <w:r w:rsidR="00084F66" w:rsidRPr="00084F66">
              <w:t> </w:t>
            </w:r>
            <w:r w:rsidRPr="00084F66">
              <w:t>2</w:t>
            </w:r>
            <w:r w:rsidRPr="00AA1421">
              <w:t xml:space="preserve"> </w:t>
            </w:r>
            <w:r w:rsidRPr="00084F66">
              <w:t>lit.</w:t>
            </w:r>
            <w:r w:rsidR="00084F66" w:rsidRPr="00084F66">
              <w:t> </w:t>
            </w:r>
            <w:r w:rsidRPr="00084F66">
              <w:t>b)</w:t>
            </w:r>
            <w:r w:rsidRPr="00AA1421">
              <w:t xml:space="preserve"> CRR</w:t>
            </w:r>
          </w:p>
          <w:p w:rsidR="005643EA" w:rsidRPr="00AA1421" w:rsidRDefault="002648B0" w:rsidP="00487A02">
            <w:pPr>
              <w:pStyle w:val="InstructionsText"/>
            </w:pPr>
            <w:r w:rsidRPr="00AA1421">
              <w:t xml:space="preserve">Współczynnik kapitału </w:t>
            </w:r>
            <w:proofErr w:type="spellStart"/>
            <w:r w:rsidRPr="00AA1421">
              <w:t>Tier</w:t>
            </w:r>
            <w:proofErr w:type="spellEnd"/>
            <w:r w:rsidRPr="00AA1421">
              <w:t xml:space="preserve"> I stanowi kapitał </w:t>
            </w:r>
            <w:proofErr w:type="spellStart"/>
            <w:r w:rsidRPr="00AA1421">
              <w:t>Tier</w:t>
            </w:r>
            <w:proofErr w:type="spellEnd"/>
            <w:r w:rsidRPr="00AA1421">
              <w:t xml:space="preserve"> I instytucji wyrażony jako odsetek łącznej kwoty ekspozycji na ryzyko.</w:t>
            </w:r>
          </w:p>
        </w:tc>
      </w:tr>
      <w:tr w:rsidR="002648B0" w:rsidRPr="00AA1421" w:rsidTr="003E47C5">
        <w:tc>
          <w:tcPr>
            <w:tcW w:w="1163" w:type="dxa"/>
          </w:tcPr>
          <w:p w:rsidR="002648B0" w:rsidRPr="00AA1421" w:rsidRDefault="00B13F06" w:rsidP="00487A02">
            <w:pPr>
              <w:pStyle w:val="InstructionsText"/>
            </w:pPr>
            <w:r w:rsidRPr="00AA1421">
              <w:t>0040</w:t>
            </w:r>
          </w:p>
        </w:tc>
        <w:tc>
          <w:tcPr>
            <w:tcW w:w="7620" w:type="dxa"/>
          </w:tcPr>
          <w:p w:rsidR="005643EA" w:rsidRPr="00AA1421" w:rsidRDefault="002648B0" w:rsidP="00487A02">
            <w:pPr>
              <w:pStyle w:val="InstructionsText"/>
            </w:pPr>
            <w:r w:rsidRPr="00AA1421">
              <w:rPr>
                <w:rStyle w:val="InstructionsTabelleberschrift"/>
                <w:rFonts w:ascii="Times New Roman" w:hAnsi="Times New Roman"/>
                <w:sz w:val="24"/>
              </w:rPr>
              <w:t>4</w:t>
            </w:r>
            <w:r w:rsidR="00744F50" w:rsidRPr="00AA1421">
              <w:rPr>
                <w:b/>
                <w:u w:val="single"/>
              </w:rPr>
              <w:tab/>
            </w:r>
            <w:r w:rsidRPr="00AA1421">
              <w:rPr>
                <w:rStyle w:val="InstructionsTabelleberschrift"/>
                <w:rFonts w:ascii="Times New Roman" w:hAnsi="Times New Roman"/>
                <w:sz w:val="24"/>
              </w:rPr>
              <w:t xml:space="preserve">Nadwyżka(+)/niedobór(-)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5643EA" w:rsidRPr="00AA1421" w:rsidRDefault="002648B0" w:rsidP="00487A02">
            <w:pPr>
              <w:pStyle w:val="InstructionsText"/>
            </w:pPr>
            <w:r w:rsidRPr="00AA1421">
              <w:t xml:space="preserve">Pozycja ta przedstawia – w wartościach bezwzględnych – kwotę nadwyżki lub niedoboru kapitału </w:t>
            </w:r>
            <w:proofErr w:type="spellStart"/>
            <w:r w:rsidRPr="00AA1421">
              <w:t>Tier</w:t>
            </w:r>
            <w:proofErr w:type="spellEnd"/>
            <w:r w:rsidRPr="00AA1421">
              <w:t xml:space="preserve"> I w stosunku do wymogu określonego w </w:t>
            </w:r>
            <w:r w:rsidRPr="00084F66">
              <w:t>art.</w:t>
            </w:r>
            <w:r w:rsidR="00084F66" w:rsidRPr="00084F66">
              <w:t> </w:t>
            </w:r>
            <w:r w:rsidRPr="00084F66">
              <w:t>9</w:t>
            </w:r>
            <w:r w:rsidRPr="00AA1421">
              <w:t xml:space="preserve">2 </w:t>
            </w:r>
            <w:r w:rsidRPr="00084F66">
              <w:lastRenderedPageBreak/>
              <w:t>ust.</w:t>
            </w:r>
            <w:r w:rsidR="00084F66" w:rsidRPr="00084F66">
              <w:t> </w:t>
            </w:r>
            <w:r w:rsidRPr="00084F66">
              <w:t>1</w:t>
            </w:r>
            <w:r w:rsidRPr="00AA1421">
              <w:t xml:space="preserve"> </w:t>
            </w:r>
            <w:r w:rsidRPr="00084F66">
              <w:t>lit.</w:t>
            </w:r>
            <w:r w:rsidR="00084F66" w:rsidRPr="00084F66">
              <w:t> </w:t>
            </w:r>
            <w:r w:rsidRPr="00084F66">
              <w:t>b)</w:t>
            </w:r>
            <w:r w:rsidRPr="00AA1421">
              <w:t xml:space="preserve"> CRR (</w:t>
            </w:r>
            <w:r w:rsidRPr="00084F66">
              <w:t>6</w:t>
            </w:r>
            <w:r w:rsidR="00084F66" w:rsidRPr="00084F66">
              <w:t> </w:t>
            </w:r>
            <w:r w:rsidRPr="00084F66">
              <w:t>%</w:t>
            </w:r>
            <w:r w:rsidRPr="00AA1421">
              <w:t>), tj. bez uwzględnienia buforów kapitałowych i przepisów przejściowych dotyczących współczynnika.</w:t>
            </w:r>
          </w:p>
        </w:tc>
      </w:tr>
      <w:tr w:rsidR="002648B0" w:rsidRPr="00AA1421" w:rsidTr="003E47C5">
        <w:tc>
          <w:tcPr>
            <w:tcW w:w="1163" w:type="dxa"/>
          </w:tcPr>
          <w:p w:rsidR="002648B0" w:rsidRPr="00AA1421" w:rsidRDefault="00B13F06" w:rsidP="00487A02">
            <w:pPr>
              <w:pStyle w:val="InstructionsText"/>
            </w:pPr>
            <w:r w:rsidRPr="00AA1421">
              <w:lastRenderedPageBreak/>
              <w:t>0050</w:t>
            </w:r>
          </w:p>
        </w:tc>
        <w:tc>
          <w:tcPr>
            <w:tcW w:w="7620" w:type="dxa"/>
          </w:tcPr>
          <w:p w:rsidR="005643EA" w:rsidRPr="00AA1421" w:rsidRDefault="002648B0" w:rsidP="00487A02">
            <w:pPr>
              <w:pStyle w:val="InstructionsText"/>
            </w:pPr>
            <w:r w:rsidRPr="00AA1421">
              <w:rPr>
                <w:rStyle w:val="InstructionsTabelleberschrift"/>
                <w:rFonts w:ascii="Times New Roman" w:hAnsi="Times New Roman"/>
                <w:sz w:val="24"/>
              </w:rPr>
              <w:t>5</w:t>
            </w:r>
            <w:r w:rsidR="00744F50" w:rsidRPr="00AA1421">
              <w:rPr>
                <w:b/>
                <w:u w:val="single"/>
              </w:rPr>
              <w:tab/>
            </w:r>
            <w:r w:rsidRPr="00AA1421">
              <w:rPr>
                <w:rStyle w:val="InstructionsTabelleberschrift"/>
                <w:rFonts w:ascii="Times New Roman" w:hAnsi="Times New Roman"/>
                <w:sz w:val="24"/>
              </w:rPr>
              <w:t>Łączny współczynnik kapitałowy</w:t>
            </w:r>
          </w:p>
          <w:p w:rsidR="005643EA" w:rsidRPr="00AA1421" w:rsidRDefault="00705025" w:rsidP="00487A02">
            <w:pPr>
              <w:pStyle w:val="InstructionsText"/>
            </w:pPr>
            <w:r w:rsidRPr="00AA1421">
              <w:t xml:space="preserve">Art. 92 </w:t>
            </w:r>
            <w:r w:rsidRPr="00084F66">
              <w:t>ust.</w:t>
            </w:r>
            <w:r w:rsidR="00084F66" w:rsidRPr="00084F66">
              <w:t> </w:t>
            </w:r>
            <w:r w:rsidRPr="00084F66">
              <w:t>2</w:t>
            </w:r>
            <w:r w:rsidRPr="00AA1421">
              <w:t xml:space="preserve"> </w:t>
            </w:r>
            <w:r w:rsidRPr="00084F66">
              <w:t>lit.</w:t>
            </w:r>
            <w:r w:rsidR="00084F66" w:rsidRPr="00084F66">
              <w:t> </w:t>
            </w:r>
            <w:r w:rsidRPr="00084F66">
              <w:t>c)</w:t>
            </w:r>
            <w:r w:rsidRPr="00AA1421">
              <w:t xml:space="preserve"> CRR</w:t>
            </w:r>
          </w:p>
          <w:p w:rsidR="005643EA" w:rsidRPr="00AA1421" w:rsidRDefault="002648B0" w:rsidP="00487A02">
            <w:pPr>
              <w:pStyle w:val="InstructionsText"/>
            </w:pPr>
            <w:r w:rsidRPr="00AA1421">
              <w:t>Łączny współczynnik kapitałowy stanowi fundusze własne danej instytucji wyrażone jako odsetek łącznej kwoty ekspozycji na ryzyko.</w:t>
            </w:r>
          </w:p>
        </w:tc>
      </w:tr>
      <w:tr w:rsidR="002648B0" w:rsidRPr="00AA1421" w:rsidTr="003E47C5">
        <w:tc>
          <w:tcPr>
            <w:tcW w:w="1163" w:type="dxa"/>
          </w:tcPr>
          <w:p w:rsidR="002648B0" w:rsidRPr="00AA1421" w:rsidRDefault="00B13F06" w:rsidP="00487A02">
            <w:pPr>
              <w:pStyle w:val="InstructionsText"/>
            </w:pPr>
            <w:r w:rsidRPr="00AA1421">
              <w:t>0060</w:t>
            </w:r>
          </w:p>
        </w:tc>
        <w:tc>
          <w:tcPr>
            <w:tcW w:w="7620" w:type="dxa"/>
          </w:tcPr>
          <w:p w:rsidR="005643EA" w:rsidRPr="00AA1421" w:rsidRDefault="002648B0" w:rsidP="00487A02">
            <w:pPr>
              <w:pStyle w:val="InstructionsText"/>
            </w:pPr>
            <w:r w:rsidRPr="00AA1421">
              <w:rPr>
                <w:rStyle w:val="InstructionsTabelleberschrift"/>
                <w:rFonts w:ascii="Times New Roman" w:hAnsi="Times New Roman"/>
                <w:sz w:val="24"/>
              </w:rPr>
              <w:t>6</w:t>
            </w:r>
            <w:r w:rsidR="00744F50" w:rsidRPr="00AA1421">
              <w:rPr>
                <w:b/>
                <w:u w:val="single"/>
              </w:rPr>
              <w:tab/>
            </w:r>
            <w:r w:rsidRPr="00AA1421">
              <w:rPr>
                <w:rStyle w:val="InstructionsTabelleberschrift"/>
                <w:rFonts w:ascii="Times New Roman" w:hAnsi="Times New Roman"/>
                <w:sz w:val="24"/>
              </w:rPr>
              <w:t>Nadwyżka(+)/niedobór(-) łącznego kapitału</w:t>
            </w:r>
          </w:p>
          <w:p w:rsidR="005643EA" w:rsidRPr="00AA1421" w:rsidRDefault="002648B0" w:rsidP="00487A02">
            <w:pPr>
              <w:pStyle w:val="InstructionsText"/>
            </w:pPr>
            <w:r w:rsidRPr="00AA1421">
              <w:t xml:space="preserve">Pozycja ta przedstawia – w wartościach bezwzględnych – kwotę nadwyżki lub niedoboru funduszy własnych w stosunku do wymogu określonego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c)</w:t>
            </w:r>
            <w:r w:rsidRPr="00AA1421">
              <w:t xml:space="preserve"> CRR (</w:t>
            </w:r>
            <w:r w:rsidRPr="00084F66">
              <w:t>8</w:t>
            </w:r>
            <w:r w:rsidR="00084F66" w:rsidRPr="00084F66">
              <w:t> </w:t>
            </w:r>
            <w:r w:rsidRPr="00084F66">
              <w:t>%</w:t>
            </w:r>
            <w:r w:rsidRPr="00AA1421">
              <w:t>), tj. bez uwzględnienia buforów kapitałowych i przepisów przejściowych dotyczących współczynnika.</w:t>
            </w:r>
          </w:p>
        </w:tc>
      </w:tr>
      <w:tr w:rsidR="009C083D" w:rsidRPr="00AA1421" w:rsidTr="003E47C5">
        <w:tc>
          <w:tcPr>
            <w:tcW w:w="1163" w:type="dxa"/>
          </w:tcPr>
          <w:p w:rsidR="009C083D" w:rsidRPr="00AA1421" w:rsidRDefault="00B13F06" w:rsidP="00487A02">
            <w:pPr>
              <w:pStyle w:val="InstructionsText"/>
            </w:pPr>
            <w:r w:rsidRPr="00AA1421">
              <w:t>0130</w:t>
            </w:r>
          </w:p>
        </w:tc>
        <w:tc>
          <w:tcPr>
            <w:tcW w:w="7620" w:type="dxa"/>
          </w:tcPr>
          <w:p w:rsidR="009C083D" w:rsidRPr="00AA1421" w:rsidRDefault="009C083D"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Współczynnik całkowitego wymogu kapitałowego SREP (TSCR)</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0"/>
              </w:numPr>
            </w:pPr>
            <w:r w:rsidRPr="00AA1421">
              <w:t>łącznego współczynnika kapitałowego (</w:t>
            </w:r>
            <w:r w:rsidRPr="00084F66">
              <w:t>8</w:t>
            </w:r>
            <w:r w:rsidR="00084F66" w:rsidRPr="00084F66">
              <w:t> </w:t>
            </w:r>
            <w:r w:rsidRPr="00084F66">
              <w:t>%</w:t>
            </w:r>
            <w:r w:rsidRPr="00AA1421">
              <w:t xml:space="preserve">), jak określono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c)</w:t>
            </w:r>
            <w:r w:rsidRPr="00AA1421">
              <w:t xml:space="preserve"> CRR; </w:t>
            </w:r>
          </w:p>
          <w:p w:rsidR="009C083D" w:rsidRPr="00AA1421" w:rsidRDefault="009C083D" w:rsidP="00487A02">
            <w:pPr>
              <w:pStyle w:val="InstructionsText"/>
              <w:numPr>
                <w:ilvl w:val="0"/>
                <w:numId w:val="20"/>
              </w:numPr>
            </w:pPr>
            <w:r w:rsidRPr="00AA1421">
              <w:t xml:space="preserve">dodatkowych wymogów w zakresie funduszy własnych (wymogi filaru 2 – P2R), o których mowa w </w:t>
            </w:r>
            <w:r w:rsidRPr="00084F66">
              <w:t>art.</w:t>
            </w:r>
            <w:r w:rsidR="00084F66" w:rsidRPr="00084F66">
              <w:t> </w:t>
            </w:r>
            <w:r w:rsidRPr="00084F66">
              <w:t>1</w:t>
            </w:r>
            <w:r w:rsidRPr="00AA1421">
              <w:t xml:space="preserve">04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CRD, wyrażonych jako współczynnik. Wartości te należy ustalić zgodnie z kryteriami określonymi w „Wytycznych EUNB w sprawie wspólnych procedur i metod dotyczących procesu przeglądu i oceny nadzorczej i nadzorczych testów warunków skrajnych” (</w:t>
            </w:r>
            <w:r w:rsidRPr="00AA1421">
              <w:rPr>
                <w:i/>
              </w:rPr>
              <w:t xml:space="preserve">EBA </w:t>
            </w:r>
            <w:proofErr w:type="spellStart"/>
            <w:r w:rsidRPr="00AA1421">
              <w:rPr>
                <w:i/>
              </w:rPr>
              <w:t>Guidelines</w:t>
            </w:r>
            <w:proofErr w:type="spellEnd"/>
            <w:r w:rsidRPr="00AA1421">
              <w:rPr>
                <w:i/>
              </w:rPr>
              <w:t xml:space="preserve"> on </w:t>
            </w:r>
            <w:proofErr w:type="spellStart"/>
            <w:r w:rsidRPr="00AA1421">
              <w:rPr>
                <w:i/>
              </w:rPr>
              <w:t>common</w:t>
            </w:r>
            <w:proofErr w:type="spellEnd"/>
            <w:r w:rsidRPr="00AA1421">
              <w:rPr>
                <w:i/>
              </w:rPr>
              <w:t xml:space="preserve"> </w:t>
            </w:r>
            <w:proofErr w:type="spellStart"/>
            <w:r w:rsidRPr="00AA1421">
              <w:rPr>
                <w:i/>
              </w:rPr>
              <w:t>procedures</w:t>
            </w:r>
            <w:proofErr w:type="spellEnd"/>
            <w:r w:rsidRPr="00AA1421">
              <w:rPr>
                <w:i/>
              </w:rPr>
              <w:t xml:space="preserve"> and </w:t>
            </w:r>
            <w:proofErr w:type="spellStart"/>
            <w:r w:rsidRPr="00AA1421">
              <w:rPr>
                <w:i/>
              </w:rPr>
              <w:t>methodologies</w:t>
            </w:r>
            <w:proofErr w:type="spellEnd"/>
            <w:r w:rsidRPr="00AA1421">
              <w:rPr>
                <w:i/>
              </w:rPr>
              <w:t xml:space="preserve"> for the </w:t>
            </w:r>
            <w:proofErr w:type="spellStart"/>
            <w:r w:rsidRPr="00AA1421">
              <w:rPr>
                <w:i/>
              </w:rPr>
              <w:t>supervisory</w:t>
            </w:r>
            <w:proofErr w:type="spellEnd"/>
            <w:r w:rsidRPr="00AA1421">
              <w:rPr>
                <w:i/>
              </w:rPr>
              <w:t xml:space="preserve"> </w:t>
            </w:r>
            <w:proofErr w:type="spellStart"/>
            <w:r w:rsidRPr="00AA1421">
              <w:rPr>
                <w:i/>
              </w:rPr>
              <w:t>review</w:t>
            </w:r>
            <w:proofErr w:type="spellEnd"/>
            <w:r w:rsidRPr="00AA1421">
              <w:rPr>
                <w:i/>
              </w:rPr>
              <w:t xml:space="preserve"> and </w:t>
            </w:r>
            <w:proofErr w:type="spellStart"/>
            <w:r w:rsidRPr="00AA1421">
              <w:rPr>
                <w:i/>
              </w:rPr>
              <w:t>evaluation</w:t>
            </w:r>
            <w:proofErr w:type="spellEnd"/>
            <w:r w:rsidRPr="00AA1421">
              <w:rPr>
                <w:i/>
              </w:rPr>
              <w:t xml:space="preserve"> </w:t>
            </w:r>
            <w:proofErr w:type="spellStart"/>
            <w:r w:rsidRPr="00AA1421">
              <w:rPr>
                <w:i/>
              </w:rPr>
              <w:t>process</w:t>
            </w:r>
            <w:proofErr w:type="spellEnd"/>
            <w:r w:rsidRPr="00AA1421">
              <w:rPr>
                <w:i/>
              </w:rPr>
              <w:t xml:space="preserve"> and </w:t>
            </w:r>
            <w:proofErr w:type="spellStart"/>
            <w:r w:rsidRPr="00AA1421">
              <w:rPr>
                <w:i/>
              </w:rPr>
              <w:t>supervisory</w:t>
            </w:r>
            <w:proofErr w:type="spellEnd"/>
            <w:r w:rsidRPr="00AA1421">
              <w:rPr>
                <w:i/>
              </w:rPr>
              <w:t xml:space="preserve"> stress </w:t>
            </w:r>
            <w:proofErr w:type="spellStart"/>
            <w:r w:rsidRPr="00AA1421">
              <w:rPr>
                <w:i/>
              </w:rPr>
              <w:t>testing</w:t>
            </w:r>
            <w:proofErr w:type="spellEnd"/>
            <w:r w:rsidRPr="00AA1421">
              <w:rPr>
                <w:i/>
              </w:rPr>
              <w:t xml:space="preserve"> </w:t>
            </w:r>
            <w:r w:rsidRPr="00AA1421">
              <w:t>(EBA SREP GL)).</w:t>
            </w:r>
          </w:p>
          <w:p w:rsidR="009C083D" w:rsidRPr="00AA1421" w:rsidRDefault="009C083D" w:rsidP="00487A02">
            <w:pPr>
              <w:pStyle w:val="InstructionsText"/>
            </w:pPr>
            <w:r w:rsidRPr="00AA1421">
              <w:t>Pozycja ta musi odzwierciedlać współczynnik całkowitego wymogu kapitałowego SREP (TSCR) podany do wiadomości instytucji przez właściwy organ. TSCR zdefiniowano w sekcjach 7.4 i 7.5 EBA SREP GL.</w:t>
            </w:r>
          </w:p>
          <w:p w:rsidR="00C9673B" w:rsidRPr="00AA1421" w:rsidRDefault="00FF2818" w:rsidP="00487A02">
            <w:pPr>
              <w:pStyle w:val="InstructionsText"/>
              <w:rPr>
                <w:rStyle w:val="InstructionsTabelleberschrift"/>
                <w:rFonts w:ascii="Times New Roman" w:hAnsi="Times New Roman"/>
                <w:b w:val="0"/>
                <w:bCs w:val="0"/>
                <w:sz w:val="24"/>
                <w:u w:val="none"/>
              </w:rPr>
            </w:pPr>
            <w:r w:rsidRPr="00AA1421">
              <w:t xml:space="preserve">Jeżeli właściwy organ nie podał żadnych dodatkowych wymogów w zakresie funduszy własnych, zgłasza się wyłącznie </w:t>
            </w:r>
            <w:proofErr w:type="spellStart"/>
            <w:r w:rsidRPr="00AA1421">
              <w:t>ppkt</w:t>
            </w:r>
            <w:proofErr w:type="spellEnd"/>
            <w:r w:rsidRPr="00AA1421">
              <w:t xml:space="preserve"> (i). </w:t>
            </w:r>
          </w:p>
        </w:tc>
      </w:tr>
      <w:tr w:rsidR="009C083D" w:rsidRPr="00AA1421" w:rsidTr="003E47C5">
        <w:tc>
          <w:tcPr>
            <w:tcW w:w="1163" w:type="dxa"/>
          </w:tcPr>
          <w:p w:rsidR="009C083D" w:rsidRPr="00AA1421" w:rsidRDefault="00B13F06" w:rsidP="00487A02">
            <w:pPr>
              <w:pStyle w:val="InstructionsText"/>
            </w:pPr>
            <w:r w:rsidRPr="00AA1421">
              <w:t>0140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 xml:space="preserve">TSCR: składający się z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1"/>
              </w:numPr>
            </w:pPr>
            <w:r w:rsidRPr="00AA1421">
              <w:t xml:space="preserve">współczynnika kapitału podstawowego </w:t>
            </w:r>
            <w:proofErr w:type="spellStart"/>
            <w:r w:rsidRPr="00AA1421">
              <w:t>Tier</w:t>
            </w:r>
            <w:proofErr w:type="spellEnd"/>
            <w:r w:rsidRPr="00AA1421">
              <w:t xml:space="preserve"> I (4,</w:t>
            </w:r>
            <w:r w:rsidRPr="00084F66">
              <w:t>5</w:t>
            </w:r>
            <w:r w:rsidR="00084F66" w:rsidRPr="00084F66">
              <w:t> </w:t>
            </w:r>
            <w:r w:rsidRPr="00084F66">
              <w:t>%</w:t>
            </w:r>
            <w:r w:rsidRPr="00AA1421">
              <w:t xml:space="preserve">), jak określono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CRR;</w:t>
            </w:r>
          </w:p>
          <w:p w:rsidR="0002157C" w:rsidRPr="00AA1421" w:rsidRDefault="009C083D" w:rsidP="00487A02">
            <w:pPr>
              <w:pStyle w:val="InstructionsText"/>
              <w:numPr>
                <w:ilvl w:val="0"/>
                <w:numId w:val="21"/>
              </w:numPr>
              <w:rPr>
                <w:b/>
                <w:bCs/>
                <w:u w:val="single"/>
              </w:rPr>
            </w:pPr>
            <w:r w:rsidRPr="00AA1421">
              <w:t xml:space="preserve">części współczynnika P2R, o którym mowa w wierszu 0130 </w:t>
            </w:r>
            <w:proofErr w:type="spellStart"/>
            <w:r w:rsidRPr="00AA1421">
              <w:t>ppkt</w:t>
            </w:r>
            <w:proofErr w:type="spellEnd"/>
            <w:r w:rsidRPr="00AA1421">
              <w:t xml:space="preserve"> (ii), która – zgodnie z wymogiem nałożonym przez właściwy organ – ma być utrzymywana w postaci kapitału podstawowego </w:t>
            </w:r>
            <w:proofErr w:type="spellStart"/>
            <w:r w:rsidRPr="00AA1421">
              <w:t>Tier</w:t>
            </w:r>
            <w:proofErr w:type="spellEnd"/>
            <w:r w:rsidRPr="00AA1421">
              <w:t xml:space="preserve"> I.</w:t>
            </w:r>
          </w:p>
          <w:p w:rsidR="009C083D" w:rsidRPr="00AA1421" w:rsidRDefault="00FF2818" w:rsidP="00487A02">
            <w:pPr>
              <w:pStyle w:val="InstructionsText"/>
              <w:rPr>
                <w:rStyle w:val="InstructionsTabelleberschrift"/>
                <w:rFonts w:ascii="Times New Roman" w:hAnsi="Times New Roman"/>
                <w:sz w:val="24"/>
              </w:rPr>
            </w:pPr>
            <w:r w:rsidRPr="00AA1421">
              <w:t xml:space="preserve">Jeżeli właściwy organ nie podał żadnych dodatkowych wymogów w zakresie funduszy własnych dotyczących posiadania funduszy w formie kapitału podstawowego </w:t>
            </w:r>
            <w:proofErr w:type="spellStart"/>
            <w:r w:rsidRPr="00AA1421">
              <w:t>Tier</w:t>
            </w:r>
            <w:proofErr w:type="spellEnd"/>
            <w:r w:rsidRPr="00AA1421">
              <w:t xml:space="preserve"> I, zgłasza się wyłącznie </w:t>
            </w:r>
            <w:proofErr w:type="spellStart"/>
            <w:r w:rsidRPr="00AA1421">
              <w:t>ppkt</w:t>
            </w:r>
            <w:proofErr w:type="spellEnd"/>
            <w:r w:rsidRPr="00AA1421">
              <w:t xml:space="preserve"> (i).</w:t>
            </w:r>
            <w:r w:rsidRPr="00AA1421">
              <w:rPr>
                <w:rStyle w:val="InstructionsTabelleberschrift"/>
                <w:rFonts w:ascii="Times New Roman" w:hAnsi="Times New Roman"/>
                <w:b w:val="0"/>
                <w:sz w:val="24"/>
              </w:rPr>
              <w:t xml:space="preserve"> </w:t>
            </w:r>
          </w:p>
        </w:tc>
      </w:tr>
      <w:tr w:rsidR="009C083D" w:rsidRPr="00AA1421" w:rsidTr="003E47C5">
        <w:tc>
          <w:tcPr>
            <w:tcW w:w="1163" w:type="dxa"/>
          </w:tcPr>
          <w:p w:rsidR="009C083D" w:rsidRPr="00AA1421" w:rsidRDefault="00B13F06" w:rsidP="00487A02">
            <w:pPr>
              <w:pStyle w:val="InstructionsText"/>
            </w:pPr>
            <w:r w:rsidRPr="00AA1421">
              <w:t>0150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 xml:space="preserve">TSCR: składający się z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2"/>
              </w:numPr>
            </w:pPr>
            <w:r w:rsidRPr="00AA1421">
              <w:lastRenderedPageBreak/>
              <w:t xml:space="preserve">współczynnika kapitału </w:t>
            </w:r>
            <w:proofErr w:type="spellStart"/>
            <w:r w:rsidRPr="00AA1421">
              <w:t>Tier</w:t>
            </w:r>
            <w:proofErr w:type="spellEnd"/>
            <w:r w:rsidRPr="00AA1421">
              <w:t xml:space="preserve"> I (</w:t>
            </w:r>
            <w:r w:rsidRPr="00084F66">
              <w:t>6</w:t>
            </w:r>
            <w:r w:rsidR="00084F66" w:rsidRPr="00084F66">
              <w:t> </w:t>
            </w:r>
            <w:r w:rsidRPr="00084F66">
              <w:t>%</w:t>
            </w:r>
            <w:r w:rsidRPr="00AA1421">
              <w:t xml:space="preserve">), jak określono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b)</w:t>
            </w:r>
            <w:r w:rsidRPr="00AA1421">
              <w:t xml:space="preserve"> CRR;</w:t>
            </w:r>
          </w:p>
          <w:p w:rsidR="009C083D" w:rsidRPr="00AA1421" w:rsidRDefault="009C083D" w:rsidP="00487A02">
            <w:pPr>
              <w:pStyle w:val="InstructionsText"/>
              <w:numPr>
                <w:ilvl w:val="0"/>
                <w:numId w:val="22"/>
              </w:numPr>
              <w:rPr>
                <w:bCs/>
                <w:u w:val="single"/>
              </w:rPr>
            </w:pPr>
            <w:r w:rsidRPr="00AA1421">
              <w:t xml:space="preserve">części współczynnika P2R, o którym mowa w wierszu 0130 </w:t>
            </w:r>
            <w:proofErr w:type="spellStart"/>
            <w:r w:rsidRPr="00AA1421">
              <w:t>ppkt</w:t>
            </w:r>
            <w:proofErr w:type="spellEnd"/>
            <w:r w:rsidRPr="00AA1421">
              <w:t xml:space="preserve"> (ii), która – zgodnie z wymogiem nałożonym przez właściwy organ – ma być utrzymywana w postaci kapitału </w:t>
            </w:r>
            <w:proofErr w:type="spellStart"/>
            <w:r w:rsidRPr="00AA1421">
              <w:t>Tier</w:t>
            </w:r>
            <w:proofErr w:type="spellEnd"/>
            <w:r w:rsidRPr="00AA1421">
              <w:t xml:space="preserve"> I.</w:t>
            </w:r>
          </w:p>
          <w:p w:rsidR="00DA6CB8" w:rsidRPr="00AA1421" w:rsidRDefault="00FF2818" w:rsidP="00487A02">
            <w:pPr>
              <w:pStyle w:val="InstructionsText"/>
              <w:rPr>
                <w:rStyle w:val="InstructionsTabelleberschrift"/>
                <w:rFonts w:ascii="Times New Roman" w:hAnsi="Times New Roman"/>
                <w:b w:val="0"/>
                <w:sz w:val="24"/>
              </w:rPr>
            </w:pPr>
            <w:r w:rsidRPr="00AA1421">
              <w:t xml:space="preserve">Jeżeli właściwy organ nie podał żadnych dodatkowych wymogów w zakresie funduszy własnych dotyczących posiadania funduszy w formie kapitału </w:t>
            </w:r>
            <w:proofErr w:type="spellStart"/>
            <w:r w:rsidRPr="00AA1421">
              <w:t>Tier</w:t>
            </w:r>
            <w:proofErr w:type="spellEnd"/>
            <w:r w:rsidRPr="00AA1421">
              <w:t xml:space="preserve"> I, zgłasza się wyłącznie </w:t>
            </w:r>
            <w:proofErr w:type="spellStart"/>
            <w:r w:rsidRPr="00AA1421">
              <w:t>ppkt</w:t>
            </w:r>
            <w:proofErr w:type="spellEnd"/>
            <w:r w:rsidRPr="00AA1421">
              <w:t xml:space="preserve"> (i).</w:t>
            </w:r>
          </w:p>
        </w:tc>
      </w:tr>
      <w:tr w:rsidR="009C083D" w:rsidRPr="00AA1421" w:rsidTr="003E47C5">
        <w:tc>
          <w:tcPr>
            <w:tcW w:w="1163" w:type="dxa"/>
          </w:tcPr>
          <w:p w:rsidR="009C083D" w:rsidRPr="00AA1421" w:rsidRDefault="00B13F06" w:rsidP="00487A02">
            <w:pPr>
              <w:pStyle w:val="InstructionsText"/>
            </w:pPr>
            <w:r w:rsidRPr="00AA1421">
              <w:lastRenderedPageBreak/>
              <w:t>0160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14</w:t>
            </w:r>
            <w:r w:rsidR="00744F50" w:rsidRPr="00AA1421">
              <w:rPr>
                <w:b/>
                <w:u w:val="single"/>
              </w:rPr>
              <w:tab/>
            </w:r>
            <w:r w:rsidRPr="00AA1421">
              <w:rPr>
                <w:rStyle w:val="InstructionsTabelleberschrift"/>
                <w:rFonts w:ascii="Times New Roman" w:hAnsi="Times New Roman"/>
                <w:sz w:val="24"/>
              </w:rPr>
              <w:t>Współczynnik łącznego wymogu kapitałowego (OCR)</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3"/>
              </w:numPr>
            </w:pPr>
            <w:r w:rsidRPr="00AA1421">
              <w:t>współczynnika TSCR, o którym mowa w wierszu 0130;</w:t>
            </w:r>
          </w:p>
          <w:p w:rsidR="009C083D" w:rsidRPr="00AA1421" w:rsidRDefault="009C083D" w:rsidP="00487A02">
            <w:pPr>
              <w:pStyle w:val="InstructionsText"/>
              <w:numPr>
                <w:ilvl w:val="0"/>
                <w:numId w:val="23"/>
              </w:numPr>
            </w:pPr>
            <w:r w:rsidRPr="00AA1421">
              <w:t xml:space="preserve">współczynnika wymogu połączonego bufora, o którym mowa w </w:t>
            </w:r>
            <w:r w:rsidRPr="00084F66">
              <w:t>art.</w:t>
            </w:r>
            <w:r w:rsidR="00084F66" w:rsidRPr="00084F66">
              <w:t> </w:t>
            </w:r>
            <w:r w:rsidRPr="00084F66">
              <w:t>1</w:t>
            </w:r>
            <w:r w:rsidRPr="00AA1421">
              <w:t xml:space="preserve">28 </w:t>
            </w:r>
            <w:r w:rsidRPr="00084F66">
              <w:t>pkt</w:t>
            </w:r>
            <w:r w:rsidR="00084F66" w:rsidRPr="00084F66">
              <w:t> </w:t>
            </w:r>
            <w:r w:rsidRPr="00084F66">
              <w:t>6</w:t>
            </w:r>
            <w:r w:rsidRPr="00AA1421">
              <w:t xml:space="preserve"> CRD – w zakresie, w jakim ma on zastosowanie zgodnie z przepisami prawa.</w:t>
            </w:r>
          </w:p>
          <w:p w:rsidR="005B54BB" w:rsidRPr="00AA1421" w:rsidRDefault="009C083D" w:rsidP="00487A02">
            <w:pPr>
              <w:pStyle w:val="InstructionsText"/>
            </w:pPr>
            <w:r w:rsidRPr="00AA1421">
              <w:t>Pozycja ta musi odzwierciedlać współczynnik łącznego wymogu kapitałowego (OCR), jak określono w sekcji 7.5 EBA SREP GL.</w:t>
            </w:r>
          </w:p>
          <w:p w:rsidR="00645573" w:rsidRPr="00AA1421" w:rsidRDefault="00FF2818" w:rsidP="00487A02">
            <w:pPr>
              <w:pStyle w:val="InstructionsText"/>
              <w:rPr>
                <w:rStyle w:val="InstructionsTabelleberschrift"/>
                <w:rFonts w:ascii="Times New Roman" w:hAnsi="Times New Roman"/>
                <w:sz w:val="24"/>
              </w:rPr>
            </w:pPr>
            <w:r w:rsidRPr="00AA1421">
              <w:t xml:space="preserve">Jeżeli nie ma zastosowanie żaden wymóg w zakresie bufora, zgłasza się tylko </w:t>
            </w:r>
            <w:proofErr w:type="spellStart"/>
            <w:r w:rsidRPr="00AA1421">
              <w:t>ppkt</w:t>
            </w:r>
            <w:proofErr w:type="spellEnd"/>
            <w:r w:rsidRPr="00AA1421">
              <w:t xml:space="preserve"> (i).</w:t>
            </w:r>
          </w:p>
        </w:tc>
      </w:tr>
      <w:tr w:rsidR="009C083D" w:rsidRPr="00AA1421" w:rsidTr="003E47C5">
        <w:tc>
          <w:tcPr>
            <w:tcW w:w="1163" w:type="dxa"/>
          </w:tcPr>
          <w:p w:rsidR="009C083D" w:rsidRPr="00AA1421" w:rsidRDefault="00B13F06" w:rsidP="00487A02">
            <w:pPr>
              <w:pStyle w:val="InstructionsText"/>
            </w:pPr>
            <w:r w:rsidRPr="00AA1421">
              <w:t>0170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14*</w:t>
            </w:r>
            <w:r w:rsidR="00744F50" w:rsidRPr="00AA1421">
              <w:rPr>
                <w:b/>
                <w:u w:val="single"/>
              </w:rPr>
              <w:tab/>
            </w:r>
            <w:r w:rsidRPr="00AA1421">
              <w:rPr>
                <w:rStyle w:val="InstructionsTabelleberschrift"/>
                <w:rFonts w:ascii="Times New Roman" w:hAnsi="Times New Roman"/>
                <w:sz w:val="24"/>
              </w:rPr>
              <w:t xml:space="preserve">OCR: składający się z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4"/>
              </w:numPr>
            </w:pPr>
            <w:r w:rsidRPr="00AA1421">
              <w:t xml:space="preserve">współczynnika TSCR składającego się z kapitału podstawowego </w:t>
            </w:r>
            <w:proofErr w:type="spellStart"/>
            <w:r w:rsidRPr="00AA1421">
              <w:t>Tier</w:t>
            </w:r>
            <w:proofErr w:type="spellEnd"/>
            <w:r w:rsidRPr="00AA1421">
              <w:t xml:space="preserve"> I, o którym mowa w wierszu 0140;</w:t>
            </w:r>
          </w:p>
          <w:p w:rsidR="009C083D" w:rsidRPr="00AA1421" w:rsidRDefault="009C083D" w:rsidP="00487A02">
            <w:pPr>
              <w:pStyle w:val="InstructionsText"/>
              <w:numPr>
                <w:ilvl w:val="0"/>
                <w:numId w:val="24"/>
              </w:numPr>
              <w:rPr>
                <w:bCs/>
                <w:u w:val="single"/>
              </w:rPr>
            </w:pPr>
            <w:r w:rsidRPr="00AA1421">
              <w:t xml:space="preserve">współczynnika wymogu połączonego bufora, o którym mowa w </w:t>
            </w:r>
            <w:r w:rsidRPr="00084F66">
              <w:t>art.</w:t>
            </w:r>
            <w:r w:rsidR="00084F66" w:rsidRPr="00084F66">
              <w:t> </w:t>
            </w:r>
            <w:r w:rsidRPr="00084F66">
              <w:t>1</w:t>
            </w:r>
            <w:r w:rsidRPr="00AA1421">
              <w:t xml:space="preserve">28 </w:t>
            </w:r>
            <w:r w:rsidRPr="00084F66">
              <w:t>pkt</w:t>
            </w:r>
            <w:r w:rsidR="00084F66" w:rsidRPr="00084F66">
              <w:t> </w:t>
            </w:r>
            <w:r w:rsidRPr="00084F66">
              <w:t>6</w:t>
            </w:r>
            <w:r w:rsidRPr="00AA1421">
              <w:t xml:space="preserve"> CRD – w zakresie, w jakim ma on zastosowanie zgodnie z przepisami prawa.</w:t>
            </w:r>
          </w:p>
          <w:p w:rsidR="00BA325A" w:rsidRPr="00AA1421" w:rsidRDefault="00FF2818" w:rsidP="00487A02">
            <w:pPr>
              <w:pStyle w:val="InstructionsText"/>
              <w:rPr>
                <w:rStyle w:val="InstructionsTabelleberschrift"/>
                <w:rFonts w:ascii="Times New Roman" w:hAnsi="Times New Roman"/>
                <w:b w:val="0"/>
                <w:sz w:val="24"/>
              </w:rPr>
            </w:pPr>
            <w:r w:rsidRPr="00AA1421">
              <w:t xml:space="preserve">Jeżeli nie ma zastosowanie żaden wymóg w zakresie bufora, zgłasza się tylko </w:t>
            </w:r>
            <w:proofErr w:type="spellStart"/>
            <w:r w:rsidRPr="00AA1421">
              <w:t>ppkt</w:t>
            </w:r>
            <w:proofErr w:type="spellEnd"/>
            <w:r w:rsidRPr="00AA1421">
              <w:t xml:space="preserve"> (i).</w:t>
            </w:r>
          </w:p>
        </w:tc>
      </w:tr>
      <w:tr w:rsidR="009C083D" w:rsidRPr="00AA1421" w:rsidTr="003E47C5">
        <w:tc>
          <w:tcPr>
            <w:tcW w:w="1163" w:type="dxa"/>
          </w:tcPr>
          <w:p w:rsidR="009C083D" w:rsidRPr="00AA1421" w:rsidRDefault="00B13F06" w:rsidP="00487A02">
            <w:pPr>
              <w:pStyle w:val="InstructionsText"/>
            </w:pPr>
            <w:r w:rsidRPr="00AA1421">
              <w:t>0180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14**</w:t>
            </w:r>
            <w:r w:rsidR="00744F50" w:rsidRPr="00AA1421">
              <w:rPr>
                <w:b/>
                <w:u w:val="single"/>
              </w:rPr>
              <w:tab/>
            </w:r>
            <w:r w:rsidRPr="00AA1421">
              <w:rPr>
                <w:rStyle w:val="InstructionsTabelleberschrift"/>
                <w:rFonts w:ascii="Times New Roman" w:hAnsi="Times New Roman"/>
                <w:sz w:val="24"/>
              </w:rPr>
              <w:t xml:space="preserve">OCR: składający się z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5"/>
              </w:numPr>
            </w:pPr>
            <w:r w:rsidRPr="00AA1421">
              <w:t xml:space="preserve">współczynnika TSCR składającego się z kapitału </w:t>
            </w:r>
            <w:proofErr w:type="spellStart"/>
            <w:r w:rsidRPr="00AA1421">
              <w:t>Tier</w:t>
            </w:r>
            <w:proofErr w:type="spellEnd"/>
            <w:r w:rsidRPr="00AA1421">
              <w:t xml:space="preserve"> I, o którym mowa w wierszu 0150;</w:t>
            </w:r>
          </w:p>
          <w:p w:rsidR="009C083D" w:rsidRPr="00AA1421" w:rsidRDefault="009C083D" w:rsidP="00487A02">
            <w:pPr>
              <w:pStyle w:val="InstructionsText"/>
              <w:numPr>
                <w:ilvl w:val="0"/>
                <w:numId w:val="25"/>
              </w:numPr>
              <w:rPr>
                <w:bCs/>
                <w:u w:val="single"/>
              </w:rPr>
            </w:pPr>
            <w:r w:rsidRPr="00AA1421">
              <w:t xml:space="preserve">współczynnika wymogu połączonego bufora, o którym mowa w </w:t>
            </w:r>
            <w:r w:rsidRPr="00084F66">
              <w:t>art.</w:t>
            </w:r>
            <w:r w:rsidR="00084F66" w:rsidRPr="00084F66">
              <w:t> </w:t>
            </w:r>
            <w:r w:rsidRPr="00084F66">
              <w:t>1</w:t>
            </w:r>
            <w:r w:rsidRPr="00AA1421">
              <w:t xml:space="preserve">28 </w:t>
            </w:r>
            <w:r w:rsidRPr="00084F66">
              <w:t>pkt</w:t>
            </w:r>
            <w:r w:rsidR="00084F66" w:rsidRPr="00084F66">
              <w:t> </w:t>
            </w:r>
            <w:r w:rsidRPr="00084F66">
              <w:t>6</w:t>
            </w:r>
            <w:r w:rsidRPr="00AA1421">
              <w:t xml:space="preserve"> CRD – w zakresie, w jakim ma on zastosowanie zgodnie z przepisami prawa.</w:t>
            </w:r>
          </w:p>
          <w:p w:rsidR="00BA325A" w:rsidRPr="00AA1421" w:rsidRDefault="00FF2818" w:rsidP="00487A02">
            <w:pPr>
              <w:pStyle w:val="InstructionsText"/>
              <w:rPr>
                <w:rStyle w:val="InstructionsTabelleberschrift"/>
                <w:rFonts w:ascii="Times New Roman" w:hAnsi="Times New Roman"/>
                <w:b w:val="0"/>
                <w:sz w:val="24"/>
              </w:rPr>
            </w:pPr>
            <w:r w:rsidRPr="00AA1421">
              <w:t xml:space="preserve">Jeżeli nie ma zastosowanie żaden wymóg w zakresie bufora, zgłasza się tylko </w:t>
            </w:r>
            <w:proofErr w:type="spellStart"/>
            <w:r w:rsidRPr="00AA1421">
              <w:t>ppkt</w:t>
            </w:r>
            <w:proofErr w:type="spellEnd"/>
            <w:r w:rsidRPr="00AA1421">
              <w:t xml:space="preserve"> (i).</w:t>
            </w:r>
          </w:p>
        </w:tc>
      </w:tr>
      <w:tr w:rsidR="009C083D" w:rsidRPr="00AA1421" w:rsidTr="003E47C5">
        <w:tc>
          <w:tcPr>
            <w:tcW w:w="1163" w:type="dxa"/>
          </w:tcPr>
          <w:p w:rsidR="009C083D" w:rsidRPr="00AA1421" w:rsidRDefault="00B13F06" w:rsidP="00487A02">
            <w:pPr>
              <w:pStyle w:val="InstructionsText"/>
            </w:pPr>
            <w:r w:rsidRPr="00AA1421">
              <w:t>0190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15</w:t>
            </w:r>
            <w:r w:rsidR="00744F50" w:rsidRPr="00AA1421">
              <w:rPr>
                <w:b/>
                <w:u w:val="single"/>
              </w:rPr>
              <w:tab/>
            </w:r>
            <w:r w:rsidRPr="00AA1421">
              <w:rPr>
                <w:rStyle w:val="InstructionsTabelleberschrift"/>
                <w:rFonts w:ascii="Times New Roman" w:hAnsi="Times New Roman"/>
                <w:sz w:val="24"/>
              </w:rPr>
              <w:t>Współczynnik łącznego wymogu kapitałowego (OCR) i wytyczne filaru 2 (P2G)</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6"/>
              </w:numPr>
            </w:pPr>
            <w:r w:rsidRPr="00AA1421">
              <w:t>współczynnika OCR, o którym mowa w wierszu 160;</w:t>
            </w:r>
          </w:p>
          <w:p w:rsidR="009C083D" w:rsidRPr="00AA1421" w:rsidRDefault="009C083D" w:rsidP="00487A02">
            <w:pPr>
              <w:pStyle w:val="InstructionsText"/>
              <w:numPr>
                <w:ilvl w:val="0"/>
                <w:numId w:val="26"/>
              </w:numPr>
              <w:rPr>
                <w:bCs/>
                <w:u w:val="single"/>
              </w:rPr>
            </w:pPr>
            <w:r w:rsidRPr="00AA1421">
              <w:lastRenderedPageBreak/>
              <w:t xml:space="preserve">w stosownych przypadkach wytycznych dotyczących dodatkowych funduszy własnych przekazanych przez właściwy organ (wytyczne filaru 2 – P2G), jak określono w </w:t>
            </w:r>
            <w:r w:rsidRPr="00084F66">
              <w:t>art.</w:t>
            </w:r>
            <w:r w:rsidR="00084F66" w:rsidRPr="00084F66">
              <w:t> </w:t>
            </w:r>
            <w:r w:rsidRPr="00084F66">
              <w:t>1</w:t>
            </w:r>
            <w:r w:rsidRPr="00AA1421">
              <w:t xml:space="preserve">04b </w:t>
            </w:r>
            <w:r w:rsidRPr="00084F66">
              <w:t>ust.</w:t>
            </w:r>
            <w:r w:rsidR="00084F66" w:rsidRPr="00084F66">
              <w:t> </w:t>
            </w:r>
            <w:r w:rsidRPr="00084F66">
              <w:t>3</w:t>
            </w:r>
            <w:r w:rsidRPr="00AA1421">
              <w:t xml:space="preserve"> CRD, wyrażonych jako współczynnik. Określa się je zgodnie z </w:t>
            </w:r>
            <w:r w:rsidRPr="00084F66">
              <w:t>pkt</w:t>
            </w:r>
            <w:r w:rsidR="00084F66" w:rsidRPr="00084F66">
              <w:t> </w:t>
            </w:r>
            <w:r w:rsidRPr="00084F66">
              <w:t>7</w:t>
            </w:r>
            <w:r w:rsidRPr="00AA1421">
              <w:t>.7.1 wytycznych EBA SREP GL. P2G uwzględnia się wyłącznie wówczas, gdy zostały podane do wiadomości instytucji przez właściwy organ.</w:t>
            </w:r>
          </w:p>
          <w:p w:rsidR="0047693D" w:rsidRPr="00AA1421" w:rsidRDefault="00FF2818" w:rsidP="00084F66">
            <w:pPr>
              <w:pStyle w:val="InstructionsText"/>
              <w:rPr>
                <w:rStyle w:val="InstructionsTabelleberschrift"/>
                <w:rFonts w:ascii="Times New Roman" w:hAnsi="Times New Roman"/>
                <w:b w:val="0"/>
                <w:sz w:val="24"/>
              </w:rPr>
            </w:pPr>
            <w:r w:rsidRPr="00AA1421">
              <w:t xml:space="preserve">Jeżeli właściwy organ nie podał P2G, </w:t>
            </w:r>
            <w:r w:rsidR="00084F66">
              <w:t xml:space="preserve">zgłasza się wyłącznie </w:t>
            </w:r>
            <w:proofErr w:type="spellStart"/>
            <w:r w:rsidR="00084F66">
              <w:t>ppkt</w:t>
            </w:r>
            <w:proofErr w:type="spellEnd"/>
            <w:r w:rsidR="00084F66">
              <w:t xml:space="preserve"> (i).</w:t>
            </w:r>
          </w:p>
        </w:tc>
      </w:tr>
      <w:tr w:rsidR="009C083D" w:rsidRPr="00AA1421" w:rsidTr="003E47C5">
        <w:tc>
          <w:tcPr>
            <w:tcW w:w="1163" w:type="dxa"/>
          </w:tcPr>
          <w:p w:rsidR="009C083D" w:rsidRPr="00AA1421" w:rsidRDefault="00B13F06" w:rsidP="00487A02">
            <w:pPr>
              <w:pStyle w:val="InstructionsText"/>
            </w:pPr>
            <w:r w:rsidRPr="00AA1421">
              <w:lastRenderedPageBreak/>
              <w:t>0200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15*</w:t>
            </w:r>
            <w:r w:rsidR="00744F50" w:rsidRPr="00AA1421">
              <w:rPr>
                <w:b/>
                <w:u w:val="single"/>
              </w:rPr>
              <w:tab/>
            </w:r>
            <w:r w:rsidRPr="00AA1421">
              <w:rPr>
                <w:rStyle w:val="InstructionsTabelleberschrift"/>
                <w:rFonts w:ascii="Times New Roman" w:hAnsi="Times New Roman"/>
                <w:sz w:val="24"/>
              </w:rPr>
              <w:t xml:space="preserve">OCR i P2G: składające się z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7"/>
              </w:numPr>
            </w:pPr>
            <w:r w:rsidRPr="00AA1421">
              <w:t xml:space="preserve">współczynnika OCR składającego się z kapitału podstawowego </w:t>
            </w:r>
            <w:proofErr w:type="spellStart"/>
            <w:r w:rsidRPr="00AA1421">
              <w:t>Tier</w:t>
            </w:r>
            <w:proofErr w:type="spellEnd"/>
            <w:r w:rsidRPr="00AA1421">
              <w:t xml:space="preserve"> I, o którym mowa w wierszu 0170;</w:t>
            </w:r>
          </w:p>
          <w:p w:rsidR="009C083D" w:rsidRPr="00AA1421" w:rsidRDefault="009C083D" w:rsidP="00487A02">
            <w:pPr>
              <w:pStyle w:val="InstructionsText"/>
              <w:numPr>
                <w:ilvl w:val="0"/>
                <w:numId w:val="27"/>
              </w:numPr>
              <w:rPr>
                <w:bCs/>
                <w:u w:val="single"/>
              </w:rPr>
            </w:pPr>
            <w:r w:rsidRPr="00AA1421">
              <w:t xml:space="preserve">w stosownych przypadkach, części P2G, o którym mowa w wierszu 0190 </w:t>
            </w:r>
            <w:proofErr w:type="spellStart"/>
            <w:r w:rsidRPr="00AA1421">
              <w:t>ppkt</w:t>
            </w:r>
            <w:proofErr w:type="spellEnd"/>
            <w:r w:rsidRPr="00AA1421">
              <w:t xml:space="preserve"> (ii), która – zgodnie z wymogiem nałożonym przez właściwy organ – ma być utrzymywana w postaci kapitału podstawowego </w:t>
            </w:r>
            <w:proofErr w:type="spellStart"/>
            <w:r w:rsidRPr="00AA1421">
              <w:t>Tier</w:t>
            </w:r>
            <w:proofErr w:type="spellEnd"/>
            <w:r w:rsidRPr="00AA1421">
              <w:t xml:space="preserve"> I. P2G uwzględnia się tylko wtedy, gdy został podany do wiadomości instytucji przez właściwy organ.</w:t>
            </w:r>
          </w:p>
          <w:p w:rsidR="0047693D" w:rsidRPr="00AA1421" w:rsidRDefault="00FF2818" w:rsidP="00487A02">
            <w:pPr>
              <w:pStyle w:val="InstructionsText"/>
              <w:rPr>
                <w:rStyle w:val="InstructionsTabelleberschrift"/>
                <w:rFonts w:ascii="Times New Roman" w:hAnsi="Times New Roman"/>
                <w:b w:val="0"/>
                <w:sz w:val="24"/>
              </w:rPr>
            </w:pPr>
            <w:r w:rsidRPr="00AA1421">
              <w:t xml:space="preserve">Jeżeli właściwy organ nie podał P2G, zgłasza się wyłącznie </w:t>
            </w:r>
            <w:proofErr w:type="spellStart"/>
            <w:r w:rsidRPr="00AA1421">
              <w:t>ppkt</w:t>
            </w:r>
            <w:proofErr w:type="spellEnd"/>
            <w:r w:rsidRPr="00AA1421">
              <w:t xml:space="preserve"> (i).</w:t>
            </w:r>
          </w:p>
        </w:tc>
      </w:tr>
      <w:tr w:rsidR="009C083D" w:rsidRPr="00AA1421" w:rsidTr="003E47C5">
        <w:tc>
          <w:tcPr>
            <w:tcW w:w="1163" w:type="dxa"/>
          </w:tcPr>
          <w:p w:rsidR="009C083D" w:rsidRPr="00AA1421" w:rsidRDefault="00B13F06" w:rsidP="00487A02">
            <w:pPr>
              <w:pStyle w:val="InstructionsText"/>
            </w:pPr>
            <w:r w:rsidRPr="00AA1421">
              <w:t>0210</w:t>
            </w:r>
          </w:p>
        </w:tc>
        <w:tc>
          <w:tcPr>
            <w:tcW w:w="7620" w:type="dxa"/>
          </w:tcPr>
          <w:p w:rsidR="009C083D" w:rsidRPr="00AA1421" w:rsidRDefault="009C083D"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15**</w:t>
            </w:r>
            <w:r w:rsidR="00744F50" w:rsidRPr="00AA1421">
              <w:rPr>
                <w:b/>
                <w:u w:val="single"/>
              </w:rPr>
              <w:tab/>
            </w:r>
            <w:r w:rsidRPr="00AA1421">
              <w:rPr>
                <w:rStyle w:val="InstructionsTabelleberschrift"/>
                <w:rFonts w:ascii="Times New Roman" w:hAnsi="Times New Roman"/>
                <w:sz w:val="24"/>
              </w:rPr>
              <w:t xml:space="preserve">OCR i P2G: składające się z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9C083D" w:rsidRPr="00AA1421" w:rsidRDefault="009C083D" w:rsidP="00487A02">
            <w:pPr>
              <w:pStyle w:val="InstructionsText"/>
            </w:pPr>
            <w:r w:rsidRPr="00AA1421">
              <w:t xml:space="preserve">Suma następujących </w:t>
            </w:r>
            <w:proofErr w:type="spellStart"/>
            <w:r w:rsidRPr="00AA1421">
              <w:t>ppkt</w:t>
            </w:r>
            <w:proofErr w:type="spellEnd"/>
            <w:r w:rsidRPr="00AA1421">
              <w:t xml:space="preserve"> (i) oraz (ii):</w:t>
            </w:r>
          </w:p>
          <w:p w:rsidR="009C083D" w:rsidRPr="00AA1421" w:rsidRDefault="009C083D" w:rsidP="00487A02">
            <w:pPr>
              <w:pStyle w:val="InstructionsText"/>
              <w:numPr>
                <w:ilvl w:val="0"/>
                <w:numId w:val="28"/>
              </w:numPr>
            </w:pPr>
            <w:r w:rsidRPr="00AA1421">
              <w:t xml:space="preserve">współczynnika OCR składającego się z kapitału </w:t>
            </w:r>
            <w:proofErr w:type="spellStart"/>
            <w:r w:rsidRPr="00AA1421">
              <w:t>Tier</w:t>
            </w:r>
            <w:proofErr w:type="spellEnd"/>
            <w:r w:rsidRPr="00AA1421">
              <w:t xml:space="preserve"> I, o którym mowa w wierszu 0180;</w:t>
            </w:r>
          </w:p>
          <w:p w:rsidR="009C083D" w:rsidRPr="00AA1421" w:rsidRDefault="009C083D" w:rsidP="00487A02">
            <w:pPr>
              <w:pStyle w:val="InstructionsText"/>
              <w:numPr>
                <w:ilvl w:val="0"/>
                <w:numId w:val="28"/>
              </w:numPr>
            </w:pPr>
            <w:r w:rsidRPr="00AA1421">
              <w:t xml:space="preserve">w stosownych przypadkach, części P2G, o którym mowa w wierszu 0190 </w:t>
            </w:r>
            <w:proofErr w:type="spellStart"/>
            <w:r w:rsidRPr="00AA1421">
              <w:t>ppkt</w:t>
            </w:r>
            <w:proofErr w:type="spellEnd"/>
            <w:r w:rsidRPr="00AA1421">
              <w:t xml:space="preserve"> (ii), która – zgodnie z wymogiem nałożonym przez właściwy organ – ma być utrzymywana w postaci kapitału </w:t>
            </w:r>
            <w:proofErr w:type="spellStart"/>
            <w:r w:rsidRPr="00AA1421">
              <w:t>Tier</w:t>
            </w:r>
            <w:proofErr w:type="spellEnd"/>
            <w:r w:rsidRPr="00AA1421">
              <w:t xml:space="preserve"> I. P2G uwzględnia się tylko wtedy, gdy został podany do wiadomości instytucji przez właściwy organ.</w:t>
            </w:r>
          </w:p>
          <w:p w:rsidR="0047693D" w:rsidRPr="00AA1421" w:rsidRDefault="00FF2818" w:rsidP="00487A02">
            <w:pPr>
              <w:pStyle w:val="InstructionsText"/>
              <w:rPr>
                <w:rStyle w:val="InstructionsTabelleberschrift"/>
                <w:rFonts w:ascii="Times New Roman" w:hAnsi="Times New Roman"/>
                <w:b w:val="0"/>
                <w:bCs w:val="0"/>
                <w:sz w:val="24"/>
                <w:u w:val="none"/>
              </w:rPr>
            </w:pPr>
            <w:r w:rsidRPr="00AA1421">
              <w:t xml:space="preserve">Jeżeli właściwy organ nie podał P2G, zgłasza się wyłącznie </w:t>
            </w:r>
            <w:proofErr w:type="spellStart"/>
            <w:r w:rsidRPr="00AA1421">
              <w:t>ppkt</w:t>
            </w:r>
            <w:proofErr w:type="spellEnd"/>
            <w:r w:rsidRPr="00AA1421">
              <w:t xml:space="preserve"> (i).</w:t>
            </w:r>
            <w:r w:rsidRPr="00AA1421">
              <w:rPr>
                <w:rStyle w:val="InstructionsTabelleberschrift"/>
                <w:rFonts w:ascii="Times New Roman" w:hAnsi="Times New Roman"/>
                <w:b w:val="0"/>
                <w:sz w:val="24"/>
              </w:rPr>
              <w:t xml:space="preserve"> </w:t>
            </w:r>
          </w:p>
        </w:tc>
      </w:tr>
      <w:tr w:rsidR="00477C45" w:rsidRPr="00AA1421" w:rsidTr="003E47C5">
        <w:tc>
          <w:tcPr>
            <w:tcW w:w="1163" w:type="dxa"/>
          </w:tcPr>
          <w:p w:rsidR="00477C45" w:rsidRPr="00AA1421" w:rsidRDefault="00B13F06" w:rsidP="00487A02">
            <w:pPr>
              <w:pStyle w:val="InstructionsText"/>
            </w:pPr>
            <w:r w:rsidRPr="00AA1421">
              <w:t>0220</w:t>
            </w:r>
          </w:p>
        </w:tc>
        <w:tc>
          <w:tcPr>
            <w:tcW w:w="7620" w:type="dxa"/>
          </w:tcPr>
          <w:p w:rsidR="00477C45" w:rsidRPr="00AA1421" w:rsidRDefault="00477C4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Nadwyżka(+)/niedobór(-)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z uwzględnieniem wymogów określonych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9</w:t>
            </w:r>
            <w:r w:rsidRPr="00AA1421">
              <w:rPr>
                <w:rStyle w:val="InstructionsTabelleberschrift"/>
                <w:rFonts w:ascii="Times New Roman" w:hAnsi="Times New Roman"/>
                <w:sz w:val="24"/>
              </w:rPr>
              <w:t xml:space="preserve">2 CRR i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04a CRD</w:t>
            </w:r>
          </w:p>
          <w:p w:rsidR="00477C45" w:rsidRPr="00AA1421" w:rsidRDefault="00477C45" w:rsidP="00487A02">
            <w:pPr>
              <w:pStyle w:val="InstructionsText"/>
            </w:pPr>
            <w:r w:rsidRPr="00AA1421">
              <w:t xml:space="preserve">Pozycja ta przedstawia – w wartościach bezwzględnych – kwotę nadwyżki lub niedoboru kapitału podstawowego </w:t>
            </w:r>
            <w:proofErr w:type="spellStart"/>
            <w:r w:rsidRPr="00AA1421">
              <w:t>Tier</w:t>
            </w:r>
            <w:proofErr w:type="spellEnd"/>
            <w:r w:rsidRPr="00AA1421">
              <w:t xml:space="preserve"> I w stosunku do wymogów określonych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CRR (4,</w:t>
            </w:r>
            <w:r w:rsidRPr="00084F66">
              <w:t>5</w:t>
            </w:r>
            <w:r w:rsidR="00084F66" w:rsidRPr="00084F66">
              <w:t> </w:t>
            </w:r>
            <w:r w:rsidRPr="00084F66">
              <w:t>%</w:t>
            </w:r>
            <w:r w:rsidRPr="00AA1421">
              <w:t xml:space="preserve">) i </w:t>
            </w:r>
            <w:r w:rsidRPr="00084F66">
              <w:t>art.</w:t>
            </w:r>
            <w:r w:rsidR="00084F66" w:rsidRPr="00084F66">
              <w:t> </w:t>
            </w:r>
            <w:r w:rsidRPr="00084F66">
              <w:t>1</w:t>
            </w:r>
            <w:r w:rsidRPr="00AA1421">
              <w:t xml:space="preserve">04a CRD, w stopniu, w jakim wymóg określony w </w:t>
            </w:r>
            <w:r w:rsidRPr="00084F66">
              <w:t>art.</w:t>
            </w:r>
            <w:r w:rsidR="00084F66" w:rsidRPr="00084F66">
              <w:t> </w:t>
            </w:r>
            <w:r w:rsidRPr="00084F66">
              <w:t>1</w:t>
            </w:r>
            <w:r w:rsidRPr="00AA1421">
              <w:t xml:space="preserve">04a CRD musi zostać spełniony z wykorzystaniem kapitału podstawowego </w:t>
            </w:r>
            <w:proofErr w:type="spellStart"/>
            <w:r w:rsidRPr="00AA1421">
              <w:t>Tier</w:t>
            </w:r>
            <w:proofErr w:type="spellEnd"/>
            <w:r w:rsidRPr="00AA1421">
              <w:t xml:space="preserve"> I. Jeżeli dana instytucja musi wykorzystać swój kapitał podstawowy </w:t>
            </w:r>
            <w:proofErr w:type="spellStart"/>
            <w:r w:rsidRPr="00AA1421">
              <w:t>Tier</w:t>
            </w:r>
            <w:proofErr w:type="spellEnd"/>
            <w:r w:rsidRPr="00AA1421">
              <w:t xml:space="preserve"> I, aby spełnić wymogi określone w </w:t>
            </w:r>
            <w:r w:rsidRPr="00084F66">
              <w:t>art.</w:t>
            </w:r>
            <w:r w:rsidR="00084F66" w:rsidRPr="00084F66">
              <w:t> </w:t>
            </w:r>
            <w:r w:rsidRPr="00084F66">
              <w:t>9</w:t>
            </w:r>
            <w:r w:rsidRPr="00AA1421">
              <w:t xml:space="preserve">2 </w:t>
            </w:r>
            <w:r w:rsidRPr="00084F66">
              <w:t>ust.</w:t>
            </w:r>
            <w:r w:rsidR="00084F66" w:rsidRPr="00084F66">
              <w:t> </w:t>
            </w:r>
            <w:r w:rsidRPr="00084F66">
              <w:t>1</w:t>
            </w:r>
            <w:r w:rsidRPr="00AA1421">
              <w:t xml:space="preserve"> </w:t>
            </w:r>
            <w:r w:rsidRPr="00084F66">
              <w:t>lit.</w:t>
            </w:r>
            <w:r w:rsidR="00084F66" w:rsidRPr="00084F66">
              <w:t> </w:t>
            </w:r>
            <w:r w:rsidRPr="00084F66">
              <w:t>b)</w:t>
            </w:r>
            <w:r w:rsidRPr="00AA1421">
              <w:t xml:space="preserve"> lub c) CRR lub </w:t>
            </w:r>
            <w:r w:rsidRPr="00084F66">
              <w:t>art.</w:t>
            </w:r>
            <w:r w:rsidR="00084F66" w:rsidRPr="00084F66">
              <w:t> </w:t>
            </w:r>
            <w:r w:rsidRPr="00084F66">
              <w:t>1</w:t>
            </w:r>
            <w:r w:rsidRPr="00AA1421">
              <w:t xml:space="preserve">04a CRD w stopniu przekraczającym stopień, w jakim wymóg określony w </w:t>
            </w:r>
            <w:r w:rsidRPr="00084F66">
              <w:t>art.</w:t>
            </w:r>
            <w:r w:rsidR="00084F66" w:rsidRPr="00084F66">
              <w:t> </w:t>
            </w:r>
            <w:r w:rsidRPr="00084F66">
              <w:t>1</w:t>
            </w:r>
            <w:r w:rsidRPr="00AA1421">
              <w:t xml:space="preserve">04a CRD musi zostać spełniony z wykorzystaniem kapitału podstawowego </w:t>
            </w:r>
            <w:proofErr w:type="spellStart"/>
            <w:r w:rsidRPr="00AA1421">
              <w:t>Tier</w:t>
            </w:r>
            <w:proofErr w:type="spellEnd"/>
            <w:r w:rsidRPr="00AA1421">
              <w:t xml:space="preserve"> I, zgłoszona nadwyżka lub zgłoszony niedobór muszą uwzględniać ten fakt.</w:t>
            </w:r>
          </w:p>
          <w:p w:rsidR="00477C45" w:rsidRPr="00AA1421" w:rsidRDefault="00477C45" w:rsidP="00487A02">
            <w:pPr>
              <w:pStyle w:val="InstructionsText"/>
              <w:rPr>
                <w:rStyle w:val="InstructionsTabelleberschrift"/>
                <w:rFonts w:ascii="Times New Roman" w:hAnsi="Times New Roman"/>
                <w:sz w:val="24"/>
              </w:rPr>
            </w:pPr>
            <w:r w:rsidRPr="00AA1421">
              <w:t xml:space="preserve">Kwota ta odzwierciedla kapitał podstawowy </w:t>
            </w:r>
            <w:proofErr w:type="spellStart"/>
            <w:r w:rsidRPr="00AA1421">
              <w:t>Tier</w:t>
            </w:r>
            <w:proofErr w:type="spellEnd"/>
            <w:r w:rsidRPr="00AA1421">
              <w:t xml:space="preserve"> I dostępny na potrzeby spełnienia wymogu połączonego bufora i innych wymogów.</w:t>
            </w:r>
          </w:p>
        </w:tc>
      </w:tr>
      <w:tr w:rsidR="00845551" w:rsidRPr="00AA1421" w:rsidTr="003E47C5">
        <w:tc>
          <w:tcPr>
            <w:tcW w:w="1163" w:type="dxa"/>
          </w:tcPr>
          <w:p w:rsidR="00845551" w:rsidRPr="00AA1421" w:rsidRDefault="00845551" w:rsidP="00845551">
            <w:pPr>
              <w:pStyle w:val="InstructionsText"/>
            </w:pPr>
            <w:r w:rsidRPr="00AA1421">
              <w:t>0300</w:t>
            </w:r>
          </w:p>
        </w:tc>
        <w:tc>
          <w:tcPr>
            <w:tcW w:w="7620" w:type="dxa"/>
          </w:tcPr>
          <w:p w:rsidR="00845551" w:rsidRPr="00AA1421" w:rsidRDefault="00845551" w:rsidP="00845551">
            <w:pPr>
              <w:pStyle w:val="InstructionsText"/>
            </w:pPr>
            <w:r w:rsidRPr="00AA1421">
              <w:rPr>
                <w:b/>
              </w:rPr>
              <w:t xml:space="preserve">Współczynnik kapitału podstawowego </w:t>
            </w:r>
            <w:proofErr w:type="spellStart"/>
            <w:r w:rsidRPr="00AA1421">
              <w:rPr>
                <w:b/>
              </w:rPr>
              <w:t>Tier</w:t>
            </w:r>
            <w:proofErr w:type="spellEnd"/>
            <w:r w:rsidRPr="00AA1421">
              <w:rPr>
                <w:b/>
              </w:rPr>
              <w:t xml:space="preserve"> I bez zastosowania</w:t>
            </w:r>
            <w:r w:rsidRPr="00AA1421">
              <w:t xml:space="preserve"> </w:t>
            </w:r>
            <w:r w:rsidRPr="00AA1421">
              <w:rPr>
                <w:b/>
              </w:rPr>
              <w:t>przepisów przejściowych dotyczących MSSF 9</w:t>
            </w:r>
          </w:p>
          <w:p w:rsidR="00845551" w:rsidRPr="00AA1421" w:rsidRDefault="00845551" w:rsidP="00845551">
            <w:pPr>
              <w:pStyle w:val="InstructionsText"/>
              <w:rPr>
                <w:rStyle w:val="InstructionsTabelleberschrift"/>
                <w:rFonts w:ascii="Times New Roman" w:hAnsi="Times New Roman"/>
                <w:sz w:val="24"/>
              </w:rPr>
            </w:pPr>
            <w:r w:rsidRPr="00AA1421">
              <w:lastRenderedPageBreak/>
              <w:t xml:space="preserve">Art. 92 </w:t>
            </w:r>
            <w:r w:rsidRPr="00084F66">
              <w:t>ust.</w:t>
            </w:r>
            <w:r w:rsidR="00084F66" w:rsidRPr="00084F66">
              <w:t> </w:t>
            </w:r>
            <w:r w:rsidRPr="00084F66">
              <w:t>2</w:t>
            </w:r>
            <w:r w:rsidRPr="00AA1421">
              <w:t xml:space="preserve"> </w:t>
            </w:r>
            <w:r w:rsidRPr="00084F66">
              <w:t>lit.</w:t>
            </w:r>
            <w:r w:rsidR="00084F66" w:rsidRPr="00084F66">
              <w:t> </w:t>
            </w:r>
            <w:r w:rsidRPr="00084F66">
              <w:t>a)</w:t>
            </w:r>
            <w:r w:rsidRPr="00AA1421">
              <w:t xml:space="preserve"> CRR, </w:t>
            </w:r>
            <w:r w:rsidRPr="00084F66">
              <w:rPr>
                <w:rStyle w:val="InstructionsTabelleberschrift"/>
                <w:rFonts w:ascii="Times New Roman" w:hAnsi="Times New Roman"/>
                <w:b w:val="0"/>
                <w:sz w:val="24"/>
              </w:rPr>
              <w:t>art.</w:t>
            </w:r>
            <w:r w:rsidR="00084F66" w:rsidRPr="00084F66">
              <w:rPr>
                <w:rStyle w:val="InstructionsTabelleberschrift"/>
                <w:rFonts w:ascii="Times New Roman" w:hAnsi="Times New Roman"/>
                <w:b w:val="0"/>
                <w:sz w:val="24"/>
              </w:rPr>
              <w:t> </w:t>
            </w:r>
            <w:r w:rsidRPr="00084F66">
              <w:rPr>
                <w:rStyle w:val="InstructionsTabelleberschrift"/>
                <w:rFonts w:ascii="Times New Roman" w:hAnsi="Times New Roman"/>
                <w:b w:val="0"/>
                <w:sz w:val="24"/>
              </w:rPr>
              <w:t>4</w:t>
            </w:r>
            <w:r w:rsidRPr="00AA1421">
              <w:rPr>
                <w:rStyle w:val="InstructionsTabelleberschrift"/>
                <w:rFonts w:ascii="Times New Roman" w:hAnsi="Times New Roman"/>
                <w:b w:val="0"/>
                <w:sz w:val="24"/>
              </w:rPr>
              <w:t xml:space="preserve">73a </w:t>
            </w:r>
            <w:r w:rsidRPr="00084F66">
              <w:rPr>
                <w:rStyle w:val="InstructionsTabelleberschrift"/>
                <w:rFonts w:ascii="Times New Roman" w:hAnsi="Times New Roman"/>
                <w:b w:val="0"/>
                <w:sz w:val="24"/>
              </w:rPr>
              <w:t>ust.</w:t>
            </w:r>
            <w:r w:rsidR="00084F66" w:rsidRPr="00084F66">
              <w:rPr>
                <w:rStyle w:val="InstructionsTabelleberschrift"/>
                <w:rFonts w:ascii="Times New Roman" w:hAnsi="Times New Roman"/>
                <w:b w:val="0"/>
                <w:sz w:val="24"/>
              </w:rPr>
              <w:t> </w:t>
            </w:r>
            <w:r w:rsidRPr="00084F66">
              <w:rPr>
                <w:rStyle w:val="InstructionsTabelleberschrift"/>
                <w:rFonts w:ascii="Times New Roman" w:hAnsi="Times New Roman"/>
                <w:b w:val="0"/>
                <w:sz w:val="24"/>
              </w:rPr>
              <w:t>8</w:t>
            </w:r>
            <w:r w:rsidRPr="00AA1421">
              <w:rPr>
                <w:rStyle w:val="InstructionsTabelleberschrift"/>
                <w:rFonts w:ascii="Times New Roman" w:hAnsi="Times New Roman"/>
                <w:b w:val="0"/>
                <w:sz w:val="24"/>
              </w:rPr>
              <w:t xml:space="preserve"> CRR</w:t>
            </w:r>
          </w:p>
        </w:tc>
      </w:tr>
      <w:tr w:rsidR="00845551" w:rsidRPr="00AA1421" w:rsidTr="003E47C5">
        <w:tc>
          <w:tcPr>
            <w:tcW w:w="1163" w:type="dxa"/>
          </w:tcPr>
          <w:p w:rsidR="00845551" w:rsidRPr="00AA1421" w:rsidRDefault="00845551" w:rsidP="00845551">
            <w:pPr>
              <w:pStyle w:val="InstructionsText"/>
            </w:pPr>
            <w:r w:rsidRPr="00AA1421">
              <w:lastRenderedPageBreak/>
              <w:t>0310</w:t>
            </w:r>
          </w:p>
        </w:tc>
        <w:tc>
          <w:tcPr>
            <w:tcW w:w="7620" w:type="dxa"/>
          </w:tcPr>
          <w:p w:rsidR="00845551" w:rsidRPr="00AA1421" w:rsidRDefault="00845551" w:rsidP="00845551">
            <w:pPr>
              <w:pStyle w:val="InstructionsText"/>
            </w:pPr>
            <w:r w:rsidRPr="00AA1421">
              <w:rPr>
                <w:b/>
              </w:rPr>
              <w:t xml:space="preserve">Współczynnik kapitału </w:t>
            </w:r>
            <w:proofErr w:type="spellStart"/>
            <w:r w:rsidRPr="00AA1421">
              <w:rPr>
                <w:b/>
              </w:rPr>
              <w:t>Tier</w:t>
            </w:r>
            <w:proofErr w:type="spellEnd"/>
            <w:r w:rsidRPr="00AA1421">
              <w:rPr>
                <w:b/>
              </w:rPr>
              <w:t xml:space="preserve"> I bez zastosowania przepisów przejściowych dotyczących MSSF 9</w:t>
            </w:r>
          </w:p>
          <w:p w:rsidR="00845551" w:rsidRPr="00AA1421" w:rsidRDefault="00845551" w:rsidP="00845551">
            <w:pPr>
              <w:pStyle w:val="InstructionsText"/>
              <w:rPr>
                <w:rStyle w:val="InstructionsTabelleberschrift"/>
                <w:rFonts w:ascii="Times New Roman" w:hAnsi="Times New Roman"/>
                <w:sz w:val="24"/>
              </w:rPr>
            </w:pPr>
            <w:r w:rsidRPr="00AA1421">
              <w:t xml:space="preserve">Art. 92 </w:t>
            </w:r>
            <w:r w:rsidRPr="00084F66">
              <w:t>ust.</w:t>
            </w:r>
            <w:r w:rsidR="00084F66" w:rsidRPr="00084F66">
              <w:t> </w:t>
            </w:r>
            <w:r w:rsidRPr="00084F66">
              <w:t>2</w:t>
            </w:r>
            <w:r w:rsidRPr="00AA1421">
              <w:t xml:space="preserve"> </w:t>
            </w:r>
            <w:r w:rsidRPr="00084F66">
              <w:t>lit.</w:t>
            </w:r>
            <w:r w:rsidR="00084F66" w:rsidRPr="00084F66">
              <w:t> </w:t>
            </w:r>
            <w:r w:rsidRPr="00084F66">
              <w:t>b)</w:t>
            </w:r>
            <w:r w:rsidRPr="00AA1421">
              <w:t xml:space="preserve"> CRR, </w:t>
            </w:r>
            <w:r w:rsidRPr="00084F66">
              <w:rPr>
                <w:rStyle w:val="InstructionsTabelleberschrift"/>
                <w:rFonts w:ascii="Times New Roman" w:hAnsi="Times New Roman"/>
                <w:b w:val="0"/>
                <w:sz w:val="24"/>
              </w:rPr>
              <w:t>art.</w:t>
            </w:r>
            <w:r w:rsidR="00084F66" w:rsidRPr="00084F66">
              <w:rPr>
                <w:rStyle w:val="InstructionsTabelleberschrift"/>
                <w:rFonts w:ascii="Times New Roman" w:hAnsi="Times New Roman"/>
                <w:b w:val="0"/>
                <w:sz w:val="24"/>
              </w:rPr>
              <w:t> </w:t>
            </w:r>
            <w:r w:rsidRPr="00084F66">
              <w:rPr>
                <w:rStyle w:val="InstructionsTabelleberschrift"/>
                <w:rFonts w:ascii="Times New Roman" w:hAnsi="Times New Roman"/>
                <w:b w:val="0"/>
                <w:sz w:val="24"/>
              </w:rPr>
              <w:t>4</w:t>
            </w:r>
            <w:r w:rsidRPr="00AA1421">
              <w:rPr>
                <w:rStyle w:val="InstructionsTabelleberschrift"/>
                <w:rFonts w:ascii="Times New Roman" w:hAnsi="Times New Roman"/>
                <w:b w:val="0"/>
                <w:sz w:val="24"/>
              </w:rPr>
              <w:t xml:space="preserve">73a </w:t>
            </w:r>
            <w:r w:rsidRPr="00084F66">
              <w:rPr>
                <w:rStyle w:val="InstructionsTabelleberschrift"/>
                <w:rFonts w:ascii="Times New Roman" w:hAnsi="Times New Roman"/>
                <w:b w:val="0"/>
                <w:sz w:val="24"/>
              </w:rPr>
              <w:t>ust.</w:t>
            </w:r>
            <w:r w:rsidR="00084F66" w:rsidRPr="00084F66">
              <w:rPr>
                <w:rStyle w:val="InstructionsTabelleberschrift"/>
                <w:rFonts w:ascii="Times New Roman" w:hAnsi="Times New Roman"/>
                <w:b w:val="0"/>
                <w:sz w:val="24"/>
              </w:rPr>
              <w:t> </w:t>
            </w:r>
            <w:r w:rsidRPr="00084F66">
              <w:rPr>
                <w:rStyle w:val="InstructionsTabelleberschrift"/>
                <w:rFonts w:ascii="Times New Roman" w:hAnsi="Times New Roman"/>
                <w:b w:val="0"/>
                <w:sz w:val="24"/>
              </w:rPr>
              <w:t>8</w:t>
            </w:r>
            <w:r w:rsidRPr="00AA1421">
              <w:rPr>
                <w:rStyle w:val="InstructionsTabelleberschrift"/>
                <w:rFonts w:ascii="Times New Roman" w:hAnsi="Times New Roman"/>
                <w:b w:val="0"/>
                <w:sz w:val="24"/>
              </w:rPr>
              <w:t xml:space="preserve"> CRR</w:t>
            </w:r>
          </w:p>
        </w:tc>
      </w:tr>
      <w:tr w:rsidR="00845551" w:rsidRPr="00AA1421" w:rsidTr="003E47C5">
        <w:tc>
          <w:tcPr>
            <w:tcW w:w="1163" w:type="dxa"/>
          </w:tcPr>
          <w:p w:rsidR="00845551" w:rsidRPr="00AA1421" w:rsidRDefault="00845551" w:rsidP="00845551">
            <w:pPr>
              <w:pStyle w:val="InstructionsText"/>
            </w:pPr>
            <w:r w:rsidRPr="00AA1421">
              <w:t>0320</w:t>
            </w:r>
          </w:p>
        </w:tc>
        <w:tc>
          <w:tcPr>
            <w:tcW w:w="7620" w:type="dxa"/>
          </w:tcPr>
          <w:p w:rsidR="00845551" w:rsidRPr="00AA1421" w:rsidRDefault="00845551" w:rsidP="00845551">
            <w:pPr>
              <w:pStyle w:val="InstructionsText"/>
            </w:pPr>
            <w:r w:rsidRPr="00AA1421">
              <w:rPr>
                <w:b/>
              </w:rPr>
              <w:t>Łączny współczynnik kapitałowy bez zastosowania przepisów przejściowych dotyczących MSSF</w:t>
            </w:r>
            <w:r w:rsidRPr="00AA1421">
              <w:t xml:space="preserve"> </w:t>
            </w:r>
            <w:r w:rsidRPr="00AA1421">
              <w:rPr>
                <w:b/>
              </w:rPr>
              <w:t>9</w:t>
            </w:r>
          </w:p>
          <w:p w:rsidR="00845551" w:rsidRPr="00AA1421" w:rsidRDefault="00845551" w:rsidP="00845551">
            <w:pPr>
              <w:pStyle w:val="InstructionsText"/>
              <w:rPr>
                <w:rStyle w:val="InstructionsTabelleberschrift"/>
                <w:rFonts w:ascii="Times New Roman" w:hAnsi="Times New Roman"/>
                <w:sz w:val="24"/>
              </w:rPr>
            </w:pPr>
            <w:r w:rsidRPr="00AA1421">
              <w:t xml:space="preserve">Art. 92 </w:t>
            </w:r>
            <w:r w:rsidRPr="00084F66">
              <w:t>ust.</w:t>
            </w:r>
            <w:r w:rsidR="00084F66" w:rsidRPr="00084F66">
              <w:t> </w:t>
            </w:r>
            <w:r w:rsidRPr="00084F66">
              <w:t>2</w:t>
            </w:r>
            <w:r w:rsidRPr="00AA1421">
              <w:t xml:space="preserve"> </w:t>
            </w:r>
            <w:r w:rsidRPr="00084F66">
              <w:t>lit.</w:t>
            </w:r>
            <w:r w:rsidR="00084F66" w:rsidRPr="00084F66">
              <w:t> </w:t>
            </w:r>
            <w:r w:rsidRPr="00084F66">
              <w:t>c)</w:t>
            </w:r>
            <w:r w:rsidRPr="00AA1421">
              <w:t xml:space="preserve"> CRR, </w:t>
            </w:r>
            <w:r w:rsidRPr="00084F66">
              <w:rPr>
                <w:rStyle w:val="InstructionsTabelleberschrift"/>
                <w:rFonts w:ascii="Times New Roman" w:hAnsi="Times New Roman"/>
                <w:b w:val="0"/>
                <w:sz w:val="24"/>
              </w:rPr>
              <w:t>art.</w:t>
            </w:r>
            <w:r w:rsidR="00084F66" w:rsidRPr="00084F66">
              <w:rPr>
                <w:rStyle w:val="InstructionsTabelleberschrift"/>
                <w:rFonts w:ascii="Times New Roman" w:hAnsi="Times New Roman"/>
                <w:b w:val="0"/>
                <w:sz w:val="24"/>
              </w:rPr>
              <w:t> </w:t>
            </w:r>
            <w:r w:rsidRPr="00084F66">
              <w:rPr>
                <w:rStyle w:val="InstructionsTabelleberschrift"/>
                <w:rFonts w:ascii="Times New Roman" w:hAnsi="Times New Roman"/>
                <w:b w:val="0"/>
                <w:sz w:val="24"/>
              </w:rPr>
              <w:t>4</w:t>
            </w:r>
            <w:r w:rsidRPr="00AA1421">
              <w:rPr>
                <w:rStyle w:val="InstructionsTabelleberschrift"/>
                <w:rFonts w:ascii="Times New Roman" w:hAnsi="Times New Roman"/>
                <w:b w:val="0"/>
                <w:sz w:val="24"/>
              </w:rPr>
              <w:t xml:space="preserve">73a </w:t>
            </w:r>
            <w:r w:rsidRPr="00084F66">
              <w:rPr>
                <w:rStyle w:val="InstructionsTabelleberschrift"/>
                <w:rFonts w:ascii="Times New Roman" w:hAnsi="Times New Roman"/>
                <w:b w:val="0"/>
                <w:sz w:val="24"/>
              </w:rPr>
              <w:t>ust.</w:t>
            </w:r>
            <w:r w:rsidR="00084F66" w:rsidRPr="00084F66">
              <w:rPr>
                <w:rStyle w:val="InstructionsTabelleberschrift"/>
                <w:rFonts w:ascii="Times New Roman" w:hAnsi="Times New Roman"/>
                <w:b w:val="0"/>
                <w:sz w:val="24"/>
              </w:rPr>
              <w:t> </w:t>
            </w:r>
            <w:r w:rsidRPr="00084F66">
              <w:rPr>
                <w:rStyle w:val="InstructionsTabelleberschrift"/>
                <w:rFonts w:ascii="Times New Roman" w:hAnsi="Times New Roman"/>
                <w:b w:val="0"/>
                <w:sz w:val="24"/>
              </w:rPr>
              <w:t>8</w:t>
            </w:r>
            <w:r w:rsidRPr="00AA1421">
              <w:rPr>
                <w:rStyle w:val="InstructionsTabelleberschrift"/>
                <w:rFonts w:ascii="Times New Roman" w:hAnsi="Times New Roman"/>
                <w:b w:val="0"/>
                <w:sz w:val="24"/>
              </w:rPr>
              <w:t xml:space="preserve"> CRR</w:t>
            </w:r>
          </w:p>
        </w:tc>
      </w:tr>
    </w:tbl>
    <w:p w:rsidR="005643EA" w:rsidRPr="00AA1421" w:rsidRDefault="005643EA" w:rsidP="00487A02">
      <w:pPr>
        <w:pStyle w:val="InstructionsText"/>
      </w:pPr>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58403604"/>
      <w:bookmarkStart w:id="62" w:name="_Toc308175830"/>
      <w:bookmarkStart w:id="63" w:name="_Toc360188331"/>
      <w:r w:rsidRPr="00AA1421">
        <w:rPr>
          <w:rFonts w:ascii="Times New Roman" w:hAnsi="Times New Roman"/>
          <w:sz w:val="24"/>
          <w:u w:val="none"/>
        </w:rPr>
        <w:t>1.5.</w:t>
      </w:r>
      <w:r w:rsidR="00D712CF" w:rsidRPr="00AA1421">
        <w:rPr>
          <w:u w:val="none"/>
        </w:rPr>
        <w:tab/>
      </w:r>
      <w:r w:rsidRPr="00AA1421">
        <w:rPr>
          <w:rFonts w:ascii="Times New Roman" w:hAnsi="Times New Roman"/>
          <w:sz w:val="24"/>
        </w:rPr>
        <w:t>C 04.00 – POZYCJE UZUPEŁNIAJĄCE (CA4)</w:t>
      </w:r>
      <w:bookmarkEnd w:id="60"/>
      <w:bookmarkEnd w:id="61"/>
      <w:r w:rsidRPr="00AA1421">
        <w:rPr>
          <w:rFonts w:ascii="Times New Roman" w:hAnsi="Times New Roman"/>
          <w:sz w:val="24"/>
        </w:rPr>
        <w:t xml:space="preserve"> </w:t>
      </w:r>
      <w:bookmarkEnd w:id="62"/>
      <w:bookmarkEnd w:id="63"/>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403605"/>
      <w:r w:rsidRPr="00AA1421">
        <w:rPr>
          <w:rFonts w:ascii="Times New Roman" w:hAnsi="Times New Roman"/>
          <w:sz w:val="24"/>
          <w:u w:val="none"/>
        </w:rPr>
        <w:t>1.5.1.</w:t>
      </w:r>
      <w:r w:rsidR="00D712CF" w:rsidRPr="00AA1421">
        <w:rPr>
          <w:u w:val="none"/>
        </w:rPr>
        <w:tab/>
      </w:r>
      <w:bookmarkStart w:id="68" w:name="_Toc308175831"/>
      <w:r w:rsidRPr="00AA1421">
        <w:rPr>
          <w:rFonts w:ascii="Times New Roman" w:hAnsi="Times New Roman"/>
          <w:sz w:val="24"/>
        </w:rPr>
        <w:t>Instrukcje dotyczące poszczególnych pozycji</w:t>
      </w:r>
      <w:bookmarkEnd w:id="68"/>
      <w:bookmarkEnd w:id="64"/>
      <w:bookmarkEnd w:id="65"/>
      <w:bookmarkEnd w:id="66"/>
      <w:bookmarkEnd w:id="67"/>
    </w:p>
    <w:p w:rsidR="002648B0" w:rsidRPr="00AA1421"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AA1421" w:rsidTr="00674BF5">
        <w:tc>
          <w:tcPr>
            <w:tcW w:w="8523" w:type="dxa"/>
            <w:gridSpan w:val="2"/>
            <w:shd w:val="clear" w:color="auto" w:fill="D9D9D9"/>
          </w:tcPr>
          <w:p w:rsidR="005643EA" w:rsidRPr="00AA1421" w:rsidRDefault="002648B0" w:rsidP="00487A02">
            <w:pPr>
              <w:pStyle w:val="InstructionsText"/>
            </w:pPr>
            <w:r w:rsidRPr="00AA1421">
              <w:t>Wiersze</w:t>
            </w:r>
          </w:p>
        </w:tc>
      </w:tr>
      <w:tr w:rsidR="002648B0" w:rsidRPr="00AA1421" w:rsidTr="00674BF5">
        <w:tc>
          <w:tcPr>
            <w:tcW w:w="1474" w:type="dxa"/>
          </w:tcPr>
          <w:p w:rsidR="002648B0" w:rsidRPr="00AA1421" w:rsidRDefault="00B13F06" w:rsidP="00487A02">
            <w:pPr>
              <w:pStyle w:val="InstructionsText"/>
            </w:pPr>
            <w:r w:rsidRPr="00AA1421">
              <w:t>0010</w:t>
            </w:r>
          </w:p>
        </w:tc>
        <w:tc>
          <w:tcPr>
            <w:tcW w:w="7049" w:type="dxa"/>
          </w:tcPr>
          <w:p w:rsidR="005643EA" w:rsidRPr="00AA1421" w:rsidRDefault="00C66473" w:rsidP="00487A02">
            <w:pPr>
              <w:pStyle w:val="InstructionsText"/>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Aktywa z tytułu odroczonego podatku dochodowego razem</w:t>
            </w:r>
          </w:p>
          <w:p w:rsidR="005643EA" w:rsidRPr="00AA1421" w:rsidRDefault="002648B0" w:rsidP="00487A02">
            <w:pPr>
              <w:pStyle w:val="InstructionsText"/>
            </w:pPr>
            <w:r w:rsidRPr="00AA1421">
              <w:t>Kwota, którą należy zgłosić w tej pozycji, jest równa kwocie zgłoszonej w najnowszym zweryfikowanym/zbadanym bilansie księgowym.</w:t>
            </w:r>
          </w:p>
        </w:tc>
      </w:tr>
      <w:tr w:rsidR="002648B0" w:rsidRPr="00AA1421" w:rsidTr="00674BF5">
        <w:tc>
          <w:tcPr>
            <w:tcW w:w="1474" w:type="dxa"/>
          </w:tcPr>
          <w:p w:rsidR="002648B0" w:rsidRPr="00AA1421" w:rsidRDefault="00B13F06" w:rsidP="00487A02">
            <w:pPr>
              <w:pStyle w:val="InstructionsText"/>
            </w:pPr>
            <w:r w:rsidRPr="00AA1421">
              <w:t>0020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1.1</w:t>
            </w:r>
            <w:r w:rsidR="00744F50" w:rsidRPr="00AA1421">
              <w:rPr>
                <w:b/>
                <w:u w:val="single"/>
              </w:rPr>
              <w:tab/>
            </w:r>
            <w:r w:rsidRPr="00AA1421">
              <w:rPr>
                <w:rStyle w:val="InstructionsTabelleberschrift"/>
                <w:rFonts w:ascii="Times New Roman" w:hAnsi="Times New Roman"/>
                <w:sz w:val="24"/>
              </w:rPr>
              <w:t>Aktywa z tytułu odroczonego podatku dochodowego nieoparte na przyszłej rentowności</w:t>
            </w:r>
          </w:p>
          <w:p w:rsidR="005643EA" w:rsidRPr="00AA1421" w:rsidRDefault="002648B0" w:rsidP="00487A02">
            <w:pPr>
              <w:pStyle w:val="InstructionsText"/>
            </w:pPr>
            <w:r w:rsidRPr="00AA1421">
              <w:t>Art. 39 ust. 2 CRR</w:t>
            </w:r>
          </w:p>
          <w:p w:rsidR="005643EA" w:rsidRPr="00AA1421" w:rsidRDefault="002648B0" w:rsidP="00487A02">
            <w:pPr>
              <w:pStyle w:val="InstructionsText"/>
            </w:pPr>
            <w:r w:rsidRPr="00AA1421">
              <w:t>Aktywa z tytułu odroczonego podatku dochodowego, które zostały utworzone przed dniem 23 listopada 20</w:t>
            </w:r>
            <w:r w:rsidRPr="00084F66">
              <w:t>16</w:t>
            </w:r>
            <w:r w:rsidR="00084F66" w:rsidRPr="00084F66">
              <w:t> </w:t>
            </w:r>
            <w:r w:rsidRPr="00084F66">
              <w:t>r.</w:t>
            </w:r>
            <w:r w:rsidRPr="00AA1421">
              <w:t xml:space="preserve"> i nie opierają się na przyszłej rentowności, a tym samym podlegają zastosowaniu wagi ryzyka.</w:t>
            </w:r>
          </w:p>
        </w:tc>
      </w:tr>
      <w:tr w:rsidR="002648B0" w:rsidRPr="00AA1421" w:rsidTr="00674BF5">
        <w:tc>
          <w:tcPr>
            <w:tcW w:w="1474" w:type="dxa"/>
          </w:tcPr>
          <w:p w:rsidR="002648B0" w:rsidRPr="00AA1421" w:rsidRDefault="00B13F06" w:rsidP="00487A02">
            <w:pPr>
              <w:pStyle w:val="InstructionsText"/>
            </w:pPr>
            <w:r w:rsidRPr="00AA1421">
              <w:t>0030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1.2</w:t>
            </w:r>
            <w:r w:rsidR="00744F50" w:rsidRPr="00AA1421">
              <w:rPr>
                <w:b/>
                <w:u w:val="single"/>
              </w:rPr>
              <w:tab/>
            </w:r>
            <w:r w:rsidRPr="00AA1421">
              <w:rPr>
                <w:rStyle w:val="InstructionsTabelleberschrift"/>
                <w:rFonts w:ascii="Times New Roman" w:hAnsi="Times New Roman"/>
                <w:sz w:val="24"/>
              </w:rPr>
              <w:t>Aktywa z tytułu odroczonego podatku dochodowego oparte na przyszłej rentowności i niewynikające z różnic przejściowych</w:t>
            </w:r>
          </w:p>
          <w:p w:rsidR="005643EA" w:rsidRPr="00AA1421" w:rsidRDefault="0014657C" w:rsidP="00487A02">
            <w:pPr>
              <w:pStyle w:val="InstructionsText"/>
            </w:pPr>
            <w:r w:rsidRPr="00AA1421">
              <w:t xml:space="preserve">Art. 36 </w:t>
            </w:r>
            <w:r w:rsidRPr="00084F66">
              <w:t>ust.</w:t>
            </w:r>
            <w:r w:rsidR="00084F66" w:rsidRPr="00084F66">
              <w:t> </w:t>
            </w:r>
            <w:r w:rsidRPr="00084F66">
              <w:t>1</w:t>
            </w:r>
            <w:r w:rsidRPr="00AA1421">
              <w:t xml:space="preserve"> </w:t>
            </w:r>
            <w:r w:rsidRPr="00084F66">
              <w:t>lit.</w:t>
            </w:r>
            <w:r w:rsidR="00084F66" w:rsidRPr="00084F66">
              <w:t> </w:t>
            </w:r>
            <w:r w:rsidRPr="00084F66">
              <w:t>c)</w:t>
            </w:r>
            <w:r w:rsidRPr="00AA1421">
              <w:t xml:space="preserve"> oraz </w:t>
            </w:r>
            <w:r w:rsidRPr="00084F66">
              <w:t>art.</w:t>
            </w:r>
            <w:r w:rsidR="00084F66" w:rsidRPr="00084F66">
              <w:t> </w:t>
            </w:r>
            <w:r w:rsidRPr="00084F66">
              <w:t>3</w:t>
            </w:r>
            <w:r w:rsidRPr="00AA1421">
              <w:t>8 CRR</w:t>
            </w:r>
          </w:p>
          <w:p w:rsidR="005643EA" w:rsidRPr="00AA1421" w:rsidRDefault="002648B0" w:rsidP="00487A02">
            <w:pPr>
              <w:pStyle w:val="InstructionsText"/>
            </w:pPr>
            <w:r w:rsidRPr="00AA1421">
              <w:t xml:space="preserve">Aktywa z tytułu odroczonego podatku dochodowego, które są oparte na przyszłej rentowności, ale nie wynikają z różnic przejściowych, i tym samym nie są objęte żadnymi progami (tj. są w całości odliczane od kapitału podstawowego </w:t>
            </w:r>
            <w:proofErr w:type="spellStart"/>
            <w:r w:rsidRPr="00AA1421">
              <w:t>Tier</w:t>
            </w:r>
            <w:proofErr w:type="spellEnd"/>
            <w:r w:rsidRPr="00AA1421">
              <w:t xml:space="preserve"> I).</w:t>
            </w:r>
          </w:p>
        </w:tc>
      </w:tr>
      <w:tr w:rsidR="002648B0" w:rsidRPr="00AA1421" w:rsidTr="00674BF5">
        <w:tc>
          <w:tcPr>
            <w:tcW w:w="1474" w:type="dxa"/>
          </w:tcPr>
          <w:p w:rsidR="002648B0" w:rsidRPr="00AA1421" w:rsidRDefault="00B13F06" w:rsidP="00487A02">
            <w:pPr>
              <w:pStyle w:val="InstructionsText"/>
            </w:pPr>
            <w:r w:rsidRPr="00AA1421">
              <w:t>0040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Aktywa z tytułu odroczonego podatku dochodowego oparte na przyszłej rentowności i wynikające z różnic przejściowych</w:t>
            </w:r>
          </w:p>
          <w:p w:rsidR="005643EA" w:rsidRPr="00AA1421" w:rsidRDefault="0014657C" w:rsidP="00487A02">
            <w:pPr>
              <w:pStyle w:val="InstructionsText"/>
            </w:pPr>
            <w:r w:rsidRPr="00AA1421">
              <w:t xml:space="preserve">Art. 36 </w:t>
            </w:r>
            <w:r w:rsidRPr="00084F66">
              <w:t>ust.</w:t>
            </w:r>
            <w:r w:rsidR="00084F66" w:rsidRPr="00084F66">
              <w:t> </w:t>
            </w:r>
            <w:r w:rsidRPr="00084F66">
              <w:t>1</w:t>
            </w:r>
            <w:r w:rsidRPr="00AA1421">
              <w:t xml:space="preserve"> </w:t>
            </w:r>
            <w:r w:rsidRPr="00084F66">
              <w:t>lit.</w:t>
            </w:r>
            <w:r w:rsidR="00084F66" w:rsidRPr="00084F66">
              <w:t> </w:t>
            </w:r>
            <w:r w:rsidRPr="00084F66">
              <w:t>c)</w:t>
            </w:r>
            <w:r w:rsidRPr="00AA1421">
              <w:t xml:space="preserve">; Art. 38 oraz </w:t>
            </w:r>
            <w:r w:rsidRPr="00084F66">
              <w:t>art.</w:t>
            </w:r>
            <w:r w:rsidR="00084F66" w:rsidRPr="00084F66">
              <w:t> </w:t>
            </w:r>
            <w:r w:rsidRPr="00084F66">
              <w:t>4</w:t>
            </w:r>
            <w:r w:rsidRPr="00AA1421">
              <w:t xml:space="preserve">8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CRR</w:t>
            </w:r>
          </w:p>
          <w:p w:rsidR="005643EA" w:rsidRPr="00AA1421" w:rsidRDefault="002648B0" w:rsidP="00487A02">
            <w:pPr>
              <w:pStyle w:val="InstructionsText"/>
            </w:pPr>
            <w:r w:rsidRPr="00AA1421">
              <w:t xml:space="preserve">Aktywa z tytułu odroczonego podatku dochodowego, które są oparte na przyszłej rentowności i wynikają z różnic przejściowych, a tym samym ich odliczenie od kapitału podstawowego </w:t>
            </w:r>
            <w:proofErr w:type="spellStart"/>
            <w:r w:rsidRPr="00AA1421">
              <w:t>Tier</w:t>
            </w:r>
            <w:proofErr w:type="spellEnd"/>
            <w:r w:rsidRPr="00AA1421">
              <w:t xml:space="preserve"> I jest objęte progami wynoszącymi 1</w:t>
            </w:r>
            <w:r w:rsidRPr="00084F66">
              <w:t>0</w:t>
            </w:r>
            <w:r w:rsidR="00084F66" w:rsidRPr="00084F66">
              <w:t> </w:t>
            </w:r>
            <w:r w:rsidRPr="00084F66">
              <w:t>%</w:t>
            </w:r>
            <w:r w:rsidRPr="00AA1421">
              <w:t xml:space="preserve"> i 17,6</w:t>
            </w:r>
            <w:r w:rsidRPr="00084F66">
              <w:t>5</w:t>
            </w:r>
            <w:r w:rsidR="00084F66" w:rsidRPr="00084F66">
              <w:t> </w:t>
            </w:r>
            <w:r w:rsidRPr="00084F66">
              <w:t>%</w:t>
            </w:r>
            <w:r w:rsidRPr="00AA1421">
              <w:t xml:space="preserve"> określonymi w </w:t>
            </w:r>
            <w:r w:rsidRPr="00084F66">
              <w:t>art.</w:t>
            </w:r>
            <w:r w:rsidR="00084F66" w:rsidRPr="00084F66">
              <w:t> </w:t>
            </w:r>
            <w:r w:rsidRPr="00084F66">
              <w:t>4</w:t>
            </w:r>
            <w:r w:rsidRPr="00AA1421">
              <w:t>8 CRR.</w:t>
            </w:r>
          </w:p>
        </w:tc>
      </w:tr>
      <w:tr w:rsidR="002648B0" w:rsidRPr="00AA1421" w:rsidTr="00674BF5">
        <w:tc>
          <w:tcPr>
            <w:tcW w:w="1474" w:type="dxa"/>
          </w:tcPr>
          <w:p w:rsidR="002648B0" w:rsidRPr="00AA1421" w:rsidRDefault="00B13F06" w:rsidP="00487A02">
            <w:pPr>
              <w:pStyle w:val="InstructionsText"/>
            </w:pPr>
            <w:r w:rsidRPr="00AA1421">
              <w:t>0050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2 Rezerwy z tytułu odroczonego podatku dochodowego razem</w:t>
            </w:r>
          </w:p>
          <w:p w:rsidR="005643EA" w:rsidRPr="00AA1421" w:rsidRDefault="002648B0" w:rsidP="00487A02">
            <w:pPr>
              <w:pStyle w:val="InstructionsText"/>
            </w:pPr>
            <w:r w:rsidRPr="00AA1421">
              <w:t>Kwota, którą należy zgłosić w tej pozycji, jest równa kwocie zgłoszonej w ostatnim zweryfikowanym/zbadanym bilansie księgowym.</w:t>
            </w:r>
          </w:p>
        </w:tc>
      </w:tr>
      <w:tr w:rsidR="002648B0" w:rsidRPr="00AA1421" w:rsidTr="00674BF5">
        <w:tc>
          <w:tcPr>
            <w:tcW w:w="1474" w:type="dxa"/>
          </w:tcPr>
          <w:p w:rsidR="002648B0" w:rsidRPr="00AA1421" w:rsidRDefault="00B13F06" w:rsidP="00487A02">
            <w:pPr>
              <w:pStyle w:val="InstructionsText"/>
            </w:pPr>
            <w:r w:rsidRPr="00AA1421">
              <w:lastRenderedPageBreak/>
              <w:t>0060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2.1</w:t>
            </w:r>
            <w:r w:rsidR="00744F50" w:rsidRPr="00AA1421">
              <w:rPr>
                <w:b/>
                <w:u w:val="single"/>
              </w:rPr>
              <w:tab/>
            </w:r>
            <w:r w:rsidRPr="00AA1421">
              <w:rPr>
                <w:rStyle w:val="InstructionsTabelleberschrift"/>
                <w:rFonts w:ascii="Times New Roman" w:hAnsi="Times New Roman"/>
                <w:sz w:val="24"/>
              </w:rPr>
              <w:t>Rezerwy z tytułu odroczonego podatku dochodowego niepodlegające odliczeniu od aktywów z tytułu odroczonego podatku dochodowego opartych na przyszłej rentowności</w:t>
            </w:r>
          </w:p>
          <w:p w:rsidR="005643EA" w:rsidRPr="00AA1421" w:rsidRDefault="00167619" w:rsidP="00487A02">
            <w:pPr>
              <w:pStyle w:val="InstructionsText"/>
            </w:pPr>
            <w:r w:rsidRPr="00AA1421">
              <w:t xml:space="preserve">Art. 38 </w:t>
            </w:r>
            <w:r w:rsidRPr="00084F66">
              <w:t>ust.</w:t>
            </w:r>
            <w:r w:rsidR="00084F66" w:rsidRPr="00084F66">
              <w:t> </w:t>
            </w:r>
            <w:r w:rsidRPr="00084F66">
              <w:t>3</w:t>
            </w:r>
            <w:r w:rsidRPr="00AA1421">
              <w:t xml:space="preserve"> i 4 CRR</w:t>
            </w:r>
          </w:p>
          <w:p w:rsidR="005643EA" w:rsidRPr="00AA1421" w:rsidRDefault="002648B0" w:rsidP="00487A02">
            <w:pPr>
              <w:pStyle w:val="InstructionsText"/>
            </w:pPr>
            <w:r w:rsidRPr="00AA1421">
              <w:t xml:space="preserve">Rezerwy z tytułu odroczonego podatku dochodowego, w przypadku których warunki określone w </w:t>
            </w:r>
            <w:r w:rsidRPr="00084F66">
              <w:t>art.</w:t>
            </w:r>
            <w:r w:rsidR="00084F66" w:rsidRPr="00084F66">
              <w:t> </w:t>
            </w:r>
            <w:r w:rsidRPr="00084F66">
              <w:t>3</w:t>
            </w:r>
            <w:r w:rsidRPr="00AA1421">
              <w:t xml:space="preserve">8 </w:t>
            </w:r>
            <w:r w:rsidRPr="00084F66">
              <w:t>ust.</w:t>
            </w:r>
            <w:r w:rsidR="00084F66" w:rsidRPr="00084F66">
              <w:t> </w:t>
            </w:r>
            <w:r w:rsidRPr="00084F66">
              <w:t>3</w:t>
            </w:r>
            <w:r w:rsidRPr="00AA1421">
              <w:t xml:space="preserve"> i 4 CRR nie są spełnione. Pozycja ta obejmuje zatem rezerwy z tytułu odroczonego podatku dochodowego, które pomniejszają kwotę wartości firmy, inne wartości niematerialne i prawne lub odliczane obowiązkowo aktywa funduszu emerytalnego ze zdefiniowanymi świadczeniami, zgłaszane odpowiednio w pozycjach CA1 1.1.1.10.3, 1.1.1.11.2 oraz 1.1.1.14.2.</w:t>
            </w:r>
          </w:p>
        </w:tc>
      </w:tr>
      <w:tr w:rsidR="002648B0" w:rsidRPr="00AA1421" w:rsidTr="00674BF5">
        <w:tc>
          <w:tcPr>
            <w:tcW w:w="1474" w:type="dxa"/>
          </w:tcPr>
          <w:p w:rsidR="002648B0" w:rsidRPr="00AA1421" w:rsidRDefault="00B13F06" w:rsidP="00487A02">
            <w:pPr>
              <w:pStyle w:val="InstructionsText"/>
            </w:pPr>
            <w:r w:rsidRPr="00AA1421">
              <w:t>0070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2.2</w:t>
            </w:r>
            <w:r w:rsidR="00744F50" w:rsidRPr="00AA1421">
              <w:rPr>
                <w:b/>
                <w:u w:val="single"/>
              </w:rPr>
              <w:tab/>
            </w:r>
            <w:r w:rsidRPr="00AA1421">
              <w:rPr>
                <w:rStyle w:val="InstructionsTabelleberschrift"/>
                <w:rFonts w:ascii="Times New Roman" w:hAnsi="Times New Roman"/>
                <w:sz w:val="24"/>
              </w:rPr>
              <w:t>Rezerwy z tytułu odroczonego podatku dochodowego podlegające odliczeniu od aktywów z tytułu odroczonego podatku dochodowego opartych na przyszłej rentowności</w:t>
            </w:r>
          </w:p>
          <w:p w:rsidR="005643EA" w:rsidRPr="00AA1421" w:rsidRDefault="002648B0" w:rsidP="00487A02">
            <w:pPr>
              <w:pStyle w:val="InstructionsText"/>
            </w:pPr>
            <w:r w:rsidRPr="00AA1421">
              <w:t>Art. 38 CRR</w:t>
            </w:r>
          </w:p>
        </w:tc>
      </w:tr>
      <w:tr w:rsidR="002648B0" w:rsidRPr="00AA1421" w:rsidTr="00674BF5">
        <w:tc>
          <w:tcPr>
            <w:tcW w:w="1474" w:type="dxa"/>
          </w:tcPr>
          <w:p w:rsidR="002648B0" w:rsidRPr="00AA1421" w:rsidRDefault="00B13F06" w:rsidP="00487A02">
            <w:pPr>
              <w:pStyle w:val="InstructionsText"/>
            </w:pPr>
            <w:r w:rsidRPr="00AA1421">
              <w:t>0080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2.2.1</w:t>
            </w:r>
            <w:r w:rsidR="00744F50" w:rsidRPr="00AA1421">
              <w:rPr>
                <w:b/>
                <w:u w:val="single"/>
              </w:rPr>
              <w:tab/>
            </w:r>
            <w:r w:rsidRPr="00AA1421">
              <w:rPr>
                <w:rStyle w:val="InstructionsTabelleberschrift"/>
                <w:rFonts w:ascii="Times New Roman" w:hAnsi="Times New Roman"/>
                <w:sz w:val="24"/>
              </w:rPr>
              <w:t>Podlegające odliczeniu rezerwy z tytułu odroczonego podatku dochodowego powiązane z aktywami z tytułu odroczonego podatku dochodowego opartymi na przyszłej rentowności i niewynikającymi z różnic przejściowych</w:t>
            </w:r>
          </w:p>
          <w:p w:rsidR="005643EA" w:rsidRPr="00AA1421" w:rsidRDefault="00167619" w:rsidP="00487A02">
            <w:pPr>
              <w:pStyle w:val="InstructionsText"/>
            </w:pPr>
            <w:r w:rsidRPr="00AA1421">
              <w:t xml:space="preserve">Art. 38 </w:t>
            </w:r>
            <w:r w:rsidRPr="00084F66">
              <w:t>ust.</w:t>
            </w:r>
            <w:r w:rsidR="00084F66" w:rsidRPr="00084F66">
              <w:t> </w:t>
            </w:r>
            <w:r w:rsidRPr="00084F66">
              <w:t>3</w:t>
            </w:r>
            <w:r w:rsidRPr="00AA1421">
              <w:t>, 4 i 5 CRR</w:t>
            </w:r>
          </w:p>
          <w:p w:rsidR="005643EA" w:rsidRPr="00AA1421" w:rsidRDefault="002648B0" w:rsidP="00487A02">
            <w:pPr>
              <w:pStyle w:val="InstructionsText"/>
            </w:pPr>
            <w:r w:rsidRPr="00AA1421">
              <w:t xml:space="preserve">Rezerwy z tytułu odroczonego podatku dochodowego mogące pomniejszać kwotę aktywów z tytułu odroczonego podatku dochodowego, które to aktywa są oparte na przyszłej rentowności, </w:t>
            </w:r>
            <w:r w:rsidRPr="00AA1421">
              <w:rPr>
                <w:rStyle w:val="FormatvorlageInstructionsTabelleText"/>
                <w:rFonts w:ascii="Times New Roman" w:hAnsi="Times New Roman"/>
                <w:sz w:val="24"/>
              </w:rPr>
              <w:t xml:space="preserve">zgodnie z </w:t>
            </w:r>
            <w:r w:rsidRPr="00084F66">
              <w:t>art.</w:t>
            </w:r>
            <w:r w:rsidR="00084F66" w:rsidRPr="00084F66">
              <w:t> </w:t>
            </w:r>
            <w:r w:rsidRPr="00084F66">
              <w:t>3</w:t>
            </w:r>
            <w:r w:rsidRPr="00AA1421">
              <w:t xml:space="preserve">8 </w:t>
            </w:r>
            <w:r w:rsidRPr="00084F66">
              <w:t>ust.</w:t>
            </w:r>
            <w:r w:rsidR="00084F66" w:rsidRPr="00084F66">
              <w:t> </w:t>
            </w:r>
            <w:r w:rsidRPr="00084F66">
              <w:t>3</w:t>
            </w:r>
            <w:r w:rsidRPr="00AA1421">
              <w:t xml:space="preserve"> i 4 CRR, i nie są zakwalifikowane do aktywów z tytułu odroczonego podatku dochodowego opartych na przyszłej rentowności i wynikających z różnic przejściowych, jak określono w </w:t>
            </w:r>
            <w:r w:rsidRPr="00084F66">
              <w:t>art.</w:t>
            </w:r>
            <w:r w:rsidR="00084F66" w:rsidRPr="00084F66">
              <w:t> </w:t>
            </w:r>
            <w:r w:rsidRPr="00084F66">
              <w:t>3</w:t>
            </w:r>
            <w:r w:rsidRPr="00AA1421">
              <w:t xml:space="preserve">8 </w:t>
            </w:r>
            <w:r w:rsidRPr="00084F66">
              <w:t>ust.</w:t>
            </w:r>
            <w:r w:rsidR="00084F66" w:rsidRPr="00084F66">
              <w:t> </w:t>
            </w:r>
            <w:r w:rsidRPr="00084F66">
              <w:t>5</w:t>
            </w:r>
            <w:r w:rsidRPr="00AA1421">
              <w:t xml:space="preserve"> CRR.</w:t>
            </w:r>
          </w:p>
        </w:tc>
      </w:tr>
      <w:tr w:rsidR="002648B0" w:rsidRPr="00AA1421" w:rsidTr="00674BF5">
        <w:tc>
          <w:tcPr>
            <w:tcW w:w="1474" w:type="dxa"/>
          </w:tcPr>
          <w:p w:rsidR="002648B0" w:rsidRPr="00AA1421" w:rsidRDefault="00B13F06" w:rsidP="00487A02">
            <w:pPr>
              <w:pStyle w:val="InstructionsText"/>
            </w:pPr>
            <w:r w:rsidRPr="00AA1421">
              <w:t>0090</w:t>
            </w:r>
          </w:p>
        </w:tc>
        <w:tc>
          <w:tcPr>
            <w:tcW w:w="7049" w:type="dxa"/>
          </w:tcPr>
          <w:p w:rsidR="005643EA" w:rsidRPr="00AA1421" w:rsidRDefault="002648B0" w:rsidP="00487A02">
            <w:pPr>
              <w:pStyle w:val="InstructionsText"/>
            </w:pPr>
            <w:r w:rsidRPr="00AA1421">
              <w:rPr>
                <w:rStyle w:val="InstructionsTabelleberschrift"/>
                <w:rFonts w:ascii="Times New Roman" w:hAnsi="Times New Roman"/>
                <w:sz w:val="24"/>
              </w:rPr>
              <w:t>2.2.2</w:t>
            </w:r>
            <w:r w:rsidR="00744F50" w:rsidRPr="00AA1421">
              <w:rPr>
                <w:b/>
                <w:u w:val="single"/>
              </w:rPr>
              <w:tab/>
            </w:r>
            <w:r w:rsidRPr="00AA1421">
              <w:rPr>
                <w:rStyle w:val="InstructionsTabelleberschrift"/>
                <w:rFonts w:ascii="Times New Roman" w:hAnsi="Times New Roman"/>
                <w:sz w:val="24"/>
              </w:rPr>
              <w:t>Podlegające odliczeniu rezerwy z tytułu odroczonego podatku dochodowego powiązane z aktywami z tytułu odroczonego podatku dochodowego opartymi na przyszłej rentowności i wynikającymi z różnic przejściowych</w:t>
            </w:r>
          </w:p>
          <w:p w:rsidR="005643EA" w:rsidRPr="00AA1421" w:rsidRDefault="00167619" w:rsidP="00487A02">
            <w:pPr>
              <w:pStyle w:val="InstructionsText"/>
            </w:pPr>
            <w:r w:rsidRPr="00AA1421">
              <w:t xml:space="preserve">Art. 38 </w:t>
            </w:r>
            <w:r w:rsidRPr="00084F66">
              <w:t>ust.</w:t>
            </w:r>
            <w:r w:rsidR="00084F66" w:rsidRPr="00084F66">
              <w:t> </w:t>
            </w:r>
            <w:r w:rsidRPr="00084F66">
              <w:t>3</w:t>
            </w:r>
            <w:r w:rsidRPr="00AA1421">
              <w:t>, 4 i 5 CRR</w:t>
            </w:r>
          </w:p>
          <w:p w:rsidR="005643EA" w:rsidRPr="00AA1421" w:rsidRDefault="002648B0" w:rsidP="00487A02">
            <w:pPr>
              <w:pStyle w:val="InstructionsText"/>
            </w:pPr>
            <w:r w:rsidRPr="00AA1421">
              <w:t xml:space="preserve">Rezerwy z tytułu odroczonego podatku dochodowego mogące pomniejszać kwotę aktywów z tytułu odroczonego podatku dochodowego, które to aktywa są oparte na przyszłej rentowności, </w:t>
            </w:r>
            <w:r w:rsidRPr="00AA1421">
              <w:rPr>
                <w:rStyle w:val="FormatvorlageInstructionsTabelleText"/>
                <w:rFonts w:ascii="Times New Roman" w:hAnsi="Times New Roman"/>
                <w:sz w:val="24"/>
              </w:rPr>
              <w:t xml:space="preserve">zgodnie z </w:t>
            </w:r>
            <w:r w:rsidRPr="00084F66">
              <w:t>art.</w:t>
            </w:r>
            <w:r w:rsidR="00084F66" w:rsidRPr="00084F66">
              <w:t> </w:t>
            </w:r>
            <w:r w:rsidRPr="00084F66">
              <w:t>3</w:t>
            </w:r>
            <w:r w:rsidRPr="00AA1421">
              <w:t xml:space="preserve">8 </w:t>
            </w:r>
            <w:r w:rsidRPr="00084F66">
              <w:t>ust.</w:t>
            </w:r>
            <w:r w:rsidR="00084F66" w:rsidRPr="00084F66">
              <w:t> </w:t>
            </w:r>
            <w:r w:rsidRPr="00084F66">
              <w:t>3</w:t>
            </w:r>
            <w:r w:rsidRPr="00AA1421">
              <w:t xml:space="preserve"> i 4 CRR, i są zakwalifikowane do aktywów z tytułu odroczonego podatku dochodowego opartych na przyszłej rentowności i wynikających z różnic przejściowych, jak określono w </w:t>
            </w:r>
            <w:r w:rsidRPr="00084F66">
              <w:t>art.</w:t>
            </w:r>
            <w:r w:rsidR="00084F66" w:rsidRPr="00084F66">
              <w:t> </w:t>
            </w:r>
            <w:r w:rsidRPr="00084F66">
              <w:t>3</w:t>
            </w:r>
            <w:r w:rsidRPr="00AA1421">
              <w:t xml:space="preserve">8 </w:t>
            </w:r>
            <w:r w:rsidRPr="00084F66">
              <w:t>ust.</w:t>
            </w:r>
            <w:r w:rsidR="00084F66" w:rsidRPr="00084F66">
              <w:t> </w:t>
            </w:r>
            <w:r w:rsidRPr="00084F66">
              <w:t>5</w:t>
            </w:r>
            <w:r w:rsidRPr="00AA1421">
              <w:t xml:space="preserve"> CRR.</w:t>
            </w:r>
          </w:p>
        </w:tc>
      </w:tr>
      <w:tr w:rsidR="00550113" w:rsidRPr="00AA1421" w:rsidTr="00674BF5">
        <w:tc>
          <w:tcPr>
            <w:tcW w:w="1474" w:type="dxa"/>
          </w:tcPr>
          <w:p w:rsidR="00550113" w:rsidRPr="00AA1421" w:rsidRDefault="00B13F06" w:rsidP="00487A02">
            <w:pPr>
              <w:pStyle w:val="InstructionsText"/>
            </w:pPr>
            <w:r w:rsidRPr="00AA1421">
              <w:t>0093</w:t>
            </w:r>
          </w:p>
        </w:tc>
        <w:tc>
          <w:tcPr>
            <w:tcW w:w="7049" w:type="dxa"/>
          </w:tcPr>
          <w:p w:rsidR="00550113" w:rsidRPr="00AA1421" w:rsidRDefault="00550113" w:rsidP="00487A02">
            <w:pPr>
              <w:pStyle w:val="InstructionsText"/>
            </w:pPr>
            <w:r w:rsidRPr="00AA1421">
              <w:rPr>
                <w:rStyle w:val="InstructionsTabelleberschrift"/>
                <w:rFonts w:ascii="Times New Roman" w:hAnsi="Times New Roman"/>
                <w:sz w:val="24"/>
              </w:rPr>
              <w:t>2A</w:t>
            </w:r>
            <w:r w:rsidR="00744F50" w:rsidRPr="00AA1421">
              <w:rPr>
                <w:b/>
                <w:u w:val="single"/>
              </w:rPr>
              <w:tab/>
            </w:r>
            <w:r w:rsidRPr="00AA1421">
              <w:rPr>
                <w:rStyle w:val="InstructionsTabelleberschrift"/>
                <w:rFonts w:ascii="Times New Roman" w:hAnsi="Times New Roman"/>
                <w:sz w:val="24"/>
              </w:rPr>
              <w:t>Nadpłaty podatku i straty podatkowe przeniesione na poprzednie lata</w:t>
            </w:r>
          </w:p>
          <w:p w:rsidR="00550113" w:rsidRPr="00AA1421" w:rsidRDefault="00201704" w:rsidP="00487A02">
            <w:pPr>
              <w:pStyle w:val="InstructionsText"/>
            </w:pPr>
            <w:r w:rsidRPr="00AA1421">
              <w:t>Art. 39 ust. 1 CRR</w:t>
            </w:r>
          </w:p>
          <w:p w:rsidR="00550113" w:rsidRPr="00AA1421" w:rsidRDefault="00550113" w:rsidP="00487A02">
            <w:pPr>
              <w:pStyle w:val="InstructionsText"/>
              <w:rPr>
                <w:rStyle w:val="InstructionsTabelleberschrift"/>
                <w:rFonts w:ascii="Times New Roman" w:hAnsi="Times New Roman"/>
                <w:b w:val="0"/>
                <w:bCs w:val="0"/>
                <w:sz w:val="24"/>
                <w:u w:val="none"/>
              </w:rPr>
            </w:pPr>
            <w:r w:rsidRPr="00AA1421">
              <w:t xml:space="preserve">Kwota nadpłat podatku i strat podatkowych przeniesionych na poprzednie lata, która nie jest odliczana od funduszy własnych zgodnie z </w:t>
            </w:r>
            <w:r w:rsidRPr="00084F66">
              <w:t>art.</w:t>
            </w:r>
            <w:r w:rsidR="00084F66" w:rsidRPr="00084F66">
              <w:t> </w:t>
            </w:r>
            <w:r w:rsidRPr="00084F66">
              <w:t>3</w:t>
            </w:r>
            <w:r w:rsidRPr="00AA1421">
              <w:t xml:space="preserve">9 </w:t>
            </w:r>
            <w:r w:rsidRPr="00084F66">
              <w:t>ust.</w:t>
            </w:r>
            <w:r w:rsidR="00084F66" w:rsidRPr="00084F66">
              <w:t> </w:t>
            </w:r>
            <w:r w:rsidRPr="00084F66">
              <w:t>1</w:t>
            </w:r>
            <w:r w:rsidRPr="00AA1421">
              <w:t xml:space="preserve"> CRR; zgłoszona kwota jest kwotą przed zastosowaniem wag ryzyka.</w:t>
            </w:r>
          </w:p>
        </w:tc>
      </w:tr>
      <w:tr w:rsidR="00DF65DF" w:rsidRPr="00AA1421" w:rsidTr="00674BF5">
        <w:tc>
          <w:tcPr>
            <w:tcW w:w="1474" w:type="dxa"/>
          </w:tcPr>
          <w:p w:rsidR="00DF65DF" w:rsidRPr="00AA1421" w:rsidRDefault="00B13F06" w:rsidP="00487A02">
            <w:pPr>
              <w:pStyle w:val="InstructionsText"/>
            </w:pPr>
            <w:r w:rsidRPr="00AA1421">
              <w:lastRenderedPageBreak/>
              <w:t>0096</w:t>
            </w:r>
          </w:p>
        </w:tc>
        <w:tc>
          <w:tcPr>
            <w:tcW w:w="7049" w:type="dxa"/>
          </w:tcPr>
          <w:p w:rsidR="00DF65DF" w:rsidRPr="00AA1421" w:rsidRDefault="00550113" w:rsidP="00487A02">
            <w:pPr>
              <w:pStyle w:val="InstructionsText"/>
            </w:pPr>
            <w:r w:rsidRPr="00AA1421">
              <w:rPr>
                <w:rStyle w:val="InstructionsTabelleberschrift"/>
                <w:rFonts w:ascii="Times New Roman" w:hAnsi="Times New Roman"/>
                <w:sz w:val="24"/>
              </w:rPr>
              <w:t>2B</w:t>
            </w:r>
            <w:r w:rsidR="00744F50" w:rsidRPr="00AA1421">
              <w:rPr>
                <w:b/>
                <w:u w:val="single"/>
              </w:rPr>
              <w:tab/>
            </w:r>
            <w:r w:rsidRPr="00AA1421">
              <w:rPr>
                <w:rStyle w:val="InstructionsTabelleberschrift"/>
                <w:rFonts w:ascii="Times New Roman" w:hAnsi="Times New Roman"/>
                <w:sz w:val="24"/>
              </w:rPr>
              <w:t>Aktywa z tytułu odroczonego podatku dochodowego podlegające wadze ryzyka równej 250 %</w:t>
            </w:r>
          </w:p>
          <w:p w:rsidR="00DF65DF" w:rsidRPr="00AA1421" w:rsidRDefault="00201704" w:rsidP="00487A02">
            <w:pPr>
              <w:pStyle w:val="InstructionsText"/>
            </w:pPr>
            <w:r w:rsidRPr="00AA1421">
              <w:t>Art. 48 ust. 4 CRR</w:t>
            </w:r>
          </w:p>
          <w:p w:rsidR="00DF65DF" w:rsidRPr="00AA1421" w:rsidRDefault="00DF65DF" w:rsidP="000D04B6">
            <w:pPr>
              <w:pStyle w:val="InstructionsText"/>
              <w:rPr>
                <w:rStyle w:val="InstructionsTabelleberschrift"/>
                <w:rFonts w:ascii="Times New Roman" w:hAnsi="Times New Roman"/>
                <w:b w:val="0"/>
                <w:bCs w:val="0"/>
                <w:sz w:val="24"/>
                <w:u w:val="none"/>
              </w:rPr>
            </w:pPr>
            <w:r w:rsidRPr="00AA1421">
              <w:t xml:space="preserve">Kwota aktywów z tytułu odroczonego podatku dochodowego opartych na przyszłej rentowności i wynikających z różnic przejściowych, które nie są odliczane zgodnie z </w:t>
            </w:r>
            <w:r w:rsidRPr="00084F66">
              <w:t>art.</w:t>
            </w:r>
            <w:r w:rsidR="00084F66" w:rsidRPr="00084F66">
              <w:t> </w:t>
            </w:r>
            <w:r w:rsidRPr="00084F66">
              <w:t>4</w:t>
            </w:r>
            <w:r w:rsidRPr="00AA1421">
              <w:t xml:space="preserve">8 </w:t>
            </w:r>
            <w:r w:rsidRPr="00084F66">
              <w:t>ust.</w:t>
            </w:r>
            <w:r w:rsidR="00084F66" w:rsidRPr="00084F66">
              <w:t> </w:t>
            </w:r>
            <w:r w:rsidRPr="00084F66">
              <w:t>1</w:t>
            </w:r>
            <w:r w:rsidRPr="00AA1421">
              <w:t xml:space="preserve"> CRR, ale podlegają wadze ryzyka równej 25</w:t>
            </w:r>
            <w:r w:rsidRPr="00084F66">
              <w:t>0</w:t>
            </w:r>
            <w:r w:rsidR="00084F66" w:rsidRPr="00084F66">
              <w:t> </w:t>
            </w:r>
            <w:r w:rsidRPr="00084F66">
              <w:t>%</w:t>
            </w:r>
            <w:r w:rsidRPr="00AA1421">
              <w:t xml:space="preserve"> zgodnie z </w:t>
            </w:r>
            <w:r w:rsidRPr="00084F66">
              <w:t>art.</w:t>
            </w:r>
            <w:r w:rsidR="00084F66" w:rsidRPr="00084F66">
              <w:t> </w:t>
            </w:r>
            <w:r w:rsidRPr="00084F66">
              <w:t>4</w:t>
            </w:r>
            <w:r w:rsidRPr="00AA1421">
              <w:t xml:space="preserve">8 </w:t>
            </w:r>
            <w:r w:rsidRPr="00084F66">
              <w:t>ust.</w:t>
            </w:r>
            <w:r w:rsidR="00084F66" w:rsidRPr="00084F66">
              <w:t> </w:t>
            </w:r>
            <w:r w:rsidRPr="00084F66">
              <w:t>4</w:t>
            </w:r>
            <w:r w:rsidRPr="00AA1421">
              <w:t xml:space="preserve"> CRR, z uwzględnieniem wpływu </w:t>
            </w:r>
            <w:r w:rsidRPr="00084F66">
              <w:t>art.</w:t>
            </w:r>
            <w:r w:rsidR="00084F66" w:rsidRPr="00084F66">
              <w:t> </w:t>
            </w:r>
            <w:r w:rsidRPr="00084F66">
              <w:t>4</w:t>
            </w:r>
            <w:r w:rsidRPr="00AA1421">
              <w:t xml:space="preserve">70, </w:t>
            </w:r>
            <w:r w:rsidRPr="00084F66">
              <w:t>art.</w:t>
            </w:r>
            <w:r w:rsidR="00084F66" w:rsidRPr="00084F66">
              <w:t> </w:t>
            </w:r>
            <w:r w:rsidRPr="00084F66">
              <w:t>4</w:t>
            </w:r>
            <w:r w:rsidRPr="00AA1421">
              <w:t xml:space="preserve">78 </w:t>
            </w:r>
            <w:r w:rsidRPr="00084F66">
              <w:t>ust.</w:t>
            </w:r>
            <w:r w:rsidR="00084F66" w:rsidRPr="00084F66">
              <w:t> </w:t>
            </w:r>
            <w:r w:rsidRPr="00084F66">
              <w:t>2</w:t>
            </w:r>
            <w:r w:rsidRPr="00AA1421">
              <w:t xml:space="preserve"> i </w:t>
            </w:r>
            <w:r w:rsidRPr="00084F66">
              <w:t>art.</w:t>
            </w:r>
            <w:r w:rsidR="00084F66" w:rsidRPr="00084F66">
              <w:t> </w:t>
            </w:r>
            <w:r w:rsidRPr="00084F66">
              <w:t>4</w:t>
            </w:r>
            <w:r w:rsidRPr="00AA1421">
              <w:t xml:space="preserve">73a </w:t>
            </w:r>
            <w:r w:rsidRPr="00084F66">
              <w:t>ust.</w:t>
            </w:r>
            <w:r w:rsidR="00084F66" w:rsidRPr="00084F66">
              <w:t> </w:t>
            </w:r>
            <w:r w:rsidRPr="00084F66">
              <w:t>7</w:t>
            </w:r>
            <w:r w:rsidRPr="00AA1421">
              <w:t xml:space="preserve"> </w:t>
            </w:r>
            <w:r w:rsidRPr="00084F66">
              <w:t>lit.</w:t>
            </w:r>
            <w:r w:rsidR="00084F66" w:rsidRPr="00084F66">
              <w:t> </w:t>
            </w:r>
            <w:r w:rsidRPr="00084F66">
              <w:t>a)</w:t>
            </w:r>
            <w:r w:rsidRPr="00AA1421">
              <w:t xml:space="preserve"> CRR. Zgłoszona kwota jest kwotą aktywów z tytułu odroczonego podatku dochodowego przed zastosowaniem wagi ryzyka.</w:t>
            </w:r>
          </w:p>
        </w:tc>
      </w:tr>
      <w:tr w:rsidR="00DF65DF" w:rsidRPr="00AA1421" w:rsidTr="00674BF5">
        <w:tc>
          <w:tcPr>
            <w:tcW w:w="1474" w:type="dxa"/>
          </w:tcPr>
          <w:p w:rsidR="00DF65DF" w:rsidRPr="00AA1421" w:rsidRDefault="00B13F06" w:rsidP="00487A02">
            <w:pPr>
              <w:pStyle w:val="InstructionsText"/>
            </w:pPr>
            <w:r w:rsidRPr="00AA1421">
              <w:t>0097</w:t>
            </w:r>
          </w:p>
        </w:tc>
        <w:tc>
          <w:tcPr>
            <w:tcW w:w="7049" w:type="dxa"/>
          </w:tcPr>
          <w:p w:rsidR="00DF65DF" w:rsidRPr="00AA1421" w:rsidRDefault="00550113" w:rsidP="00487A02">
            <w:pPr>
              <w:pStyle w:val="InstructionsText"/>
            </w:pPr>
            <w:r w:rsidRPr="00AA1421">
              <w:rPr>
                <w:rStyle w:val="InstructionsTabelleberschrift"/>
                <w:rFonts w:ascii="Times New Roman" w:hAnsi="Times New Roman"/>
                <w:sz w:val="24"/>
              </w:rPr>
              <w:t>2C</w:t>
            </w:r>
            <w:r w:rsidR="00744F50" w:rsidRPr="00AA1421">
              <w:rPr>
                <w:b/>
                <w:u w:val="single"/>
              </w:rPr>
              <w:tab/>
            </w:r>
            <w:r w:rsidRPr="00AA1421">
              <w:rPr>
                <w:rStyle w:val="InstructionsTabelleberschrift"/>
                <w:rFonts w:ascii="Times New Roman" w:hAnsi="Times New Roman"/>
                <w:sz w:val="24"/>
              </w:rPr>
              <w:t>Aktywa z tytułu odroczonego podatku dochodowego podlegające wadze ryzyka równej 0 %</w:t>
            </w:r>
          </w:p>
          <w:p w:rsidR="00DF65DF" w:rsidRPr="00AA1421" w:rsidRDefault="0014657C" w:rsidP="00487A02">
            <w:pPr>
              <w:pStyle w:val="InstructionsText"/>
            </w:pPr>
            <w:r w:rsidRPr="00AA1421">
              <w:t xml:space="preserve">Art. 469 </w:t>
            </w:r>
            <w:r w:rsidRPr="00084F66">
              <w:t>ust.</w:t>
            </w:r>
            <w:r w:rsidR="00084F66" w:rsidRPr="00084F66">
              <w:t> </w:t>
            </w:r>
            <w:r w:rsidRPr="00084F66">
              <w:t>1</w:t>
            </w:r>
            <w:r w:rsidRPr="00AA1421">
              <w:t xml:space="preserve"> </w:t>
            </w:r>
            <w:r w:rsidRPr="00084F66">
              <w:t>lit.</w:t>
            </w:r>
            <w:r w:rsidR="00084F66" w:rsidRPr="00084F66">
              <w:t> </w:t>
            </w:r>
            <w:r w:rsidRPr="00084F66">
              <w:t>d)</w:t>
            </w:r>
            <w:r w:rsidRPr="00AA1421">
              <w:t xml:space="preserve">, </w:t>
            </w:r>
            <w:r w:rsidRPr="00084F66">
              <w:t>art.</w:t>
            </w:r>
            <w:r w:rsidR="00084F66" w:rsidRPr="00084F66">
              <w:t> </w:t>
            </w:r>
            <w:r w:rsidRPr="00084F66">
              <w:t>4</w:t>
            </w:r>
            <w:r w:rsidRPr="00AA1421">
              <w:t xml:space="preserve">70, </w:t>
            </w:r>
            <w:r w:rsidRPr="00084F66">
              <w:t>art.</w:t>
            </w:r>
            <w:r w:rsidR="00084F66" w:rsidRPr="00084F66">
              <w:t> </w:t>
            </w:r>
            <w:r w:rsidRPr="00084F66">
              <w:t>4</w:t>
            </w:r>
            <w:r w:rsidRPr="00AA1421">
              <w:t xml:space="preserve">72 </w:t>
            </w:r>
            <w:r w:rsidRPr="00084F66">
              <w:t>ust.</w:t>
            </w:r>
            <w:r w:rsidR="00084F66" w:rsidRPr="00084F66">
              <w:t> </w:t>
            </w:r>
            <w:r w:rsidRPr="00084F66">
              <w:t>5</w:t>
            </w:r>
            <w:r w:rsidRPr="00AA1421">
              <w:t xml:space="preserve"> oraz </w:t>
            </w:r>
            <w:r w:rsidRPr="00084F66">
              <w:t>art.</w:t>
            </w:r>
            <w:r w:rsidR="00084F66" w:rsidRPr="00084F66">
              <w:t> </w:t>
            </w:r>
            <w:r w:rsidRPr="00084F66">
              <w:t>4</w:t>
            </w:r>
            <w:r w:rsidRPr="00AA1421">
              <w:t>78 CRR</w:t>
            </w:r>
          </w:p>
          <w:p w:rsidR="00DF65DF" w:rsidRPr="00AA1421" w:rsidRDefault="00DF65DF" w:rsidP="00487A02">
            <w:pPr>
              <w:pStyle w:val="InstructionsText"/>
              <w:rPr>
                <w:rStyle w:val="InstructionsTabelleberschrift"/>
                <w:rFonts w:ascii="Times New Roman" w:hAnsi="Times New Roman"/>
                <w:b w:val="0"/>
                <w:bCs w:val="0"/>
                <w:sz w:val="24"/>
                <w:u w:val="none"/>
              </w:rPr>
            </w:pPr>
            <w:r w:rsidRPr="00AA1421">
              <w:t xml:space="preserve">Kwota aktywów z tytułu odroczonego podatku dochodowego opartych na przyszłej rentowności i wynikających z różnic przejściowych, które nie są odliczane zgodnie z </w:t>
            </w:r>
            <w:r w:rsidRPr="00084F66">
              <w:t>art.</w:t>
            </w:r>
            <w:r w:rsidR="00084F66" w:rsidRPr="00084F66">
              <w:t> </w:t>
            </w:r>
            <w:r w:rsidRPr="00084F66">
              <w:t>4</w:t>
            </w:r>
            <w:r w:rsidRPr="00AA1421">
              <w:t xml:space="preserve">69 </w:t>
            </w:r>
            <w:r w:rsidRPr="00084F66">
              <w:t>ust.</w:t>
            </w:r>
            <w:r w:rsidR="00084F66" w:rsidRPr="00084F66">
              <w:t> </w:t>
            </w:r>
            <w:r w:rsidRPr="00084F66">
              <w:t>1</w:t>
            </w:r>
            <w:r w:rsidRPr="00AA1421">
              <w:t xml:space="preserve"> </w:t>
            </w:r>
            <w:r w:rsidRPr="00084F66">
              <w:t>lit.</w:t>
            </w:r>
            <w:r w:rsidR="00084F66" w:rsidRPr="00084F66">
              <w:t> </w:t>
            </w:r>
            <w:r w:rsidRPr="00084F66">
              <w:t>d)</w:t>
            </w:r>
            <w:r w:rsidRPr="00AA1421">
              <w:t xml:space="preserve">, </w:t>
            </w:r>
            <w:r w:rsidRPr="00084F66">
              <w:t>art.</w:t>
            </w:r>
            <w:r w:rsidR="00084F66" w:rsidRPr="00084F66">
              <w:t> </w:t>
            </w:r>
            <w:r w:rsidRPr="00084F66">
              <w:t>4</w:t>
            </w:r>
            <w:r w:rsidRPr="00AA1421">
              <w:t xml:space="preserve">70 CRR, </w:t>
            </w:r>
            <w:r w:rsidRPr="00084F66">
              <w:t>art.</w:t>
            </w:r>
            <w:r w:rsidR="00084F66" w:rsidRPr="00084F66">
              <w:t> </w:t>
            </w:r>
            <w:r w:rsidRPr="00084F66">
              <w:t>4</w:t>
            </w:r>
            <w:r w:rsidRPr="00AA1421">
              <w:t xml:space="preserve">78 </w:t>
            </w:r>
            <w:r w:rsidRPr="00084F66">
              <w:t>ust.</w:t>
            </w:r>
            <w:r w:rsidR="00084F66" w:rsidRPr="00084F66">
              <w:t> </w:t>
            </w:r>
            <w:r w:rsidRPr="00084F66">
              <w:t>2</w:t>
            </w:r>
            <w:r w:rsidRPr="00AA1421">
              <w:t xml:space="preserve"> i </w:t>
            </w:r>
            <w:r w:rsidRPr="00084F66">
              <w:t>art.</w:t>
            </w:r>
            <w:r w:rsidR="00084F66" w:rsidRPr="00084F66">
              <w:t> </w:t>
            </w:r>
            <w:r w:rsidRPr="00084F66">
              <w:t>4</w:t>
            </w:r>
            <w:r w:rsidRPr="00AA1421">
              <w:t xml:space="preserve">73a </w:t>
            </w:r>
            <w:r w:rsidRPr="00084F66">
              <w:t>ust.</w:t>
            </w:r>
            <w:r w:rsidR="00084F66" w:rsidRPr="00084F66">
              <w:t> </w:t>
            </w:r>
            <w:r w:rsidRPr="00084F66">
              <w:t>7</w:t>
            </w:r>
            <w:r w:rsidRPr="00AA1421">
              <w:t xml:space="preserve"> </w:t>
            </w:r>
            <w:r w:rsidRPr="00084F66">
              <w:t>lit.</w:t>
            </w:r>
            <w:r w:rsidR="00084F66" w:rsidRPr="00084F66">
              <w:t> </w:t>
            </w:r>
            <w:r w:rsidRPr="00084F66">
              <w:t>a)</w:t>
            </w:r>
            <w:r w:rsidRPr="00AA1421">
              <w:t xml:space="preserve"> CRR, ale podlegają wadze ryzyka równej </w:t>
            </w:r>
            <w:r w:rsidRPr="00084F66">
              <w:t>0</w:t>
            </w:r>
            <w:r w:rsidR="00084F66" w:rsidRPr="00084F66">
              <w:t> </w:t>
            </w:r>
            <w:r w:rsidRPr="00084F66">
              <w:t>%</w:t>
            </w:r>
            <w:r w:rsidRPr="00AA1421">
              <w:t xml:space="preserve"> zgodnie z </w:t>
            </w:r>
            <w:r w:rsidRPr="00084F66">
              <w:t>art.</w:t>
            </w:r>
            <w:r w:rsidR="00084F66" w:rsidRPr="00084F66">
              <w:t> </w:t>
            </w:r>
            <w:r w:rsidRPr="00084F66">
              <w:t>4</w:t>
            </w:r>
            <w:r w:rsidRPr="00AA1421">
              <w:t xml:space="preserve">72 </w:t>
            </w:r>
            <w:r w:rsidRPr="00084F66">
              <w:t>ust.</w:t>
            </w:r>
            <w:r w:rsidR="00084F66" w:rsidRPr="00084F66">
              <w:t> </w:t>
            </w:r>
            <w:r w:rsidRPr="00084F66">
              <w:t>5</w:t>
            </w:r>
            <w:r w:rsidRPr="00AA1421">
              <w:t xml:space="preserve"> CRR. Zgłoszona kwota jest kwotą aktywów z tytułu odroczonego podatku dochodowego przed zastosowaniem wagi ryzyka.</w:t>
            </w:r>
          </w:p>
        </w:tc>
      </w:tr>
      <w:tr w:rsidR="00674BF5" w:rsidRPr="00AA1421" w:rsidTr="00674BF5">
        <w:tc>
          <w:tcPr>
            <w:tcW w:w="1474" w:type="dxa"/>
          </w:tcPr>
          <w:p w:rsidR="00674BF5" w:rsidRPr="00AA1421" w:rsidRDefault="004F1DDB" w:rsidP="00487A02">
            <w:pPr>
              <w:pStyle w:val="InstructionsText"/>
            </w:pPr>
            <w:r w:rsidRPr="00AA1421">
              <w:t>0901</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2W Wyjątek od wymogu odliczania wartości niematerialnych i prawnych od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674BF5" w:rsidRPr="00AA1421" w:rsidRDefault="004F1DDB" w:rsidP="00487A02">
            <w:pPr>
              <w:pStyle w:val="InstructionsText"/>
            </w:pPr>
            <w:r w:rsidRPr="00AA1421">
              <w:t xml:space="preserve">Art. 36 </w:t>
            </w:r>
            <w:r w:rsidRPr="00084F66">
              <w:t>ust.</w:t>
            </w:r>
            <w:r w:rsidR="00084F66" w:rsidRPr="00084F66">
              <w:t> </w:t>
            </w:r>
            <w:r w:rsidRPr="00084F66">
              <w:t>1</w:t>
            </w:r>
            <w:r w:rsidRPr="00AA1421">
              <w:t xml:space="preserve"> </w:t>
            </w:r>
            <w:r w:rsidRPr="00084F66">
              <w:t>lit.</w:t>
            </w:r>
            <w:r w:rsidR="00084F66" w:rsidRPr="00084F66">
              <w:t> </w:t>
            </w:r>
            <w:r w:rsidRPr="00084F66">
              <w:t>b)</w:t>
            </w:r>
            <w:r w:rsidRPr="00AA1421">
              <w:t xml:space="preserve"> CRR</w:t>
            </w:r>
          </w:p>
          <w:p w:rsidR="00674BF5" w:rsidRPr="00AA1421" w:rsidRDefault="00674BF5" w:rsidP="00487A02">
            <w:pPr>
              <w:pStyle w:val="InstructionsText"/>
              <w:rPr>
                <w:rStyle w:val="InstructionsTabelleberschrift"/>
                <w:rFonts w:ascii="Times New Roman" w:hAnsi="Times New Roman"/>
                <w:sz w:val="24"/>
              </w:rPr>
            </w:pPr>
            <w:r w:rsidRPr="00AA1421">
              <w:t>Instytucje zgłaszają kwotę ostrożnie wycenionych aktywów będących oprogramowaniem wyłączonych z wymogu odliczania.</w:t>
            </w:r>
          </w:p>
        </w:tc>
      </w:tr>
      <w:tr w:rsidR="00674BF5" w:rsidRPr="00AA1421" w:rsidTr="00674BF5">
        <w:tc>
          <w:tcPr>
            <w:tcW w:w="1474" w:type="dxa"/>
          </w:tcPr>
          <w:p w:rsidR="00674BF5" w:rsidRPr="00AA1421" w:rsidRDefault="004F1DDB" w:rsidP="00487A02">
            <w:pPr>
              <w:pStyle w:val="InstructionsText"/>
            </w:pPr>
            <w:r w:rsidRPr="00AA1421">
              <w:t>0905</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2Y AT1 Instrumenty kapitałowe oraz powiązane ażio emisyjne sklasyfikowane jako kapitał własny zgodnie z obowiązującymi standardami rachunkowości</w:t>
            </w:r>
          </w:p>
          <w:p w:rsidR="00674BF5" w:rsidRPr="00AA1421" w:rsidRDefault="00674BF5" w:rsidP="00487A02">
            <w:pPr>
              <w:pStyle w:val="InstructionsText"/>
              <w:rPr>
                <w:rStyle w:val="InstructionsTabelleberschrift"/>
                <w:rFonts w:ascii="Times New Roman" w:hAnsi="Times New Roman"/>
                <w:sz w:val="24"/>
              </w:rPr>
            </w:pPr>
            <w:r w:rsidRPr="00AA1421">
              <w:t xml:space="preserve">Kwota instrumentów w kapitale dodatkowym </w:t>
            </w:r>
            <w:proofErr w:type="spellStart"/>
            <w:r w:rsidRPr="00AA1421">
              <w:t>Tier</w:t>
            </w:r>
            <w:proofErr w:type="spellEnd"/>
            <w:r w:rsidRPr="00AA1421">
              <w:t xml:space="preserve"> I wraz z powiązanymi ażio emisyjnymi, które sklasyfikowano jako kapitał własny zgodnie z obowiązującymi standardami rachunkowości</w:t>
            </w:r>
          </w:p>
        </w:tc>
      </w:tr>
      <w:tr w:rsidR="00674BF5" w:rsidRPr="00AA1421" w:rsidTr="00674BF5">
        <w:tc>
          <w:tcPr>
            <w:tcW w:w="1474" w:type="dxa"/>
          </w:tcPr>
          <w:p w:rsidR="00674BF5" w:rsidRPr="00AA1421" w:rsidRDefault="004F1DDB" w:rsidP="00487A02">
            <w:pPr>
              <w:pStyle w:val="InstructionsText"/>
            </w:pPr>
            <w:r w:rsidRPr="00AA1421">
              <w:t>0906</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2Z AT1 Instrumenty kapitałowe oraz powiązane ażio emisyjne sklasyfikowane jako zobowiązania zgodnie z obowiązującymi standardami rachunkowości</w:t>
            </w:r>
          </w:p>
          <w:p w:rsidR="00674BF5" w:rsidRPr="00AA1421" w:rsidRDefault="00674BF5" w:rsidP="00487A02">
            <w:pPr>
              <w:pStyle w:val="InstructionsText"/>
              <w:rPr>
                <w:rStyle w:val="InstructionsTabelleberschrift"/>
                <w:rFonts w:ascii="Times New Roman" w:hAnsi="Times New Roman"/>
                <w:sz w:val="24"/>
              </w:rPr>
            </w:pPr>
            <w:r w:rsidRPr="00AA1421">
              <w:t xml:space="preserve">Kwota instrumentów w kapitale dodatkowym </w:t>
            </w:r>
            <w:proofErr w:type="spellStart"/>
            <w:r w:rsidRPr="00AA1421">
              <w:t>Tier</w:t>
            </w:r>
            <w:proofErr w:type="spellEnd"/>
            <w:r w:rsidRPr="00AA1421">
              <w:t xml:space="preserve"> I wraz z powiązanymi ażio emisyjnymi, które sklasyfikowano jako zobowiązania zgodnie z obowiązującym standardem rachunkowości</w:t>
            </w:r>
          </w:p>
        </w:tc>
      </w:tr>
      <w:tr w:rsidR="00674BF5" w:rsidRPr="00AA1421" w:rsidTr="00674BF5">
        <w:tc>
          <w:tcPr>
            <w:tcW w:w="1474" w:type="dxa"/>
          </w:tcPr>
          <w:p w:rsidR="00674BF5" w:rsidRPr="00AA1421" w:rsidRDefault="004F1DDB" w:rsidP="00487A02">
            <w:pPr>
              <w:pStyle w:val="InstructionsText"/>
            </w:pPr>
            <w:r w:rsidRPr="00AA1421">
              <w:t>0100</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w:t>
            </w:r>
            <w:r w:rsidR="00744F50" w:rsidRPr="00AA1421">
              <w:rPr>
                <w:b/>
                <w:u w:val="single"/>
              </w:rPr>
              <w:tab/>
            </w:r>
            <w:r w:rsidRPr="00AA1421">
              <w:rPr>
                <w:rStyle w:val="InstructionsTabelleberschrift"/>
                <w:rFonts w:ascii="Times New Roman" w:hAnsi="Times New Roman"/>
                <w:sz w:val="24"/>
              </w:rPr>
              <w:t>Nadwyżka (+) lub niedobór (-) korekt ryzyka kredytowego, dodatkowych korekt wartości oraz innych redukcji funduszy własnych wobec oczekiwanych strat w odniesieniu do ekspozycji, których nie dotyczy niewykonanie zobowiązania, według metody IRB</w:t>
            </w:r>
          </w:p>
          <w:p w:rsidR="00674BF5" w:rsidRPr="00AA1421" w:rsidRDefault="00674BF5" w:rsidP="00487A02">
            <w:pPr>
              <w:pStyle w:val="InstructionsText"/>
            </w:pPr>
            <w:r w:rsidRPr="00AA1421">
              <w:t xml:space="preserve">Art. 36 </w:t>
            </w:r>
            <w:r w:rsidRPr="00084F66">
              <w:t>ust.</w:t>
            </w:r>
            <w:r w:rsidR="00084F66" w:rsidRPr="00084F66">
              <w:t> </w:t>
            </w:r>
            <w:r w:rsidRPr="00084F66">
              <w:t>1</w:t>
            </w:r>
            <w:r w:rsidRPr="00AA1421">
              <w:t xml:space="preserve"> </w:t>
            </w:r>
            <w:r w:rsidRPr="00084F66">
              <w:t>lit.</w:t>
            </w:r>
            <w:r w:rsidR="00084F66" w:rsidRPr="00084F66">
              <w:t> </w:t>
            </w:r>
            <w:r w:rsidRPr="00084F66">
              <w:t>d)</w:t>
            </w:r>
            <w:r w:rsidRPr="00AA1421">
              <w:t xml:space="preserve">, </w:t>
            </w:r>
            <w:r w:rsidRPr="00084F66">
              <w:t>art.</w:t>
            </w:r>
            <w:r w:rsidR="00084F66" w:rsidRPr="00084F66">
              <w:t> </w:t>
            </w:r>
            <w:r w:rsidRPr="00084F66">
              <w:t>6</w:t>
            </w:r>
            <w:r w:rsidRPr="00AA1421">
              <w:t xml:space="preserve">2 </w:t>
            </w:r>
            <w:r w:rsidRPr="00084F66">
              <w:t>lit.</w:t>
            </w:r>
            <w:r w:rsidR="00084F66" w:rsidRPr="00084F66">
              <w:t> </w:t>
            </w:r>
            <w:r w:rsidRPr="00084F66">
              <w:t>d)</w:t>
            </w:r>
            <w:r w:rsidRPr="00AA1421">
              <w:t xml:space="preserve">, </w:t>
            </w:r>
            <w:r w:rsidRPr="00084F66">
              <w:t>art.</w:t>
            </w:r>
            <w:r w:rsidR="00084F66" w:rsidRPr="00084F66">
              <w:t> </w:t>
            </w:r>
            <w:r w:rsidRPr="00084F66">
              <w:t>1</w:t>
            </w:r>
            <w:r w:rsidRPr="00AA1421">
              <w:t xml:space="preserve">58 i </w:t>
            </w:r>
            <w:r w:rsidRPr="00084F66">
              <w:t>art.</w:t>
            </w:r>
            <w:r w:rsidR="00084F66" w:rsidRPr="00084F66">
              <w:t> </w:t>
            </w:r>
            <w:r w:rsidRPr="00084F66">
              <w:t>1</w:t>
            </w:r>
            <w:r w:rsidRPr="00AA1421">
              <w:t>59 CRR</w:t>
            </w:r>
          </w:p>
          <w:p w:rsidR="00674BF5" w:rsidRPr="00AA1421" w:rsidRDefault="00674BF5" w:rsidP="00487A02">
            <w:pPr>
              <w:pStyle w:val="InstructionsText"/>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lastRenderedPageBreak/>
              <w:t>0110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3.1</w:t>
            </w:r>
            <w:r w:rsidR="00744F50" w:rsidRPr="00AA1421">
              <w:rPr>
                <w:b/>
                <w:u w:val="single"/>
              </w:rPr>
              <w:tab/>
            </w:r>
            <w:r w:rsidRPr="00AA1421">
              <w:rPr>
                <w:rStyle w:val="InstructionsTabelleberschrift"/>
                <w:rFonts w:ascii="Times New Roman" w:hAnsi="Times New Roman"/>
                <w:sz w:val="24"/>
              </w:rPr>
              <w:t>Całkowite korekty ryzyka kredytowego, dodatkowe korekty wartości oraz inne redukcje funduszy własnych kwalifikujące się do uwzględnienia w obliczeniach kwoty oczekiwanej straty</w:t>
            </w:r>
          </w:p>
          <w:p w:rsidR="00674BF5" w:rsidRPr="00AA1421" w:rsidRDefault="00674BF5" w:rsidP="00487A02">
            <w:pPr>
              <w:pStyle w:val="InstructionsText"/>
            </w:pPr>
            <w:r w:rsidRPr="00AA1421">
              <w:t>Art. 159 CRR</w:t>
            </w:r>
          </w:p>
          <w:p w:rsidR="00674BF5" w:rsidRPr="00AA1421" w:rsidRDefault="00674BF5" w:rsidP="00487A02">
            <w:pPr>
              <w:pStyle w:val="InstructionsText"/>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t>0120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3.1.1</w:t>
            </w:r>
            <w:r w:rsidR="00744F50" w:rsidRPr="00AA1421">
              <w:rPr>
                <w:b/>
                <w:u w:val="single"/>
              </w:rPr>
              <w:tab/>
            </w:r>
            <w:r w:rsidRPr="00AA1421">
              <w:rPr>
                <w:rStyle w:val="InstructionsTabelleberschrift"/>
                <w:rFonts w:ascii="Times New Roman" w:hAnsi="Times New Roman"/>
                <w:sz w:val="24"/>
              </w:rPr>
              <w:t>Korekty z tytułu ogólnego ryzyka kredytowego</w:t>
            </w:r>
          </w:p>
          <w:p w:rsidR="00674BF5" w:rsidRPr="00AA1421" w:rsidRDefault="00674BF5" w:rsidP="00487A02">
            <w:pPr>
              <w:pStyle w:val="InstructionsText"/>
            </w:pPr>
            <w:r w:rsidRPr="00AA1421">
              <w:t>Art. 159 CRR</w:t>
            </w:r>
          </w:p>
          <w:p w:rsidR="00674BF5" w:rsidRPr="00AA1421" w:rsidRDefault="00674BF5" w:rsidP="00487A02">
            <w:pPr>
              <w:pStyle w:val="InstructionsText"/>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t>0130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3.1.2</w:t>
            </w:r>
            <w:r w:rsidR="00744F50" w:rsidRPr="00AA1421">
              <w:rPr>
                <w:b/>
                <w:u w:val="single"/>
              </w:rPr>
              <w:tab/>
            </w:r>
            <w:r w:rsidRPr="00AA1421">
              <w:rPr>
                <w:rStyle w:val="InstructionsTabelleberschrift"/>
                <w:rFonts w:ascii="Times New Roman" w:hAnsi="Times New Roman"/>
                <w:sz w:val="24"/>
              </w:rPr>
              <w:t>Korekty z tytułu szczególnego ryzyka kredytowego</w:t>
            </w:r>
          </w:p>
          <w:p w:rsidR="00674BF5" w:rsidRPr="00AA1421" w:rsidRDefault="00674BF5" w:rsidP="00487A02">
            <w:pPr>
              <w:pStyle w:val="InstructionsText"/>
            </w:pPr>
            <w:r w:rsidRPr="00AA1421">
              <w:t>Art. 159 CRR</w:t>
            </w:r>
          </w:p>
          <w:p w:rsidR="00674BF5" w:rsidRPr="00AA1421" w:rsidRDefault="00674BF5" w:rsidP="00487A02">
            <w:pPr>
              <w:pStyle w:val="InstructionsText"/>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t>0131</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3.1.3</w:t>
            </w:r>
            <w:r w:rsidR="00744F50" w:rsidRPr="00AA1421">
              <w:rPr>
                <w:b/>
                <w:u w:val="single"/>
              </w:rPr>
              <w:tab/>
            </w:r>
            <w:r w:rsidRPr="00AA1421">
              <w:rPr>
                <w:rStyle w:val="InstructionsTabelleberschrift"/>
                <w:rFonts w:ascii="Times New Roman" w:hAnsi="Times New Roman"/>
                <w:sz w:val="24"/>
              </w:rPr>
              <w:t>Dodatkowe korekty wartości i inne redukcje funduszy własnych</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34, 110 i 159 CRR</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t>0140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3.2</w:t>
            </w:r>
            <w:r w:rsidR="00744F50" w:rsidRPr="00AA1421">
              <w:rPr>
                <w:b/>
                <w:u w:val="single"/>
              </w:rPr>
              <w:tab/>
            </w:r>
            <w:r w:rsidRPr="00AA1421">
              <w:rPr>
                <w:rStyle w:val="InstructionsTabelleberschrift"/>
                <w:rFonts w:ascii="Times New Roman" w:hAnsi="Times New Roman"/>
                <w:sz w:val="24"/>
              </w:rPr>
              <w:t xml:space="preserve">Oczekiwane uznane straty razem </w:t>
            </w:r>
          </w:p>
          <w:p w:rsidR="00674BF5" w:rsidRPr="00AA1421" w:rsidRDefault="00674BF5" w:rsidP="00487A02">
            <w:pPr>
              <w:pStyle w:val="InstructionsText"/>
            </w:pPr>
            <w:r w:rsidRPr="00AA1421">
              <w:t xml:space="preserve">Art. 158 </w:t>
            </w:r>
            <w:r w:rsidRPr="00084F66">
              <w:t>ust.</w:t>
            </w:r>
            <w:r w:rsidR="00084F66" w:rsidRPr="00084F66">
              <w:t> </w:t>
            </w:r>
            <w:r w:rsidRPr="00084F66">
              <w:t>5</w:t>
            </w:r>
            <w:r w:rsidRPr="00AA1421">
              <w:t xml:space="preserve">, 6 i 10 oraz </w:t>
            </w:r>
            <w:r w:rsidRPr="00084F66">
              <w:t>art.</w:t>
            </w:r>
            <w:r w:rsidR="00084F66" w:rsidRPr="00084F66">
              <w:t> </w:t>
            </w:r>
            <w:r w:rsidRPr="00084F66">
              <w:t>1</w:t>
            </w:r>
            <w:r w:rsidRPr="00AA1421">
              <w:t>59 CRR</w:t>
            </w:r>
          </w:p>
          <w:p w:rsidR="00674BF5" w:rsidRPr="00AA1421" w:rsidRDefault="00674BF5" w:rsidP="00487A02">
            <w:pPr>
              <w:pStyle w:val="InstructionsText"/>
            </w:pPr>
            <w:r w:rsidRPr="00AA1421">
              <w:t>Pozycję tę zgłaszają wyłącznie instytucje stosujące metodę IRB. Zgłasza się wyłącznie oczekiwaną stratę związaną z ekspozycjami, których nie dotyczy niewykonanie zobowiązania.</w:t>
            </w:r>
          </w:p>
        </w:tc>
      </w:tr>
      <w:tr w:rsidR="00674BF5" w:rsidRPr="00AA1421" w:rsidTr="00674BF5">
        <w:tc>
          <w:tcPr>
            <w:tcW w:w="1474" w:type="dxa"/>
          </w:tcPr>
          <w:p w:rsidR="00674BF5" w:rsidRPr="00AA1421" w:rsidRDefault="004F1DDB" w:rsidP="00487A02">
            <w:pPr>
              <w:pStyle w:val="InstructionsText"/>
            </w:pPr>
            <w:r w:rsidRPr="00AA1421">
              <w:t>0145</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4 Nadwyżka (+) lub niedobór (-) korekt z tytułu szczególnego ryzyka kredytowego wobec oczekiwanych strat w odniesieniu do ekspozycji, których dotyczy niewykonanie zobowiązania, według metody IRB</w:t>
            </w:r>
          </w:p>
          <w:p w:rsidR="00674BF5" w:rsidRPr="00AA1421" w:rsidRDefault="00674BF5" w:rsidP="00487A02">
            <w:pPr>
              <w:pStyle w:val="InstructionsText"/>
            </w:pPr>
            <w:r w:rsidRPr="00AA1421">
              <w:t xml:space="preserve">Art. 36 </w:t>
            </w:r>
            <w:r w:rsidRPr="00084F66">
              <w:t>ust.</w:t>
            </w:r>
            <w:r w:rsidR="00084F66" w:rsidRPr="00084F66">
              <w:t> </w:t>
            </w:r>
            <w:r w:rsidRPr="00084F66">
              <w:t>1</w:t>
            </w:r>
            <w:r w:rsidRPr="00AA1421">
              <w:t xml:space="preserve"> </w:t>
            </w:r>
            <w:r w:rsidRPr="00084F66">
              <w:t>lit.</w:t>
            </w:r>
            <w:r w:rsidR="00084F66" w:rsidRPr="00084F66">
              <w:t> </w:t>
            </w:r>
            <w:r w:rsidRPr="00084F66">
              <w:t>d)</w:t>
            </w:r>
            <w:r w:rsidRPr="00AA1421">
              <w:t xml:space="preserve">, </w:t>
            </w:r>
            <w:r w:rsidRPr="00084F66">
              <w:t>art.</w:t>
            </w:r>
            <w:r w:rsidR="00084F66" w:rsidRPr="00084F66">
              <w:t> </w:t>
            </w:r>
            <w:r w:rsidRPr="00084F66">
              <w:t>6</w:t>
            </w:r>
            <w:r w:rsidRPr="00AA1421">
              <w:t xml:space="preserve">2 </w:t>
            </w:r>
            <w:r w:rsidRPr="00084F66">
              <w:t>lit.</w:t>
            </w:r>
            <w:r w:rsidR="00084F66" w:rsidRPr="00084F66">
              <w:t> </w:t>
            </w:r>
            <w:r w:rsidRPr="00084F66">
              <w:t>d)</w:t>
            </w:r>
            <w:r w:rsidRPr="00AA1421">
              <w:t xml:space="preserve">, </w:t>
            </w:r>
            <w:r w:rsidRPr="00084F66">
              <w:t>art.</w:t>
            </w:r>
            <w:r w:rsidR="00084F66" w:rsidRPr="00084F66">
              <w:t> </w:t>
            </w:r>
            <w:r w:rsidRPr="00084F66">
              <w:t>1</w:t>
            </w:r>
            <w:r w:rsidRPr="00AA1421">
              <w:t xml:space="preserve">58 i </w:t>
            </w:r>
            <w:r w:rsidRPr="00084F66">
              <w:t>art.</w:t>
            </w:r>
            <w:r w:rsidR="00084F66" w:rsidRPr="00084F66">
              <w:t> </w:t>
            </w:r>
            <w:r w:rsidRPr="00084F66">
              <w:t>1</w:t>
            </w:r>
            <w:r w:rsidRPr="00AA1421">
              <w:t>59 CRR</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t>0150</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4.1</w:t>
            </w:r>
            <w:r w:rsidR="00744F50" w:rsidRPr="00AA1421">
              <w:rPr>
                <w:b/>
                <w:u w:val="single"/>
              </w:rPr>
              <w:tab/>
            </w:r>
            <w:r w:rsidRPr="00AA1421">
              <w:rPr>
                <w:rStyle w:val="InstructionsTabelleberschrift"/>
                <w:rFonts w:ascii="Times New Roman" w:hAnsi="Times New Roman"/>
                <w:sz w:val="24"/>
              </w:rPr>
              <w:t>Korekty z tytułu szczególnego ryzyka kredytowego oraz pozycje ujmowane w podobny sposób</w:t>
            </w:r>
          </w:p>
          <w:p w:rsidR="00674BF5" w:rsidRPr="00AA1421" w:rsidRDefault="00674BF5" w:rsidP="00487A02">
            <w:pPr>
              <w:pStyle w:val="InstructionsText"/>
            </w:pPr>
            <w:r w:rsidRPr="00AA1421">
              <w:t>Art. 159 CRR</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Pozycję tę zgłaszają wyłącznie instytucje stosujące metodę IRB.</w:t>
            </w:r>
          </w:p>
        </w:tc>
      </w:tr>
      <w:tr w:rsidR="00674BF5" w:rsidRPr="00AA1421" w:rsidTr="00674BF5">
        <w:tc>
          <w:tcPr>
            <w:tcW w:w="1474" w:type="dxa"/>
          </w:tcPr>
          <w:p w:rsidR="00674BF5" w:rsidRPr="00AA1421" w:rsidRDefault="004F1DDB" w:rsidP="00487A02">
            <w:pPr>
              <w:pStyle w:val="InstructionsText"/>
            </w:pPr>
            <w:r w:rsidRPr="00AA1421">
              <w:t>0155</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4.2</w:t>
            </w:r>
            <w:r w:rsidR="00744F50" w:rsidRPr="00AA1421">
              <w:rPr>
                <w:b/>
                <w:u w:val="single"/>
              </w:rPr>
              <w:tab/>
            </w:r>
            <w:r w:rsidRPr="00AA1421">
              <w:rPr>
                <w:rStyle w:val="InstructionsTabelleberschrift"/>
                <w:rFonts w:ascii="Times New Roman" w:hAnsi="Times New Roman"/>
                <w:sz w:val="24"/>
              </w:rPr>
              <w:t>Oczekiwane uznane straty razem</w:t>
            </w:r>
          </w:p>
          <w:p w:rsidR="00674BF5" w:rsidRPr="00AA1421" w:rsidRDefault="00674BF5" w:rsidP="00487A02">
            <w:pPr>
              <w:pStyle w:val="InstructionsText"/>
              <w:rPr>
                <w:rStyle w:val="InstructionsTabelleberschrift"/>
                <w:rFonts w:ascii="Times New Roman" w:hAnsi="Times New Roman"/>
                <w:sz w:val="24"/>
              </w:rPr>
            </w:pPr>
            <w:r w:rsidRPr="00AA1421">
              <w:t xml:space="preserve">Art. 158 </w:t>
            </w:r>
            <w:r w:rsidRPr="00084F66">
              <w:t>ust.</w:t>
            </w:r>
            <w:r w:rsidR="00084F66" w:rsidRPr="00084F66">
              <w:t> </w:t>
            </w:r>
            <w:r w:rsidRPr="00084F66">
              <w:t>5</w:t>
            </w:r>
            <w:r w:rsidRPr="00AA1421">
              <w:t xml:space="preserve">, 6 i 10 oraz </w:t>
            </w:r>
            <w:r w:rsidRPr="00084F66">
              <w:t>art.</w:t>
            </w:r>
            <w:r w:rsidR="00084F66" w:rsidRPr="00084F66">
              <w:t> </w:t>
            </w:r>
            <w:r w:rsidRPr="00084F66">
              <w:t>1</w:t>
            </w:r>
            <w:r w:rsidRPr="00AA1421">
              <w:t>59 CRR</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Pozycję tę zgłaszają wyłącznie instytucje stosujące metodę IRB. Zgłasza się wyłącznie oczekiwaną stratę związaną z ekspozycjami, których dotyczy niewykonanie zobowiązania.</w:t>
            </w:r>
          </w:p>
        </w:tc>
      </w:tr>
      <w:tr w:rsidR="00674BF5" w:rsidRPr="00AA1421" w:rsidTr="00674BF5">
        <w:tc>
          <w:tcPr>
            <w:tcW w:w="1474" w:type="dxa"/>
          </w:tcPr>
          <w:p w:rsidR="00674BF5" w:rsidRPr="00AA1421" w:rsidRDefault="004F1DDB" w:rsidP="00487A02">
            <w:pPr>
              <w:pStyle w:val="InstructionsText"/>
            </w:pPr>
            <w:r w:rsidRPr="00AA1421">
              <w:t>0160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5</w:t>
            </w:r>
            <w:r w:rsidR="00744F50" w:rsidRPr="00AA1421">
              <w:rPr>
                <w:b/>
                <w:u w:val="single"/>
              </w:rPr>
              <w:tab/>
            </w:r>
            <w:r w:rsidRPr="00AA1421">
              <w:rPr>
                <w:rStyle w:val="InstructionsTabelleberschrift"/>
                <w:rFonts w:ascii="Times New Roman" w:hAnsi="Times New Roman"/>
                <w:sz w:val="24"/>
              </w:rPr>
              <w:t xml:space="preserve">Kwoty ekspozycji ważonych ryzykiem na potrzeby obliczenia pułapu nadwyżki rezerwy kwalifikującej się jako kapitał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674BF5" w:rsidRPr="00AA1421" w:rsidRDefault="00674BF5" w:rsidP="00487A02">
            <w:pPr>
              <w:pStyle w:val="InstructionsText"/>
            </w:pPr>
            <w:r w:rsidRPr="00AA1421">
              <w:lastRenderedPageBreak/>
              <w:t xml:space="preserve">Art. 62 </w:t>
            </w:r>
            <w:r w:rsidRPr="00084F66">
              <w:t>lit.</w:t>
            </w:r>
            <w:r w:rsidR="00084F66" w:rsidRPr="00084F66">
              <w:t> </w:t>
            </w:r>
            <w:r w:rsidRPr="00084F66">
              <w:t>d)</w:t>
            </w:r>
            <w:r w:rsidRPr="00AA1421">
              <w:t xml:space="preserve"> CRR</w:t>
            </w:r>
          </w:p>
          <w:p w:rsidR="00674BF5" w:rsidRPr="00AA1421" w:rsidRDefault="00674BF5" w:rsidP="00487A02">
            <w:pPr>
              <w:pStyle w:val="InstructionsText"/>
            </w:pPr>
            <w:r w:rsidRPr="00AA1421">
              <w:t xml:space="preserve">W przypadku instytucji stosujących metodę IRB górny pułap nadwyżki rezerwy (w stosunku do oczekiwanych strat) kwalifikującej się do włączenia do kapitału </w:t>
            </w:r>
            <w:proofErr w:type="spellStart"/>
            <w:r w:rsidRPr="00AA1421">
              <w:t>Tier</w:t>
            </w:r>
            <w:proofErr w:type="spellEnd"/>
            <w:r w:rsidRPr="00AA1421">
              <w:t xml:space="preserve"> II wynosi 0,</w:t>
            </w:r>
            <w:r w:rsidRPr="00084F66">
              <w:t>6</w:t>
            </w:r>
            <w:r w:rsidR="00084F66" w:rsidRPr="00084F66">
              <w:t> </w:t>
            </w:r>
            <w:r w:rsidRPr="00084F66">
              <w:t>%</w:t>
            </w:r>
            <w:r w:rsidRPr="00AA1421">
              <w:t xml:space="preserve"> kwot ekspozycji ważonych ryzykiem obliczonych zgodnie z metodą IRB, </w:t>
            </w:r>
            <w:r w:rsidRPr="00AA1421">
              <w:rPr>
                <w:rStyle w:val="FormatvorlageInstructionsTabelleText"/>
                <w:rFonts w:ascii="Times New Roman" w:hAnsi="Times New Roman"/>
                <w:sz w:val="24"/>
              </w:rPr>
              <w:t xml:space="preserve">zgodnie z </w:t>
            </w:r>
            <w:r w:rsidRPr="00084F66">
              <w:t>art.</w:t>
            </w:r>
            <w:r w:rsidR="00084F66" w:rsidRPr="00084F66">
              <w:t> </w:t>
            </w:r>
            <w:r w:rsidRPr="00084F66">
              <w:t>6</w:t>
            </w:r>
            <w:r w:rsidRPr="00AA1421">
              <w:t xml:space="preserve">2 </w:t>
            </w:r>
            <w:r w:rsidRPr="00084F66">
              <w:t>lit.</w:t>
            </w:r>
            <w:r w:rsidR="00084F66" w:rsidRPr="00084F66">
              <w:t> </w:t>
            </w:r>
            <w:r w:rsidRPr="00084F66">
              <w:t>d)</w:t>
            </w:r>
            <w:r w:rsidRPr="00AA1421">
              <w:t xml:space="preserve"> CRR.</w:t>
            </w:r>
          </w:p>
          <w:p w:rsidR="00674BF5" w:rsidRPr="00AA1421" w:rsidRDefault="00674BF5" w:rsidP="00487A02">
            <w:pPr>
              <w:pStyle w:val="InstructionsText"/>
            </w:pPr>
            <w:r w:rsidRPr="00AA1421">
              <w:t>Kwota, którą należy zgłosić w tej pozycji, jest kwotą ekspozycji ważonych ryzykiem (tj. nie jest mnożona przez 0,</w:t>
            </w:r>
            <w:r w:rsidRPr="00084F66">
              <w:t>6</w:t>
            </w:r>
            <w:r w:rsidR="00084F66" w:rsidRPr="00084F66">
              <w:t> </w:t>
            </w:r>
            <w:r w:rsidRPr="00084F66">
              <w:t>%</w:t>
            </w:r>
            <w:r w:rsidRPr="00AA1421">
              <w:t>), która stanowi podstawę dla obliczenia pułapu.</w:t>
            </w:r>
          </w:p>
        </w:tc>
      </w:tr>
      <w:tr w:rsidR="00674BF5" w:rsidRPr="00AA1421" w:rsidTr="00674BF5">
        <w:tc>
          <w:tcPr>
            <w:tcW w:w="1474" w:type="dxa"/>
          </w:tcPr>
          <w:p w:rsidR="00674BF5" w:rsidRPr="00AA1421" w:rsidRDefault="004F1DDB" w:rsidP="00487A02">
            <w:pPr>
              <w:pStyle w:val="InstructionsText"/>
            </w:pPr>
            <w:r w:rsidRPr="00AA1421">
              <w:lastRenderedPageBreak/>
              <w:t>0170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6</w:t>
            </w:r>
            <w:r w:rsidR="00744F50" w:rsidRPr="00AA1421">
              <w:rPr>
                <w:b/>
                <w:u w:val="single"/>
              </w:rPr>
              <w:tab/>
            </w:r>
            <w:r w:rsidRPr="00AA1421">
              <w:rPr>
                <w:rStyle w:val="InstructionsTabelleberschrift"/>
                <w:rFonts w:ascii="Times New Roman" w:hAnsi="Times New Roman"/>
                <w:sz w:val="24"/>
              </w:rPr>
              <w:t xml:space="preserve">Rezerwy brutto kwalifikujące się do włączenia do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razem</w:t>
            </w:r>
          </w:p>
          <w:p w:rsidR="00674BF5" w:rsidRPr="00AA1421" w:rsidRDefault="00674BF5" w:rsidP="00487A02">
            <w:pPr>
              <w:pStyle w:val="InstructionsText"/>
            </w:pPr>
            <w:r w:rsidRPr="00AA1421">
              <w:t xml:space="preserve">Art. 62 </w:t>
            </w:r>
            <w:r w:rsidRPr="00084F66">
              <w:t>lit.</w:t>
            </w:r>
            <w:r w:rsidR="00084F66" w:rsidRPr="00084F66">
              <w:t> </w:t>
            </w:r>
            <w:r w:rsidRPr="00084F66">
              <w:t>c)</w:t>
            </w:r>
            <w:r w:rsidRPr="00AA1421">
              <w:t xml:space="preserve"> CRR</w:t>
            </w:r>
          </w:p>
          <w:p w:rsidR="00674BF5" w:rsidRPr="00AA1421" w:rsidRDefault="00674BF5" w:rsidP="00487A02">
            <w:pPr>
              <w:pStyle w:val="InstructionsText"/>
            </w:pPr>
            <w:r w:rsidRPr="00AA1421">
              <w:t xml:space="preserve">Pozycja ta obejmuje korekty z tytułu ogólnego ryzyka kredytowego, które kwalifikują się do włączenia do kapitału </w:t>
            </w:r>
            <w:proofErr w:type="spellStart"/>
            <w:r w:rsidRPr="00AA1421">
              <w:t>Tier</w:t>
            </w:r>
            <w:proofErr w:type="spellEnd"/>
            <w:r w:rsidRPr="00AA1421">
              <w:t xml:space="preserve"> II, przed uwzględnieniem pułapu.</w:t>
            </w:r>
          </w:p>
          <w:p w:rsidR="00674BF5" w:rsidRPr="00AA1421" w:rsidRDefault="00674BF5" w:rsidP="00487A02">
            <w:pPr>
              <w:pStyle w:val="InstructionsText"/>
            </w:pPr>
            <w:r w:rsidRPr="00AA1421">
              <w:t>Kwota, którą należy zgłosić, jest kwotą przed skutkami podatkowymi.</w:t>
            </w:r>
          </w:p>
        </w:tc>
      </w:tr>
      <w:tr w:rsidR="00674BF5" w:rsidRPr="00AA1421" w:rsidTr="00674BF5">
        <w:tc>
          <w:tcPr>
            <w:tcW w:w="1474" w:type="dxa"/>
          </w:tcPr>
          <w:p w:rsidR="00674BF5" w:rsidRPr="00AA1421" w:rsidRDefault="004F1DDB" w:rsidP="00487A02">
            <w:pPr>
              <w:pStyle w:val="InstructionsText"/>
            </w:pPr>
            <w:r w:rsidRPr="00AA1421">
              <w:t>0180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7</w:t>
            </w:r>
            <w:r w:rsidR="00744F50" w:rsidRPr="00AA1421">
              <w:rPr>
                <w:b/>
                <w:u w:val="single"/>
              </w:rPr>
              <w:tab/>
            </w:r>
            <w:r w:rsidRPr="00AA1421">
              <w:rPr>
                <w:rStyle w:val="InstructionsTabelleberschrift"/>
                <w:rFonts w:ascii="Times New Roman" w:hAnsi="Times New Roman"/>
                <w:sz w:val="24"/>
              </w:rPr>
              <w:t xml:space="preserve">Kwoty ekspozycji ważonych ryzykiem na potrzeby obliczenia pułapu rezerwy kwalifikującej się jako kapitał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p w:rsidR="00674BF5" w:rsidRPr="00AA1421" w:rsidRDefault="00674BF5" w:rsidP="00487A02">
            <w:pPr>
              <w:pStyle w:val="InstructionsText"/>
            </w:pPr>
            <w:r w:rsidRPr="00AA1421">
              <w:t xml:space="preserve">Art. 62 </w:t>
            </w:r>
            <w:r w:rsidRPr="00084F66">
              <w:t>lit.</w:t>
            </w:r>
            <w:r w:rsidR="00084F66" w:rsidRPr="00084F66">
              <w:t> </w:t>
            </w:r>
            <w:r w:rsidRPr="00084F66">
              <w:t>c)</w:t>
            </w:r>
            <w:r w:rsidRPr="00AA1421">
              <w:t xml:space="preserve"> CRR</w:t>
            </w:r>
          </w:p>
          <w:p w:rsidR="00674BF5" w:rsidRPr="00AA1421" w:rsidRDefault="00674BF5" w:rsidP="00487A02">
            <w:pPr>
              <w:pStyle w:val="InstructionsText"/>
            </w:pPr>
            <w:r w:rsidRPr="00AA1421">
              <w:t xml:space="preserve">Zgodnie z </w:t>
            </w:r>
            <w:r w:rsidRPr="00084F66">
              <w:t>art.</w:t>
            </w:r>
            <w:r w:rsidR="00084F66" w:rsidRPr="00084F66">
              <w:t> </w:t>
            </w:r>
            <w:r w:rsidRPr="00084F66">
              <w:t>6</w:t>
            </w:r>
            <w:r w:rsidRPr="00AA1421">
              <w:t xml:space="preserve">2 </w:t>
            </w:r>
            <w:r w:rsidRPr="00084F66">
              <w:t>lit.</w:t>
            </w:r>
            <w:r w:rsidR="00084F66" w:rsidRPr="00084F66">
              <w:t> </w:t>
            </w:r>
            <w:r w:rsidRPr="00084F66">
              <w:t>c)</w:t>
            </w:r>
            <w:r w:rsidRPr="00AA1421">
              <w:t xml:space="preserve"> CRR korekty z tytułu ryzyka kredytowego kwalifikujące się do włączenia do kapitału </w:t>
            </w:r>
            <w:proofErr w:type="spellStart"/>
            <w:r w:rsidRPr="00AA1421">
              <w:t>Tier</w:t>
            </w:r>
            <w:proofErr w:type="spellEnd"/>
            <w:r w:rsidRPr="00AA1421">
              <w:t xml:space="preserve"> II mogą wynosić maksymalnie 1,2</w:t>
            </w:r>
            <w:r w:rsidRPr="00084F66">
              <w:t>5</w:t>
            </w:r>
            <w:r w:rsidR="00084F66" w:rsidRPr="00084F66">
              <w:t> </w:t>
            </w:r>
            <w:r w:rsidRPr="00084F66">
              <w:t>%</w:t>
            </w:r>
            <w:r w:rsidRPr="00AA1421">
              <w:t xml:space="preserve"> kwot ekspozycji ważonych ryzykiem.</w:t>
            </w:r>
          </w:p>
          <w:p w:rsidR="00674BF5" w:rsidRPr="00AA1421" w:rsidRDefault="00674BF5" w:rsidP="00487A02">
            <w:pPr>
              <w:pStyle w:val="InstructionsText"/>
            </w:pPr>
            <w:r w:rsidRPr="00AA1421">
              <w:t>Kwota, którą należy zgłosić w tej pozycji, jest kwotą ekspozycji ważonych ryzykiem (tj. nie jest mnożona przez 1,2</w:t>
            </w:r>
            <w:r w:rsidRPr="00084F66">
              <w:t>5</w:t>
            </w:r>
            <w:r w:rsidR="00084F66" w:rsidRPr="00084F66">
              <w:t> </w:t>
            </w:r>
            <w:r w:rsidRPr="00084F66">
              <w:t>%</w:t>
            </w:r>
            <w:r w:rsidRPr="00AA1421">
              <w:t>), która stanowi podstawę dla obliczenia pułapu.</w:t>
            </w:r>
          </w:p>
        </w:tc>
      </w:tr>
      <w:tr w:rsidR="00674BF5" w:rsidRPr="00AA1421" w:rsidTr="00674BF5">
        <w:tc>
          <w:tcPr>
            <w:tcW w:w="1474" w:type="dxa"/>
          </w:tcPr>
          <w:p w:rsidR="00674BF5" w:rsidRPr="00AA1421" w:rsidRDefault="004F1DDB" w:rsidP="00487A02">
            <w:pPr>
              <w:pStyle w:val="InstructionsText"/>
            </w:pPr>
            <w:r w:rsidRPr="00AA1421">
              <w:t>0190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8</w:t>
            </w:r>
            <w:r w:rsidR="00744F50" w:rsidRPr="00AA1421">
              <w:rPr>
                <w:b/>
                <w:u w:val="single"/>
              </w:rPr>
              <w:tab/>
            </w:r>
            <w:r w:rsidRPr="00AA1421">
              <w:rPr>
                <w:rStyle w:val="InstructionsTabelleberschrift"/>
                <w:rFonts w:ascii="Times New Roman" w:hAnsi="Times New Roman"/>
                <w:sz w:val="24"/>
              </w:rPr>
              <w:t>Próg niepodlegających odliczeniu udziałów kapitałowych w podmiotach sektora finansowego, jeżeli instytucja nie dokonała znacznej inwestycji w te podmioty</w:t>
            </w:r>
          </w:p>
          <w:p w:rsidR="00674BF5" w:rsidRPr="00AA1421" w:rsidRDefault="00674BF5" w:rsidP="00487A02">
            <w:pPr>
              <w:pStyle w:val="InstructionsText"/>
            </w:pPr>
            <w:r w:rsidRPr="00AA1421">
              <w:t xml:space="preserve">Art. 46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CRR</w:t>
            </w:r>
          </w:p>
          <w:p w:rsidR="00674BF5" w:rsidRPr="00AA1421" w:rsidRDefault="00674BF5" w:rsidP="00487A02">
            <w:pPr>
              <w:pStyle w:val="InstructionsText"/>
            </w:pPr>
            <w:r w:rsidRPr="00AA1421">
              <w:t>Pozycja ta zawiera próg, do którego nie odlicza się udziałów kapitałowych w podmiotach sektora finansowego, jeżeli instytucja nie dokonała znacznej inwestycji w te podmioty. Kwotę otrzymuje się przez zsumowanie wszystkich pozycji, które stanowią podstawę progu, i pomnożenie uzyskanej w ten sposób sumy przez 1</w:t>
            </w:r>
            <w:r w:rsidRPr="00084F66">
              <w:t>0</w:t>
            </w:r>
            <w:r w:rsidR="00084F66" w:rsidRPr="00084F66">
              <w:t> </w:t>
            </w:r>
            <w:r w:rsidRPr="00084F66">
              <w:t>%</w:t>
            </w:r>
            <w:r w:rsidRPr="00AA1421">
              <w:t>.</w:t>
            </w:r>
          </w:p>
        </w:tc>
      </w:tr>
      <w:tr w:rsidR="00674BF5" w:rsidRPr="00AA1421" w:rsidTr="00674BF5">
        <w:tc>
          <w:tcPr>
            <w:tcW w:w="1474" w:type="dxa"/>
          </w:tcPr>
          <w:p w:rsidR="00674BF5" w:rsidRPr="00AA1421" w:rsidRDefault="004F1DDB" w:rsidP="00487A02">
            <w:pPr>
              <w:pStyle w:val="InstructionsText"/>
            </w:pPr>
            <w:r w:rsidRPr="00AA1421">
              <w:t>0200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9</w:t>
            </w:r>
            <w:r w:rsidR="00744F50" w:rsidRPr="00AA1421">
              <w:rPr>
                <w:b/>
                <w:u w:val="single"/>
              </w:rPr>
              <w:tab/>
            </w:r>
            <w:r w:rsidRPr="00AA1421">
              <w:rPr>
                <w:rStyle w:val="InstructionsTabelleberschrift"/>
                <w:rFonts w:ascii="Times New Roman" w:hAnsi="Times New Roman"/>
                <w:sz w:val="24"/>
              </w:rPr>
              <w:t>Próg na poziomie 1</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 xml:space="preserve"> instrumentów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674BF5" w:rsidRPr="00AA1421" w:rsidRDefault="00674BF5" w:rsidP="00487A02">
            <w:pPr>
              <w:pStyle w:val="InstructionsText"/>
            </w:pPr>
            <w:r w:rsidRPr="00AA1421">
              <w:t xml:space="preserve">Art. 48 </w:t>
            </w:r>
            <w:r w:rsidRPr="00084F66">
              <w:t>ust.</w:t>
            </w:r>
            <w:r w:rsidR="00084F66" w:rsidRPr="00084F66">
              <w:t> </w:t>
            </w:r>
            <w:r w:rsidRPr="00084F66">
              <w:t>1</w:t>
            </w:r>
            <w:r w:rsidRPr="00AA1421">
              <w:t xml:space="preserve"> </w:t>
            </w:r>
            <w:r w:rsidRPr="00084F66">
              <w:t>lit.</w:t>
            </w:r>
            <w:r w:rsidR="00084F66" w:rsidRPr="00084F66">
              <w:t> </w:t>
            </w:r>
            <w:r w:rsidRPr="00084F66">
              <w:t>a)</w:t>
            </w:r>
            <w:r w:rsidRPr="00AA1421">
              <w:t xml:space="preserve"> i b) CRR</w:t>
            </w:r>
          </w:p>
          <w:p w:rsidR="00674BF5" w:rsidRPr="00AA1421" w:rsidRDefault="00674BF5" w:rsidP="00487A02">
            <w:pPr>
              <w:pStyle w:val="InstructionsText"/>
            </w:pPr>
            <w:r w:rsidRPr="00AA1421">
              <w:t>Pozycja ta zawiera wynoszący 1</w:t>
            </w:r>
            <w:r w:rsidRPr="00084F66">
              <w:t>0</w:t>
            </w:r>
            <w:r w:rsidR="00084F66" w:rsidRPr="00084F66">
              <w:t> </w:t>
            </w:r>
            <w:r w:rsidRPr="00084F66">
              <w:t>%</w:t>
            </w:r>
            <w:r w:rsidRPr="00AA1421">
              <w:t xml:space="preserve"> próg dla udziałów kapitałowych w podmiotach sektora finansowego, jeżeli instytucja dokonała znacznej inwestycji, i dla aktywów z tytułu odroczonego podatku dochodowego opartych na przyszłej rentowności i wynikających z różnic przejściowych.</w:t>
            </w:r>
          </w:p>
          <w:p w:rsidR="00674BF5" w:rsidRPr="00AA1421" w:rsidRDefault="00674BF5" w:rsidP="00487A02">
            <w:pPr>
              <w:pStyle w:val="InstructionsText"/>
            </w:pPr>
            <w:r w:rsidRPr="00AA1421">
              <w:lastRenderedPageBreak/>
              <w:t>Kwotę otrzymuje się przez zsumowanie wszystkich pozycji, które stanowią podstawę progu, i pomnożenie uzyskanej w ten sposób sumy przez 1</w:t>
            </w:r>
            <w:r w:rsidRPr="00084F66">
              <w:t>0</w:t>
            </w:r>
            <w:r w:rsidR="00084F66" w:rsidRPr="00084F66">
              <w:t> </w:t>
            </w:r>
            <w:r w:rsidRPr="00084F66">
              <w:t>%</w:t>
            </w:r>
            <w:r w:rsidRPr="00AA1421">
              <w:t>.</w:t>
            </w:r>
          </w:p>
        </w:tc>
      </w:tr>
      <w:tr w:rsidR="00674BF5" w:rsidRPr="00AA1421" w:rsidTr="00674BF5">
        <w:tc>
          <w:tcPr>
            <w:tcW w:w="1474" w:type="dxa"/>
          </w:tcPr>
          <w:p w:rsidR="00674BF5" w:rsidRPr="00AA1421" w:rsidRDefault="004F1DDB" w:rsidP="00487A02">
            <w:pPr>
              <w:pStyle w:val="InstructionsText"/>
            </w:pPr>
            <w:r w:rsidRPr="00AA1421">
              <w:lastRenderedPageBreak/>
              <w:t>0210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10</w:t>
            </w:r>
            <w:r w:rsidR="00744F50" w:rsidRPr="00AA1421">
              <w:rPr>
                <w:b/>
                <w:u w:val="single"/>
              </w:rPr>
              <w:tab/>
            </w:r>
            <w:r w:rsidRPr="00AA1421">
              <w:rPr>
                <w:rStyle w:val="InstructionsTabelleberschrift"/>
                <w:rFonts w:ascii="Times New Roman" w:hAnsi="Times New Roman"/>
                <w:sz w:val="24"/>
              </w:rPr>
              <w:t xml:space="preserve">Próg na poziomie 17,65 % instrumentów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t>
            </w:r>
          </w:p>
          <w:p w:rsidR="00674BF5" w:rsidRPr="00AA1421" w:rsidRDefault="00674BF5" w:rsidP="00487A02">
            <w:pPr>
              <w:pStyle w:val="InstructionsText"/>
            </w:pPr>
            <w:r w:rsidRPr="00AA1421">
              <w:t>Art. 48 ust. 1 CRR</w:t>
            </w:r>
          </w:p>
          <w:p w:rsidR="00674BF5" w:rsidRPr="00AA1421" w:rsidRDefault="00674BF5" w:rsidP="00487A02">
            <w:pPr>
              <w:pStyle w:val="InstructionsText"/>
            </w:pPr>
            <w:r w:rsidRPr="00AA1421">
              <w:t>Pozycja ta zawiera wynoszący 17,6</w:t>
            </w:r>
            <w:r w:rsidRPr="00084F66">
              <w:t>5</w:t>
            </w:r>
            <w:r w:rsidR="00084F66" w:rsidRPr="00084F66">
              <w:t> </w:t>
            </w:r>
            <w:r w:rsidRPr="00084F66">
              <w:t>%</w:t>
            </w:r>
            <w:r w:rsidRPr="00AA1421">
              <w:t xml:space="preserve"> próg dla udziałów kapitałowych w podmiotach sektora finansowego, jeżeli instytucja dokonała znacznej inwestycji, i dla aktywów z tytułu odroczonego podatku dochodowego opartych na przyszłej rentowności i wynikających z różnic przejściowych, który to próg stosuje się po zastosowaniu progu wynoszącego 1</w:t>
            </w:r>
            <w:r w:rsidRPr="00084F66">
              <w:t>0</w:t>
            </w:r>
            <w:r w:rsidR="00084F66" w:rsidRPr="00084F66">
              <w:t> </w:t>
            </w:r>
            <w:r w:rsidRPr="00084F66">
              <w:t>%</w:t>
            </w:r>
            <w:r w:rsidRPr="00AA1421">
              <w:t>.</w:t>
            </w:r>
          </w:p>
          <w:p w:rsidR="00674BF5" w:rsidRPr="00AA1421" w:rsidRDefault="00674BF5" w:rsidP="00487A02">
            <w:pPr>
              <w:pStyle w:val="InstructionsText"/>
            </w:pPr>
            <w:r w:rsidRPr="00AA1421">
              <w:t>Próg należy obliczyć się w taki sposób, aby kwota tych dwóch uznanych pozycji nie przekroczyła 1</w:t>
            </w:r>
            <w:r w:rsidRPr="00084F66">
              <w:t>5</w:t>
            </w:r>
            <w:r w:rsidR="00084F66" w:rsidRPr="00084F66">
              <w:t> </w:t>
            </w:r>
            <w:r w:rsidRPr="00084F66">
              <w:t>%</w:t>
            </w:r>
            <w:r w:rsidRPr="00AA1421">
              <w:t xml:space="preserve"> ostatecznego kapitału podstawowego </w:t>
            </w:r>
            <w:proofErr w:type="spellStart"/>
            <w:r w:rsidRPr="00AA1421">
              <w:t>Tier</w:t>
            </w:r>
            <w:proofErr w:type="spellEnd"/>
            <w:r w:rsidRPr="00AA1421">
              <w:t xml:space="preserve"> I, tj. kapitału podstawowego </w:t>
            </w:r>
            <w:proofErr w:type="spellStart"/>
            <w:r w:rsidRPr="00AA1421">
              <w:t>Tier</w:t>
            </w:r>
            <w:proofErr w:type="spellEnd"/>
            <w:r w:rsidRPr="00AA1421">
              <w:t xml:space="preserve"> I obliczonego po wszystkich odliczeniach, nie uwzględniając korekty wynikającej z przepisów przejściowych.</w:t>
            </w:r>
          </w:p>
        </w:tc>
      </w:tr>
      <w:tr w:rsidR="00674BF5" w:rsidRPr="00AA1421" w:rsidTr="00674BF5">
        <w:tc>
          <w:tcPr>
            <w:tcW w:w="1474" w:type="dxa"/>
          </w:tcPr>
          <w:p w:rsidR="00674BF5" w:rsidRPr="00AA1421" w:rsidRDefault="004F1DDB" w:rsidP="00487A02">
            <w:pPr>
              <w:pStyle w:val="InstructionsText"/>
            </w:pPr>
            <w:r w:rsidRPr="00AA1421">
              <w:t>0225</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11</w:t>
            </w:r>
            <w:r w:rsidR="00744F50" w:rsidRPr="00AA1421">
              <w:rPr>
                <w:b/>
                <w:u w:val="single"/>
              </w:rPr>
              <w:tab/>
            </w:r>
            <w:r w:rsidRPr="00AA1421">
              <w:rPr>
                <w:rStyle w:val="InstructionsTabelleberschrift"/>
                <w:rFonts w:ascii="Times New Roman" w:hAnsi="Times New Roman"/>
                <w:sz w:val="24"/>
              </w:rPr>
              <w:t>Uznany kapitał do celów związanych ze znacznymi pakietami akcji poza sektorem finansowym</w:t>
            </w:r>
          </w:p>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Art. 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7</w:t>
            </w:r>
            <w:r w:rsidRPr="00AA1421">
              <w:rPr>
                <w:rStyle w:val="InstructionsTabelleberschrift"/>
                <w:rFonts w:ascii="Times New Roman" w:hAnsi="Times New Roman"/>
                <w:b w:val="0"/>
                <w:sz w:val="24"/>
                <w:u w:val="none"/>
              </w:rPr>
              <w:t xml:space="preserve">1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w:t>
            </w:r>
          </w:p>
        </w:tc>
      </w:tr>
      <w:tr w:rsidR="00674BF5" w:rsidRPr="00AA1421" w:rsidTr="00674BF5">
        <w:tc>
          <w:tcPr>
            <w:tcW w:w="1474" w:type="dxa"/>
          </w:tcPr>
          <w:p w:rsidR="00674BF5" w:rsidRPr="00AA1421" w:rsidRDefault="004F1DDB" w:rsidP="00487A02">
            <w:pPr>
              <w:pStyle w:val="InstructionsText"/>
            </w:pPr>
            <w:r w:rsidRPr="00AA1421">
              <w:t>0230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w:t>
            </w:r>
            <w:r w:rsidR="00744F50" w:rsidRPr="00AA1421">
              <w:rPr>
                <w:b/>
                <w:u w:val="single"/>
              </w:rPr>
              <w:tab/>
            </w:r>
            <w:r w:rsidRPr="00AA1421">
              <w:rPr>
                <w:rStyle w:val="InstructionsTabelleberschrift"/>
                <w:rFonts w:ascii="Times New Roman" w:hAnsi="Times New Roman"/>
                <w:sz w:val="24"/>
              </w:rPr>
              <w:t xml:space="preserve">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 po odliczeniu pozycji krótkich</w:t>
            </w:r>
          </w:p>
          <w:p w:rsidR="00674BF5" w:rsidRPr="00AA1421" w:rsidRDefault="00674BF5" w:rsidP="00487A02">
            <w:pPr>
              <w:pStyle w:val="InstructionsText"/>
            </w:pPr>
            <w:r w:rsidRPr="00AA1421">
              <w:t>Art. 44, 45, 46 i 49 CRR</w:t>
            </w:r>
          </w:p>
        </w:tc>
      </w:tr>
      <w:tr w:rsidR="00674BF5" w:rsidRPr="00AA1421" w:rsidTr="00674BF5">
        <w:tc>
          <w:tcPr>
            <w:tcW w:w="1474" w:type="dxa"/>
          </w:tcPr>
          <w:p w:rsidR="00674BF5" w:rsidRPr="00AA1421" w:rsidRDefault="004F1DDB" w:rsidP="00487A02">
            <w:pPr>
              <w:pStyle w:val="InstructionsText"/>
            </w:pPr>
            <w:r w:rsidRPr="00AA1421">
              <w:t>0240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12.1</w:t>
            </w:r>
            <w:r w:rsidR="00744F50" w:rsidRPr="00AA1421">
              <w:rPr>
                <w:b/>
                <w:u w:val="single"/>
              </w:rPr>
              <w:tab/>
            </w:r>
            <w:r w:rsidRPr="00AA1421">
              <w:rPr>
                <w:rStyle w:val="InstructionsTabelleberschrift"/>
                <w:rFonts w:ascii="Times New Roman" w:hAnsi="Times New Roman"/>
                <w:sz w:val="24"/>
              </w:rPr>
              <w:t xml:space="preserve">Bezpośrednie 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Art. 44, 45, 46 i 49 CRR</w:t>
            </w:r>
          </w:p>
        </w:tc>
      </w:tr>
      <w:tr w:rsidR="00674BF5" w:rsidRPr="00AA1421" w:rsidTr="00674BF5">
        <w:tc>
          <w:tcPr>
            <w:tcW w:w="1474" w:type="dxa"/>
          </w:tcPr>
          <w:p w:rsidR="00674BF5" w:rsidRPr="00AA1421" w:rsidRDefault="004F1DDB" w:rsidP="00487A02">
            <w:pPr>
              <w:pStyle w:val="InstructionsText"/>
            </w:pPr>
            <w:r w:rsidRPr="00AA1421">
              <w:t>0250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12.1.1</w:t>
            </w:r>
            <w:r w:rsidR="00744F50" w:rsidRPr="00AA1421">
              <w:rPr>
                <w:b/>
                <w:u w:val="single"/>
              </w:rPr>
              <w:tab/>
            </w:r>
            <w:r w:rsidRPr="00AA1421">
              <w:rPr>
                <w:rStyle w:val="InstructionsTabelleberschrift"/>
                <w:rFonts w:ascii="Times New Roman" w:hAnsi="Times New Roman"/>
                <w:sz w:val="24"/>
              </w:rPr>
              <w:t xml:space="preserve">Bezpośrednie udziały kapitałowe brutto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Art. 44, 46 i 49 CRR</w:t>
            </w:r>
          </w:p>
          <w:p w:rsidR="00674BF5" w:rsidRPr="00AA1421" w:rsidRDefault="00674BF5" w:rsidP="00487A02">
            <w:pPr>
              <w:pStyle w:val="InstructionsText"/>
            </w:pPr>
            <w:r w:rsidRPr="00AA1421">
              <w:t xml:space="preserve">Bezpośrednie udziały kapitałowe w kapitale podstawowym </w:t>
            </w:r>
            <w:proofErr w:type="spellStart"/>
            <w:r w:rsidRPr="00AA1421">
              <w:t>Tier</w:t>
            </w:r>
            <w:proofErr w:type="spellEnd"/>
            <w:r w:rsidRPr="00AA1421">
              <w:t xml:space="preserve"> I podmiotów sektora finansowego, jeżeli instytucja nie dokonała znacznej inwestycji w te podmioty, z wyłączeniem:</w:t>
            </w:r>
          </w:p>
          <w:p w:rsidR="00674BF5" w:rsidRPr="00AA1421" w:rsidRDefault="00674BF5" w:rsidP="00487A02">
            <w:pPr>
              <w:pStyle w:val="InstructionsText"/>
            </w:pPr>
            <w:r w:rsidRPr="00AA1421">
              <w:t>a)</w:t>
            </w:r>
            <w:r w:rsidRPr="00AA1421">
              <w:tab/>
              <w:t xml:space="preserve">pozycji z tytułu gwarantowania emisji utrzymywanych nie dłużej niż przez 5 dni roboczych; </w:t>
            </w:r>
          </w:p>
          <w:p w:rsidR="00674BF5" w:rsidRPr="00AA1421" w:rsidRDefault="00674BF5" w:rsidP="00487A02">
            <w:pPr>
              <w:pStyle w:val="InstructionsText"/>
            </w:pPr>
            <w:r w:rsidRPr="00AA1421">
              <w:t>b)</w:t>
            </w:r>
            <w:r w:rsidRPr="00AA1421">
              <w:tab/>
              <w:t xml:space="preserve">kwot związanych z inwestycjami, w odniesieniu do których zastosowano którekolwiek z rozwiązań alternatywnych określonych w </w:t>
            </w:r>
            <w:r w:rsidRPr="00084F66">
              <w:t>art.</w:t>
            </w:r>
            <w:r w:rsidR="00084F66" w:rsidRPr="00084F66">
              <w:t> </w:t>
            </w:r>
            <w:r w:rsidRPr="00084F66">
              <w:t>4</w:t>
            </w:r>
            <w:r w:rsidRPr="00AA1421">
              <w:t xml:space="preserve">9; oraz </w:t>
            </w:r>
          </w:p>
          <w:p w:rsidR="00674BF5" w:rsidRPr="00AA1421" w:rsidRDefault="00674BF5" w:rsidP="00487A02">
            <w:pPr>
              <w:pStyle w:val="InstructionsText"/>
            </w:pPr>
            <w:r w:rsidRPr="00AA1421">
              <w:t>c)</w:t>
            </w:r>
            <w:r w:rsidRPr="00AA1421">
              <w:tab/>
              <w:t xml:space="preserve">udziałów kapitałowych, które traktuje się jako krzyżowe powiązania kapitałowe zgodnie z </w:t>
            </w:r>
            <w:r w:rsidRPr="00084F66">
              <w:t>art.</w:t>
            </w:r>
            <w:r w:rsidR="00084F66" w:rsidRPr="00084F66">
              <w:t> </w:t>
            </w:r>
            <w:r w:rsidRPr="00084F66">
              <w:t>3</w:t>
            </w:r>
            <w:r w:rsidRPr="00AA1421">
              <w:t xml:space="preserve">6 </w:t>
            </w:r>
            <w:r w:rsidRPr="00084F66">
              <w:t>ust.</w:t>
            </w:r>
            <w:r w:rsidR="00084F66" w:rsidRPr="00084F66">
              <w:t> </w:t>
            </w:r>
            <w:r w:rsidRPr="00084F66">
              <w:t>1</w:t>
            </w:r>
            <w:r w:rsidRPr="00AA1421">
              <w:t xml:space="preserve"> </w:t>
            </w:r>
            <w:r w:rsidRPr="00084F66">
              <w:t>lit.</w:t>
            </w:r>
            <w:r w:rsidR="00084F66" w:rsidRPr="00084F66">
              <w:t> </w:t>
            </w:r>
            <w:r w:rsidRPr="00084F66">
              <w:t>g)</w:t>
            </w:r>
            <w:r w:rsidRPr="00AA1421">
              <w:t xml:space="preserve"> CRR.</w:t>
            </w:r>
          </w:p>
        </w:tc>
      </w:tr>
      <w:tr w:rsidR="00674BF5" w:rsidRPr="00AA1421" w:rsidTr="00674BF5">
        <w:tc>
          <w:tcPr>
            <w:tcW w:w="1474" w:type="dxa"/>
          </w:tcPr>
          <w:p w:rsidR="00674BF5" w:rsidRPr="00AA1421" w:rsidRDefault="00D5689B" w:rsidP="00487A02">
            <w:pPr>
              <w:pStyle w:val="InstructionsText"/>
            </w:pPr>
            <w:r w:rsidRPr="00AA1421">
              <w:lastRenderedPageBreak/>
              <w:t>0260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12.1.2</w:t>
            </w:r>
            <w:r w:rsidR="00744F50" w:rsidRPr="00AA1421">
              <w:rPr>
                <w:b/>
                <w:u w:val="single"/>
              </w:rPr>
              <w:tab/>
            </w:r>
            <w:r w:rsidRPr="00AA1421">
              <w:rPr>
                <w:rStyle w:val="InstructionsTabelleberschrift"/>
                <w:rFonts w:ascii="Times New Roman" w:hAnsi="Times New Roman"/>
                <w:sz w:val="24"/>
              </w:rPr>
              <w:t>(-) Dozwolone kompensowanie pozycji krótkich w odniesieniu do bezpośrednich udziałów kapitałowych brutto ujętych powyżej</w:t>
            </w:r>
          </w:p>
          <w:p w:rsidR="00674BF5" w:rsidRPr="00AA1421" w:rsidRDefault="00674BF5" w:rsidP="00487A02">
            <w:pPr>
              <w:pStyle w:val="InstructionsText"/>
            </w:pPr>
            <w:r w:rsidRPr="00AA1421">
              <w:t>Art. 45 CRR</w:t>
            </w:r>
          </w:p>
          <w:p w:rsidR="00674BF5" w:rsidRPr="00AA1421" w:rsidRDefault="002D31E5" w:rsidP="00487A02">
            <w:pPr>
              <w:pStyle w:val="InstructionsText"/>
            </w:pPr>
            <w:r w:rsidRPr="00AA1421">
              <w:t xml:space="preserve">W </w:t>
            </w:r>
            <w:r w:rsidRPr="00084F66">
              <w:t>art.</w:t>
            </w:r>
            <w:r w:rsidR="00084F66" w:rsidRPr="00084F66">
              <w:t> </w:t>
            </w:r>
            <w:r w:rsidRPr="00084F66">
              <w:t>4</w:t>
            </w:r>
            <w:r w:rsidRPr="00AA1421">
              <w:t xml:space="preserve">5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0270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12.2</w:t>
            </w:r>
            <w:r w:rsidR="00744F50" w:rsidRPr="00AA1421">
              <w:rPr>
                <w:b/>
                <w:u w:val="single"/>
              </w:rPr>
              <w:tab/>
            </w:r>
            <w:r w:rsidRPr="00AA1421">
              <w:rPr>
                <w:rStyle w:val="InstructionsTabelleberschrift"/>
                <w:rFonts w:ascii="Times New Roman" w:hAnsi="Times New Roman"/>
                <w:sz w:val="24"/>
              </w:rPr>
              <w:t xml:space="preserve">Pośrednie 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4</w:t>
            </w:r>
            <w:r w:rsidRPr="00AA1421">
              <w:t xml:space="preserve">4 i </w:t>
            </w:r>
            <w:r w:rsidRPr="00084F66">
              <w:t>art.</w:t>
            </w:r>
            <w:r w:rsidR="00084F66" w:rsidRPr="00084F66">
              <w:t> </w:t>
            </w:r>
            <w:r w:rsidRPr="00084F66">
              <w:t>4</w:t>
            </w:r>
            <w:r w:rsidRPr="00AA1421">
              <w:t>5 CRR</w:t>
            </w:r>
          </w:p>
        </w:tc>
      </w:tr>
      <w:tr w:rsidR="00674BF5" w:rsidRPr="00AA1421" w:rsidTr="00674BF5">
        <w:tc>
          <w:tcPr>
            <w:tcW w:w="1474" w:type="dxa"/>
          </w:tcPr>
          <w:p w:rsidR="00674BF5" w:rsidRPr="00AA1421" w:rsidRDefault="00754ADC" w:rsidP="00487A02">
            <w:pPr>
              <w:pStyle w:val="InstructionsText"/>
            </w:pPr>
            <w:r w:rsidRPr="00AA1421">
              <w:t>0280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12.2.1</w:t>
            </w:r>
            <w:r w:rsidR="00744F50" w:rsidRPr="00AA1421">
              <w:rPr>
                <w:b/>
                <w:u w:val="single"/>
              </w:rPr>
              <w:tab/>
            </w:r>
            <w:r w:rsidRPr="00AA1421">
              <w:rPr>
                <w:rStyle w:val="InstructionsTabelleberschrift"/>
                <w:rFonts w:ascii="Times New Roman" w:hAnsi="Times New Roman"/>
                <w:sz w:val="24"/>
              </w:rPr>
              <w:t xml:space="preserve">Pośrednie udziały kapitałowe brutto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4</w:t>
            </w:r>
            <w:r w:rsidRPr="00AA1421">
              <w:t xml:space="preserve">4 i </w:t>
            </w:r>
            <w:r w:rsidRPr="00084F66">
              <w:t>art.</w:t>
            </w:r>
            <w:r w:rsidR="00084F66" w:rsidRPr="00084F66">
              <w:t> </w:t>
            </w:r>
            <w:r w:rsidRPr="00084F66">
              <w:t>4</w:t>
            </w:r>
            <w:r w:rsidRPr="00AA1421">
              <w:t>5 CRR</w:t>
            </w:r>
          </w:p>
          <w:p w:rsidR="00674BF5" w:rsidRPr="00AA1421" w:rsidRDefault="00674BF5" w:rsidP="00487A02">
            <w:pPr>
              <w:pStyle w:val="InstructionsText"/>
            </w:pPr>
            <w:r w:rsidRPr="00AA1421">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rsidR="00674BF5" w:rsidRPr="00AA1421" w:rsidRDefault="00674BF5" w:rsidP="00487A02">
            <w:pPr>
              <w:pStyle w:val="InstructionsText"/>
            </w:pPr>
            <w:r w:rsidRPr="00AA1421">
              <w:t xml:space="preserve">Udziały kapitałowe, które traktuje się jako krzyżowe powiązania kapitałowe zgodnie z </w:t>
            </w:r>
            <w:r w:rsidRPr="00084F66">
              <w:t>art.</w:t>
            </w:r>
            <w:r w:rsidR="00084F66" w:rsidRPr="00084F66">
              <w:t> </w:t>
            </w:r>
            <w:r w:rsidRPr="00084F66">
              <w:t>3</w:t>
            </w:r>
            <w:r w:rsidRPr="00AA1421">
              <w:t xml:space="preserve">6 </w:t>
            </w:r>
            <w:r w:rsidRPr="00084F66">
              <w:t>ust.</w:t>
            </w:r>
            <w:r w:rsidR="00084F66" w:rsidRPr="00084F66">
              <w:t> </w:t>
            </w:r>
            <w:r w:rsidRPr="00084F66">
              <w:t>1</w:t>
            </w:r>
            <w:r w:rsidRPr="00AA1421">
              <w:t xml:space="preserve"> </w:t>
            </w:r>
            <w:r w:rsidRPr="00084F66">
              <w:t>lit.</w:t>
            </w:r>
            <w:r w:rsidR="00084F66" w:rsidRPr="00084F66">
              <w:t> </w:t>
            </w:r>
            <w:r w:rsidRPr="00084F66">
              <w:t>g)</w:t>
            </w:r>
            <w:r w:rsidRPr="00AA1421">
              <w:t xml:space="preserve"> CRR, nie są uwzględniane.</w:t>
            </w:r>
          </w:p>
        </w:tc>
      </w:tr>
      <w:tr w:rsidR="00674BF5" w:rsidRPr="00AA1421" w:rsidTr="00674BF5">
        <w:trPr>
          <w:trHeight w:val="850"/>
        </w:trPr>
        <w:tc>
          <w:tcPr>
            <w:tcW w:w="1474" w:type="dxa"/>
          </w:tcPr>
          <w:p w:rsidR="00674BF5" w:rsidRPr="00AA1421" w:rsidRDefault="00754ADC" w:rsidP="00487A02">
            <w:pPr>
              <w:pStyle w:val="InstructionsText"/>
            </w:pPr>
            <w:r w:rsidRPr="00AA1421">
              <w:t>0290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12.2.2</w:t>
            </w:r>
            <w:r w:rsidR="00744F50" w:rsidRPr="00AA1421">
              <w:rPr>
                <w:b/>
                <w:u w:val="single"/>
              </w:rPr>
              <w:tab/>
            </w:r>
            <w:r w:rsidRPr="00AA1421">
              <w:rPr>
                <w:rStyle w:val="InstructionsTabelleberschrift"/>
                <w:rFonts w:ascii="Times New Roman" w:hAnsi="Times New Roman"/>
                <w:sz w:val="24"/>
              </w:rPr>
              <w:t>(-) Dozwolone kompensowanie pozycji krótkich w odniesieniu do pośrednich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4</w:t>
            </w:r>
            <w:r w:rsidRPr="00AA1421">
              <w:t>5 CRR</w:t>
            </w:r>
          </w:p>
          <w:p w:rsidR="00674BF5" w:rsidRPr="00AA1421" w:rsidRDefault="00674BF5" w:rsidP="00487A02">
            <w:pPr>
              <w:pStyle w:val="InstructionsText"/>
            </w:pPr>
            <w:r w:rsidRPr="00AA1421">
              <w:t xml:space="preserve">W </w:t>
            </w:r>
            <w:r w:rsidRPr="00084F66">
              <w:t>art.</w:t>
            </w:r>
            <w:r w:rsidR="00084F66" w:rsidRPr="00084F66">
              <w:t> </w:t>
            </w:r>
            <w:r w:rsidRPr="00084F66">
              <w:t>4</w:t>
            </w:r>
            <w:r w:rsidRPr="00AA1421">
              <w:t xml:space="preserve">5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0291</w:t>
            </w:r>
          </w:p>
        </w:tc>
        <w:tc>
          <w:tcPr>
            <w:tcW w:w="7049" w:type="dxa"/>
            <w:vAlign w:val="center"/>
          </w:tcPr>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sz w:val="24"/>
              </w:rPr>
              <w:t>12.3.1</w:t>
            </w:r>
            <w:r w:rsidR="00744F50" w:rsidRPr="00AA1421">
              <w:rPr>
                <w:b/>
                <w:u w:val="single"/>
              </w:rPr>
              <w:tab/>
            </w:r>
            <w:r w:rsidRPr="00AA1421">
              <w:rPr>
                <w:rStyle w:val="InstructionsTabelleberschrift"/>
                <w:rFonts w:ascii="Times New Roman" w:hAnsi="Times New Roman"/>
                <w:sz w:val="24"/>
              </w:rPr>
              <w:t xml:space="preserve">Syntetyczne 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26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4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5 CRR</w:t>
            </w:r>
          </w:p>
        </w:tc>
      </w:tr>
      <w:tr w:rsidR="00674BF5" w:rsidRPr="00AA1421" w:rsidTr="00674BF5">
        <w:tc>
          <w:tcPr>
            <w:tcW w:w="1474" w:type="dxa"/>
          </w:tcPr>
          <w:p w:rsidR="00674BF5" w:rsidRPr="00AA1421" w:rsidRDefault="00754ADC" w:rsidP="00487A02">
            <w:pPr>
              <w:pStyle w:val="InstructionsText"/>
            </w:pPr>
            <w:r w:rsidRPr="00AA1421">
              <w:t>0292</w:t>
            </w:r>
          </w:p>
        </w:tc>
        <w:tc>
          <w:tcPr>
            <w:tcW w:w="7049" w:type="dxa"/>
            <w:vAlign w:val="center"/>
          </w:tcPr>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sz w:val="24"/>
              </w:rPr>
              <w:t>12.3.2</w:t>
            </w:r>
            <w:r w:rsidR="00744F50" w:rsidRPr="00AA1421">
              <w:rPr>
                <w:b/>
                <w:u w:val="single"/>
              </w:rPr>
              <w:tab/>
            </w:r>
            <w:r w:rsidRPr="00AA1421">
              <w:rPr>
                <w:rStyle w:val="InstructionsTabelleberschrift"/>
                <w:rFonts w:ascii="Times New Roman" w:hAnsi="Times New Roman"/>
                <w:sz w:val="24"/>
              </w:rPr>
              <w:t xml:space="preserve">Syntetyczne udziały kapitałowe brutto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26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4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5 CRR</w:t>
            </w:r>
          </w:p>
        </w:tc>
      </w:tr>
      <w:tr w:rsidR="00674BF5" w:rsidRPr="00AA1421" w:rsidTr="00674BF5">
        <w:tc>
          <w:tcPr>
            <w:tcW w:w="1474" w:type="dxa"/>
          </w:tcPr>
          <w:p w:rsidR="00674BF5" w:rsidRPr="00AA1421" w:rsidRDefault="00754ADC" w:rsidP="00487A02">
            <w:pPr>
              <w:pStyle w:val="InstructionsText"/>
            </w:pPr>
            <w:r w:rsidRPr="00AA1421">
              <w:lastRenderedPageBreak/>
              <w:t>0293</w:t>
            </w:r>
          </w:p>
        </w:tc>
        <w:tc>
          <w:tcPr>
            <w:tcW w:w="7049" w:type="dxa"/>
            <w:vAlign w:val="center"/>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12.3.3</w:t>
            </w:r>
            <w:r w:rsidR="00744F50" w:rsidRPr="00AA1421">
              <w:rPr>
                <w:b/>
                <w:u w:val="single"/>
              </w:rPr>
              <w:tab/>
            </w:r>
            <w:r w:rsidRPr="00AA1421">
              <w:rPr>
                <w:rStyle w:val="InstructionsTabelleberschrift"/>
                <w:rFonts w:ascii="Times New Roman" w:hAnsi="Times New Roman"/>
                <w:sz w:val="24"/>
              </w:rPr>
              <w:t>(-) Dozwolone kompensowanie pozycji krótkich w odniesieniu do syntetycznych udziałów kapitałowych brutto ujętych powyżej</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26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5 CRR</w:t>
            </w:r>
          </w:p>
          <w:p w:rsidR="002D31E5" w:rsidRPr="00AA1421" w:rsidRDefault="000D04B6" w:rsidP="00712F56">
            <w:pPr>
              <w:pStyle w:val="InstructionsText"/>
              <w:rPr>
                <w:rStyle w:val="InstructionsTabelleberschrift"/>
                <w:rFonts w:ascii="Times New Roman" w:hAnsi="Times New Roman"/>
                <w:b w:val="0"/>
                <w:sz w:val="24"/>
                <w:u w:val="none"/>
              </w:rPr>
            </w:pPr>
            <w:r w:rsidRPr="00AA1421">
              <w:t xml:space="preserve">W </w:t>
            </w:r>
            <w:r w:rsidRPr="00084F66">
              <w:t>art.</w:t>
            </w:r>
            <w:r w:rsidR="00084F66" w:rsidRPr="00084F66">
              <w:t> </w:t>
            </w:r>
            <w:r w:rsidRPr="00084F66">
              <w:t>4</w:t>
            </w:r>
            <w:r w:rsidRPr="00AA1421">
              <w:t xml:space="preserve">5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0300</w:t>
            </w:r>
          </w:p>
        </w:tc>
        <w:tc>
          <w:tcPr>
            <w:tcW w:w="7049" w:type="dxa"/>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 xml:space="preserve">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 po odliczeniu pozycji krótkich</w:t>
            </w:r>
          </w:p>
          <w:p w:rsidR="00674BF5" w:rsidRPr="00AA1421" w:rsidRDefault="00674BF5" w:rsidP="00487A02">
            <w:pPr>
              <w:pStyle w:val="InstructionsText"/>
            </w:pPr>
            <w:r w:rsidRPr="00AA1421">
              <w:t>Art. 58, 59 i 60 CRR</w:t>
            </w:r>
          </w:p>
        </w:tc>
      </w:tr>
      <w:tr w:rsidR="00674BF5" w:rsidRPr="00AA1421" w:rsidTr="00674BF5">
        <w:tc>
          <w:tcPr>
            <w:tcW w:w="1474" w:type="dxa"/>
          </w:tcPr>
          <w:p w:rsidR="00674BF5" w:rsidRPr="00AA1421" w:rsidRDefault="00754ADC" w:rsidP="00487A02">
            <w:pPr>
              <w:pStyle w:val="InstructionsText"/>
            </w:pPr>
            <w:r w:rsidRPr="00AA1421">
              <w:t>0310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13.1</w:t>
            </w:r>
            <w:r w:rsidR="00744F50" w:rsidRPr="00AA1421">
              <w:rPr>
                <w:b/>
                <w:u w:val="single"/>
              </w:rPr>
              <w:tab/>
            </w:r>
            <w:r w:rsidRPr="00AA1421">
              <w:rPr>
                <w:rStyle w:val="InstructionsTabelleberschrift"/>
                <w:rFonts w:ascii="Times New Roman" w:hAnsi="Times New Roman"/>
                <w:sz w:val="24"/>
              </w:rPr>
              <w:t xml:space="preserve">Bezpośrednie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 xml:space="preserve">Art. 58, </w:t>
            </w:r>
            <w:r w:rsidRPr="00084F66">
              <w:t>art.</w:t>
            </w:r>
            <w:r w:rsidR="00084F66" w:rsidRPr="00084F66">
              <w:t> </w:t>
            </w:r>
            <w:r w:rsidRPr="00084F66">
              <w:t>5</w:t>
            </w:r>
            <w:r w:rsidRPr="00AA1421">
              <w:t xml:space="preserve">9 i </w:t>
            </w:r>
            <w:r w:rsidRPr="00084F66">
              <w:t>art.</w:t>
            </w:r>
            <w:r w:rsidR="00084F66" w:rsidRPr="00084F66">
              <w:t> </w:t>
            </w:r>
            <w:r w:rsidRPr="00084F66">
              <w:t>6</w:t>
            </w:r>
            <w:r w:rsidRPr="00AA1421">
              <w:t xml:space="preserve">0 </w:t>
            </w:r>
            <w:r w:rsidRPr="00084F66">
              <w:t>ust.</w:t>
            </w:r>
            <w:r w:rsidR="00084F66" w:rsidRPr="00084F66">
              <w:t> </w:t>
            </w:r>
            <w:r w:rsidRPr="00084F66">
              <w:t>2</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t>0320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13.1.1</w:t>
            </w:r>
            <w:r w:rsidR="00744F50" w:rsidRPr="00AA1421">
              <w:rPr>
                <w:b/>
                <w:u w:val="single"/>
              </w:rPr>
              <w:tab/>
            </w:r>
            <w:r w:rsidRPr="00AA1421">
              <w:rPr>
                <w:rStyle w:val="InstructionsTabelleberschrift"/>
                <w:rFonts w:ascii="Times New Roman" w:hAnsi="Times New Roman"/>
                <w:sz w:val="24"/>
              </w:rPr>
              <w:t xml:space="preserve">Bezpośrednie udziały kapitałowe brutto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 xml:space="preserve">Art. 58 i </w:t>
            </w:r>
            <w:r w:rsidRPr="00084F66">
              <w:t>art.</w:t>
            </w:r>
            <w:r w:rsidR="00084F66" w:rsidRPr="00084F66">
              <w:t> </w:t>
            </w:r>
            <w:r w:rsidRPr="00084F66">
              <w:t>6</w:t>
            </w:r>
            <w:r w:rsidRPr="00AA1421">
              <w:t xml:space="preserve">0 </w:t>
            </w:r>
            <w:r w:rsidRPr="00084F66">
              <w:t>ust.</w:t>
            </w:r>
            <w:r w:rsidR="00084F66" w:rsidRPr="00084F66">
              <w:t> </w:t>
            </w:r>
            <w:r w:rsidRPr="00084F66">
              <w:t>2</w:t>
            </w:r>
            <w:r w:rsidRPr="00AA1421">
              <w:t xml:space="preserve"> CRR</w:t>
            </w:r>
          </w:p>
          <w:p w:rsidR="00674BF5" w:rsidRPr="00AA1421" w:rsidRDefault="00674BF5" w:rsidP="00487A02">
            <w:pPr>
              <w:pStyle w:val="InstructionsText"/>
            </w:pPr>
            <w:r w:rsidRPr="00AA1421">
              <w:t xml:space="preserve">Bezpośrednie udziały kapitałowe w kapitale dodatkowym </w:t>
            </w:r>
            <w:proofErr w:type="spellStart"/>
            <w:r w:rsidRPr="00AA1421">
              <w:t>Tier</w:t>
            </w:r>
            <w:proofErr w:type="spellEnd"/>
            <w:r w:rsidRPr="00AA1421">
              <w:t xml:space="preserve"> I podmiotów sektora finansowego, jeżeli instytucja nie dokonała znacznej inwestycji w te podmioty, z wyłączeniem:</w:t>
            </w:r>
          </w:p>
          <w:p w:rsidR="00674BF5" w:rsidRPr="00AA1421" w:rsidRDefault="00674BF5" w:rsidP="00487A02">
            <w:pPr>
              <w:pStyle w:val="InstructionsText"/>
            </w:pPr>
            <w:r w:rsidRPr="00AA1421">
              <w:t>a)</w:t>
            </w:r>
            <w:r w:rsidRPr="00AA1421">
              <w:tab/>
              <w:t xml:space="preserve">pozycji z tytułu gwarantowania emisji utrzymywanych nie dłużej niż przez 5 dni roboczych; oraz </w:t>
            </w:r>
          </w:p>
          <w:p w:rsidR="00674BF5" w:rsidRPr="00AA1421" w:rsidRDefault="00674BF5" w:rsidP="00487A02">
            <w:pPr>
              <w:pStyle w:val="InstructionsText"/>
            </w:pPr>
            <w:r w:rsidRPr="00AA1421">
              <w:t>b)</w:t>
            </w:r>
            <w:r w:rsidRPr="00AA1421">
              <w:tab/>
              <w:t xml:space="preserve">udziałów kapitałowych, które traktuje się jako krzyżowe powiązania kapitałowe zgodnie z </w:t>
            </w:r>
            <w:r w:rsidRPr="00084F66">
              <w:t>art.</w:t>
            </w:r>
            <w:r w:rsidR="00084F66" w:rsidRPr="00084F66">
              <w:t> </w:t>
            </w:r>
            <w:r w:rsidRPr="00084F66">
              <w:t>5</w:t>
            </w:r>
            <w:r w:rsidRPr="00AA1421">
              <w:t xml:space="preserve">6 </w:t>
            </w:r>
            <w:r w:rsidRPr="00084F66">
              <w:t>lit.</w:t>
            </w:r>
            <w:r w:rsidR="00084F66" w:rsidRPr="00084F66">
              <w:t> </w:t>
            </w:r>
            <w:r w:rsidRPr="00084F66">
              <w:t>b)</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t>0330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13.1.2</w:t>
            </w:r>
            <w:r w:rsidR="00744F50" w:rsidRPr="00AA1421">
              <w:rPr>
                <w:b/>
                <w:u w:val="single"/>
              </w:rPr>
              <w:tab/>
            </w:r>
            <w:r w:rsidRPr="00AA1421">
              <w:rPr>
                <w:rStyle w:val="InstructionsTabelleberschrift"/>
                <w:rFonts w:ascii="Times New Roman" w:hAnsi="Times New Roman"/>
                <w:sz w:val="24"/>
              </w:rPr>
              <w:t>(-) Dozwolone kompensowanie pozycji krótkich w odniesieniu do bezpośrednich udziałów kapitałowych brutto ujętych powyżej</w:t>
            </w:r>
          </w:p>
          <w:p w:rsidR="00674BF5" w:rsidRPr="00AA1421" w:rsidRDefault="00674BF5" w:rsidP="00487A02">
            <w:pPr>
              <w:pStyle w:val="InstructionsText"/>
            </w:pPr>
            <w:r w:rsidRPr="00AA1421">
              <w:t>Art. 59 CRR</w:t>
            </w:r>
          </w:p>
          <w:p w:rsidR="00674BF5" w:rsidRPr="00AA1421" w:rsidRDefault="00674BF5" w:rsidP="00487A02">
            <w:pPr>
              <w:pStyle w:val="InstructionsText"/>
            </w:pPr>
            <w:r w:rsidRPr="00AA1421">
              <w:t xml:space="preserve">W </w:t>
            </w:r>
            <w:r w:rsidRPr="00084F66">
              <w:t>art.</w:t>
            </w:r>
            <w:r w:rsidR="00084F66" w:rsidRPr="00084F66">
              <w:t> </w:t>
            </w:r>
            <w:r w:rsidRPr="00084F66">
              <w:t>5</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0340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13.2</w:t>
            </w:r>
            <w:r w:rsidR="00744F50" w:rsidRPr="00AA1421">
              <w:rPr>
                <w:b/>
                <w:u w:val="single"/>
              </w:rPr>
              <w:tab/>
            </w:r>
            <w:r w:rsidRPr="00AA1421">
              <w:rPr>
                <w:rStyle w:val="InstructionsTabelleberschrift"/>
                <w:rFonts w:ascii="Times New Roman" w:hAnsi="Times New Roman"/>
                <w:sz w:val="24"/>
              </w:rPr>
              <w:t xml:space="preserve">Pośrednie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tc>
      </w:tr>
      <w:tr w:rsidR="00674BF5" w:rsidRPr="00AA1421" w:rsidTr="00674BF5">
        <w:tc>
          <w:tcPr>
            <w:tcW w:w="1474" w:type="dxa"/>
          </w:tcPr>
          <w:p w:rsidR="00674BF5" w:rsidRPr="00AA1421" w:rsidRDefault="00754ADC" w:rsidP="00487A02">
            <w:pPr>
              <w:pStyle w:val="InstructionsText"/>
            </w:pPr>
            <w:r w:rsidRPr="00AA1421">
              <w:lastRenderedPageBreak/>
              <w:t>0350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13.2.1</w:t>
            </w:r>
            <w:r w:rsidR="00744F50" w:rsidRPr="00AA1421">
              <w:rPr>
                <w:b/>
                <w:u w:val="single"/>
              </w:rPr>
              <w:tab/>
            </w:r>
            <w:r w:rsidRPr="00AA1421">
              <w:rPr>
                <w:rStyle w:val="InstructionsTabelleberschrift"/>
                <w:rFonts w:ascii="Times New Roman" w:hAnsi="Times New Roman"/>
                <w:sz w:val="24"/>
              </w:rPr>
              <w:t xml:space="preserve">Pośrednie udziały kapitałowe brutto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p w:rsidR="00674BF5" w:rsidRPr="00AA1421" w:rsidRDefault="00674BF5" w:rsidP="00487A02">
            <w:pPr>
              <w:pStyle w:val="InstructionsText"/>
            </w:pPr>
            <w:r w:rsidRPr="00AA1421">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rsidR="00674BF5" w:rsidRPr="00AA1421" w:rsidRDefault="00674BF5" w:rsidP="00487A02">
            <w:pPr>
              <w:pStyle w:val="InstructionsText"/>
            </w:pPr>
            <w:r w:rsidRPr="00AA1421">
              <w:t xml:space="preserve">Udziały kapitałowe, które traktuje się jako krzyżowe powiązania kapitałowe zgodnie z </w:t>
            </w:r>
            <w:r w:rsidRPr="00084F66">
              <w:t>art.</w:t>
            </w:r>
            <w:r w:rsidR="00084F66" w:rsidRPr="00084F66">
              <w:t> </w:t>
            </w:r>
            <w:r w:rsidRPr="00084F66">
              <w:t>5</w:t>
            </w:r>
            <w:r w:rsidRPr="00AA1421">
              <w:t xml:space="preserve">6 </w:t>
            </w:r>
            <w:r w:rsidRPr="00084F66">
              <w:t>lit.</w:t>
            </w:r>
            <w:r w:rsidR="00084F66" w:rsidRPr="00084F66">
              <w:t> </w:t>
            </w:r>
            <w:r w:rsidRPr="00084F66">
              <w:t>b)</w:t>
            </w:r>
            <w:r w:rsidRPr="00AA1421">
              <w:t xml:space="preserve"> CRR, nie są uwzględniane.</w:t>
            </w:r>
          </w:p>
        </w:tc>
      </w:tr>
      <w:tr w:rsidR="00674BF5" w:rsidRPr="00AA1421" w:rsidTr="00674BF5">
        <w:tc>
          <w:tcPr>
            <w:tcW w:w="1474" w:type="dxa"/>
          </w:tcPr>
          <w:p w:rsidR="00674BF5" w:rsidRPr="00AA1421" w:rsidRDefault="00754ADC" w:rsidP="00487A02">
            <w:pPr>
              <w:pStyle w:val="InstructionsText"/>
            </w:pPr>
            <w:r w:rsidRPr="00AA1421">
              <w:t>0360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13.2.2</w:t>
            </w:r>
            <w:r w:rsidR="00744F50" w:rsidRPr="00AA1421">
              <w:rPr>
                <w:b/>
                <w:u w:val="single"/>
              </w:rPr>
              <w:tab/>
            </w:r>
            <w:r w:rsidRPr="00AA1421">
              <w:rPr>
                <w:rStyle w:val="InstructionsTabelleberschrift"/>
                <w:rFonts w:ascii="Times New Roman" w:hAnsi="Times New Roman"/>
                <w:sz w:val="24"/>
              </w:rPr>
              <w:t>(-) Dozwolone kompensowanie pozycji krótkich w odniesieniu do pośrednich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5</w:t>
            </w:r>
            <w:r w:rsidRPr="00AA1421">
              <w:t>9 CRR</w:t>
            </w:r>
          </w:p>
          <w:p w:rsidR="00674BF5" w:rsidRPr="00AA1421" w:rsidRDefault="00674BF5" w:rsidP="00487A02">
            <w:pPr>
              <w:pStyle w:val="InstructionsText"/>
            </w:pPr>
            <w:r w:rsidRPr="00AA1421">
              <w:t xml:space="preserve">W </w:t>
            </w:r>
            <w:r w:rsidRPr="00084F66">
              <w:t>art.</w:t>
            </w:r>
            <w:r w:rsidR="00084F66" w:rsidRPr="00084F66">
              <w:t> </w:t>
            </w:r>
            <w:r w:rsidRPr="00084F66">
              <w:t>5</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0361</w:t>
            </w:r>
          </w:p>
        </w:tc>
        <w:tc>
          <w:tcPr>
            <w:tcW w:w="7049" w:type="dxa"/>
            <w:vAlign w:val="center"/>
          </w:tcPr>
          <w:p w:rsidR="00674BF5" w:rsidRPr="00AA1421" w:rsidRDefault="00674BF5" w:rsidP="00487A02">
            <w:pPr>
              <w:pStyle w:val="InstructionsText"/>
            </w:pPr>
            <w:r w:rsidRPr="00AA1421">
              <w:rPr>
                <w:rStyle w:val="InstructionsTabelleberschrift"/>
                <w:rFonts w:ascii="Times New Roman" w:hAnsi="Times New Roman"/>
                <w:sz w:val="24"/>
              </w:rPr>
              <w:t>13.3</w:t>
            </w:r>
            <w:r w:rsidR="00744F50" w:rsidRPr="00AA1421">
              <w:rPr>
                <w:b/>
                <w:u w:val="single"/>
              </w:rPr>
              <w:tab/>
            </w:r>
            <w:r w:rsidRPr="00AA1421">
              <w:rPr>
                <w:rStyle w:val="InstructionsTabelleberschrift"/>
                <w:rFonts w:ascii="Times New Roman" w:hAnsi="Times New Roman"/>
                <w:sz w:val="24"/>
              </w:rPr>
              <w:t xml:space="preserve">Syntetyczne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tc>
      </w:tr>
      <w:tr w:rsidR="00674BF5" w:rsidRPr="00AA1421" w:rsidTr="00674BF5">
        <w:tc>
          <w:tcPr>
            <w:tcW w:w="1474" w:type="dxa"/>
          </w:tcPr>
          <w:p w:rsidR="00674BF5" w:rsidRPr="00AA1421" w:rsidRDefault="00754ADC" w:rsidP="00487A02">
            <w:pPr>
              <w:pStyle w:val="InstructionsText"/>
            </w:pPr>
            <w:r w:rsidRPr="00AA1421">
              <w:t>0362</w:t>
            </w:r>
          </w:p>
        </w:tc>
        <w:tc>
          <w:tcPr>
            <w:tcW w:w="7049" w:type="dxa"/>
            <w:vAlign w:val="center"/>
          </w:tcPr>
          <w:p w:rsidR="00674BF5" w:rsidRPr="00AA1421" w:rsidRDefault="00674BF5" w:rsidP="00487A02">
            <w:pPr>
              <w:pStyle w:val="InstructionsText"/>
            </w:pPr>
            <w:r w:rsidRPr="00AA1421">
              <w:rPr>
                <w:rStyle w:val="InstructionsTabelleberschrift"/>
                <w:rFonts w:ascii="Times New Roman" w:hAnsi="Times New Roman"/>
                <w:sz w:val="24"/>
              </w:rPr>
              <w:t>13.3.1</w:t>
            </w:r>
            <w:r w:rsidR="00744F50" w:rsidRPr="00AA1421">
              <w:rPr>
                <w:b/>
                <w:u w:val="single"/>
              </w:rPr>
              <w:tab/>
            </w:r>
            <w:r w:rsidRPr="00AA1421">
              <w:rPr>
                <w:rStyle w:val="InstructionsTabelleberschrift"/>
                <w:rFonts w:ascii="Times New Roman" w:hAnsi="Times New Roman"/>
                <w:sz w:val="24"/>
              </w:rPr>
              <w:t xml:space="preserve">Syntetyczne udziały kapitałowe brutto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tc>
      </w:tr>
      <w:tr w:rsidR="00674BF5" w:rsidRPr="00AA1421" w:rsidTr="00674BF5">
        <w:tc>
          <w:tcPr>
            <w:tcW w:w="1474" w:type="dxa"/>
          </w:tcPr>
          <w:p w:rsidR="00674BF5" w:rsidRPr="00AA1421" w:rsidRDefault="00754ADC" w:rsidP="00487A02">
            <w:pPr>
              <w:pStyle w:val="InstructionsText"/>
            </w:pPr>
            <w:r w:rsidRPr="00AA1421">
              <w:t>0363</w:t>
            </w:r>
          </w:p>
        </w:tc>
        <w:tc>
          <w:tcPr>
            <w:tcW w:w="7049" w:type="dxa"/>
            <w:vAlign w:val="center"/>
          </w:tcPr>
          <w:p w:rsidR="00674BF5" w:rsidRPr="00AA1421" w:rsidRDefault="00674BF5" w:rsidP="00487A02">
            <w:pPr>
              <w:pStyle w:val="InstructionsText"/>
            </w:pPr>
            <w:r w:rsidRPr="00AA1421">
              <w:rPr>
                <w:rStyle w:val="InstructionsTabelleberschrift"/>
                <w:rFonts w:ascii="Times New Roman" w:hAnsi="Times New Roman"/>
                <w:sz w:val="24"/>
              </w:rPr>
              <w:t>13.3.2</w:t>
            </w:r>
            <w:r w:rsidR="00744F50" w:rsidRPr="00AA1421">
              <w:rPr>
                <w:b/>
                <w:u w:val="single"/>
              </w:rPr>
              <w:tab/>
            </w:r>
            <w:r w:rsidRPr="00AA1421">
              <w:rPr>
                <w:rStyle w:val="InstructionsTabelleberschrift"/>
                <w:rFonts w:ascii="Times New Roman" w:hAnsi="Times New Roman"/>
                <w:sz w:val="24"/>
              </w:rPr>
              <w:t>(-) Dozwolone kompensowanie pozycji krótkich w odniesieniu do syntetycznych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5</w:t>
            </w:r>
            <w:r w:rsidRPr="00AA1421">
              <w:t>9 CRR</w:t>
            </w:r>
          </w:p>
          <w:p w:rsidR="002D31E5" w:rsidRPr="00AA1421" w:rsidRDefault="000D04B6" w:rsidP="000D04B6">
            <w:pPr>
              <w:pStyle w:val="InstructionsText"/>
              <w:rPr>
                <w:rStyle w:val="InstructionsTabelleberschrift"/>
                <w:rFonts w:ascii="Times New Roman" w:hAnsi="Times New Roman"/>
                <w:b w:val="0"/>
                <w:bCs w:val="0"/>
                <w:sz w:val="24"/>
                <w:u w:val="none"/>
              </w:rPr>
            </w:pPr>
            <w:r w:rsidRPr="00AA1421">
              <w:t xml:space="preserve">W </w:t>
            </w:r>
            <w:r w:rsidRPr="00084F66">
              <w:t>art.</w:t>
            </w:r>
            <w:r w:rsidR="00084F66" w:rsidRPr="00084F66">
              <w:t> </w:t>
            </w:r>
            <w:r w:rsidRPr="00084F66">
              <w:t>5</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0370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w:t>
            </w:r>
            <w:r w:rsidR="00744F50" w:rsidRPr="00AA1421">
              <w:rPr>
                <w:b/>
                <w:u w:val="single"/>
              </w:rPr>
              <w:tab/>
            </w:r>
            <w:r w:rsidRPr="00AA1421">
              <w:rPr>
                <w:rStyle w:val="InstructionsTabelleberschrift"/>
                <w:rFonts w:ascii="Times New Roman" w:hAnsi="Times New Roman"/>
                <w:sz w:val="24"/>
              </w:rPr>
              <w:t xml:space="preserve">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 po odliczeniu pozycji krótkich</w:t>
            </w:r>
          </w:p>
          <w:p w:rsidR="00674BF5" w:rsidRPr="00AA1421" w:rsidRDefault="00674BF5" w:rsidP="00487A02">
            <w:pPr>
              <w:pStyle w:val="InstructionsText"/>
            </w:pPr>
            <w:r w:rsidRPr="00AA1421">
              <w:t>Art. 68, 69 i 70 CRR</w:t>
            </w:r>
          </w:p>
        </w:tc>
      </w:tr>
      <w:tr w:rsidR="00674BF5" w:rsidRPr="00AA1421" w:rsidTr="00674BF5">
        <w:tc>
          <w:tcPr>
            <w:tcW w:w="1474" w:type="dxa"/>
          </w:tcPr>
          <w:p w:rsidR="00674BF5" w:rsidRPr="00AA1421" w:rsidRDefault="00754ADC" w:rsidP="00487A02">
            <w:pPr>
              <w:pStyle w:val="InstructionsText"/>
            </w:pPr>
            <w:r w:rsidRPr="00AA1421">
              <w:lastRenderedPageBreak/>
              <w:t>0380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14.1</w:t>
            </w:r>
            <w:r w:rsidR="00744F50" w:rsidRPr="00AA1421">
              <w:rPr>
                <w:b/>
                <w:u w:val="single"/>
              </w:rPr>
              <w:tab/>
            </w:r>
            <w:r w:rsidRPr="00AA1421">
              <w:rPr>
                <w:rStyle w:val="InstructionsTabelleberschrift"/>
                <w:rFonts w:ascii="Times New Roman" w:hAnsi="Times New Roman"/>
                <w:sz w:val="24"/>
              </w:rPr>
              <w:t xml:space="preserve">Bezpośrednie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674BF5" w:rsidRPr="00AA1421" w:rsidRDefault="00674BF5" w:rsidP="00487A02">
            <w:pPr>
              <w:pStyle w:val="InstructionsText"/>
            </w:pPr>
            <w:r w:rsidRPr="00AA1421">
              <w:t xml:space="preserve">Art. 68 i </w:t>
            </w:r>
            <w:r w:rsidRPr="00084F66">
              <w:t>art.</w:t>
            </w:r>
            <w:r w:rsidR="00084F66" w:rsidRPr="00084F66">
              <w:t> </w:t>
            </w:r>
            <w:r w:rsidRPr="00084F66">
              <w:t>6</w:t>
            </w:r>
            <w:r w:rsidRPr="00AA1421">
              <w:t xml:space="preserve">9 oraz </w:t>
            </w:r>
            <w:r w:rsidRPr="00084F66">
              <w:t>art.</w:t>
            </w:r>
            <w:r w:rsidR="00084F66" w:rsidRPr="00084F66">
              <w:t> </w:t>
            </w:r>
            <w:r w:rsidRPr="00084F66">
              <w:t>7</w:t>
            </w:r>
            <w:r w:rsidRPr="00AA1421">
              <w:t xml:space="preserve">0 </w:t>
            </w:r>
            <w:r w:rsidRPr="00084F66">
              <w:t>ust.</w:t>
            </w:r>
            <w:r w:rsidR="00084F66" w:rsidRPr="00084F66">
              <w:t> </w:t>
            </w:r>
            <w:r w:rsidRPr="00084F66">
              <w:t>2</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t>0390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14.1.1</w:t>
            </w:r>
            <w:r w:rsidR="00744F50" w:rsidRPr="00AA1421">
              <w:rPr>
                <w:b/>
                <w:u w:val="single"/>
              </w:rPr>
              <w:tab/>
            </w:r>
            <w:r w:rsidRPr="00AA1421">
              <w:rPr>
                <w:rStyle w:val="InstructionsTabelleberschrift"/>
                <w:rFonts w:ascii="Times New Roman" w:hAnsi="Times New Roman"/>
                <w:sz w:val="24"/>
              </w:rPr>
              <w:t xml:space="preserve">Bezpośrednie udziały kapitałowe brutto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674BF5" w:rsidRPr="00AA1421" w:rsidRDefault="00674BF5" w:rsidP="00487A02">
            <w:pPr>
              <w:pStyle w:val="InstructionsText"/>
            </w:pPr>
            <w:r w:rsidRPr="00AA1421">
              <w:t xml:space="preserve">Art. 68 i </w:t>
            </w:r>
            <w:r w:rsidRPr="00084F66">
              <w:t>art.</w:t>
            </w:r>
            <w:r w:rsidR="00084F66" w:rsidRPr="00084F66">
              <w:t> </w:t>
            </w:r>
            <w:r w:rsidRPr="00084F66">
              <w:t>7</w:t>
            </w:r>
            <w:r w:rsidRPr="00AA1421">
              <w:t xml:space="preserve">0 </w:t>
            </w:r>
            <w:r w:rsidRPr="00084F66">
              <w:t>ust.</w:t>
            </w:r>
            <w:r w:rsidR="00084F66" w:rsidRPr="00084F66">
              <w:t> </w:t>
            </w:r>
            <w:r w:rsidRPr="00084F66">
              <w:t>2</w:t>
            </w:r>
            <w:r w:rsidRPr="00AA1421">
              <w:t xml:space="preserve"> CRR</w:t>
            </w:r>
          </w:p>
          <w:p w:rsidR="00674BF5" w:rsidRPr="00AA1421" w:rsidRDefault="00674BF5" w:rsidP="00487A02">
            <w:pPr>
              <w:pStyle w:val="InstructionsText"/>
            </w:pPr>
            <w:r w:rsidRPr="00AA1421">
              <w:t xml:space="preserve">Bezpośrednie udziały kapitałowe w kapitale </w:t>
            </w:r>
            <w:proofErr w:type="spellStart"/>
            <w:r w:rsidRPr="00AA1421">
              <w:t>Tier</w:t>
            </w:r>
            <w:proofErr w:type="spellEnd"/>
            <w:r w:rsidRPr="00AA1421">
              <w:t xml:space="preserve"> II podmiotów sektora finansowego, jeżeli instytucja nie dokonała znacznej inwestycji w te podmioty, z wyłączeniem:</w:t>
            </w:r>
          </w:p>
          <w:p w:rsidR="00674BF5" w:rsidRPr="00AA1421" w:rsidRDefault="00674BF5" w:rsidP="00487A02">
            <w:pPr>
              <w:pStyle w:val="InstructionsText"/>
            </w:pPr>
            <w:r w:rsidRPr="00AA1421">
              <w:t>a)</w:t>
            </w:r>
            <w:r w:rsidRPr="00AA1421">
              <w:tab/>
              <w:t xml:space="preserve">pozycji z tytułu gwarantowania emisji utrzymywanych nie dłużej niż przez 5 dni roboczych; oraz </w:t>
            </w:r>
          </w:p>
          <w:p w:rsidR="00674BF5" w:rsidRPr="00AA1421" w:rsidRDefault="00674BF5" w:rsidP="00487A02">
            <w:pPr>
              <w:pStyle w:val="InstructionsText"/>
            </w:pPr>
            <w:r w:rsidRPr="00AA1421">
              <w:t>b)</w:t>
            </w:r>
            <w:r w:rsidRPr="00AA1421">
              <w:tab/>
              <w:t xml:space="preserve">udziałów kapitałowych, które traktuje się jako krzyżowe powiązania kapitałowe zgodnie z </w:t>
            </w:r>
            <w:r w:rsidRPr="00084F66">
              <w:t>art.</w:t>
            </w:r>
            <w:r w:rsidR="00084F66" w:rsidRPr="00084F66">
              <w:t> </w:t>
            </w:r>
            <w:r w:rsidRPr="00084F66">
              <w:t>6</w:t>
            </w:r>
            <w:r w:rsidRPr="00AA1421">
              <w:t xml:space="preserve">6 </w:t>
            </w:r>
            <w:r w:rsidRPr="00084F66">
              <w:t>lit.</w:t>
            </w:r>
            <w:r w:rsidR="00084F66" w:rsidRPr="00084F66">
              <w:t> </w:t>
            </w:r>
            <w:r w:rsidRPr="00084F66">
              <w:t>b)</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t>0400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14.1.2</w:t>
            </w:r>
            <w:r w:rsidR="00744F50" w:rsidRPr="00AA1421">
              <w:rPr>
                <w:b/>
                <w:u w:val="single"/>
              </w:rPr>
              <w:tab/>
            </w:r>
            <w:r w:rsidRPr="00AA1421">
              <w:rPr>
                <w:rStyle w:val="InstructionsTabelleberschrift"/>
                <w:rFonts w:ascii="Times New Roman" w:hAnsi="Times New Roman"/>
                <w:sz w:val="24"/>
              </w:rPr>
              <w:t>(-) Dozwolone kompensowanie pozycji krótkich w odniesieniu do bezpośrednich udziałów kapitałowych brutto ujętych powyżej</w:t>
            </w:r>
          </w:p>
          <w:p w:rsidR="00674BF5" w:rsidRPr="00AA1421" w:rsidRDefault="00674BF5" w:rsidP="00487A02">
            <w:pPr>
              <w:pStyle w:val="InstructionsText"/>
            </w:pPr>
            <w:r w:rsidRPr="00AA1421">
              <w:t>Art. 69 CRR</w:t>
            </w:r>
          </w:p>
          <w:p w:rsidR="00674BF5" w:rsidRPr="00AA1421" w:rsidRDefault="00674BF5" w:rsidP="00487A02">
            <w:pPr>
              <w:pStyle w:val="InstructionsText"/>
            </w:pPr>
            <w:r w:rsidRPr="00AA1421">
              <w:t xml:space="preserve">W </w:t>
            </w:r>
            <w:r w:rsidRPr="00084F66">
              <w:t>art.</w:t>
            </w:r>
            <w:r w:rsidR="00084F66" w:rsidRPr="00084F66">
              <w:t> </w:t>
            </w:r>
            <w:r w:rsidRPr="00084F66">
              <w:t>6</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0410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14.2</w:t>
            </w:r>
            <w:r w:rsidR="00744F50" w:rsidRPr="00AA1421">
              <w:rPr>
                <w:b/>
                <w:u w:val="single"/>
              </w:rPr>
              <w:tab/>
            </w:r>
            <w:r w:rsidRPr="00AA1421">
              <w:rPr>
                <w:rStyle w:val="InstructionsTabelleberschrift"/>
                <w:rFonts w:ascii="Times New Roman" w:hAnsi="Times New Roman"/>
                <w:sz w:val="24"/>
              </w:rPr>
              <w:t xml:space="preserve">Pośrednie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tc>
      </w:tr>
      <w:tr w:rsidR="00674BF5" w:rsidRPr="00AA1421" w:rsidTr="00674BF5">
        <w:tc>
          <w:tcPr>
            <w:tcW w:w="1474" w:type="dxa"/>
          </w:tcPr>
          <w:p w:rsidR="00674BF5" w:rsidRPr="00AA1421" w:rsidRDefault="00754ADC" w:rsidP="00487A02">
            <w:pPr>
              <w:pStyle w:val="InstructionsText"/>
            </w:pPr>
            <w:r w:rsidRPr="00AA1421">
              <w:t>0420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14.2.1</w:t>
            </w:r>
            <w:r w:rsidR="00744F50" w:rsidRPr="00AA1421">
              <w:rPr>
                <w:b/>
                <w:u w:val="single"/>
              </w:rPr>
              <w:tab/>
            </w:r>
            <w:r w:rsidRPr="00AA1421">
              <w:rPr>
                <w:rStyle w:val="InstructionsTabelleberschrift"/>
                <w:rFonts w:ascii="Times New Roman" w:hAnsi="Times New Roman"/>
                <w:sz w:val="24"/>
              </w:rPr>
              <w:t xml:space="preserve">Pośrednie udziały kapitałowe brutto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p w:rsidR="00674BF5" w:rsidRPr="00AA1421" w:rsidRDefault="00674BF5" w:rsidP="00487A02">
            <w:pPr>
              <w:pStyle w:val="InstructionsText"/>
            </w:pPr>
            <w:r w:rsidRPr="00AA1421">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rsidR="00674BF5" w:rsidRPr="00AA1421" w:rsidRDefault="00674BF5" w:rsidP="00487A02">
            <w:pPr>
              <w:pStyle w:val="InstructionsText"/>
            </w:pPr>
            <w:r w:rsidRPr="00AA1421">
              <w:t xml:space="preserve">Udziały kapitałowe, które traktuje się jako krzyżowe powiązania kapitałowe zgodnie z </w:t>
            </w:r>
            <w:r w:rsidRPr="00084F66">
              <w:t>art.</w:t>
            </w:r>
            <w:r w:rsidR="00084F66" w:rsidRPr="00084F66">
              <w:t> </w:t>
            </w:r>
            <w:r w:rsidRPr="00084F66">
              <w:t>6</w:t>
            </w:r>
            <w:r w:rsidRPr="00AA1421">
              <w:t xml:space="preserve">6 </w:t>
            </w:r>
            <w:r w:rsidRPr="00084F66">
              <w:t>lit.</w:t>
            </w:r>
            <w:r w:rsidR="00084F66" w:rsidRPr="00084F66">
              <w:t> </w:t>
            </w:r>
            <w:r w:rsidRPr="00084F66">
              <w:t>b)</w:t>
            </w:r>
            <w:r w:rsidRPr="00AA1421">
              <w:t xml:space="preserve"> CRR, nie są uwzględniane.</w:t>
            </w:r>
          </w:p>
        </w:tc>
      </w:tr>
      <w:tr w:rsidR="00674BF5" w:rsidRPr="00AA1421" w:rsidTr="00674BF5">
        <w:tc>
          <w:tcPr>
            <w:tcW w:w="1474" w:type="dxa"/>
          </w:tcPr>
          <w:p w:rsidR="00674BF5" w:rsidRPr="00AA1421" w:rsidRDefault="00754ADC" w:rsidP="00487A02">
            <w:pPr>
              <w:pStyle w:val="InstructionsText"/>
            </w:pPr>
            <w:r w:rsidRPr="00AA1421">
              <w:t>0430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14.2.2</w:t>
            </w:r>
            <w:r w:rsidR="00744F50" w:rsidRPr="00AA1421">
              <w:rPr>
                <w:b/>
                <w:u w:val="single"/>
              </w:rPr>
              <w:tab/>
            </w:r>
            <w:r w:rsidRPr="00AA1421">
              <w:rPr>
                <w:rStyle w:val="InstructionsTabelleberschrift"/>
                <w:rFonts w:ascii="Times New Roman" w:hAnsi="Times New Roman"/>
                <w:sz w:val="24"/>
              </w:rPr>
              <w:t>(-) Dozwolone kompensowanie pozycji krótkich w odniesieniu do pośrednich udziałów kapitałowych brutto ujętych powyżej</w:t>
            </w:r>
          </w:p>
          <w:p w:rsidR="00674BF5" w:rsidRPr="00AA1421" w:rsidRDefault="00674BF5" w:rsidP="00487A02">
            <w:pPr>
              <w:pStyle w:val="InstructionsText"/>
            </w:pPr>
            <w:r w:rsidRPr="00AA1421">
              <w:lastRenderedPageBreak/>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6</w:t>
            </w:r>
            <w:r w:rsidRPr="00AA1421">
              <w:t>9 CRR</w:t>
            </w:r>
          </w:p>
          <w:p w:rsidR="00674BF5" w:rsidRPr="00AA1421" w:rsidRDefault="00674BF5" w:rsidP="00487A02">
            <w:pPr>
              <w:pStyle w:val="InstructionsText"/>
            </w:pPr>
            <w:r w:rsidRPr="00AA1421">
              <w:t xml:space="preserve">W </w:t>
            </w:r>
            <w:r w:rsidRPr="00084F66">
              <w:t>art.</w:t>
            </w:r>
            <w:r w:rsidR="00084F66" w:rsidRPr="00084F66">
              <w:t> </w:t>
            </w:r>
            <w:r w:rsidRPr="00084F66">
              <w:t>6</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lastRenderedPageBreak/>
              <w:t>0431</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14.3</w:t>
            </w:r>
            <w:r w:rsidR="00744F50" w:rsidRPr="00AA1421">
              <w:rPr>
                <w:b/>
                <w:u w:val="single"/>
              </w:rPr>
              <w:tab/>
            </w:r>
            <w:r w:rsidRPr="00AA1421">
              <w:rPr>
                <w:rStyle w:val="InstructionsTabelleberschrift"/>
                <w:rFonts w:ascii="Times New Roman" w:hAnsi="Times New Roman"/>
                <w:sz w:val="24"/>
              </w:rPr>
              <w:t xml:space="preserve">Syntetyczne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674BF5" w:rsidRPr="00AA1421" w:rsidRDefault="00674BF5" w:rsidP="00487A02">
            <w:pPr>
              <w:pStyle w:val="InstructionsText"/>
              <w:rPr>
                <w:rStyle w:val="InstructionsTabelleberschrift"/>
                <w:rFonts w:ascii="Times New Roman" w:hAnsi="Times New Roman"/>
                <w:sz w:val="24"/>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tc>
      </w:tr>
      <w:tr w:rsidR="00674BF5" w:rsidRPr="00AA1421" w:rsidTr="00674BF5">
        <w:tc>
          <w:tcPr>
            <w:tcW w:w="1474" w:type="dxa"/>
          </w:tcPr>
          <w:p w:rsidR="00674BF5" w:rsidRPr="00AA1421" w:rsidRDefault="00754ADC" w:rsidP="00487A02">
            <w:pPr>
              <w:pStyle w:val="InstructionsText"/>
            </w:pPr>
            <w:r w:rsidRPr="00AA1421">
              <w:t>0432</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14.3.1</w:t>
            </w:r>
            <w:r w:rsidR="00744F50" w:rsidRPr="00AA1421">
              <w:rPr>
                <w:b/>
                <w:u w:val="single"/>
              </w:rPr>
              <w:tab/>
            </w:r>
            <w:r w:rsidRPr="00AA1421">
              <w:rPr>
                <w:rStyle w:val="InstructionsTabelleberschrift"/>
                <w:rFonts w:ascii="Times New Roman" w:hAnsi="Times New Roman"/>
                <w:sz w:val="24"/>
              </w:rPr>
              <w:t xml:space="preserve">Syntetyczne udziały kapitałowe brutto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tc>
      </w:tr>
      <w:tr w:rsidR="00674BF5" w:rsidRPr="00AA1421" w:rsidTr="00674BF5">
        <w:tc>
          <w:tcPr>
            <w:tcW w:w="1474" w:type="dxa"/>
          </w:tcPr>
          <w:p w:rsidR="00674BF5" w:rsidRPr="00AA1421" w:rsidRDefault="00754ADC" w:rsidP="00487A02">
            <w:pPr>
              <w:pStyle w:val="InstructionsText"/>
            </w:pPr>
            <w:r w:rsidRPr="00AA1421">
              <w:t>0433</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14.3.2</w:t>
            </w:r>
            <w:r w:rsidR="00744F50" w:rsidRPr="00AA1421">
              <w:rPr>
                <w:b/>
                <w:u w:val="single"/>
              </w:rPr>
              <w:tab/>
            </w:r>
            <w:r w:rsidRPr="00AA1421">
              <w:rPr>
                <w:rStyle w:val="InstructionsTabelleberschrift"/>
                <w:rFonts w:ascii="Times New Roman" w:hAnsi="Times New Roman"/>
                <w:sz w:val="24"/>
              </w:rPr>
              <w:t>(-) Dozwolone kompensowanie pozycji krótkich w odniesieniu do syntetycznych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6</w:t>
            </w:r>
            <w:r w:rsidRPr="00AA1421">
              <w:t>9 CRR</w:t>
            </w:r>
          </w:p>
          <w:p w:rsidR="002D31E5" w:rsidRPr="00AA1421" w:rsidRDefault="000D04B6" w:rsidP="000D04B6">
            <w:pPr>
              <w:pStyle w:val="InstructionsText"/>
              <w:rPr>
                <w:rStyle w:val="InstructionsTabelleberschrift"/>
                <w:rFonts w:ascii="Times New Roman" w:hAnsi="Times New Roman"/>
                <w:b w:val="0"/>
                <w:bCs w:val="0"/>
                <w:sz w:val="24"/>
                <w:u w:val="none"/>
              </w:rPr>
            </w:pPr>
            <w:r w:rsidRPr="00AA1421">
              <w:t xml:space="preserve">W </w:t>
            </w:r>
            <w:r w:rsidRPr="00084F66">
              <w:t>art.</w:t>
            </w:r>
            <w:r w:rsidR="00084F66" w:rsidRPr="00084F66">
              <w:t> </w:t>
            </w:r>
            <w:r w:rsidRPr="00084F66">
              <w:t>6</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0440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w:t>
            </w:r>
            <w:r w:rsidR="00744F50" w:rsidRPr="00AA1421">
              <w:rPr>
                <w:b/>
                <w:u w:val="single"/>
              </w:rPr>
              <w:tab/>
            </w:r>
            <w:r w:rsidRPr="00AA1421">
              <w:rPr>
                <w:rStyle w:val="InstructionsTabelleberschrift"/>
                <w:rFonts w:ascii="Times New Roman" w:hAnsi="Times New Roman"/>
                <w:sz w:val="24"/>
              </w:rPr>
              <w:t xml:space="preserve">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 po odliczeniu pozycji krótkich</w:t>
            </w:r>
          </w:p>
          <w:p w:rsidR="00674BF5" w:rsidRPr="00AA1421" w:rsidRDefault="00674BF5" w:rsidP="00487A02">
            <w:pPr>
              <w:pStyle w:val="InstructionsText"/>
            </w:pPr>
            <w:r w:rsidRPr="00AA1421">
              <w:t>Art. 44, 45, 47 i 49 CRR</w:t>
            </w:r>
          </w:p>
        </w:tc>
      </w:tr>
      <w:tr w:rsidR="00674BF5" w:rsidRPr="00AA1421" w:rsidTr="00674BF5">
        <w:tc>
          <w:tcPr>
            <w:tcW w:w="1474" w:type="dxa"/>
          </w:tcPr>
          <w:p w:rsidR="00674BF5" w:rsidRPr="00AA1421" w:rsidRDefault="00754ADC" w:rsidP="00487A02">
            <w:pPr>
              <w:pStyle w:val="InstructionsText"/>
            </w:pPr>
            <w:r w:rsidRPr="00AA1421">
              <w:t>0450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15.1</w:t>
            </w:r>
            <w:r w:rsidR="00744F50" w:rsidRPr="00AA1421">
              <w:rPr>
                <w:b/>
                <w:u w:val="single"/>
              </w:rPr>
              <w:tab/>
            </w:r>
            <w:r w:rsidRPr="00AA1421">
              <w:rPr>
                <w:rStyle w:val="InstructionsTabelleberschrift"/>
                <w:rFonts w:ascii="Times New Roman" w:hAnsi="Times New Roman"/>
                <w:sz w:val="24"/>
              </w:rPr>
              <w:t xml:space="preserve">Bezpośrednie 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Art. 44, 45, 47 i 49 CRR</w:t>
            </w:r>
          </w:p>
        </w:tc>
      </w:tr>
      <w:tr w:rsidR="00674BF5" w:rsidRPr="00AA1421" w:rsidTr="00674BF5">
        <w:tc>
          <w:tcPr>
            <w:tcW w:w="1474" w:type="dxa"/>
          </w:tcPr>
          <w:p w:rsidR="00674BF5" w:rsidRPr="00AA1421" w:rsidRDefault="00754ADC" w:rsidP="00487A02">
            <w:pPr>
              <w:pStyle w:val="InstructionsText"/>
            </w:pPr>
            <w:r w:rsidRPr="00AA1421">
              <w:t>0460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15.1.1</w:t>
            </w:r>
            <w:r w:rsidR="00744F50" w:rsidRPr="00AA1421">
              <w:rPr>
                <w:b/>
                <w:u w:val="single"/>
              </w:rPr>
              <w:tab/>
            </w:r>
            <w:r w:rsidRPr="00AA1421">
              <w:rPr>
                <w:rStyle w:val="InstructionsTabelleberschrift"/>
                <w:rFonts w:ascii="Times New Roman" w:hAnsi="Times New Roman"/>
                <w:sz w:val="24"/>
              </w:rPr>
              <w:t xml:space="preserve">Bezpośrednie udziały kapitałowe brutto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Art. 44, 45, 47 i 49 CRR</w:t>
            </w:r>
          </w:p>
          <w:p w:rsidR="00674BF5" w:rsidRPr="00AA1421" w:rsidRDefault="00674BF5" w:rsidP="00487A02">
            <w:pPr>
              <w:pStyle w:val="InstructionsText"/>
            </w:pPr>
            <w:r w:rsidRPr="00AA1421">
              <w:t xml:space="preserve">Bezpośrednie udziały kapitałowe w kapitale podstawowym </w:t>
            </w:r>
            <w:proofErr w:type="spellStart"/>
            <w:r w:rsidRPr="00AA1421">
              <w:t>Tier</w:t>
            </w:r>
            <w:proofErr w:type="spellEnd"/>
            <w:r w:rsidRPr="00AA1421">
              <w:t xml:space="preserve"> I podmiotów sektora finansowego, jeżeli instytucja dokonała znacznej inwestycji, z wyłączeniem:</w:t>
            </w:r>
          </w:p>
          <w:p w:rsidR="00674BF5" w:rsidRPr="00AA1421" w:rsidRDefault="00674BF5" w:rsidP="00487A02">
            <w:pPr>
              <w:pStyle w:val="InstructionsText"/>
            </w:pPr>
            <w:r w:rsidRPr="00AA1421">
              <w:t>a)</w:t>
            </w:r>
            <w:r w:rsidRPr="00AA1421">
              <w:tab/>
              <w:t xml:space="preserve">pozycji z tytułu gwarantowania emisji utrzymywanych nie dłużej niż przez 5 dni roboczych; </w:t>
            </w:r>
          </w:p>
          <w:p w:rsidR="00674BF5" w:rsidRPr="00AA1421" w:rsidRDefault="00674BF5" w:rsidP="00487A02">
            <w:pPr>
              <w:pStyle w:val="InstructionsText"/>
            </w:pPr>
            <w:r w:rsidRPr="00AA1421">
              <w:lastRenderedPageBreak/>
              <w:t>b)</w:t>
            </w:r>
            <w:r w:rsidRPr="00AA1421">
              <w:tab/>
              <w:t xml:space="preserve">kwot związanych z inwestycjami, w odniesieniu do których zastosowano którekolwiek z rozwiązań alternatywnych określonych w </w:t>
            </w:r>
            <w:r w:rsidRPr="00084F66">
              <w:t>art.</w:t>
            </w:r>
            <w:r w:rsidR="00084F66" w:rsidRPr="00084F66">
              <w:t> </w:t>
            </w:r>
            <w:r w:rsidRPr="00084F66">
              <w:t>4</w:t>
            </w:r>
            <w:r w:rsidRPr="00AA1421">
              <w:t xml:space="preserve">9; oraz </w:t>
            </w:r>
          </w:p>
          <w:p w:rsidR="00674BF5" w:rsidRPr="00AA1421" w:rsidRDefault="00674BF5" w:rsidP="00487A02">
            <w:pPr>
              <w:pStyle w:val="InstructionsText"/>
            </w:pPr>
            <w:r w:rsidRPr="00AA1421">
              <w:t>c)</w:t>
            </w:r>
            <w:r w:rsidRPr="00AA1421">
              <w:tab/>
              <w:t xml:space="preserve">udziałów kapitałowych, które traktuje się jako krzyżowe powiązania kapitałowe zgodnie z </w:t>
            </w:r>
            <w:r w:rsidRPr="00084F66">
              <w:t>art.</w:t>
            </w:r>
            <w:r w:rsidR="00084F66" w:rsidRPr="00084F66">
              <w:t> </w:t>
            </w:r>
            <w:r w:rsidRPr="00084F66">
              <w:t>3</w:t>
            </w:r>
            <w:r w:rsidRPr="00AA1421">
              <w:t xml:space="preserve">6 </w:t>
            </w:r>
            <w:r w:rsidRPr="00084F66">
              <w:t>ust.</w:t>
            </w:r>
            <w:r w:rsidR="00084F66" w:rsidRPr="00084F66">
              <w:t> </w:t>
            </w:r>
            <w:r w:rsidRPr="00084F66">
              <w:t>1</w:t>
            </w:r>
            <w:r w:rsidRPr="00AA1421">
              <w:t xml:space="preserve"> </w:t>
            </w:r>
            <w:r w:rsidRPr="00084F66">
              <w:t>lit.</w:t>
            </w:r>
            <w:r w:rsidR="00084F66" w:rsidRPr="00084F66">
              <w:t> </w:t>
            </w:r>
            <w:r w:rsidRPr="00084F66">
              <w:t>g)</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lastRenderedPageBreak/>
              <w:t>0470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15.1.2</w:t>
            </w:r>
            <w:r w:rsidR="00744F50" w:rsidRPr="00AA1421">
              <w:rPr>
                <w:b/>
                <w:u w:val="single"/>
              </w:rPr>
              <w:tab/>
            </w:r>
            <w:r w:rsidRPr="00AA1421">
              <w:rPr>
                <w:rStyle w:val="InstructionsTabelleberschrift"/>
                <w:rFonts w:ascii="Times New Roman" w:hAnsi="Times New Roman"/>
                <w:sz w:val="24"/>
              </w:rPr>
              <w:t>(-) Dozwolone kompensowanie pozycji krótkich w odniesieniu do bezpośrednich udziałów kapitałowych brutto ujętych powyżej</w:t>
            </w:r>
          </w:p>
          <w:p w:rsidR="00674BF5" w:rsidRPr="00AA1421" w:rsidRDefault="00674BF5" w:rsidP="00487A02">
            <w:pPr>
              <w:pStyle w:val="InstructionsText"/>
            </w:pPr>
            <w:r w:rsidRPr="00AA1421">
              <w:t>Art. 45 CRR</w:t>
            </w:r>
          </w:p>
          <w:p w:rsidR="00674BF5" w:rsidRPr="00AA1421" w:rsidRDefault="00674BF5" w:rsidP="00487A02">
            <w:pPr>
              <w:pStyle w:val="InstructionsText"/>
            </w:pPr>
            <w:r w:rsidRPr="00AA1421">
              <w:t xml:space="preserve">W </w:t>
            </w:r>
            <w:r w:rsidRPr="00084F66">
              <w:t>art.</w:t>
            </w:r>
            <w:r w:rsidR="00084F66" w:rsidRPr="00084F66">
              <w:t> </w:t>
            </w:r>
            <w:r w:rsidRPr="00084F66">
              <w:t>4</w:t>
            </w:r>
            <w:r w:rsidRPr="00AA1421">
              <w:t xml:space="preserve">5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0480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15.2</w:t>
            </w:r>
            <w:r w:rsidR="00744F50" w:rsidRPr="00AA1421">
              <w:rPr>
                <w:b/>
                <w:u w:val="single"/>
              </w:rPr>
              <w:tab/>
            </w:r>
            <w:r w:rsidRPr="00AA1421">
              <w:rPr>
                <w:rStyle w:val="InstructionsTabelleberschrift"/>
                <w:rFonts w:ascii="Times New Roman" w:hAnsi="Times New Roman"/>
                <w:sz w:val="24"/>
              </w:rPr>
              <w:t xml:space="preserve">Pośrednie 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4</w:t>
            </w:r>
            <w:r w:rsidRPr="00AA1421">
              <w:t xml:space="preserve">4 i </w:t>
            </w:r>
            <w:r w:rsidRPr="00084F66">
              <w:t>art.</w:t>
            </w:r>
            <w:r w:rsidR="00084F66" w:rsidRPr="00084F66">
              <w:t> </w:t>
            </w:r>
            <w:r w:rsidRPr="00084F66">
              <w:t>4</w:t>
            </w:r>
            <w:r w:rsidRPr="00AA1421">
              <w:t>5 CRR</w:t>
            </w:r>
          </w:p>
        </w:tc>
      </w:tr>
      <w:tr w:rsidR="00674BF5" w:rsidRPr="00AA1421" w:rsidTr="00674BF5">
        <w:tc>
          <w:tcPr>
            <w:tcW w:w="1474" w:type="dxa"/>
          </w:tcPr>
          <w:p w:rsidR="00674BF5" w:rsidRPr="00AA1421" w:rsidRDefault="00754ADC" w:rsidP="00487A02">
            <w:pPr>
              <w:pStyle w:val="InstructionsText"/>
            </w:pPr>
            <w:r w:rsidRPr="00AA1421">
              <w:t>0490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15.2.1</w:t>
            </w:r>
            <w:r w:rsidR="00744F50" w:rsidRPr="00AA1421">
              <w:rPr>
                <w:b/>
                <w:u w:val="single"/>
              </w:rPr>
              <w:tab/>
            </w:r>
            <w:r w:rsidRPr="00AA1421">
              <w:rPr>
                <w:rStyle w:val="InstructionsTabelleberschrift"/>
                <w:rFonts w:ascii="Times New Roman" w:hAnsi="Times New Roman"/>
                <w:sz w:val="24"/>
              </w:rPr>
              <w:t xml:space="preserve">Pośrednie udziały kapitałowe brutto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4</w:t>
            </w:r>
            <w:r w:rsidRPr="00AA1421">
              <w:t xml:space="preserve">4 i </w:t>
            </w:r>
            <w:r w:rsidRPr="00084F66">
              <w:t>art.</w:t>
            </w:r>
            <w:r w:rsidR="00084F66" w:rsidRPr="00084F66">
              <w:t> </w:t>
            </w:r>
            <w:r w:rsidRPr="00084F66">
              <w:t>4</w:t>
            </w:r>
            <w:r w:rsidRPr="00AA1421">
              <w:t>5 CRR</w:t>
            </w:r>
          </w:p>
          <w:p w:rsidR="00674BF5" w:rsidRPr="00AA1421" w:rsidRDefault="00674BF5" w:rsidP="00487A02">
            <w:pPr>
              <w:pStyle w:val="InstructionsText"/>
            </w:pPr>
            <w:r w:rsidRPr="00AA1421">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rsidR="00674BF5" w:rsidRPr="00AA1421" w:rsidRDefault="00674BF5" w:rsidP="00487A02">
            <w:pPr>
              <w:pStyle w:val="InstructionsText"/>
            </w:pPr>
            <w:r w:rsidRPr="00AA1421">
              <w:t xml:space="preserve">Udziały kapitałowe, które traktuje się jako krzyżowe powiązania kapitałowe zgodnie z </w:t>
            </w:r>
            <w:r w:rsidRPr="00084F66">
              <w:t>art.</w:t>
            </w:r>
            <w:r w:rsidR="00084F66" w:rsidRPr="00084F66">
              <w:t> </w:t>
            </w:r>
            <w:r w:rsidRPr="00084F66">
              <w:t>3</w:t>
            </w:r>
            <w:r w:rsidRPr="00AA1421">
              <w:t xml:space="preserve">6 </w:t>
            </w:r>
            <w:r w:rsidRPr="00084F66">
              <w:t>ust.</w:t>
            </w:r>
            <w:r w:rsidR="00084F66" w:rsidRPr="00084F66">
              <w:t> </w:t>
            </w:r>
            <w:r w:rsidRPr="00084F66">
              <w:t>1</w:t>
            </w:r>
            <w:r w:rsidRPr="00AA1421">
              <w:t xml:space="preserve"> </w:t>
            </w:r>
            <w:r w:rsidRPr="00084F66">
              <w:t>lit.</w:t>
            </w:r>
            <w:r w:rsidR="00084F66" w:rsidRPr="00084F66">
              <w:t> </w:t>
            </w:r>
            <w:r w:rsidRPr="00084F66">
              <w:t>g)</w:t>
            </w:r>
            <w:r w:rsidRPr="00AA1421">
              <w:t xml:space="preserve"> CRR, nie są uwzględniane.</w:t>
            </w:r>
          </w:p>
        </w:tc>
      </w:tr>
      <w:tr w:rsidR="00674BF5" w:rsidRPr="00AA1421" w:rsidTr="00674BF5">
        <w:tc>
          <w:tcPr>
            <w:tcW w:w="1474" w:type="dxa"/>
          </w:tcPr>
          <w:p w:rsidR="00674BF5" w:rsidRPr="00AA1421" w:rsidRDefault="00754ADC" w:rsidP="00487A02">
            <w:pPr>
              <w:pStyle w:val="InstructionsText"/>
            </w:pPr>
            <w:r w:rsidRPr="00AA1421">
              <w:t>0500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15.2.2</w:t>
            </w:r>
            <w:r w:rsidR="00744F50" w:rsidRPr="00AA1421">
              <w:rPr>
                <w:b/>
                <w:u w:val="single"/>
              </w:rPr>
              <w:tab/>
            </w:r>
            <w:r w:rsidRPr="00AA1421">
              <w:rPr>
                <w:rStyle w:val="InstructionsTabelleberschrift"/>
                <w:rFonts w:ascii="Times New Roman" w:hAnsi="Times New Roman"/>
                <w:sz w:val="24"/>
              </w:rPr>
              <w:t>(-) Dozwolone kompensowanie pozycji krótkich w odniesieniu do pośrednich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4</w:t>
            </w:r>
            <w:r w:rsidRPr="00AA1421">
              <w:t>5 CRR</w:t>
            </w:r>
          </w:p>
          <w:p w:rsidR="00674BF5" w:rsidRPr="00AA1421" w:rsidRDefault="00674BF5" w:rsidP="00487A02">
            <w:pPr>
              <w:pStyle w:val="InstructionsText"/>
            </w:pPr>
            <w:r w:rsidRPr="00AA1421">
              <w:t xml:space="preserve">W </w:t>
            </w:r>
            <w:r w:rsidRPr="00084F66">
              <w:t>art.</w:t>
            </w:r>
            <w:r w:rsidR="00084F66" w:rsidRPr="00084F66">
              <w:t> </w:t>
            </w:r>
            <w:r w:rsidRPr="00084F66">
              <w:t>4</w:t>
            </w:r>
            <w:r w:rsidRPr="00AA1421">
              <w:t xml:space="preserve">5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0501</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15.3</w:t>
            </w:r>
            <w:r w:rsidR="00744F50" w:rsidRPr="00AA1421">
              <w:rPr>
                <w:b/>
                <w:u w:val="single"/>
              </w:rPr>
              <w:tab/>
            </w:r>
            <w:r w:rsidRPr="00AA1421">
              <w:rPr>
                <w:rStyle w:val="InstructionsTabelleberschrift"/>
                <w:rFonts w:ascii="Times New Roman" w:hAnsi="Times New Roman"/>
                <w:sz w:val="24"/>
              </w:rPr>
              <w:t xml:space="preserve">Syntetyczne udziały kapitałowe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4</w:t>
            </w:r>
            <w:r w:rsidRPr="00AA1421">
              <w:t xml:space="preserve">4 i </w:t>
            </w:r>
            <w:r w:rsidRPr="00084F66">
              <w:t>art.</w:t>
            </w:r>
            <w:r w:rsidR="00084F66" w:rsidRPr="00084F66">
              <w:t> </w:t>
            </w:r>
            <w:r w:rsidRPr="00084F66">
              <w:t>4</w:t>
            </w:r>
            <w:r w:rsidRPr="00AA1421">
              <w:t>5 CRR</w:t>
            </w:r>
          </w:p>
        </w:tc>
      </w:tr>
      <w:tr w:rsidR="00674BF5" w:rsidRPr="00AA1421" w:rsidTr="00674BF5">
        <w:tc>
          <w:tcPr>
            <w:tcW w:w="1474" w:type="dxa"/>
          </w:tcPr>
          <w:p w:rsidR="00674BF5" w:rsidRPr="00AA1421" w:rsidRDefault="00754ADC" w:rsidP="00487A02">
            <w:pPr>
              <w:pStyle w:val="InstructionsText"/>
            </w:pPr>
            <w:r w:rsidRPr="00AA1421">
              <w:lastRenderedPageBreak/>
              <w:t>0502</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15.3.1</w:t>
            </w:r>
            <w:r w:rsidR="00744F50" w:rsidRPr="00AA1421">
              <w:rPr>
                <w:b/>
                <w:u w:val="single"/>
              </w:rPr>
              <w:tab/>
            </w:r>
            <w:r w:rsidRPr="00AA1421">
              <w:rPr>
                <w:rStyle w:val="InstructionsTabelleberschrift"/>
                <w:rFonts w:ascii="Times New Roman" w:hAnsi="Times New Roman"/>
                <w:sz w:val="24"/>
              </w:rPr>
              <w:t xml:space="preserve">Syntetyczne udziały kapitałowe brutto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4</w:t>
            </w:r>
            <w:r w:rsidRPr="00AA1421">
              <w:t xml:space="preserve">4 i </w:t>
            </w:r>
            <w:r w:rsidRPr="00084F66">
              <w:t>art.</w:t>
            </w:r>
            <w:r w:rsidR="00084F66" w:rsidRPr="00084F66">
              <w:t> </w:t>
            </w:r>
            <w:r w:rsidRPr="00084F66">
              <w:t>4</w:t>
            </w:r>
            <w:r w:rsidRPr="00AA1421">
              <w:t>5 CRR</w:t>
            </w:r>
          </w:p>
        </w:tc>
      </w:tr>
      <w:tr w:rsidR="00674BF5" w:rsidRPr="00AA1421" w:rsidTr="00674BF5">
        <w:tc>
          <w:tcPr>
            <w:tcW w:w="1474" w:type="dxa"/>
          </w:tcPr>
          <w:p w:rsidR="00674BF5" w:rsidRPr="00AA1421" w:rsidRDefault="00754ADC" w:rsidP="00487A02">
            <w:pPr>
              <w:pStyle w:val="InstructionsText"/>
            </w:pPr>
            <w:r w:rsidRPr="00AA1421">
              <w:t>0503</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15.3.2</w:t>
            </w:r>
            <w:r w:rsidR="00744F50" w:rsidRPr="00AA1421">
              <w:rPr>
                <w:b/>
                <w:u w:val="single"/>
              </w:rPr>
              <w:tab/>
            </w:r>
            <w:r w:rsidRPr="00AA1421">
              <w:rPr>
                <w:rStyle w:val="InstructionsTabelleberschrift"/>
                <w:rFonts w:ascii="Times New Roman" w:hAnsi="Times New Roman"/>
                <w:sz w:val="24"/>
              </w:rPr>
              <w:t>(-) Dozwolone kompensowanie pozycji krótkich w odniesieniu do syntetycznych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4</w:t>
            </w:r>
            <w:r w:rsidRPr="00AA1421">
              <w:t>5 CRR</w:t>
            </w:r>
          </w:p>
          <w:p w:rsidR="002D31E5" w:rsidRPr="00AA1421" w:rsidRDefault="000D04B6" w:rsidP="000D04B6">
            <w:pPr>
              <w:pStyle w:val="InstructionsText"/>
            </w:pPr>
            <w:r w:rsidRPr="00AA1421">
              <w:t xml:space="preserve">W </w:t>
            </w:r>
            <w:r w:rsidRPr="00084F66">
              <w:t>art.</w:t>
            </w:r>
            <w:r w:rsidR="00084F66" w:rsidRPr="00084F66">
              <w:t> </w:t>
            </w:r>
            <w:r w:rsidRPr="00084F66">
              <w:t>4</w:t>
            </w:r>
            <w:r w:rsidRPr="00AA1421">
              <w:t xml:space="preserve">5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916197" w:rsidRPr="00AA1421" w:rsidTr="00674BF5">
        <w:tc>
          <w:tcPr>
            <w:tcW w:w="1474" w:type="dxa"/>
          </w:tcPr>
          <w:p w:rsidR="00916197" w:rsidRPr="00AA1421" w:rsidRDefault="00916197" w:rsidP="00487A02">
            <w:pPr>
              <w:pStyle w:val="InstructionsText"/>
            </w:pPr>
            <w:r w:rsidRPr="00AA1421">
              <w:t>0504</w:t>
            </w:r>
          </w:p>
        </w:tc>
        <w:tc>
          <w:tcPr>
            <w:tcW w:w="7049" w:type="dxa"/>
          </w:tcPr>
          <w:p w:rsidR="00916197" w:rsidRPr="00AA1421" w:rsidRDefault="0091619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Inwestycje w kapitał podstawowy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 – podlegające wadze ryzyka wynoszącej 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916197" w:rsidRPr="00AA1421" w:rsidRDefault="00916197" w:rsidP="00487A02">
            <w:pPr>
              <w:pStyle w:val="InstructionsText"/>
            </w:pPr>
            <w:r w:rsidRPr="00AA1421">
              <w:t>Art. 48 ust. 4 CRR</w:t>
            </w:r>
          </w:p>
          <w:p w:rsidR="00916197" w:rsidRPr="00AA1421" w:rsidRDefault="00916197" w:rsidP="00487A02">
            <w:pPr>
              <w:pStyle w:val="InstructionsText"/>
            </w:pPr>
            <w:r w:rsidRPr="00AA1421">
              <w:t xml:space="preserve">Kwota znacznych inwestycji w kapitał podstawowy </w:t>
            </w:r>
            <w:proofErr w:type="spellStart"/>
            <w:r w:rsidRPr="00AA1421">
              <w:t>Tier</w:t>
            </w:r>
            <w:proofErr w:type="spellEnd"/>
            <w:r w:rsidRPr="00AA1421">
              <w:t xml:space="preserve"> I podmiotów sektora finansowego, która nie jest odliczana na podstawie </w:t>
            </w:r>
            <w:r w:rsidRPr="00084F66">
              <w:t>art.</w:t>
            </w:r>
            <w:r w:rsidR="00084F66" w:rsidRPr="00084F66">
              <w:t> </w:t>
            </w:r>
            <w:r w:rsidRPr="00084F66">
              <w:t>4</w:t>
            </w:r>
            <w:r w:rsidRPr="00AA1421">
              <w:t xml:space="preserve">8 </w:t>
            </w:r>
            <w:r w:rsidRPr="00084F66">
              <w:t>ust.</w:t>
            </w:r>
            <w:r w:rsidR="00084F66" w:rsidRPr="00084F66">
              <w:t> </w:t>
            </w:r>
            <w:r w:rsidRPr="00084F66">
              <w:t>1</w:t>
            </w:r>
            <w:r w:rsidRPr="00AA1421">
              <w:t xml:space="preserve"> CRR, ale podlega wadze ryzyka równej 25</w:t>
            </w:r>
            <w:r w:rsidRPr="00084F66">
              <w:t>0</w:t>
            </w:r>
            <w:r w:rsidR="00084F66" w:rsidRPr="00084F66">
              <w:t> </w:t>
            </w:r>
            <w:r w:rsidRPr="00084F66">
              <w:t>%</w:t>
            </w:r>
            <w:r w:rsidRPr="00AA1421">
              <w:t xml:space="preserve"> zgodnie z </w:t>
            </w:r>
            <w:r w:rsidRPr="00084F66">
              <w:t>art.</w:t>
            </w:r>
            <w:r w:rsidR="00084F66" w:rsidRPr="00084F66">
              <w:t> </w:t>
            </w:r>
            <w:r w:rsidRPr="00084F66">
              <w:t>4</w:t>
            </w:r>
            <w:r w:rsidRPr="00AA1421">
              <w:t xml:space="preserve">8 </w:t>
            </w:r>
            <w:r w:rsidRPr="00084F66">
              <w:t>ust.</w:t>
            </w:r>
            <w:r w:rsidR="00084F66" w:rsidRPr="00084F66">
              <w:t> </w:t>
            </w:r>
            <w:r w:rsidRPr="00084F66">
              <w:t>4</w:t>
            </w:r>
            <w:r w:rsidRPr="00AA1421">
              <w:t xml:space="preserve"> CRR.</w:t>
            </w:r>
          </w:p>
          <w:p w:rsidR="00916197" w:rsidRPr="00AA1421" w:rsidRDefault="00916197" w:rsidP="00487A02">
            <w:pPr>
              <w:pStyle w:val="InstructionsText"/>
              <w:rPr>
                <w:rStyle w:val="InstructionsTabelleberschrift"/>
                <w:rFonts w:ascii="Times New Roman" w:hAnsi="Times New Roman"/>
                <w:sz w:val="24"/>
              </w:rPr>
            </w:pPr>
            <w:r w:rsidRPr="00AA1421">
              <w:t>Kwota, którą należy zgłosić, jest kwotą znacznych inwestycji przed zastosowaniem wagi ryzyka.</w:t>
            </w:r>
          </w:p>
        </w:tc>
      </w:tr>
      <w:tr w:rsidR="00674BF5" w:rsidRPr="00AA1421" w:rsidTr="00674BF5">
        <w:tc>
          <w:tcPr>
            <w:tcW w:w="1474" w:type="dxa"/>
          </w:tcPr>
          <w:p w:rsidR="00674BF5" w:rsidRPr="00AA1421" w:rsidRDefault="00754ADC" w:rsidP="00487A02">
            <w:pPr>
              <w:pStyle w:val="InstructionsText"/>
            </w:pPr>
            <w:r w:rsidRPr="00AA1421">
              <w:t>0510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 xml:space="preserve">16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 po odliczeniu pozycji krótkich</w:t>
            </w:r>
          </w:p>
          <w:p w:rsidR="00674BF5" w:rsidRPr="00AA1421" w:rsidRDefault="00674BF5" w:rsidP="00487A02">
            <w:pPr>
              <w:pStyle w:val="InstructionsText"/>
            </w:pPr>
            <w:r w:rsidRPr="00AA1421">
              <w:t>Art. 58 i 59 CRR</w:t>
            </w:r>
          </w:p>
        </w:tc>
      </w:tr>
      <w:tr w:rsidR="00674BF5" w:rsidRPr="00AA1421" w:rsidTr="00674BF5">
        <w:tc>
          <w:tcPr>
            <w:tcW w:w="1474" w:type="dxa"/>
          </w:tcPr>
          <w:p w:rsidR="00674BF5" w:rsidRPr="00AA1421" w:rsidRDefault="00754ADC" w:rsidP="00487A02">
            <w:pPr>
              <w:pStyle w:val="InstructionsText"/>
            </w:pPr>
            <w:r w:rsidRPr="00AA1421">
              <w:t>0520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16.1</w:t>
            </w:r>
            <w:r w:rsidR="00744F50" w:rsidRPr="00AA1421">
              <w:rPr>
                <w:b/>
                <w:u w:val="single"/>
              </w:rPr>
              <w:tab/>
            </w:r>
            <w:r w:rsidRPr="00AA1421">
              <w:rPr>
                <w:rStyle w:val="InstructionsTabelleberschrift"/>
                <w:rFonts w:ascii="Times New Roman" w:hAnsi="Times New Roman"/>
                <w:sz w:val="24"/>
              </w:rPr>
              <w:t xml:space="preserve">Bezpośrednie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Art. 58 i 59 CRR</w:t>
            </w:r>
          </w:p>
        </w:tc>
      </w:tr>
      <w:tr w:rsidR="00674BF5" w:rsidRPr="00AA1421" w:rsidTr="00674BF5">
        <w:tc>
          <w:tcPr>
            <w:tcW w:w="1474" w:type="dxa"/>
          </w:tcPr>
          <w:p w:rsidR="00674BF5" w:rsidRPr="00AA1421" w:rsidRDefault="00754ADC" w:rsidP="00487A02">
            <w:pPr>
              <w:pStyle w:val="InstructionsText"/>
            </w:pPr>
            <w:r w:rsidRPr="00AA1421">
              <w:t>0530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16.1.1</w:t>
            </w:r>
            <w:r w:rsidR="00744F50" w:rsidRPr="00AA1421">
              <w:rPr>
                <w:b/>
                <w:u w:val="single"/>
              </w:rPr>
              <w:tab/>
            </w:r>
            <w:r w:rsidRPr="00AA1421">
              <w:rPr>
                <w:rStyle w:val="InstructionsTabelleberschrift"/>
                <w:rFonts w:ascii="Times New Roman" w:hAnsi="Times New Roman"/>
                <w:sz w:val="24"/>
              </w:rPr>
              <w:t xml:space="preserve">Bezpośrednie udziały kapitałowe brutto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Art. 58 CRR</w:t>
            </w:r>
          </w:p>
          <w:p w:rsidR="00674BF5" w:rsidRPr="00AA1421" w:rsidRDefault="00674BF5" w:rsidP="00487A02">
            <w:pPr>
              <w:pStyle w:val="InstructionsText"/>
            </w:pPr>
            <w:r w:rsidRPr="00AA1421">
              <w:t xml:space="preserve">Bezpośrednie udziały kapitałowe w kapitale dodatkowym </w:t>
            </w:r>
            <w:proofErr w:type="spellStart"/>
            <w:r w:rsidRPr="00AA1421">
              <w:t>Tier</w:t>
            </w:r>
            <w:proofErr w:type="spellEnd"/>
            <w:r w:rsidRPr="00AA1421">
              <w:t xml:space="preserve"> I podmiotów sektora finansowego, jeżeli instytucja dokonała znacznej inwestycji, z wyłączeniem:</w:t>
            </w:r>
          </w:p>
          <w:p w:rsidR="00674BF5" w:rsidRPr="00AA1421" w:rsidRDefault="00674BF5" w:rsidP="00487A02">
            <w:pPr>
              <w:pStyle w:val="InstructionsText"/>
            </w:pPr>
            <w:r w:rsidRPr="00AA1421">
              <w:t>a)</w:t>
            </w:r>
            <w:r w:rsidRPr="00AA1421">
              <w:tab/>
              <w:t>pozycji z tytułu gwarantowania emisji utrzymywanych nie dłużej niż przez 5 dni roboczych (</w:t>
            </w:r>
            <w:r w:rsidRPr="00084F66">
              <w:t>art.</w:t>
            </w:r>
            <w:r w:rsidR="00084F66" w:rsidRPr="00084F66">
              <w:t> </w:t>
            </w:r>
            <w:r w:rsidRPr="00084F66">
              <w:t>5</w:t>
            </w:r>
            <w:r w:rsidRPr="00AA1421">
              <w:t xml:space="preserve">6 </w:t>
            </w:r>
            <w:r w:rsidRPr="00084F66">
              <w:t>lit.</w:t>
            </w:r>
            <w:r w:rsidR="00084F66" w:rsidRPr="00084F66">
              <w:t> </w:t>
            </w:r>
            <w:r w:rsidRPr="00084F66">
              <w:t>d)</w:t>
            </w:r>
            <w:r w:rsidRPr="00AA1421">
              <w:t xml:space="preserve"> CRR); oraz</w:t>
            </w:r>
          </w:p>
          <w:p w:rsidR="00674BF5" w:rsidRPr="00AA1421" w:rsidRDefault="00674BF5" w:rsidP="00487A02">
            <w:pPr>
              <w:pStyle w:val="InstructionsText"/>
            </w:pPr>
            <w:r w:rsidRPr="00AA1421">
              <w:t>b)</w:t>
            </w:r>
            <w:r w:rsidRPr="00AA1421">
              <w:tab/>
              <w:t xml:space="preserve">udziałów kapitałowych, które traktuje się jako krzyżowe powiązania kapitałowe zgodnie z </w:t>
            </w:r>
            <w:r w:rsidRPr="00084F66">
              <w:t>art.</w:t>
            </w:r>
            <w:r w:rsidR="00084F66" w:rsidRPr="00084F66">
              <w:t> </w:t>
            </w:r>
            <w:r w:rsidRPr="00084F66">
              <w:t>5</w:t>
            </w:r>
            <w:r w:rsidRPr="00AA1421">
              <w:t xml:space="preserve">6 </w:t>
            </w:r>
            <w:r w:rsidRPr="00084F66">
              <w:t>lit.</w:t>
            </w:r>
            <w:r w:rsidR="00084F66" w:rsidRPr="00084F66">
              <w:t> </w:t>
            </w:r>
            <w:r w:rsidRPr="00084F66">
              <w:t>b)</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lastRenderedPageBreak/>
              <w:t>0540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16.1.2</w:t>
            </w:r>
            <w:r w:rsidR="00744F50" w:rsidRPr="00AA1421">
              <w:rPr>
                <w:b/>
                <w:u w:val="single"/>
              </w:rPr>
              <w:tab/>
            </w:r>
            <w:r w:rsidRPr="00AA1421">
              <w:rPr>
                <w:rStyle w:val="InstructionsTabelleberschrift"/>
                <w:rFonts w:ascii="Times New Roman" w:hAnsi="Times New Roman"/>
                <w:sz w:val="24"/>
              </w:rPr>
              <w:t>(-) Dozwolone kompensowanie pozycji krótkich w odniesieniu do bezpośrednich udziałów kapitałowych brutto ujętych powyżej</w:t>
            </w:r>
          </w:p>
          <w:p w:rsidR="00674BF5" w:rsidRPr="00AA1421" w:rsidRDefault="00674BF5" w:rsidP="00487A02">
            <w:pPr>
              <w:pStyle w:val="InstructionsText"/>
            </w:pPr>
            <w:r w:rsidRPr="00AA1421">
              <w:t>Art. 59 CRR</w:t>
            </w:r>
          </w:p>
          <w:p w:rsidR="00674BF5" w:rsidRPr="00AA1421" w:rsidRDefault="00674BF5" w:rsidP="00487A02">
            <w:pPr>
              <w:pStyle w:val="InstructionsText"/>
            </w:pPr>
            <w:r w:rsidRPr="00AA1421">
              <w:t xml:space="preserve">W </w:t>
            </w:r>
            <w:r w:rsidRPr="00084F66">
              <w:t>art.</w:t>
            </w:r>
            <w:r w:rsidR="00084F66" w:rsidRPr="00084F66">
              <w:t> </w:t>
            </w:r>
            <w:r w:rsidRPr="00084F66">
              <w:t>5</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0550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16.2</w:t>
            </w:r>
            <w:r w:rsidR="00744F50" w:rsidRPr="00AA1421">
              <w:rPr>
                <w:b/>
                <w:u w:val="single"/>
              </w:rPr>
              <w:tab/>
            </w:r>
            <w:r w:rsidRPr="00AA1421">
              <w:rPr>
                <w:rStyle w:val="InstructionsTabelleberschrift"/>
                <w:rFonts w:ascii="Times New Roman" w:hAnsi="Times New Roman"/>
                <w:sz w:val="24"/>
              </w:rPr>
              <w:t xml:space="preserve">Pośrednie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tc>
      </w:tr>
      <w:tr w:rsidR="00674BF5" w:rsidRPr="00AA1421" w:rsidTr="00674BF5">
        <w:tc>
          <w:tcPr>
            <w:tcW w:w="1474" w:type="dxa"/>
          </w:tcPr>
          <w:p w:rsidR="00674BF5" w:rsidRPr="00AA1421" w:rsidRDefault="00754ADC" w:rsidP="00487A02">
            <w:pPr>
              <w:pStyle w:val="InstructionsText"/>
            </w:pPr>
            <w:r w:rsidRPr="00AA1421">
              <w:t>0560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16.2.1</w:t>
            </w:r>
            <w:r w:rsidR="00744F50" w:rsidRPr="00AA1421">
              <w:rPr>
                <w:b/>
                <w:u w:val="single"/>
              </w:rPr>
              <w:tab/>
            </w:r>
            <w:r w:rsidRPr="00AA1421">
              <w:rPr>
                <w:rStyle w:val="InstructionsTabelleberschrift"/>
                <w:rFonts w:ascii="Times New Roman" w:hAnsi="Times New Roman"/>
                <w:sz w:val="24"/>
              </w:rPr>
              <w:t xml:space="preserve">Pośrednie udziały kapitałowe brutto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p w:rsidR="00674BF5" w:rsidRPr="00AA1421" w:rsidRDefault="00674BF5" w:rsidP="00487A02">
            <w:pPr>
              <w:pStyle w:val="InstructionsText"/>
            </w:pPr>
            <w:r w:rsidRPr="00AA1421">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rsidR="00674BF5" w:rsidRPr="00AA1421" w:rsidRDefault="00674BF5" w:rsidP="00487A02">
            <w:pPr>
              <w:pStyle w:val="InstructionsText"/>
            </w:pPr>
            <w:r w:rsidRPr="00AA1421">
              <w:t xml:space="preserve">Udziały kapitałowe, które traktuje się jako krzyżowe powiązania kapitałowe zgodnie z </w:t>
            </w:r>
            <w:r w:rsidRPr="00084F66">
              <w:t>art.</w:t>
            </w:r>
            <w:r w:rsidR="00084F66" w:rsidRPr="00084F66">
              <w:t> </w:t>
            </w:r>
            <w:r w:rsidRPr="00084F66">
              <w:t>5</w:t>
            </w:r>
            <w:r w:rsidRPr="00AA1421">
              <w:t xml:space="preserve">6 </w:t>
            </w:r>
            <w:r w:rsidRPr="00084F66">
              <w:t>lit.</w:t>
            </w:r>
            <w:r w:rsidR="00084F66" w:rsidRPr="00084F66">
              <w:t> </w:t>
            </w:r>
            <w:r w:rsidRPr="00084F66">
              <w:t>b)</w:t>
            </w:r>
            <w:r w:rsidRPr="00AA1421">
              <w:t xml:space="preserve"> CRR, nie są uwzględniane.</w:t>
            </w:r>
          </w:p>
        </w:tc>
      </w:tr>
      <w:tr w:rsidR="00674BF5" w:rsidRPr="00AA1421" w:rsidTr="00674BF5">
        <w:tc>
          <w:tcPr>
            <w:tcW w:w="1474" w:type="dxa"/>
          </w:tcPr>
          <w:p w:rsidR="00674BF5" w:rsidRPr="00AA1421" w:rsidRDefault="00754ADC" w:rsidP="00487A02">
            <w:pPr>
              <w:pStyle w:val="InstructionsText"/>
            </w:pPr>
            <w:r w:rsidRPr="00AA1421">
              <w:t>0570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16.2.2</w:t>
            </w:r>
            <w:r w:rsidR="00744F50" w:rsidRPr="00AA1421">
              <w:rPr>
                <w:b/>
                <w:u w:val="single"/>
              </w:rPr>
              <w:tab/>
            </w:r>
            <w:r w:rsidRPr="00AA1421">
              <w:rPr>
                <w:rStyle w:val="InstructionsTabelleberschrift"/>
                <w:rFonts w:ascii="Times New Roman" w:hAnsi="Times New Roman"/>
                <w:sz w:val="24"/>
              </w:rPr>
              <w:t>(-) Dozwolone kompensowanie pozycji krótkich w odniesieniu do pośrednich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5</w:t>
            </w:r>
            <w:r w:rsidRPr="00AA1421">
              <w:t>9 CRR</w:t>
            </w:r>
          </w:p>
          <w:p w:rsidR="00674BF5" w:rsidRPr="00AA1421" w:rsidRDefault="00674BF5" w:rsidP="00487A02">
            <w:pPr>
              <w:pStyle w:val="InstructionsText"/>
            </w:pPr>
            <w:r w:rsidRPr="00AA1421">
              <w:t xml:space="preserve">W </w:t>
            </w:r>
            <w:r w:rsidRPr="00084F66">
              <w:t>art.</w:t>
            </w:r>
            <w:r w:rsidR="00084F66" w:rsidRPr="00084F66">
              <w:t> </w:t>
            </w:r>
            <w:r w:rsidRPr="00084F66">
              <w:t>5</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0571</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16.3</w:t>
            </w:r>
            <w:r w:rsidR="00744F50" w:rsidRPr="00AA1421">
              <w:rPr>
                <w:b/>
                <w:u w:val="single"/>
              </w:rPr>
              <w:tab/>
            </w:r>
            <w:r w:rsidRPr="00AA1421">
              <w:rPr>
                <w:rStyle w:val="InstructionsTabelleberschrift"/>
                <w:rFonts w:ascii="Times New Roman" w:hAnsi="Times New Roman"/>
                <w:sz w:val="24"/>
              </w:rPr>
              <w:t xml:space="preserve">Syntetyczne udziały kapitałowe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tc>
      </w:tr>
      <w:tr w:rsidR="00674BF5" w:rsidRPr="00AA1421" w:rsidTr="00674BF5">
        <w:tc>
          <w:tcPr>
            <w:tcW w:w="1474" w:type="dxa"/>
          </w:tcPr>
          <w:p w:rsidR="00674BF5" w:rsidRPr="00AA1421" w:rsidRDefault="00754ADC" w:rsidP="00487A02">
            <w:pPr>
              <w:pStyle w:val="InstructionsText"/>
            </w:pPr>
            <w:r w:rsidRPr="00AA1421">
              <w:t>0572</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16.3.1</w:t>
            </w:r>
            <w:r w:rsidR="00744F50" w:rsidRPr="00AA1421">
              <w:rPr>
                <w:b/>
                <w:u w:val="single"/>
              </w:rPr>
              <w:tab/>
            </w:r>
            <w:r w:rsidRPr="00AA1421">
              <w:rPr>
                <w:rStyle w:val="InstructionsTabelleberschrift"/>
                <w:rFonts w:ascii="Times New Roman" w:hAnsi="Times New Roman"/>
                <w:sz w:val="24"/>
              </w:rPr>
              <w:t xml:space="preserve">Syntetyczne udziały kapitałowe brutto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5</w:t>
            </w:r>
            <w:r w:rsidRPr="00AA1421">
              <w:t xml:space="preserve">8 i </w:t>
            </w:r>
            <w:r w:rsidRPr="00084F66">
              <w:t>art.</w:t>
            </w:r>
            <w:r w:rsidR="00084F66" w:rsidRPr="00084F66">
              <w:t> </w:t>
            </w:r>
            <w:r w:rsidRPr="00084F66">
              <w:t>5</w:t>
            </w:r>
            <w:r w:rsidRPr="00AA1421">
              <w:t>9 CRR</w:t>
            </w:r>
          </w:p>
        </w:tc>
      </w:tr>
      <w:tr w:rsidR="00674BF5" w:rsidRPr="00AA1421" w:rsidTr="00674BF5">
        <w:tc>
          <w:tcPr>
            <w:tcW w:w="1474" w:type="dxa"/>
          </w:tcPr>
          <w:p w:rsidR="00674BF5" w:rsidRPr="00AA1421" w:rsidRDefault="00754ADC" w:rsidP="00487A02">
            <w:pPr>
              <w:pStyle w:val="InstructionsText"/>
            </w:pPr>
            <w:r w:rsidRPr="00AA1421">
              <w:lastRenderedPageBreak/>
              <w:t>0573</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16.3.2</w:t>
            </w:r>
            <w:r w:rsidR="00744F50" w:rsidRPr="00AA1421">
              <w:rPr>
                <w:b/>
                <w:u w:val="single"/>
              </w:rPr>
              <w:tab/>
            </w:r>
            <w:r w:rsidRPr="00AA1421">
              <w:rPr>
                <w:rStyle w:val="InstructionsTabelleberschrift"/>
                <w:rFonts w:ascii="Times New Roman" w:hAnsi="Times New Roman"/>
                <w:sz w:val="24"/>
              </w:rPr>
              <w:t>(-) Dozwolone kompensowanie pozycji krótkich w odniesieniu do syntetycznych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5</w:t>
            </w:r>
            <w:r w:rsidRPr="00AA1421">
              <w:t>9 CRR</w:t>
            </w:r>
          </w:p>
          <w:p w:rsidR="002D31E5" w:rsidRPr="00AA1421" w:rsidRDefault="000D04B6" w:rsidP="000D04B6">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9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0580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 xml:space="preserve">17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po odliczeniu pozycji krótkich</w:t>
            </w:r>
          </w:p>
          <w:p w:rsidR="00674BF5" w:rsidRPr="00AA1421" w:rsidRDefault="00674BF5" w:rsidP="00487A02">
            <w:pPr>
              <w:pStyle w:val="InstructionsText"/>
            </w:pPr>
            <w:r w:rsidRPr="00AA1421">
              <w:t>Art. 68 i 69 CRR</w:t>
            </w:r>
          </w:p>
        </w:tc>
      </w:tr>
      <w:tr w:rsidR="00674BF5" w:rsidRPr="00AA1421" w:rsidTr="00674BF5">
        <w:tc>
          <w:tcPr>
            <w:tcW w:w="1474" w:type="dxa"/>
          </w:tcPr>
          <w:p w:rsidR="00674BF5" w:rsidRPr="00AA1421" w:rsidRDefault="00754ADC" w:rsidP="00487A02">
            <w:pPr>
              <w:pStyle w:val="InstructionsText"/>
            </w:pPr>
            <w:r w:rsidRPr="00AA1421">
              <w:t>0590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17.1</w:t>
            </w:r>
            <w:r w:rsidR="00744F50" w:rsidRPr="00AA1421">
              <w:rPr>
                <w:b/>
                <w:u w:val="single"/>
              </w:rPr>
              <w:tab/>
            </w:r>
            <w:r w:rsidRPr="00AA1421">
              <w:rPr>
                <w:rStyle w:val="InstructionsTabelleberschrift"/>
                <w:rFonts w:ascii="Times New Roman" w:hAnsi="Times New Roman"/>
                <w:sz w:val="24"/>
              </w:rPr>
              <w:t xml:space="preserve">Bezpośrednie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674BF5" w:rsidRPr="00AA1421" w:rsidRDefault="00674BF5" w:rsidP="00487A02">
            <w:pPr>
              <w:pStyle w:val="InstructionsText"/>
            </w:pPr>
            <w:r w:rsidRPr="00AA1421">
              <w:t>Art. 68 i 69 CRR</w:t>
            </w:r>
          </w:p>
        </w:tc>
      </w:tr>
      <w:tr w:rsidR="00674BF5" w:rsidRPr="00AA1421" w:rsidTr="00674BF5">
        <w:tc>
          <w:tcPr>
            <w:tcW w:w="1474" w:type="dxa"/>
          </w:tcPr>
          <w:p w:rsidR="00674BF5" w:rsidRPr="00AA1421" w:rsidRDefault="00754ADC" w:rsidP="00487A02">
            <w:pPr>
              <w:pStyle w:val="InstructionsText"/>
            </w:pPr>
            <w:r w:rsidRPr="00AA1421">
              <w:t>0600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17.1.1</w:t>
            </w:r>
            <w:r w:rsidR="00744F50" w:rsidRPr="00AA1421">
              <w:rPr>
                <w:b/>
                <w:u w:val="single"/>
              </w:rPr>
              <w:tab/>
            </w:r>
            <w:r w:rsidRPr="00AA1421">
              <w:rPr>
                <w:rStyle w:val="InstructionsTabelleberschrift"/>
                <w:rFonts w:ascii="Times New Roman" w:hAnsi="Times New Roman"/>
                <w:sz w:val="24"/>
              </w:rPr>
              <w:t xml:space="preserve">Bezpośrednie udziały kapitałowe brutto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674BF5" w:rsidRPr="00AA1421" w:rsidRDefault="00674BF5" w:rsidP="00487A02">
            <w:pPr>
              <w:pStyle w:val="InstructionsText"/>
            </w:pPr>
            <w:r w:rsidRPr="00AA1421">
              <w:t>Art. 68 CRR</w:t>
            </w:r>
          </w:p>
          <w:p w:rsidR="00674BF5" w:rsidRPr="00AA1421" w:rsidRDefault="00674BF5" w:rsidP="00487A02">
            <w:pPr>
              <w:pStyle w:val="InstructionsText"/>
            </w:pPr>
            <w:r w:rsidRPr="00AA1421">
              <w:t xml:space="preserve">Bezpośrednie udziały kapitałowe w kapitale </w:t>
            </w:r>
            <w:proofErr w:type="spellStart"/>
            <w:r w:rsidRPr="00AA1421">
              <w:t>Tier</w:t>
            </w:r>
            <w:proofErr w:type="spellEnd"/>
            <w:r w:rsidRPr="00AA1421">
              <w:t xml:space="preserve"> II podmiotów sektora finansowego, jeżeli instytucja dokonała znacznej inwestycji w te podmioty, z wyłączeniem:</w:t>
            </w:r>
          </w:p>
          <w:p w:rsidR="00674BF5" w:rsidRPr="00AA1421" w:rsidRDefault="00674BF5" w:rsidP="00487A02">
            <w:pPr>
              <w:pStyle w:val="InstructionsText"/>
            </w:pPr>
            <w:r w:rsidRPr="00AA1421">
              <w:t>a)</w:t>
            </w:r>
            <w:r w:rsidRPr="00AA1421">
              <w:tab/>
              <w:t>pozycji z tytułu gwarantowania emisji utrzymywanych nie dłużej niż przez 5 dni roboczych (</w:t>
            </w:r>
            <w:r w:rsidRPr="00084F66">
              <w:t>art.</w:t>
            </w:r>
            <w:r w:rsidR="00084F66" w:rsidRPr="00084F66">
              <w:t> </w:t>
            </w:r>
            <w:r w:rsidRPr="00084F66">
              <w:t>6</w:t>
            </w:r>
            <w:r w:rsidRPr="00AA1421">
              <w:t xml:space="preserve">6 </w:t>
            </w:r>
            <w:r w:rsidRPr="00084F66">
              <w:t>lit.</w:t>
            </w:r>
            <w:r w:rsidR="00084F66" w:rsidRPr="00084F66">
              <w:t> </w:t>
            </w:r>
            <w:r w:rsidRPr="00084F66">
              <w:t>d)</w:t>
            </w:r>
            <w:r w:rsidRPr="00AA1421">
              <w:t xml:space="preserve"> CRR); oraz </w:t>
            </w:r>
          </w:p>
          <w:p w:rsidR="00674BF5" w:rsidRPr="00AA1421" w:rsidRDefault="00674BF5" w:rsidP="00487A02">
            <w:pPr>
              <w:pStyle w:val="InstructionsText"/>
            </w:pPr>
            <w:r w:rsidRPr="00AA1421">
              <w:t>b)</w:t>
            </w:r>
            <w:r w:rsidRPr="00AA1421">
              <w:tab/>
              <w:t xml:space="preserve">udziałów kapitałowych, które traktuje się jako krzyżowe powiązania kapitałowe zgodnie z </w:t>
            </w:r>
            <w:r w:rsidRPr="00084F66">
              <w:t>art.</w:t>
            </w:r>
            <w:r w:rsidR="00084F66" w:rsidRPr="00084F66">
              <w:t> </w:t>
            </w:r>
            <w:r w:rsidRPr="00084F66">
              <w:t>6</w:t>
            </w:r>
            <w:r w:rsidRPr="00AA1421">
              <w:t xml:space="preserve">6 </w:t>
            </w:r>
            <w:r w:rsidRPr="00084F66">
              <w:t>lit.</w:t>
            </w:r>
            <w:r w:rsidR="00084F66" w:rsidRPr="00084F66">
              <w:t> </w:t>
            </w:r>
            <w:r w:rsidRPr="00084F66">
              <w:t>b)</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t>0610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17.1.2</w:t>
            </w:r>
            <w:r w:rsidR="00744F50" w:rsidRPr="00AA1421">
              <w:rPr>
                <w:b/>
                <w:u w:val="single"/>
              </w:rPr>
              <w:tab/>
            </w:r>
            <w:r w:rsidRPr="00AA1421">
              <w:rPr>
                <w:rStyle w:val="InstructionsTabelleberschrift"/>
                <w:rFonts w:ascii="Times New Roman" w:hAnsi="Times New Roman"/>
                <w:sz w:val="24"/>
              </w:rPr>
              <w:t>(-) Dozwolone kompensowanie pozycji krótkich w odniesieniu do bezpośrednich udziałów kapitałowych brutto ujętych powyżej</w:t>
            </w:r>
          </w:p>
          <w:p w:rsidR="00674BF5" w:rsidRPr="00AA1421" w:rsidRDefault="00674BF5" w:rsidP="00487A02">
            <w:pPr>
              <w:pStyle w:val="InstructionsText"/>
            </w:pPr>
            <w:r w:rsidRPr="00AA1421">
              <w:t>Art. 69 CRR</w:t>
            </w:r>
          </w:p>
          <w:p w:rsidR="00674BF5" w:rsidRPr="00AA1421" w:rsidRDefault="00674BF5" w:rsidP="00487A02">
            <w:pPr>
              <w:pStyle w:val="InstructionsText"/>
            </w:pPr>
            <w:r w:rsidRPr="00AA1421">
              <w:t xml:space="preserve">W </w:t>
            </w:r>
            <w:r w:rsidRPr="00084F66">
              <w:t>art.</w:t>
            </w:r>
            <w:r w:rsidR="00084F66" w:rsidRPr="00084F66">
              <w:t> </w:t>
            </w:r>
            <w:r w:rsidRPr="00084F66">
              <w:t>6</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0620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17.2</w:t>
            </w:r>
            <w:r w:rsidR="00744F50" w:rsidRPr="00AA1421">
              <w:rPr>
                <w:b/>
                <w:u w:val="single"/>
              </w:rPr>
              <w:tab/>
            </w:r>
            <w:r w:rsidRPr="00AA1421">
              <w:rPr>
                <w:rStyle w:val="InstructionsTabelleberschrift"/>
                <w:rFonts w:ascii="Times New Roman" w:hAnsi="Times New Roman"/>
                <w:sz w:val="24"/>
              </w:rPr>
              <w:t xml:space="preserve">Pośrednie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tc>
      </w:tr>
      <w:tr w:rsidR="00674BF5" w:rsidRPr="00AA1421" w:rsidTr="00674BF5">
        <w:tc>
          <w:tcPr>
            <w:tcW w:w="1474" w:type="dxa"/>
          </w:tcPr>
          <w:p w:rsidR="00674BF5" w:rsidRPr="00AA1421" w:rsidRDefault="00754ADC" w:rsidP="00487A02">
            <w:pPr>
              <w:pStyle w:val="InstructionsText"/>
            </w:pPr>
            <w:r w:rsidRPr="00AA1421">
              <w:lastRenderedPageBreak/>
              <w:t>0630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17.2.1</w:t>
            </w:r>
            <w:r w:rsidR="00744F50" w:rsidRPr="00AA1421">
              <w:rPr>
                <w:b/>
                <w:u w:val="single"/>
              </w:rPr>
              <w:tab/>
            </w:r>
            <w:r w:rsidRPr="00AA1421">
              <w:rPr>
                <w:rStyle w:val="InstructionsTabelleberschrift"/>
                <w:rFonts w:ascii="Times New Roman" w:hAnsi="Times New Roman"/>
                <w:sz w:val="24"/>
              </w:rPr>
              <w:t xml:space="preserve">Pośrednie udziały kapitałowe brutto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p w:rsidR="00674BF5" w:rsidRPr="00AA1421" w:rsidRDefault="00674BF5" w:rsidP="00487A02">
            <w:pPr>
              <w:pStyle w:val="InstructionsText"/>
            </w:pPr>
            <w:r w:rsidRPr="00AA1421">
              <w:t>Kwotą, którą należy zgłosić, są pośrednie udziały kapitałowe w portfelu handlowym instrumentów kapitałowych podmiotów sektora finansowego, które to udziały przyjmują postać indeksowych papierów wartościowych. Uzyskuje się ją poprzez obliczenie ekspozycji bazowej z tytułu instrumentów kapitałowych podmiotów sektora finansowego objętych tymi indeksami.</w:t>
            </w:r>
          </w:p>
          <w:p w:rsidR="00674BF5" w:rsidRPr="00AA1421" w:rsidRDefault="00674BF5" w:rsidP="00487A02">
            <w:pPr>
              <w:pStyle w:val="InstructionsText"/>
            </w:pPr>
            <w:r w:rsidRPr="00AA1421">
              <w:t xml:space="preserve">Udziały kapitałowe, które traktuje się jako krzyżowe powiązania kapitałowe zgodnie z </w:t>
            </w:r>
            <w:r w:rsidRPr="00084F66">
              <w:t>art.</w:t>
            </w:r>
            <w:r w:rsidR="00084F66" w:rsidRPr="00084F66">
              <w:t> </w:t>
            </w:r>
            <w:r w:rsidRPr="00084F66">
              <w:t>6</w:t>
            </w:r>
            <w:r w:rsidRPr="00AA1421">
              <w:t xml:space="preserve">6 </w:t>
            </w:r>
            <w:r w:rsidRPr="00084F66">
              <w:t>lit.</w:t>
            </w:r>
            <w:r w:rsidR="00084F66" w:rsidRPr="00084F66">
              <w:t> </w:t>
            </w:r>
            <w:r w:rsidRPr="00084F66">
              <w:t>b)</w:t>
            </w:r>
            <w:r w:rsidRPr="00AA1421">
              <w:t xml:space="preserve"> CRR, nie są uwzględniane</w:t>
            </w:r>
          </w:p>
        </w:tc>
      </w:tr>
      <w:tr w:rsidR="00674BF5" w:rsidRPr="00AA1421" w:rsidTr="00674BF5">
        <w:tc>
          <w:tcPr>
            <w:tcW w:w="1474" w:type="dxa"/>
          </w:tcPr>
          <w:p w:rsidR="00674BF5" w:rsidRPr="00AA1421" w:rsidRDefault="00754ADC" w:rsidP="00487A02">
            <w:pPr>
              <w:pStyle w:val="InstructionsText"/>
            </w:pPr>
            <w:r w:rsidRPr="00AA1421">
              <w:t>0640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17.2.2</w:t>
            </w:r>
            <w:r w:rsidR="00744F50" w:rsidRPr="00AA1421">
              <w:rPr>
                <w:b/>
                <w:u w:val="single"/>
              </w:rPr>
              <w:tab/>
            </w:r>
            <w:r w:rsidRPr="00AA1421">
              <w:rPr>
                <w:rStyle w:val="InstructionsTabelleberschrift"/>
                <w:rFonts w:ascii="Times New Roman" w:hAnsi="Times New Roman"/>
                <w:sz w:val="24"/>
              </w:rPr>
              <w:t>(-) Dozwolone kompensowanie pozycji krótkich w odniesieniu do pośrednich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14 oraz </w:t>
            </w:r>
            <w:r w:rsidRPr="00084F66">
              <w:t>art.</w:t>
            </w:r>
            <w:r w:rsidR="00084F66" w:rsidRPr="00084F66">
              <w:t> </w:t>
            </w:r>
            <w:r w:rsidRPr="00084F66">
              <w:t>6</w:t>
            </w:r>
            <w:r w:rsidRPr="00AA1421">
              <w:t>9 CRR</w:t>
            </w:r>
          </w:p>
          <w:p w:rsidR="00674BF5" w:rsidRPr="00AA1421" w:rsidRDefault="00674BF5" w:rsidP="00487A02">
            <w:pPr>
              <w:pStyle w:val="InstructionsText"/>
            </w:pPr>
            <w:r w:rsidRPr="00AA1421">
              <w:t xml:space="preserve">W </w:t>
            </w:r>
            <w:r w:rsidRPr="00084F66">
              <w:t>art.</w:t>
            </w:r>
            <w:r w:rsidR="00084F66" w:rsidRPr="00084F66">
              <w:t> </w:t>
            </w:r>
            <w:r w:rsidRPr="00084F66">
              <w:t>6</w:t>
            </w:r>
            <w:r w:rsidRPr="00AA1421">
              <w:t xml:space="preserve">9 </w:t>
            </w:r>
            <w:r w:rsidRPr="00084F66">
              <w:t>lit.</w:t>
            </w:r>
            <w:r w:rsidR="00084F66" w:rsidRPr="00084F66">
              <w:t> </w:t>
            </w:r>
            <w:r w:rsidRPr="00084F66">
              <w:t>a)</w:t>
            </w:r>
            <w:r w:rsidRPr="00AA1421">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0641</w:t>
            </w:r>
          </w:p>
        </w:tc>
        <w:tc>
          <w:tcPr>
            <w:tcW w:w="7049" w:type="dxa"/>
            <w:vAlign w:val="center"/>
          </w:tcPr>
          <w:p w:rsidR="00674BF5" w:rsidRPr="00AA1421" w:rsidRDefault="00674BF5" w:rsidP="00487A02">
            <w:pPr>
              <w:pStyle w:val="InstructionsText"/>
            </w:pPr>
            <w:r w:rsidRPr="00AA1421">
              <w:rPr>
                <w:rStyle w:val="InstructionsTabelleberschrift"/>
                <w:rFonts w:ascii="Times New Roman" w:hAnsi="Times New Roman"/>
                <w:sz w:val="24"/>
              </w:rPr>
              <w:t>17.3</w:t>
            </w:r>
            <w:r w:rsidR="00744F50" w:rsidRPr="00AA1421">
              <w:rPr>
                <w:b/>
                <w:u w:val="single"/>
              </w:rPr>
              <w:tab/>
            </w:r>
            <w:r w:rsidRPr="00AA1421">
              <w:rPr>
                <w:rStyle w:val="InstructionsTabelleberschrift"/>
                <w:rFonts w:ascii="Times New Roman" w:hAnsi="Times New Roman"/>
                <w:sz w:val="24"/>
              </w:rPr>
              <w:t xml:space="preserve">Syntetyczne udziały kapitałowe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tc>
      </w:tr>
      <w:tr w:rsidR="00674BF5" w:rsidRPr="00AA1421" w:rsidTr="00674BF5">
        <w:tc>
          <w:tcPr>
            <w:tcW w:w="1474" w:type="dxa"/>
          </w:tcPr>
          <w:p w:rsidR="00674BF5" w:rsidRPr="00AA1421" w:rsidRDefault="00754ADC" w:rsidP="00487A02">
            <w:pPr>
              <w:pStyle w:val="InstructionsText"/>
            </w:pPr>
            <w:r w:rsidRPr="00AA1421">
              <w:t>0642</w:t>
            </w:r>
          </w:p>
        </w:tc>
        <w:tc>
          <w:tcPr>
            <w:tcW w:w="7049" w:type="dxa"/>
            <w:vAlign w:val="center"/>
          </w:tcPr>
          <w:p w:rsidR="00674BF5" w:rsidRPr="00AA1421" w:rsidRDefault="00674BF5" w:rsidP="00487A02">
            <w:pPr>
              <w:pStyle w:val="InstructionsText"/>
            </w:pPr>
            <w:r w:rsidRPr="00AA1421">
              <w:rPr>
                <w:rStyle w:val="InstructionsTabelleberschrift"/>
                <w:rFonts w:ascii="Times New Roman" w:hAnsi="Times New Roman"/>
                <w:sz w:val="24"/>
              </w:rPr>
              <w:t>17.3.1</w:t>
            </w:r>
            <w:r w:rsidR="00744F50" w:rsidRPr="00AA1421">
              <w:rPr>
                <w:b/>
                <w:u w:val="single"/>
              </w:rPr>
              <w:tab/>
            </w:r>
            <w:r w:rsidRPr="00AA1421">
              <w:rPr>
                <w:rStyle w:val="InstructionsTabelleberschrift"/>
                <w:rFonts w:ascii="Times New Roman" w:hAnsi="Times New Roman"/>
                <w:sz w:val="24"/>
              </w:rPr>
              <w:t xml:space="preserve">Syntetyczne udziały kapitałowe brutto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6</w:t>
            </w:r>
            <w:r w:rsidRPr="00AA1421">
              <w:t xml:space="preserve">8 i </w:t>
            </w:r>
            <w:r w:rsidRPr="00084F66">
              <w:t>art.</w:t>
            </w:r>
            <w:r w:rsidR="00084F66" w:rsidRPr="00084F66">
              <w:t> </w:t>
            </w:r>
            <w:r w:rsidRPr="00084F66">
              <w:t>6</w:t>
            </w:r>
            <w:r w:rsidRPr="00AA1421">
              <w:t>9 CRR</w:t>
            </w:r>
          </w:p>
        </w:tc>
      </w:tr>
      <w:tr w:rsidR="00674BF5" w:rsidRPr="00AA1421" w:rsidTr="00674BF5">
        <w:tc>
          <w:tcPr>
            <w:tcW w:w="1474" w:type="dxa"/>
          </w:tcPr>
          <w:p w:rsidR="00674BF5" w:rsidRPr="00AA1421" w:rsidRDefault="00754ADC" w:rsidP="00487A02">
            <w:pPr>
              <w:pStyle w:val="InstructionsText"/>
            </w:pPr>
            <w:r w:rsidRPr="00AA1421">
              <w:t>0643</w:t>
            </w:r>
          </w:p>
        </w:tc>
        <w:tc>
          <w:tcPr>
            <w:tcW w:w="7049" w:type="dxa"/>
            <w:vAlign w:val="center"/>
          </w:tcPr>
          <w:p w:rsidR="00674BF5" w:rsidRPr="00AA1421" w:rsidRDefault="00674BF5" w:rsidP="00487A02">
            <w:pPr>
              <w:pStyle w:val="InstructionsText"/>
            </w:pPr>
            <w:r w:rsidRPr="00AA1421">
              <w:rPr>
                <w:rStyle w:val="InstructionsTabelleberschrift"/>
                <w:rFonts w:ascii="Times New Roman" w:hAnsi="Times New Roman"/>
                <w:sz w:val="24"/>
              </w:rPr>
              <w:t>17.3.2</w:t>
            </w:r>
            <w:r w:rsidR="00744F50" w:rsidRPr="00AA1421">
              <w:rPr>
                <w:b/>
                <w:u w:val="single"/>
              </w:rPr>
              <w:tab/>
            </w:r>
            <w:r w:rsidRPr="00AA1421">
              <w:rPr>
                <w:rStyle w:val="InstructionsTabelleberschrift"/>
                <w:rFonts w:ascii="Times New Roman" w:hAnsi="Times New Roman"/>
                <w:sz w:val="24"/>
              </w:rPr>
              <w:t>(-) Dozwolone kompensowanie pozycji krótkich w odniesieniu do syntetycznych udziałów kapitałowych brutto ujętych powyżej</w:t>
            </w:r>
          </w:p>
          <w:p w:rsidR="00674BF5" w:rsidRPr="00AA1421" w:rsidRDefault="00674BF5" w:rsidP="00487A02">
            <w:pPr>
              <w:pStyle w:val="InstructionsText"/>
            </w:pPr>
            <w:r w:rsidRPr="00AA1421">
              <w:t xml:space="preserve">Art. 4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 xml:space="preserve">26 oraz </w:t>
            </w:r>
            <w:r w:rsidRPr="00084F66">
              <w:t>art.</w:t>
            </w:r>
            <w:r w:rsidR="00084F66" w:rsidRPr="00084F66">
              <w:t> </w:t>
            </w:r>
            <w:r w:rsidRPr="00084F66">
              <w:t>6</w:t>
            </w:r>
            <w:r w:rsidRPr="00AA1421">
              <w:t>9 CRR</w:t>
            </w:r>
          </w:p>
          <w:p w:rsidR="002D31E5" w:rsidRPr="00AA1421" w:rsidRDefault="000D04B6" w:rsidP="000D04B6">
            <w:pPr>
              <w:pStyle w:val="InstructionsText"/>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sz w:val="24"/>
                <w:u w:val="none"/>
              </w:rPr>
              <w:t xml:space="preserve">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9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674BF5" w:rsidRPr="00AA1421" w:rsidTr="00674BF5">
        <w:tc>
          <w:tcPr>
            <w:tcW w:w="1474" w:type="dxa"/>
          </w:tcPr>
          <w:p w:rsidR="00674BF5" w:rsidRPr="00AA1421" w:rsidRDefault="00754ADC" w:rsidP="00487A02">
            <w:pPr>
              <w:pStyle w:val="InstructionsText"/>
            </w:pPr>
            <w:r w:rsidRPr="00AA1421">
              <w:t>0650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 xml:space="preserve">18 Ekspozycje ważone ryzykiem z tytułu udziałów kapitałowych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nieodliczone od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instytucji</w:t>
            </w:r>
          </w:p>
          <w:p w:rsidR="00674BF5" w:rsidRPr="00AA1421" w:rsidRDefault="00674BF5" w:rsidP="00487A02">
            <w:pPr>
              <w:pStyle w:val="InstructionsText"/>
            </w:pPr>
            <w:r w:rsidRPr="00AA1421">
              <w:t xml:space="preserve">Art. 46 </w:t>
            </w:r>
            <w:r w:rsidRPr="00084F66">
              <w:t>ust.</w:t>
            </w:r>
            <w:r w:rsidR="00084F66" w:rsidRPr="00084F66">
              <w:t> </w:t>
            </w:r>
            <w:r w:rsidRPr="00084F66">
              <w:t>4</w:t>
            </w:r>
            <w:r w:rsidRPr="00AA1421">
              <w:t xml:space="preserve">, </w:t>
            </w:r>
            <w:r w:rsidRPr="00084F66">
              <w:t>art.</w:t>
            </w:r>
            <w:r w:rsidR="00084F66" w:rsidRPr="00084F66">
              <w:t> </w:t>
            </w:r>
            <w:r w:rsidRPr="00084F66">
              <w:t>4</w:t>
            </w:r>
            <w:r w:rsidRPr="00AA1421">
              <w:t xml:space="preserve">8 </w:t>
            </w:r>
            <w:r w:rsidRPr="00084F66">
              <w:t>ust.</w:t>
            </w:r>
            <w:r w:rsidR="00084F66" w:rsidRPr="00084F66">
              <w:t> </w:t>
            </w:r>
            <w:r w:rsidRPr="00084F66">
              <w:t>4</w:t>
            </w:r>
            <w:r w:rsidRPr="00AA1421">
              <w:t xml:space="preserve"> i </w:t>
            </w:r>
            <w:r w:rsidRPr="00084F66">
              <w:t>art.</w:t>
            </w:r>
            <w:r w:rsidR="00084F66" w:rsidRPr="00084F66">
              <w:t> </w:t>
            </w:r>
            <w:r w:rsidRPr="00084F66">
              <w:t>4</w:t>
            </w:r>
            <w:r w:rsidRPr="00AA1421">
              <w:t xml:space="preserve">9 </w:t>
            </w:r>
            <w:r w:rsidRPr="00084F66">
              <w:t>ust.</w:t>
            </w:r>
            <w:r w:rsidR="00084F66" w:rsidRPr="00084F66">
              <w:t> </w:t>
            </w:r>
            <w:r w:rsidRPr="00084F66">
              <w:t>4</w:t>
            </w:r>
            <w:r w:rsidRPr="00AA1421">
              <w:t xml:space="preserve"> CRR</w:t>
            </w:r>
          </w:p>
        </w:tc>
      </w:tr>
      <w:tr w:rsidR="00674BF5" w:rsidRPr="00AA1421" w:rsidTr="00674BF5">
        <w:tc>
          <w:tcPr>
            <w:tcW w:w="1474" w:type="dxa"/>
          </w:tcPr>
          <w:p w:rsidR="00674BF5" w:rsidRPr="00AA1421" w:rsidRDefault="00754ADC" w:rsidP="00487A02">
            <w:pPr>
              <w:pStyle w:val="InstructionsText"/>
            </w:pPr>
            <w:r w:rsidRPr="00AA1421">
              <w:lastRenderedPageBreak/>
              <w:t>0660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 xml:space="preserve">19 Ekspozycje ważone ryzykiem z tytułu udziałów kapitałowych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nieodliczone od kapitału dodatkowego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instytucji</w:t>
            </w:r>
          </w:p>
          <w:p w:rsidR="00674BF5" w:rsidRPr="00AA1421" w:rsidRDefault="00674BF5" w:rsidP="00487A02">
            <w:pPr>
              <w:pStyle w:val="InstructionsText"/>
            </w:pPr>
            <w:r w:rsidRPr="00AA1421">
              <w:t>Art. 60 ust. 4 CRR</w:t>
            </w:r>
          </w:p>
        </w:tc>
      </w:tr>
      <w:tr w:rsidR="00674BF5" w:rsidRPr="00AA1421" w:rsidTr="00674BF5">
        <w:tc>
          <w:tcPr>
            <w:tcW w:w="1474" w:type="dxa"/>
          </w:tcPr>
          <w:p w:rsidR="00674BF5" w:rsidRPr="00AA1421" w:rsidRDefault="00754ADC" w:rsidP="00487A02">
            <w:pPr>
              <w:pStyle w:val="InstructionsText"/>
            </w:pPr>
            <w:r w:rsidRPr="00AA1421">
              <w:t>0670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 xml:space="preserve">20 Ekspozycje ważone ryzykiem z tytułu udziałów kapitałowych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nieodliczone od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instytucji</w:t>
            </w:r>
          </w:p>
          <w:p w:rsidR="00674BF5" w:rsidRPr="00AA1421" w:rsidRDefault="00674BF5" w:rsidP="00487A02">
            <w:pPr>
              <w:pStyle w:val="InstructionsText"/>
            </w:pPr>
            <w:r w:rsidRPr="00AA1421">
              <w:t>Art. 70 ust. 4 CRR</w:t>
            </w:r>
          </w:p>
        </w:tc>
      </w:tr>
      <w:tr w:rsidR="00674BF5" w:rsidRPr="00AA1421" w:rsidTr="00674BF5">
        <w:tc>
          <w:tcPr>
            <w:tcW w:w="1474" w:type="dxa"/>
          </w:tcPr>
          <w:p w:rsidR="00674BF5" w:rsidRPr="00AA1421" w:rsidRDefault="00754ADC" w:rsidP="00487A02">
            <w:pPr>
              <w:pStyle w:val="InstructionsText"/>
            </w:pPr>
            <w:r w:rsidRPr="00AA1421">
              <w:t>0680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21</w:t>
            </w:r>
            <w:r w:rsidR="00744F50" w:rsidRPr="00AA1421">
              <w:rPr>
                <w:b/>
                <w:u w:val="single"/>
              </w:rPr>
              <w:tab/>
            </w:r>
            <w:r w:rsidRPr="00AA1421">
              <w:rPr>
                <w:rStyle w:val="InstructionsTabelleberschrift"/>
                <w:rFonts w:ascii="Times New Roman" w:hAnsi="Times New Roman"/>
                <w:sz w:val="24"/>
              </w:rPr>
              <w:t xml:space="preserve">Posiadane instrumenty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 podlegające tymczasowemu odstępstwu</w:t>
            </w:r>
          </w:p>
          <w:p w:rsidR="00674BF5" w:rsidRPr="00AA1421" w:rsidRDefault="00674BF5" w:rsidP="00487A02">
            <w:pPr>
              <w:pStyle w:val="InstructionsText"/>
            </w:pPr>
            <w:r w:rsidRPr="00AA1421">
              <w:t>Art. 79 CRR</w:t>
            </w:r>
          </w:p>
          <w:p w:rsidR="00674BF5" w:rsidRPr="00AA1421" w:rsidRDefault="00674BF5" w:rsidP="00487A02">
            <w:pPr>
              <w:pStyle w:val="InstructionsText"/>
            </w:pPr>
            <w:r w:rsidRPr="00AA1421">
              <w:t xml:space="preserve">Właściwy organ może tymczasowo odstąpić od stosowania przepisów dotyczących odliczania od kapitału podstawowego </w:t>
            </w:r>
            <w:proofErr w:type="spellStart"/>
            <w:r w:rsidRPr="00AA1421">
              <w:t>Tier</w:t>
            </w:r>
            <w:proofErr w:type="spellEnd"/>
            <w:r w:rsidRPr="00AA1421">
              <w:t xml:space="preserve"> I z powodu posiadanych przez instytucję instrumentów określonego podmiotu sektora finansowego, jeżeli uzna, że celem tych posiadanych udziałów jest pomoc finansowa przeznaczona na reorganizację i uratowanie tej jednostki.</w:t>
            </w:r>
          </w:p>
          <w:p w:rsidR="00674BF5" w:rsidRPr="00AA1421" w:rsidRDefault="00674BF5" w:rsidP="00487A02">
            <w:pPr>
              <w:pStyle w:val="InstructionsText"/>
            </w:pPr>
            <w:r w:rsidRPr="00AA1421">
              <w:t>Należy zauważyć, że instrumenty te zgłasza się również w pozycji 12.1.</w:t>
            </w:r>
          </w:p>
        </w:tc>
      </w:tr>
      <w:tr w:rsidR="00674BF5" w:rsidRPr="00AA1421" w:rsidTr="00674BF5">
        <w:tc>
          <w:tcPr>
            <w:tcW w:w="1474" w:type="dxa"/>
          </w:tcPr>
          <w:p w:rsidR="00674BF5" w:rsidRPr="00AA1421" w:rsidRDefault="00754ADC" w:rsidP="00487A02">
            <w:pPr>
              <w:pStyle w:val="InstructionsText"/>
            </w:pPr>
            <w:r w:rsidRPr="00AA1421">
              <w:t>0690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22</w:t>
            </w:r>
            <w:r w:rsidR="00744F50" w:rsidRPr="00AA1421">
              <w:rPr>
                <w:b/>
                <w:u w:val="single"/>
              </w:rPr>
              <w:tab/>
            </w:r>
            <w:r w:rsidRPr="00AA1421">
              <w:rPr>
                <w:rStyle w:val="InstructionsTabelleberschrift"/>
                <w:rFonts w:ascii="Times New Roman" w:hAnsi="Times New Roman"/>
                <w:sz w:val="24"/>
              </w:rPr>
              <w:t xml:space="preserve">Posiadane instrumenty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 podlegające tymczasowemu odstępstwu</w:t>
            </w:r>
          </w:p>
          <w:p w:rsidR="00674BF5" w:rsidRPr="00AA1421" w:rsidRDefault="00674BF5" w:rsidP="00487A02">
            <w:pPr>
              <w:pStyle w:val="InstructionsText"/>
            </w:pPr>
            <w:r w:rsidRPr="00AA1421">
              <w:t>Art. 79 CRR</w:t>
            </w:r>
          </w:p>
          <w:p w:rsidR="00674BF5" w:rsidRPr="00AA1421" w:rsidRDefault="00674BF5" w:rsidP="00487A02">
            <w:pPr>
              <w:pStyle w:val="InstructionsText"/>
            </w:pPr>
            <w:r w:rsidRPr="00AA1421">
              <w:t xml:space="preserve">Właściwy organ może odstąpić od stosowania przepisów dotyczących odliczania od kapitału podstawowego </w:t>
            </w:r>
            <w:proofErr w:type="spellStart"/>
            <w:r w:rsidRPr="00AA1421">
              <w:t>Tier</w:t>
            </w:r>
            <w:proofErr w:type="spellEnd"/>
            <w:r w:rsidRPr="00AA1421">
              <w:t xml:space="preserve"> I z powodu posiadanych przez instytucję instrumentów określonego podmiotu sektora finansowego, jeżeli uzna, że celem tych posiadanych udziałów jest pomoc finansowa przeznaczona na reorganizację i uratowanie tej jednostki.</w:t>
            </w:r>
          </w:p>
          <w:p w:rsidR="00674BF5" w:rsidRPr="00AA1421" w:rsidRDefault="00674BF5" w:rsidP="00487A02">
            <w:pPr>
              <w:pStyle w:val="InstructionsText"/>
            </w:pPr>
            <w:r w:rsidRPr="00AA1421">
              <w:t>Należy zauważyć, że instrumenty te zgłasza się również w pozycji 15.1.</w:t>
            </w:r>
          </w:p>
        </w:tc>
      </w:tr>
      <w:tr w:rsidR="00674BF5" w:rsidRPr="00AA1421" w:rsidTr="00674BF5">
        <w:tc>
          <w:tcPr>
            <w:tcW w:w="1474" w:type="dxa"/>
          </w:tcPr>
          <w:p w:rsidR="00674BF5" w:rsidRPr="00AA1421" w:rsidRDefault="00754ADC" w:rsidP="00487A02">
            <w:pPr>
              <w:pStyle w:val="InstructionsText"/>
            </w:pPr>
            <w:r w:rsidRPr="00AA1421">
              <w:t>0700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23</w:t>
            </w:r>
            <w:r w:rsidR="00744F50" w:rsidRPr="00AA1421">
              <w:rPr>
                <w:b/>
                <w:u w:val="single"/>
              </w:rPr>
              <w:tab/>
            </w:r>
            <w:r w:rsidRPr="00AA1421">
              <w:rPr>
                <w:rStyle w:val="InstructionsTabelleberschrift"/>
                <w:rFonts w:ascii="Times New Roman" w:hAnsi="Times New Roman"/>
                <w:sz w:val="24"/>
              </w:rPr>
              <w:t xml:space="preserve">Posiadane instrumenty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nie dokonała znacznej inwestycji w te podmioty, podlegające tymczasowemu odstępstwu</w:t>
            </w:r>
          </w:p>
          <w:p w:rsidR="00674BF5" w:rsidRPr="00AA1421" w:rsidRDefault="00674BF5" w:rsidP="00487A02">
            <w:pPr>
              <w:pStyle w:val="InstructionsText"/>
            </w:pPr>
            <w:r w:rsidRPr="00AA1421">
              <w:t>Art. 79 CRR</w:t>
            </w:r>
          </w:p>
          <w:p w:rsidR="00674BF5" w:rsidRPr="00AA1421" w:rsidRDefault="00674BF5" w:rsidP="00487A02">
            <w:pPr>
              <w:pStyle w:val="InstructionsText"/>
            </w:pPr>
            <w:r w:rsidRPr="00AA1421">
              <w:t xml:space="preserve">Właściwy organ może tymczasowo odstąpić od stosowania przepisów dotyczących odliczania od kapitału dodatkowego </w:t>
            </w:r>
            <w:proofErr w:type="spellStart"/>
            <w:r w:rsidRPr="00AA1421">
              <w:t>Tier</w:t>
            </w:r>
            <w:proofErr w:type="spellEnd"/>
            <w:r w:rsidRPr="00AA1421">
              <w:t xml:space="preserve"> I z powodu posiadanych przez instytucję instrumentów określonego podmiotu sektora finansowego, jeżeli uzna, że celem tych posiadanych udziałów jest pomoc finansowa przeznaczona na reorganizację i uratowanie tej jednostki.</w:t>
            </w:r>
          </w:p>
          <w:p w:rsidR="00674BF5" w:rsidRPr="00AA1421" w:rsidRDefault="00674BF5" w:rsidP="00487A02">
            <w:pPr>
              <w:pStyle w:val="InstructionsText"/>
            </w:pPr>
            <w:r w:rsidRPr="00AA1421">
              <w:t>Należy zauważyć, że instrumenty te zgłasza się również w pozycji 13.1.</w:t>
            </w:r>
          </w:p>
        </w:tc>
      </w:tr>
      <w:tr w:rsidR="00674BF5" w:rsidRPr="00AA1421" w:rsidTr="00674BF5">
        <w:tc>
          <w:tcPr>
            <w:tcW w:w="1474" w:type="dxa"/>
          </w:tcPr>
          <w:p w:rsidR="00674BF5" w:rsidRPr="00AA1421" w:rsidRDefault="00754ADC" w:rsidP="00487A02">
            <w:pPr>
              <w:pStyle w:val="InstructionsText"/>
            </w:pPr>
            <w:r w:rsidRPr="00AA1421">
              <w:lastRenderedPageBreak/>
              <w:t>0710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24</w:t>
            </w:r>
            <w:r w:rsidR="00744F50" w:rsidRPr="00AA1421">
              <w:rPr>
                <w:b/>
                <w:u w:val="single"/>
              </w:rPr>
              <w:tab/>
            </w:r>
            <w:r w:rsidRPr="00AA1421">
              <w:rPr>
                <w:rStyle w:val="InstructionsTabelleberschrift"/>
                <w:rFonts w:ascii="Times New Roman" w:hAnsi="Times New Roman"/>
                <w:sz w:val="24"/>
              </w:rPr>
              <w:t xml:space="preserve">Posiadane instrumenty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 podlegające tymczasowemu odstępstwu</w:t>
            </w:r>
          </w:p>
          <w:p w:rsidR="00674BF5" w:rsidRPr="00AA1421" w:rsidRDefault="00674BF5" w:rsidP="00487A02">
            <w:pPr>
              <w:pStyle w:val="InstructionsText"/>
            </w:pPr>
            <w:r w:rsidRPr="00AA1421">
              <w:t>Art. 79 CRR</w:t>
            </w:r>
          </w:p>
          <w:p w:rsidR="00674BF5" w:rsidRPr="00AA1421" w:rsidRDefault="00674BF5" w:rsidP="00487A02">
            <w:pPr>
              <w:pStyle w:val="InstructionsText"/>
            </w:pPr>
            <w:r w:rsidRPr="00AA1421">
              <w:t xml:space="preserve">Właściwy organ może tymczasowo odstąpić od stosowania przepisów dotyczących odliczania od kapitału dodatkowego </w:t>
            </w:r>
            <w:proofErr w:type="spellStart"/>
            <w:r w:rsidRPr="00AA1421">
              <w:t>Tier</w:t>
            </w:r>
            <w:proofErr w:type="spellEnd"/>
            <w:r w:rsidRPr="00AA1421">
              <w:t xml:space="preserve"> I z powodu posiadanych przez instytucję instrumentów określonego podmiotu sektora finansowego, jeżeli uzna, że celem tych posiadanych udziałów jest pomoc finansowa przeznaczona na reorganizację i uratowanie tej jednostki.</w:t>
            </w:r>
          </w:p>
          <w:p w:rsidR="00674BF5" w:rsidRPr="00AA1421" w:rsidRDefault="00674BF5" w:rsidP="00487A02">
            <w:pPr>
              <w:pStyle w:val="InstructionsText"/>
            </w:pPr>
            <w:r w:rsidRPr="00AA1421">
              <w:t>Należy zauważyć, że instrumenty te zgłasza się również w pozycji 16.1.</w:t>
            </w:r>
          </w:p>
        </w:tc>
      </w:tr>
      <w:tr w:rsidR="00674BF5" w:rsidRPr="00AA1421" w:rsidTr="00674BF5">
        <w:tc>
          <w:tcPr>
            <w:tcW w:w="1474" w:type="dxa"/>
          </w:tcPr>
          <w:p w:rsidR="00674BF5" w:rsidRPr="00AA1421" w:rsidRDefault="00754ADC" w:rsidP="00487A02">
            <w:pPr>
              <w:pStyle w:val="InstructionsText"/>
            </w:pPr>
            <w:r w:rsidRPr="00AA1421">
              <w:t>0720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25</w:t>
            </w:r>
            <w:r w:rsidR="00744F50" w:rsidRPr="00AA1421">
              <w:rPr>
                <w:b/>
                <w:u w:val="single"/>
              </w:rPr>
              <w:tab/>
            </w:r>
            <w:r w:rsidRPr="00AA1421">
              <w:rPr>
                <w:rStyle w:val="InstructionsTabelleberschrift"/>
                <w:rFonts w:ascii="Times New Roman" w:hAnsi="Times New Roman"/>
                <w:sz w:val="24"/>
              </w:rPr>
              <w:t xml:space="preserve">Posiadane instrumenty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nie dokonała znacznej inwestycji w te podmioty, podlegające tymczasowemu odstępstwu</w:t>
            </w:r>
          </w:p>
          <w:p w:rsidR="00674BF5" w:rsidRPr="00AA1421" w:rsidRDefault="00674BF5" w:rsidP="00487A02">
            <w:pPr>
              <w:pStyle w:val="InstructionsText"/>
            </w:pPr>
            <w:r w:rsidRPr="00AA1421">
              <w:t>Art. 79 CRR</w:t>
            </w:r>
          </w:p>
          <w:p w:rsidR="00674BF5" w:rsidRPr="00AA1421" w:rsidRDefault="00674BF5" w:rsidP="00487A02">
            <w:pPr>
              <w:pStyle w:val="InstructionsText"/>
            </w:pPr>
            <w:r w:rsidRPr="00AA1421">
              <w:t xml:space="preserve">Właściwy organ może odstąpić od stosowania przepisów dotyczących odliczania od kapitału </w:t>
            </w:r>
            <w:proofErr w:type="spellStart"/>
            <w:r w:rsidRPr="00AA1421">
              <w:t>Tier</w:t>
            </w:r>
            <w:proofErr w:type="spellEnd"/>
            <w:r w:rsidRPr="00AA1421">
              <w:t xml:space="preserve"> II z powodu posiadanych przez instytucję instrumentów określonego podmiotu sektora finansowego, jeżeli uzna, że celem tych posiadanych udziałów jest pomoc finansowa przeznaczona na reorganizację i uratowanie tej jednostki.</w:t>
            </w:r>
          </w:p>
          <w:p w:rsidR="00674BF5" w:rsidRPr="00AA1421" w:rsidRDefault="00674BF5" w:rsidP="00487A02">
            <w:pPr>
              <w:pStyle w:val="InstructionsText"/>
            </w:pPr>
            <w:r w:rsidRPr="00AA1421">
              <w:t>Należy zauważyć, że instrumenty te zgłasza się również w pozycji 14.1.</w:t>
            </w:r>
          </w:p>
        </w:tc>
      </w:tr>
      <w:tr w:rsidR="00674BF5" w:rsidRPr="00AA1421" w:rsidTr="00674BF5">
        <w:tc>
          <w:tcPr>
            <w:tcW w:w="1474" w:type="dxa"/>
          </w:tcPr>
          <w:p w:rsidR="00674BF5" w:rsidRPr="00AA1421" w:rsidRDefault="00754ADC" w:rsidP="00487A02">
            <w:pPr>
              <w:pStyle w:val="InstructionsText"/>
            </w:pPr>
            <w:r w:rsidRPr="00AA1421">
              <w:t>0730</w:t>
            </w:r>
          </w:p>
        </w:tc>
        <w:tc>
          <w:tcPr>
            <w:tcW w:w="7049" w:type="dxa"/>
          </w:tcPr>
          <w:p w:rsidR="00674BF5" w:rsidRPr="00AA1421" w:rsidRDefault="00674BF5" w:rsidP="00487A02">
            <w:pPr>
              <w:pStyle w:val="InstructionsText"/>
            </w:pPr>
            <w:r w:rsidRPr="00AA1421">
              <w:rPr>
                <w:rStyle w:val="InstructionsTabelleberschrift"/>
                <w:rFonts w:ascii="Times New Roman" w:hAnsi="Times New Roman"/>
                <w:sz w:val="24"/>
              </w:rPr>
              <w:t>26</w:t>
            </w:r>
            <w:r w:rsidR="00744F50" w:rsidRPr="00AA1421">
              <w:rPr>
                <w:b/>
                <w:u w:val="single"/>
              </w:rPr>
              <w:tab/>
            </w:r>
            <w:r w:rsidRPr="00AA1421">
              <w:rPr>
                <w:rStyle w:val="InstructionsTabelleberschrift"/>
                <w:rFonts w:ascii="Times New Roman" w:hAnsi="Times New Roman"/>
                <w:sz w:val="24"/>
              </w:rPr>
              <w:t xml:space="preserve">Posiadane instrumenty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podmiotów sektora finansowego, jeżeli instytucja dokonała znacznej inwestycji w te podmioty, podlegające tymczasowemu odstępstwu</w:t>
            </w:r>
          </w:p>
          <w:p w:rsidR="00674BF5" w:rsidRPr="00AA1421" w:rsidRDefault="00674BF5" w:rsidP="00487A02">
            <w:pPr>
              <w:pStyle w:val="InstructionsText"/>
            </w:pPr>
            <w:r w:rsidRPr="00AA1421">
              <w:t>Art. 79 CRR</w:t>
            </w:r>
          </w:p>
          <w:p w:rsidR="00674BF5" w:rsidRPr="00AA1421" w:rsidRDefault="00674BF5" w:rsidP="00487A02">
            <w:pPr>
              <w:pStyle w:val="InstructionsText"/>
            </w:pPr>
            <w:r w:rsidRPr="00AA1421">
              <w:t xml:space="preserve">Właściwy organ może odstąpić od stosowania przepisów dotyczących odliczania od kapitału </w:t>
            </w:r>
            <w:proofErr w:type="spellStart"/>
            <w:r w:rsidRPr="00AA1421">
              <w:t>Tier</w:t>
            </w:r>
            <w:proofErr w:type="spellEnd"/>
            <w:r w:rsidRPr="00AA1421">
              <w:t xml:space="preserve"> II z powodu posiadanych przez instytucję instrumentów określonego podmiotu sektora finansowego, jeżeli uzna, że celem tych posiadanych udziałów jest pomoc finansowa przeznaczona na reorganizację i uratowanie tej jednostki.</w:t>
            </w:r>
          </w:p>
          <w:p w:rsidR="00674BF5" w:rsidRPr="00AA1421" w:rsidRDefault="00674BF5" w:rsidP="00487A02">
            <w:pPr>
              <w:pStyle w:val="InstructionsText"/>
            </w:pPr>
            <w:r w:rsidRPr="00AA1421">
              <w:t>Należy zauważyć, że instrumenty te zgłasza się również w pozycji 17.1.</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754ADC" w:rsidP="00487A02">
            <w:pPr>
              <w:pStyle w:val="InstructionsText"/>
            </w:pPr>
            <w:r w:rsidRPr="00AA1421">
              <w:t>0740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pPr>
            <w:r w:rsidRPr="00AA1421">
              <w:rPr>
                <w:rStyle w:val="InstructionsTabelleberschrift"/>
                <w:rFonts w:ascii="Times New Roman" w:hAnsi="Times New Roman"/>
                <w:sz w:val="24"/>
              </w:rPr>
              <w:t>27</w:t>
            </w:r>
            <w:r w:rsidR="00744F50" w:rsidRPr="00AA1421">
              <w:rPr>
                <w:b/>
                <w:u w:val="single"/>
              </w:rPr>
              <w:tab/>
            </w:r>
            <w:r w:rsidRPr="00AA1421">
              <w:rPr>
                <w:rStyle w:val="InstructionsTabelleberschrift"/>
                <w:rFonts w:ascii="Times New Roman" w:hAnsi="Times New Roman"/>
                <w:sz w:val="24"/>
              </w:rPr>
              <w:t>Wymóg połączonego bufora</w:t>
            </w:r>
          </w:p>
          <w:p w:rsidR="00674BF5" w:rsidRPr="00AA1421" w:rsidRDefault="00674BF5" w:rsidP="00487A02">
            <w:pPr>
              <w:pStyle w:val="InstructionsText"/>
            </w:pPr>
            <w:r w:rsidRPr="00AA1421">
              <w:t xml:space="preserve">Art. 128 </w:t>
            </w:r>
            <w:r w:rsidRPr="00084F66">
              <w:t>pkt</w:t>
            </w:r>
            <w:r w:rsidR="00084F66" w:rsidRPr="00084F66">
              <w:t> </w:t>
            </w:r>
            <w:r w:rsidRPr="00084F66">
              <w:t>6</w:t>
            </w:r>
            <w:r w:rsidRPr="00AA1421">
              <w:t xml:space="preserve"> CRD</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754ADC" w:rsidP="00487A02">
            <w:pPr>
              <w:pStyle w:val="InstructionsText"/>
            </w:pPr>
            <w:r w:rsidRPr="00AA1421">
              <w:t>0750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pPr>
            <w:r w:rsidRPr="00AA1421">
              <w:rPr>
                <w:rStyle w:val="InstructionsTabelleberschrift"/>
                <w:rFonts w:ascii="Times New Roman" w:hAnsi="Times New Roman"/>
                <w:sz w:val="24"/>
              </w:rPr>
              <w:t>Bufor zabezpieczający</w:t>
            </w:r>
          </w:p>
          <w:p w:rsidR="00674BF5" w:rsidRPr="00AA1421" w:rsidRDefault="00674BF5" w:rsidP="00487A02">
            <w:pPr>
              <w:pStyle w:val="InstructionsText"/>
            </w:pPr>
            <w:r w:rsidRPr="00AA1421">
              <w:t xml:space="preserve">Art. 128 </w:t>
            </w:r>
            <w:r w:rsidRPr="00084F66">
              <w:t>pkt</w:t>
            </w:r>
            <w:r w:rsidR="00084F66" w:rsidRPr="00084F66">
              <w:t> </w:t>
            </w:r>
            <w:r w:rsidRPr="00084F66">
              <w:t>1</w:t>
            </w:r>
            <w:r w:rsidRPr="00AA1421">
              <w:t xml:space="preserve"> i </w:t>
            </w:r>
            <w:r w:rsidRPr="00084F66">
              <w:t>art.</w:t>
            </w:r>
            <w:r w:rsidR="00084F66" w:rsidRPr="00084F66">
              <w:t> </w:t>
            </w:r>
            <w:r w:rsidRPr="00084F66">
              <w:t>1</w:t>
            </w:r>
            <w:r w:rsidRPr="00AA1421">
              <w:t xml:space="preserve">29 CRD </w:t>
            </w:r>
          </w:p>
          <w:p w:rsidR="00674BF5" w:rsidRPr="00AA1421" w:rsidRDefault="00674BF5" w:rsidP="00487A02">
            <w:pPr>
              <w:pStyle w:val="InstructionsText"/>
            </w:pPr>
            <w:r w:rsidRPr="00AA1421">
              <w:t xml:space="preserve">Zgodnie z </w:t>
            </w:r>
            <w:r w:rsidRPr="00084F66">
              <w:t>art.</w:t>
            </w:r>
            <w:r w:rsidR="00084F66" w:rsidRPr="00084F66">
              <w:t> </w:t>
            </w:r>
            <w:r w:rsidRPr="00084F66">
              <w:t>1</w:t>
            </w:r>
            <w:r w:rsidRPr="00AA1421">
              <w:t xml:space="preserve">29 </w:t>
            </w:r>
            <w:r w:rsidRPr="00084F66">
              <w:t>ust.</w:t>
            </w:r>
            <w:r w:rsidR="00084F66" w:rsidRPr="00084F66">
              <w:t> </w:t>
            </w:r>
            <w:r w:rsidRPr="00084F66">
              <w:t>1</w:t>
            </w:r>
            <w:r w:rsidRPr="00AA1421">
              <w:t xml:space="preserve"> CRD bufor zabezpieczający jest dodatkową kwotą kapitału podstawowego </w:t>
            </w:r>
            <w:proofErr w:type="spellStart"/>
            <w:r w:rsidRPr="00AA1421">
              <w:t>Tier</w:t>
            </w:r>
            <w:proofErr w:type="spellEnd"/>
            <w:r w:rsidRPr="00AA1421">
              <w:t xml:space="preserve"> I. Ze względu na fakt, że wynosząca 2,</w:t>
            </w:r>
            <w:r w:rsidRPr="00084F66">
              <w:t>5</w:t>
            </w:r>
            <w:r w:rsidR="00084F66" w:rsidRPr="00084F66">
              <w:t> </w:t>
            </w:r>
            <w:r w:rsidRPr="00084F66">
              <w:t>%</w:t>
            </w:r>
            <w:r w:rsidRPr="00AA1421">
              <w:t xml:space="preserve"> wartość bufora zabezpieczającego jest stała, kwotę zgłasza się w tym wierszu.</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754ADC" w:rsidP="00487A02">
            <w:pPr>
              <w:pStyle w:val="InstructionsText"/>
            </w:pPr>
            <w:r w:rsidRPr="00AA1421">
              <w:t>0760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pPr>
            <w:r w:rsidRPr="00AA1421">
              <w:rPr>
                <w:rStyle w:val="InstructionsTabelleberschrift"/>
                <w:rFonts w:ascii="Times New Roman" w:hAnsi="Times New Roman"/>
                <w:sz w:val="24"/>
              </w:rPr>
              <w:t xml:space="preserve">Bufor zabezpieczający wynikający z ryzyka </w:t>
            </w:r>
            <w:proofErr w:type="spellStart"/>
            <w:r w:rsidRPr="00AA1421">
              <w:rPr>
                <w:rStyle w:val="InstructionsTabelleberschrift"/>
                <w:rFonts w:ascii="Times New Roman" w:hAnsi="Times New Roman"/>
                <w:sz w:val="24"/>
              </w:rPr>
              <w:t>makroostrożnościowego</w:t>
            </w:r>
            <w:proofErr w:type="spellEnd"/>
            <w:r w:rsidRPr="00AA1421">
              <w:rPr>
                <w:rStyle w:val="InstructionsTabelleberschrift"/>
                <w:rFonts w:ascii="Times New Roman" w:hAnsi="Times New Roman"/>
                <w:sz w:val="24"/>
              </w:rPr>
              <w:t xml:space="preserve"> lub ryzyka systemowego zidentyfikowanego na poziomie państwa członkowskiego </w:t>
            </w:r>
          </w:p>
          <w:p w:rsidR="00674BF5" w:rsidRPr="00AA1421" w:rsidRDefault="00674BF5" w:rsidP="00487A02">
            <w:pPr>
              <w:pStyle w:val="InstructionsText"/>
            </w:pPr>
            <w:r w:rsidRPr="00AA1421">
              <w:lastRenderedPageBreak/>
              <w:t xml:space="preserve">Art. 458 </w:t>
            </w:r>
            <w:r w:rsidRPr="00084F66">
              <w:t>ust.</w:t>
            </w:r>
            <w:r w:rsidR="00084F66" w:rsidRPr="00084F66">
              <w:t> </w:t>
            </w:r>
            <w:r w:rsidRPr="00084F66">
              <w:t>2</w:t>
            </w:r>
            <w:r w:rsidRPr="00AA1421">
              <w:t xml:space="preserve"> </w:t>
            </w:r>
            <w:r w:rsidRPr="00084F66">
              <w:t>lit.</w:t>
            </w:r>
            <w:r w:rsidR="00084F66" w:rsidRPr="00084F66">
              <w:t> </w:t>
            </w:r>
            <w:r w:rsidRPr="00084F66">
              <w:t>d)</w:t>
            </w:r>
            <w:r w:rsidRPr="00AA1421">
              <w:t xml:space="preserve"> </w:t>
            </w:r>
            <w:proofErr w:type="spellStart"/>
            <w:r w:rsidRPr="00AA1421">
              <w:t>ppkt</w:t>
            </w:r>
            <w:proofErr w:type="spellEnd"/>
            <w:r w:rsidRPr="00AA1421">
              <w:t xml:space="preserve"> (iv) CRR</w:t>
            </w:r>
          </w:p>
          <w:p w:rsidR="00674BF5" w:rsidRPr="00AA1421" w:rsidRDefault="00674BF5" w:rsidP="00487A02">
            <w:pPr>
              <w:pStyle w:val="InstructionsText"/>
            </w:pPr>
            <w:r w:rsidRPr="00AA1421">
              <w:t xml:space="preserve">W tym wierszu zgłasza się kwotę bufora zabezpieczającego wynikającego z ryzyka </w:t>
            </w:r>
            <w:proofErr w:type="spellStart"/>
            <w:r w:rsidRPr="00AA1421">
              <w:t>makroostrożnościowego</w:t>
            </w:r>
            <w:proofErr w:type="spellEnd"/>
            <w:r w:rsidRPr="00AA1421">
              <w:t xml:space="preserve"> lub ryzyka systemowego zidentyfikowanego na poziomie państwa członkowskiego, która może być wymagana zgodnie z </w:t>
            </w:r>
            <w:r w:rsidRPr="00084F66">
              <w:t>art.</w:t>
            </w:r>
            <w:r w:rsidR="00084F66" w:rsidRPr="00084F66">
              <w:t> </w:t>
            </w:r>
            <w:r w:rsidRPr="00084F66">
              <w:t>4</w:t>
            </w:r>
            <w:r w:rsidRPr="00AA1421">
              <w:t>58 CRR poza buforem zabezpieczającym.</w:t>
            </w:r>
          </w:p>
          <w:p w:rsidR="00674BF5" w:rsidRPr="00AA1421" w:rsidRDefault="00674BF5" w:rsidP="00487A02">
            <w:pPr>
              <w:pStyle w:val="InstructionsText"/>
            </w:pPr>
            <w:r w:rsidRPr="00AA1421">
              <w:t>Zgłoszona kwota odpowiada kwocie funduszy własnych niezbędnych do spełnienia odpowiednich wymogów w zakresie buforów kapitałowych na dzień sprawozdawczy.</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754ADC" w:rsidP="00487A02">
            <w:pPr>
              <w:pStyle w:val="InstructionsText"/>
            </w:pPr>
            <w:r w:rsidRPr="00AA1421">
              <w:lastRenderedPageBreak/>
              <w:t>0770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pPr>
            <w:r w:rsidRPr="00AA1421">
              <w:rPr>
                <w:rStyle w:val="InstructionsTabelleberschrift"/>
                <w:rFonts w:ascii="Times New Roman" w:hAnsi="Times New Roman"/>
                <w:sz w:val="24"/>
              </w:rPr>
              <w:t xml:space="preserve">Specyficzny dla instytucji bufor antycykliczny </w:t>
            </w:r>
          </w:p>
          <w:p w:rsidR="00674BF5" w:rsidRPr="00AA1421" w:rsidRDefault="00674BF5" w:rsidP="00487A02">
            <w:pPr>
              <w:pStyle w:val="InstructionsText"/>
            </w:pPr>
            <w:r w:rsidRPr="00AA1421">
              <w:t xml:space="preserve">Art. 128 </w:t>
            </w:r>
            <w:r w:rsidRPr="00084F66">
              <w:t>pkt</w:t>
            </w:r>
            <w:r w:rsidR="00084F66" w:rsidRPr="00084F66">
              <w:t> </w:t>
            </w:r>
            <w:r w:rsidRPr="00084F66">
              <w:t>2</w:t>
            </w:r>
            <w:r w:rsidRPr="00AA1421">
              <w:t xml:space="preserve"> i </w:t>
            </w:r>
            <w:r w:rsidRPr="00084F66">
              <w:t>art.</w:t>
            </w:r>
            <w:r w:rsidR="00084F66" w:rsidRPr="00084F66">
              <w:t> </w:t>
            </w:r>
            <w:r w:rsidRPr="00084F66">
              <w:t>1</w:t>
            </w:r>
            <w:r w:rsidRPr="00AA1421">
              <w:t xml:space="preserve">30 oraz </w:t>
            </w:r>
            <w:r w:rsidRPr="00084F66">
              <w:t>art.</w:t>
            </w:r>
            <w:r w:rsidR="00084F66" w:rsidRPr="00084F66">
              <w:t> </w:t>
            </w:r>
            <w:r w:rsidRPr="00084F66">
              <w:t>1</w:t>
            </w:r>
            <w:r w:rsidRPr="00AA1421">
              <w:t xml:space="preserve">35–140 CRD </w:t>
            </w:r>
          </w:p>
          <w:p w:rsidR="00674BF5" w:rsidRPr="00AA1421" w:rsidRDefault="00674BF5" w:rsidP="00487A02">
            <w:pPr>
              <w:pStyle w:val="InstructionsText"/>
            </w:pPr>
            <w:r w:rsidRPr="00AA1421">
              <w:t>Zgłoszona kwota odpowiada kwocie funduszy własnych niezbędnych do spełnienia odpowiednich wymogów w zakresie buforów kapitałowych na dzień sprawozdawczy.</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0780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pPr>
            <w:r w:rsidRPr="00AA1421">
              <w:rPr>
                <w:rStyle w:val="InstructionsTabelleberschrift"/>
                <w:rFonts w:ascii="Times New Roman" w:hAnsi="Times New Roman"/>
                <w:sz w:val="24"/>
              </w:rPr>
              <w:t xml:space="preserve">Bufor ryzyka systemowego </w:t>
            </w:r>
          </w:p>
          <w:p w:rsidR="00674BF5" w:rsidRPr="00AA1421" w:rsidRDefault="00674BF5" w:rsidP="00487A02">
            <w:pPr>
              <w:pStyle w:val="InstructionsText"/>
            </w:pPr>
            <w:r w:rsidRPr="00AA1421">
              <w:t xml:space="preserve">Art. 128 </w:t>
            </w:r>
            <w:r w:rsidRPr="00084F66">
              <w:t>pkt</w:t>
            </w:r>
            <w:r w:rsidR="00084F66" w:rsidRPr="00084F66">
              <w:t> </w:t>
            </w:r>
            <w:r w:rsidRPr="00084F66">
              <w:t>5</w:t>
            </w:r>
            <w:r w:rsidRPr="00AA1421">
              <w:t xml:space="preserve"> oraz </w:t>
            </w:r>
            <w:r w:rsidRPr="00084F66">
              <w:t>art.</w:t>
            </w:r>
            <w:r w:rsidR="00084F66" w:rsidRPr="00084F66">
              <w:t> </w:t>
            </w:r>
            <w:r w:rsidRPr="00084F66">
              <w:t>1</w:t>
            </w:r>
            <w:r w:rsidRPr="00AA1421">
              <w:t xml:space="preserve">33 i </w:t>
            </w:r>
            <w:r w:rsidRPr="00084F66">
              <w:t>art.</w:t>
            </w:r>
            <w:r w:rsidR="00084F66" w:rsidRPr="00084F66">
              <w:t> </w:t>
            </w:r>
            <w:r w:rsidRPr="00084F66">
              <w:t>1</w:t>
            </w:r>
            <w:r w:rsidRPr="00AA1421">
              <w:t xml:space="preserve">34 CRD </w:t>
            </w:r>
          </w:p>
          <w:p w:rsidR="00674BF5" w:rsidRPr="00AA1421" w:rsidRDefault="00674BF5" w:rsidP="00487A02">
            <w:pPr>
              <w:pStyle w:val="InstructionsText"/>
            </w:pPr>
            <w:r w:rsidRPr="00AA1421">
              <w:t>Zgłoszona kwota odpowiada kwocie funduszy własnych niezbędnych do spełnienia odpowiednich wymogów w zakresie buforów kapitałowych na dzień sprawozdawczy.</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0800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Bufor globalnych instytucji o znaczeniu systemowym</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128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31 CRD</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Zgłoszona kwota odpowiada kwocie funduszy własnych niezbędnych do spełnienia odpowiednich wymogów w zakresie buforów kapitałowych na dzień sprawozdawczy.</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0810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Bufor innych instytucji o znaczeniu systemowym </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128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31 CRD</w:t>
            </w:r>
          </w:p>
          <w:p w:rsidR="00674BF5" w:rsidRPr="00AA1421" w:rsidRDefault="00674BF5" w:rsidP="00487A02">
            <w:pPr>
              <w:pStyle w:val="InstructionsText"/>
              <w:rPr>
                <w:rStyle w:val="InstructionsTabelleberschrift"/>
                <w:rFonts w:ascii="Times New Roman" w:hAnsi="Times New Roman"/>
                <w:b w:val="0"/>
                <w:bCs w:val="0"/>
                <w:sz w:val="24"/>
                <w:u w:val="none"/>
              </w:rPr>
            </w:pPr>
            <w:r w:rsidRPr="00AA1421">
              <w:t>Zgłoszona kwota odpowiada kwocie funduszy własnych niezbędnych do spełnienia odpowiednich wymogów w zakresie buforów kapitałowych na dzień sprawozdawczy.</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0820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28</w:t>
            </w:r>
            <w:r w:rsidR="00744F50" w:rsidRPr="00AA1421">
              <w:rPr>
                <w:b/>
                <w:u w:val="single"/>
              </w:rPr>
              <w:tab/>
            </w:r>
            <w:r w:rsidRPr="00AA1421">
              <w:rPr>
                <w:rStyle w:val="InstructionsTabelleberschrift"/>
                <w:rFonts w:ascii="Times New Roman" w:hAnsi="Times New Roman"/>
                <w:sz w:val="24"/>
              </w:rPr>
              <w:t>Wymogi w zakresie funduszy własnych związane z korektami w ramach filaru II</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104a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CRD </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Jeżeli właściwy organ uzna, że instytucja musi obliczyć dodatkowe wymogi w zakresie funduszy własnych z powodów związanych z filarem II, te dodatkowe wymogi w zakresie funduszy własnych zgłasza się w tym wierszu. </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0830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29</w:t>
            </w:r>
            <w:r w:rsidR="00744F50" w:rsidRPr="00AA1421">
              <w:rPr>
                <w:b/>
                <w:u w:val="single"/>
              </w:rPr>
              <w:tab/>
            </w:r>
            <w:r w:rsidRPr="00AA1421">
              <w:rPr>
                <w:rStyle w:val="InstructionsTabelleberschrift"/>
                <w:rFonts w:ascii="Times New Roman" w:hAnsi="Times New Roman"/>
                <w:sz w:val="24"/>
              </w:rPr>
              <w:t>Kapitał założycielski</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12 i 28–31 CRD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9</w:t>
            </w:r>
            <w:r w:rsidRPr="00AA1421">
              <w:rPr>
                <w:rStyle w:val="InstructionsTabelleberschrift"/>
                <w:rFonts w:ascii="Times New Roman" w:hAnsi="Times New Roman"/>
                <w:b w:val="0"/>
                <w:sz w:val="24"/>
                <w:u w:val="none"/>
              </w:rPr>
              <w:t>3 CRR</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0840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30</w:t>
            </w:r>
            <w:r w:rsidR="00744F50" w:rsidRPr="00AA1421">
              <w:rPr>
                <w:b/>
                <w:u w:val="single"/>
              </w:rPr>
              <w:tab/>
            </w:r>
            <w:r w:rsidRPr="00AA1421">
              <w:rPr>
                <w:rStyle w:val="InstructionsTabelleberschrift"/>
                <w:rFonts w:ascii="Times New Roman" w:hAnsi="Times New Roman"/>
                <w:sz w:val="24"/>
              </w:rPr>
              <w:t>Fundusze własne oparte na stałych kosztach pośrednich</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96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9</w:t>
            </w:r>
            <w:r w:rsidRPr="00AA1421">
              <w:rPr>
                <w:rStyle w:val="InstructionsTabelleberschrift"/>
                <w:rFonts w:ascii="Times New Roman" w:hAnsi="Times New Roman"/>
                <w:b w:val="0"/>
                <w:sz w:val="24"/>
                <w:u w:val="none"/>
              </w:rPr>
              <w:t xml:space="preserve">7 oraz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9</w:t>
            </w:r>
            <w:r w:rsidRPr="00AA1421">
              <w:rPr>
                <w:rStyle w:val="InstructionsTabelleberschrift"/>
                <w:rFonts w:ascii="Times New Roman" w:hAnsi="Times New Roman"/>
                <w:b w:val="0"/>
                <w:sz w:val="24"/>
                <w:u w:val="none"/>
              </w:rPr>
              <w:t xml:space="preserve">8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t>0850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31</w:t>
            </w:r>
            <w:r w:rsidR="00744F50" w:rsidRPr="00AA1421">
              <w:rPr>
                <w:b/>
                <w:u w:val="single"/>
              </w:rPr>
              <w:tab/>
            </w:r>
            <w:r w:rsidRPr="00AA1421">
              <w:rPr>
                <w:rStyle w:val="InstructionsTabelleberschrift"/>
                <w:rFonts w:ascii="Times New Roman" w:hAnsi="Times New Roman"/>
                <w:sz w:val="24"/>
              </w:rPr>
              <w:t>Zagraniczne pierwotne ekspozycje</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Informacje niezbędne do obliczenia progu dla zgłaszania wzoru CR GB</w:t>
            </w:r>
            <w:r w:rsidRPr="00AA1421">
              <w:t xml:space="preserve">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 niniejszego rozporządzenia wykonawczego. Próg oblicza się na podstawie pierwotnej ekspozycji przed uwzględnieniem współczynników konwersji. </w:t>
            </w:r>
          </w:p>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Ekspozycje uznaje się za krajowe w przypadku, gdy są to ekspozycje wobec kontrahentów zlokalizowanych w państwie członkowskim, w którym dana instytucja ma swoją siedzibę.</w:t>
            </w:r>
          </w:p>
        </w:tc>
      </w:tr>
      <w:tr w:rsidR="00674BF5" w:rsidRPr="00AA1421"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AA1421" w:rsidRDefault="005B76D3" w:rsidP="00487A02">
            <w:pPr>
              <w:pStyle w:val="InstructionsText"/>
            </w:pPr>
            <w:r w:rsidRPr="00AA1421">
              <w:lastRenderedPageBreak/>
              <w:t>0860</w:t>
            </w:r>
          </w:p>
        </w:tc>
        <w:tc>
          <w:tcPr>
            <w:tcW w:w="7049" w:type="dxa"/>
            <w:tcBorders>
              <w:top w:val="single" w:sz="4" w:space="0" w:color="auto"/>
              <w:left w:val="single" w:sz="4" w:space="0" w:color="auto"/>
              <w:bottom w:val="single" w:sz="4" w:space="0" w:color="auto"/>
              <w:right w:val="single" w:sz="4" w:space="0" w:color="auto"/>
            </w:tcBorders>
          </w:tcPr>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32</w:t>
            </w:r>
            <w:r w:rsidR="00744F50" w:rsidRPr="00AA1421">
              <w:rPr>
                <w:b/>
                <w:u w:val="single"/>
              </w:rPr>
              <w:tab/>
            </w:r>
            <w:r w:rsidRPr="00AA1421">
              <w:rPr>
                <w:rStyle w:val="InstructionsTabelleberschrift"/>
                <w:rFonts w:ascii="Times New Roman" w:hAnsi="Times New Roman"/>
                <w:sz w:val="24"/>
              </w:rPr>
              <w:t>Całkowita wartość pierwotnych ekspozycji</w:t>
            </w:r>
          </w:p>
          <w:p w:rsidR="00674BF5" w:rsidRPr="00AA1421" w:rsidRDefault="00674BF5"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Informacje niezbędne do obliczenia progu dla zgłaszania wzoru CR GB</w:t>
            </w:r>
            <w:r w:rsidRPr="00AA1421">
              <w:t xml:space="preserve">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 niniejszego rozporządzenia wykonawczego. Próg oblicza się na podstawie pierwotnej ekspozycji przed uwzględnieniem współczynników konwersji.</w:t>
            </w:r>
          </w:p>
          <w:p w:rsidR="00674BF5" w:rsidRPr="00AA1421" w:rsidRDefault="00674BF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Ekspozycje uznaje się za krajowe w przypadku, gdy są to ekspozycje wobec kontrahentów zlokalizowanych w państwie członkowskim, w którym dana instytucja ma swoją siedzibę.</w:t>
            </w:r>
          </w:p>
        </w:tc>
      </w:tr>
    </w:tbl>
    <w:p w:rsidR="002648B0" w:rsidRPr="00AA1421" w:rsidRDefault="002648B0" w:rsidP="00487A02">
      <w:pPr>
        <w:pStyle w:val="InstructionsText"/>
      </w:pPr>
    </w:p>
    <w:p w:rsidR="002648B0" w:rsidRPr="00AA1421"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58403606"/>
      <w:bookmarkStart w:id="71" w:name="_Toc308175834"/>
      <w:r w:rsidRPr="00AA1421">
        <w:rPr>
          <w:rFonts w:ascii="Times New Roman" w:hAnsi="Times New Roman"/>
          <w:sz w:val="24"/>
        </w:rPr>
        <w:t>1.6</w:t>
      </w:r>
      <w:r w:rsidRPr="00AA1421">
        <w:tab/>
      </w:r>
      <w:r w:rsidRPr="00AA1421">
        <w:rPr>
          <w:rFonts w:ascii="Times New Roman" w:hAnsi="Times New Roman"/>
          <w:sz w:val="24"/>
        </w:rPr>
        <w:t xml:space="preserve">PRZEPISY PRZEJŚCIOWE oraz INSTRUMENTY PODLEGAJĄCE ZASADZIE PRAW NABYTYCH: </w:t>
      </w:r>
      <w:bookmarkStart w:id="72" w:name="_Toc360188333"/>
      <w:r w:rsidRPr="00AA1421">
        <w:rPr>
          <w:rFonts w:ascii="Times New Roman" w:hAnsi="Times New Roman"/>
          <w:sz w:val="24"/>
        </w:rPr>
        <w:t>INSTRUMENTY NIESTANOWIĄCE POMOCY PAŃSTWA (CA5</w:t>
      </w:r>
      <w:bookmarkEnd w:id="72"/>
      <w:r w:rsidRPr="00AA1421">
        <w:rPr>
          <w:rFonts w:ascii="Times New Roman" w:hAnsi="Times New Roman"/>
          <w:sz w:val="24"/>
        </w:rPr>
        <w:t>)</w:t>
      </w:r>
      <w:bookmarkEnd w:id="69"/>
      <w:bookmarkEnd w:id="70"/>
    </w:p>
    <w:p w:rsidR="002648B0" w:rsidRPr="00AA1421"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403607"/>
      <w:bookmarkEnd w:id="71"/>
      <w:r w:rsidRPr="00AA1421">
        <w:rPr>
          <w:rFonts w:ascii="Times New Roman" w:hAnsi="Times New Roman"/>
          <w:sz w:val="24"/>
        </w:rPr>
        <w:t>1.6.1</w:t>
      </w:r>
      <w:r w:rsidRPr="00AA1421">
        <w:tab/>
      </w:r>
      <w:r w:rsidRPr="00AA1421">
        <w:rPr>
          <w:rFonts w:ascii="Times New Roman" w:hAnsi="Times New Roman"/>
          <w:sz w:val="24"/>
        </w:rPr>
        <w:t>Uwagi ogólne</w:t>
      </w:r>
      <w:bookmarkEnd w:id="73"/>
      <w:bookmarkEnd w:id="74"/>
      <w:bookmarkEnd w:id="75"/>
      <w:bookmarkEnd w:id="76"/>
    </w:p>
    <w:p w:rsidR="00783881" w:rsidRPr="00AA1421" w:rsidRDefault="00AA1421" w:rsidP="00487A02">
      <w:pPr>
        <w:pStyle w:val="InstructionsText2"/>
        <w:numPr>
          <w:ilvl w:val="0"/>
          <w:numId w:val="0"/>
        </w:numPr>
        <w:ind w:left="1353" w:hanging="360"/>
      </w:pPr>
      <w:fldSimple w:instr=" seq paragraphs ">
        <w:r w:rsidR="00D11E4C" w:rsidRPr="00AA1421">
          <w:rPr>
            <w:noProof/>
          </w:rPr>
          <w:t>16</w:t>
        </w:r>
      </w:fldSimple>
      <w:r w:rsidR="00D11E4C" w:rsidRPr="00AA1421">
        <w:t>.</w:t>
      </w:r>
      <w:r w:rsidR="00D11E4C" w:rsidRPr="00AA1421">
        <w:tab/>
        <w:t xml:space="preserve">Wzór CA5 zawiera podsumowanie obliczeń składników funduszy własnych i odliczeń podlegających przepisom przejściowym określonym w </w:t>
      </w:r>
      <w:r w:rsidR="00D11E4C" w:rsidRPr="00084F66">
        <w:t>art.</w:t>
      </w:r>
      <w:r w:rsidR="00084F66" w:rsidRPr="00084F66">
        <w:t> </w:t>
      </w:r>
      <w:r w:rsidR="00D11E4C" w:rsidRPr="00084F66">
        <w:t>4</w:t>
      </w:r>
      <w:r w:rsidR="00D11E4C" w:rsidRPr="00AA1421">
        <w:t xml:space="preserve">65–491, 494a i 494b CRR. </w:t>
      </w:r>
    </w:p>
    <w:p w:rsidR="00496C53" w:rsidRPr="00AA1421" w:rsidRDefault="00AA1421" w:rsidP="00487A02">
      <w:pPr>
        <w:pStyle w:val="InstructionsText2"/>
        <w:numPr>
          <w:ilvl w:val="0"/>
          <w:numId w:val="0"/>
        </w:numPr>
        <w:ind w:left="1353" w:hanging="360"/>
      </w:pPr>
      <w:fldSimple w:instr=" seq paragraphs ">
        <w:r w:rsidR="00D11E4C" w:rsidRPr="00AA1421">
          <w:rPr>
            <w:noProof/>
          </w:rPr>
          <w:t>17</w:t>
        </w:r>
      </w:fldSimple>
      <w:r w:rsidR="00D11E4C" w:rsidRPr="00AA1421">
        <w:t>.</w:t>
      </w:r>
      <w:r w:rsidR="00D11E4C" w:rsidRPr="00AA1421">
        <w:tab/>
        <w:t>Struktura CA5 jest następująca:</w:t>
      </w:r>
    </w:p>
    <w:p w:rsidR="002648B0" w:rsidRPr="00AA1421" w:rsidRDefault="00125707" w:rsidP="00487A02">
      <w:pPr>
        <w:pStyle w:val="InstructionsText2"/>
        <w:numPr>
          <w:ilvl w:val="0"/>
          <w:numId w:val="0"/>
        </w:numPr>
        <w:ind w:left="1353" w:hanging="360"/>
      </w:pPr>
      <w:r w:rsidRPr="00AA1421">
        <w:t>a)</w:t>
      </w:r>
      <w:r w:rsidRPr="00AA1421">
        <w:tab/>
        <w:t>Wzór CA5.1 zawiera podsumowanie całkowitych korekt, których należy dokonać w odniesieniu do różnych elementów funduszy własnych (zgłoszonych w CA1 zgodnie z przepisami końcowymi) wskutek stosowania przepisów przejściowych. Elementy tego wzoru są przedstawiane jako „korekty” różnych składników kapitału w CA1, aby odzwierciedlić w składnikach funduszy własnych skutki przepisów przejściowych;</w:t>
      </w:r>
    </w:p>
    <w:p w:rsidR="002648B0" w:rsidRPr="00AA1421" w:rsidRDefault="00125707" w:rsidP="00487A02">
      <w:pPr>
        <w:pStyle w:val="InstructionsText2"/>
        <w:numPr>
          <w:ilvl w:val="0"/>
          <w:numId w:val="0"/>
        </w:numPr>
        <w:ind w:left="1353" w:hanging="360"/>
      </w:pPr>
      <w:r w:rsidRPr="00AA1421">
        <w:t>b)</w:t>
      </w:r>
      <w:r w:rsidRPr="00AA1421">
        <w:tab/>
        <w:t xml:space="preserve">wzór 5.2 zawiera dalsze szczegóły dotyczące obliczania tych instrumentów podlegających zasadzie praw nabytych, które nie stanowią pomocy państwa. </w:t>
      </w:r>
    </w:p>
    <w:bookmarkStart w:id="77" w:name="_Toc307386943"/>
    <w:p w:rsidR="005643EA" w:rsidRPr="00AA1421" w:rsidRDefault="0056002D"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18</w:t>
      </w:r>
      <w:r w:rsidRPr="00AA1421">
        <w:fldChar w:fldCharType="end"/>
      </w:r>
      <w:r w:rsidRPr="00AA1421">
        <w:t>.</w:t>
      </w:r>
      <w:r w:rsidRPr="00AA1421">
        <w:tab/>
        <w:t xml:space="preserve">Instytucje zgłaszają w pierwszych czterech kolumnach korekty kapitału podstawowego </w:t>
      </w:r>
      <w:proofErr w:type="spellStart"/>
      <w:r w:rsidRPr="00AA1421">
        <w:t>Tier</w:t>
      </w:r>
      <w:proofErr w:type="spellEnd"/>
      <w:r w:rsidRPr="00AA1421">
        <w:t xml:space="preserve"> I, kapitału dodatkowego </w:t>
      </w:r>
      <w:proofErr w:type="spellStart"/>
      <w:r w:rsidRPr="00AA1421">
        <w:t>Tier</w:t>
      </w:r>
      <w:proofErr w:type="spellEnd"/>
      <w:r w:rsidRPr="00AA1421">
        <w:t xml:space="preserve"> I </w:t>
      </w:r>
      <w:proofErr w:type="spellStart"/>
      <w:r w:rsidRPr="00AA1421">
        <w:t>i</w:t>
      </w:r>
      <w:proofErr w:type="spellEnd"/>
      <w:r w:rsidRPr="00AA1421">
        <w:t xml:space="preserve"> kapitału </w:t>
      </w:r>
      <w:proofErr w:type="spellStart"/>
      <w:r w:rsidRPr="00AA1421">
        <w:t>Tier</w:t>
      </w:r>
      <w:proofErr w:type="spellEnd"/>
      <w:r w:rsidRPr="00AA1421">
        <w:t xml:space="preserve"> II, a także kwotę, którą należy traktować jako aktywa ważone ryzykiem. Instytucje są również zobowiązane do zgłaszania w kolumnie 0050 mającej zastosowanie wartości procentowej, a w kolumnie 0060 uznanej kwoty bez uwzględnienia przepisów przejściowych.</w:t>
      </w:r>
    </w:p>
    <w:p w:rsidR="005643EA" w:rsidRPr="00AA1421" w:rsidRDefault="00AA1421" w:rsidP="00487A02">
      <w:pPr>
        <w:pStyle w:val="InstructionsText2"/>
        <w:numPr>
          <w:ilvl w:val="0"/>
          <w:numId w:val="0"/>
        </w:numPr>
        <w:ind w:left="1353" w:hanging="360"/>
      </w:pPr>
      <w:fldSimple w:instr=" seq paragraphs ">
        <w:r w:rsidR="00D11E4C" w:rsidRPr="00AA1421">
          <w:rPr>
            <w:noProof/>
          </w:rPr>
          <w:t>19</w:t>
        </w:r>
      </w:fldSimple>
      <w:r w:rsidR="00D11E4C" w:rsidRPr="00AA1421">
        <w:t>.</w:t>
      </w:r>
      <w:r w:rsidR="00D11E4C" w:rsidRPr="00AA1421">
        <w:tab/>
        <w:t>Instytucje zgłaszają elementy w CA5 wyłącznie w okresie, w którym zastosowanie mają przepisy przejściowe określone w części dziesiątej CRR.</w:t>
      </w:r>
    </w:p>
    <w:p w:rsidR="005643EA" w:rsidRPr="00AA1421" w:rsidRDefault="00AA1421" w:rsidP="00487A02">
      <w:pPr>
        <w:pStyle w:val="InstructionsText2"/>
        <w:numPr>
          <w:ilvl w:val="0"/>
          <w:numId w:val="0"/>
        </w:numPr>
        <w:ind w:left="1353" w:hanging="360"/>
      </w:pPr>
      <w:fldSimple w:instr=" seq paragraphs ">
        <w:r w:rsidR="00D11E4C" w:rsidRPr="00AA1421">
          <w:rPr>
            <w:noProof/>
          </w:rPr>
          <w:t>20</w:t>
        </w:r>
      </w:fldSimple>
      <w:r w:rsidR="00D11E4C" w:rsidRPr="00AA1421">
        <w:t>.</w:t>
      </w:r>
      <w:r w:rsidR="00D11E4C" w:rsidRPr="00AA1421">
        <w:tab/>
        <w:t xml:space="preserve">Niektóre przepisy przejściowe zobowiązują do odliczeń od kapitału </w:t>
      </w:r>
      <w:proofErr w:type="spellStart"/>
      <w:r w:rsidR="00D11E4C" w:rsidRPr="00AA1421">
        <w:t>Tier</w:t>
      </w:r>
      <w:proofErr w:type="spellEnd"/>
      <w:r w:rsidR="00D11E4C" w:rsidRPr="00AA1421">
        <w:t xml:space="preserve"> I. W takim przypadku kwota rezydualna odliczenia lub odliczeń stosuje się do kapitału </w:t>
      </w:r>
      <w:proofErr w:type="spellStart"/>
      <w:r w:rsidR="00D11E4C" w:rsidRPr="00AA1421">
        <w:t>Tier</w:t>
      </w:r>
      <w:proofErr w:type="spellEnd"/>
      <w:r w:rsidR="00D11E4C" w:rsidRPr="00AA1421">
        <w:t xml:space="preserve"> I, a jeżeli kapitał dodatkowy </w:t>
      </w:r>
      <w:proofErr w:type="spellStart"/>
      <w:r w:rsidR="00D11E4C" w:rsidRPr="00AA1421">
        <w:t>Tier</w:t>
      </w:r>
      <w:proofErr w:type="spellEnd"/>
      <w:r w:rsidR="00D11E4C" w:rsidRPr="00AA1421">
        <w:t xml:space="preserve"> I jest niewystarczający do absorpcji tej kwoty, wówczas nadwyżkę odlicza się od kapitału podstawowego </w:t>
      </w:r>
      <w:proofErr w:type="spellStart"/>
      <w:r w:rsidR="00D11E4C" w:rsidRPr="00AA1421">
        <w:t>Tier</w:t>
      </w:r>
      <w:proofErr w:type="spellEnd"/>
      <w:r w:rsidR="00D11E4C" w:rsidRPr="00AA1421">
        <w:t xml:space="preserve"> I.</w:t>
      </w:r>
    </w:p>
    <w:p w:rsidR="002648B0" w:rsidRPr="00AA1421"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58403608"/>
      <w:bookmarkStart w:id="80" w:name="_Toc360188335"/>
      <w:bookmarkStart w:id="81" w:name="_Toc308175836"/>
      <w:bookmarkEnd w:id="77"/>
      <w:r w:rsidRPr="00AA1421">
        <w:rPr>
          <w:rFonts w:ascii="Times New Roman" w:hAnsi="Times New Roman"/>
          <w:sz w:val="24"/>
        </w:rPr>
        <w:t>1.6.2.</w:t>
      </w:r>
      <w:r w:rsidRPr="00AA1421">
        <w:tab/>
      </w:r>
      <w:r w:rsidRPr="00AA1421">
        <w:rPr>
          <w:rFonts w:ascii="Times New Roman" w:hAnsi="Times New Roman"/>
          <w:sz w:val="24"/>
        </w:rPr>
        <w:t>C 05.01 – PRZEPISY PRZEJŚCIOWE (CA5.1)</w:t>
      </w:r>
      <w:bookmarkEnd w:id="78"/>
      <w:bookmarkEnd w:id="79"/>
      <w:r w:rsidRPr="00AA1421">
        <w:rPr>
          <w:rFonts w:ascii="Times New Roman" w:hAnsi="Times New Roman"/>
          <w:sz w:val="24"/>
        </w:rPr>
        <w:t xml:space="preserve"> </w:t>
      </w:r>
      <w:bookmarkEnd w:id="80"/>
      <w:bookmarkEnd w:id="81"/>
    </w:p>
    <w:p w:rsidR="002648B0" w:rsidRPr="00AA1421" w:rsidRDefault="00AA1421" w:rsidP="00487A02">
      <w:pPr>
        <w:pStyle w:val="InstructionsText2"/>
        <w:numPr>
          <w:ilvl w:val="0"/>
          <w:numId w:val="0"/>
        </w:numPr>
        <w:ind w:left="1353" w:hanging="360"/>
      </w:pPr>
      <w:fldSimple w:instr=" seq paragraphs ">
        <w:r w:rsidR="00D11E4C" w:rsidRPr="00AA1421">
          <w:rPr>
            <w:noProof/>
          </w:rPr>
          <w:t>21</w:t>
        </w:r>
      </w:fldSimple>
      <w:r w:rsidR="00D11E4C" w:rsidRPr="00AA1421">
        <w:t>.</w:t>
      </w:r>
      <w:r w:rsidR="00D11E4C" w:rsidRPr="00AA1421">
        <w:tab/>
        <w:t xml:space="preserve">Instytucje zgłaszają we wzorze CA5.1 przepisy przejściowe dotyczące składników funduszy własnych zgodnie z </w:t>
      </w:r>
      <w:r w:rsidR="00D11E4C" w:rsidRPr="00084F66">
        <w:t>art.</w:t>
      </w:r>
      <w:r w:rsidR="00084F66" w:rsidRPr="00084F66">
        <w:t> </w:t>
      </w:r>
      <w:r w:rsidR="00D11E4C" w:rsidRPr="00084F66">
        <w:t>4</w:t>
      </w:r>
      <w:r w:rsidR="00D11E4C" w:rsidRPr="00AA1421">
        <w:t xml:space="preserve">65–491, 494a i 494b CRR w porównaniu ze stosowaniem przepisów końcowych określonych w części drugiej tytuł II CRR. </w:t>
      </w:r>
    </w:p>
    <w:p w:rsidR="00783881" w:rsidRPr="00AA1421" w:rsidRDefault="00AA1421" w:rsidP="00487A02">
      <w:pPr>
        <w:pStyle w:val="InstructionsText2"/>
        <w:numPr>
          <w:ilvl w:val="0"/>
          <w:numId w:val="0"/>
        </w:numPr>
        <w:ind w:left="1353" w:hanging="360"/>
      </w:pPr>
      <w:fldSimple w:instr=" seq paragraphs ">
        <w:r w:rsidR="00D11E4C" w:rsidRPr="00AA1421">
          <w:rPr>
            <w:noProof/>
          </w:rPr>
          <w:t>22</w:t>
        </w:r>
      </w:fldSimple>
      <w:r w:rsidR="00D11E4C" w:rsidRPr="00AA1421">
        <w:t>.</w:t>
      </w:r>
      <w:r w:rsidR="00D11E4C" w:rsidRPr="00AA1421">
        <w:tab/>
        <w:t>Instytucje zgłaszają w wierszach 0060–0065 informacje na temat przepisów przejściowych dotyczących instrumentów podlegających zasadzie praw nabytych. Dane liczbowe, które należy zgłosić w wierszu 0060 w CA5.1, odzwierciedlają przepisy przejściowe zawarte w CRR w wersji mającej zastosowanie do dnia 26 czerwca 20</w:t>
      </w:r>
      <w:r w:rsidR="00D11E4C" w:rsidRPr="00084F66">
        <w:t>19</w:t>
      </w:r>
      <w:r w:rsidR="00084F66" w:rsidRPr="00084F66">
        <w:t> </w:t>
      </w:r>
      <w:r w:rsidR="00D11E4C" w:rsidRPr="00084F66">
        <w:t>r.</w:t>
      </w:r>
      <w:r w:rsidR="00D11E4C" w:rsidRPr="00AA1421">
        <w:t xml:space="preserve"> i można je uzyskać na podstawie odpowiednich sekcji CA5.2. Wiersze 0061–0065 odzwierciedlają wpływ przepisów przejściowych zawartych w </w:t>
      </w:r>
      <w:r w:rsidR="00D11E4C" w:rsidRPr="00084F66">
        <w:t>art.</w:t>
      </w:r>
      <w:r w:rsidR="00084F66" w:rsidRPr="00084F66">
        <w:t> </w:t>
      </w:r>
      <w:r w:rsidR="00D11E4C" w:rsidRPr="00084F66">
        <w:t>4</w:t>
      </w:r>
      <w:r w:rsidR="00D11E4C" w:rsidRPr="00AA1421">
        <w:t>94a i 494b CRR.</w:t>
      </w:r>
    </w:p>
    <w:p w:rsidR="00496C53" w:rsidRPr="00AA1421" w:rsidRDefault="00AA1421" w:rsidP="00487A02">
      <w:pPr>
        <w:pStyle w:val="InstructionsText2"/>
        <w:numPr>
          <w:ilvl w:val="0"/>
          <w:numId w:val="0"/>
        </w:numPr>
        <w:ind w:left="1353" w:hanging="360"/>
      </w:pPr>
      <w:fldSimple w:instr=" seq paragraphs ">
        <w:r w:rsidR="00D11E4C" w:rsidRPr="00AA1421">
          <w:rPr>
            <w:noProof/>
          </w:rPr>
          <w:t>23</w:t>
        </w:r>
      </w:fldSimple>
      <w:r w:rsidR="00D11E4C" w:rsidRPr="00AA1421">
        <w:t>.</w:t>
      </w:r>
      <w:r w:rsidR="00D11E4C" w:rsidRPr="00AA1421">
        <w:tab/>
        <w:t xml:space="preserve">W wierszach 0070–0092 instytucje zgłaszają informacje na temat przepisów przejściowych dotyczących udziałów mniejszości i instrumentów dodatkowych w kapitale </w:t>
      </w:r>
      <w:proofErr w:type="spellStart"/>
      <w:r w:rsidR="00D11E4C" w:rsidRPr="00AA1421">
        <w:t>Tier</w:t>
      </w:r>
      <w:proofErr w:type="spellEnd"/>
      <w:r w:rsidR="00D11E4C" w:rsidRPr="00AA1421">
        <w:t xml:space="preserve"> I </w:t>
      </w:r>
      <w:proofErr w:type="spellStart"/>
      <w:r w:rsidR="00D11E4C" w:rsidRPr="00AA1421">
        <w:t>i</w:t>
      </w:r>
      <w:proofErr w:type="spellEnd"/>
      <w:r w:rsidR="00D11E4C" w:rsidRPr="00AA1421">
        <w:t xml:space="preserve"> </w:t>
      </w:r>
      <w:proofErr w:type="spellStart"/>
      <w:r w:rsidR="00D11E4C" w:rsidRPr="00AA1421">
        <w:t>Tier</w:t>
      </w:r>
      <w:proofErr w:type="spellEnd"/>
      <w:r w:rsidR="00D11E4C" w:rsidRPr="00AA1421">
        <w:t xml:space="preserve"> II wyemitowanych przez jednostki zależne (zgodnie z </w:t>
      </w:r>
      <w:r w:rsidR="00D11E4C" w:rsidRPr="00084F66">
        <w:t>art.</w:t>
      </w:r>
      <w:r w:rsidR="00084F66" w:rsidRPr="00084F66">
        <w:t> </w:t>
      </w:r>
      <w:r w:rsidR="00D11E4C" w:rsidRPr="00084F66">
        <w:t>4</w:t>
      </w:r>
      <w:r w:rsidR="00D11E4C" w:rsidRPr="00AA1421">
        <w:t>79 i 480 CRR).</w:t>
      </w:r>
    </w:p>
    <w:p w:rsidR="00783881" w:rsidRPr="00AA1421" w:rsidRDefault="00AA1421" w:rsidP="00487A02">
      <w:pPr>
        <w:pStyle w:val="InstructionsText2"/>
        <w:numPr>
          <w:ilvl w:val="0"/>
          <w:numId w:val="0"/>
        </w:numPr>
        <w:ind w:left="1353" w:hanging="360"/>
      </w:pPr>
      <w:fldSimple w:instr=" seq paragraphs ">
        <w:r w:rsidR="00D11E4C" w:rsidRPr="00AA1421">
          <w:rPr>
            <w:noProof/>
          </w:rPr>
          <w:t>24</w:t>
        </w:r>
      </w:fldSimple>
      <w:r w:rsidR="00D11E4C" w:rsidRPr="00AA1421">
        <w:t>.</w:t>
      </w:r>
      <w:r w:rsidR="00D11E4C" w:rsidRPr="00AA1421">
        <w:tab/>
        <w:t>W wierszu 0100 i w wierszach kolejnych instytucje zgłaszają informacje odnoszące się do wpływu przepisów przejściowych dotyczących niezrealizowanych zysków i strat, odliczeń, dodatkowych filtrów i odliczeń oraz MSSF 9.</w:t>
      </w:r>
    </w:p>
    <w:p w:rsidR="005643EA" w:rsidRPr="00AA1421" w:rsidRDefault="00AA1421" w:rsidP="00487A02">
      <w:pPr>
        <w:pStyle w:val="InstructionsText2"/>
        <w:numPr>
          <w:ilvl w:val="0"/>
          <w:numId w:val="0"/>
        </w:numPr>
        <w:ind w:left="1353" w:hanging="360"/>
      </w:pPr>
      <w:fldSimple w:instr=" seq paragraphs ">
        <w:r w:rsidR="00D11E4C" w:rsidRPr="00AA1421">
          <w:rPr>
            <w:noProof/>
          </w:rPr>
          <w:t>25</w:t>
        </w:r>
      </w:fldSimple>
      <w:r w:rsidR="00D11E4C" w:rsidRPr="00AA1421">
        <w:t>.</w:t>
      </w:r>
      <w:r w:rsidR="00D11E4C" w:rsidRPr="00AA1421">
        <w:tab/>
        <w:t xml:space="preserve">Może się zdarzyć, że odliczenia od kapitału podstawowego </w:t>
      </w:r>
      <w:proofErr w:type="spellStart"/>
      <w:r w:rsidR="00D11E4C" w:rsidRPr="00AA1421">
        <w:t>Tier</w:t>
      </w:r>
      <w:proofErr w:type="spellEnd"/>
      <w:r w:rsidR="00D11E4C" w:rsidRPr="00AA1421">
        <w:t xml:space="preserve"> I, kapitału dodatkowego </w:t>
      </w:r>
      <w:proofErr w:type="spellStart"/>
      <w:r w:rsidR="00D11E4C" w:rsidRPr="00AA1421">
        <w:t>Tier</w:t>
      </w:r>
      <w:proofErr w:type="spellEnd"/>
      <w:r w:rsidR="00D11E4C" w:rsidRPr="00AA1421">
        <w:t xml:space="preserve"> I lub kapitału </w:t>
      </w:r>
      <w:proofErr w:type="spellStart"/>
      <w:r w:rsidR="00D11E4C" w:rsidRPr="00AA1421">
        <w:t>Tier</w:t>
      </w:r>
      <w:proofErr w:type="spellEnd"/>
      <w:r w:rsidR="00D11E4C" w:rsidRPr="00AA1421">
        <w:t xml:space="preserve"> II wynikające z przepisów przejściowych przekraczają kapitał podstawowy </w:t>
      </w:r>
      <w:proofErr w:type="spellStart"/>
      <w:r w:rsidR="00D11E4C" w:rsidRPr="00AA1421">
        <w:t>Tier</w:t>
      </w:r>
      <w:proofErr w:type="spellEnd"/>
      <w:r w:rsidR="00D11E4C" w:rsidRPr="00AA1421">
        <w:t xml:space="preserve"> I, kapitał dodatkowy </w:t>
      </w:r>
      <w:proofErr w:type="spellStart"/>
      <w:r w:rsidR="00D11E4C" w:rsidRPr="00AA1421">
        <w:t>Tier</w:t>
      </w:r>
      <w:proofErr w:type="spellEnd"/>
      <w:r w:rsidR="00D11E4C" w:rsidRPr="00AA1421">
        <w:t xml:space="preserve"> I lub kapitał </w:t>
      </w:r>
      <w:proofErr w:type="spellStart"/>
      <w:r w:rsidR="00D11E4C" w:rsidRPr="00AA1421">
        <w:t>Tier</w:t>
      </w:r>
      <w:proofErr w:type="spellEnd"/>
      <w:r w:rsidR="00D11E4C" w:rsidRPr="00AA1421">
        <w:t xml:space="preserve"> II instytucji. Taki skutek – jeżeli wynika z przepisów przejściowych – zgłasza się we wzorze CA1, wykorzystując odpowiednie komórki. W konsekwencji korekty w kolumnach wzoru CA5 nie obejmują żadnych efektów zewnętrznych w przypadku niewystarczającego dostępnego kapitału. </w:t>
      </w:r>
    </w:p>
    <w:p w:rsidR="002648B0" w:rsidRPr="00AA1421"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403609"/>
      <w:r w:rsidRPr="00AA1421">
        <w:rPr>
          <w:rFonts w:ascii="Times New Roman" w:hAnsi="Times New Roman"/>
          <w:sz w:val="24"/>
        </w:rPr>
        <w:t>1.6.2.1</w:t>
      </w:r>
      <w:r w:rsidRPr="00AA1421">
        <w:tab/>
      </w:r>
      <w:r w:rsidRPr="00AA1421">
        <w:rPr>
          <w:rFonts w:ascii="Times New Roman" w:hAnsi="Times New Roman"/>
          <w:sz w:val="24"/>
        </w:rPr>
        <w:t>Instrukcje dotyczące poszczególnych pozycji</w:t>
      </w:r>
      <w:bookmarkEnd w:id="82"/>
      <w:bookmarkEnd w:id="83"/>
      <w:bookmarkEnd w:id="84"/>
    </w:p>
    <w:p w:rsidR="002648B0" w:rsidRPr="00AA1421"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AA1421" w:rsidTr="00672D2A">
        <w:tc>
          <w:tcPr>
            <w:tcW w:w="8372" w:type="dxa"/>
            <w:gridSpan w:val="2"/>
            <w:shd w:val="clear" w:color="auto" w:fill="D9D9D9"/>
          </w:tcPr>
          <w:p w:rsidR="00783881" w:rsidRPr="00AA1421" w:rsidRDefault="002648B0" w:rsidP="00487A02">
            <w:pPr>
              <w:pStyle w:val="InstructionsText"/>
            </w:pPr>
            <w:r w:rsidRPr="00AA1421">
              <w:t>Kolumny</w:t>
            </w:r>
          </w:p>
        </w:tc>
      </w:tr>
      <w:tr w:rsidR="002648B0" w:rsidRPr="00AA1421" w:rsidTr="00672D2A">
        <w:tc>
          <w:tcPr>
            <w:tcW w:w="894"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7478"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Korekty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tc>
      </w:tr>
      <w:tr w:rsidR="002648B0" w:rsidRPr="00AA1421" w:rsidTr="00672D2A">
        <w:tc>
          <w:tcPr>
            <w:tcW w:w="894"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0020</w:t>
            </w:r>
          </w:p>
        </w:tc>
        <w:tc>
          <w:tcPr>
            <w:tcW w:w="7478"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Korekty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tc>
      </w:tr>
      <w:tr w:rsidR="002648B0" w:rsidRPr="00AA1421" w:rsidTr="00672D2A">
        <w:tc>
          <w:tcPr>
            <w:tcW w:w="894"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0030</w:t>
            </w:r>
          </w:p>
        </w:tc>
        <w:tc>
          <w:tcPr>
            <w:tcW w:w="7478"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Korekty w kapitale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w:t>
            </w:r>
          </w:p>
        </w:tc>
      </w:tr>
      <w:tr w:rsidR="002648B0" w:rsidRPr="00AA1421" w:rsidTr="00672D2A">
        <w:tc>
          <w:tcPr>
            <w:tcW w:w="894"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0040</w:t>
            </w:r>
          </w:p>
        </w:tc>
        <w:tc>
          <w:tcPr>
            <w:tcW w:w="7478"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Korekty uwzględnione w aktywach ważonych ryzykiem</w:t>
            </w:r>
          </w:p>
          <w:p w:rsidR="005643EA" w:rsidRPr="00AA1421" w:rsidRDefault="002648B0"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 xml:space="preserve">Kolumna 0040 zawiera odpowiednie kwoty stanowiące korektę łącznej kwoty ekspozycji na ryzyko, o której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9</w:t>
            </w:r>
            <w:r w:rsidRPr="00AA1421">
              <w:rPr>
                <w:rStyle w:val="InstructionsTabelleText"/>
                <w:rFonts w:ascii="Times New Roman" w:hAnsi="Times New Roman"/>
                <w:sz w:val="24"/>
              </w:rPr>
              <w:t xml:space="preserve">2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CRR, w wyniku zastosowania przepisów przejściowych. Zgłoszone kwoty uwzględniają za</w:t>
            </w:r>
            <w:r w:rsidRPr="00AA1421">
              <w:rPr>
                <w:rStyle w:val="InstructionsTabelleText"/>
                <w:rFonts w:ascii="Times New Roman" w:hAnsi="Times New Roman"/>
                <w:sz w:val="24"/>
              </w:rPr>
              <w:lastRenderedPageBreak/>
              <w:t xml:space="preserve">stosowanie przepisów części trzeciej tytuł II rozdział 2 </w:t>
            </w:r>
            <w:r w:rsidRPr="00084F66">
              <w:rPr>
                <w:rStyle w:val="InstructionsTabelleText"/>
                <w:rFonts w:ascii="Times New Roman" w:hAnsi="Times New Roman"/>
                <w:sz w:val="24"/>
              </w:rPr>
              <w:t>lub</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lub części trzeciej tytuł IV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9</w:t>
            </w:r>
            <w:r w:rsidRPr="00AA1421">
              <w:rPr>
                <w:rStyle w:val="InstructionsTabelleText"/>
                <w:rFonts w:ascii="Times New Roman" w:hAnsi="Times New Roman"/>
                <w:sz w:val="24"/>
              </w:rPr>
              <w:t xml:space="preserve">2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 CRR. Oznacza to, że kwoty przejściowe podlegające przepisom części trzeciej tytuł II rozdział 2 </w:t>
            </w:r>
            <w:r w:rsidRPr="00084F66">
              <w:rPr>
                <w:rStyle w:val="InstructionsTabelleText"/>
                <w:rFonts w:ascii="Times New Roman" w:hAnsi="Times New Roman"/>
                <w:sz w:val="24"/>
              </w:rPr>
              <w:t>lub</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zgłasza się jako kwoty ekspozycji ważonej ryzykiem, natomiast kwoty przejściowe podlegające przepisom części trzeciej tytuł IV muszą odpowiadać wymogom w zakresie funduszy własnych pomnożonym przez 12,5.</w:t>
            </w:r>
          </w:p>
          <w:p w:rsidR="005643EA" w:rsidRPr="00AA1421" w:rsidRDefault="00B4177D" w:rsidP="00487A02">
            <w:pPr>
              <w:pStyle w:val="InstructionsText"/>
              <w:rPr>
                <w:rStyle w:val="InstructionsTabelleberschrift"/>
                <w:rFonts w:ascii="Times New Roman" w:hAnsi="Times New Roman"/>
                <w:b w:val="0"/>
                <w:bCs w:val="0"/>
                <w:sz w:val="24"/>
                <w:u w:val="none"/>
              </w:rPr>
            </w:pPr>
            <w:r w:rsidRPr="00AA1421">
              <w:rPr>
                <w:rStyle w:val="InstructionsTabelleText"/>
                <w:rFonts w:ascii="Times New Roman" w:hAnsi="Times New Roman"/>
                <w:sz w:val="24"/>
              </w:rPr>
              <w:t xml:space="preserve">Chociaż kolumny 0010–0030 są bezpośrednio związane ze wzorem CA1, korekty w łącznej kwocie ekspozycji na ryzyko nie są bezpośrednio powiązane z odpowiednimi wzorami dotyczącymi ryzyka kredytowego. Jeżeli istnieją korekty w łącznej kwocie ekspozycji na ryzyko wynikające z przepisów przejściowych, korekty te ujmuje się bezpośrednio we wzorach CR SA, CR IRB, CR EQU IRB, MKR SA TDI, MKR SA EQU lub MKR IM. Dodatkowo skutki te zgłasza się w kolumnie 0040 wzoru CA5.1. W konsekwencji kwoty te są jedynie pozycjami uzupełniającymi. </w:t>
            </w:r>
          </w:p>
        </w:tc>
      </w:tr>
      <w:tr w:rsidR="002648B0" w:rsidRPr="00AA1421" w:rsidTr="00672D2A">
        <w:tc>
          <w:tcPr>
            <w:tcW w:w="894"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lastRenderedPageBreak/>
              <w:t>0050</w:t>
            </w:r>
          </w:p>
        </w:tc>
        <w:tc>
          <w:tcPr>
            <w:tcW w:w="7478"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Mająca zastosowanie wartość procentowa</w:t>
            </w:r>
          </w:p>
        </w:tc>
      </w:tr>
      <w:tr w:rsidR="002648B0" w:rsidRPr="00AA1421" w:rsidTr="00672D2A">
        <w:tc>
          <w:tcPr>
            <w:tcW w:w="894"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0060</w:t>
            </w:r>
          </w:p>
        </w:tc>
        <w:tc>
          <w:tcPr>
            <w:tcW w:w="7478" w:type="dxa"/>
          </w:tcPr>
          <w:p w:rsidR="005643EA" w:rsidRPr="00AA1421" w:rsidRDefault="002648B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Uznana kwota nieobjęta przepisami przejściowymi</w:t>
            </w:r>
          </w:p>
          <w:p w:rsidR="005643EA"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Kolumna ta obejmuje kwotę każdego instrumentu przed zastosowaniem przepisów przejściowych, tj. kwota bazowa mająca znaczenie dla obliczenia korekt.</w:t>
            </w:r>
          </w:p>
        </w:tc>
      </w:tr>
    </w:tbl>
    <w:p w:rsidR="002648B0" w:rsidRPr="00AA1421"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AA1421" w:rsidTr="00672D2A">
        <w:tc>
          <w:tcPr>
            <w:tcW w:w="8490" w:type="dxa"/>
            <w:gridSpan w:val="2"/>
            <w:shd w:val="clear" w:color="auto" w:fill="D9D9D9"/>
          </w:tcPr>
          <w:p w:rsidR="002648B0" w:rsidRPr="00AA1421" w:rsidRDefault="002648B0" w:rsidP="00487A02">
            <w:pPr>
              <w:pStyle w:val="InstructionsText"/>
            </w:pPr>
            <w:r w:rsidRPr="00AA1421">
              <w:t>Wiersze</w:t>
            </w:r>
          </w:p>
        </w:tc>
      </w:tr>
      <w:tr w:rsidR="002648B0" w:rsidRPr="00AA1421" w:rsidTr="00672D2A">
        <w:tc>
          <w:tcPr>
            <w:tcW w:w="1012"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7478" w:type="dxa"/>
          </w:tcPr>
          <w:p w:rsidR="005643EA" w:rsidRPr="00AA1421" w:rsidRDefault="00C66473" w:rsidP="00487A02">
            <w:pPr>
              <w:pStyle w:val="InstructionsText"/>
              <w:rPr>
                <w:rStyle w:val="FormatvorlageInstructionsTabelleText"/>
                <w:rFonts w:ascii="Times New Roman" w:hAnsi="Times New Roman"/>
                <w:b/>
                <w:sz w:val="24"/>
                <w:u w:val="single"/>
              </w:rPr>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Korekty razem</w:t>
            </w:r>
          </w:p>
          <w:p w:rsidR="002648B0" w:rsidRPr="00AA1421" w:rsidRDefault="002648B0" w:rsidP="00BB22D4">
            <w:pPr>
              <w:spacing w:before="0"/>
              <w:rPr>
                <w:rStyle w:val="FormatvorlageInstructionsTabelleText"/>
                <w:rFonts w:ascii="Times New Roman" w:hAnsi="Times New Roman"/>
                <w:bCs w:val="0"/>
                <w:sz w:val="24"/>
              </w:rPr>
            </w:pPr>
            <w:r w:rsidRPr="00AA1421">
              <w:rPr>
                <w:rStyle w:val="InstructionsTabelleText"/>
                <w:rFonts w:ascii="Times New Roman" w:hAnsi="Times New Roman"/>
                <w:sz w:val="24"/>
              </w:rPr>
              <w:t>Wiersz ten odzwierciedla ogólny skutek korekt różnych rodzajów kapitału w okresie przejściowym oraz kwoty ważone ryzykiem wynikające z tych korekt</w:t>
            </w:r>
          </w:p>
        </w:tc>
      </w:tr>
      <w:tr w:rsidR="002648B0" w:rsidRPr="00AA1421" w:rsidTr="00672D2A">
        <w:tc>
          <w:tcPr>
            <w:tcW w:w="1012"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 xml:space="preserve">0020 </w:t>
            </w:r>
          </w:p>
        </w:tc>
        <w:tc>
          <w:tcPr>
            <w:tcW w:w="7478" w:type="dxa"/>
          </w:tcPr>
          <w:p w:rsidR="005643EA" w:rsidRPr="00AA1421" w:rsidRDefault="002648B0"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1.1</w:t>
            </w:r>
            <w:r w:rsidR="00744F50" w:rsidRPr="00AA1421">
              <w:rPr>
                <w:b/>
                <w:u w:val="single"/>
              </w:rPr>
              <w:tab/>
            </w:r>
            <w:r w:rsidRPr="00AA1421">
              <w:rPr>
                <w:rStyle w:val="InstructionsTabelleberschrift"/>
                <w:rFonts w:ascii="Times New Roman" w:hAnsi="Times New Roman"/>
                <w:sz w:val="24"/>
              </w:rPr>
              <w:t>Instrumenty podlegające zasadzie praw nabytych</w:t>
            </w:r>
          </w:p>
          <w:p w:rsidR="002648B0" w:rsidRPr="00AA1421" w:rsidRDefault="002648B0" w:rsidP="007106FB">
            <w:pPr>
              <w:spacing w:before="0"/>
              <w:rPr>
                <w:rStyle w:val="InstructionsTabelleText"/>
                <w:rFonts w:ascii="Times New Roman" w:hAnsi="Times New Roman"/>
                <w:sz w:val="24"/>
              </w:rPr>
            </w:pPr>
            <w:r w:rsidRPr="00AA1421">
              <w:rPr>
                <w:rStyle w:val="InstructionsTabelleText"/>
                <w:rFonts w:ascii="Times New Roman" w:hAnsi="Times New Roman"/>
                <w:sz w:val="24"/>
              </w:rPr>
              <w:t>Art. 483–491 CRR</w:t>
            </w:r>
          </w:p>
          <w:p w:rsidR="002648B0" w:rsidRPr="00AA1421" w:rsidRDefault="002648B0" w:rsidP="007106FB">
            <w:pPr>
              <w:spacing w:before="0"/>
              <w:rPr>
                <w:rStyle w:val="FormatvorlageInstructionsTabelleText"/>
                <w:rFonts w:ascii="Times New Roman" w:hAnsi="Times New Roman"/>
                <w:sz w:val="24"/>
              </w:rPr>
            </w:pPr>
            <w:r w:rsidRPr="00AA1421">
              <w:rPr>
                <w:rStyle w:val="InstructionsTabelleText"/>
                <w:rFonts w:ascii="Times New Roman" w:hAnsi="Times New Roman"/>
                <w:sz w:val="24"/>
              </w:rPr>
              <w:t>Wiersz ten odzwierciedla ogólny skutek instrumentów podlegających w okresie przejściowym zasadzie praw nabytych w różnych rodzajach kapitału.</w:t>
            </w:r>
          </w:p>
        </w:tc>
      </w:tr>
      <w:tr w:rsidR="002648B0" w:rsidRPr="00AA1421" w:rsidTr="00672D2A">
        <w:tc>
          <w:tcPr>
            <w:tcW w:w="1012" w:type="dxa"/>
          </w:tcPr>
          <w:p w:rsidR="002648B0"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0060</w:t>
            </w:r>
          </w:p>
        </w:tc>
        <w:tc>
          <w:tcPr>
            <w:tcW w:w="7478" w:type="dxa"/>
          </w:tcPr>
          <w:p w:rsidR="002648B0" w:rsidRPr="00AA1421" w:rsidRDefault="002648B0" w:rsidP="007106FB">
            <w:pPr>
              <w:spacing w:before="0"/>
              <w:rPr>
                <w:rStyle w:val="InstructionsTabelleText"/>
                <w:rFonts w:ascii="Times New Roman" w:hAnsi="Times New Roman"/>
                <w:b/>
                <w:bCs/>
                <w:sz w:val="24"/>
                <w:u w:val="single"/>
              </w:rPr>
            </w:pPr>
            <w:r w:rsidRPr="00AA1421">
              <w:rPr>
                <w:rStyle w:val="InstructionsTabelleberschrift"/>
                <w:rFonts w:ascii="Times New Roman" w:hAnsi="Times New Roman"/>
                <w:sz w:val="24"/>
              </w:rPr>
              <w:t>1.1.2</w:t>
            </w:r>
            <w:r w:rsidR="00744F50" w:rsidRPr="00AA1421">
              <w:rPr>
                <w:b/>
                <w:u w:val="single"/>
              </w:rPr>
              <w:tab/>
            </w:r>
            <w:r w:rsidRPr="00AA1421">
              <w:rPr>
                <w:rStyle w:val="InstructionsTabelleberschrift"/>
                <w:rFonts w:ascii="Times New Roman" w:hAnsi="Times New Roman"/>
                <w:sz w:val="24"/>
              </w:rPr>
              <w:t>Instrumenty niestanowiące pomocy państwa</w:t>
            </w:r>
          </w:p>
          <w:p w:rsidR="002648B0" w:rsidRPr="00AA1421" w:rsidRDefault="002648B0" w:rsidP="00F834C3">
            <w:pPr>
              <w:spacing w:before="0"/>
              <w:rPr>
                <w:rFonts w:ascii="Times New Roman" w:hAnsi="Times New Roman"/>
                <w:b/>
                <w:bCs/>
                <w:sz w:val="24"/>
              </w:rPr>
            </w:pPr>
            <w:r w:rsidRPr="00AA1421">
              <w:rPr>
                <w:rStyle w:val="InstructionsTabelleText"/>
                <w:rFonts w:ascii="Times New Roman" w:hAnsi="Times New Roman"/>
                <w:sz w:val="24"/>
              </w:rPr>
              <w:t>Kwoty, które należy zgłosić, uzyskuje się z kolumny 060 wzoru CA5.2.</w:t>
            </w:r>
          </w:p>
        </w:tc>
      </w:tr>
      <w:tr w:rsidR="00BF0637" w:rsidRPr="00AA1421" w:rsidTr="00672D2A">
        <w:tc>
          <w:tcPr>
            <w:tcW w:w="1012" w:type="dxa"/>
          </w:tcPr>
          <w:p w:rsidR="00BF0637"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0061</w:t>
            </w:r>
          </w:p>
        </w:tc>
        <w:tc>
          <w:tcPr>
            <w:tcW w:w="7478" w:type="dxa"/>
          </w:tcPr>
          <w:p w:rsidR="00BF0637" w:rsidRPr="00AA1421" w:rsidRDefault="00BF0637" w:rsidP="00BF0637">
            <w:pPr>
              <w:spacing w:before="0"/>
              <w:rPr>
                <w:rStyle w:val="InstructionsTabelleberschrift"/>
                <w:rFonts w:ascii="Times New Roman" w:hAnsi="Times New Roman"/>
                <w:sz w:val="24"/>
              </w:rPr>
            </w:pPr>
            <w:r w:rsidRPr="00AA1421">
              <w:rPr>
                <w:rStyle w:val="InstructionsTabelleberschrift"/>
                <w:rFonts w:ascii="Times New Roman" w:hAnsi="Times New Roman"/>
                <w:sz w:val="24"/>
              </w:rPr>
              <w:t>1.1.3</w:t>
            </w:r>
            <w:r w:rsidR="00744F50" w:rsidRPr="00AA1421">
              <w:rPr>
                <w:b/>
                <w:u w:val="single"/>
              </w:rPr>
              <w:tab/>
            </w:r>
            <w:r w:rsidRPr="00AA1421">
              <w:rPr>
                <w:rStyle w:val="InstructionsTabelleberschrift"/>
                <w:rFonts w:ascii="Times New Roman" w:hAnsi="Times New Roman"/>
                <w:sz w:val="24"/>
              </w:rPr>
              <w:t>Instrumenty wyemitowane za pośrednictwem spółek celowych</w:t>
            </w:r>
          </w:p>
          <w:p w:rsidR="00BF0637" w:rsidRPr="00AA1421" w:rsidRDefault="00BF0637" w:rsidP="00BF0637">
            <w:pPr>
              <w:spacing w:before="0"/>
              <w:rPr>
                <w:rStyle w:val="InstructionsTabelleberschrift"/>
                <w:rFonts w:ascii="Times New Roman" w:hAnsi="Times New Roman"/>
                <w:sz w:val="24"/>
              </w:rPr>
            </w:pPr>
            <w:r w:rsidRPr="00AA1421">
              <w:rPr>
                <w:rStyle w:val="InstructionsTabelleberschrift"/>
                <w:rFonts w:ascii="Times New Roman" w:hAnsi="Times New Roman"/>
                <w:b w:val="0"/>
                <w:sz w:val="24"/>
                <w:u w:val="none"/>
              </w:rPr>
              <w:t>Art. 494 a CRR</w:t>
            </w:r>
          </w:p>
        </w:tc>
      </w:tr>
      <w:tr w:rsidR="00BF0637" w:rsidRPr="00AA1421" w:rsidTr="00672D2A">
        <w:tc>
          <w:tcPr>
            <w:tcW w:w="1012" w:type="dxa"/>
          </w:tcPr>
          <w:p w:rsidR="00BF0637" w:rsidRPr="00AA1421" w:rsidRDefault="008A05EC"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0062</w:t>
            </w:r>
          </w:p>
        </w:tc>
        <w:tc>
          <w:tcPr>
            <w:tcW w:w="7478" w:type="dxa"/>
          </w:tcPr>
          <w:p w:rsidR="00BF0637" w:rsidRPr="00AA1421" w:rsidRDefault="00BF0637" w:rsidP="00BF0637">
            <w:pPr>
              <w:spacing w:before="0"/>
              <w:rPr>
                <w:rStyle w:val="InstructionsTabelleberschrift"/>
                <w:rFonts w:ascii="Times New Roman" w:hAnsi="Times New Roman"/>
                <w:sz w:val="24"/>
              </w:rPr>
            </w:pPr>
            <w:r w:rsidRPr="00AA1421">
              <w:rPr>
                <w:rStyle w:val="InstructionsTabelleberschrift"/>
                <w:rFonts w:ascii="Times New Roman" w:hAnsi="Times New Roman"/>
                <w:sz w:val="24"/>
              </w:rPr>
              <w:t>1.1.4</w:t>
            </w:r>
            <w:r w:rsidR="00744F50" w:rsidRPr="00AA1421">
              <w:rPr>
                <w:b/>
                <w:u w:val="single"/>
              </w:rPr>
              <w:tab/>
            </w:r>
            <w:r w:rsidRPr="00AA1421">
              <w:rPr>
                <w:rStyle w:val="InstructionsTabelleberschrift"/>
                <w:rFonts w:ascii="Times New Roman" w:hAnsi="Times New Roman"/>
                <w:sz w:val="24"/>
              </w:rPr>
              <w:t>Instrumenty wyemitowane przed dniem 27 czerwca 20</w:t>
            </w:r>
            <w:r w:rsidRPr="00084F66">
              <w:rPr>
                <w:rStyle w:val="InstructionsTabelleberschrift"/>
                <w:rFonts w:ascii="Times New Roman" w:hAnsi="Times New Roman"/>
                <w:sz w:val="24"/>
              </w:rPr>
              <w:t>19</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r w:rsidRPr="00AA1421">
              <w:rPr>
                <w:rStyle w:val="InstructionsTabelleberschrift"/>
                <w:rFonts w:ascii="Times New Roman" w:hAnsi="Times New Roman"/>
                <w:sz w:val="24"/>
              </w:rPr>
              <w:t xml:space="preserve">, które nie spełniają kryteriów kwalifikowalności związanych z uprawnieniami do umorzenia i konwersji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9 dyrektywy BRRD lub podlegają uzgodnieniom dotyczącym potrącenia lub kompensowania</w:t>
            </w:r>
          </w:p>
          <w:p w:rsidR="00BF0637" w:rsidRPr="00AA1421" w:rsidRDefault="00BF0637"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494b CRR</w:t>
            </w:r>
          </w:p>
          <w:p w:rsidR="00BF0637" w:rsidRPr="00AA1421" w:rsidRDefault="00BF0637"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Instytucje zgłaszają kwotę instrumentów objętych zakresem stosowania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94b CRR, które nie spełniają co najmniej jednego spośród kryteriów </w:t>
            </w:r>
            <w:r w:rsidRPr="00AA1421">
              <w:rPr>
                <w:rStyle w:val="InstructionsTabelleberschrift"/>
                <w:rFonts w:ascii="Times New Roman" w:hAnsi="Times New Roman"/>
                <w:b w:val="0"/>
                <w:sz w:val="24"/>
                <w:u w:val="none"/>
              </w:rPr>
              <w:lastRenderedPageBreak/>
              <w:t xml:space="preserve">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q) i r) CRR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n)</w:t>
            </w:r>
            <w:r w:rsidRPr="00AA1421">
              <w:rPr>
                <w:rStyle w:val="InstructionsTabelleberschrift"/>
                <w:rFonts w:ascii="Times New Roman" w:hAnsi="Times New Roman"/>
                <w:b w:val="0"/>
                <w:sz w:val="24"/>
                <w:u w:val="none"/>
              </w:rPr>
              <w:t>, o) i p) CRR.</w:t>
            </w:r>
          </w:p>
          <w:p w:rsidR="00BF0637" w:rsidRPr="00AA1421" w:rsidRDefault="00BF0637" w:rsidP="00EA1F5A">
            <w:pPr>
              <w:spacing w:before="0"/>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W przypadku instrumentów w </w:t>
            </w:r>
            <w:proofErr w:type="spellStart"/>
            <w:r w:rsidRPr="00AA1421">
              <w:rPr>
                <w:rStyle w:val="InstructionsTabelleberschrift"/>
                <w:rFonts w:ascii="Times New Roman" w:hAnsi="Times New Roman"/>
                <w:b w:val="0"/>
                <w:sz w:val="24"/>
                <w:u w:val="none"/>
              </w:rPr>
              <w:t>Tier</w:t>
            </w:r>
            <w:proofErr w:type="spellEnd"/>
            <w:r w:rsidRPr="00AA1421">
              <w:rPr>
                <w:rStyle w:val="InstructionsTabelleberschrift"/>
                <w:rFonts w:ascii="Times New Roman" w:hAnsi="Times New Roman"/>
                <w:b w:val="0"/>
                <w:sz w:val="24"/>
                <w:u w:val="none"/>
              </w:rPr>
              <w:t xml:space="preserve"> II kwalifikujących się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94b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 CRR należy przestrzegać przepisów w zakresie amortyzacji określonych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4 CRR.</w:t>
            </w:r>
          </w:p>
        </w:tc>
      </w:tr>
      <w:tr w:rsidR="00BF0637" w:rsidRPr="00AA1421" w:rsidTr="00672D2A">
        <w:tc>
          <w:tcPr>
            <w:tcW w:w="1012" w:type="dxa"/>
          </w:tcPr>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lastRenderedPageBreak/>
              <w:t>0063</w:t>
            </w:r>
          </w:p>
        </w:tc>
        <w:tc>
          <w:tcPr>
            <w:tcW w:w="7478" w:type="dxa"/>
          </w:tcPr>
          <w:p w:rsidR="00BF0637" w:rsidRPr="00AA1421" w:rsidRDefault="00BF0637" w:rsidP="00BF0637">
            <w:pPr>
              <w:spacing w:before="0"/>
              <w:rPr>
                <w:rStyle w:val="InstructionsTabelleberschrift"/>
                <w:rFonts w:ascii="Times New Roman" w:hAnsi="Times New Roman"/>
                <w:sz w:val="24"/>
              </w:rPr>
            </w:pPr>
            <w:r w:rsidRPr="00AA1421">
              <w:rPr>
                <w:rStyle w:val="InstructionsTabelleberschrift"/>
                <w:rFonts w:ascii="Times New Roman" w:hAnsi="Times New Roman"/>
                <w:sz w:val="24"/>
              </w:rPr>
              <w:t>1.1.4.1*</w:t>
            </w:r>
            <w:r w:rsidR="00744F50" w:rsidRPr="00AA1421">
              <w:rPr>
                <w:b/>
                <w:u w:val="single"/>
              </w:rPr>
              <w:tab/>
            </w:r>
            <w:r w:rsidRPr="00AA1421">
              <w:rPr>
                <w:rStyle w:val="InstructionsTabelleberschrift"/>
                <w:rFonts w:ascii="Times New Roman" w:hAnsi="Times New Roman"/>
                <w:sz w:val="24"/>
              </w:rPr>
              <w:t xml:space="preserve">W tym: instrumenty bez prawnego lub umownego obowiązku umorzenia lub konwersji po wykonaniu uprawnień wynikających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9 dyrektywy BRRD</w:t>
            </w:r>
          </w:p>
          <w:p w:rsidR="00BF0637" w:rsidRPr="00AA1421" w:rsidRDefault="0044539D"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494b,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n)</w:t>
            </w:r>
            <w:r w:rsidRPr="00AA1421">
              <w:rPr>
                <w:rStyle w:val="InstructionsTabelleberschrift"/>
                <w:rFonts w:ascii="Times New Roman" w:hAnsi="Times New Roman"/>
                <w:b w:val="0"/>
                <w:sz w:val="24"/>
                <w:u w:val="none"/>
              </w:rPr>
              <w:t xml:space="preserve"> CRR</w:t>
            </w:r>
          </w:p>
          <w:p w:rsidR="00BF0637" w:rsidRPr="00AA1421" w:rsidRDefault="00BF0637"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Instytucje zgłaszają kwotę instrumentów objętych zakresem stosowania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94b CRR, które nie spełniają kryteriów 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n)</w:t>
            </w:r>
            <w:r w:rsidRPr="00AA1421">
              <w:rPr>
                <w:rStyle w:val="InstructionsTabelleberschrift"/>
                <w:rFonts w:ascii="Times New Roman" w:hAnsi="Times New Roman"/>
                <w:b w:val="0"/>
                <w:sz w:val="24"/>
                <w:u w:val="none"/>
              </w:rPr>
              <w:t xml:space="preserve"> CRR.</w:t>
            </w:r>
          </w:p>
          <w:p w:rsidR="00BF0637" w:rsidRPr="00AA1421" w:rsidRDefault="00BF0637" w:rsidP="0044539D">
            <w:pPr>
              <w:spacing w:before="0"/>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Dotyczy to również instrumentów, które dodatkowo nie spełniają kryteriów 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q)</w:t>
            </w:r>
            <w:r w:rsidRPr="00AA1421">
              <w:rPr>
                <w:rStyle w:val="InstructionsTabelleberschrift"/>
                <w:rFonts w:ascii="Times New Roman" w:hAnsi="Times New Roman"/>
                <w:b w:val="0"/>
                <w:sz w:val="24"/>
                <w:u w:val="none"/>
              </w:rPr>
              <w:t xml:space="preserve"> lub r) CRR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o)</w:t>
            </w:r>
            <w:r w:rsidRPr="00AA1421">
              <w:rPr>
                <w:rStyle w:val="InstructionsTabelleberschrift"/>
                <w:rFonts w:ascii="Times New Roman" w:hAnsi="Times New Roman"/>
                <w:b w:val="0"/>
                <w:sz w:val="24"/>
                <w:u w:val="none"/>
              </w:rPr>
              <w:t xml:space="preserve"> lub p) CRR.</w:t>
            </w:r>
          </w:p>
        </w:tc>
      </w:tr>
      <w:tr w:rsidR="00BF0637" w:rsidRPr="00AA1421" w:rsidTr="00672D2A">
        <w:tc>
          <w:tcPr>
            <w:tcW w:w="1012" w:type="dxa"/>
          </w:tcPr>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0064</w:t>
            </w:r>
          </w:p>
        </w:tc>
        <w:tc>
          <w:tcPr>
            <w:tcW w:w="7478" w:type="dxa"/>
          </w:tcPr>
          <w:p w:rsidR="00BF0637" w:rsidRPr="00AA1421" w:rsidRDefault="00BF0637" w:rsidP="00BF0637">
            <w:pPr>
              <w:spacing w:before="0"/>
              <w:rPr>
                <w:rStyle w:val="InstructionsTabelleberschrift"/>
                <w:rFonts w:ascii="Times New Roman" w:hAnsi="Times New Roman"/>
                <w:sz w:val="24"/>
              </w:rPr>
            </w:pPr>
            <w:r w:rsidRPr="00AA1421">
              <w:rPr>
                <w:rStyle w:val="InstructionsTabelleberschrift"/>
                <w:rFonts w:ascii="Times New Roman" w:hAnsi="Times New Roman"/>
                <w:sz w:val="24"/>
              </w:rPr>
              <w:t>1.1.4.2*</w:t>
            </w:r>
            <w:r w:rsidR="00744F50" w:rsidRPr="00AA1421">
              <w:rPr>
                <w:b/>
                <w:u w:val="single"/>
              </w:rPr>
              <w:tab/>
            </w:r>
            <w:r w:rsidRPr="00AA1421">
              <w:rPr>
                <w:rStyle w:val="InstructionsTabelleberschrift"/>
                <w:rFonts w:ascii="Times New Roman" w:hAnsi="Times New Roman"/>
                <w:sz w:val="24"/>
              </w:rPr>
              <w:t xml:space="preserve">W tym: instrumenty podlegające prawu państwa trzeciego bez skutecznego i możliwego do wyegzekwowania wykonywania uprawnień wynikających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9 dyrektywy BRRD</w:t>
            </w:r>
          </w:p>
          <w:p w:rsidR="00BF0637" w:rsidRPr="00AA1421" w:rsidRDefault="00BF0637"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494b,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q)</w:t>
            </w:r>
            <w:r w:rsidRPr="00AA1421">
              <w:rPr>
                <w:rStyle w:val="InstructionsTabelleberschrift"/>
                <w:rFonts w:ascii="Times New Roman" w:hAnsi="Times New Roman"/>
                <w:b w:val="0"/>
                <w:sz w:val="24"/>
                <w:u w:val="none"/>
              </w:rPr>
              <w:t xml:space="preserve">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o)</w:t>
            </w:r>
            <w:r w:rsidRPr="00AA1421">
              <w:rPr>
                <w:rStyle w:val="InstructionsTabelleberschrift"/>
                <w:rFonts w:ascii="Times New Roman" w:hAnsi="Times New Roman"/>
                <w:b w:val="0"/>
                <w:sz w:val="24"/>
                <w:u w:val="none"/>
              </w:rPr>
              <w:t xml:space="preserve"> CRR</w:t>
            </w:r>
          </w:p>
          <w:p w:rsidR="00BF0637" w:rsidRPr="00AA1421" w:rsidRDefault="00BF0637"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Instytucje zgłaszają kwotę instrumentów objętych zakresem stosowania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94b CRR, które nie spełniają kryteriów 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q)</w:t>
            </w:r>
            <w:r w:rsidRPr="00AA1421">
              <w:rPr>
                <w:rStyle w:val="InstructionsTabelleberschrift"/>
                <w:rFonts w:ascii="Times New Roman" w:hAnsi="Times New Roman"/>
                <w:b w:val="0"/>
                <w:sz w:val="24"/>
                <w:u w:val="none"/>
              </w:rPr>
              <w:t xml:space="preserve">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o)</w:t>
            </w:r>
            <w:r w:rsidRPr="00AA1421">
              <w:rPr>
                <w:rStyle w:val="InstructionsTabelleberschrift"/>
                <w:rFonts w:ascii="Times New Roman" w:hAnsi="Times New Roman"/>
                <w:b w:val="0"/>
                <w:sz w:val="24"/>
                <w:u w:val="none"/>
              </w:rPr>
              <w:t xml:space="preserve"> CRR.</w:t>
            </w:r>
          </w:p>
          <w:p w:rsidR="00BF0637" w:rsidRPr="00AA1421" w:rsidRDefault="00BF0637" w:rsidP="00533D84">
            <w:pPr>
              <w:spacing w:before="0"/>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Dotyczy to również instrumentów, które dodatkowo nie spełniają kryteriów 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lub r) CRR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n)</w:t>
            </w:r>
            <w:r w:rsidRPr="00AA1421">
              <w:rPr>
                <w:rStyle w:val="InstructionsTabelleberschrift"/>
                <w:rFonts w:ascii="Times New Roman" w:hAnsi="Times New Roman"/>
                <w:b w:val="0"/>
                <w:sz w:val="24"/>
                <w:u w:val="none"/>
              </w:rPr>
              <w:t xml:space="preserve"> lub p) CRR.</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0065</w:t>
            </w:r>
          </w:p>
        </w:tc>
        <w:tc>
          <w:tcPr>
            <w:tcW w:w="7478" w:type="dxa"/>
          </w:tcPr>
          <w:p w:rsidR="00BF0637" w:rsidRPr="00AA1421" w:rsidRDefault="00BF0637" w:rsidP="00BF0637">
            <w:pPr>
              <w:spacing w:before="0"/>
              <w:rPr>
                <w:rStyle w:val="InstructionsTabelleberschrift"/>
                <w:rFonts w:ascii="Times New Roman" w:hAnsi="Times New Roman"/>
                <w:sz w:val="24"/>
              </w:rPr>
            </w:pPr>
            <w:r w:rsidRPr="00AA1421">
              <w:rPr>
                <w:rStyle w:val="InstructionsTabelleberschrift"/>
                <w:rFonts w:ascii="Times New Roman" w:hAnsi="Times New Roman"/>
                <w:sz w:val="24"/>
              </w:rPr>
              <w:t>1.1.4.3*</w:t>
            </w:r>
            <w:r w:rsidR="00744F50" w:rsidRPr="00AA1421">
              <w:rPr>
                <w:b/>
                <w:u w:val="single"/>
              </w:rPr>
              <w:tab/>
            </w:r>
            <w:r w:rsidRPr="00AA1421">
              <w:rPr>
                <w:rStyle w:val="InstructionsTabelleberschrift"/>
                <w:rFonts w:ascii="Times New Roman" w:hAnsi="Times New Roman"/>
                <w:sz w:val="24"/>
              </w:rPr>
              <w:t>W tym: instrumenty podlegające uzgodnieniom dotyczącym potrącenia lub kompensowania</w:t>
            </w:r>
          </w:p>
          <w:p w:rsidR="00BF0637" w:rsidRPr="00AA1421" w:rsidRDefault="00533D84"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494b,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r)</w:t>
            </w:r>
            <w:r w:rsidRPr="00AA1421">
              <w:rPr>
                <w:rStyle w:val="InstructionsTabelleberschrift"/>
                <w:rFonts w:ascii="Times New Roman" w:hAnsi="Times New Roman"/>
                <w:b w:val="0"/>
                <w:sz w:val="24"/>
                <w:u w:val="none"/>
              </w:rPr>
              <w:t xml:space="preserve">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CRR</w:t>
            </w:r>
          </w:p>
          <w:p w:rsidR="00BF0637" w:rsidRPr="00AA1421" w:rsidRDefault="00BF0637" w:rsidP="00BF0637">
            <w:pPr>
              <w:spacing w:before="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Instytucje zgłaszają kwotę instrumentów objętych zakresem stosowania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94b CRR, które nie spełniają kryteriów 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r)</w:t>
            </w:r>
            <w:r w:rsidRPr="00AA1421">
              <w:rPr>
                <w:rStyle w:val="InstructionsTabelleberschrift"/>
                <w:rFonts w:ascii="Times New Roman" w:hAnsi="Times New Roman"/>
                <w:b w:val="0"/>
                <w:sz w:val="24"/>
                <w:u w:val="none"/>
              </w:rPr>
              <w:t xml:space="preserve"> CRR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CRR.</w:t>
            </w:r>
          </w:p>
          <w:p w:rsidR="00BF0637" w:rsidRPr="00AA1421" w:rsidRDefault="00BF0637" w:rsidP="00533D84">
            <w:pPr>
              <w:spacing w:before="0"/>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Dotyczy to również instrumentów, które dodatkowo nie spełniają kryteriów kwalifikowalności określonych odpowiednio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2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p)</w:t>
            </w:r>
            <w:r w:rsidRPr="00AA1421">
              <w:rPr>
                <w:rStyle w:val="InstructionsTabelleberschrift"/>
                <w:rFonts w:ascii="Times New Roman" w:hAnsi="Times New Roman"/>
                <w:b w:val="0"/>
                <w:sz w:val="24"/>
                <w:u w:val="none"/>
              </w:rPr>
              <w:t xml:space="preserve"> lub q) CRR lub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6</w:t>
            </w:r>
            <w:r w:rsidRPr="00AA1421">
              <w:rPr>
                <w:rStyle w:val="InstructionsTabelleberschrift"/>
                <w:rFonts w:ascii="Times New Roman" w:hAnsi="Times New Roman"/>
                <w:b w:val="0"/>
                <w:sz w:val="24"/>
                <w:u w:val="none"/>
              </w:rPr>
              <w:t xml:space="preserve">3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n)</w:t>
            </w:r>
            <w:r w:rsidRPr="00AA1421">
              <w:rPr>
                <w:rStyle w:val="InstructionsTabelleberschrift"/>
                <w:rFonts w:ascii="Times New Roman" w:hAnsi="Times New Roman"/>
                <w:b w:val="0"/>
                <w:sz w:val="24"/>
                <w:u w:val="none"/>
              </w:rPr>
              <w:t xml:space="preserve"> lub o) CRR.</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0070</w:t>
            </w:r>
          </w:p>
        </w:tc>
        <w:tc>
          <w:tcPr>
            <w:tcW w:w="7478" w:type="dxa"/>
          </w:tcPr>
          <w:p w:rsidR="00BF0637" w:rsidRPr="00AA1421" w:rsidRDefault="00BF0637" w:rsidP="00487A02">
            <w:pPr>
              <w:pStyle w:val="InstructionsText"/>
              <w:rPr>
                <w:rStyle w:val="InstructionsTabelleText"/>
                <w:rFonts w:ascii="Times New Roman" w:hAnsi="Times New Roman"/>
                <w:b/>
                <w:sz w:val="24"/>
                <w:u w:val="single"/>
              </w:rPr>
            </w:pPr>
            <w:r w:rsidRPr="00AA1421">
              <w:rPr>
                <w:rStyle w:val="InstructionsTabelleberschrift"/>
                <w:rFonts w:ascii="Times New Roman" w:hAnsi="Times New Roman"/>
                <w:sz w:val="24"/>
              </w:rPr>
              <w:t>1.2</w:t>
            </w:r>
            <w:r w:rsidR="00744F50" w:rsidRPr="00AA1421">
              <w:rPr>
                <w:b/>
                <w:u w:val="single"/>
              </w:rPr>
              <w:tab/>
            </w:r>
            <w:r w:rsidRPr="00AA1421">
              <w:rPr>
                <w:rStyle w:val="InstructionsTabelleberschrift"/>
                <w:rFonts w:ascii="Times New Roman" w:hAnsi="Times New Roman"/>
                <w:sz w:val="24"/>
              </w:rPr>
              <w:t>Udziały mniejszościowe i ekwiwalenty</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Art. 479 i 480 CRR</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 xml:space="preserve">Wiersz ten odzwierciedla skutki przepisów przejściowych w odniesieniu do udziałów mniejszości kwalifikujących się jako kapitał podstawowy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kwalifikujących się instrumentów w kapitale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uznanych za skonsolidowany kapitał dodatkowy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oraz kwalifikujących się funduszy własnych uznanych za skonsolidowany kapitał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II.</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lastRenderedPageBreak/>
              <w:t>0080</w:t>
            </w:r>
          </w:p>
        </w:tc>
        <w:tc>
          <w:tcPr>
            <w:tcW w:w="7478" w:type="dxa"/>
          </w:tcPr>
          <w:p w:rsidR="00BF0637" w:rsidRPr="00AA1421" w:rsidRDefault="00BF0637" w:rsidP="00487A02">
            <w:pPr>
              <w:pStyle w:val="InstructionsText"/>
              <w:rPr>
                <w:rStyle w:val="InstructionsTabelleberschrift"/>
                <w:rFonts w:ascii="Times New Roman" w:hAnsi="Times New Roman"/>
                <w:bCs w:val="0"/>
                <w:sz w:val="24"/>
              </w:rPr>
            </w:pPr>
            <w:r w:rsidRPr="00AA1421">
              <w:rPr>
                <w:rStyle w:val="InstructionsTabelleberschrift"/>
                <w:rFonts w:ascii="Times New Roman" w:hAnsi="Times New Roman"/>
                <w:sz w:val="24"/>
              </w:rPr>
              <w:t>1.2.1</w:t>
            </w:r>
            <w:r w:rsidR="00744F50" w:rsidRPr="00AA1421">
              <w:rPr>
                <w:b/>
                <w:u w:val="single"/>
              </w:rPr>
              <w:tab/>
            </w:r>
            <w:r w:rsidRPr="00AA1421">
              <w:rPr>
                <w:rStyle w:val="InstructionsTabelleberschrift"/>
                <w:rFonts w:ascii="Times New Roman" w:hAnsi="Times New Roman"/>
                <w:sz w:val="24"/>
              </w:rPr>
              <w:t>Instrumenty kapitałowe i pozycje, które nie kwalifikują się jako udziały mniejszości</w:t>
            </w:r>
          </w:p>
          <w:p w:rsidR="00BF0637" w:rsidRPr="00AA1421" w:rsidRDefault="00BF0637" w:rsidP="00487A02">
            <w:pPr>
              <w:pStyle w:val="InstructionsText"/>
              <w:rPr>
                <w:rStyle w:val="InstructionsTabelleText"/>
                <w:rFonts w:ascii="Times New Roman" w:hAnsi="Times New Roman"/>
                <w:bCs/>
                <w:sz w:val="24"/>
              </w:rPr>
            </w:pPr>
            <w:r w:rsidRPr="00AA1421">
              <w:rPr>
                <w:rStyle w:val="InstructionsTabelleText"/>
                <w:rFonts w:ascii="Times New Roman" w:hAnsi="Times New Roman"/>
                <w:sz w:val="24"/>
              </w:rPr>
              <w:t>Art. 479 CRR.</w:t>
            </w:r>
          </w:p>
          <w:p w:rsidR="00BF0637" w:rsidRPr="00AA1421" w:rsidRDefault="00BF0637" w:rsidP="00487A02">
            <w:pPr>
              <w:pStyle w:val="InstructionsText"/>
              <w:rPr>
                <w:rStyle w:val="InstructionsTabelleText"/>
                <w:rFonts w:ascii="Times New Roman" w:hAnsi="Times New Roman"/>
                <w:bCs/>
                <w:sz w:val="24"/>
              </w:rPr>
            </w:pPr>
            <w:r w:rsidRPr="00AA1421">
              <w:rPr>
                <w:rStyle w:val="InstructionsTabelleText"/>
                <w:rFonts w:ascii="Times New Roman" w:hAnsi="Times New Roman"/>
                <w:sz w:val="24"/>
              </w:rPr>
              <w:t xml:space="preserve">Kwotą, którą należy zgłosić w kolumnie 060 tego wiersza, jest kwota kwalifikująca się jako rezerwy skonsolidowane zgodnie z poprzednim rozporządzeniem. </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0090</w:t>
            </w:r>
          </w:p>
        </w:tc>
        <w:tc>
          <w:tcPr>
            <w:tcW w:w="7478" w:type="dxa"/>
          </w:tcPr>
          <w:p w:rsidR="00BF0637" w:rsidRPr="00AA1421" w:rsidRDefault="00BF0637"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1.2.2</w:t>
            </w:r>
            <w:r w:rsidR="00744F50" w:rsidRPr="00AA1421">
              <w:rPr>
                <w:b/>
                <w:u w:val="single"/>
              </w:rPr>
              <w:tab/>
            </w:r>
            <w:r w:rsidRPr="00AA1421">
              <w:rPr>
                <w:rStyle w:val="InstructionsTabelleberschrift"/>
                <w:rFonts w:ascii="Times New Roman" w:hAnsi="Times New Roman"/>
                <w:sz w:val="24"/>
              </w:rPr>
              <w:t>Uznanie udziałów mniejszości w skonsolidowanych funduszach własnych w okresie przejściowym</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Art. 84 i 480 CRR</w:t>
            </w:r>
          </w:p>
          <w:p w:rsidR="00BF0637" w:rsidRPr="00AA1421" w:rsidRDefault="00BF0637" w:rsidP="00487A02">
            <w:pPr>
              <w:pStyle w:val="InstructionsText"/>
              <w:rPr>
                <w:rStyle w:val="InstructionsTabelleberschrift"/>
                <w:rFonts w:ascii="Times New Roman" w:hAnsi="Times New Roman"/>
                <w:b w:val="0"/>
                <w:bCs w:val="0"/>
                <w:sz w:val="24"/>
                <w:u w:val="none"/>
              </w:rPr>
            </w:pPr>
            <w:r w:rsidRPr="00AA1421">
              <w:rPr>
                <w:rStyle w:val="InstructionsTabelleText"/>
                <w:rFonts w:ascii="Times New Roman" w:hAnsi="Times New Roman"/>
                <w:sz w:val="24"/>
              </w:rPr>
              <w:t>Kwotą, którą należy zgłosić w kolumnie 0060 tego wiersza, jest uznana kwota bez uwzględnienia przepisów przejściowych.</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0091</w:t>
            </w:r>
          </w:p>
        </w:tc>
        <w:tc>
          <w:tcPr>
            <w:tcW w:w="7478" w:type="dxa"/>
          </w:tcPr>
          <w:p w:rsidR="00BF0637" w:rsidRPr="00AA1421" w:rsidRDefault="00BF063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1.2.3</w:t>
            </w:r>
            <w:r w:rsidR="00744F50" w:rsidRPr="00AA1421">
              <w:rPr>
                <w:b/>
                <w:u w:val="single"/>
              </w:rPr>
              <w:tab/>
            </w:r>
            <w:r w:rsidRPr="00AA1421">
              <w:rPr>
                <w:rStyle w:val="InstructionsTabelleberschrift"/>
                <w:rFonts w:ascii="Times New Roman" w:hAnsi="Times New Roman"/>
                <w:sz w:val="24"/>
              </w:rPr>
              <w:t xml:space="preserve">Uznanie kwalifikującego się kapitału dodatkowego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w skonsolidowanych funduszach własnych w okresie przejściowym</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Art. 85 i 480 CRR</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Kwotą, którą należy zgłosić w kolumnie 0060 tego wiersza, jest uznana kwota bez uwzględnienia przepisów przejściowych.</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0092</w:t>
            </w:r>
          </w:p>
        </w:tc>
        <w:tc>
          <w:tcPr>
            <w:tcW w:w="7478" w:type="dxa"/>
          </w:tcPr>
          <w:p w:rsidR="00BF0637" w:rsidRPr="00AA1421" w:rsidRDefault="00BF063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1.2.4</w:t>
            </w:r>
            <w:r w:rsidR="00744F50" w:rsidRPr="00AA1421">
              <w:rPr>
                <w:b/>
                <w:u w:val="single"/>
              </w:rPr>
              <w:tab/>
            </w:r>
            <w:r w:rsidRPr="00AA1421">
              <w:rPr>
                <w:rStyle w:val="InstructionsTabelleberschrift"/>
                <w:rFonts w:ascii="Times New Roman" w:hAnsi="Times New Roman"/>
                <w:sz w:val="24"/>
              </w:rPr>
              <w:t xml:space="preserve">Uznanie kwalifikującego się kapitału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II w skonsolidowanych funduszach własnych w okresie przejściowym</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Art. 87 i 480 CRR</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Kwotą, którą należy zgłosić w kolumnie 0060 tego wiersza, jest uznana kwota bez uwzględnienia przepisów przejściowych.</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0100</w:t>
            </w:r>
          </w:p>
        </w:tc>
        <w:tc>
          <w:tcPr>
            <w:tcW w:w="7478" w:type="dxa"/>
          </w:tcPr>
          <w:p w:rsidR="00BF0637" w:rsidRPr="00AA1421" w:rsidRDefault="00BF0637"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1.3</w:t>
            </w:r>
            <w:r w:rsidR="00744F50" w:rsidRPr="00AA1421">
              <w:rPr>
                <w:b/>
                <w:u w:val="single"/>
              </w:rPr>
              <w:tab/>
            </w:r>
            <w:r w:rsidRPr="00AA1421">
              <w:rPr>
                <w:rStyle w:val="InstructionsTabelleberschrift"/>
                <w:rFonts w:ascii="Times New Roman" w:hAnsi="Times New Roman"/>
                <w:sz w:val="24"/>
              </w:rPr>
              <w:t>Inne korekty w okresie przejściowym</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 xml:space="preserve">Art. 468–478 i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81 CRR</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Wiersz ten odzwierciedla ogólny skutek korekt w okresie przejściowym w odliczeniach różnych rodzajów kapitału, niezrealizowanych zyskach i stratach, dodatkowych filtrach i odliczeniach oraz kwoty ważone ryzykiem wynikające z tych korekt.</w:t>
            </w:r>
          </w:p>
        </w:tc>
      </w:tr>
      <w:tr w:rsidR="00FA67D6" w:rsidRPr="00AA1421" w:rsidTr="00672D2A">
        <w:tc>
          <w:tcPr>
            <w:tcW w:w="1012" w:type="dxa"/>
          </w:tcPr>
          <w:p w:rsidR="00FA67D6" w:rsidRPr="00AA1421" w:rsidRDefault="00FA67D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0111</w:t>
            </w:r>
          </w:p>
        </w:tc>
        <w:tc>
          <w:tcPr>
            <w:tcW w:w="7478" w:type="dxa"/>
          </w:tcPr>
          <w:p w:rsidR="00FA67D6" w:rsidRPr="00AA1421" w:rsidRDefault="00FA67D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1.3.1.6 Niezrealizowane zyski i straty z tytułu niektórych ekspozycji dłużnych wobec rządów centralnych, samorządów regionalnych, władz lokalnych i podmiotów sektora publicznego</w:t>
            </w:r>
          </w:p>
          <w:p w:rsidR="00FA67D6" w:rsidRPr="00AA1421" w:rsidRDefault="00FA67D6" w:rsidP="00487A02">
            <w:pPr>
              <w:pStyle w:val="InstructionsText"/>
              <w:rPr>
                <w:rStyle w:val="InstructionsTabelleberschrift"/>
                <w:rFonts w:ascii="Times New Roman" w:hAnsi="Times New Roman"/>
                <w:sz w:val="24"/>
              </w:rPr>
            </w:pPr>
            <w:r w:rsidRPr="00AA1421">
              <w:rPr>
                <w:rStyle w:val="InstructionsTabelleText"/>
                <w:rFonts w:ascii="Times New Roman" w:hAnsi="Times New Roman"/>
                <w:bCs/>
                <w:sz w:val="24"/>
              </w:rPr>
              <w:t>Art. 468 CRR</w:t>
            </w:r>
          </w:p>
        </w:tc>
      </w:tr>
      <w:tr w:rsidR="00FA67D6" w:rsidRPr="00AA1421" w:rsidTr="00672D2A">
        <w:tc>
          <w:tcPr>
            <w:tcW w:w="1012" w:type="dxa"/>
          </w:tcPr>
          <w:p w:rsidR="00FA67D6" w:rsidRPr="00AA1421" w:rsidRDefault="00FA67D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0112</w:t>
            </w:r>
          </w:p>
        </w:tc>
        <w:tc>
          <w:tcPr>
            <w:tcW w:w="7478" w:type="dxa"/>
          </w:tcPr>
          <w:p w:rsidR="00FA67D6" w:rsidRPr="00AA1421" w:rsidRDefault="00FA67D6"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1.3.1.6.1 w tym: kwota A</w:t>
            </w:r>
          </w:p>
          <w:p w:rsidR="00FA67D6" w:rsidRPr="00AA1421" w:rsidRDefault="00FA67D6" w:rsidP="00C3220C">
            <w:pPr>
              <w:pStyle w:val="InstructionsText"/>
              <w:rPr>
                <w:rStyle w:val="InstructionsTabelleberschrift"/>
                <w:rFonts w:ascii="Times New Roman" w:hAnsi="Times New Roman"/>
                <w:sz w:val="24"/>
                <w:u w:val="none"/>
              </w:rPr>
            </w:pPr>
            <w:r w:rsidRPr="00AA1421">
              <w:rPr>
                <w:rStyle w:val="InstructionsTabelleberschrift"/>
                <w:rFonts w:ascii="Times New Roman" w:hAnsi="Times New Roman"/>
                <w:b w:val="0"/>
                <w:sz w:val="24"/>
                <w:u w:val="none"/>
              </w:rPr>
              <w:t xml:space="preserve">Kwota A wyliczona zgodnie ze wzorem, o którym mowa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68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CRR.</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0140</w:t>
            </w:r>
          </w:p>
        </w:tc>
        <w:tc>
          <w:tcPr>
            <w:tcW w:w="7478" w:type="dxa"/>
          </w:tcPr>
          <w:p w:rsidR="00BF0637" w:rsidRPr="00AA1421" w:rsidRDefault="00BF0637"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1.3.2</w:t>
            </w:r>
            <w:r w:rsidR="00744F50" w:rsidRPr="00AA1421">
              <w:rPr>
                <w:b/>
                <w:u w:val="single"/>
              </w:rPr>
              <w:tab/>
            </w:r>
            <w:r w:rsidRPr="00AA1421">
              <w:rPr>
                <w:rStyle w:val="InstructionsTabelleberschrift"/>
                <w:rFonts w:ascii="Times New Roman" w:hAnsi="Times New Roman"/>
                <w:sz w:val="24"/>
              </w:rPr>
              <w:t>Odliczenia</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 xml:space="preserve">Art. 36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69–478 CRR</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Wiersz ten odzwierciedla ogólny skutek przepisów przejściowych dla odliczeń.</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0170</w:t>
            </w:r>
          </w:p>
        </w:tc>
        <w:tc>
          <w:tcPr>
            <w:tcW w:w="7478" w:type="dxa"/>
          </w:tcPr>
          <w:p w:rsidR="00BF0637" w:rsidRPr="00AA1421" w:rsidRDefault="00BF063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1.3.2.3.</w:t>
            </w:r>
            <w:r w:rsidR="00744F50" w:rsidRPr="00AA1421">
              <w:rPr>
                <w:b/>
                <w:u w:val="single"/>
              </w:rPr>
              <w:tab/>
            </w:r>
            <w:r w:rsidRPr="00AA1421">
              <w:rPr>
                <w:rStyle w:val="InstructionsTabelleberschrift"/>
                <w:rFonts w:ascii="Times New Roman" w:hAnsi="Times New Roman"/>
                <w:sz w:val="24"/>
              </w:rPr>
              <w:t>Aktywa z tytułu odroczonego podatku dochodowego oparte na przyszłej rentowności i niewynikające z różnic przejściowych</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lastRenderedPageBreak/>
              <w:t xml:space="preserve">Art. 36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c)</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69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72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78 CRR</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 xml:space="preserve">Przy określaniu kwoty wyżej wspomnianych aktywów z tytułu odroczonego podatku dochodowego, którą należy odliczyć, instytucje biorą pod uwagę przepisy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8 CRR dotyczące zmniejszenia aktywów z tytułu odroczonego podatku dochodowego o rezerwy z tytułu odroczonego podatku dochodowego.</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 xml:space="preserve">Kwota, którą należy zgłosić w kolumnie 0060 tego wiersza: całkowita kwota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69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w:t>
            </w:r>
          </w:p>
        </w:tc>
      </w:tr>
      <w:tr w:rsidR="00BF0637" w:rsidRPr="00AA1421" w:rsidTr="00672D2A">
        <w:tc>
          <w:tcPr>
            <w:tcW w:w="1012" w:type="dxa"/>
          </w:tcPr>
          <w:p w:rsidR="00BF0637" w:rsidRPr="00AA1421" w:rsidDel="00E41E4F"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lastRenderedPageBreak/>
              <w:t>0380</w:t>
            </w:r>
          </w:p>
        </w:tc>
        <w:tc>
          <w:tcPr>
            <w:tcW w:w="7478" w:type="dxa"/>
          </w:tcPr>
          <w:p w:rsidR="00BF0637" w:rsidRPr="00AA1421" w:rsidRDefault="00BF0637"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1.3.2.9</w:t>
            </w:r>
            <w:r w:rsidR="00744F50" w:rsidRPr="00AA1421">
              <w:rPr>
                <w:b/>
                <w:u w:val="single"/>
              </w:rPr>
              <w:tab/>
            </w:r>
            <w:r w:rsidRPr="00AA1421">
              <w:rPr>
                <w:rStyle w:val="InstructionsTabelleberschrift"/>
                <w:rFonts w:ascii="Times New Roman" w:hAnsi="Times New Roman"/>
                <w:sz w:val="24"/>
              </w:rPr>
              <w:t xml:space="preserve">Aktywa z tytułu odroczonego podatku dochodowego oparte na przyszłej rentowności i wynikające z różnic przejściowych oraz instrumenty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podmiotów sektora finansowego, jeżeli instytucja dokonała znacznej inwestycji w te podmioty</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 xml:space="preserve">Art. 470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i 3 CRR</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Kwota, którą należy zgłosić w kolumnie 0060 tego wiersza: Art. 470 ust. 1 CRR</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0385</w:t>
            </w:r>
          </w:p>
        </w:tc>
        <w:tc>
          <w:tcPr>
            <w:tcW w:w="7478" w:type="dxa"/>
          </w:tcPr>
          <w:p w:rsidR="00BF0637" w:rsidRPr="00AA1421" w:rsidRDefault="00BF0637"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Aktywa z tytułu odroczonego podatku dochodowego oparte na przyszłej rentowności i wynikające z różnic przejściowych</w:t>
            </w:r>
          </w:p>
          <w:p w:rsidR="00BF0637" w:rsidRPr="00AA1421" w:rsidRDefault="00BF0637" w:rsidP="00487A02">
            <w:pPr>
              <w:pStyle w:val="InstructionsText"/>
              <w:rPr>
                <w:rStyle w:val="InstructionsTabelleText"/>
                <w:rFonts w:ascii="Times New Roman" w:hAnsi="Times New Roman"/>
                <w:bCs/>
                <w:sz w:val="24"/>
              </w:rPr>
            </w:pPr>
            <w:r w:rsidRPr="00AA1421">
              <w:rPr>
                <w:rStyle w:val="InstructionsTabelleText"/>
                <w:rFonts w:ascii="Times New Roman" w:hAnsi="Times New Roman"/>
                <w:bCs/>
                <w:sz w:val="24"/>
              </w:rPr>
              <w:t xml:space="preserve">Art. 469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lit.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c)</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art.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4</w:t>
            </w:r>
            <w:r w:rsidRPr="00AA1421">
              <w:rPr>
                <w:rStyle w:val="InstructionsTabelleText"/>
                <w:rFonts w:ascii="Times New Roman" w:hAnsi="Times New Roman"/>
                <w:bCs/>
                <w:sz w:val="24"/>
              </w:rPr>
              <w:t xml:space="preserve">72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5</w:t>
            </w:r>
            <w:r w:rsidRPr="00AA1421">
              <w:rPr>
                <w:rStyle w:val="InstructionsTabelleText"/>
                <w:rFonts w:ascii="Times New Roman" w:hAnsi="Times New Roman"/>
                <w:bCs/>
                <w:sz w:val="24"/>
              </w:rPr>
              <w:t xml:space="preserve"> oraz </w:t>
            </w:r>
            <w:r w:rsidRPr="00084F66">
              <w:rPr>
                <w:rStyle w:val="InstructionsTabelleText"/>
                <w:rFonts w:ascii="Times New Roman" w:hAnsi="Times New Roman"/>
                <w:bCs/>
                <w:sz w:val="24"/>
              </w:rPr>
              <w:t>art.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4</w:t>
            </w:r>
            <w:r w:rsidRPr="00AA1421">
              <w:rPr>
                <w:rStyle w:val="InstructionsTabelleText"/>
                <w:rFonts w:ascii="Times New Roman" w:hAnsi="Times New Roman"/>
                <w:bCs/>
                <w:sz w:val="24"/>
              </w:rPr>
              <w:t>78 CRR</w:t>
            </w:r>
          </w:p>
          <w:p w:rsidR="00BF0637" w:rsidRPr="00AA1421" w:rsidRDefault="00BF0637" w:rsidP="00487A02">
            <w:pPr>
              <w:pStyle w:val="InstructionsText"/>
              <w:rPr>
                <w:rStyle w:val="InstructionsTabelleberschrift"/>
                <w:rFonts w:ascii="Times New Roman" w:hAnsi="Times New Roman"/>
                <w:b w:val="0"/>
                <w:sz w:val="24"/>
                <w:u w:val="none"/>
              </w:rPr>
            </w:pPr>
            <w:r w:rsidRPr="00AA1421">
              <w:rPr>
                <w:rStyle w:val="InstructionsTabelleText"/>
                <w:rFonts w:ascii="Times New Roman" w:hAnsi="Times New Roman"/>
                <w:bCs/>
                <w:sz w:val="24"/>
              </w:rPr>
              <w:t>Część aktywów z tytułu odroczonego podatku dochodowego opartych na przyszłej rentowności i wynikających z różnic przejściowych, która przekracza próg 1</w:t>
            </w:r>
            <w:r w:rsidRPr="00084F66">
              <w:rPr>
                <w:rStyle w:val="InstructionsTabelleText"/>
                <w:rFonts w:ascii="Times New Roman" w:hAnsi="Times New Roman"/>
                <w:bCs/>
                <w:sz w:val="24"/>
              </w:rPr>
              <w:t>0</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w:t>
            </w:r>
            <w:r w:rsidRPr="00AA1421">
              <w:rPr>
                <w:rStyle w:val="InstructionsTabelleText"/>
                <w:rFonts w:ascii="Times New Roman" w:hAnsi="Times New Roman"/>
                <w:bCs/>
                <w:sz w:val="24"/>
              </w:rPr>
              <w:t xml:space="preserve"> określony w </w:t>
            </w:r>
            <w:r w:rsidRPr="00084F66">
              <w:rPr>
                <w:rStyle w:val="InstructionsTabelleText"/>
                <w:rFonts w:ascii="Times New Roman" w:hAnsi="Times New Roman"/>
                <w:bCs/>
                <w:sz w:val="24"/>
              </w:rPr>
              <w:t>art.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4</w:t>
            </w:r>
            <w:r w:rsidRPr="00AA1421">
              <w:rPr>
                <w:rStyle w:val="InstructionsTabelleText"/>
                <w:rFonts w:ascii="Times New Roman" w:hAnsi="Times New Roman"/>
                <w:bCs/>
                <w:sz w:val="24"/>
              </w:rPr>
              <w:t xml:space="preserve">70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2</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lit.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a)</w:t>
            </w:r>
            <w:r w:rsidRPr="00AA1421">
              <w:rPr>
                <w:rStyle w:val="InstructionsTabelleText"/>
                <w:rFonts w:ascii="Times New Roman" w:hAnsi="Times New Roman"/>
                <w:bCs/>
                <w:sz w:val="24"/>
              </w:rPr>
              <w:t xml:space="preserve"> CRR.</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0425</w:t>
            </w:r>
          </w:p>
        </w:tc>
        <w:tc>
          <w:tcPr>
            <w:tcW w:w="7478" w:type="dxa"/>
          </w:tcPr>
          <w:p w:rsidR="00BF0637" w:rsidRPr="00AA1421" w:rsidRDefault="00BF063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1.3.2.11</w:t>
            </w:r>
            <w:r w:rsidR="00744F50" w:rsidRPr="00AA1421">
              <w:rPr>
                <w:b/>
                <w:u w:val="single"/>
              </w:rPr>
              <w:tab/>
            </w:r>
            <w:r w:rsidRPr="00AA1421">
              <w:rPr>
                <w:rStyle w:val="InstructionsTabelleberschrift"/>
                <w:rFonts w:ascii="Times New Roman" w:hAnsi="Times New Roman"/>
                <w:sz w:val="24"/>
              </w:rPr>
              <w:t xml:space="preserve">Wyłączenie z odliczania udziałów w kapitale własnym zakładów ubezpieczeń od pozycji kapitału podstawowego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w:t>
            </w:r>
          </w:p>
          <w:p w:rsidR="00BF0637" w:rsidRPr="00AA1421" w:rsidRDefault="00BF0637"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471 CRR</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0430</w:t>
            </w:r>
          </w:p>
        </w:tc>
        <w:tc>
          <w:tcPr>
            <w:tcW w:w="7478" w:type="dxa"/>
          </w:tcPr>
          <w:p w:rsidR="00BF0637" w:rsidRPr="00AA1421" w:rsidRDefault="00BF0637" w:rsidP="00487A02">
            <w:pPr>
              <w:pStyle w:val="InstructionsText"/>
              <w:rPr>
                <w:rStyle w:val="InstructionsTabelleText"/>
                <w:rFonts w:ascii="Times New Roman" w:hAnsi="Times New Roman"/>
                <w:b/>
                <w:bCs/>
                <w:sz w:val="24"/>
                <w:u w:val="single"/>
              </w:rPr>
            </w:pPr>
            <w:r w:rsidRPr="00AA1421">
              <w:rPr>
                <w:rStyle w:val="InstructionsTabelleberschrift"/>
                <w:rFonts w:ascii="Times New Roman" w:hAnsi="Times New Roman"/>
                <w:sz w:val="24"/>
              </w:rPr>
              <w:t>1.3.3</w:t>
            </w:r>
            <w:r w:rsidR="00744F50" w:rsidRPr="00AA1421">
              <w:rPr>
                <w:b/>
                <w:u w:val="single"/>
              </w:rPr>
              <w:tab/>
            </w:r>
            <w:r w:rsidRPr="00AA1421">
              <w:rPr>
                <w:rStyle w:val="InstructionsTabelleberschrift"/>
                <w:rFonts w:ascii="Times New Roman" w:hAnsi="Times New Roman"/>
                <w:sz w:val="24"/>
              </w:rPr>
              <w:t>Dodatkowe filtry i odliczenia</w:t>
            </w:r>
          </w:p>
          <w:p w:rsidR="00BF0637" w:rsidRPr="00AA1421" w:rsidRDefault="00BF0637" w:rsidP="00BF0637">
            <w:pPr>
              <w:spacing w:before="0"/>
              <w:rPr>
                <w:rStyle w:val="InstructionsTabelleText"/>
                <w:rFonts w:ascii="Times New Roman" w:hAnsi="Times New Roman"/>
                <w:sz w:val="24"/>
              </w:rPr>
            </w:pPr>
            <w:r w:rsidRPr="00AA1421">
              <w:rPr>
                <w:rStyle w:val="InstructionsTabelleText"/>
                <w:rFonts w:ascii="Times New Roman" w:hAnsi="Times New Roman"/>
                <w:sz w:val="24"/>
              </w:rPr>
              <w:t>Art. 481 CRR</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Wiersz ten odzwierciedla ogólny skutek przepisów przejściowych dla dodatkowych filtrów i odliczeń.</w:t>
            </w:r>
          </w:p>
          <w:p w:rsidR="00BF0637"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 xml:space="preserve">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81 CRR instytucje zgłaszają w pozycji 1.3.3 informacje odnoszące się do filtrów i odliczeń wymaganych na mocy krajowych środków wykonawczych w odniesieniu do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 xml:space="preserve">7 i 66 dyrektywy 2006/48/WE oraz w odniesieniu do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3 i 16 dyrektywy 2006/49/WE, i które nie są wymagane zgodnie z częścią drugą. </w:t>
            </w:r>
          </w:p>
        </w:tc>
      </w:tr>
      <w:tr w:rsidR="00BF0637" w:rsidRPr="00AA1421" w:rsidTr="00672D2A">
        <w:tc>
          <w:tcPr>
            <w:tcW w:w="1012" w:type="dxa"/>
          </w:tcPr>
          <w:p w:rsidR="00BF0637" w:rsidRPr="00AA1421" w:rsidRDefault="00BA1BF6"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0440</w:t>
            </w:r>
          </w:p>
        </w:tc>
        <w:tc>
          <w:tcPr>
            <w:tcW w:w="7478" w:type="dxa"/>
          </w:tcPr>
          <w:p w:rsidR="00BF0637" w:rsidRPr="00AA1421" w:rsidRDefault="00BF063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1.3.4</w:t>
            </w:r>
            <w:r w:rsidR="00744F50" w:rsidRPr="00AA1421">
              <w:rPr>
                <w:b/>
                <w:u w:val="single"/>
              </w:rPr>
              <w:tab/>
            </w:r>
            <w:r w:rsidRPr="00AA1421">
              <w:rPr>
                <w:rStyle w:val="InstructionsTabelleberschrift"/>
                <w:rFonts w:ascii="Times New Roman" w:hAnsi="Times New Roman"/>
                <w:sz w:val="24"/>
              </w:rPr>
              <w:t>Korekty wynikające z MSSF 9 w okresie przejściowym</w:t>
            </w:r>
          </w:p>
          <w:p w:rsidR="00BF0637" w:rsidRPr="00AA1421" w:rsidRDefault="00BF0637"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473 a CRR</w:t>
            </w:r>
          </w:p>
          <w:p w:rsidR="00BF0637" w:rsidRPr="00AA1421" w:rsidRDefault="00BF0637"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Instytucje zgłaszają informacje dotyczące korekt wynikających z MSSF 9 w okresie przejściowym zgodnie z mającymi zastosowanie przepisami prawa.</w:t>
            </w:r>
          </w:p>
        </w:tc>
      </w:tr>
      <w:tr w:rsidR="0022311E" w:rsidRPr="00AA1421" w:rsidTr="001F1B80">
        <w:tc>
          <w:tcPr>
            <w:tcW w:w="1012" w:type="dxa"/>
          </w:tcPr>
          <w:p w:rsidR="0022311E" w:rsidRPr="00AA1421" w:rsidRDefault="0022311E" w:rsidP="001F1B80">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0441</w:t>
            </w:r>
          </w:p>
        </w:tc>
        <w:tc>
          <w:tcPr>
            <w:tcW w:w="7478" w:type="dxa"/>
          </w:tcPr>
          <w:p w:rsidR="0022311E" w:rsidRPr="00AA1421" w:rsidRDefault="0022311E" w:rsidP="001F1B80">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Pozycja uzupełniająca: wpływ elementu statycznego pod względem oczekiwanych strat kredytowych</w:t>
            </w:r>
          </w:p>
          <w:p w:rsidR="0022311E" w:rsidRPr="00AA1421" w:rsidRDefault="0022311E" w:rsidP="001F1B80">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Suma A</w:t>
            </w:r>
            <w:r w:rsidRPr="00AA1421">
              <w:rPr>
                <w:rStyle w:val="InstructionsTabelleberschrift"/>
                <w:rFonts w:ascii="Times New Roman" w:hAnsi="Times New Roman"/>
                <w:b w:val="0"/>
                <w:sz w:val="24"/>
                <w:u w:val="none"/>
                <w:vertAlign w:val="subscript"/>
              </w:rPr>
              <w:t>2,SA</w:t>
            </w:r>
            <w:r w:rsidRPr="00AA1421">
              <w:rPr>
                <w:rStyle w:val="InstructionsTabelleberschrift"/>
                <w:rFonts w:ascii="Times New Roman" w:hAnsi="Times New Roman"/>
                <w:b w:val="0"/>
                <w:sz w:val="24"/>
                <w:u w:val="none"/>
              </w:rPr>
              <w:t xml:space="preserve"> i A</w:t>
            </w:r>
            <w:r w:rsidRPr="00AA1421">
              <w:rPr>
                <w:rStyle w:val="InstructionsTabelleberschrift"/>
                <w:rFonts w:ascii="Times New Roman" w:hAnsi="Times New Roman"/>
                <w:b w:val="0"/>
                <w:sz w:val="24"/>
                <w:u w:val="none"/>
                <w:vertAlign w:val="subscript"/>
              </w:rPr>
              <w:t>2, IRB</w:t>
            </w:r>
            <w:r w:rsidRPr="00AA1421">
              <w:rPr>
                <w:rStyle w:val="InstructionsTabelleberschrift"/>
                <w:rFonts w:ascii="Times New Roman" w:hAnsi="Times New Roman"/>
                <w:b w:val="0"/>
                <w:sz w:val="24"/>
                <w:u w:val="none"/>
              </w:rPr>
              <w:t xml:space="preserve">, o której mowa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CRR.</w:t>
            </w:r>
          </w:p>
          <w:p w:rsidR="0022311E" w:rsidRPr="00AA1421" w:rsidRDefault="0022311E" w:rsidP="00695A63">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W przypadku A</w:t>
            </w:r>
            <w:r w:rsidRPr="00AA1421">
              <w:rPr>
                <w:rStyle w:val="InstructionsTabelleberschrift"/>
                <w:rFonts w:ascii="Times New Roman" w:hAnsi="Times New Roman"/>
                <w:b w:val="0"/>
                <w:sz w:val="24"/>
                <w:u w:val="none"/>
                <w:vertAlign w:val="subscript"/>
              </w:rPr>
              <w:t>2, IRB</w:t>
            </w:r>
            <w:r w:rsidRPr="00AA1421">
              <w:rPr>
                <w:rStyle w:val="InstructionsTabelleberschrift"/>
                <w:rFonts w:ascii="Times New Roman" w:hAnsi="Times New Roman"/>
                <w:b w:val="0"/>
                <w:sz w:val="24"/>
                <w:u w:val="none"/>
              </w:rPr>
              <w:t xml:space="preserve"> kwotą zgłaszaną jest kwota netto oczekiwanych strat zgodnie z wymogiem określonym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CRR.</w:t>
            </w:r>
          </w:p>
        </w:tc>
      </w:tr>
      <w:tr w:rsidR="0022311E" w:rsidRPr="00AA1421" w:rsidTr="001F1B80">
        <w:tc>
          <w:tcPr>
            <w:tcW w:w="1012" w:type="dxa"/>
          </w:tcPr>
          <w:p w:rsidR="0022311E" w:rsidRPr="00AA1421" w:rsidRDefault="0022311E" w:rsidP="001F1B80">
            <w:pPr>
              <w:pStyle w:val="InstructionsText"/>
              <w:rPr>
                <w:rStyle w:val="InstructionsTabelleText"/>
                <w:rFonts w:ascii="Times New Roman" w:hAnsi="Times New Roman"/>
                <w:sz w:val="24"/>
              </w:rPr>
            </w:pPr>
            <w:r w:rsidRPr="00AA1421">
              <w:rPr>
                <w:rStyle w:val="InstructionsTabelleText"/>
                <w:rFonts w:ascii="Times New Roman" w:hAnsi="Times New Roman"/>
                <w:sz w:val="24"/>
              </w:rPr>
              <w:lastRenderedPageBreak/>
              <w:t>0442</w:t>
            </w:r>
          </w:p>
        </w:tc>
        <w:tc>
          <w:tcPr>
            <w:tcW w:w="7478" w:type="dxa"/>
          </w:tcPr>
          <w:p w:rsidR="0022311E" w:rsidRPr="00AA1421" w:rsidRDefault="0022311E" w:rsidP="001F1B80">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Pozycja uzupełniająca: wpływ elementu dynamicznego pod względem oczekiwanych strat kredytowych w okresie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.01.20</w:t>
            </w:r>
            <w:r w:rsidRPr="00084F66">
              <w:rPr>
                <w:rStyle w:val="InstructionsTabelleberschrift"/>
                <w:rFonts w:ascii="Times New Roman" w:hAnsi="Times New Roman"/>
                <w:sz w:val="24"/>
              </w:rPr>
              <w:t>18</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r w:rsidRPr="00AA1421">
              <w:rPr>
                <w:rStyle w:val="InstructionsTabelleberschrift"/>
                <w:rFonts w:ascii="Times New Roman" w:hAnsi="Times New Roman"/>
                <w:sz w:val="24"/>
              </w:rPr>
              <w:t xml:space="preserve">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1.12.20</w:t>
            </w:r>
            <w:r w:rsidRPr="00084F66">
              <w:rPr>
                <w:rStyle w:val="InstructionsTabelleberschrift"/>
                <w:rFonts w:ascii="Times New Roman" w:hAnsi="Times New Roman"/>
                <w:sz w:val="24"/>
              </w:rPr>
              <w:t>19</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p>
          <w:p w:rsidR="0022311E" w:rsidRPr="00AA1421" w:rsidRDefault="0022311E" w:rsidP="00695A63">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Suma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AA1421">
              <w:rPr>
                <w:rStyle w:val="InstructionsTabelleberschrift"/>
                <w:rFonts w:ascii="Times New Roman" w:hAnsi="Times New Roman"/>
                <w:b w:val="0"/>
                <w:sz w:val="24"/>
                <w:u w:val="none"/>
              </w:rPr>
              <w:t xml:space="preserve"> i</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AA1421">
              <w:rPr>
                <w:rStyle w:val="InstructionsTabelleberschrift"/>
                <w:rFonts w:ascii="Times New Roman" w:hAnsi="Times New Roman"/>
                <w:b w:val="0"/>
                <w:sz w:val="24"/>
                <w:u w:val="none"/>
              </w:rPr>
              <w:t xml:space="preserve">, o której mowa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CRR. </w:t>
            </w:r>
          </w:p>
        </w:tc>
      </w:tr>
      <w:tr w:rsidR="0022311E" w:rsidRPr="00AA1421" w:rsidTr="001F1B80">
        <w:tc>
          <w:tcPr>
            <w:tcW w:w="1012" w:type="dxa"/>
          </w:tcPr>
          <w:p w:rsidR="0022311E" w:rsidRPr="00AA1421" w:rsidRDefault="0022311E" w:rsidP="001F1B80">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0443</w:t>
            </w:r>
          </w:p>
        </w:tc>
        <w:tc>
          <w:tcPr>
            <w:tcW w:w="7478" w:type="dxa"/>
          </w:tcPr>
          <w:p w:rsidR="0022311E" w:rsidRPr="00AA1421" w:rsidRDefault="0022311E" w:rsidP="001F1B80">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Pozycja uzupełniająca: wpływ elementu dynamicznego pod względem oczekiwanych strat kredytowych w okresie rozpoczynającym </w:t>
            </w:r>
            <w:r w:rsidRPr="00084F66">
              <w:rPr>
                <w:rStyle w:val="InstructionsTabelleberschrift"/>
                <w:rFonts w:ascii="Times New Roman" w:hAnsi="Times New Roman"/>
                <w:sz w:val="24"/>
              </w:rPr>
              <w:t>się</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.01.20</w:t>
            </w:r>
            <w:r w:rsidRPr="00084F66">
              <w:rPr>
                <w:rStyle w:val="InstructionsTabelleberschrift"/>
                <w:rFonts w:ascii="Times New Roman" w:hAnsi="Times New Roman"/>
                <w:sz w:val="24"/>
              </w:rPr>
              <w:t>20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p>
          <w:p w:rsidR="0022311E" w:rsidRPr="00AA1421" w:rsidRDefault="0022311E" w:rsidP="001F1B80">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Suma A</w:t>
            </w:r>
            <w:r w:rsidRPr="00AA1421">
              <w:rPr>
                <w:rStyle w:val="InstructionsTabelleberschrift"/>
                <w:rFonts w:ascii="Times New Roman" w:hAnsi="Times New Roman"/>
                <w:b w:val="0"/>
                <w:sz w:val="24"/>
                <w:u w:val="none"/>
                <w:vertAlign w:val="subscript"/>
              </w:rPr>
              <w:t>4,SA</w:t>
            </w:r>
            <w:r w:rsidRPr="00AA1421">
              <w:rPr>
                <w:rStyle w:val="InstructionsTabelleberschrift"/>
                <w:rFonts w:ascii="Times New Roman" w:hAnsi="Times New Roman"/>
                <w:b w:val="0"/>
                <w:sz w:val="24"/>
                <w:u w:val="none"/>
              </w:rPr>
              <w:t xml:space="preserve"> i A</w:t>
            </w:r>
            <w:r w:rsidRPr="00AA1421">
              <w:rPr>
                <w:rStyle w:val="InstructionsTabelleberschrift"/>
                <w:rFonts w:ascii="Times New Roman" w:hAnsi="Times New Roman"/>
                <w:b w:val="0"/>
                <w:sz w:val="24"/>
                <w:u w:val="none"/>
                <w:vertAlign w:val="subscript"/>
              </w:rPr>
              <w:t>4, IRB</w:t>
            </w:r>
            <w:r w:rsidRPr="00AA1421">
              <w:rPr>
                <w:rStyle w:val="InstructionsTabelleberschrift"/>
                <w:rFonts w:ascii="Times New Roman" w:hAnsi="Times New Roman"/>
                <w:b w:val="0"/>
                <w:sz w:val="24"/>
                <w:u w:val="none"/>
              </w:rPr>
              <w:t xml:space="preserve">, o której mowa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CRR.</w:t>
            </w:r>
          </w:p>
          <w:p w:rsidR="0022311E" w:rsidRPr="00AA1421" w:rsidRDefault="0022311E" w:rsidP="00E03E51">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W przypadku A</w:t>
            </w:r>
            <w:r w:rsidRPr="00AA1421">
              <w:rPr>
                <w:rStyle w:val="InstructionsTabelleberschrift"/>
                <w:rFonts w:ascii="Times New Roman" w:hAnsi="Times New Roman"/>
                <w:b w:val="0"/>
                <w:sz w:val="24"/>
                <w:u w:val="none"/>
                <w:vertAlign w:val="subscript"/>
              </w:rPr>
              <w:t>4, IRB</w:t>
            </w:r>
            <w:r w:rsidRPr="00AA1421">
              <w:rPr>
                <w:rStyle w:val="InstructionsTabelleberschrift"/>
                <w:rFonts w:ascii="Times New Roman" w:hAnsi="Times New Roman"/>
                <w:b w:val="0"/>
                <w:sz w:val="24"/>
                <w:u w:val="none"/>
              </w:rPr>
              <w:t xml:space="preserve"> kwotą zgłaszaną jest kwota netto oczekiwanych strat zgodnie z wymogiem określonym w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5</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i c) CRR.</w:t>
            </w:r>
          </w:p>
        </w:tc>
      </w:tr>
    </w:tbl>
    <w:p w:rsidR="002648B0" w:rsidRPr="00AA1421" w:rsidRDefault="002648B0" w:rsidP="00D946DB">
      <w:pPr>
        <w:spacing w:after="0"/>
        <w:rPr>
          <w:rFonts w:ascii="Times New Roman" w:hAnsi="Times New Roman"/>
          <w:sz w:val="24"/>
        </w:rPr>
      </w:pPr>
    </w:p>
    <w:p w:rsidR="002648B0" w:rsidRPr="00AA1421"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58403610"/>
      <w:bookmarkStart w:id="89" w:name="_Toc360188337"/>
      <w:bookmarkEnd w:id="85"/>
      <w:r w:rsidRPr="00AA1421">
        <w:rPr>
          <w:rFonts w:ascii="Times New Roman" w:hAnsi="Times New Roman"/>
          <w:sz w:val="24"/>
          <w:u w:val="none"/>
        </w:rPr>
        <w:t>1.6.3</w:t>
      </w:r>
      <w:r w:rsidR="00D712CF" w:rsidRPr="00AA1421">
        <w:rPr>
          <w:u w:val="none"/>
        </w:rPr>
        <w:tab/>
      </w:r>
      <w:r w:rsidRPr="00AA1421">
        <w:rPr>
          <w:rFonts w:ascii="Times New Roman" w:hAnsi="Times New Roman"/>
          <w:sz w:val="24"/>
        </w:rPr>
        <w:t>C 05.02 – INSTRUMENTY PODLEGAJĄCE ZASADZIE PRAW NABYTYCH: INSTRUMENTY NIESTANOWIĄCE POMOCY PAŃSTWA (CA5.2)</w:t>
      </w:r>
      <w:bookmarkEnd w:id="86"/>
      <w:bookmarkEnd w:id="87"/>
      <w:bookmarkEnd w:id="88"/>
      <w:r w:rsidRPr="00AA1421">
        <w:rPr>
          <w:rFonts w:ascii="Times New Roman" w:hAnsi="Times New Roman"/>
          <w:sz w:val="24"/>
          <w:u w:val="none"/>
        </w:rPr>
        <w:t xml:space="preserve"> </w:t>
      </w:r>
      <w:bookmarkEnd w:id="89"/>
    </w:p>
    <w:p w:rsidR="00783881" w:rsidRPr="00AA1421" w:rsidRDefault="00AA1421" w:rsidP="00487A02">
      <w:pPr>
        <w:pStyle w:val="InstructionsText2"/>
        <w:numPr>
          <w:ilvl w:val="0"/>
          <w:numId w:val="0"/>
        </w:numPr>
        <w:ind w:left="1353" w:hanging="360"/>
      </w:pPr>
      <w:fldSimple w:instr=" seq paragraphs ">
        <w:r w:rsidR="00D11E4C" w:rsidRPr="00AA1421">
          <w:rPr>
            <w:noProof/>
          </w:rPr>
          <w:t>26</w:t>
        </w:r>
      </w:fldSimple>
      <w:r w:rsidR="00D11E4C" w:rsidRPr="00AA1421">
        <w:t>.</w:t>
      </w:r>
      <w:r w:rsidR="00D11E4C" w:rsidRPr="00AA1421">
        <w:tab/>
        <w:t>Instytucje zgłaszają informacje odnoszące się do przepisów przejściowych dotyczących instrumentów podlegających zasadzie praw nabytych, które to instrumenty nie stanowią pomocy państwa (</w:t>
      </w:r>
      <w:r w:rsidR="00D11E4C" w:rsidRPr="00084F66">
        <w:t>art.</w:t>
      </w:r>
      <w:r w:rsidR="00084F66" w:rsidRPr="00084F66">
        <w:t> </w:t>
      </w:r>
      <w:r w:rsidR="00D11E4C" w:rsidRPr="00084F66">
        <w:t>4</w:t>
      </w:r>
      <w:r w:rsidR="00D11E4C" w:rsidRPr="00AA1421">
        <w:t>84–491 CRR).</w:t>
      </w:r>
    </w:p>
    <w:p w:rsidR="002648B0" w:rsidRPr="00AA1421"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403611"/>
      <w:r w:rsidRPr="00AA1421">
        <w:rPr>
          <w:rFonts w:ascii="Times New Roman" w:hAnsi="Times New Roman"/>
          <w:sz w:val="24"/>
          <w:u w:val="none"/>
        </w:rPr>
        <w:t>1.6.3.1</w:t>
      </w:r>
      <w:r w:rsidR="00D712CF" w:rsidRPr="00AA1421">
        <w:rPr>
          <w:u w:val="none"/>
        </w:rPr>
        <w:tab/>
      </w:r>
      <w:r w:rsidRPr="00AA1421">
        <w:rPr>
          <w:rFonts w:ascii="Times New Roman" w:hAnsi="Times New Roman"/>
          <w:sz w:val="24"/>
        </w:rPr>
        <w:t>Instrukcje dotyczące poszczególnych pozycji</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A1421" w:rsidTr="00672D2A">
        <w:tc>
          <w:tcPr>
            <w:tcW w:w="8181" w:type="dxa"/>
            <w:gridSpan w:val="2"/>
            <w:shd w:val="clear" w:color="auto" w:fill="D9D9D9"/>
          </w:tcPr>
          <w:p w:rsidR="005643EA"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Kolumny</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7478" w:type="dxa"/>
          </w:tcPr>
          <w:p w:rsidR="002648B0"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Kwota instrumentów plus powiązane ażio emisyjne</w:t>
            </w:r>
          </w:p>
          <w:p w:rsidR="002648B0" w:rsidRPr="00AA1421" w:rsidRDefault="00167619"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4 i 5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Instrumenty, które kwalifikują się do odpowiedniego wiersza, w tym ich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0020</w:t>
            </w:r>
          </w:p>
        </w:tc>
        <w:tc>
          <w:tcPr>
            <w:tcW w:w="7478" w:type="dxa"/>
          </w:tcPr>
          <w:p w:rsidR="002648B0"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Podstawa obliczania limitu</w:t>
            </w:r>
          </w:p>
          <w:p w:rsidR="002648B0" w:rsidRPr="00AA1421" w:rsidRDefault="00167619"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3 i 4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0030</w:t>
            </w:r>
          </w:p>
        </w:tc>
        <w:tc>
          <w:tcPr>
            <w:tcW w:w="7478" w:type="dxa"/>
          </w:tcPr>
          <w:p w:rsidR="002648B0"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Mająca zastosowanie wartość procentowa</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Art. 486 ust. 5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0040</w:t>
            </w:r>
          </w:p>
        </w:tc>
        <w:tc>
          <w:tcPr>
            <w:tcW w:w="7478" w:type="dxa"/>
          </w:tcPr>
          <w:p w:rsidR="002648B0"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Poziom</w:t>
            </w:r>
          </w:p>
          <w:p w:rsidR="002648B0" w:rsidRPr="00AA1421" w:rsidRDefault="00167619"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–5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lastRenderedPageBreak/>
              <w:t>0050</w:t>
            </w:r>
          </w:p>
        </w:tc>
        <w:tc>
          <w:tcPr>
            <w:tcW w:w="7478" w:type="dxa"/>
          </w:tcPr>
          <w:p w:rsidR="002648B0"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 Kwota przekraczająca limity w zakresie stosowania zasady praw nabytych</w:t>
            </w:r>
          </w:p>
          <w:p w:rsidR="002648B0" w:rsidRPr="00AA1421" w:rsidRDefault="00167619"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–5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0060</w:t>
            </w:r>
          </w:p>
        </w:tc>
        <w:tc>
          <w:tcPr>
            <w:tcW w:w="7478" w:type="dxa"/>
          </w:tcPr>
          <w:p w:rsidR="002648B0"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Całkowita kwota podlegająca zasadzie praw nabytych</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jest równa kwotom zgłoszonym w odpowiednich kolumnach w wierszu 060 wzoru CA5.1.</w:t>
            </w:r>
          </w:p>
        </w:tc>
      </w:tr>
    </w:tbl>
    <w:p w:rsidR="002648B0" w:rsidRPr="00AA1421"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A1421" w:rsidTr="00672D2A">
        <w:tc>
          <w:tcPr>
            <w:tcW w:w="8181" w:type="dxa"/>
            <w:gridSpan w:val="2"/>
            <w:shd w:val="clear" w:color="auto" w:fill="D9D9D9"/>
          </w:tcPr>
          <w:p w:rsidR="005643EA" w:rsidRPr="00AA1421" w:rsidRDefault="002648B0" w:rsidP="00EE6F6C">
            <w:pPr>
              <w:pStyle w:val="body"/>
            </w:pPr>
            <w:r w:rsidRPr="00AA1421">
              <w:t>Wiersze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7478" w:type="dxa"/>
          </w:tcPr>
          <w:p w:rsidR="005643EA" w:rsidRPr="00AA1421" w:rsidRDefault="00C66473"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1.</w:t>
            </w:r>
            <w:r w:rsidR="00744F50" w:rsidRPr="00AA1421">
              <w:rPr>
                <w:b/>
                <w:u w:val="single"/>
              </w:rPr>
              <w:tab/>
            </w:r>
            <w:r w:rsidRPr="00AA1421">
              <w:rPr>
                <w:rStyle w:val="InstructionsTabelleberschrift"/>
                <w:rFonts w:ascii="Times New Roman" w:hAnsi="Times New Roman"/>
                <w:sz w:val="24"/>
              </w:rPr>
              <w:t xml:space="preserve">Instrumenty, które kwalifikowały się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 xml:space="preserve">7 </w:t>
            </w:r>
            <w:r w:rsidRPr="00084F66">
              <w:rPr>
                <w:rStyle w:val="InstructionsTabelleberschrift"/>
                <w:rFonts w:ascii="Times New Roman" w:hAnsi="Times New Roman"/>
                <w:sz w:val="24"/>
              </w:rPr>
              <w:t>lit.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a)</w:t>
            </w:r>
            <w:r w:rsidRPr="00AA1421">
              <w:rPr>
                <w:rStyle w:val="InstructionsTabelleberschrift"/>
                <w:rFonts w:ascii="Times New Roman" w:hAnsi="Times New Roman"/>
                <w:sz w:val="24"/>
              </w:rPr>
              <w:t xml:space="preserve"> dyrektywy 2006/48/WE</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Art. 484 ust. 3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0020</w:t>
            </w:r>
          </w:p>
        </w:tc>
        <w:tc>
          <w:tcPr>
            <w:tcW w:w="7478" w:type="dxa"/>
          </w:tcPr>
          <w:p w:rsidR="005643EA" w:rsidRPr="00AA1421" w:rsidRDefault="00C66473"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2.</w:t>
            </w:r>
            <w:r w:rsidR="00744F50" w:rsidRPr="00AA1421">
              <w:rPr>
                <w:b/>
                <w:u w:val="single"/>
              </w:rPr>
              <w:tab/>
            </w:r>
            <w:r w:rsidRPr="00AA1421">
              <w:rPr>
                <w:rStyle w:val="InstructionsTabelleberschrift"/>
                <w:rFonts w:ascii="Times New Roman" w:hAnsi="Times New Roman"/>
                <w:sz w:val="24"/>
              </w:rPr>
              <w:t xml:space="preserve">Instrumenty, które kwalifikowały się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 xml:space="preserve">7 lit. ca) oraz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 xml:space="preserve">54 </w:t>
            </w:r>
            <w:r w:rsidRPr="00084F66">
              <w:rPr>
                <w:rStyle w:val="InstructionsTabelleberschrift"/>
                <w:rFonts w:ascii="Times New Roman" w:hAnsi="Times New Roman"/>
                <w:sz w:val="24"/>
              </w:rPr>
              <w:t>ust.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8</w:t>
            </w:r>
            <w:r w:rsidRPr="00AA1421">
              <w:rPr>
                <w:rStyle w:val="InstructionsTabelleberschrift"/>
                <w:rFonts w:ascii="Times New Roman" w:hAnsi="Times New Roman"/>
                <w:sz w:val="24"/>
              </w:rPr>
              <w:t xml:space="preserve"> i 9 dyrektywy 2006/48/WE, z zastrzeżeniem limitu określonego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89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Art. 484 ust. 4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0030</w:t>
            </w:r>
          </w:p>
        </w:tc>
        <w:tc>
          <w:tcPr>
            <w:tcW w:w="7478" w:type="dxa"/>
          </w:tcPr>
          <w:p w:rsidR="00496C53" w:rsidRPr="00AA1421" w:rsidRDefault="002648B0"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2.1</w:t>
            </w:r>
            <w:r w:rsidR="00744F50" w:rsidRPr="00AA1421">
              <w:rPr>
                <w:b/>
                <w:u w:val="single"/>
              </w:rPr>
              <w:tab/>
            </w:r>
            <w:r w:rsidRPr="00AA1421">
              <w:rPr>
                <w:rStyle w:val="InstructionsTabelleberschrift"/>
                <w:rFonts w:ascii="Times New Roman" w:hAnsi="Times New Roman"/>
                <w:sz w:val="24"/>
              </w:rPr>
              <w:t>Całkowita kwota instrumentów bez opcji kupna lub zachęty do umorzenia</w:t>
            </w:r>
          </w:p>
          <w:p w:rsidR="002648B0" w:rsidRPr="00AA1421" w:rsidRDefault="002648B0" w:rsidP="00EE6F6C">
            <w:pPr>
              <w:pStyle w:val="body"/>
              <w:rPr>
                <w:rStyle w:val="InstructionsTabelleText"/>
                <w:rFonts w:ascii="Times New Roman" w:hAnsi="Times New Roman"/>
                <w:bCs/>
                <w:sz w:val="24"/>
              </w:rPr>
            </w:pPr>
            <w:r w:rsidRPr="00AA1421">
              <w:rPr>
                <w:rStyle w:val="InstructionsTabelleText"/>
                <w:rFonts w:ascii="Times New Roman" w:hAnsi="Times New Roman"/>
                <w:sz w:val="24"/>
              </w:rPr>
              <w:t xml:space="preserve">Art. 484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 i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89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0040</w:t>
            </w:r>
          </w:p>
        </w:tc>
        <w:tc>
          <w:tcPr>
            <w:tcW w:w="7478" w:type="dxa"/>
          </w:tcPr>
          <w:p w:rsidR="005643EA" w:rsidRPr="00AA1421" w:rsidRDefault="002648B0"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2.2</w:t>
            </w:r>
            <w:r w:rsidR="00744F50" w:rsidRPr="00AA1421">
              <w:rPr>
                <w:b/>
                <w:u w:val="single"/>
              </w:rPr>
              <w:tab/>
            </w:r>
            <w:r w:rsidRPr="00AA1421">
              <w:rPr>
                <w:rStyle w:val="InstructionsTabelleberschrift"/>
                <w:rFonts w:ascii="Times New Roman" w:hAnsi="Times New Roman"/>
                <w:sz w:val="24"/>
              </w:rPr>
              <w:t>Instrumenty podlegające zasadzie praw nabytych z opcją kupna i zachętą do umorzenia</w:t>
            </w:r>
          </w:p>
          <w:p w:rsidR="005643EA" w:rsidRPr="00AA1421" w:rsidRDefault="002648B0" w:rsidP="00EE6F6C">
            <w:pPr>
              <w:pStyle w:val="body"/>
              <w:rPr>
                <w:rStyle w:val="InstructionsTabelleText"/>
                <w:rFonts w:ascii="Times New Roman" w:hAnsi="Times New Roman"/>
                <w:bCs/>
                <w:sz w:val="24"/>
              </w:rPr>
            </w:pPr>
            <w:r w:rsidRPr="00AA1421">
              <w:rPr>
                <w:rStyle w:val="InstructionsTabelleText"/>
                <w:rFonts w:ascii="Times New Roman" w:hAnsi="Times New Roman"/>
                <w:sz w:val="24"/>
              </w:rPr>
              <w:t>Art. 489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0050</w:t>
            </w:r>
          </w:p>
        </w:tc>
        <w:tc>
          <w:tcPr>
            <w:tcW w:w="7478" w:type="dxa"/>
          </w:tcPr>
          <w:p w:rsidR="005643EA" w:rsidRPr="00AA1421" w:rsidRDefault="002648B0" w:rsidP="00EE6F6C">
            <w:pPr>
              <w:pStyle w:val="body"/>
              <w:rPr>
                <w:rStyle w:val="InstructionsTabelleText"/>
                <w:rFonts w:ascii="Times New Roman" w:hAnsi="Times New Roman"/>
                <w:b/>
                <w:bCs/>
                <w:sz w:val="24"/>
                <w:u w:val="single"/>
              </w:rPr>
            </w:pPr>
            <w:r w:rsidRPr="00AA1421">
              <w:rPr>
                <w:rStyle w:val="InstructionsTabelleberschrift"/>
                <w:rFonts w:ascii="Times New Roman" w:hAnsi="Times New Roman"/>
                <w:sz w:val="24"/>
              </w:rPr>
              <w:t>2.2.1</w:t>
            </w:r>
            <w:r w:rsidR="00744F50" w:rsidRPr="00AA1421">
              <w:rPr>
                <w:b/>
                <w:u w:val="single"/>
              </w:rPr>
              <w:tab/>
            </w:r>
            <w:r w:rsidRPr="00AA1421">
              <w:rPr>
                <w:rStyle w:val="InstructionsTabelleberschrift"/>
                <w:rFonts w:ascii="Times New Roman" w:hAnsi="Times New Roman"/>
                <w:sz w:val="24"/>
              </w:rPr>
              <w:t xml:space="preserve">Instrumenty z opcją kupna wykonalną po dniu sprawozdawczym, spełniające warunki określone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2 CRR po upływie efektywnego terminu zapadalności</w:t>
            </w:r>
          </w:p>
          <w:p w:rsidR="005643EA"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lastRenderedPageBreak/>
              <w:t xml:space="preserve">Art. 489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91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a)</w:t>
            </w:r>
            <w:r w:rsidRPr="00AA1421">
              <w:rPr>
                <w:rStyle w:val="InstructionsTabelleText"/>
                <w:rFonts w:ascii="Times New Roman" w:hAnsi="Times New Roman"/>
                <w:sz w:val="24"/>
              </w:rPr>
              <w:t xml:space="preserve">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lastRenderedPageBreak/>
              <w:t>0060</w:t>
            </w:r>
          </w:p>
        </w:tc>
        <w:tc>
          <w:tcPr>
            <w:tcW w:w="7478" w:type="dxa"/>
          </w:tcPr>
          <w:p w:rsidR="005643EA" w:rsidRPr="00AA1421" w:rsidRDefault="002648B0"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2.2.2</w:t>
            </w:r>
            <w:r w:rsidR="00744F50" w:rsidRPr="00AA1421">
              <w:rPr>
                <w:b/>
                <w:u w:val="single"/>
              </w:rPr>
              <w:tab/>
            </w:r>
            <w:r w:rsidRPr="00AA1421">
              <w:rPr>
                <w:rStyle w:val="InstructionsTabelleberschrift"/>
                <w:rFonts w:ascii="Times New Roman" w:hAnsi="Times New Roman"/>
                <w:sz w:val="24"/>
              </w:rPr>
              <w:t xml:space="preserve">Instrumenty z opcją kupna wykonalną po dniu sprawozdawczym, niespełniające warunków określonych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2 CRR po upływie efektywnego terminu zapadalności</w:t>
            </w:r>
          </w:p>
          <w:p w:rsidR="009F1550" w:rsidRPr="00AA1421" w:rsidRDefault="009F155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489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91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a)</w:t>
            </w:r>
            <w:r w:rsidRPr="00AA1421">
              <w:rPr>
                <w:rStyle w:val="InstructionsTabelleText"/>
                <w:rFonts w:ascii="Times New Roman" w:hAnsi="Times New Roman"/>
                <w:sz w:val="24"/>
              </w:rPr>
              <w:t xml:space="preserve">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0070</w:t>
            </w:r>
          </w:p>
        </w:tc>
        <w:tc>
          <w:tcPr>
            <w:tcW w:w="7478" w:type="dxa"/>
          </w:tcPr>
          <w:p w:rsidR="005643EA" w:rsidRPr="00AA1421" w:rsidRDefault="002648B0"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2.2.3</w:t>
            </w:r>
            <w:r w:rsidR="00744F50" w:rsidRPr="00AA1421">
              <w:rPr>
                <w:b/>
                <w:u w:val="single"/>
              </w:rPr>
              <w:tab/>
            </w:r>
            <w:r w:rsidRPr="00AA1421">
              <w:rPr>
                <w:rStyle w:val="InstructionsTabelleberschrift"/>
                <w:rFonts w:ascii="Times New Roman" w:hAnsi="Times New Roman"/>
                <w:sz w:val="24"/>
              </w:rPr>
              <w:t>Instrumenty z opcją kupna wykonalną przed dniem 20 lipca 20</w:t>
            </w:r>
            <w:r w:rsidRPr="00084F66">
              <w:rPr>
                <w:rStyle w:val="InstructionsTabelleberschrift"/>
                <w:rFonts w:ascii="Times New Roman" w:hAnsi="Times New Roman"/>
                <w:sz w:val="24"/>
              </w:rPr>
              <w:t>11</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r w:rsidRPr="00AA1421">
              <w:rPr>
                <w:rStyle w:val="InstructionsTabelleberschrift"/>
                <w:rFonts w:ascii="Times New Roman" w:hAnsi="Times New Roman"/>
                <w:sz w:val="24"/>
              </w:rPr>
              <w:t xml:space="preserve"> lub w dniu 20 lipca 20</w:t>
            </w:r>
            <w:r w:rsidRPr="00084F66">
              <w:rPr>
                <w:rStyle w:val="InstructionsTabelleberschrift"/>
                <w:rFonts w:ascii="Times New Roman" w:hAnsi="Times New Roman"/>
                <w:sz w:val="24"/>
              </w:rPr>
              <w:t>11</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r w:rsidRPr="00AA1421">
              <w:rPr>
                <w:rStyle w:val="InstructionsTabelleberschrift"/>
                <w:rFonts w:ascii="Times New Roman" w:hAnsi="Times New Roman"/>
                <w:sz w:val="24"/>
              </w:rPr>
              <w:t xml:space="preserve">, niespełniające warunków określonych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2 CRR po upływie efektywnego terminu zapadalności</w:t>
            </w:r>
          </w:p>
          <w:p w:rsidR="009F1550" w:rsidRPr="00AA1421" w:rsidRDefault="009F155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489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6</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91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c)</w:t>
            </w:r>
            <w:r w:rsidRPr="00AA1421">
              <w:rPr>
                <w:rStyle w:val="InstructionsTabelleText"/>
                <w:rFonts w:ascii="Times New Roman" w:hAnsi="Times New Roman"/>
                <w:sz w:val="24"/>
              </w:rPr>
              <w:t xml:space="preserve">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0080</w:t>
            </w:r>
          </w:p>
        </w:tc>
        <w:tc>
          <w:tcPr>
            <w:tcW w:w="7478" w:type="dxa"/>
          </w:tcPr>
          <w:p w:rsidR="005643EA" w:rsidRPr="00AA1421" w:rsidRDefault="002648B0" w:rsidP="00EE6F6C">
            <w:pPr>
              <w:pStyle w:val="body"/>
              <w:rPr>
                <w:rStyle w:val="InstructionsTabelleText"/>
                <w:rFonts w:ascii="Times New Roman" w:hAnsi="Times New Roman"/>
                <w:b/>
                <w:bCs/>
                <w:sz w:val="24"/>
                <w:u w:val="single"/>
              </w:rPr>
            </w:pPr>
            <w:r w:rsidRPr="00AA1421">
              <w:rPr>
                <w:rStyle w:val="InstructionsTabelleberschrift"/>
                <w:rFonts w:ascii="Times New Roman" w:hAnsi="Times New Roman"/>
                <w:sz w:val="24"/>
              </w:rPr>
              <w:t>2.3</w:t>
            </w:r>
            <w:r w:rsidR="00744F50" w:rsidRPr="00AA1421">
              <w:rPr>
                <w:b/>
                <w:u w:val="single"/>
              </w:rPr>
              <w:tab/>
            </w:r>
            <w:r w:rsidRPr="00AA1421">
              <w:rPr>
                <w:rStyle w:val="InstructionsTabelleberschrift"/>
                <w:rFonts w:ascii="Times New Roman" w:hAnsi="Times New Roman"/>
                <w:sz w:val="24"/>
              </w:rPr>
              <w:t xml:space="preserve">Nadwyżka ponad limit instrumentów w kapitale podstawowym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podlegających zasadzie praw nabytych</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Art. 487 ust. 1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Nadwyżkę ponad limit instrumentów w kapitale podstawowym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podlegających zasadzie praw nabytych można traktować jak instrumenty, które mogą podlegać zasadzie praw nabytych jako instrumenty w kapitale dodatkowym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0090</w:t>
            </w:r>
          </w:p>
        </w:tc>
        <w:tc>
          <w:tcPr>
            <w:tcW w:w="7478" w:type="dxa"/>
          </w:tcPr>
          <w:p w:rsidR="005643EA" w:rsidRPr="00AA1421" w:rsidRDefault="00C66473"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3.</w:t>
            </w:r>
            <w:r w:rsidR="00744F50" w:rsidRPr="00AA1421">
              <w:rPr>
                <w:b/>
                <w:u w:val="single"/>
              </w:rPr>
              <w:tab/>
            </w:r>
            <w:r w:rsidRPr="00AA1421">
              <w:rPr>
                <w:rStyle w:val="InstructionsTabelleberschrift"/>
                <w:rFonts w:ascii="Times New Roman" w:hAnsi="Times New Roman"/>
                <w:sz w:val="24"/>
              </w:rPr>
              <w:t xml:space="preserve">Pozycje, które kwalifikowały się zgodnie z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 xml:space="preserve">7 </w:t>
            </w:r>
            <w:r w:rsidRPr="00084F66">
              <w:rPr>
                <w:rStyle w:val="InstructionsTabelleberschrift"/>
                <w:rFonts w:ascii="Times New Roman" w:hAnsi="Times New Roman"/>
                <w:sz w:val="24"/>
              </w:rPr>
              <w:t>lit.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e)</w:t>
            </w:r>
            <w:r w:rsidRPr="00AA1421">
              <w:rPr>
                <w:rStyle w:val="InstructionsTabelleberschrift"/>
                <w:rFonts w:ascii="Times New Roman" w:hAnsi="Times New Roman"/>
                <w:sz w:val="24"/>
              </w:rPr>
              <w:t xml:space="preserve">, f), g) lub h) dyrektywy 2006/48/WE, z zastrzeżeniem limitu określonego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90 CRR</w:t>
            </w:r>
          </w:p>
          <w:p w:rsidR="005643EA" w:rsidRPr="00AA1421" w:rsidRDefault="002648B0" w:rsidP="00EE6F6C">
            <w:pPr>
              <w:pStyle w:val="body"/>
              <w:rPr>
                <w:rStyle w:val="InstructionsTabelleText"/>
                <w:rFonts w:ascii="Times New Roman" w:hAnsi="Times New Roman"/>
                <w:bCs/>
                <w:sz w:val="24"/>
              </w:rPr>
            </w:pPr>
            <w:r w:rsidRPr="00AA1421">
              <w:rPr>
                <w:rStyle w:val="InstructionsTabelleText"/>
                <w:rFonts w:ascii="Times New Roman" w:hAnsi="Times New Roman"/>
                <w:sz w:val="24"/>
              </w:rPr>
              <w:t>Art. 484 ust. 5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0100</w:t>
            </w:r>
          </w:p>
        </w:tc>
        <w:tc>
          <w:tcPr>
            <w:tcW w:w="7478" w:type="dxa"/>
          </w:tcPr>
          <w:p w:rsidR="005643EA" w:rsidRPr="00AA1421" w:rsidRDefault="002648B0" w:rsidP="00EE6F6C">
            <w:pPr>
              <w:pStyle w:val="body"/>
              <w:rPr>
                <w:rStyle w:val="InstructionsTabelleText"/>
                <w:rFonts w:ascii="Times New Roman" w:hAnsi="Times New Roman"/>
                <w:b/>
                <w:bCs/>
                <w:sz w:val="24"/>
                <w:u w:val="single"/>
              </w:rPr>
            </w:pPr>
            <w:r w:rsidRPr="00AA1421">
              <w:rPr>
                <w:rStyle w:val="InstructionsTabelleberschrift"/>
                <w:rFonts w:ascii="Times New Roman" w:hAnsi="Times New Roman"/>
                <w:sz w:val="24"/>
              </w:rPr>
              <w:t>3.1</w:t>
            </w:r>
            <w:r w:rsidR="00744F50" w:rsidRPr="00AA1421">
              <w:rPr>
                <w:b/>
                <w:u w:val="single"/>
              </w:rPr>
              <w:tab/>
            </w:r>
            <w:r w:rsidRPr="00AA1421">
              <w:rPr>
                <w:rStyle w:val="InstructionsTabelleberschrift"/>
                <w:rFonts w:ascii="Times New Roman" w:hAnsi="Times New Roman"/>
                <w:sz w:val="24"/>
              </w:rPr>
              <w:t>Pozycje bez zachęty do umorzenia razem</w:t>
            </w:r>
          </w:p>
          <w:p w:rsidR="005643EA"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Art. 490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0110</w:t>
            </w:r>
          </w:p>
        </w:tc>
        <w:tc>
          <w:tcPr>
            <w:tcW w:w="7478" w:type="dxa"/>
          </w:tcPr>
          <w:p w:rsidR="005643EA" w:rsidRPr="00AA1421" w:rsidRDefault="002648B0" w:rsidP="00EE6F6C">
            <w:pPr>
              <w:pStyle w:val="body"/>
              <w:rPr>
                <w:rStyle w:val="InstructionsTabelleText"/>
                <w:rFonts w:ascii="Times New Roman" w:hAnsi="Times New Roman"/>
                <w:b/>
                <w:bCs/>
                <w:sz w:val="24"/>
                <w:u w:val="single"/>
              </w:rPr>
            </w:pPr>
            <w:r w:rsidRPr="00AA1421">
              <w:rPr>
                <w:rStyle w:val="InstructionsTabelleberschrift"/>
                <w:rFonts w:ascii="Times New Roman" w:hAnsi="Times New Roman"/>
                <w:sz w:val="24"/>
              </w:rPr>
              <w:t>3.2</w:t>
            </w:r>
            <w:r w:rsidR="00744F50" w:rsidRPr="00AA1421">
              <w:rPr>
                <w:b/>
                <w:u w:val="single"/>
              </w:rPr>
              <w:tab/>
            </w:r>
            <w:r w:rsidRPr="00AA1421">
              <w:rPr>
                <w:rStyle w:val="InstructionsTabelleberschrift"/>
                <w:rFonts w:ascii="Times New Roman" w:hAnsi="Times New Roman"/>
                <w:sz w:val="24"/>
              </w:rPr>
              <w:t>Pozycje podlegające zasadzie praw nabytych z zachętą do umorzenia</w:t>
            </w:r>
          </w:p>
          <w:p w:rsidR="005643EA"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Art. 490 CRR</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lastRenderedPageBreak/>
              <w:t>0120</w:t>
            </w:r>
          </w:p>
        </w:tc>
        <w:tc>
          <w:tcPr>
            <w:tcW w:w="7478" w:type="dxa"/>
          </w:tcPr>
          <w:p w:rsidR="005643EA" w:rsidRPr="00AA1421" w:rsidRDefault="002648B0" w:rsidP="00EE6F6C">
            <w:pPr>
              <w:pStyle w:val="body"/>
              <w:rPr>
                <w:rStyle w:val="InstructionsTabelleText"/>
                <w:rFonts w:ascii="Times New Roman" w:hAnsi="Times New Roman"/>
                <w:b/>
                <w:bCs/>
                <w:sz w:val="24"/>
                <w:u w:val="single"/>
              </w:rPr>
            </w:pPr>
            <w:r w:rsidRPr="00AA1421">
              <w:rPr>
                <w:rStyle w:val="InstructionsTabelleberschrift"/>
                <w:rFonts w:ascii="Times New Roman" w:hAnsi="Times New Roman"/>
                <w:sz w:val="24"/>
              </w:rPr>
              <w:t>3.2.1</w:t>
            </w:r>
            <w:r w:rsidR="00744F50" w:rsidRPr="00AA1421">
              <w:rPr>
                <w:b/>
                <w:u w:val="single"/>
              </w:rPr>
              <w:tab/>
            </w:r>
            <w:r w:rsidRPr="00AA1421">
              <w:rPr>
                <w:rStyle w:val="InstructionsTabelleberschrift"/>
                <w:rFonts w:ascii="Times New Roman" w:hAnsi="Times New Roman"/>
                <w:sz w:val="24"/>
              </w:rPr>
              <w:t xml:space="preserve">Pozycje z opcją kupna wykonalną po dniu sprawozdawczym, spełniające warunki określone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6</w:t>
            </w:r>
            <w:r w:rsidRPr="00AA1421">
              <w:rPr>
                <w:rStyle w:val="InstructionsTabelleberschrift"/>
                <w:rFonts w:ascii="Times New Roman" w:hAnsi="Times New Roman"/>
                <w:sz w:val="24"/>
              </w:rPr>
              <w:t>3 CRR po upływie efektywnego terminu zapadalności</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490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91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a)</w:t>
            </w:r>
            <w:r w:rsidRPr="00AA1421">
              <w:rPr>
                <w:rStyle w:val="InstructionsTabelleText"/>
                <w:rFonts w:ascii="Times New Roman" w:hAnsi="Times New Roman"/>
                <w:sz w:val="24"/>
              </w:rPr>
              <w:t xml:space="preserve">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0130</w:t>
            </w:r>
          </w:p>
        </w:tc>
        <w:tc>
          <w:tcPr>
            <w:tcW w:w="7478" w:type="dxa"/>
          </w:tcPr>
          <w:p w:rsidR="005643EA" w:rsidRPr="00AA1421" w:rsidRDefault="002648B0" w:rsidP="00EE6F6C">
            <w:pPr>
              <w:pStyle w:val="body"/>
              <w:rPr>
                <w:rStyle w:val="InstructionsTabelleText"/>
                <w:rFonts w:ascii="Times New Roman" w:hAnsi="Times New Roman"/>
                <w:b/>
                <w:sz w:val="24"/>
                <w:u w:val="single"/>
              </w:rPr>
            </w:pPr>
            <w:r w:rsidRPr="00AA1421">
              <w:rPr>
                <w:rStyle w:val="InstructionsTabelleberschrift"/>
                <w:rFonts w:ascii="Times New Roman" w:hAnsi="Times New Roman"/>
                <w:sz w:val="24"/>
              </w:rPr>
              <w:t>3.2.2</w:t>
            </w:r>
            <w:r w:rsidR="00744F50" w:rsidRPr="00AA1421">
              <w:rPr>
                <w:b/>
                <w:u w:val="single"/>
              </w:rPr>
              <w:tab/>
            </w:r>
            <w:r w:rsidRPr="00AA1421">
              <w:rPr>
                <w:rStyle w:val="InstructionsTabelleberschrift"/>
                <w:rFonts w:ascii="Times New Roman" w:hAnsi="Times New Roman"/>
                <w:sz w:val="24"/>
              </w:rPr>
              <w:t xml:space="preserve">Pozycje z opcją kupna wykonalną po dniu sprawozdawczym, niespełniające warunków określonych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6</w:t>
            </w:r>
            <w:r w:rsidRPr="00AA1421">
              <w:rPr>
                <w:rStyle w:val="InstructionsTabelleberschrift"/>
                <w:rFonts w:ascii="Times New Roman" w:hAnsi="Times New Roman"/>
                <w:sz w:val="24"/>
              </w:rPr>
              <w:t>3 CRR po upływie efektywnego terminu zapadalności</w:t>
            </w:r>
          </w:p>
          <w:p w:rsidR="009F1550" w:rsidRPr="00AA1421" w:rsidRDefault="009F155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490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91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a)</w:t>
            </w:r>
            <w:r w:rsidRPr="00AA1421">
              <w:rPr>
                <w:rStyle w:val="InstructionsTabelleText"/>
                <w:rFonts w:ascii="Times New Roman" w:hAnsi="Times New Roman"/>
                <w:sz w:val="24"/>
              </w:rPr>
              <w:t xml:space="preserve"> CRR</w:t>
            </w:r>
          </w:p>
          <w:p w:rsidR="002648B0" w:rsidRPr="00AA1421" w:rsidRDefault="007C3B71"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0140</w:t>
            </w:r>
          </w:p>
        </w:tc>
        <w:tc>
          <w:tcPr>
            <w:tcW w:w="7478" w:type="dxa"/>
          </w:tcPr>
          <w:p w:rsidR="00496C53" w:rsidRPr="00AA1421" w:rsidRDefault="002648B0" w:rsidP="00EE6F6C">
            <w:pPr>
              <w:pStyle w:val="body"/>
              <w:rPr>
                <w:rStyle w:val="InstructionsTabelleberschrift"/>
                <w:rFonts w:ascii="Times New Roman" w:hAnsi="Times New Roman"/>
                <w:bCs w:val="0"/>
                <w:sz w:val="24"/>
              </w:rPr>
            </w:pPr>
            <w:r w:rsidRPr="00AA1421">
              <w:rPr>
                <w:rStyle w:val="InstructionsTabelleberschrift"/>
                <w:rFonts w:ascii="Times New Roman" w:hAnsi="Times New Roman"/>
                <w:sz w:val="24"/>
              </w:rPr>
              <w:t>3.2.3</w:t>
            </w:r>
            <w:r w:rsidR="00744F50" w:rsidRPr="00AA1421">
              <w:rPr>
                <w:b/>
                <w:u w:val="single"/>
              </w:rPr>
              <w:tab/>
            </w:r>
            <w:r w:rsidRPr="00AA1421">
              <w:rPr>
                <w:rStyle w:val="InstructionsTabelleberschrift"/>
                <w:rFonts w:ascii="Times New Roman" w:hAnsi="Times New Roman"/>
                <w:sz w:val="24"/>
              </w:rPr>
              <w:t>Pozycje z opcją kupna wykonalną przed dniem 20 lipca 20</w:t>
            </w:r>
            <w:r w:rsidRPr="00084F66">
              <w:rPr>
                <w:rStyle w:val="InstructionsTabelleberschrift"/>
                <w:rFonts w:ascii="Times New Roman" w:hAnsi="Times New Roman"/>
                <w:sz w:val="24"/>
              </w:rPr>
              <w:t>11</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r w:rsidRPr="00AA1421">
              <w:rPr>
                <w:rStyle w:val="InstructionsTabelleberschrift"/>
                <w:rFonts w:ascii="Times New Roman" w:hAnsi="Times New Roman"/>
                <w:sz w:val="24"/>
              </w:rPr>
              <w:t xml:space="preserve"> lub w dniu 20 lipca 20</w:t>
            </w:r>
            <w:r w:rsidRPr="00084F66">
              <w:rPr>
                <w:rStyle w:val="InstructionsTabelleberschrift"/>
                <w:rFonts w:ascii="Times New Roman" w:hAnsi="Times New Roman"/>
                <w:sz w:val="24"/>
              </w:rPr>
              <w:t>11</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r.</w:t>
            </w:r>
            <w:r w:rsidRPr="00AA1421">
              <w:rPr>
                <w:rStyle w:val="InstructionsTabelleberschrift"/>
                <w:rFonts w:ascii="Times New Roman" w:hAnsi="Times New Roman"/>
                <w:sz w:val="24"/>
              </w:rPr>
              <w:t xml:space="preserve">, niespełniające warunków określonych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6</w:t>
            </w:r>
            <w:r w:rsidRPr="00AA1421">
              <w:rPr>
                <w:rStyle w:val="InstructionsTabelleberschrift"/>
                <w:rFonts w:ascii="Times New Roman" w:hAnsi="Times New Roman"/>
                <w:sz w:val="24"/>
              </w:rPr>
              <w:t>3 CRR po upływie efektywnego terminu zapadalności</w:t>
            </w:r>
          </w:p>
          <w:p w:rsidR="009F1550" w:rsidRPr="00AA1421" w:rsidRDefault="009F155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490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6</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91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c)</w:t>
            </w:r>
            <w:r w:rsidRPr="00AA1421">
              <w:rPr>
                <w:rStyle w:val="InstructionsTabelleText"/>
                <w:rFonts w:ascii="Times New Roman" w:hAnsi="Times New Roman"/>
                <w:sz w:val="24"/>
              </w:rPr>
              <w:t xml:space="preserve"> CRR</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powiązane ażio emisyjne.</w:t>
            </w:r>
          </w:p>
        </w:tc>
      </w:tr>
      <w:tr w:rsidR="002648B0" w:rsidRPr="00AA1421" w:rsidTr="00672D2A">
        <w:tc>
          <w:tcPr>
            <w:tcW w:w="703" w:type="dxa"/>
          </w:tcPr>
          <w:p w:rsidR="002648B0" w:rsidRPr="00AA1421" w:rsidRDefault="00606735"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0150</w:t>
            </w:r>
          </w:p>
        </w:tc>
        <w:tc>
          <w:tcPr>
            <w:tcW w:w="7478" w:type="dxa"/>
          </w:tcPr>
          <w:p w:rsidR="005643EA" w:rsidRPr="00AA1421" w:rsidRDefault="002648B0" w:rsidP="00EE6F6C">
            <w:pPr>
              <w:pStyle w:val="body"/>
              <w:rPr>
                <w:rStyle w:val="InstructionsTabelleberschrift"/>
                <w:rFonts w:ascii="Times New Roman" w:hAnsi="Times New Roman"/>
                <w:sz w:val="24"/>
              </w:rPr>
            </w:pPr>
            <w:r w:rsidRPr="00AA1421">
              <w:rPr>
                <w:rStyle w:val="InstructionsTabelleberschrift"/>
                <w:rFonts w:ascii="Times New Roman" w:hAnsi="Times New Roman"/>
                <w:sz w:val="24"/>
              </w:rPr>
              <w:t>3.3</w:t>
            </w:r>
            <w:r w:rsidR="00744F50" w:rsidRPr="00AA1421">
              <w:rPr>
                <w:b/>
                <w:u w:val="single"/>
              </w:rPr>
              <w:tab/>
            </w:r>
            <w:r w:rsidRPr="00AA1421">
              <w:rPr>
                <w:rStyle w:val="InstructionsTabelleberschrift"/>
                <w:rFonts w:ascii="Times New Roman" w:hAnsi="Times New Roman"/>
                <w:sz w:val="24"/>
              </w:rPr>
              <w:t xml:space="preserve">Nadwyżka ponad limit instrumentów w kapitale dodatkowym </w:t>
            </w:r>
            <w:proofErr w:type="spellStart"/>
            <w:r w:rsidRPr="00AA1421">
              <w:rPr>
                <w:rStyle w:val="InstructionsTabelleberschrift"/>
                <w:rFonts w:ascii="Times New Roman" w:hAnsi="Times New Roman"/>
                <w:sz w:val="24"/>
              </w:rPr>
              <w:t>Tier</w:t>
            </w:r>
            <w:proofErr w:type="spellEnd"/>
            <w:r w:rsidRPr="00AA1421">
              <w:rPr>
                <w:rStyle w:val="InstructionsTabelleberschrift"/>
                <w:rFonts w:ascii="Times New Roman" w:hAnsi="Times New Roman"/>
                <w:sz w:val="24"/>
              </w:rPr>
              <w:t xml:space="preserve"> I podlegających zasadzie praw nabytych</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Art. 487 ust. 2 CRR </w:t>
            </w:r>
          </w:p>
          <w:p w:rsidR="002648B0" w:rsidRPr="00AA1421" w:rsidRDefault="002648B0" w:rsidP="00EE6F6C">
            <w:pPr>
              <w:pStyle w:val="body"/>
              <w:rPr>
                <w:rStyle w:val="InstructionsTabelleText"/>
                <w:rFonts w:ascii="Times New Roman" w:hAnsi="Times New Roman"/>
                <w:sz w:val="24"/>
              </w:rPr>
            </w:pPr>
            <w:r w:rsidRPr="00AA1421">
              <w:rPr>
                <w:rStyle w:val="InstructionsTabelleText"/>
                <w:rFonts w:ascii="Times New Roman" w:hAnsi="Times New Roman"/>
                <w:sz w:val="24"/>
              </w:rPr>
              <w:t xml:space="preserve">Nadwyżkę ponad limit instrumentów w kapitale dodatkowym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podlegających zasadzie praw nabytych można traktować jak instrumenty, które mogą podlegać zasadzie praw nabytych jako instrumenty w kapitale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II.</w:t>
            </w:r>
          </w:p>
        </w:tc>
      </w:tr>
    </w:tbl>
    <w:p w:rsidR="00464F34" w:rsidRPr="00AA1421" w:rsidRDefault="00464F34" w:rsidP="000911FE">
      <w:pPr>
        <w:pStyle w:val="body"/>
        <w:rPr>
          <w:u w:val="single"/>
        </w:rPr>
      </w:pPr>
      <w:bookmarkStart w:id="93" w:name="_Toc239157372"/>
      <w:bookmarkStart w:id="94" w:name="_Toc295829844"/>
      <w:bookmarkStart w:id="95" w:name="_Toc330394185"/>
      <w:bookmarkEnd w:id="0"/>
      <w:bookmarkEnd w:id="1"/>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403612"/>
      <w:bookmarkEnd w:id="93"/>
      <w:bookmarkEnd w:id="94"/>
      <w:bookmarkEnd w:id="95"/>
      <w:r w:rsidRPr="00AA1421">
        <w:rPr>
          <w:rFonts w:ascii="Times New Roman" w:hAnsi="Times New Roman"/>
          <w:sz w:val="24"/>
          <w:u w:val="none"/>
        </w:rPr>
        <w:t>2.</w:t>
      </w:r>
      <w:r w:rsidR="00D712CF" w:rsidRPr="00AA1421">
        <w:rPr>
          <w:u w:val="none"/>
        </w:rPr>
        <w:tab/>
      </w:r>
      <w:r w:rsidRPr="00AA1421">
        <w:rPr>
          <w:rFonts w:ascii="Times New Roman" w:hAnsi="Times New Roman"/>
          <w:sz w:val="24"/>
        </w:rPr>
        <w:t xml:space="preserve">WYPŁACALNOŚĆ GRUPY: </w:t>
      </w:r>
      <w:bookmarkStart w:id="98" w:name="_Toc360188339"/>
      <w:r w:rsidRPr="00AA1421">
        <w:rPr>
          <w:rFonts w:ascii="Times New Roman" w:hAnsi="Times New Roman"/>
          <w:sz w:val="24"/>
        </w:rPr>
        <w:t>INFORMACJE NA TEMAT PODMIOTÓW POWIĄZANYCH (GS)</w:t>
      </w:r>
      <w:bookmarkEnd w:id="98"/>
      <w:bookmarkEnd w:id="96"/>
      <w:bookmarkEnd w:id="97"/>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403613"/>
      <w:r w:rsidRPr="00AA1421">
        <w:rPr>
          <w:rFonts w:ascii="Times New Roman" w:hAnsi="Times New Roman"/>
          <w:sz w:val="24"/>
          <w:u w:val="none"/>
        </w:rPr>
        <w:t>2.1.</w:t>
      </w:r>
      <w:r w:rsidR="00D712CF" w:rsidRPr="00AA1421">
        <w:rPr>
          <w:u w:val="none"/>
        </w:rPr>
        <w:tab/>
      </w:r>
      <w:r w:rsidRPr="00AA1421">
        <w:rPr>
          <w:rFonts w:ascii="Times New Roman" w:hAnsi="Times New Roman"/>
          <w:sz w:val="24"/>
        </w:rPr>
        <w:t>Uwagi ogólne</w:t>
      </w:r>
      <w:bookmarkEnd w:id="99"/>
      <w:bookmarkEnd w:id="100"/>
      <w:bookmarkEnd w:id="101"/>
      <w:bookmarkEnd w:id="102"/>
      <w:bookmarkEnd w:id="103"/>
      <w:bookmarkEnd w:id="104"/>
      <w:bookmarkEnd w:id="105"/>
    </w:p>
    <w:p w:rsidR="00464F34" w:rsidRPr="00AA1421" w:rsidRDefault="00AA1421" w:rsidP="00487A02">
      <w:pPr>
        <w:pStyle w:val="InstructionsText2"/>
        <w:numPr>
          <w:ilvl w:val="0"/>
          <w:numId w:val="0"/>
        </w:numPr>
        <w:ind w:left="1353" w:hanging="360"/>
      </w:pPr>
      <w:fldSimple w:instr=" seq paragraphs ">
        <w:r w:rsidR="00D11E4C" w:rsidRPr="00AA1421">
          <w:rPr>
            <w:noProof/>
          </w:rPr>
          <w:t>27</w:t>
        </w:r>
      </w:fldSimple>
      <w:r w:rsidR="00D11E4C" w:rsidRPr="00AA1421">
        <w:t>.</w:t>
      </w:r>
      <w:r w:rsidR="00D11E4C" w:rsidRPr="00AA1421">
        <w:tab/>
        <w:t>Wzory C 06.01 i C 06.02 zgłasza się, gdy wymogi w zakresie funduszy własnych są obliczane na zasadzie skonsolidowanej. Wzór C 06.02 składa się z czterech części, które służą gromadzeniu różnych informacji o wszystkich poszczególnych podmiotach (w tym instytucji sprawozdającej) objętych zakresem konsolidacji.</w:t>
      </w:r>
    </w:p>
    <w:p w:rsidR="00C93697" w:rsidRPr="00AA1421" w:rsidRDefault="00125707" w:rsidP="00487A02">
      <w:pPr>
        <w:pStyle w:val="InstructionsText2"/>
        <w:numPr>
          <w:ilvl w:val="0"/>
          <w:numId w:val="0"/>
        </w:numPr>
        <w:ind w:left="1353" w:hanging="360"/>
      </w:pPr>
      <w:r w:rsidRPr="00AA1421">
        <w:lastRenderedPageBreak/>
        <w:t>a)</w:t>
      </w:r>
      <w:r w:rsidRPr="00AA1421">
        <w:tab/>
        <w:t>podmioty objęte zakresem konsolidacji;</w:t>
      </w:r>
    </w:p>
    <w:p w:rsidR="00C93697" w:rsidRPr="00AA1421" w:rsidRDefault="00125707" w:rsidP="00487A02">
      <w:pPr>
        <w:pStyle w:val="InstructionsText2"/>
        <w:numPr>
          <w:ilvl w:val="0"/>
          <w:numId w:val="0"/>
        </w:numPr>
        <w:ind w:left="1353" w:hanging="360"/>
      </w:pPr>
      <w:r w:rsidRPr="00AA1421">
        <w:t>b)</w:t>
      </w:r>
      <w:r w:rsidRPr="00AA1421">
        <w:tab/>
        <w:t>szczegółowe informacje na temat wypłacalności grupy;</w:t>
      </w:r>
    </w:p>
    <w:p w:rsidR="00C93697" w:rsidRPr="00AA1421" w:rsidRDefault="00125707" w:rsidP="00487A02">
      <w:pPr>
        <w:pStyle w:val="InstructionsText2"/>
        <w:numPr>
          <w:ilvl w:val="0"/>
          <w:numId w:val="0"/>
        </w:numPr>
        <w:ind w:left="1353" w:hanging="360"/>
      </w:pPr>
      <w:r w:rsidRPr="00AA1421">
        <w:t>c)</w:t>
      </w:r>
      <w:r w:rsidRPr="00AA1421">
        <w:tab/>
        <w:t>informacje na temat wkładu poszczególnych podmiotów na rzecz wypłacalności grupy;</w:t>
      </w:r>
    </w:p>
    <w:p w:rsidR="00C93697" w:rsidRPr="00AA1421" w:rsidRDefault="00125707" w:rsidP="00487A02">
      <w:pPr>
        <w:pStyle w:val="InstructionsText2"/>
        <w:numPr>
          <w:ilvl w:val="0"/>
          <w:numId w:val="0"/>
        </w:numPr>
        <w:ind w:left="1353" w:hanging="360"/>
      </w:pPr>
      <w:r w:rsidRPr="00AA1421">
        <w:t>d)</w:t>
      </w:r>
      <w:r w:rsidRPr="00AA1421">
        <w:tab/>
        <w:t>informacje na temat buforów kapitałowych.</w:t>
      </w:r>
    </w:p>
    <w:p w:rsidR="00464F34" w:rsidRPr="00AA1421" w:rsidRDefault="00AA1421" w:rsidP="00487A02">
      <w:pPr>
        <w:pStyle w:val="InstructionsText2"/>
        <w:numPr>
          <w:ilvl w:val="0"/>
          <w:numId w:val="0"/>
        </w:numPr>
        <w:ind w:left="1353" w:hanging="360"/>
      </w:pPr>
      <w:fldSimple w:instr=" seq paragraphs ">
        <w:r w:rsidR="00D11E4C" w:rsidRPr="00AA1421">
          <w:rPr>
            <w:noProof/>
          </w:rPr>
          <w:t>28</w:t>
        </w:r>
      </w:fldSimple>
      <w:r w:rsidR="00D11E4C" w:rsidRPr="00AA1421">
        <w:t>.</w:t>
      </w:r>
      <w:r w:rsidR="00D11E4C" w:rsidRPr="00AA1421">
        <w:tab/>
        <w:t xml:space="preserve">Instytucje, które uzyskały odstępstwo na podstawie </w:t>
      </w:r>
      <w:r w:rsidR="00D11E4C" w:rsidRPr="00084F66">
        <w:t>art.</w:t>
      </w:r>
      <w:r w:rsidR="00084F66" w:rsidRPr="00084F66">
        <w:t> </w:t>
      </w:r>
      <w:r w:rsidR="00D11E4C" w:rsidRPr="00084F66">
        <w:t>7</w:t>
      </w:r>
      <w:r w:rsidR="00D11E4C" w:rsidRPr="00AA1421">
        <w:t xml:space="preserve"> CRR, zgłaszają wyłącznie kolumny 0010–0060 i 0250–0400.</w:t>
      </w:r>
    </w:p>
    <w:p w:rsidR="004C0508" w:rsidRPr="00AA1421" w:rsidRDefault="00AA1421" w:rsidP="00487A02">
      <w:pPr>
        <w:pStyle w:val="InstructionsText2"/>
        <w:numPr>
          <w:ilvl w:val="0"/>
          <w:numId w:val="0"/>
        </w:numPr>
        <w:ind w:left="1353" w:hanging="360"/>
      </w:pPr>
      <w:fldSimple w:instr=" seq paragraphs ">
        <w:r w:rsidR="00D11E4C" w:rsidRPr="00AA1421">
          <w:rPr>
            <w:noProof/>
          </w:rPr>
          <w:t>29</w:t>
        </w:r>
      </w:fldSimple>
      <w:r w:rsidR="00D11E4C" w:rsidRPr="00AA1421">
        <w:t>.</w:t>
      </w:r>
      <w:r w:rsidR="00D11E4C" w:rsidRPr="00AA1421">
        <w:tab/>
        <w:t>Zgłoszone wartości uwzględniają wszystkie mające zastosowanie przepisy przejściowe CRR, które mają zastosowanie na odpowiedni dzień sprawozdawczy.</w:t>
      </w:r>
    </w:p>
    <w:p w:rsidR="00C93697" w:rsidRPr="00AA1421" w:rsidRDefault="00125707"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403614"/>
      <w:r w:rsidRPr="00AA1421">
        <w:rPr>
          <w:rFonts w:ascii="Times New Roman" w:hAnsi="Times New Roman"/>
          <w:sz w:val="24"/>
          <w:u w:val="none"/>
        </w:rPr>
        <w:t>2.2.</w:t>
      </w:r>
      <w:r w:rsidR="00D712CF" w:rsidRPr="00AA1421">
        <w:rPr>
          <w:u w:val="none"/>
        </w:rPr>
        <w:tab/>
      </w:r>
      <w:r w:rsidRPr="00AA1421">
        <w:rPr>
          <w:rFonts w:ascii="Times New Roman" w:hAnsi="Times New Roman"/>
          <w:sz w:val="24"/>
        </w:rPr>
        <w:t>Szczegółowe informacje na temat wypłacalności grupy</w:t>
      </w:r>
      <w:bookmarkEnd w:id="106"/>
      <w:bookmarkEnd w:id="107"/>
      <w:bookmarkEnd w:id="108"/>
    </w:p>
    <w:p w:rsidR="00464F34" w:rsidRPr="00AA1421" w:rsidRDefault="00AA1421" w:rsidP="00487A02">
      <w:pPr>
        <w:pStyle w:val="InstructionsText2"/>
        <w:numPr>
          <w:ilvl w:val="0"/>
          <w:numId w:val="0"/>
        </w:numPr>
        <w:ind w:left="1353" w:hanging="360"/>
      </w:pPr>
      <w:fldSimple w:instr=" seq paragraphs ">
        <w:r w:rsidR="00D11E4C" w:rsidRPr="00AA1421">
          <w:rPr>
            <w:noProof/>
          </w:rPr>
          <w:t>30</w:t>
        </w:r>
      </w:fldSimple>
      <w:r w:rsidR="00D11E4C" w:rsidRPr="00AA1421">
        <w:t>.</w:t>
      </w:r>
      <w:r w:rsidR="00D11E4C" w:rsidRPr="00AA1421">
        <w:tab/>
        <w:t xml:space="preserve">Druga część wzoru C 06.02(szczegółowe informacje na temat wypłacalności grupy) w kolumnach 0070–0210 służy gromadzeniu informacji na temat instytucji kredytowych oraz innych regulowanych instytucji sektora finansowego, które efektywnie i indywidualnie podlegają określonym wymogom dotyczącym wypłacalności. W odniesieniu do każdego z tych podmiotów objętych zakresem sprawozdawczości przewidziano wymogi w zakresie funduszy własnych dla każdej kategorii ryzyka i funduszy własnych dla celów wypłacalności. </w:t>
      </w:r>
    </w:p>
    <w:p w:rsidR="00464F34" w:rsidRPr="00AA1421" w:rsidRDefault="00AA1421" w:rsidP="00487A02">
      <w:pPr>
        <w:pStyle w:val="InstructionsText2"/>
        <w:numPr>
          <w:ilvl w:val="0"/>
          <w:numId w:val="0"/>
        </w:numPr>
        <w:ind w:left="1353" w:hanging="360"/>
      </w:pPr>
      <w:fldSimple w:instr=" seq paragraphs ">
        <w:r w:rsidR="00D11E4C" w:rsidRPr="00AA1421">
          <w:rPr>
            <w:noProof/>
          </w:rPr>
          <w:t>31</w:t>
        </w:r>
      </w:fldSimple>
      <w:r w:rsidR="00D11E4C" w:rsidRPr="00AA1421">
        <w:t>.</w:t>
      </w:r>
      <w:r w:rsidR="00D11E4C" w:rsidRPr="00AA1421">
        <w:tab/>
        <w:t>W przypadku proporcjonalnej konsolidacji udziałów kapitałowych dane liczbowe odnoszące się do wymogów w zakresie funduszy własnych i do funduszy własnych odzwierciedlają odpowiednie proporcjonalne kwoty.</w:t>
      </w:r>
    </w:p>
    <w:p w:rsidR="00C93697" w:rsidRPr="00AA1421"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403615"/>
      <w:r w:rsidRPr="00AA1421">
        <w:rPr>
          <w:rFonts w:ascii="Times New Roman" w:hAnsi="Times New Roman"/>
          <w:sz w:val="24"/>
          <w:u w:val="none"/>
        </w:rPr>
        <w:t>2.3.</w:t>
      </w:r>
      <w:r w:rsidR="00D712CF" w:rsidRPr="00AA1421">
        <w:rPr>
          <w:u w:val="none"/>
        </w:rPr>
        <w:tab/>
      </w:r>
      <w:r w:rsidRPr="00AA1421">
        <w:rPr>
          <w:rFonts w:ascii="Times New Roman" w:hAnsi="Times New Roman"/>
          <w:sz w:val="24"/>
        </w:rPr>
        <w:t>Informacje na temat wkładu poszczególnych podmiotów na rzecz wypłacalności grupy</w:t>
      </w:r>
      <w:bookmarkEnd w:id="109"/>
      <w:bookmarkEnd w:id="110"/>
      <w:bookmarkEnd w:id="111"/>
    </w:p>
    <w:p w:rsidR="00464F34" w:rsidRPr="00AA1421" w:rsidRDefault="00AA1421" w:rsidP="00487A02">
      <w:pPr>
        <w:pStyle w:val="InstructionsText2"/>
        <w:numPr>
          <w:ilvl w:val="0"/>
          <w:numId w:val="0"/>
        </w:numPr>
        <w:ind w:left="1353" w:hanging="360"/>
      </w:pPr>
      <w:fldSimple w:instr=" seq paragraphs ">
        <w:r w:rsidR="00D11E4C" w:rsidRPr="00AA1421">
          <w:rPr>
            <w:noProof/>
          </w:rPr>
          <w:t>32</w:t>
        </w:r>
      </w:fldSimple>
      <w:r w:rsidR="00D11E4C" w:rsidRPr="00AA1421">
        <w:t>.</w:t>
      </w:r>
      <w:r w:rsidR="00D11E4C" w:rsidRPr="00AA1421">
        <w:tab/>
        <w:t xml:space="preserve">Celem trzeciej części wzoru C 06.02 i wzoru C 06.01 (informacje na temat wkładów wszystkich podmiotów na rzecz wypłacalności grupy w zakresie konsolidacji na podstawie CRR, w tym podmiotów, które nie podlegają indywidualnie określonym wymogom dotyczącym wypłacalności), obejmującej kolumny 0250–0400, jest zidentyfikowanie tych podmiotów w obrębie grupy, które generują ryzyko i pozyskują fundusze własne z rynku, w oparciu o dane, które są łatwo dostępne lub które można łatwo przetworzyć bez konieczności odtwarzania współczynnika kapitałowego na zasadzie nieskonsolidowanej lub </w:t>
      </w:r>
      <w:proofErr w:type="spellStart"/>
      <w:r w:rsidR="00D11E4C" w:rsidRPr="00AA1421">
        <w:t>subskonsolidowanej</w:t>
      </w:r>
      <w:proofErr w:type="spellEnd"/>
      <w:r w:rsidR="00D11E4C" w:rsidRPr="00AA1421">
        <w:t xml:space="preserve">. Na poziomie podmiotu zarówno dane liczbowe dotyczące ryzyka, jak i dane liczbowe dotyczące funduszy własnych są wkładami do danych liczbowych dotyczących grupy, a nie elementami współczynnika wypłacalności na zasadzie nieskonsolidowanej, i dlatego nie można ich ze sobą porównywać. </w:t>
      </w:r>
    </w:p>
    <w:p w:rsidR="00464F34" w:rsidRPr="00AA1421" w:rsidRDefault="00AA1421" w:rsidP="00487A02">
      <w:pPr>
        <w:pStyle w:val="InstructionsText2"/>
        <w:numPr>
          <w:ilvl w:val="0"/>
          <w:numId w:val="0"/>
        </w:numPr>
        <w:ind w:left="1353" w:hanging="360"/>
      </w:pPr>
      <w:fldSimple w:instr=" seq paragraphs ">
        <w:r w:rsidR="00D11E4C" w:rsidRPr="00AA1421">
          <w:rPr>
            <w:noProof/>
          </w:rPr>
          <w:t>33</w:t>
        </w:r>
      </w:fldSimple>
      <w:r w:rsidR="00D11E4C" w:rsidRPr="00AA1421">
        <w:t>.</w:t>
      </w:r>
      <w:r w:rsidR="00D11E4C" w:rsidRPr="00AA1421">
        <w:tab/>
        <w:t xml:space="preserve">Trzecia część obejmuje również kwoty udziałów mniejszości, kwalifikującego się kapitału dodatkowego </w:t>
      </w:r>
      <w:proofErr w:type="spellStart"/>
      <w:r w:rsidR="00D11E4C" w:rsidRPr="00AA1421">
        <w:t>Tier</w:t>
      </w:r>
      <w:proofErr w:type="spellEnd"/>
      <w:r w:rsidR="00D11E4C" w:rsidRPr="00AA1421">
        <w:t xml:space="preserve"> I </w:t>
      </w:r>
      <w:proofErr w:type="spellStart"/>
      <w:r w:rsidR="00D11E4C" w:rsidRPr="00AA1421">
        <w:t>i</w:t>
      </w:r>
      <w:proofErr w:type="spellEnd"/>
      <w:r w:rsidR="00D11E4C" w:rsidRPr="00AA1421">
        <w:t xml:space="preserve"> kwalifikującego się kapitału </w:t>
      </w:r>
      <w:proofErr w:type="spellStart"/>
      <w:r w:rsidR="00D11E4C" w:rsidRPr="00AA1421">
        <w:t>Tier</w:t>
      </w:r>
      <w:proofErr w:type="spellEnd"/>
      <w:r w:rsidR="00D11E4C" w:rsidRPr="00AA1421">
        <w:t xml:space="preserve"> II uznane w skonsolidowanych funduszach własnych.</w:t>
      </w:r>
    </w:p>
    <w:p w:rsidR="00464F34" w:rsidRPr="00AA1421" w:rsidRDefault="00AA1421" w:rsidP="00487A02">
      <w:pPr>
        <w:pStyle w:val="InstructionsText2"/>
        <w:numPr>
          <w:ilvl w:val="0"/>
          <w:numId w:val="0"/>
        </w:numPr>
        <w:ind w:left="1353" w:hanging="360"/>
      </w:pPr>
      <w:fldSimple w:instr=" seq paragraphs ">
        <w:r w:rsidR="00D11E4C" w:rsidRPr="00AA1421">
          <w:rPr>
            <w:noProof/>
          </w:rPr>
          <w:t>34</w:t>
        </w:r>
      </w:fldSimple>
      <w:r w:rsidR="00D11E4C" w:rsidRPr="00AA1421">
        <w:t>.</w:t>
      </w:r>
      <w:r w:rsidR="00D11E4C" w:rsidRPr="00AA1421">
        <w:tab/>
        <w:t>Jako że trzecia część wzoru odnosi się do „wkładów”, dane liczbowe, które należy w niej zgłosić, w stosownych przypadkach odracza się na podstawie danych liczbowych zgłoszonych w kolumnach dotyczących szczegółowych informacji na temat wypłacalności grupy.</w:t>
      </w:r>
    </w:p>
    <w:p w:rsidR="00464F34" w:rsidRPr="00AA1421" w:rsidRDefault="00AA1421" w:rsidP="00487A02">
      <w:pPr>
        <w:pStyle w:val="InstructionsText2"/>
        <w:numPr>
          <w:ilvl w:val="0"/>
          <w:numId w:val="0"/>
        </w:numPr>
        <w:ind w:left="1353" w:hanging="360"/>
      </w:pPr>
      <w:fldSimple w:instr=" seq paragraphs ">
        <w:r w:rsidR="00D11E4C" w:rsidRPr="00AA1421">
          <w:rPr>
            <w:noProof/>
          </w:rPr>
          <w:t>35</w:t>
        </w:r>
      </w:fldSimple>
      <w:r w:rsidR="00D11E4C" w:rsidRPr="00AA1421">
        <w:t>.</w:t>
      </w:r>
      <w:r w:rsidR="00D11E4C" w:rsidRPr="00AA1421">
        <w:tab/>
        <w:t xml:space="preserve">Obowiązuje zasada usuwania krzyżowych ekspozycji w obrębie tej samej grupy w sposób jednolity zarówno pod względem ryzyka, jak i funduszy własnych, co ma na celu uwzględnienie kwot zgłoszonych w skonsolidowanym wzorze CA grupy poprzez dodanie kwot zgłoszonych dla każdego podmiotu we wzorze dotyczącym wypłacalności grupy. W przypadkach, w których nie przekroczono progu wynoszącego </w:t>
      </w:r>
      <w:r w:rsidR="00D11E4C" w:rsidRPr="00084F66">
        <w:t>1</w:t>
      </w:r>
      <w:r w:rsidR="00084F66" w:rsidRPr="00084F66">
        <w:t> </w:t>
      </w:r>
      <w:r w:rsidR="00D11E4C" w:rsidRPr="00084F66">
        <w:t>%</w:t>
      </w:r>
      <w:r w:rsidR="00D11E4C" w:rsidRPr="00AA1421">
        <w:t>, bezpośrednie powiązanie ze wzorem CA jest niemożliwe.</w:t>
      </w:r>
    </w:p>
    <w:p w:rsidR="00464F34" w:rsidRPr="00AA1421" w:rsidRDefault="00AA1421" w:rsidP="00487A02">
      <w:pPr>
        <w:pStyle w:val="InstructionsText2"/>
        <w:numPr>
          <w:ilvl w:val="0"/>
          <w:numId w:val="0"/>
        </w:numPr>
        <w:ind w:left="1353" w:hanging="360"/>
      </w:pPr>
      <w:fldSimple w:instr=" seq paragraphs ">
        <w:r w:rsidR="00D11E4C" w:rsidRPr="00AA1421">
          <w:rPr>
            <w:noProof/>
          </w:rPr>
          <w:t>36</w:t>
        </w:r>
      </w:fldSimple>
      <w:r w:rsidR="00D11E4C" w:rsidRPr="00AA1421">
        <w:t>.</w:t>
      </w:r>
      <w:r w:rsidR="00D11E4C" w:rsidRPr="00AA1421">
        <w:tab/>
        <w:t>Instytucje określają najodpowiedniejszą metodę podziału podmiotów, aby wziąć pod uwagę ewentualne efekty dywersyfikacji dla ryzyka rynkowego i ryzyka operacyjnego.</w:t>
      </w:r>
    </w:p>
    <w:p w:rsidR="00464F34" w:rsidRPr="00AA1421" w:rsidRDefault="00AA1421" w:rsidP="00487A02">
      <w:pPr>
        <w:pStyle w:val="InstructionsText2"/>
        <w:numPr>
          <w:ilvl w:val="0"/>
          <w:numId w:val="0"/>
        </w:numPr>
        <w:ind w:left="1353" w:hanging="360"/>
      </w:pPr>
      <w:fldSimple w:instr=" seq paragraphs ">
        <w:r w:rsidR="00D11E4C" w:rsidRPr="00AA1421">
          <w:rPr>
            <w:noProof/>
          </w:rPr>
          <w:t>37</w:t>
        </w:r>
      </w:fldSimple>
      <w:r w:rsidR="00D11E4C" w:rsidRPr="00AA1421">
        <w:t>.</w:t>
      </w:r>
      <w:r w:rsidR="00D11E4C" w:rsidRPr="00AA1421">
        <w:tab/>
        <w:t xml:space="preserve">Możliwe jest włączenie jednej grupy skonsolidowanej do innej grupy skonsolidowanej. W takim przypadku informacje dotyczące podmiotów w obrębie podgrupy są zgłaszane w odniesieniu do poszczególnych podmiotów we wzorze GS dla całej grupy, nawet jeżeli sama podgrupa podlega wymogom w zakresie sprawozdawczości. Podgrupa, która podlega wymogom w zakresie sprawozdawczości, zgłasza również wzór GS w odniesieniu do poszczególnych podmiotów, mimo iż informacje te są włączone do wzoru GS dla grupy skonsolidowanej wyższego szczebla. </w:t>
      </w:r>
    </w:p>
    <w:p w:rsidR="00464F34" w:rsidRPr="00AA1421" w:rsidRDefault="00AA1421" w:rsidP="00487A02">
      <w:pPr>
        <w:pStyle w:val="InstructionsText2"/>
        <w:numPr>
          <w:ilvl w:val="0"/>
          <w:numId w:val="0"/>
        </w:numPr>
        <w:ind w:left="1353" w:hanging="360"/>
      </w:pPr>
      <w:fldSimple w:instr=" seq paragraphs ">
        <w:r w:rsidR="00D11E4C" w:rsidRPr="00AA1421">
          <w:rPr>
            <w:noProof/>
          </w:rPr>
          <w:t>38</w:t>
        </w:r>
      </w:fldSimple>
      <w:r w:rsidR="00D11E4C" w:rsidRPr="00AA1421">
        <w:t>.</w:t>
      </w:r>
      <w:r w:rsidR="00D11E4C" w:rsidRPr="00AA1421">
        <w:tab/>
        <w:t xml:space="preserve">Instytucja zgłasza dane dotyczące wkładu podmiotu, jeżeli jego wkład w łączną kwotę ekspozycji na ryzyko przekracza </w:t>
      </w:r>
      <w:r w:rsidR="00D11E4C" w:rsidRPr="00084F66">
        <w:t>1</w:t>
      </w:r>
      <w:r w:rsidR="00084F66" w:rsidRPr="00084F66">
        <w:t> </w:t>
      </w:r>
      <w:r w:rsidR="00D11E4C" w:rsidRPr="00084F66">
        <w:t>%</w:t>
      </w:r>
      <w:r w:rsidR="00D11E4C" w:rsidRPr="00AA1421">
        <w:t xml:space="preserve"> łącznej kwoty ekspozycji na ryzyko grupy lub jeżeli jego wkład w łączne fundusze własne przekracza </w:t>
      </w:r>
      <w:r w:rsidR="00D11E4C" w:rsidRPr="00084F66">
        <w:t>1</w:t>
      </w:r>
      <w:r w:rsidR="00084F66" w:rsidRPr="00084F66">
        <w:t> </w:t>
      </w:r>
      <w:r w:rsidR="00D11E4C" w:rsidRPr="00084F66">
        <w:t>%</w:t>
      </w:r>
      <w:r w:rsidR="00D11E4C" w:rsidRPr="00AA1421">
        <w:t xml:space="preserve"> łącznych funduszy własnych grupy. Progu tego nie stosuje się w przypadku jednostek zależnych lub podgrup, które zapewnią grupie fundusze własne (w postaci udziałów mniejszości lub kwalifikujących się instrumentów w kapitale dodatkowym </w:t>
      </w:r>
      <w:proofErr w:type="spellStart"/>
      <w:r w:rsidR="00D11E4C" w:rsidRPr="00AA1421">
        <w:t>Tier</w:t>
      </w:r>
      <w:proofErr w:type="spellEnd"/>
      <w:r w:rsidR="00D11E4C" w:rsidRPr="00AA1421">
        <w:t xml:space="preserve"> I lub kapitale </w:t>
      </w:r>
      <w:proofErr w:type="spellStart"/>
      <w:r w:rsidR="00D11E4C" w:rsidRPr="00AA1421">
        <w:t>Tier</w:t>
      </w:r>
      <w:proofErr w:type="spellEnd"/>
      <w:r w:rsidR="00D11E4C" w:rsidRPr="00AA1421">
        <w:t xml:space="preserve"> II uwzględnionych w funduszach własnych).</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403616"/>
      <w:r w:rsidRPr="00AA1421">
        <w:rPr>
          <w:rFonts w:ascii="Times New Roman" w:hAnsi="Times New Roman"/>
          <w:sz w:val="24"/>
          <w:u w:val="none"/>
        </w:rPr>
        <w:t>2.4.</w:t>
      </w:r>
      <w:r w:rsidR="00D712CF" w:rsidRPr="00AA1421">
        <w:rPr>
          <w:u w:val="none"/>
        </w:rPr>
        <w:tab/>
      </w:r>
      <w:r w:rsidRPr="00AA1421">
        <w:rPr>
          <w:rFonts w:ascii="Times New Roman" w:hAnsi="Times New Roman"/>
          <w:sz w:val="24"/>
        </w:rPr>
        <w:t>C 06.01 – WYPŁACALNOŚĆ GRUPY: INFORMACJE NA TEMAT PODMIOTÓW POWIĄZANYCH – Razem (GS razem)</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A1421" w:rsidTr="00672D2A">
        <w:tc>
          <w:tcPr>
            <w:tcW w:w="1188" w:type="dxa"/>
            <w:shd w:val="clear" w:color="auto" w:fill="CCCCCC"/>
          </w:tcPr>
          <w:p w:rsidR="00D85AC7" w:rsidRPr="00AA1421" w:rsidRDefault="00D85AC7" w:rsidP="00FF36A5">
            <w:pPr>
              <w:rPr>
                <w:rStyle w:val="InstructionsTabelleText"/>
                <w:rFonts w:ascii="Times New Roman" w:hAnsi="Times New Roman"/>
                <w:sz w:val="24"/>
              </w:rPr>
            </w:pPr>
            <w:r w:rsidRPr="00AA1421">
              <w:rPr>
                <w:rStyle w:val="InstructionsTabelleText"/>
                <w:rFonts w:ascii="Times New Roman" w:hAnsi="Times New Roman"/>
                <w:sz w:val="24"/>
              </w:rPr>
              <w:t>Kolumny</w:t>
            </w:r>
          </w:p>
        </w:tc>
        <w:tc>
          <w:tcPr>
            <w:tcW w:w="8640" w:type="dxa"/>
            <w:shd w:val="clear" w:color="auto" w:fill="CCCCCC"/>
          </w:tcPr>
          <w:p w:rsidR="00D85AC7" w:rsidRPr="00AA1421" w:rsidRDefault="00D85AC7" w:rsidP="00FF36A5">
            <w:pPr>
              <w:rPr>
                <w:rStyle w:val="InstructionsTabelleText"/>
                <w:rFonts w:ascii="Times New Roman" w:hAnsi="Times New Roman"/>
                <w:sz w:val="24"/>
              </w:rPr>
            </w:pPr>
            <w:r w:rsidRPr="00AA1421">
              <w:rPr>
                <w:rStyle w:val="InstructionsTabelleText"/>
                <w:rFonts w:ascii="Times New Roman" w:hAnsi="Times New Roman"/>
                <w:sz w:val="24"/>
              </w:rPr>
              <w:t>Instrukcje</w:t>
            </w:r>
          </w:p>
        </w:tc>
      </w:tr>
      <w:tr w:rsidR="00D85AC7" w:rsidRPr="00AA1421" w:rsidTr="00672D2A">
        <w:tc>
          <w:tcPr>
            <w:tcW w:w="1188" w:type="dxa"/>
          </w:tcPr>
          <w:p w:rsidR="00D85AC7" w:rsidRPr="00AA1421" w:rsidRDefault="00ED20CB" w:rsidP="00F535E7">
            <w:pPr>
              <w:rPr>
                <w:rStyle w:val="InstructionsTabelleText"/>
                <w:rFonts w:ascii="Times New Roman" w:hAnsi="Times New Roman"/>
                <w:sz w:val="24"/>
              </w:rPr>
            </w:pPr>
            <w:r w:rsidRPr="00AA1421">
              <w:rPr>
                <w:rStyle w:val="InstructionsTabelleText"/>
                <w:rFonts w:ascii="Times New Roman" w:hAnsi="Times New Roman"/>
                <w:sz w:val="24"/>
              </w:rPr>
              <w:t>0250-0400</w:t>
            </w:r>
          </w:p>
        </w:tc>
        <w:tc>
          <w:tcPr>
            <w:tcW w:w="8640" w:type="dxa"/>
          </w:tcPr>
          <w:p w:rsidR="00D85AC7" w:rsidRPr="00AA1421" w:rsidRDefault="00D85AC7" w:rsidP="00FF36A5">
            <w:pPr>
              <w:rPr>
                <w:rStyle w:val="InstructionsTabelleberschrift"/>
                <w:rFonts w:ascii="Times New Roman" w:hAnsi="Times New Roman"/>
                <w:sz w:val="24"/>
              </w:rPr>
            </w:pPr>
            <w:r w:rsidRPr="00AA1421">
              <w:rPr>
                <w:rStyle w:val="InstructionsTabelleberschrift"/>
                <w:rFonts w:ascii="Times New Roman" w:hAnsi="Times New Roman"/>
                <w:sz w:val="24"/>
              </w:rPr>
              <w:t>PODMIOTY OBJĘTE ZAKRESEM KONSOLIDACJI</w:t>
            </w:r>
          </w:p>
          <w:p w:rsidR="00D85AC7" w:rsidRPr="00AA1421" w:rsidRDefault="00D85AC7" w:rsidP="00FF36A5">
            <w:pPr>
              <w:rPr>
                <w:rStyle w:val="InstructionsTabelleberschrift"/>
                <w:rFonts w:ascii="Times New Roman" w:hAnsi="Times New Roman"/>
                <w:b w:val="0"/>
                <w:bCs w:val="0"/>
                <w:sz w:val="24"/>
              </w:rPr>
            </w:pPr>
            <w:r w:rsidRPr="00AA1421">
              <w:rPr>
                <w:rStyle w:val="InstructionsTabelleText"/>
                <w:rFonts w:ascii="Times New Roman" w:hAnsi="Times New Roman"/>
                <w:sz w:val="24"/>
              </w:rPr>
              <w:t>Zob. instrukcje dla C 06.02</w:t>
            </w:r>
          </w:p>
        </w:tc>
      </w:tr>
      <w:tr w:rsidR="00D85AC7" w:rsidRPr="00AA1421" w:rsidTr="00672D2A">
        <w:tc>
          <w:tcPr>
            <w:tcW w:w="1188" w:type="dxa"/>
            <w:tcBorders>
              <w:top w:val="single" w:sz="4" w:space="0" w:color="auto"/>
              <w:left w:val="single" w:sz="4" w:space="0" w:color="auto"/>
              <w:bottom w:val="single" w:sz="4" w:space="0" w:color="auto"/>
              <w:right w:val="single" w:sz="4" w:space="0" w:color="auto"/>
            </w:tcBorders>
          </w:tcPr>
          <w:p w:rsidR="00D85AC7" w:rsidRPr="00AA1421" w:rsidRDefault="00ED20CB" w:rsidP="00FF36A5">
            <w:pPr>
              <w:rPr>
                <w:rStyle w:val="InstructionsTabelleText"/>
                <w:rFonts w:ascii="Times New Roman" w:hAnsi="Times New Roman"/>
                <w:sz w:val="24"/>
              </w:rPr>
            </w:pPr>
            <w:r w:rsidRPr="00AA1421">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AA1421" w:rsidRDefault="00D85AC7" w:rsidP="00FF36A5">
            <w:pPr>
              <w:rPr>
                <w:rStyle w:val="InstructionsTabelleberschrift"/>
                <w:rFonts w:ascii="Times New Roman" w:hAnsi="Times New Roman"/>
                <w:sz w:val="24"/>
              </w:rPr>
            </w:pPr>
            <w:r w:rsidRPr="00AA1421">
              <w:rPr>
                <w:rStyle w:val="InstructionsTabelleberschrift"/>
                <w:rFonts w:ascii="Times New Roman" w:hAnsi="Times New Roman"/>
                <w:sz w:val="24"/>
              </w:rPr>
              <w:t>BUFORY KAPITAŁOWE</w:t>
            </w:r>
          </w:p>
          <w:p w:rsidR="00D85AC7" w:rsidRPr="00AA1421" w:rsidRDefault="00D85AC7" w:rsidP="00FF36A5">
            <w:pPr>
              <w:rPr>
                <w:rStyle w:val="InstructionsTabelleberschrift"/>
                <w:rFonts w:ascii="Times New Roman" w:hAnsi="Times New Roman"/>
                <w:sz w:val="24"/>
              </w:rPr>
            </w:pPr>
            <w:r w:rsidRPr="00AA1421">
              <w:rPr>
                <w:rStyle w:val="InstructionsTabelleText"/>
                <w:rFonts w:ascii="Times New Roman" w:hAnsi="Times New Roman"/>
                <w:sz w:val="24"/>
              </w:rPr>
              <w:t>Zob. instrukcje dla C 06.02</w:t>
            </w:r>
          </w:p>
        </w:tc>
      </w:tr>
    </w:tbl>
    <w:p w:rsidR="00D85AC7" w:rsidRPr="00AA1421"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A1421" w:rsidTr="00672D2A">
        <w:tc>
          <w:tcPr>
            <w:tcW w:w="1188" w:type="dxa"/>
            <w:shd w:val="clear" w:color="auto" w:fill="CCCCCC"/>
          </w:tcPr>
          <w:p w:rsidR="00D85AC7" w:rsidRPr="00AA1421" w:rsidRDefault="00D85AC7" w:rsidP="00FF36A5">
            <w:pPr>
              <w:rPr>
                <w:rStyle w:val="InstructionsTabelleText"/>
                <w:rFonts w:ascii="Times New Roman" w:hAnsi="Times New Roman"/>
                <w:sz w:val="24"/>
              </w:rPr>
            </w:pPr>
            <w:r w:rsidRPr="00AA1421">
              <w:rPr>
                <w:rStyle w:val="InstructionsTabelleText"/>
                <w:rFonts w:ascii="Times New Roman" w:hAnsi="Times New Roman"/>
                <w:sz w:val="24"/>
              </w:rPr>
              <w:t>Wiersze</w:t>
            </w:r>
          </w:p>
        </w:tc>
        <w:tc>
          <w:tcPr>
            <w:tcW w:w="8640" w:type="dxa"/>
            <w:shd w:val="clear" w:color="auto" w:fill="CCCCCC"/>
          </w:tcPr>
          <w:p w:rsidR="00D85AC7" w:rsidRPr="00AA1421" w:rsidRDefault="00D85AC7" w:rsidP="00FF36A5">
            <w:pPr>
              <w:rPr>
                <w:rStyle w:val="InstructionsTabelleText"/>
                <w:rFonts w:ascii="Times New Roman" w:hAnsi="Times New Roman"/>
                <w:sz w:val="24"/>
              </w:rPr>
            </w:pPr>
            <w:r w:rsidRPr="00AA1421">
              <w:rPr>
                <w:rStyle w:val="InstructionsTabelleText"/>
                <w:rFonts w:ascii="Times New Roman" w:hAnsi="Times New Roman"/>
                <w:sz w:val="24"/>
              </w:rPr>
              <w:t>Instrukcje</w:t>
            </w:r>
          </w:p>
        </w:tc>
      </w:tr>
      <w:tr w:rsidR="00D85AC7" w:rsidRPr="00AA1421" w:rsidTr="00672D2A">
        <w:tc>
          <w:tcPr>
            <w:tcW w:w="1188" w:type="dxa"/>
          </w:tcPr>
          <w:p w:rsidR="00D85AC7" w:rsidRPr="00AA1421" w:rsidRDefault="00ED20CB" w:rsidP="00FF36A5">
            <w:pPr>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8640" w:type="dxa"/>
          </w:tcPr>
          <w:p w:rsidR="00D85AC7" w:rsidRPr="00AA1421" w:rsidRDefault="00D85AC7" w:rsidP="00FF36A5">
            <w:pPr>
              <w:rPr>
                <w:rStyle w:val="InstructionsTabelleberschrift"/>
                <w:rFonts w:ascii="Times New Roman" w:hAnsi="Times New Roman"/>
                <w:sz w:val="24"/>
              </w:rPr>
            </w:pPr>
            <w:r w:rsidRPr="00AA1421">
              <w:rPr>
                <w:rStyle w:val="InstructionsTabelleberschrift"/>
                <w:rFonts w:ascii="Times New Roman" w:hAnsi="Times New Roman"/>
                <w:sz w:val="24"/>
              </w:rPr>
              <w:t>RAZEM</w:t>
            </w:r>
          </w:p>
          <w:p w:rsidR="00D85AC7" w:rsidRPr="00AA1421" w:rsidRDefault="00D85AC7" w:rsidP="00D85AC7">
            <w:pPr>
              <w:rPr>
                <w:rStyle w:val="InstructionsTabelleberschrift"/>
                <w:rFonts w:ascii="Times New Roman" w:hAnsi="Times New Roman"/>
                <w:b w:val="0"/>
                <w:bCs w:val="0"/>
                <w:sz w:val="24"/>
              </w:rPr>
            </w:pPr>
            <w:r w:rsidRPr="00AA1421">
              <w:rPr>
                <w:rStyle w:val="InstructionsTabelleText"/>
                <w:rFonts w:ascii="Times New Roman" w:hAnsi="Times New Roman"/>
                <w:sz w:val="24"/>
              </w:rPr>
              <w:t>Pozycja „Razem” stanowi sumę wartości liczbowych zgłaszanych we wszystkich wierszach wzoru C 06.02.</w:t>
            </w:r>
          </w:p>
        </w:tc>
      </w:tr>
    </w:tbl>
    <w:p w:rsidR="00D85AC7" w:rsidRPr="00AA1421" w:rsidRDefault="00D85AC7" w:rsidP="00487A02">
      <w:pPr>
        <w:pStyle w:val="InstructionsText"/>
      </w:pPr>
    </w:p>
    <w:p w:rsidR="00D85AC7" w:rsidRPr="00AA1421"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403617"/>
      <w:r w:rsidRPr="00AA1421">
        <w:rPr>
          <w:rFonts w:ascii="Times New Roman" w:hAnsi="Times New Roman"/>
          <w:sz w:val="24"/>
          <w:u w:val="none"/>
        </w:rPr>
        <w:lastRenderedPageBreak/>
        <w:t>2.5.</w:t>
      </w:r>
      <w:r w:rsidR="00D712CF" w:rsidRPr="00AA1421">
        <w:rPr>
          <w:u w:val="none"/>
        </w:rPr>
        <w:tab/>
      </w:r>
      <w:r w:rsidRPr="00AA1421">
        <w:rPr>
          <w:rFonts w:ascii="Times New Roman" w:hAnsi="Times New Roman"/>
          <w:sz w:val="24"/>
        </w:rPr>
        <w:t>C 06.02 – WYPŁACALNOŚĆ GRUPY: INFORMACJE NA TEMAT PODMIOTÓW POWIĄZANYCH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A1421" w:rsidTr="00672D2A">
        <w:tc>
          <w:tcPr>
            <w:tcW w:w="1188" w:type="dxa"/>
            <w:shd w:val="clear" w:color="auto" w:fill="CCCCCC"/>
          </w:tcPr>
          <w:p w:rsidR="00464F34" w:rsidRPr="00AA1421" w:rsidRDefault="00464F34" w:rsidP="00464F34">
            <w:pPr>
              <w:rPr>
                <w:rStyle w:val="InstructionsTabelleText"/>
                <w:rFonts w:ascii="Times New Roman" w:hAnsi="Times New Roman"/>
                <w:sz w:val="24"/>
              </w:rPr>
            </w:pPr>
            <w:r w:rsidRPr="00AA1421">
              <w:rPr>
                <w:rStyle w:val="InstructionsTabelleText"/>
                <w:rFonts w:ascii="Times New Roman" w:hAnsi="Times New Roman"/>
                <w:sz w:val="24"/>
              </w:rPr>
              <w:t>Kolumny</w:t>
            </w:r>
          </w:p>
        </w:tc>
        <w:tc>
          <w:tcPr>
            <w:tcW w:w="8640" w:type="dxa"/>
            <w:shd w:val="clear" w:color="auto" w:fill="CCCCCC"/>
          </w:tcPr>
          <w:p w:rsidR="00464F34" w:rsidRPr="00AA1421" w:rsidRDefault="00464F34" w:rsidP="00464F34">
            <w:pPr>
              <w:rPr>
                <w:rStyle w:val="InstructionsTabelleText"/>
                <w:rFonts w:ascii="Times New Roman" w:hAnsi="Times New Roman"/>
                <w:sz w:val="24"/>
              </w:rPr>
            </w:pPr>
            <w:r w:rsidRPr="00AA1421">
              <w:rPr>
                <w:rStyle w:val="InstructionsTabelleText"/>
                <w:rFonts w:ascii="Times New Roman" w:hAnsi="Times New Roman"/>
                <w:sz w:val="24"/>
              </w:rPr>
              <w:t>Instrukcje</w:t>
            </w:r>
          </w:p>
        </w:tc>
      </w:tr>
      <w:tr w:rsidR="00464F34" w:rsidRPr="00AA1421" w:rsidTr="00672D2A">
        <w:tc>
          <w:tcPr>
            <w:tcW w:w="1188" w:type="dxa"/>
          </w:tcPr>
          <w:p w:rsidR="00464F34" w:rsidRPr="00AA1421" w:rsidRDefault="00ED20CB" w:rsidP="00464F34">
            <w:pPr>
              <w:rPr>
                <w:rStyle w:val="InstructionsTabelleText"/>
                <w:rFonts w:ascii="Times New Roman" w:hAnsi="Times New Roman"/>
                <w:sz w:val="24"/>
              </w:rPr>
            </w:pPr>
            <w:r w:rsidRPr="00AA1421">
              <w:rPr>
                <w:rStyle w:val="InstructionsTabelleText"/>
                <w:rFonts w:ascii="Times New Roman" w:hAnsi="Times New Roman"/>
                <w:sz w:val="24"/>
              </w:rPr>
              <w:t>0010-0060</w:t>
            </w:r>
          </w:p>
        </w:tc>
        <w:tc>
          <w:tcPr>
            <w:tcW w:w="8640" w:type="dxa"/>
          </w:tcPr>
          <w:p w:rsidR="00464F34" w:rsidRPr="00AA1421" w:rsidRDefault="00464F34" w:rsidP="00464F34">
            <w:pPr>
              <w:rPr>
                <w:rStyle w:val="InstructionsTabelleberschrift"/>
                <w:rFonts w:ascii="Times New Roman" w:hAnsi="Times New Roman"/>
                <w:sz w:val="24"/>
              </w:rPr>
            </w:pPr>
            <w:r w:rsidRPr="00AA1421">
              <w:rPr>
                <w:rStyle w:val="InstructionsTabelleberschrift"/>
                <w:rFonts w:ascii="Times New Roman" w:hAnsi="Times New Roman"/>
                <w:sz w:val="24"/>
              </w:rPr>
              <w:t>PODMIOTY OBJĘTE ZAKRESEM KONSOLIDACJI</w:t>
            </w:r>
          </w:p>
          <w:p w:rsidR="00464F34" w:rsidRPr="00AA1421" w:rsidRDefault="00464F34" w:rsidP="003C1BB1">
            <w:pPr>
              <w:rPr>
                <w:rStyle w:val="InstructionsTabelleberschrift"/>
                <w:rFonts w:ascii="Times New Roman" w:hAnsi="Times New Roman"/>
                <w:b w:val="0"/>
                <w:bCs w:val="0"/>
                <w:sz w:val="24"/>
              </w:rPr>
            </w:pPr>
            <w:r w:rsidRPr="00AA1421">
              <w:rPr>
                <w:rStyle w:val="InstructionsTabelleText"/>
                <w:rFonts w:ascii="Times New Roman" w:hAnsi="Times New Roman"/>
                <w:sz w:val="24"/>
              </w:rPr>
              <w:t xml:space="preserve">Wzór ten ma na celu gromadzenie informacji o wszystkich poszczególnych podmiotach objętych zakresem konsolidacji zgodnie z </w:t>
            </w:r>
            <w:r w:rsidRPr="00AA1421">
              <w:rPr>
                <w:rFonts w:ascii="Times New Roman" w:hAnsi="Times New Roman"/>
                <w:sz w:val="24"/>
              </w:rPr>
              <w:t xml:space="preserve">częścią pierwszą tytuł II rozdział 2 </w:t>
            </w:r>
            <w:r w:rsidRPr="00AA1421">
              <w:rPr>
                <w:rStyle w:val="InstructionsTabelleText"/>
                <w:rFonts w:ascii="Times New Roman" w:hAnsi="Times New Roman"/>
                <w:sz w:val="24"/>
              </w:rPr>
              <w:t xml:space="preserve">CRR. </w:t>
            </w:r>
          </w:p>
        </w:tc>
      </w:tr>
      <w:tr w:rsidR="00464F34" w:rsidRPr="00AA1421" w:rsidTr="00672D2A">
        <w:tc>
          <w:tcPr>
            <w:tcW w:w="1188" w:type="dxa"/>
          </w:tcPr>
          <w:p w:rsidR="00464F34" w:rsidRPr="00AA1421" w:rsidRDefault="00ED20CB" w:rsidP="00464F34">
            <w:pPr>
              <w:rPr>
                <w:rStyle w:val="InstructionsTabelleText"/>
                <w:rFonts w:ascii="Times New Roman" w:hAnsi="Times New Roman"/>
                <w:sz w:val="24"/>
              </w:rPr>
            </w:pPr>
            <w:r w:rsidRPr="00AA1421">
              <w:rPr>
                <w:rStyle w:val="InstructionsTabelleText"/>
                <w:rFonts w:ascii="Times New Roman" w:hAnsi="Times New Roman"/>
                <w:sz w:val="24"/>
              </w:rPr>
              <w:t>0011</w:t>
            </w:r>
          </w:p>
        </w:tc>
        <w:tc>
          <w:tcPr>
            <w:tcW w:w="8640" w:type="dxa"/>
          </w:tcPr>
          <w:p w:rsidR="00464F34" w:rsidRPr="00AA1421" w:rsidRDefault="00464F34" w:rsidP="00464F34">
            <w:pPr>
              <w:rPr>
                <w:rStyle w:val="InstructionsTabelleberschrift"/>
                <w:rFonts w:ascii="Times New Roman" w:hAnsi="Times New Roman"/>
                <w:sz w:val="24"/>
              </w:rPr>
            </w:pPr>
            <w:r w:rsidRPr="00AA1421">
              <w:rPr>
                <w:rStyle w:val="InstructionsTabelleberschrift"/>
                <w:rFonts w:ascii="Times New Roman" w:hAnsi="Times New Roman"/>
                <w:sz w:val="24"/>
              </w:rPr>
              <w:t>NAZWA</w:t>
            </w:r>
          </w:p>
          <w:p w:rsidR="00464F34" w:rsidRPr="00AA1421" w:rsidRDefault="00464F34" w:rsidP="00464F34">
            <w:pPr>
              <w:rPr>
                <w:rStyle w:val="InstructionsTabelleText"/>
                <w:rFonts w:ascii="Times New Roman" w:hAnsi="Times New Roman"/>
                <w:sz w:val="24"/>
              </w:rPr>
            </w:pPr>
            <w:r w:rsidRPr="00AA1421">
              <w:rPr>
                <w:rStyle w:val="InstructionsTabelleText"/>
                <w:rFonts w:ascii="Times New Roman" w:hAnsi="Times New Roman"/>
                <w:sz w:val="24"/>
              </w:rPr>
              <w:t>Nazwa podmiotu objętego zakresem konsolidacji.</w:t>
            </w:r>
          </w:p>
        </w:tc>
      </w:tr>
      <w:tr w:rsidR="00464F34" w:rsidRPr="00AA1421" w:rsidTr="00672D2A">
        <w:tc>
          <w:tcPr>
            <w:tcW w:w="1188" w:type="dxa"/>
          </w:tcPr>
          <w:p w:rsidR="00464F34" w:rsidRPr="00AA1421" w:rsidRDefault="00ED20CB" w:rsidP="00464F34">
            <w:pPr>
              <w:rPr>
                <w:rStyle w:val="InstructionsTabelleText"/>
                <w:rFonts w:ascii="Times New Roman" w:hAnsi="Times New Roman"/>
                <w:sz w:val="24"/>
              </w:rPr>
            </w:pPr>
            <w:r w:rsidRPr="00AA1421">
              <w:rPr>
                <w:rStyle w:val="InstructionsTabelleText"/>
                <w:rFonts w:ascii="Times New Roman" w:hAnsi="Times New Roman"/>
                <w:sz w:val="24"/>
              </w:rPr>
              <w:t>0021</w:t>
            </w:r>
          </w:p>
        </w:tc>
        <w:tc>
          <w:tcPr>
            <w:tcW w:w="8640" w:type="dxa"/>
          </w:tcPr>
          <w:p w:rsidR="00464F34" w:rsidRPr="00AA1421" w:rsidRDefault="00464F34" w:rsidP="00464F34">
            <w:pPr>
              <w:rPr>
                <w:rStyle w:val="InstructionsTabelleberschrift"/>
                <w:rFonts w:ascii="Times New Roman" w:hAnsi="Times New Roman"/>
                <w:sz w:val="24"/>
              </w:rPr>
            </w:pPr>
            <w:r w:rsidRPr="00AA1421">
              <w:rPr>
                <w:rStyle w:val="InstructionsTabelleberschrift"/>
                <w:rFonts w:ascii="Times New Roman" w:hAnsi="Times New Roman"/>
                <w:sz w:val="24"/>
              </w:rPr>
              <w:t>KOD</w:t>
            </w:r>
          </w:p>
          <w:p w:rsidR="00464F34" w:rsidRPr="00AA1421" w:rsidRDefault="00BF0637" w:rsidP="00487A02">
            <w:pPr>
              <w:pStyle w:val="InstructionsText"/>
              <w:rPr>
                <w:rStyle w:val="InstructionsTabelleText"/>
                <w:rFonts w:ascii="Times New Roman" w:hAnsi="Times New Roman"/>
                <w:sz w:val="24"/>
              </w:rPr>
            </w:pPr>
            <w:r w:rsidRPr="00AA1421">
              <w:rPr>
                <w:rStyle w:val="InstructionsTabelleText"/>
                <w:rFonts w:ascii="Times New Roman" w:hAnsi="Times New Roman"/>
                <w:sz w:val="24"/>
              </w:rPr>
              <w:t>Kod ten jako część identyfikatora wiersza musi być niepowtarzalny dla każdego zgłaszanego podmiotu. W przypadku instytucji i zakładów ubezpieczeń kodem jest kod LEI. W przypadku innych podmiotów kodem jest kod LEI lub – jeżeli kod taki jest niedostępny – kod krajowy. Kod jest niepowtarzalny i stosuje się go jednolicie we wszystkich wzorach i na przestrzeni czasu. Kod musi zawsze posiadać wartość.</w:t>
            </w:r>
          </w:p>
        </w:tc>
      </w:tr>
      <w:tr w:rsidR="00464F34" w:rsidRPr="00AA1421" w:rsidTr="00672D2A">
        <w:tc>
          <w:tcPr>
            <w:tcW w:w="1188" w:type="dxa"/>
          </w:tcPr>
          <w:p w:rsidR="00464F34"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0026</w:t>
            </w:r>
          </w:p>
        </w:tc>
        <w:tc>
          <w:tcPr>
            <w:tcW w:w="8640" w:type="dxa"/>
          </w:tcPr>
          <w:p w:rsidR="00464F34" w:rsidRPr="00AA1421" w:rsidRDefault="00BF0637" w:rsidP="00464F34">
            <w:pPr>
              <w:rPr>
                <w:rStyle w:val="InstructionsTabelleberschrift"/>
                <w:rFonts w:ascii="Times New Roman" w:hAnsi="Times New Roman"/>
                <w:sz w:val="24"/>
              </w:rPr>
            </w:pPr>
            <w:r w:rsidRPr="00AA1421">
              <w:rPr>
                <w:rStyle w:val="InstructionsTabelleberschrift"/>
                <w:rFonts w:ascii="Times New Roman" w:hAnsi="Times New Roman"/>
                <w:sz w:val="24"/>
              </w:rPr>
              <w:t>RODZAJ KODU</w:t>
            </w:r>
          </w:p>
          <w:p w:rsidR="00464F34" w:rsidRPr="00AA1421" w:rsidRDefault="00BF0637" w:rsidP="00DD2C1E">
            <w:pPr>
              <w:rPr>
                <w:rStyle w:val="InstructionsTabelleberschrift"/>
                <w:rFonts w:ascii="Times New Roman" w:hAnsi="Times New Roman"/>
                <w:sz w:val="24"/>
              </w:rPr>
            </w:pPr>
            <w:r w:rsidRPr="00AA1421">
              <w:rPr>
                <w:rStyle w:val="InstructionsTabelleText"/>
                <w:rFonts w:ascii="Times New Roman" w:hAnsi="Times New Roman"/>
                <w:sz w:val="24"/>
              </w:rPr>
              <w:t xml:space="preserve">Instytucje określają rodzaj kodu zgłoszony w </w:t>
            </w:r>
            <w:r w:rsidRPr="00AA1421">
              <w:rPr>
                <w:rStyle w:val="FormatvorlageInstructionsTabelleText"/>
                <w:rFonts w:ascii="Times New Roman" w:hAnsi="Times New Roman"/>
                <w:sz w:val="24"/>
              </w:rPr>
              <w:t>kolumnie 0021 jako „kod LEI” lub „kod inny niż kod LEI”. Należy zawsze wskazać rodzaj kodu.</w:t>
            </w:r>
          </w:p>
        </w:tc>
      </w:tr>
      <w:tr w:rsidR="00BF0637" w:rsidRPr="00AA1421" w:rsidTr="00672D2A">
        <w:tc>
          <w:tcPr>
            <w:tcW w:w="1188" w:type="dxa"/>
          </w:tcPr>
          <w:p w:rsidR="00BF0637" w:rsidRPr="00AA1421" w:rsidDel="00BF0637"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0027</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KOD KRAJOWY</w:t>
            </w:r>
          </w:p>
          <w:p w:rsidR="00BF0637" w:rsidRPr="00AA1421" w:rsidDel="00BF0637" w:rsidRDefault="00BF0637" w:rsidP="00BF0637">
            <w:pPr>
              <w:rPr>
                <w:rStyle w:val="InstructionsTabelleberschrift"/>
                <w:rFonts w:ascii="Times New Roman" w:hAnsi="Times New Roman"/>
                <w:sz w:val="24"/>
              </w:rPr>
            </w:pPr>
            <w:r w:rsidRPr="00AA1421">
              <w:rPr>
                <w:rFonts w:ascii="Times New Roman" w:hAnsi="Times New Roman"/>
                <w:sz w:val="24"/>
              </w:rPr>
              <w:t>Instytucje mogą dodatkowo zgłosić kod krajowy, jeżeli zgłoszą kod LEI jako identyfikator w kolumnie „Kod”.</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0030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INSTYTUCJA LUB PODMIOT RÓWNOWAŻNY (TAK/NIE)</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„TAK” zgłasza się w przypadku, gdy podmiot podlega wymogom w zakresie funduszy własnych zgodnie z CRR i CRD lub z przepisami co najmniej równoważnymi z postanowieniami regulacji Bazylea.</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W pozostałych przypadkach zgłasza się „NIE”.</w:t>
            </w:r>
          </w:p>
          <w:p w:rsidR="00BF0637" w:rsidRPr="00AA1421" w:rsidRDefault="00BF0637" w:rsidP="00BF0637">
            <w:pPr>
              <w:rPr>
                <w:rStyle w:val="InstructionsTabelleText"/>
                <w:rFonts w:ascii="Times New Roman" w:hAnsi="Times New Roman"/>
                <w:sz w:val="24"/>
              </w:rPr>
            </w:pPr>
          </w:p>
          <w:p w:rsidR="00BF0637" w:rsidRPr="00AA1421" w:rsidRDefault="00BF0637" w:rsidP="00BF0637">
            <w:pPr>
              <w:ind w:left="372" w:hanging="360"/>
              <w:contextualSpacing/>
              <w:rPr>
                <w:rStyle w:val="InstructionsTabelleText"/>
                <w:rFonts w:ascii="Times New Roman" w:hAnsi="Times New Roman"/>
                <w:sz w:val="24"/>
              </w:rPr>
            </w:pPr>
            <w:r w:rsidRPr="00AA1421">
              <w:rPr>
                <w:rStyle w:val="InstructionsTabelleText"/>
                <w:rFonts w:ascii="Wingdings" w:hAnsi="Wingdings"/>
                <w:sz w:val="24"/>
              </w:rPr>
              <w:t></w:t>
            </w:r>
            <w:r w:rsidRPr="00AA1421">
              <w:tab/>
            </w:r>
            <w:r w:rsidRPr="00AA1421">
              <w:rPr>
                <w:rStyle w:val="InstructionsTabelleText"/>
                <w:rFonts w:ascii="Times New Roman" w:hAnsi="Times New Roman"/>
                <w:sz w:val="24"/>
              </w:rPr>
              <w:t>Udziały mniejszości:</w:t>
            </w:r>
          </w:p>
          <w:p w:rsidR="00BF0637" w:rsidRPr="00AA1421" w:rsidRDefault="00BF0637" w:rsidP="00BF0637">
            <w:pPr>
              <w:rPr>
                <w:rStyle w:val="InstructionsTabelleText"/>
                <w:rFonts w:ascii="Times New Roman" w:hAnsi="Times New Roman"/>
                <w:sz w:val="24"/>
              </w:rPr>
            </w:pPr>
            <w:r w:rsidRPr="00AA1421">
              <w:rPr>
                <w:rFonts w:ascii="Times New Roman" w:hAnsi="Times New Roman"/>
                <w:sz w:val="24"/>
              </w:rPr>
              <w:t xml:space="preserve">Art. 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CRR</w:t>
            </w:r>
          </w:p>
          <w:p w:rsidR="00BF0637" w:rsidRPr="00AA1421" w:rsidRDefault="00BF0637" w:rsidP="00BF0637">
            <w:pPr>
              <w:rPr>
                <w:rStyle w:val="InstructionsTabelleText"/>
                <w:rFonts w:ascii="Times New Roman" w:hAnsi="Times New Roman"/>
                <w:sz w:val="24"/>
              </w:rPr>
            </w:pPr>
            <w:r w:rsidRPr="00AA1421">
              <w:rPr>
                <w:rFonts w:ascii="Times New Roman" w:hAnsi="Times New Roman"/>
                <w:sz w:val="24"/>
              </w:rPr>
              <w:t xml:space="preserve">W odniesieniu do udziałów mniejszości oraz instrumentów w kapitale dodatkowym </w:t>
            </w:r>
            <w:proofErr w:type="spellStart"/>
            <w:r w:rsidRPr="00AA1421">
              <w:rPr>
                <w:rFonts w:ascii="Times New Roman" w:hAnsi="Times New Roman"/>
                <w:sz w:val="24"/>
              </w:rPr>
              <w:t>Tier</w:t>
            </w:r>
            <w:proofErr w:type="spellEnd"/>
            <w:r w:rsidRPr="00AA1421">
              <w:rPr>
                <w:rFonts w:ascii="Times New Roman" w:hAnsi="Times New Roman"/>
                <w:sz w:val="24"/>
              </w:rPr>
              <w:t xml:space="preserve"> I </w:t>
            </w:r>
            <w:proofErr w:type="spellStart"/>
            <w:r w:rsidRPr="00AA1421">
              <w:rPr>
                <w:rFonts w:ascii="Times New Roman" w:hAnsi="Times New Roman"/>
                <w:sz w:val="24"/>
              </w:rPr>
              <w:t>i</w:t>
            </w:r>
            <w:proofErr w:type="spellEnd"/>
            <w:r w:rsidRPr="00AA1421">
              <w:rPr>
                <w:rFonts w:ascii="Times New Roman" w:hAnsi="Times New Roman"/>
                <w:sz w:val="24"/>
              </w:rPr>
              <w:t xml:space="preserve"> kapitale </w:t>
            </w:r>
            <w:proofErr w:type="spellStart"/>
            <w:r w:rsidRPr="00AA1421">
              <w:rPr>
                <w:rFonts w:ascii="Times New Roman" w:hAnsi="Times New Roman"/>
                <w:sz w:val="24"/>
              </w:rPr>
              <w:t>Tier</w:t>
            </w:r>
            <w:proofErr w:type="spellEnd"/>
            <w:r w:rsidRPr="00AA1421">
              <w:rPr>
                <w:rFonts w:ascii="Times New Roman" w:hAnsi="Times New Roman"/>
                <w:sz w:val="24"/>
              </w:rPr>
              <w:t xml:space="preserve"> II wyemitowanych przez jednostki zależne, jednostki zależne, których instrumenty mogą być uznawane, są instytucjami lub przedsiębiorstwami, które ze względu na mające zastosowanie prawo krajowe podlegają wymogom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0035</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RODZAJ PODMIOTU</w:t>
            </w:r>
          </w:p>
          <w:p w:rsidR="00BF0637" w:rsidRPr="00AA1421" w:rsidRDefault="00BF0637" w:rsidP="00BF0637">
            <w:pPr>
              <w:rPr>
                <w:rStyle w:val="InstructionsTabelleText"/>
                <w:rFonts w:ascii="Times New Roman" w:hAnsi="Times New Roman"/>
                <w:bCs/>
                <w:sz w:val="24"/>
              </w:rPr>
            </w:pPr>
            <w:r w:rsidRPr="00AA1421">
              <w:rPr>
                <w:rStyle w:val="InstructionsTabelleText"/>
                <w:rFonts w:ascii="Times New Roman" w:hAnsi="Times New Roman"/>
                <w:bCs/>
                <w:sz w:val="24"/>
              </w:rPr>
              <w:t>Rodzaj podmiotu zgłasza się w oparciu o następujące kategorie:</w:t>
            </w:r>
          </w:p>
          <w:p w:rsidR="00BF0637" w:rsidRPr="00AA1421" w:rsidRDefault="00BF0637" w:rsidP="00BF0637">
            <w:pPr>
              <w:tabs>
                <w:tab w:val="left" w:pos="372"/>
              </w:tabs>
              <w:rPr>
                <w:rStyle w:val="InstructionsTabelleText"/>
                <w:rFonts w:ascii="Times New Roman" w:hAnsi="Times New Roman"/>
                <w:sz w:val="24"/>
              </w:rPr>
            </w:pPr>
            <w:r w:rsidRPr="00AA1421">
              <w:rPr>
                <w:rStyle w:val="InstructionsTabelleText"/>
                <w:rFonts w:ascii="Times New Roman" w:hAnsi="Times New Roman"/>
                <w:sz w:val="24"/>
              </w:rPr>
              <w:t>a)</w:t>
            </w:r>
            <w:r w:rsidRPr="00AA1421">
              <w:tab/>
            </w:r>
            <w:r w:rsidRPr="00AA1421">
              <w:rPr>
                <w:rStyle w:val="InstructionsTabelleText"/>
                <w:rFonts w:ascii="Times New Roman" w:hAnsi="Times New Roman"/>
                <w:sz w:val="24"/>
              </w:rPr>
              <w:t>instytucja kredytowa</w:t>
            </w:r>
          </w:p>
          <w:p w:rsidR="00BF0637" w:rsidRPr="00AA1421" w:rsidRDefault="00BF0637" w:rsidP="00BF0637">
            <w:pPr>
              <w:tabs>
                <w:tab w:val="left" w:pos="372"/>
              </w:tabs>
              <w:rPr>
                <w:rStyle w:val="InstructionsTabelleText"/>
                <w:rFonts w:ascii="Times New Roman" w:hAnsi="Times New Roman"/>
                <w:sz w:val="24"/>
              </w:rPr>
            </w:pPr>
            <w:r w:rsidRPr="00AA1421">
              <w:tab/>
            </w:r>
            <w:r w:rsidRPr="00AA1421">
              <w:rPr>
                <w:rStyle w:val="InstructionsTabelleText"/>
                <w:rFonts w:ascii="Times New Roman" w:hAnsi="Times New Roman"/>
                <w:sz w:val="24"/>
              </w:rPr>
              <w:t xml:space="preserve">Art. 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w:t>
            </w:r>
          </w:p>
          <w:p w:rsidR="00BF0637" w:rsidRPr="00AA1421" w:rsidRDefault="00BF0637" w:rsidP="00BF0637">
            <w:pPr>
              <w:tabs>
                <w:tab w:val="left" w:pos="372"/>
              </w:tabs>
              <w:rPr>
                <w:rStyle w:val="InstructionsTabelleText"/>
                <w:rFonts w:ascii="Times New Roman" w:hAnsi="Times New Roman"/>
                <w:bCs/>
                <w:sz w:val="24"/>
              </w:rPr>
            </w:pPr>
            <w:r w:rsidRPr="00AA1421">
              <w:rPr>
                <w:rStyle w:val="InstructionsTabelleText"/>
                <w:rFonts w:ascii="Times New Roman" w:hAnsi="Times New Roman"/>
                <w:sz w:val="24"/>
              </w:rPr>
              <w:lastRenderedPageBreak/>
              <w:t>b)</w:t>
            </w:r>
            <w:r w:rsidRPr="00AA1421">
              <w:tab/>
            </w:r>
            <w:r w:rsidRPr="00AA1421">
              <w:rPr>
                <w:rStyle w:val="InstructionsTabelleText"/>
                <w:rFonts w:ascii="Times New Roman" w:hAnsi="Times New Roman"/>
                <w:sz w:val="24"/>
              </w:rPr>
              <w:t>firma inwestycyjna</w:t>
            </w:r>
          </w:p>
          <w:p w:rsidR="00BF0637" w:rsidRPr="00AA1421" w:rsidRDefault="00BF0637" w:rsidP="00BF0637">
            <w:pPr>
              <w:tabs>
                <w:tab w:val="left" w:pos="372"/>
              </w:tabs>
              <w:rPr>
                <w:rStyle w:val="InstructionsTabelleText"/>
                <w:rFonts w:ascii="Times New Roman" w:hAnsi="Times New Roman"/>
                <w:bCs/>
                <w:sz w:val="24"/>
              </w:rPr>
            </w:pPr>
            <w:r w:rsidRPr="00AA1421">
              <w:tab/>
            </w:r>
            <w:r w:rsidRPr="00AA1421">
              <w:rPr>
                <w:rStyle w:val="InstructionsTabelleText"/>
                <w:rFonts w:ascii="Times New Roman" w:hAnsi="Times New Roman"/>
                <w:bCs/>
                <w:sz w:val="24"/>
              </w:rPr>
              <w:t xml:space="preserve">Art. 4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pkt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2</w:t>
            </w:r>
            <w:r w:rsidRPr="00AA1421">
              <w:rPr>
                <w:rStyle w:val="InstructionsTabelleText"/>
                <w:rFonts w:ascii="Times New Roman" w:hAnsi="Times New Roman"/>
                <w:bCs/>
                <w:sz w:val="24"/>
              </w:rPr>
              <w:t xml:space="preserve"> CRR;</w:t>
            </w:r>
          </w:p>
          <w:p w:rsidR="00BF0637" w:rsidRPr="00AA1421" w:rsidRDefault="00BF0637" w:rsidP="00BF0637">
            <w:pPr>
              <w:tabs>
                <w:tab w:val="left" w:pos="372"/>
              </w:tabs>
              <w:rPr>
                <w:rStyle w:val="InstructionsTabelleText"/>
                <w:rFonts w:ascii="Times New Roman" w:hAnsi="Times New Roman"/>
                <w:bCs/>
                <w:sz w:val="24"/>
              </w:rPr>
            </w:pPr>
            <w:r w:rsidRPr="00AA1421">
              <w:rPr>
                <w:rStyle w:val="InstructionsTabelleText"/>
                <w:rFonts w:ascii="Times New Roman" w:hAnsi="Times New Roman"/>
                <w:sz w:val="24"/>
              </w:rPr>
              <w:t>c)</w:t>
            </w:r>
            <w:r w:rsidRPr="00AA1421">
              <w:tab/>
            </w:r>
            <w:r w:rsidRPr="00AA1421">
              <w:rPr>
                <w:rStyle w:val="InstructionsTabelleText"/>
                <w:rFonts w:ascii="Times New Roman" w:hAnsi="Times New Roman"/>
                <w:sz w:val="24"/>
              </w:rPr>
              <w:t>instytucja finansowa (inna)</w:t>
            </w:r>
          </w:p>
          <w:p w:rsidR="00BF0637" w:rsidRPr="00AA1421" w:rsidRDefault="00BF0637" w:rsidP="00BF0637">
            <w:pPr>
              <w:tabs>
                <w:tab w:val="left" w:pos="372"/>
              </w:tabs>
              <w:rPr>
                <w:rStyle w:val="InstructionsTabelleText"/>
                <w:rFonts w:ascii="Times New Roman" w:hAnsi="Times New Roman"/>
                <w:bCs/>
                <w:sz w:val="24"/>
              </w:rPr>
            </w:pPr>
            <w:r w:rsidRPr="00AA1421">
              <w:tab/>
            </w:r>
            <w:r w:rsidRPr="00AA1421">
              <w:rPr>
                <w:rStyle w:val="InstructionsTabelleText"/>
                <w:rFonts w:ascii="Times New Roman" w:hAnsi="Times New Roman"/>
                <w:bCs/>
                <w:sz w:val="24"/>
              </w:rPr>
              <w:t xml:space="preserve">Art. 4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pkt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2</w:t>
            </w:r>
            <w:r w:rsidRPr="00AA1421">
              <w:rPr>
                <w:rStyle w:val="InstructionsTabelleText"/>
                <w:rFonts w:ascii="Times New Roman" w:hAnsi="Times New Roman"/>
                <w:bCs/>
                <w:sz w:val="24"/>
              </w:rPr>
              <w:t>0, 21 i 26 CRR</w:t>
            </w:r>
          </w:p>
          <w:p w:rsidR="00BF0637" w:rsidRPr="00AA1421" w:rsidRDefault="00BF0637" w:rsidP="00BF0637">
            <w:pPr>
              <w:tabs>
                <w:tab w:val="left" w:pos="372"/>
              </w:tabs>
              <w:ind w:left="399" w:hanging="399"/>
              <w:rPr>
                <w:rStyle w:val="InstructionsTabelleText"/>
                <w:rFonts w:ascii="Times New Roman" w:hAnsi="Times New Roman"/>
                <w:bCs/>
                <w:sz w:val="24"/>
              </w:rPr>
            </w:pPr>
            <w:r w:rsidRPr="00AA1421">
              <w:tab/>
            </w:r>
            <w:r w:rsidRPr="00AA1421">
              <w:rPr>
                <w:rStyle w:val="InstructionsTabelleText"/>
                <w:rFonts w:ascii="Times New Roman" w:hAnsi="Times New Roman"/>
                <w:bCs/>
                <w:sz w:val="24"/>
              </w:rPr>
              <w:t xml:space="preserve">Instytucje finansowe w rozumieniu </w:t>
            </w:r>
            <w:r w:rsidRPr="00084F66">
              <w:rPr>
                <w:rStyle w:val="InstructionsTabelleText"/>
                <w:rFonts w:ascii="Times New Roman" w:hAnsi="Times New Roman"/>
                <w:bCs/>
                <w:sz w:val="24"/>
              </w:rPr>
              <w:t>art.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4</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pkt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2</w:t>
            </w:r>
            <w:r w:rsidRPr="00AA1421">
              <w:rPr>
                <w:rStyle w:val="InstructionsTabelleText"/>
                <w:rFonts w:ascii="Times New Roman" w:hAnsi="Times New Roman"/>
                <w:bCs/>
                <w:sz w:val="24"/>
              </w:rPr>
              <w:t xml:space="preserve">6 CRR, których nie uwzględniono w żadnej z kategorii wymienionych w </w:t>
            </w:r>
            <w:r w:rsidRPr="00084F66">
              <w:rPr>
                <w:rStyle w:val="InstructionsTabelleText"/>
                <w:rFonts w:ascii="Times New Roman" w:hAnsi="Times New Roman"/>
                <w:bCs/>
                <w:sz w:val="24"/>
              </w:rPr>
              <w:t>lit.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d)</w:t>
            </w:r>
            <w:r w:rsidRPr="00AA1421">
              <w:rPr>
                <w:rStyle w:val="InstructionsTabelleText"/>
                <w:rFonts w:ascii="Times New Roman" w:hAnsi="Times New Roman"/>
                <w:bCs/>
                <w:sz w:val="24"/>
              </w:rPr>
              <w:t>, f) lub g);</w:t>
            </w:r>
          </w:p>
          <w:p w:rsidR="00BF0637" w:rsidRPr="00AA1421" w:rsidRDefault="00BF0637" w:rsidP="00BF0637">
            <w:pPr>
              <w:tabs>
                <w:tab w:val="left" w:pos="372"/>
              </w:tabs>
              <w:rPr>
                <w:rStyle w:val="InstructionsTabelleText"/>
                <w:rFonts w:ascii="Times New Roman" w:hAnsi="Times New Roman"/>
                <w:bCs/>
                <w:sz w:val="24"/>
              </w:rPr>
            </w:pPr>
            <w:r w:rsidRPr="00AA1421">
              <w:rPr>
                <w:rStyle w:val="InstructionsTabelleText"/>
                <w:rFonts w:ascii="Times New Roman" w:hAnsi="Times New Roman"/>
                <w:sz w:val="24"/>
              </w:rPr>
              <w:t>d)</w:t>
            </w:r>
            <w:r w:rsidRPr="00AA1421">
              <w:tab/>
            </w:r>
            <w:r w:rsidRPr="00AA1421">
              <w:rPr>
                <w:rStyle w:val="InstructionsTabelleText"/>
                <w:rFonts w:ascii="Times New Roman" w:hAnsi="Times New Roman"/>
                <w:sz w:val="24"/>
              </w:rPr>
              <w:t>finansowa spółka holdingowa (o działalności mieszanej)</w:t>
            </w:r>
          </w:p>
          <w:p w:rsidR="00BF0637" w:rsidRPr="00AA1421" w:rsidRDefault="00BF0637" w:rsidP="00BF0637">
            <w:pPr>
              <w:tabs>
                <w:tab w:val="left" w:pos="372"/>
              </w:tabs>
              <w:rPr>
                <w:rStyle w:val="InstructionsTabelleText"/>
                <w:rFonts w:ascii="Times New Roman" w:hAnsi="Times New Roman"/>
                <w:bCs/>
                <w:sz w:val="24"/>
              </w:rPr>
            </w:pPr>
            <w:r w:rsidRPr="00AA1421">
              <w:tab/>
            </w:r>
            <w:r w:rsidRPr="00AA1421">
              <w:rPr>
                <w:rStyle w:val="InstructionsTabelleText"/>
                <w:rFonts w:ascii="Times New Roman" w:hAnsi="Times New Roman"/>
                <w:bCs/>
                <w:sz w:val="24"/>
              </w:rPr>
              <w:t xml:space="preserve">Art. 4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pkt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2</w:t>
            </w:r>
            <w:r w:rsidRPr="00AA1421">
              <w:rPr>
                <w:rStyle w:val="InstructionsTabelleText"/>
                <w:rFonts w:ascii="Times New Roman" w:hAnsi="Times New Roman"/>
                <w:bCs/>
                <w:sz w:val="24"/>
              </w:rPr>
              <w:t>0 i 21 CRR;</w:t>
            </w:r>
          </w:p>
          <w:p w:rsidR="00BF0637" w:rsidRPr="00AA1421" w:rsidRDefault="00BF0637" w:rsidP="00BF0637">
            <w:pPr>
              <w:tabs>
                <w:tab w:val="left" w:pos="372"/>
              </w:tabs>
              <w:rPr>
                <w:rStyle w:val="InstructionsTabelleText"/>
                <w:rFonts w:ascii="Times New Roman" w:hAnsi="Times New Roman"/>
                <w:bCs/>
                <w:sz w:val="24"/>
              </w:rPr>
            </w:pPr>
            <w:r w:rsidRPr="00AA1421">
              <w:rPr>
                <w:rStyle w:val="InstructionsTabelleText"/>
                <w:rFonts w:ascii="Times New Roman" w:hAnsi="Times New Roman"/>
                <w:bCs/>
                <w:sz w:val="24"/>
              </w:rPr>
              <w:t>e)</w:t>
            </w:r>
            <w:r w:rsidRPr="00AA1421">
              <w:tab/>
            </w:r>
            <w:r w:rsidRPr="00AA1421">
              <w:rPr>
                <w:rStyle w:val="InstructionsTabelleText"/>
                <w:rFonts w:ascii="Times New Roman" w:hAnsi="Times New Roman"/>
                <w:sz w:val="24"/>
              </w:rPr>
              <w:t>przedsiębiorstwo usług pomocniczych</w:t>
            </w:r>
          </w:p>
          <w:p w:rsidR="00BF0637" w:rsidRPr="00AA1421" w:rsidRDefault="00BF0637" w:rsidP="00BF0637">
            <w:pPr>
              <w:tabs>
                <w:tab w:val="left" w:pos="372"/>
              </w:tabs>
              <w:rPr>
                <w:rStyle w:val="InstructionsTabelleText"/>
                <w:rFonts w:ascii="Times New Roman" w:hAnsi="Times New Roman"/>
                <w:bCs/>
                <w:sz w:val="24"/>
              </w:rPr>
            </w:pPr>
            <w:r w:rsidRPr="00AA1421">
              <w:tab/>
            </w:r>
            <w:r w:rsidRPr="00AA1421">
              <w:rPr>
                <w:rStyle w:val="InstructionsTabelleText"/>
                <w:rFonts w:ascii="Times New Roman" w:hAnsi="Times New Roman"/>
                <w:bCs/>
                <w:sz w:val="24"/>
              </w:rPr>
              <w:t xml:space="preserve">Art. 4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pkt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8 CRR;</w:t>
            </w:r>
          </w:p>
          <w:p w:rsidR="00BF0637" w:rsidRPr="00AA1421" w:rsidRDefault="00BF0637" w:rsidP="00BF0637">
            <w:pPr>
              <w:tabs>
                <w:tab w:val="left" w:pos="372"/>
              </w:tabs>
              <w:rPr>
                <w:rStyle w:val="InstructionsTabelleText"/>
                <w:rFonts w:ascii="Times New Roman" w:hAnsi="Times New Roman"/>
                <w:bCs/>
                <w:sz w:val="24"/>
              </w:rPr>
            </w:pPr>
            <w:r w:rsidRPr="00AA1421">
              <w:rPr>
                <w:rStyle w:val="InstructionsTabelleText"/>
                <w:rFonts w:ascii="Times New Roman" w:hAnsi="Times New Roman"/>
                <w:sz w:val="24"/>
              </w:rPr>
              <w:t>f)</w:t>
            </w:r>
            <w:r w:rsidRPr="00AA1421">
              <w:tab/>
            </w:r>
            <w:r w:rsidRPr="00AA1421">
              <w:rPr>
                <w:rStyle w:val="InstructionsTabelleText"/>
                <w:rFonts w:ascii="Times New Roman" w:hAnsi="Times New Roman"/>
                <w:bCs/>
                <w:sz w:val="24"/>
              </w:rPr>
              <w:t>jednostka specjalnego przeznaczenia do celów sekurytyzacji (SSPE)</w:t>
            </w:r>
          </w:p>
          <w:p w:rsidR="00BF0637" w:rsidRPr="00AA1421" w:rsidRDefault="00BF0637" w:rsidP="00BF0637">
            <w:pPr>
              <w:tabs>
                <w:tab w:val="left" w:pos="372"/>
              </w:tabs>
              <w:rPr>
                <w:rStyle w:val="InstructionsTabelleText"/>
                <w:rFonts w:ascii="Times New Roman" w:hAnsi="Times New Roman"/>
                <w:bCs/>
                <w:sz w:val="24"/>
              </w:rPr>
            </w:pPr>
            <w:r w:rsidRPr="00AA1421">
              <w:tab/>
            </w:r>
            <w:r w:rsidRPr="00AA1421">
              <w:rPr>
                <w:rStyle w:val="InstructionsTabelleText"/>
                <w:rFonts w:ascii="Times New Roman" w:hAnsi="Times New Roman"/>
                <w:bCs/>
                <w:sz w:val="24"/>
              </w:rPr>
              <w:t xml:space="preserve">Art. 4 </w:t>
            </w:r>
            <w:r w:rsidRPr="00084F66">
              <w:rPr>
                <w:rStyle w:val="InstructionsTabelleText"/>
                <w:rFonts w:ascii="Times New Roman" w:hAnsi="Times New Roman"/>
                <w:bCs/>
                <w:sz w:val="24"/>
              </w:rPr>
              <w:t>ust.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1</w:t>
            </w:r>
            <w:r w:rsidRPr="00AA1421">
              <w:rPr>
                <w:rStyle w:val="InstructionsTabelleText"/>
                <w:rFonts w:ascii="Times New Roman" w:hAnsi="Times New Roman"/>
                <w:bCs/>
                <w:sz w:val="24"/>
              </w:rPr>
              <w:t xml:space="preserve"> </w:t>
            </w:r>
            <w:r w:rsidRPr="00084F66">
              <w:rPr>
                <w:rStyle w:val="InstructionsTabelleText"/>
                <w:rFonts w:ascii="Times New Roman" w:hAnsi="Times New Roman"/>
                <w:bCs/>
                <w:sz w:val="24"/>
              </w:rPr>
              <w:t>pkt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6</w:t>
            </w:r>
            <w:r w:rsidRPr="00AA1421">
              <w:rPr>
                <w:rStyle w:val="InstructionsTabelleText"/>
                <w:rFonts w:ascii="Times New Roman" w:hAnsi="Times New Roman"/>
                <w:bCs/>
                <w:sz w:val="24"/>
              </w:rPr>
              <w:t>6 CRR;</w:t>
            </w:r>
          </w:p>
          <w:p w:rsidR="00BF0637" w:rsidRPr="00AA1421" w:rsidRDefault="00BF0637" w:rsidP="00BF0637">
            <w:pPr>
              <w:tabs>
                <w:tab w:val="left" w:pos="372"/>
              </w:tabs>
              <w:rPr>
                <w:rStyle w:val="InstructionsTabelleText"/>
                <w:rFonts w:ascii="Times New Roman" w:hAnsi="Times New Roman"/>
                <w:bCs/>
                <w:sz w:val="24"/>
              </w:rPr>
            </w:pPr>
            <w:r w:rsidRPr="00AA1421">
              <w:rPr>
                <w:rStyle w:val="InstructionsTabelleText"/>
                <w:rFonts w:ascii="Times New Roman" w:hAnsi="Times New Roman"/>
                <w:sz w:val="24"/>
              </w:rPr>
              <w:t>g)</w:t>
            </w:r>
            <w:r w:rsidRPr="00AA1421">
              <w:tab/>
            </w:r>
            <w:r w:rsidRPr="00AA1421">
              <w:rPr>
                <w:rStyle w:val="InstructionsTabelleText"/>
                <w:rFonts w:ascii="Times New Roman" w:hAnsi="Times New Roman"/>
                <w:sz w:val="24"/>
              </w:rPr>
              <w:t>przedsiębiorstwo emitujące obligacje zabezpieczone</w:t>
            </w:r>
          </w:p>
          <w:p w:rsidR="00BF0637" w:rsidRPr="00AA1421" w:rsidRDefault="00BF0637" w:rsidP="00BF0637">
            <w:pPr>
              <w:tabs>
                <w:tab w:val="left" w:pos="372"/>
              </w:tabs>
              <w:ind w:left="372"/>
              <w:rPr>
                <w:rStyle w:val="InstructionsTabelleText"/>
                <w:rFonts w:ascii="Times New Roman" w:hAnsi="Times New Roman"/>
                <w:bCs/>
                <w:sz w:val="24"/>
              </w:rPr>
            </w:pPr>
            <w:r w:rsidRPr="00AA1421">
              <w:rPr>
                <w:rStyle w:val="InstructionsTabelleText"/>
                <w:rFonts w:ascii="Times New Roman" w:hAnsi="Times New Roman"/>
                <w:bCs/>
                <w:sz w:val="24"/>
              </w:rPr>
              <w:t xml:space="preserve">Podmiot utworzony w celu emisji obligacji zabezpieczonych lub utrzymywania zabezpieczenia ustanowionego w odniesieniu do obligacji zabezpieczonych, jeżeli nie uwzględniono go w żadnej z kategorii wymienionych w </w:t>
            </w:r>
            <w:r w:rsidRPr="00084F66">
              <w:rPr>
                <w:rStyle w:val="InstructionsTabelleText"/>
                <w:rFonts w:ascii="Times New Roman" w:hAnsi="Times New Roman"/>
                <w:bCs/>
                <w:sz w:val="24"/>
              </w:rPr>
              <w:t>lit.</w:t>
            </w:r>
            <w:r w:rsidR="00084F66" w:rsidRPr="00084F66">
              <w:rPr>
                <w:rStyle w:val="InstructionsTabelleText"/>
                <w:rFonts w:ascii="Times New Roman" w:hAnsi="Times New Roman"/>
                <w:bCs/>
                <w:sz w:val="24"/>
              </w:rPr>
              <w:t> </w:t>
            </w:r>
            <w:r w:rsidRPr="00084F66">
              <w:rPr>
                <w:rStyle w:val="InstructionsTabelleText"/>
                <w:rFonts w:ascii="Times New Roman" w:hAnsi="Times New Roman"/>
                <w:bCs/>
                <w:sz w:val="24"/>
              </w:rPr>
              <w:t>a)</w:t>
            </w:r>
            <w:r w:rsidRPr="00AA1421">
              <w:rPr>
                <w:rStyle w:val="InstructionsTabelleText"/>
                <w:rFonts w:ascii="Times New Roman" w:hAnsi="Times New Roman"/>
                <w:bCs/>
                <w:sz w:val="24"/>
              </w:rPr>
              <w:t>, b) lub d)–f) powyżej;</w:t>
            </w:r>
          </w:p>
          <w:p w:rsidR="00BF0637" w:rsidRPr="00AA1421" w:rsidRDefault="00BF0637" w:rsidP="00BF0637">
            <w:pPr>
              <w:tabs>
                <w:tab w:val="left" w:pos="372"/>
              </w:tabs>
              <w:rPr>
                <w:rStyle w:val="InstructionsTabelleText"/>
                <w:rFonts w:ascii="Times New Roman" w:hAnsi="Times New Roman"/>
                <w:sz w:val="24"/>
              </w:rPr>
            </w:pPr>
            <w:r w:rsidRPr="00AA1421">
              <w:rPr>
                <w:rStyle w:val="InstructionsTabelleText"/>
                <w:rFonts w:ascii="Times New Roman" w:hAnsi="Times New Roman"/>
                <w:bCs/>
                <w:sz w:val="24"/>
              </w:rPr>
              <w:t>h)</w:t>
            </w:r>
            <w:r w:rsidRPr="00AA1421">
              <w:tab/>
            </w:r>
            <w:r w:rsidRPr="00AA1421">
              <w:rPr>
                <w:rStyle w:val="InstructionsTabelleText"/>
                <w:rFonts w:ascii="Times New Roman" w:hAnsi="Times New Roman"/>
                <w:sz w:val="24"/>
              </w:rPr>
              <w:t>inny rodzaj podmiotu</w:t>
            </w:r>
          </w:p>
          <w:p w:rsidR="00BF0637" w:rsidRPr="00AA1421" w:rsidRDefault="00BF0637" w:rsidP="00BF0637">
            <w:pPr>
              <w:tabs>
                <w:tab w:val="left" w:pos="372"/>
              </w:tabs>
              <w:ind w:left="3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Podmiot inny niż podmioty, o których mowa w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–g)</w:t>
            </w:r>
          </w:p>
          <w:p w:rsidR="00BF0637" w:rsidRPr="00AA1421" w:rsidRDefault="00BF0637" w:rsidP="00BF0637">
            <w:pPr>
              <w:tabs>
                <w:tab w:val="left" w:pos="372"/>
              </w:tabs>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 przypadku gdy dany podmiot nie podlega CRR ani CRD, lecz podlega przepisom co najmniej równoważnym przepisom regulacji Bazylea, odpowiednią kategorię ustala się na zasadzie dołożenia wszelkich starań.</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0040</w:t>
            </w:r>
          </w:p>
        </w:tc>
        <w:tc>
          <w:tcPr>
            <w:tcW w:w="8640" w:type="dxa"/>
          </w:tcPr>
          <w:p w:rsidR="00BF0637" w:rsidRPr="00AA1421" w:rsidRDefault="00BF0637" w:rsidP="00BF0637">
            <w:pPr>
              <w:rPr>
                <w:rFonts w:ascii="Times New Roman" w:hAnsi="Times New Roman"/>
                <w:b/>
                <w:sz w:val="24"/>
                <w:u w:val="single"/>
              </w:rPr>
            </w:pPr>
            <w:r w:rsidRPr="00AA1421">
              <w:rPr>
                <w:rFonts w:ascii="Times New Roman" w:hAnsi="Times New Roman"/>
                <w:b/>
                <w:sz w:val="24"/>
                <w:u w:val="single"/>
              </w:rPr>
              <w:t xml:space="preserve">ZAKRES DANYCH: </w:t>
            </w:r>
            <w:r w:rsidRPr="00AA1421">
              <w:rPr>
                <w:rFonts w:ascii="Times New Roman" w:hAnsi="Times New Roman"/>
                <w:b/>
                <w:caps/>
                <w:sz w:val="24"/>
                <w:u w:val="single"/>
              </w:rPr>
              <w:t>na poziomie jednostkowym w pełni skonsolidowane („SF”) LUB na poziomie jednostkowym częściowo skonsolidowane („SP”)</w:t>
            </w:r>
          </w:p>
          <w:p w:rsidR="00BF0637" w:rsidRPr="00AA1421" w:rsidRDefault="00BF0637" w:rsidP="00BF0637">
            <w:pPr>
              <w:rPr>
                <w:rStyle w:val="Heading1Char"/>
                <w:rFonts w:ascii="Times New Roman" w:hAnsi="Times New Roman"/>
                <w:sz w:val="24"/>
                <w:szCs w:val="24"/>
              </w:rPr>
            </w:pPr>
            <w:r w:rsidRPr="00AA1421">
              <w:rPr>
                <w:rStyle w:val="InstructionsTabelleText"/>
                <w:rFonts w:ascii="Times New Roman" w:hAnsi="Times New Roman"/>
                <w:sz w:val="24"/>
              </w:rPr>
              <w:t xml:space="preserve">„SF” </w:t>
            </w:r>
            <w:r w:rsidRPr="00AA1421">
              <w:rPr>
                <w:rFonts w:ascii="Times New Roman" w:hAnsi="Times New Roman"/>
                <w:sz w:val="24"/>
              </w:rPr>
              <w:t>(dane na poziomie jednostkowym w pełni skonsolidowane) zgłasza się dla poszczególnych jednostek zależnych w pełni skonsolidowanych.</w:t>
            </w:r>
            <w:r w:rsidRPr="00AA1421">
              <w:rPr>
                <w:rStyle w:val="Heading1Char"/>
                <w:rFonts w:ascii="Times New Roman" w:hAnsi="Times New Roman"/>
                <w:sz w:val="24"/>
                <w:szCs w:val="24"/>
              </w:rPr>
              <w:t xml:space="preserve"> </w:t>
            </w:r>
          </w:p>
          <w:p w:rsidR="00BF0637" w:rsidRPr="00AA1421" w:rsidRDefault="00BF0637" w:rsidP="00BF0637">
            <w:pPr>
              <w:rPr>
                <w:rStyle w:val="InstructionsTabelleText"/>
                <w:rFonts w:ascii="Times New Roman" w:hAnsi="Times New Roman"/>
                <w:smallCaps/>
                <w:sz w:val="24"/>
              </w:rPr>
            </w:pPr>
            <w:r w:rsidRPr="00AA1421">
              <w:rPr>
                <w:rStyle w:val="InstructionsTabelleText"/>
                <w:rFonts w:ascii="Times New Roman" w:hAnsi="Times New Roman"/>
                <w:sz w:val="24"/>
              </w:rPr>
              <w:t xml:space="preserve">„SP” </w:t>
            </w:r>
            <w:r w:rsidRPr="00AA1421">
              <w:rPr>
                <w:rFonts w:ascii="Times New Roman" w:hAnsi="Times New Roman"/>
                <w:sz w:val="24"/>
              </w:rPr>
              <w:t>(dane na poziomie jednostkowym częściowo skonsolidowane) zgłasza się dla poszczególnych jednostek zależnych częściowo skonsolidowanych.</w:t>
            </w:r>
            <w:r w:rsidRPr="00AA1421">
              <w:rPr>
                <w:rStyle w:val="InstructionsTabelleText"/>
                <w:rFonts w:ascii="Times New Roman" w:hAnsi="Times New Roman"/>
                <w:i/>
                <w:sz w:val="24"/>
              </w:rPr>
              <w:t xml:space="preserve"> </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0050</w:t>
            </w:r>
          </w:p>
        </w:tc>
        <w:tc>
          <w:tcPr>
            <w:tcW w:w="8640" w:type="dxa"/>
          </w:tcPr>
          <w:p w:rsidR="00BF0637" w:rsidRPr="00AA1421" w:rsidRDefault="00BF0637" w:rsidP="00BF0637">
            <w:pPr>
              <w:rPr>
                <w:rFonts w:ascii="Times New Roman" w:hAnsi="Times New Roman"/>
                <w:b/>
                <w:sz w:val="24"/>
                <w:u w:val="single"/>
              </w:rPr>
            </w:pPr>
            <w:r w:rsidRPr="00AA1421">
              <w:rPr>
                <w:rFonts w:ascii="Times New Roman" w:hAnsi="Times New Roman"/>
                <w:b/>
                <w:sz w:val="24"/>
                <w:u w:val="single"/>
              </w:rPr>
              <w:t xml:space="preserve">KOD PAŃSTWA </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Instytucje zgłaszają dwuliterowy kod państwa, o którym mowa w normie ISO 3166-2. </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0060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UDZIAŁ WŁASNY (%)</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Odsetek ten odnosi się do faktycznego udziału, jaki jednostka dominująca posiada w kapitale jednostek zależnych. W przypadku pełnej konsolidacji jednostki bezpośrednio zależnej faktyczny udział wynosi </w:t>
            </w:r>
            <w:r w:rsidRPr="00084F66">
              <w:rPr>
                <w:rStyle w:val="InstructionsTabelleText"/>
                <w:rFonts w:ascii="Times New Roman" w:hAnsi="Times New Roman"/>
                <w:sz w:val="24"/>
              </w:rPr>
              <w:t>np.</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70</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w:t>
            </w:r>
            <w:r w:rsidRPr="00AA1421">
              <w:rPr>
                <w:rStyle w:val="InstructionsTabelleText"/>
                <w:rFonts w:ascii="Times New Roman" w:hAnsi="Times New Roman"/>
                <w:sz w:val="24"/>
              </w:rPr>
              <w:t xml:space="preserv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6 CRR, podlegający zgłoszeniu udział własny w jednostce zależnej wynika z mnożenia udziałów pomiędzy danymi jednostkami zależnymi.</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0070-0240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INFORMACJE NA TEMAT PODMIOTÓW PODLEGAJĄCYCH WYMOGOM W ZAKRESIE FUNDUSZY WŁASNYCH</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W sekcji szczegółowych informacji (tj. w kolumnach 0070–0240) gromadzone są informacje wyłącznie o tych podmiotach lub podgrupach, które będąc objęte zakresem konsolidacji (</w:t>
            </w:r>
            <w:r w:rsidRPr="00AA1421">
              <w:rPr>
                <w:rFonts w:ascii="Times New Roman" w:hAnsi="Times New Roman"/>
                <w:sz w:val="24"/>
              </w:rPr>
              <w:t>część pierwsza tytuł II rozdział 2 CRR</w:t>
            </w:r>
            <w:r w:rsidRPr="00AA1421">
              <w:rPr>
                <w:rStyle w:val="InstructionsTabelleText"/>
                <w:rFonts w:ascii="Times New Roman" w:hAnsi="Times New Roman"/>
                <w:sz w:val="24"/>
              </w:rPr>
              <w:t xml:space="preserve">), efektywnie podlegają wymogom dotyczącym wypłacalności określonym w CRR lub w przepisach co najmniej równoważnymi z postanowieniami regulacji Bazylea (tj. podmioty lub podgrupy, w odniesieniu do których w kolumnie 0030 zgłoszono „tak”). </w:t>
            </w:r>
          </w:p>
          <w:p w:rsidR="00BF0637" w:rsidRPr="00AA1421" w:rsidRDefault="00BF0637" w:rsidP="00BF0637">
            <w:pPr>
              <w:rPr>
                <w:rFonts w:ascii="Times New Roman" w:hAnsi="Times New Roman"/>
                <w:sz w:val="24"/>
              </w:rPr>
            </w:pPr>
            <w:r w:rsidRPr="00AA1421">
              <w:rPr>
                <w:rFonts w:ascii="Times New Roman" w:hAnsi="Times New Roman"/>
                <w:sz w:val="24"/>
              </w:rPr>
              <w:t xml:space="preserve">Uwzględnia się informacje o wszystkich poszczególnych instytucjach grupy skonsolidowanej, które podlegają wymogom w zakresie funduszy własnych, niezależnie od lokalizacji tych instytucji. </w:t>
            </w:r>
          </w:p>
          <w:p w:rsidR="00BF0637" w:rsidRPr="00AA1421" w:rsidRDefault="00BF0637" w:rsidP="00BF0637">
            <w:pPr>
              <w:rPr>
                <w:rFonts w:ascii="Times New Roman" w:hAnsi="Times New Roman"/>
                <w:sz w:val="24"/>
              </w:rPr>
            </w:pPr>
            <w:r w:rsidRPr="00AA1421">
              <w:rPr>
                <w:rFonts w:ascii="Times New Roman" w:hAnsi="Times New Roman"/>
                <w:sz w:val="24"/>
              </w:rPr>
              <w:t xml:space="preserve">Informacje przekazywane w tej części odzwierciedlają </w:t>
            </w:r>
            <w:r w:rsidRPr="00AA1421">
              <w:rPr>
                <w:rFonts w:ascii="Times New Roman" w:hAnsi="Times New Roman"/>
                <w:bCs/>
                <w:sz w:val="24"/>
              </w:rPr>
              <w:t>lokalne przepisy dotyczące wypłacalności</w:t>
            </w:r>
            <w:r w:rsidRPr="00AA1421">
              <w:rPr>
                <w:rFonts w:ascii="Times New Roman" w:hAnsi="Times New Roman"/>
                <w:b/>
                <w:bCs/>
                <w:sz w:val="24"/>
              </w:rPr>
              <w:t xml:space="preserve"> </w:t>
            </w:r>
            <w:r w:rsidRPr="00AA1421">
              <w:rPr>
                <w:rFonts w:ascii="Times New Roman" w:hAnsi="Times New Roman"/>
                <w:bCs/>
                <w:sz w:val="24"/>
              </w:rPr>
              <w:t>w jurysdykcji,</w:t>
            </w:r>
            <w:r w:rsidRPr="00AA1421">
              <w:rPr>
                <w:rFonts w:ascii="Times New Roman" w:hAnsi="Times New Roman"/>
                <w:b/>
                <w:bCs/>
                <w:sz w:val="24"/>
              </w:rPr>
              <w:t xml:space="preserve"> </w:t>
            </w:r>
            <w:r w:rsidRPr="00AA1421">
              <w:rPr>
                <w:rFonts w:ascii="Times New Roman" w:hAnsi="Times New Roman"/>
                <w:bCs/>
                <w:sz w:val="24"/>
              </w:rPr>
              <w:t xml:space="preserve">w której </w:t>
            </w:r>
            <w:r w:rsidRPr="00AA1421">
              <w:rPr>
                <w:rFonts w:ascii="Times New Roman" w:hAnsi="Times New Roman"/>
                <w:sz w:val="24"/>
              </w:rPr>
              <w:t>instytucja prowadzi działalność (dlatego w przypadku tego wzoru nie jest konieczne przeprowadzanie podwójnych obliczeń na zasadzie indywidualnej zgodnie z zasadami instytucji dominującej). Jeżeli lokalne przepisy dotyczące wypłacalności różnią się od CRR i nie jest podany porównywalny podział, informacje te podaje się, o ile dostępne są dane o odpowiednim poziomie szczegółowości. Dlatego ta część jest faktycznym wzorem, w którym podsumowuje się obliczenia przeprowadzane przez poszczególne instytucje należące do grupy, mając na uwadze, że niektóre z tych instytucji mogą podlegać różnych przepisom dotyczącym wypłacalności.</w:t>
            </w:r>
          </w:p>
          <w:p w:rsidR="00BF0637" w:rsidRPr="00AA1421" w:rsidRDefault="00BF0637" w:rsidP="00BF0637">
            <w:pPr>
              <w:rPr>
                <w:rStyle w:val="InstructionsTabelleText"/>
                <w:rFonts w:ascii="Times New Roman" w:hAnsi="Times New Roman"/>
                <w:b/>
                <w:sz w:val="24"/>
                <w:u w:val="single"/>
              </w:rPr>
            </w:pPr>
            <w:r w:rsidRPr="00AA1421">
              <w:rPr>
                <w:rStyle w:val="InstructionsTabelleText"/>
                <w:rFonts w:ascii="Times New Roman" w:hAnsi="Times New Roman"/>
                <w:b/>
                <w:sz w:val="24"/>
                <w:u w:val="single"/>
              </w:rPr>
              <w:t>Zgłaszanie stałych kosztów pośrednich ponoszonych przez firmy inwestycyjne:</w:t>
            </w:r>
          </w:p>
          <w:p w:rsidR="00BF0637" w:rsidRPr="00AA1421" w:rsidRDefault="00BF0637" w:rsidP="00BF0637">
            <w:pPr>
              <w:autoSpaceDE w:val="0"/>
              <w:autoSpaceDN w:val="0"/>
              <w:adjustRightInd w:val="0"/>
              <w:spacing w:after="0"/>
              <w:rPr>
                <w:rStyle w:val="InstructionsTabelleText"/>
                <w:rFonts w:ascii="Times New Roman" w:hAnsi="Times New Roman"/>
                <w:sz w:val="24"/>
              </w:rPr>
            </w:pPr>
            <w:r w:rsidRPr="00AA1421">
              <w:rPr>
                <w:rStyle w:val="InstructionsTabelleText"/>
                <w:rFonts w:ascii="Times New Roman" w:hAnsi="Times New Roman"/>
                <w:sz w:val="24"/>
              </w:rPr>
              <w:t xml:space="preserve">W swoich obliczeniach współczynnika kapitałowego firmy inwestycyjne uwzględniają wymogi w zakresie funduszy własnych odnoszące się do stałych kosztów pośrednich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9</w:t>
            </w:r>
            <w:r w:rsidRPr="00AA1421">
              <w:rPr>
                <w:rStyle w:val="InstructionsTabelleText"/>
                <w:rFonts w:ascii="Times New Roman" w:hAnsi="Times New Roman"/>
                <w:sz w:val="24"/>
              </w:rPr>
              <w:t>5, 96, 97 i 98 CRR.</w:t>
            </w:r>
          </w:p>
          <w:p w:rsidR="00BF0637" w:rsidRPr="00AA1421" w:rsidRDefault="00BF0637" w:rsidP="001B43BD">
            <w:pPr>
              <w:autoSpaceDE w:val="0"/>
              <w:autoSpaceDN w:val="0"/>
              <w:adjustRightInd w:val="0"/>
              <w:spacing w:after="0"/>
              <w:rPr>
                <w:rStyle w:val="InstructionsTabelleText"/>
                <w:rFonts w:ascii="Times New Roman" w:hAnsi="Times New Roman"/>
                <w:sz w:val="24"/>
              </w:rPr>
            </w:pPr>
            <w:r w:rsidRPr="00AA1421">
              <w:rPr>
                <w:rStyle w:val="InstructionsTabelleText"/>
                <w:rFonts w:ascii="Times New Roman" w:hAnsi="Times New Roman"/>
                <w:sz w:val="24"/>
              </w:rPr>
              <w:t xml:space="preserve">Część łącznej kwoty ekspozycji na ryzyko związana ze stałymi kosztami pośrednimi zgłasza się w kolumnie 0100 tego wzoru. </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0070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 xml:space="preserve">ŁĄCZNA KWOTA EKSPOZYCJI NA RYZYKO </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Zgłaszana jest suma kolumn 0080–0110.</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0080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Kwota, którą należy zgłosić w tej kolumnie, odpowiada sumie kwot ekspozycji ważonej ryzykiem, które są równe lub równoważne kwotom, które należy zgłosić w wierszu 0040 „</w:t>
            </w:r>
            <w:r w:rsidRPr="00AA1421">
              <w:rPr>
                <w:rStyle w:val="InstructionsTabelleberschrift"/>
                <w:rFonts w:ascii="Times New Roman" w:hAnsi="Times New Roman"/>
                <w:b w:val="0"/>
                <w:sz w:val="24"/>
                <w:u w:val="none"/>
              </w:rPr>
              <w:t>KWOTY EKSPOZYCJI WAŻONYCH RYZYKIEM Z TYTUŁU</w:t>
            </w:r>
            <w:r w:rsidRPr="00AA1421">
              <w:rPr>
                <w:rStyle w:val="InstructionsTabelleText"/>
                <w:rFonts w:ascii="Times New Roman" w:hAnsi="Times New Roman"/>
                <w:sz w:val="24"/>
              </w:rPr>
              <w:t xml:space="preserve"> RYZYKA KREDYTOWEGO, RYZYKA KREDYTOWEGO KONTRAHENTA, RYZYKA ROZMYCIA ORAZ DOSTAW Z PÓŹNIEJSZYM TERMINEM ROZLICZENIA”, oraz kwotom wymogów w zakresie funduszy własnych, które są równe lub równoważne kwotom, które należy zgłosić w wierszu 0490 „ŁĄCZNA KWOTA EKSPOZYCJI NA RYZYKO ROZLICZENIA/DOSTAWY” we wzorze CA2.</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0090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RYZYKO POZYCJI, RYZYKO WALUTOWE I RYZYKO CEN TOWARÓW</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Kwota, którą należy zgłosić w tej kolumnie, odpowiada kwocie wymogów w zakresie funduszy własnych, która jest równa lub równoważna kwotom, które należy zgłosić w wierszu 0520 „ŁĄCZNA KWOTA EKSPOZYCJI NA RYZYKO Z TYTUŁU RYZYKA POZYCJI, RYZYKA WALUTOWEGO I RYZYKA CEN TOWARÓW” we wzorze CA2.</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0100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Z TYTUŁU RYZYKA OPERACYJNEGO</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Kwota, którą należy zgłosić w tej kolumnie, odpowiada kwocie ekspozycji na ryzyko, która jest równa lub równoważna kwocie, którą należy zgłosić w wierszu 0590 „ŁĄCZNA KWOTA EKSPOZYCJI NA RYZYKO Z TYTUŁU RYZYKA OPERACYJNEGO” we wzorze CA2.</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W kolumnie tej uwzględnia się stałe koszty pośrednie, w tym w wierszu 0630 „DODATKOWA KWOTA EKSPOZYCJI NA RYZYKO Z TYTUŁU STAŁYCH KOSZTÓW POŚREDNICH” we wzorze CA2.</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0110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KWOTY INNYCH EKSPOZYCJI NA RYZYKO</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Kwota, którą należy zgłosić w tej kolumnie, odpowiada kwocie ekspozycji na ryzyko, która nie została wyraźnie wymieniona powyżej. Jest to suma kwot z wierszy 0640, 0680 i 0690 wzoru CA2.</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0120-0240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SZCZEGÓŁOWE INFORMACJE NA TEMAT WYPŁACALNOŚCI GRUPY – FUNDUSZE WŁASNE</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Zgłaszane w następujących kolumnach informacje odzwierciedlają lokalne przepisy dotyczące wypłacalności w państwie członkowskim, w którym podmiot lub podgrupa prowadzą działalność.</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0120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FUNDUSZE WŁASNE</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w tej kolumnie, odpowiada kwocie wymogów w zakresie funduszy własnych, która jest równa lub równoważna kwotom, które należy zgłosić w wierszu 0010 „FUNDUSZE WŁASNE” we wzorze CA1.</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0130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 xml:space="preserve">W TYM: KWALIFIKUJĄCE SIĘ FUNDUSZE WŁASNE </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Art. 82 CRR </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Kolumnę tę zgłasza się wyłącznie w odniesieniu do w pełni skonsolidowanych jednostek zależnych, które są instytucjami, podlegających przekazywaniu danych na zasadzie indywidualnej. </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W odniesieniu do jednostek zależnych określonych powyżej znacznymi pakietami akcji są instrumenty (plus powiązane zyski zatrzymane, ażio emisyjne oraz kapitał rezerwowy) posiadane przez osoby inne niż przedsiębiorstwa oraz objęte konsolidacją na podstawie CRR.</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0140</w:t>
            </w:r>
          </w:p>
        </w:tc>
        <w:tc>
          <w:tcPr>
            <w:tcW w:w="8640" w:type="dxa"/>
          </w:tcPr>
          <w:p w:rsidR="00BF0637" w:rsidRPr="00AA1421" w:rsidRDefault="00BF0637" w:rsidP="00BF0637">
            <w:pPr>
              <w:rPr>
                <w:rStyle w:val="InstructionsTabelleberschrift"/>
                <w:rFonts w:ascii="Times New Roman" w:hAnsi="Times New Roman"/>
                <w:b w:val="0"/>
                <w:sz w:val="24"/>
              </w:rPr>
            </w:pPr>
            <w:r w:rsidRPr="00AA1421">
              <w:rPr>
                <w:rStyle w:val="InstructionsTabelleberschrift"/>
                <w:rFonts w:ascii="Times New Roman" w:hAnsi="Times New Roman"/>
                <w:sz w:val="24"/>
              </w:rPr>
              <w:t>POWIĄZANE INSTRUMENTY FUNDUSZY WŁASNYCH, POWIĄZANE ZYSKI ZATRZYMANE, AŻIO EMISYJNE ORAZ KAPITAŁ REZERWOWY</w:t>
            </w:r>
          </w:p>
          <w:p w:rsidR="00BF0637" w:rsidRPr="00AA1421" w:rsidRDefault="00BF0637" w:rsidP="00BF0637">
            <w:pPr>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87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0150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CAŁKOWITY KAPITAŁ TIER I</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Art. 25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0160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KWALIFIKUJĄCY SIĘ KAPITAŁ TIER 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Art. 82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Kolumnę tę zgłasza się wyłącznie w odniesieniu do w pełni skonsolidowanych jednostek zależnych, które są instytucjami, podlegających przekazywaniu danych na zasadzie indywidualnej.</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W odniesieniu do jednostek zależnych określonych powyżej znacznymi pakietami akcji są instrumenty (plus powiązane zyski zatrzymane oraz ażio emisyjne) posiadane przez osoby inne niż przedsiębiorstwa objęte konsolidacją na podstawie CRR.</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0170</w:t>
            </w:r>
          </w:p>
        </w:tc>
        <w:tc>
          <w:tcPr>
            <w:tcW w:w="8640" w:type="dxa"/>
          </w:tcPr>
          <w:p w:rsidR="00BF0637" w:rsidRPr="00AA1421" w:rsidRDefault="00BF0637" w:rsidP="00BF0637">
            <w:pPr>
              <w:rPr>
                <w:rStyle w:val="InstructionsTabelleberschrift"/>
                <w:rFonts w:ascii="Times New Roman" w:hAnsi="Times New Roman"/>
                <w:b w:val="0"/>
                <w:sz w:val="24"/>
              </w:rPr>
            </w:pPr>
            <w:r w:rsidRPr="00AA1421">
              <w:rPr>
                <w:rStyle w:val="InstructionsTabelleberschrift"/>
                <w:rFonts w:ascii="Times New Roman" w:hAnsi="Times New Roman"/>
                <w:sz w:val="24"/>
              </w:rPr>
              <w:t>POWIĄZANE INSTRUMENTY W KAPITALE TIER I, POWIĄZANE ZYSKI ZATRZYMANE ORAZ AŻIO EMISYJNE</w:t>
            </w:r>
          </w:p>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Art. 85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0180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KAPITAŁ PODSTAWOWY TIER I</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Art. 50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0190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UDZIAŁY MNIEJSZOŚCI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81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Kolumnę tę zgłasza się wyłącznie w odniesieniu do w pełni skonsolidowanych jednostek zależnych, które są instytucjami, z wyjątkiem jednostek zależnych, o których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CRR. Dla celów wszystkich obliczeń wymaganych na mocy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4 CRR w stosownych przypadkach każdą jednostkę zależną traktuje się na zasadzie </w:t>
            </w:r>
            <w:proofErr w:type="spellStart"/>
            <w:r w:rsidRPr="00AA1421">
              <w:rPr>
                <w:rStyle w:val="InstructionsTabelleText"/>
                <w:rFonts w:ascii="Times New Roman" w:hAnsi="Times New Roman"/>
                <w:sz w:val="24"/>
              </w:rPr>
              <w:t>subskonsolidowanej</w:t>
            </w:r>
            <w:proofErr w:type="spellEnd"/>
            <w:r w:rsidRPr="00AA1421">
              <w:rPr>
                <w:rStyle w:val="InstructionsTabelleText"/>
                <w:rFonts w:ascii="Times New Roman" w:hAnsi="Times New Roman"/>
                <w:sz w:val="24"/>
              </w:rPr>
              <w:t xml:space="preserv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natomiast w pozostałych przypadkach na zasadzie nieskonsolidowanej.</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Udziały mniejszości są w odniesieniu do jednostek zależnych określonych powyżej instrumentami w kapitale podstawowym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(plus powiązane zyski zatrzymane oraz ażio emisyjne) posiadanymi przez osoby inne niż przedsiębiorstwa objęte konsolidacją na podstawie CRR.</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0200</w:t>
            </w:r>
          </w:p>
        </w:tc>
        <w:tc>
          <w:tcPr>
            <w:tcW w:w="8640" w:type="dxa"/>
          </w:tcPr>
          <w:p w:rsidR="00BF0637" w:rsidRPr="00AA1421" w:rsidRDefault="00BF0637" w:rsidP="00BF0637">
            <w:pPr>
              <w:rPr>
                <w:rStyle w:val="InstructionsTabelleberschrift"/>
                <w:rFonts w:ascii="Times New Roman" w:hAnsi="Times New Roman"/>
                <w:b w:val="0"/>
                <w:sz w:val="24"/>
              </w:rPr>
            </w:pPr>
            <w:r w:rsidRPr="00AA1421">
              <w:rPr>
                <w:rStyle w:val="InstructionsTabelleberschrift"/>
                <w:rFonts w:ascii="Times New Roman" w:hAnsi="Times New Roman"/>
                <w:sz w:val="24"/>
              </w:rPr>
              <w:t>POWIĄZANE INSTRUMENTY FUNDUSZY WŁASNYCH, POWIĄZANE ZYSKI ZATRZYMANE, AŻIO EMISYJNE ORAZ KAPITAŁ REZERWOWY</w:t>
            </w:r>
          </w:p>
          <w:p w:rsidR="00BF0637" w:rsidRPr="00AA1421" w:rsidRDefault="00BF0637" w:rsidP="00BF0637">
            <w:pPr>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84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0210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KAPITAŁ DODATKOWY TIER I</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Art. 61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0220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KWALIFIKUJĄCY SIĘ KAPITAŁ DODATKOWY TIER 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82 i 83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Kolumnę tę zgłasza się wyłącznie w odniesieniu do w pełni skonsolidowanych jednostek zależnych, które są instytucjami, z wyjątkiem jednostek zależnych, o których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CRR. Dla celów wszystkich obliczeń wymaganych na mocy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5 CRR w </w:t>
            </w:r>
            <w:r w:rsidRPr="00AA1421">
              <w:rPr>
                <w:rStyle w:val="InstructionsTabelleText"/>
                <w:rFonts w:ascii="Times New Roman" w:hAnsi="Times New Roman"/>
                <w:sz w:val="24"/>
              </w:rPr>
              <w:lastRenderedPageBreak/>
              <w:t xml:space="preserve">stosownych przypadkach każdą jednostkę zależną traktuje się na zasadzie </w:t>
            </w:r>
            <w:proofErr w:type="spellStart"/>
            <w:r w:rsidRPr="00AA1421">
              <w:rPr>
                <w:rStyle w:val="InstructionsTabelleText"/>
                <w:rFonts w:ascii="Times New Roman" w:hAnsi="Times New Roman"/>
                <w:sz w:val="24"/>
              </w:rPr>
              <w:t>subskonsolidowanej</w:t>
            </w:r>
            <w:proofErr w:type="spellEnd"/>
            <w:r w:rsidRPr="00AA1421">
              <w:rPr>
                <w:rStyle w:val="InstructionsTabelleText"/>
                <w:rFonts w:ascii="Times New Roman" w:hAnsi="Times New Roman"/>
                <w:sz w:val="24"/>
              </w:rPr>
              <w:t xml:space="preserv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natomiast w pozostałych przypadkach na zasadzie nieskonsolidowanej.</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Udziały mniejszości są w odniesieniu do jednostek zależnych określonych powyżej instrumentami w kapitale dodatkowym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(plus powiązane zyski zatrzymane oraz ażio emisyjne) posiadanymi przez osoby inne niż przedsiębiorstwa objęte konsolidacją na podstawie CRR.</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obejmuje skutki wszelkich przepisów przejściowych. Jest to uznana kwota w dniu sprawozdawczym.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0230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KAPITAŁ TIER II</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bCs/>
                <w:sz w:val="24"/>
              </w:rPr>
              <w:t>Art. 71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0240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KWALIFIKUJĄCY SIĘ KAPITAŁ TIER II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82 i 83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Kolumnę tę zgłasza się wyłącznie w odniesieniu do w pełni skonsolidowanych jednostek zależnych, które są instytucjami, z wyjątkiem jednostek zależnych, o których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7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CRR. Dla celów wszystkich obliczeń wymaganych na mocy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7 CRR w stosownych przypadkach każdą jednostkę zależną traktuje się na zasadzie </w:t>
            </w:r>
            <w:proofErr w:type="spellStart"/>
            <w:r w:rsidRPr="00AA1421">
              <w:rPr>
                <w:rStyle w:val="InstructionsTabelleText"/>
                <w:rFonts w:ascii="Times New Roman" w:hAnsi="Times New Roman"/>
                <w:sz w:val="24"/>
              </w:rPr>
              <w:t>subskonsolidowanej</w:t>
            </w:r>
            <w:proofErr w:type="spellEnd"/>
            <w:r w:rsidRPr="00AA1421">
              <w:rPr>
                <w:rStyle w:val="InstructionsTabelleText"/>
                <w:rFonts w:ascii="Times New Roman" w:hAnsi="Times New Roman"/>
                <w:sz w:val="24"/>
              </w:rPr>
              <w:t xml:space="preserv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7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natomiast w pozostałych przypadkach na zasadzie nieskonsolidowanej. </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Udziały mniejszości są w odniesieniu do jednostek zależnych określonych powyżej instrumentami w kapitale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II (plus powiązane zyski zatrzymane oraz ażio emisyjne) posiadanymi przez osoby inne niż przedsiębiorstwa objęte konsolidacją na podstawie CRR.</w:t>
            </w:r>
          </w:p>
          <w:p w:rsidR="00BF0637" w:rsidRPr="00AA1421" w:rsidRDefault="00BF0637" w:rsidP="001B43BD">
            <w:pPr>
              <w:rPr>
                <w:rStyle w:val="InstructionsTabelleText"/>
                <w:rFonts w:ascii="Times New Roman" w:hAnsi="Times New Roman"/>
                <w:sz w:val="24"/>
              </w:rPr>
            </w:pPr>
            <w:r w:rsidRPr="00AA1421">
              <w:rPr>
                <w:rStyle w:val="InstructionsTabelleText"/>
                <w:rFonts w:ascii="Times New Roman" w:hAnsi="Times New Roman"/>
                <w:sz w:val="24"/>
              </w:rPr>
              <w:t>Kwota, którą należy zgłosić, obejmuje skutki wszelkich przepisów przejściowych. Jest to uznana kwota w sprawozdawczym dniu odniesienia.</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0250-0400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INFORMACJE NA TEMAT WKŁADU PODMIOTÓW NA RZECZ WYPŁACALNOŚCI GRUPY</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0250-0290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WKŁAD W RYZYKO</w:t>
            </w:r>
          </w:p>
          <w:p w:rsidR="00BF0637" w:rsidRPr="00AA1421" w:rsidRDefault="00BF0637" w:rsidP="00BF0637">
            <w:pPr>
              <w:rPr>
                <w:rStyle w:val="InstructionsTabelleberschrift"/>
                <w:rFonts w:ascii="Times New Roman" w:hAnsi="Times New Roman"/>
                <w:sz w:val="24"/>
              </w:rPr>
            </w:pPr>
            <w:r w:rsidRPr="00AA1421">
              <w:rPr>
                <w:rFonts w:ascii="Times New Roman" w:hAnsi="Times New Roman"/>
                <w:sz w:val="24"/>
              </w:rPr>
              <w:t xml:space="preserve">Zgłoszone w następujących kolumnach informacje są zgodne z </w:t>
            </w:r>
            <w:r w:rsidRPr="00AA1421">
              <w:rPr>
                <w:rFonts w:ascii="Times New Roman" w:hAnsi="Times New Roman"/>
                <w:bCs/>
                <w:sz w:val="24"/>
              </w:rPr>
              <w:t>przepisami dotyczącymi wypłacalności mającymi zastosowanie do instytucji sprawozdającej.</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0250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ŁĄCZNA KWOTA EKSPOZYCJI NA RYZYKO</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Zgłaszana jest suma kolumn 0260–0290.</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0260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Kwoty, które należy zgłosić, są kwotami ekspozycji ważonej ryzykiem z tytułu ryzyka kredytowego oraz wymogów w zakresie funduszy własnych z tytułu ryzyka rozliczenia/dostawy zgodnie z CRR, z wyłączeniem wszelkich kwot odnoszących się do transakcji z innymi podmiotami uwzględnionymi w obliczeniach współczynnika wypłacalności grupy skonsolidowanej.</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0270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RYZYKO POZYCJI, RYZYKO WALUTOWE I RYZYKO CEN TOWARÓW</w:t>
            </w:r>
          </w:p>
          <w:p w:rsidR="00BF0637" w:rsidRPr="00AA1421" w:rsidRDefault="00BF0637" w:rsidP="00BF0637">
            <w:pPr>
              <w:pStyle w:val="Texte2"/>
              <w:ind w:left="0"/>
              <w:rPr>
                <w:rStyle w:val="InstructionsTabelleText"/>
                <w:rFonts w:ascii="Times New Roman" w:hAnsi="Times New Roman"/>
                <w:sz w:val="24"/>
                <w:szCs w:val="24"/>
              </w:rPr>
            </w:pPr>
            <w:r w:rsidRPr="00AA1421">
              <w:rPr>
                <w:rStyle w:val="InstructionsTabelleText"/>
                <w:rFonts w:ascii="Times New Roman" w:hAnsi="Times New Roman"/>
                <w:sz w:val="24"/>
                <w:szCs w:val="24"/>
              </w:rPr>
              <w:t>Kwoty ekspozycji na ryzyko z tytułu ryzyka rynkowego oblicza się na poziomie każdego podmiotu zgodnie z CRR. Podmioty zgłaszają wkład w łączne kwoty ekspozycji na ryzyko z tytułu ryzyka pozycji, ryzyka walutowego i ryzyka cen towarów dla grupy. Zgłoszona tu suma kwot odpowiada kwocie zgłoszonej w wierszu 0520 „ŁĄCZNA KWOTA EKSPOZYCJI NA RYZYKO Z TYTUŁU RYZYKA POZYCJI, RYZYKA WALUTOWEGO I RYZYKA CEN TOWARÓW” w sprawozdaniu skonsolidowanym.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0280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Z TYTUŁU RYZYKA OPERACYJNEGO</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W przypadku metod zaawansowanego pomiaru zgłoszone kwoty ekspozycji na ryzyko z tytułu ryzyka operacyjnego obejmują efekt dywersyfikacji.</w:t>
            </w:r>
          </w:p>
          <w:p w:rsidR="00BF0637" w:rsidRPr="00AA1421" w:rsidRDefault="00BF0637" w:rsidP="00BF0637">
            <w:pPr>
              <w:rPr>
                <w:rStyle w:val="InstructionsTabelleText"/>
                <w:rFonts w:ascii="Times New Roman" w:hAnsi="Times New Roman"/>
                <w:sz w:val="24"/>
              </w:rPr>
            </w:pPr>
            <w:r w:rsidRPr="00AA1421">
              <w:rPr>
                <w:rFonts w:ascii="Times New Roman" w:hAnsi="Times New Roman"/>
                <w:sz w:val="24"/>
              </w:rPr>
              <w:t>W kolumnie tej uwzględnia się stałe koszty pośrednie.</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0290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KWOTY INNYCH EKSPOZYCJI NA RYZYKO</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w tej kolumnie, odpowiada kwocie ekspozycji na ryzyko dotyczącej innych rodzajów niż wymienione powyżej.</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0300-0400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WKŁAD W FUNDUSZE WŁASNE</w:t>
            </w:r>
          </w:p>
          <w:p w:rsidR="00BF0637" w:rsidRPr="00AA1421" w:rsidRDefault="00BF0637" w:rsidP="00BF0637">
            <w:pPr>
              <w:pStyle w:val="Texte2"/>
              <w:ind w:left="0"/>
              <w:rPr>
                <w:rStyle w:val="InstructionsTabelleText"/>
                <w:rFonts w:ascii="Times New Roman" w:hAnsi="Times New Roman"/>
                <w:sz w:val="24"/>
                <w:szCs w:val="24"/>
              </w:rPr>
            </w:pPr>
            <w:r w:rsidRPr="00AA1421">
              <w:rPr>
                <w:rStyle w:val="InstructionsTabelleText"/>
                <w:rFonts w:ascii="Times New Roman" w:hAnsi="Times New Roman"/>
                <w:sz w:val="24"/>
                <w:szCs w:val="24"/>
              </w:rPr>
              <w:t xml:space="preserve">Celem tej części wzoru nie jest nakładanie na instytucje obowiązku przeprowadzenia pełnego obliczenia łącznego współczynnika kapitałowego na poziomie każdego podmiotu. </w:t>
            </w:r>
          </w:p>
          <w:p w:rsidR="00BF0637" w:rsidRPr="00AA1421" w:rsidRDefault="00BF0637" w:rsidP="00BF0637">
            <w:pPr>
              <w:pStyle w:val="Texte2"/>
              <w:ind w:left="0"/>
              <w:rPr>
                <w:rStyle w:val="InstructionsTabelleText"/>
                <w:rFonts w:ascii="Times New Roman" w:hAnsi="Times New Roman"/>
                <w:sz w:val="24"/>
                <w:szCs w:val="24"/>
              </w:rPr>
            </w:pPr>
            <w:r w:rsidRPr="00AA1421">
              <w:rPr>
                <w:rFonts w:ascii="Times New Roman" w:hAnsi="Times New Roman"/>
                <w:sz w:val="24"/>
                <w:szCs w:val="24"/>
              </w:rPr>
              <w:t>Kolumny 0300–0350 zgłasza się w odniesieniu do tych podmiotów skonsolidowanych, które dokonują wkładu w fundusze własne poprzez udziały mniejszości,</w:t>
            </w:r>
            <w:r w:rsidRPr="00AA1421">
              <w:t xml:space="preserve"> </w:t>
            </w:r>
            <w:r w:rsidRPr="00AA1421">
              <w:rPr>
                <w:rFonts w:ascii="Times New Roman" w:hAnsi="Times New Roman"/>
                <w:sz w:val="24"/>
                <w:szCs w:val="24"/>
              </w:rPr>
              <w:t xml:space="preserve">kwalifikujący się kapitał </w:t>
            </w:r>
            <w:proofErr w:type="spellStart"/>
            <w:r w:rsidRPr="00AA1421">
              <w:rPr>
                <w:rFonts w:ascii="Times New Roman" w:hAnsi="Times New Roman"/>
                <w:sz w:val="24"/>
                <w:szCs w:val="24"/>
              </w:rPr>
              <w:t>Tier</w:t>
            </w:r>
            <w:proofErr w:type="spellEnd"/>
            <w:r w:rsidRPr="00AA1421">
              <w:rPr>
                <w:rFonts w:ascii="Times New Roman" w:hAnsi="Times New Roman"/>
                <w:sz w:val="24"/>
                <w:szCs w:val="24"/>
              </w:rPr>
              <w:t xml:space="preserve"> I lub kwalifikujące się fundusze własne. Z zastrzeżeniem progu, o którym mowa powyżej w części II rozdział 2.3 akapit ostatni, kolumny 0360–0400 zgłasza się dla wszystkich podmiotów skonsolidowanych, które dokonują wkładu w skonsolidowane fundusze własne.</w:t>
            </w:r>
          </w:p>
          <w:p w:rsidR="00BF0637" w:rsidRPr="00AA1421" w:rsidRDefault="00BF0637" w:rsidP="00BF0637">
            <w:pPr>
              <w:pStyle w:val="Texte2"/>
              <w:ind w:left="0"/>
              <w:rPr>
                <w:rStyle w:val="InstructionsTabelleText"/>
                <w:rFonts w:ascii="Times New Roman" w:hAnsi="Times New Roman"/>
                <w:sz w:val="24"/>
                <w:szCs w:val="24"/>
              </w:rPr>
            </w:pPr>
            <w:r w:rsidRPr="00AA1421">
              <w:rPr>
                <w:rStyle w:val="InstructionsTabelleText"/>
                <w:rFonts w:ascii="Times New Roman" w:hAnsi="Times New Roman"/>
                <w:sz w:val="24"/>
                <w:szCs w:val="24"/>
              </w:rPr>
              <w:t xml:space="preserve">Fundusze własne wprowadzone do podmiotu przez pozostałe podmioty objęte zakresem sprawozdawczości jednostki sprawozdającej nie są brane pod uwagę. W kolumnie tej zgłasza się wyłącznie wkład netto w fundusze własne grupy (przede wszystkim fundusze własne uzyskane od osób trzecich i skumulowane rezerwy). </w:t>
            </w:r>
          </w:p>
          <w:p w:rsidR="00BF0637" w:rsidRPr="00AA1421" w:rsidRDefault="00BF0637" w:rsidP="00BF0637">
            <w:pPr>
              <w:pStyle w:val="Texte2"/>
              <w:spacing w:after="120"/>
              <w:ind w:left="0"/>
              <w:rPr>
                <w:rStyle w:val="InstructionsTabelleberschrift"/>
                <w:rFonts w:ascii="Times New Roman" w:hAnsi="Times New Roman"/>
                <w:b w:val="0"/>
                <w:bCs w:val="0"/>
                <w:sz w:val="24"/>
                <w:szCs w:val="24"/>
              </w:rPr>
            </w:pPr>
            <w:r w:rsidRPr="00AA1421">
              <w:rPr>
                <w:rStyle w:val="InstructionsTabelleText"/>
                <w:rFonts w:ascii="Times New Roman" w:hAnsi="Times New Roman"/>
                <w:sz w:val="24"/>
              </w:rPr>
              <w:t>Zgłoszone w następujących kolumnach informacje są zgodne z przepisami dotyczącymi wypłacalności mającymi zastosowanie do instytucji sprawozdającej.</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0300-0350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KWALIFIKUJĄCE SIĘ FUNDUSZE WŁASNE UWZGLĘDNIONE W SKONSOLIDOWANYCH FUNDUSZACH WŁASNYCH</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Kwota, którą należy zgłosić jako „KWALIFIKUJĄCE SIĘ FUNDUSZE WŁASNE UWZGLĘDNIONE W SKONSOLIDOWANYCH FUNDUSZACH WŁASNYCH”, jest kwotą wynikającą z części drugiej tytuł II CRR, z wyłączeniem wszelkich funduszy wniesionych przez inne podmioty grupy.</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Fonts w:ascii="Times New Roman" w:hAnsi="Times New Roman"/>
                <w:sz w:val="24"/>
              </w:rPr>
              <w:t>0300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KWALIFIKUJĄCE SIĘ FUNDUSZE WŁASNE UWZGLĘDNIONE W SKONSOLIDOWANYCH FUNDUSZACH WŁASNYCH</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87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Fonts w:ascii="Times New Roman" w:hAnsi="Times New Roman"/>
                <w:sz w:val="24"/>
              </w:rPr>
              <w:lastRenderedPageBreak/>
              <w:t>0310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KWALIFIKUJĄCE SIĘ INSTRUMENTY W TIER I UWZGLĘDNIONE W SKONSOLIDOWANYM KAPITALE TIER 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85 CRR</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Fonts w:ascii="Times New Roman" w:hAnsi="Times New Roman"/>
                <w:sz w:val="24"/>
              </w:rPr>
              <w:t>0320</w:t>
            </w:r>
          </w:p>
        </w:tc>
        <w:tc>
          <w:tcPr>
            <w:tcW w:w="8640" w:type="dxa"/>
          </w:tcPr>
          <w:p w:rsidR="00BF0637" w:rsidRPr="00AA1421" w:rsidRDefault="00BF0637" w:rsidP="00BF0637">
            <w:pPr>
              <w:rPr>
                <w:rStyle w:val="InstructionsTabelleText"/>
                <w:rFonts w:ascii="Times New Roman" w:hAnsi="Times New Roman"/>
                <w:sz w:val="24"/>
              </w:rPr>
            </w:pPr>
            <w:r w:rsidRPr="00AA1421">
              <w:rPr>
                <w:rStyle w:val="InstructionsTabelleberschrift"/>
                <w:rFonts w:ascii="Times New Roman" w:hAnsi="Times New Roman"/>
                <w:sz w:val="24"/>
              </w:rPr>
              <w:t>UDZIAŁY MNIEJSZOŚCI UWZGLĘDNIONE W SKONSOLIDOWANYM</w:t>
            </w:r>
            <w:r w:rsidRPr="00AA1421">
              <w:t xml:space="preserve"> </w:t>
            </w:r>
            <w:r w:rsidRPr="00AA1421">
              <w:br/>
            </w:r>
            <w:r w:rsidRPr="00AA1421">
              <w:rPr>
                <w:rStyle w:val="InstructionsTabelleberschrift"/>
                <w:rFonts w:ascii="Times New Roman" w:hAnsi="Times New Roman"/>
                <w:sz w:val="24"/>
              </w:rPr>
              <w:t>KAPITALE PODSTAWOWYM TIER 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84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Kwotą, którą należy zgłosić, jest kwota udziałów mniejszości jednostki zależnej uwzględniona w skonsolidowanym kapitale podstawowym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zgodnie z CRR. </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Fonts w:ascii="Times New Roman" w:hAnsi="Times New Roman"/>
                <w:sz w:val="24"/>
              </w:rPr>
              <w:t>0330</w:t>
            </w:r>
          </w:p>
        </w:tc>
        <w:tc>
          <w:tcPr>
            <w:tcW w:w="8640" w:type="dxa"/>
          </w:tcPr>
          <w:p w:rsidR="00BF0637" w:rsidRPr="00AA1421" w:rsidRDefault="00BF0637" w:rsidP="00BF0637">
            <w:pPr>
              <w:rPr>
                <w:rStyle w:val="InstructionsTabelleText"/>
                <w:rFonts w:ascii="Times New Roman" w:hAnsi="Times New Roman"/>
                <w:sz w:val="24"/>
              </w:rPr>
            </w:pPr>
            <w:r w:rsidRPr="00AA1421">
              <w:rPr>
                <w:rStyle w:val="InstructionsTabelleberschrift"/>
                <w:rFonts w:ascii="Times New Roman" w:hAnsi="Times New Roman"/>
                <w:sz w:val="24"/>
              </w:rPr>
              <w:t>KWALIFIKUJĄCE SIĘ INSTRUMENTY W KAPITALE TIER I UWZGLĘDNIONE W SKONSOLIDOWANYM KAPITALE DODATKOWYM TIER 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86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Kwotą, którą należy zgłosić, jest kwota kwalifikującego się kapitału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jednostki zależnej uwzględniona w skonsolidowanym kapitale dodatkowym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 zgodnie z CRR. </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Fonts w:ascii="Times New Roman" w:hAnsi="Times New Roman"/>
                <w:sz w:val="24"/>
              </w:rPr>
              <w:t>0340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KWALIFIKUJĄCE SIĘ INSTRUMENTY FUNDUSZY WŁASNYCH UWZGLĘDNIONE W</w:t>
            </w:r>
            <w:r w:rsidRPr="00AA1421">
              <w:t xml:space="preserve"> </w:t>
            </w:r>
            <w:r w:rsidRPr="00AA1421">
              <w:br/>
            </w:r>
            <w:r w:rsidRPr="00AA1421">
              <w:rPr>
                <w:rStyle w:val="InstructionsTabelleberschrift"/>
                <w:rFonts w:ascii="Times New Roman" w:hAnsi="Times New Roman"/>
                <w:sz w:val="24"/>
              </w:rPr>
              <w:t>SKONSOLIDOWANYM KAPITALE TIER II</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88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Kwotą, którą należy zgłosić, jest kwota kwalifikujących się funduszy własnych jednostki zależnej uwzględniona w skonsolidowanym kapitale </w:t>
            </w:r>
            <w:proofErr w:type="spellStart"/>
            <w:r w:rsidRPr="00AA1421">
              <w:rPr>
                <w:rStyle w:val="InstructionsTabelleText"/>
                <w:rFonts w:ascii="Times New Roman" w:hAnsi="Times New Roman"/>
                <w:sz w:val="24"/>
              </w:rPr>
              <w:t>Tier</w:t>
            </w:r>
            <w:proofErr w:type="spellEnd"/>
            <w:r w:rsidRPr="00AA1421">
              <w:rPr>
                <w:rStyle w:val="InstructionsTabelleText"/>
                <w:rFonts w:ascii="Times New Roman" w:hAnsi="Times New Roman"/>
                <w:sz w:val="24"/>
              </w:rPr>
              <w:t xml:space="preserve"> II zgodnie z CRR. </w:t>
            </w:r>
          </w:p>
        </w:tc>
      </w:tr>
      <w:tr w:rsidR="00BF0637" w:rsidRPr="00AA1421" w:rsidTr="00672D2A">
        <w:tc>
          <w:tcPr>
            <w:tcW w:w="1188" w:type="dxa"/>
          </w:tcPr>
          <w:p w:rsidR="00BF0637" w:rsidRPr="00AA1421" w:rsidRDefault="00ED20CB" w:rsidP="00BF0637">
            <w:pPr>
              <w:rPr>
                <w:rFonts w:ascii="Times New Roman" w:hAnsi="Times New Roman"/>
                <w:sz w:val="24"/>
              </w:rPr>
            </w:pPr>
            <w:r w:rsidRPr="00AA1421">
              <w:rPr>
                <w:rFonts w:ascii="Times New Roman" w:hAnsi="Times New Roman"/>
                <w:sz w:val="24"/>
              </w:rPr>
              <w:t>0350</w:t>
            </w:r>
          </w:p>
        </w:tc>
        <w:tc>
          <w:tcPr>
            <w:tcW w:w="8640" w:type="dxa"/>
          </w:tcPr>
          <w:p w:rsidR="00BF0637" w:rsidRPr="00AA1421" w:rsidRDefault="00BF0637" w:rsidP="00BF0637">
            <w:pPr>
              <w:rPr>
                <w:rStyle w:val="InstructionsTabelleberschrift"/>
                <w:rFonts w:ascii="Times New Roman" w:hAnsi="Times New Roman"/>
                <w:b w:val="0"/>
                <w:sz w:val="24"/>
              </w:rPr>
            </w:pPr>
            <w:r w:rsidRPr="00AA1421">
              <w:rPr>
                <w:rStyle w:val="InstructionsTabelleberschrift"/>
                <w:rFonts w:ascii="Times New Roman" w:hAnsi="Times New Roman"/>
                <w:sz w:val="24"/>
              </w:rPr>
              <w:t>POZYCJA UZUPEŁNIAJĄCA: WARTOŚĆ FIRMY (-) / (+) UJEMNA WARTOŚĆ FIRMY</w:t>
            </w:r>
          </w:p>
        </w:tc>
      </w:tr>
      <w:tr w:rsidR="00BF0637" w:rsidRPr="00AA1421" w:rsidTr="00672D2A">
        <w:tc>
          <w:tcPr>
            <w:tcW w:w="1188" w:type="dxa"/>
          </w:tcPr>
          <w:p w:rsidR="00BF0637" w:rsidRPr="00AA1421" w:rsidRDefault="00ED20CB" w:rsidP="00BF0637">
            <w:pPr>
              <w:rPr>
                <w:rFonts w:ascii="Times New Roman" w:hAnsi="Times New Roman"/>
                <w:sz w:val="24"/>
              </w:rPr>
            </w:pPr>
            <w:r w:rsidRPr="00AA1421">
              <w:rPr>
                <w:rFonts w:ascii="Times New Roman" w:hAnsi="Times New Roman"/>
                <w:sz w:val="24"/>
              </w:rPr>
              <w:t>0360-0400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SKONSOLIDOWANE FUNDUSZE WŁASNE</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Art. 18 CRR</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Kwota, którą należy zgłosić jako „SKONSOLIDOWANE FUNDUSZE WŁASNE”, jest kwotą wynikającą z bilansu z wyłączeniem wszelkich funduszy wniesionych przez inne podmioty grupy.</w:t>
            </w:r>
          </w:p>
        </w:tc>
      </w:tr>
      <w:tr w:rsidR="00BF0637" w:rsidRPr="00AA1421" w:rsidTr="00672D2A">
        <w:tc>
          <w:tcPr>
            <w:tcW w:w="1188" w:type="dxa"/>
          </w:tcPr>
          <w:p w:rsidR="00BF0637" w:rsidRPr="00AA1421" w:rsidRDefault="00ED20CB" w:rsidP="00BF0637">
            <w:pPr>
              <w:rPr>
                <w:rFonts w:ascii="Times New Roman" w:hAnsi="Times New Roman"/>
                <w:sz w:val="24"/>
              </w:rPr>
            </w:pPr>
            <w:r w:rsidRPr="00AA1421">
              <w:rPr>
                <w:rFonts w:ascii="Times New Roman" w:hAnsi="Times New Roman"/>
                <w:sz w:val="24"/>
              </w:rPr>
              <w:t>0360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SKONSOLIDOWANE FUNDUSZE WŁASNE</w:t>
            </w:r>
          </w:p>
        </w:tc>
      </w:tr>
      <w:tr w:rsidR="00BF0637" w:rsidRPr="00AA1421" w:rsidTr="00672D2A">
        <w:tc>
          <w:tcPr>
            <w:tcW w:w="1188" w:type="dxa"/>
          </w:tcPr>
          <w:p w:rsidR="00BF0637" w:rsidRPr="00AA1421" w:rsidRDefault="00ED20CB" w:rsidP="00BF0637">
            <w:pPr>
              <w:rPr>
                <w:rFonts w:ascii="Times New Roman" w:hAnsi="Times New Roman"/>
                <w:sz w:val="24"/>
              </w:rPr>
            </w:pPr>
            <w:r w:rsidRPr="00AA1421">
              <w:rPr>
                <w:rFonts w:ascii="Times New Roman" w:hAnsi="Times New Roman"/>
                <w:sz w:val="24"/>
              </w:rPr>
              <w:t>0370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KAPITAŁ PODSTAWOWY TIER I</w:t>
            </w:r>
          </w:p>
        </w:tc>
      </w:tr>
      <w:tr w:rsidR="00BF0637" w:rsidRPr="00AA1421" w:rsidTr="00672D2A">
        <w:tc>
          <w:tcPr>
            <w:tcW w:w="1188" w:type="dxa"/>
          </w:tcPr>
          <w:p w:rsidR="00BF0637" w:rsidRPr="00AA1421" w:rsidDel="0081176B" w:rsidRDefault="00ED20CB" w:rsidP="00BF0637">
            <w:pPr>
              <w:rPr>
                <w:rFonts w:ascii="Times New Roman" w:hAnsi="Times New Roman"/>
                <w:sz w:val="24"/>
              </w:rPr>
            </w:pPr>
            <w:r w:rsidRPr="00AA1421">
              <w:rPr>
                <w:rFonts w:ascii="Times New Roman" w:hAnsi="Times New Roman"/>
                <w:sz w:val="24"/>
              </w:rPr>
              <w:t>0380</w:t>
            </w:r>
          </w:p>
        </w:tc>
        <w:tc>
          <w:tcPr>
            <w:tcW w:w="8640" w:type="dxa"/>
          </w:tcPr>
          <w:p w:rsidR="00BF0637" w:rsidRPr="00AA1421" w:rsidDel="0081176B"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KAPITAŁ DODATKOWY TIER I</w:t>
            </w:r>
          </w:p>
        </w:tc>
      </w:tr>
      <w:tr w:rsidR="00BF0637" w:rsidRPr="00AA1421" w:rsidTr="00672D2A">
        <w:tc>
          <w:tcPr>
            <w:tcW w:w="1188" w:type="dxa"/>
          </w:tcPr>
          <w:p w:rsidR="00BF0637" w:rsidRPr="00AA1421" w:rsidRDefault="00ED20CB" w:rsidP="00BF0637">
            <w:pPr>
              <w:rPr>
                <w:rFonts w:ascii="Times New Roman" w:hAnsi="Times New Roman"/>
                <w:sz w:val="24"/>
              </w:rPr>
            </w:pPr>
            <w:r w:rsidRPr="00AA1421">
              <w:rPr>
                <w:rFonts w:ascii="Times New Roman" w:hAnsi="Times New Roman"/>
                <w:sz w:val="24"/>
              </w:rPr>
              <w:t>0390</w:t>
            </w:r>
          </w:p>
        </w:tc>
        <w:tc>
          <w:tcPr>
            <w:tcW w:w="8640" w:type="dxa"/>
          </w:tcPr>
          <w:p w:rsidR="00BF0637" w:rsidRPr="00AA1421" w:rsidRDefault="00BF0637" w:rsidP="00BF0637">
            <w:pPr>
              <w:rPr>
                <w:rStyle w:val="InstructionsTabelleText"/>
                <w:rFonts w:ascii="Times New Roman" w:hAnsi="Times New Roman"/>
                <w:sz w:val="24"/>
              </w:rPr>
            </w:pPr>
            <w:r w:rsidRPr="00AA1421">
              <w:rPr>
                <w:rStyle w:val="InstructionsTabelleberschrift"/>
                <w:rFonts w:ascii="Times New Roman" w:hAnsi="Times New Roman"/>
                <w:sz w:val="24"/>
              </w:rPr>
              <w:t>W TYM: WKŁADY W WYNIK SKONSOLIDOWANY</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Zgłaszany jest wkład każdego podmiotu w wynik skonsolidowany (zysk lub strata (-)). Obejmuje to wyniki dotyczące udziałów mniejszości.</w:t>
            </w:r>
          </w:p>
        </w:tc>
      </w:tr>
      <w:tr w:rsidR="00BF0637" w:rsidRPr="00AA1421" w:rsidTr="00672D2A">
        <w:tc>
          <w:tcPr>
            <w:tcW w:w="1188" w:type="dxa"/>
          </w:tcPr>
          <w:p w:rsidR="00BF0637" w:rsidRPr="00AA1421" w:rsidRDefault="00ED20CB" w:rsidP="00BF0637">
            <w:pPr>
              <w:rPr>
                <w:rFonts w:ascii="Times New Roman" w:hAnsi="Times New Roman"/>
                <w:sz w:val="24"/>
              </w:rPr>
            </w:pPr>
            <w:r w:rsidRPr="00AA1421">
              <w:rPr>
                <w:rFonts w:ascii="Times New Roman" w:hAnsi="Times New Roman"/>
                <w:sz w:val="24"/>
              </w:rPr>
              <w:t>0400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 TYM: (-) WARTOŚĆ FIRMY / (+) UJEMNA WARTOŚĆ FIRMY</w:t>
            </w:r>
          </w:p>
          <w:p w:rsidR="00BF0637" w:rsidRPr="00AA1421" w:rsidRDefault="00BF0637" w:rsidP="00BF0637">
            <w:pPr>
              <w:rPr>
                <w:rStyle w:val="InstructionsTabelleberschrift"/>
                <w:rFonts w:ascii="Times New Roman" w:hAnsi="Times New Roman"/>
                <w:sz w:val="24"/>
              </w:rPr>
            </w:pPr>
            <w:r w:rsidRPr="00AA1421">
              <w:rPr>
                <w:rStyle w:val="InstructionsTabelleText"/>
                <w:rFonts w:ascii="Times New Roman" w:hAnsi="Times New Roman"/>
                <w:sz w:val="24"/>
              </w:rPr>
              <w:t>W tym miejscu podaje się wartość firmy lub ujemną wartość firmy jednostki sprawozdającej w odniesieniu do jednostki zależnej.</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lastRenderedPageBreak/>
              <w:t>0410-0480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BUFORY KAPITAŁOWE</w:t>
            </w:r>
          </w:p>
          <w:p w:rsidR="00BF0637" w:rsidRPr="00AA1421" w:rsidRDefault="00BF0637" w:rsidP="00BF0637">
            <w:pPr>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Struktura zgłaszania buforów kapitałowych dla wzoru GS jest zgodna z ogólną strukturą wzoru CA4 i oparta na tych samych koncepcjach sprawozdawczości. Przy zgłaszaniu buforów kapitałowych we wzorze GS odpowiednie kwoty zgłasza się zgodnie z przepisami mającymi zastosowanie do celów określenia wymogu kapitałowego dla grupy na zasadzie skonsolidowanej. W związku z tym zgłaszane kwoty buforów kapitałowych odpowiadają wkładom każdego podmiotu do buforów kapitałowych grupy. Zgłaszane kwoty opierają się na przepisach krajowych przyjętych w celu transpozycji CRD oraz na CRR, w tym na wszelkich określonych w nich przepisach przejściowych.</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0410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WYMÓG POŁĄCZONEGO BUFORA</w:t>
            </w:r>
          </w:p>
          <w:p w:rsidR="00BF0637" w:rsidRPr="00AA1421" w:rsidRDefault="00BF0637" w:rsidP="00BF0637">
            <w:pPr>
              <w:tabs>
                <w:tab w:val="left" w:pos="3510"/>
              </w:tabs>
              <w:rPr>
                <w:rStyle w:val="InstructionsTabelleberschrift"/>
                <w:rFonts w:ascii="Times New Roman" w:hAnsi="Times New Roman"/>
                <w:sz w:val="24"/>
              </w:rPr>
            </w:pPr>
            <w:r w:rsidRPr="00AA1421">
              <w:rPr>
                <w:rStyle w:val="InstructionsTabelleText"/>
                <w:rFonts w:ascii="Times New Roman" w:hAnsi="Times New Roman"/>
                <w:sz w:val="24"/>
              </w:rPr>
              <w:t xml:space="preserve">Art. 128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6</w:t>
            </w:r>
            <w:r w:rsidRPr="00AA1421">
              <w:rPr>
                <w:rStyle w:val="InstructionsTabelleText"/>
                <w:rFonts w:ascii="Times New Roman" w:hAnsi="Times New Roman"/>
                <w:sz w:val="24"/>
              </w:rPr>
              <w:t xml:space="preserve"> CRD</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0420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BUFOR ZABEZPIECZAJĄCY</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Art. 128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i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29 CRD</w:t>
            </w:r>
          </w:p>
          <w:p w:rsidR="00BF0637" w:rsidRPr="00AA1421" w:rsidRDefault="00BF0637" w:rsidP="00487A02">
            <w:pPr>
              <w:pStyle w:val="InstructionsText"/>
              <w:rPr>
                <w:rStyle w:val="InstructionsTabelleText"/>
                <w:rFonts w:ascii="Times New Roman" w:hAnsi="Times New Roman"/>
                <w:sz w:val="24"/>
              </w:rPr>
            </w:pPr>
            <w:r w:rsidRPr="00AA1421">
              <w:t xml:space="preserve">Zgodnie z </w:t>
            </w:r>
            <w:r w:rsidRPr="00084F66">
              <w:t>art.</w:t>
            </w:r>
            <w:r w:rsidR="00084F66" w:rsidRPr="00084F66">
              <w:t> </w:t>
            </w:r>
            <w:r w:rsidRPr="00084F66">
              <w:t>1</w:t>
            </w:r>
            <w:r w:rsidRPr="00AA1421">
              <w:t xml:space="preserve">29 </w:t>
            </w:r>
            <w:r w:rsidRPr="00084F66">
              <w:t>ust.</w:t>
            </w:r>
            <w:r w:rsidR="00084F66" w:rsidRPr="00084F66">
              <w:t> </w:t>
            </w:r>
            <w:r w:rsidRPr="00084F66">
              <w:t>1</w:t>
            </w:r>
            <w:r w:rsidRPr="00AA1421">
              <w:t xml:space="preserve"> CRD bufor zabezpieczający jest dodatkową kwotą kapitału podstawowego </w:t>
            </w:r>
            <w:proofErr w:type="spellStart"/>
            <w:r w:rsidRPr="00AA1421">
              <w:t>Tier</w:t>
            </w:r>
            <w:proofErr w:type="spellEnd"/>
            <w:r w:rsidRPr="00AA1421">
              <w:t xml:space="preserve"> I. Ze względu na fakt, że wynosząca 2,</w:t>
            </w:r>
            <w:r w:rsidRPr="00084F66">
              <w:t>5</w:t>
            </w:r>
            <w:r w:rsidR="00084F66" w:rsidRPr="00084F66">
              <w:t> </w:t>
            </w:r>
            <w:r w:rsidRPr="00084F66">
              <w:t>%</w:t>
            </w:r>
            <w:r w:rsidRPr="00AA1421">
              <w:t xml:space="preserve"> wartość bufora zabezpieczającego jest stała, kwotę zgłasza się w tej komórce.</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0430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SPECYFICZNY DLA INSTYTUCJI BUFOR ANTYCYKLICZNY</w:t>
            </w:r>
          </w:p>
          <w:p w:rsidR="00BF0637" w:rsidRPr="00AA1421" w:rsidRDefault="00BF0637" w:rsidP="00BF0637">
            <w:pPr>
              <w:rPr>
                <w:rStyle w:val="InstructionsTabelleText"/>
                <w:rFonts w:ascii="Times New Roman" w:hAnsi="Times New Roman"/>
                <w:sz w:val="24"/>
              </w:rPr>
            </w:pPr>
            <w:r w:rsidRPr="00AA1421">
              <w:rPr>
                <w:rStyle w:val="InstructionsTabelleText"/>
                <w:rFonts w:ascii="Times New Roman" w:hAnsi="Times New Roman"/>
                <w:sz w:val="24"/>
              </w:rPr>
              <w:t xml:space="preserve">Art. 128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30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35–140 CRD</w:t>
            </w:r>
          </w:p>
          <w:p w:rsidR="00BF0637" w:rsidRPr="00AA1421" w:rsidRDefault="001B43BD" w:rsidP="00487A02">
            <w:pPr>
              <w:pStyle w:val="InstructionsText"/>
              <w:rPr>
                <w:rStyle w:val="InstructionsTabelleText"/>
                <w:rFonts w:ascii="Times New Roman" w:hAnsi="Times New Roman"/>
                <w:sz w:val="24"/>
              </w:rPr>
            </w:pPr>
            <w:r w:rsidRPr="00AA1421">
              <w:t>W tej komórce zgłasza się konkretną kwotę bufora antycyklicznego.</w:t>
            </w:r>
          </w:p>
        </w:tc>
      </w:tr>
      <w:tr w:rsidR="00BF0637" w:rsidRPr="00AA1421" w:rsidTr="00672D2A">
        <w:tc>
          <w:tcPr>
            <w:tcW w:w="1188" w:type="dxa"/>
          </w:tcPr>
          <w:p w:rsidR="00BF0637" w:rsidRPr="00AA1421" w:rsidDel="00D70027"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0440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BUFOR ZABEZPIECZAJĄCY WYNIKAJĄCY Z RYZYKA MAKROOSTROŻNOŚCIOWEGO LUB RYZYKA SYSTEMOWEGO ZIDENTYFIKOWANEGO NA POZIOMIE PAŃSTWA CZŁONKOWSKIEGO</w:t>
            </w:r>
          </w:p>
          <w:p w:rsidR="00BF0637" w:rsidRPr="00AA1421" w:rsidRDefault="00BF0637" w:rsidP="00BF0637">
            <w:pPr>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458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d)</w:t>
            </w:r>
            <w:r w:rsidRPr="00AA1421">
              <w:rPr>
                <w:rStyle w:val="InstructionsTabelleberschrift"/>
                <w:rFonts w:ascii="Times New Roman" w:hAnsi="Times New Roman"/>
                <w:b w:val="0"/>
                <w:sz w:val="24"/>
                <w:u w:val="none"/>
              </w:rPr>
              <w:t xml:space="preserve"> </w:t>
            </w:r>
            <w:proofErr w:type="spellStart"/>
            <w:r w:rsidRPr="00AA1421">
              <w:rPr>
                <w:rStyle w:val="InstructionsTabelleberschrift"/>
                <w:rFonts w:ascii="Times New Roman" w:hAnsi="Times New Roman"/>
                <w:b w:val="0"/>
                <w:sz w:val="24"/>
                <w:u w:val="none"/>
              </w:rPr>
              <w:t>ppkt</w:t>
            </w:r>
            <w:proofErr w:type="spellEnd"/>
            <w:r w:rsidRPr="00AA1421">
              <w:rPr>
                <w:rStyle w:val="InstructionsTabelleberschrift"/>
                <w:rFonts w:ascii="Times New Roman" w:hAnsi="Times New Roman"/>
                <w:b w:val="0"/>
                <w:sz w:val="24"/>
                <w:u w:val="none"/>
              </w:rPr>
              <w:t xml:space="preserve"> (iv) CRR</w:t>
            </w:r>
          </w:p>
          <w:p w:rsidR="00BF0637" w:rsidRPr="00AA1421" w:rsidRDefault="001B43BD" w:rsidP="00487A02">
            <w:pPr>
              <w:pStyle w:val="InstructionsText"/>
              <w:rPr>
                <w:rStyle w:val="InstructionsTabelleberschrift"/>
                <w:rFonts w:ascii="Times New Roman" w:hAnsi="Times New Roman"/>
                <w:sz w:val="24"/>
              </w:rPr>
            </w:pPr>
            <w:r w:rsidRPr="00AA1421">
              <w:t xml:space="preserve">W tej komórce zgłasza się kwotę bufora zabezpieczającego wynikającego z ryzyka </w:t>
            </w:r>
            <w:proofErr w:type="spellStart"/>
            <w:r w:rsidRPr="00AA1421">
              <w:t>makroostrożnościowego</w:t>
            </w:r>
            <w:proofErr w:type="spellEnd"/>
            <w:r w:rsidRPr="00AA1421">
              <w:t xml:space="preserve"> lub ryzyka systemowego zidentyfikowanego na poziomie państwa członkowskiego, która może być wymagana zgodnie z </w:t>
            </w:r>
            <w:r w:rsidRPr="00084F66">
              <w:t>art.</w:t>
            </w:r>
            <w:r w:rsidR="00084F66" w:rsidRPr="00084F66">
              <w:t> </w:t>
            </w:r>
            <w:r w:rsidRPr="00084F66">
              <w:t>4</w:t>
            </w:r>
            <w:r w:rsidRPr="00AA1421">
              <w:t>58 CRR poza buforem zabezpieczającym.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0450</w:t>
            </w:r>
          </w:p>
        </w:tc>
        <w:tc>
          <w:tcPr>
            <w:tcW w:w="8640" w:type="dxa"/>
          </w:tcPr>
          <w:p w:rsidR="00BF0637" w:rsidRPr="00AA1421" w:rsidRDefault="00BF0637" w:rsidP="00BF0637">
            <w:pPr>
              <w:rPr>
                <w:rStyle w:val="InstructionsTabelleberschrift"/>
                <w:rFonts w:ascii="Times New Roman" w:hAnsi="Times New Roman"/>
                <w:sz w:val="24"/>
              </w:rPr>
            </w:pPr>
            <w:r w:rsidRPr="00AA1421">
              <w:rPr>
                <w:rStyle w:val="InstructionsTabelleberschrift"/>
                <w:rFonts w:ascii="Times New Roman" w:hAnsi="Times New Roman"/>
                <w:sz w:val="24"/>
              </w:rPr>
              <w:t>BUFOR RYZYKA SYSTEMOWEGO</w:t>
            </w:r>
          </w:p>
          <w:p w:rsidR="00BF0637" w:rsidRPr="00AA1421" w:rsidRDefault="00BF0637" w:rsidP="00487A02">
            <w:pPr>
              <w:pStyle w:val="InstructionsText"/>
            </w:pPr>
            <w:r w:rsidRPr="00AA1421">
              <w:t xml:space="preserve">Art. 128 </w:t>
            </w:r>
            <w:r w:rsidRPr="00084F66">
              <w:t>pkt</w:t>
            </w:r>
            <w:r w:rsidR="00084F66" w:rsidRPr="00084F66">
              <w:t> </w:t>
            </w:r>
            <w:r w:rsidRPr="00084F66">
              <w:t>5</w:t>
            </w:r>
            <w:r w:rsidRPr="00AA1421">
              <w:t xml:space="preserve"> oraz </w:t>
            </w:r>
            <w:r w:rsidRPr="00084F66">
              <w:t>art.</w:t>
            </w:r>
            <w:r w:rsidR="00084F66" w:rsidRPr="00084F66">
              <w:t> </w:t>
            </w:r>
            <w:r w:rsidRPr="00084F66">
              <w:t>1</w:t>
            </w:r>
            <w:r w:rsidRPr="00AA1421">
              <w:t xml:space="preserve">33 i </w:t>
            </w:r>
            <w:r w:rsidRPr="00084F66">
              <w:t>art.</w:t>
            </w:r>
            <w:r w:rsidR="00084F66" w:rsidRPr="00084F66">
              <w:t> </w:t>
            </w:r>
            <w:r w:rsidRPr="00084F66">
              <w:t>1</w:t>
            </w:r>
            <w:r w:rsidRPr="00AA1421">
              <w:t xml:space="preserve">34 CRD </w:t>
            </w:r>
          </w:p>
          <w:p w:rsidR="00BF0637" w:rsidRPr="00AA1421" w:rsidRDefault="001B43BD" w:rsidP="001B43BD">
            <w:pPr>
              <w:rPr>
                <w:rStyle w:val="InstructionsTabelleberschrift"/>
                <w:rFonts w:ascii="Times New Roman" w:hAnsi="Times New Roman"/>
                <w:sz w:val="24"/>
              </w:rPr>
            </w:pPr>
            <w:r w:rsidRPr="00AA1421">
              <w:rPr>
                <w:rFonts w:ascii="Times New Roman" w:hAnsi="Times New Roman"/>
                <w:sz w:val="24"/>
              </w:rPr>
              <w:t>W tej komórce zgłasza się kwotę bufora ryzyka systemowego.</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0470</w:t>
            </w:r>
          </w:p>
        </w:tc>
        <w:tc>
          <w:tcPr>
            <w:tcW w:w="8640" w:type="dxa"/>
          </w:tcPr>
          <w:p w:rsidR="00BF0637" w:rsidRPr="00AA1421" w:rsidRDefault="00BF0637" w:rsidP="00BF0637">
            <w:pPr>
              <w:tabs>
                <w:tab w:val="left" w:pos="6660"/>
              </w:tabs>
              <w:rPr>
                <w:rStyle w:val="InstructionsTabelleberschrift"/>
                <w:rFonts w:ascii="Times New Roman" w:hAnsi="Times New Roman"/>
                <w:sz w:val="24"/>
              </w:rPr>
            </w:pPr>
            <w:r w:rsidRPr="00AA1421">
              <w:rPr>
                <w:rStyle w:val="InstructionsTabelleberschrift"/>
                <w:rFonts w:ascii="Times New Roman" w:hAnsi="Times New Roman"/>
                <w:sz w:val="24"/>
              </w:rPr>
              <w:t>BUFOR GLOBALNYCH INSTYTUCJI O ZNACZENIU SYSTEMOWYM</w:t>
            </w:r>
            <w:r w:rsidRPr="00AA1421">
              <w:tab/>
            </w:r>
          </w:p>
          <w:p w:rsidR="00BF0637" w:rsidRPr="00AA1421" w:rsidRDefault="00BF0637" w:rsidP="00487A02">
            <w:pPr>
              <w:pStyle w:val="InstructionsTex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128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i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31 CRD</w:t>
            </w:r>
          </w:p>
          <w:p w:rsidR="00BF0637" w:rsidRPr="00AA1421" w:rsidRDefault="001B43BD" w:rsidP="00487A02">
            <w:pPr>
              <w:pStyle w:val="InstructionsText"/>
              <w:rPr>
                <w:rStyle w:val="InstructionsTabelleberschrift"/>
                <w:rFonts w:ascii="Times New Roman" w:hAnsi="Times New Roman"/>
                <w:sz w:val="24"/>
              </w:rPr>
            </w:pPr>
            <w:r w:rsidRPr="00AA1421">
              <w:t>W tej komórce zgłasza się kwotę bufora globalnych instytucji o znaczeniu systemowym.</w:t>
            </w:r>
          </w:p>
        </w:tc>
      </w:tr>
      <w:tr w:rsidR="00BF0637" w:rsidRPr="00AA1421" w:rsidTr="00672D2A">
        <w:tc>
          <w:tcPr>
            <w:tcW w:w="1188" w:type="dxa"/>
          </w:tcPr>
          <w:p w:rsidR="00BF0637" w:rsidRPr="00AA1421" w:rsidRDefault="00ED20CB" w:rsidP="00BF0637">
            <w:pPr>
              <w:rPr>
                <w:rStyle w:val="InstructionsTabelleText"/>
                <w:rFonts w:ascii="Times New Roman" w:hAnsi="Times New Roman"/>
                <w:sz w:val="24"/>
              </w:rPr>
            </w:pPr>
            <w:r w:rsidRPr="00AA1421">
              <w:rPr>
                <w:rStyle w:val="InstructionsTabelleText"/>
                <w:rFonts w:ascii="Times New Roman" w:hAnsi="Times New Roman"/>
                <w:sz w:val="24"/>
              </w:rPr>
              <w:t>0480</w:t>
            </w:r>
          </w:p>
        </w:tc>
        <w:tc>
          <w:tcPr>
            <w:tcW w:w="8640" w:type="dxa"/>
          </w:tcPr>
          <w:p w:rsidR="00BF0637" w:rsidRPr="00AA1421" w:rsidRDefault="00BF0637" w:rsidP="00BF0637">
            <w:pPr>
              <w:tabs>
                <w:tab w:val="left" w:pos="6315"/>
              </w:tabs>
              <w:rPr>
                <w:rStyle w:val="InstructionsTabelleberschrift"/>
                <w:rFonts w:ascii="Times New Roman" w:hAnsi="Times New Roman"/>
                <w:sz w:val="24"/>
              </w:rPr>
            </w:pPr>
            <w:r w:rsidRPr="00AA1421">
              <w:rPr>
                <w:rStyle w:val="InstructionsTabelleberschrift"/>
                <w:rFonts w:ascii="Times New Roman" w:hAnsi="Times New Roman"/>
                <w:sz w:val="24"/>
              </w:rPr>
              <w:t>BUFOR INNYCH INSTYTUCJI O ZNACZENIU SYSTEMOWYM</w:t>
            </w:r>
            <w:r w:rsidRPr="00AA1421">
              <w:tab/>
            </w:r>
          </w:p>
          <w:p w:rsidR="00BF0637" w:rsidRPr="00AA1421" w:rsidRDefault="00BF0637" w:rsidP="00487A02">
            <w:pPr>
              <w:pStyle w:val="InstructionsText"/>
            </w:pPr>
            <w:r w:rsidRPr="00AA1421">
              <w:t xml:space="preserve">Art. 128 </w:t>
            </w:r>
            <w:r w:rsidRPr="00084F66">
              <w:t>pkt</w:t>
            </w:r>
            <w:r w:rsidR="00084F66" w:rsidRPr="00084F66">
              <w:t> </w:t>
            </w:r>
            <w:r w:rsidRPr="00084F66">
              <w:t>4</w:t>
            </w:r>
            <w:r w:rsidRPr="00AA1421">
              <w:t xml:space="preserve"> i </w:t>
            </w:r>
            <w:r w:rsidRPr="00084F66">
              <w:t>art.</w:t>
            </w:r>
            <w:r w:rsidR="00084F66" w:rsidRPr="00084F66">
              <w:t> </w:t>
            </w:r>
            <w:r w:rsidRPr="00084F66">
              <w:t>1</w:t>
            </w:r>
            <w:r w:rsidRPr="00AA1421">
              <w:t>31 CRD</w:t>
            </w:r>
          </w:p>
          <w:p w:rsidR="00BF0637" w:rsidRPr="00AA1421" w:rsidRDefault="001B43BD" w:rsidP="00487A02">
            <w:pPr>
              <w:pStyle w:val="InstructionsText"/>
              <w:rPr>
                <w:rStyle w:val="InstructionsTabelleberschrift"/>
                <w:rFonts w:ascii="Times New Roman" w:hAnsi="Times New Roman"/>
                <w:sz w:val="24"/>
              </w:rPr>
            </w:pPr>
            <w:r w:rsidRPr="00AA1421">
              <w:t>W tej komórce zgłasza się kwotę bufora innych instytucji o znaczeniu systemowym.</w:t>
            </w:r>
          </w:p>
        </w:tc>
      </w:tr>
    </w:tbl>
    <w:p w:rsidR="00FC1030" w:rsidRPr="00AA1421" w:rsidRDefault="00FC1030" w:rsidP="00487A02">
      <w:pPr>
        <w:pStyle w:val="InstructionsText"/>
      </w:pPr>
    </w:p>
    <w:p w:rsidR="00464F34" w:rsidRPr="00AA1421"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403618"/>
      <w:r w:rsidRPr="00AA1421">
        <w:rPr>
          <w:rFonts w:ascii="Times New Roman" w:hAnsi="Times New Roman"/>
          <w:sz w:val="24"/>
          <w:u w:val="none"/>
        </w:rPr>
        <w:lastRenderedPageBreak/>
        <w:t>3.</w:t>
      </w:r>
      <w:r w:rsidR="00D712CF" w:rsidRPr="00AA1421">
        <w:rPr>
          <w:u w:val="none"/>
        </w:rPr>
        <w:tab/>
      </w:r>
      <w:r w:rsidRPr="00AA1421">
        <w:rPr>
          <w:rFonts w:ascii="Times New Roman" w:hAnsi="Times New Roman"/>
          <w:sz w:val="24"/>
        </w:rPr>
        <w:t>Wzory dotyczące ryzyka kredytowego</w:t>
      </w:r>
      <w:bookmarkEnd w:id="116"/>
      <w:bookmarkEnd w:id="117"/>
      <w:bookmarkEnd w:id="118"/>
      <w:bookmarkEnd w:id="119"/>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58403619"/>
      <w:bookmarkStart w:id="123" w:name="_Toc262568022"/>
      <w:bookmarkStart w:id="124" w:name="_Toc295829848"/>
      <w:bookmarkStart w:id="125" w:name="_Toc310415014"/>
      <w:r w:rsidRPr="00AA1421">
        <w:rPr>
          <w:rFonts w:ascii="Times New Roman" w:hAnsi="Times New Roman"/>
          <w:sz w:val="24"/>
          <w:u w:val="none"/>
        </w:rPr>
        <w:t>3.1.</w:t>
      </w:r>
      <w:r w:rsidR="00D712CF" w:rsidRPr="00AA1421">
        <w:rPr>
          <w:u w:val="none"/>
        </w:rPr>
        <w:tab/>
      </w:r>
      <w:r w:rsidRPr="00AA1421">
        <w:rPr>
          <w:rFonts w:ascii="Times New Roman" w:hAnsi="Times New Roman"/>
          <w:sz w:val="24"/>
        </w:rPr>
        <w:t>Uwagi ogólne</w:t>
      </w:r>
      <w:bookmarkEnd w:id="120"/>
      <w:bookmarkEnd w:id="121"/>
      <w:bookmarkEnd w:id="122"/>
      <w:r w:rsidRPr="00AA1421">
        <w:rPr>
          <w:rFonts w:ascii="Times New Roman" w:hAnsi="Times New Roman"/>
          <w:sz w:val="24"/>
        </w:rPr>
        <w:t xml:space="preserve"> </w:t>
      </w:r>
      <w:bookmarkEnd w:id="123"/>
      <w:bookmarkEnd w:id="124"/>
      <w:bookmarkEnd w:id="125"/>
    </w:p>
    <w:p w:rsidR="00464F34" w:rsidRPr="00AA1421" w:rsidRDefault="00AA1421" w:rsidP="00487A02">
      <w:pPr>
        <w:pStyle w:val="InstructionsText2"/>
        <w:numPr>
          <w:ilvl w:val="0"/>
          <w:numId w:val="0"/>
        </w:numPr>
        <w:ind w:left="1353" w:hanging="360"/>
      </w:pPr>
      <w:fldSimple w:instr=" seq paragraphs ">
        <w:r w:rsidR="00D11E4C" w:rsidRPr="00AA1421">
          <w:rPr>
            <w:noProof/>
          </w:rPr>
          <w:t>39</w:t>
        </w:r>
      </w:fldSimple>
      <w:r w:rsidR="00D11E4C" w:rsidRPr="00AA1421">
        <w:t>.</w:t>
      </w:r>
      <w:r w:rsidR="00D11E4C" w:rsidRPr="00AA1421">
        <w:tab/>
        <w:t xml:space="preserve">W odniesieniu do ryzyka kredytowego według metody standardowej i metody IRB istnieją różne zestawy wzorów. Ponadto zgłaszane są osobne wzory na potrzeby podziału pod względem geograficznym pozycji podlegających ryzyku kredytowemu, jeśli przekroczony jest odpowiedni próg określony w </w:t>
      </w:r>
      <w:r w:rsidR="00D11E4C" w:rsidRPr="00084F66">
        <w:t>art.</w:t>
      </w:r>
      <w:r w:rsidR="00084F66" w:rsidRPr="00084F66">
        <w:t> </w:t>
      </w:r>
      <w:r w:rsidR="00D11E4C" w:rsidRPr="00084F66">
        <w:t>5</w:t>
      </w:r>
      <w:r w:rsidR="00D11E4C" w:rsidRPr="00AA1421">
        <w:t xml:space="preserve"> </w:t>
      </w:r>
      <w:r w:rsidR="00D11E4C" w:rsidRPr="00084F66">
        <w:t>ust.</w:t>
      </w:r>
      <w:r w:rsidR="00084F66" w:rsidRPr="00084F66">
        <w:t> </w:t>
      </w:r>
      <w:r w:rsidR="00D11E4C" w:rsidRPr="00084F66">
        <w:t>5</w:t>
      </w:r>
      <w:r w:rsidR="00D11E4C" w:rsidRPr="00AA1421">
        <w:t xml:space="preserve"> niniejszego rozporządzenia wykonawczego. </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403620"/>
      <w:r w:rsidRPr="00AA1421">
        <w:rPr>
          <w:rFonts w:ascii="Times New Roman" w:hAnsi="Times New Roman"/>
          <w:sz w:val="24"/>
          <w:u w:val="none"/>
        </w:rPr>
        <w:t>3.1.1.</w:t>
      </w:r>
      <w:r w:rsidR="00D712CF" w:rsidRPr="00AA1421">
        <w:rPr>
          <w:u w:val="none"/>
        </w:rPr>
        <w:tab/>
      </w:r>
      <w:r w:rsidRPr="00AA1421">
        <w:rPr>
          <w:rFonts w:ascii="Times New Roman" w:hAnsi="Times New Roman"/>
          <w:sz w:val="24"/>
        </w:rPr>
        <w:t>Sprawozdawczość w zakresie technik ograniczania ryzyka kredytowego z uwzględnieniem efektów substytucyjnych</w:t>
      </w:r>
      <w:bookmarkEnd w:id="126"/>
      <w:bookmarkEnd w:id="127"/>
      <w:bookmarkEnd w:id="128"/>
      <w:bookmarkEnd w:id="129"/>
      <w:bookmarkEnd w:id="130"/>
      <w:bookmarkEnd w:id="131"/>
    </w:p>
    <w:p w:rsidR="00464F34" w:rsidRPr="00AA1421" w:rsidRDefault="00AA1421" w:rsidP="00487A02">
      <w:pPr>
        <w:pStyle w:val="InstructionsText2"/>
        <w:numPr>
          <w:ilvl w:val="0"/>
          <w:numId w:val="0"/>
        </w:numPr>
        <w:ind w:left="1353" w:hanging="360"/>
      </w:pPr>
      <w:fldSimple w:instr=" seq paragraphs ">
        <w:r w:rsidR="00D11E4C" w:rsidRPr="00AA1421">
          <w:rPr>
            <w:noProof/>
          </w:rPr>
          <w:t>40</w:t>
        </w:r>
      </w:fldSimple>
      <w:r w:rsidR="00D11E4C" w:rsidRPr="00AA1421">
        <w:t>.</w:t>
      </w:r>
      <w:r w:rsidR="00D11E4C" w:rsidRPr="00AA1421">
        <w:tab/>
        <w:t>Ekspozycje wobec dłużników (bezpośrednich kontrahentów) oraz gwarantów, które to ekspozycje zaklasyfikowane są do tej samej kategorii ekspozycji, zgłasza się w odniesieniu do wpływów i wypływów dotyczących tej samej kategorii ekspozycji.</w:t>
      </w:r>
    </w:p>
    <w:p w:rsidR="00464F34" w:rsidRPr="00AA1421" w:rsidRDefault="00AA1421" w:rsidP="00487A02">
      <w:pPr>
        <w:pStyle w:val="InstructionsText2"/>
        <w:numPr>
          <w:ilvl w:val="0"/>
          <w:numId w:val="0"/>
        </w:numPr>
        <w:ind w:left="1353" w:hanging="360"/>
      </w:pPr>
      <w:fldSimple w:instr=" seq paragraphs ">
        <w:r w:rsidR="00D11E4C" w:rsidRPr="00AA1421">
          <w:rPr>
            <w:noProof/>
          </w:rPr>
          <w:t>41</w:t>
        </w:r>
      </w:fldSimple>
      <w:r w:rsidR="00D11E4C" w:rsidRPr="00AA1421">
        <w:t>.</w:t>
      </w:r>
      <w:r w:rsidR="00D11E4C" w:rsidRPr="00AA1421">
        <w:tab/>
        <w:t>Rodzaj ekspozycji nie ulega zmianie z powodu ochrony kredytowej nierzeczywistej.</w:t>
      </w:r>
    </w:p>
    <w:p w:rsidR="00464F34" w:rsidRPr="00AA1421" w:rsidRDefault="00AA1421" w:rsidP="00487A02">
      <w:pPr>
        <w:pStyle w:val="InstructionsText2"/>
        <w:numPr>
          <w:ilvl w:val="0"/>
          <w:numId w:val="0"/>
        </w:numPr>
        <w:ind w:left="1353" w:hanging="360"/>
      </w:pPr>
      <w:fldSimple w:instr=" seq paragraphs ">
        <w:r w:rsidR="00D11E4C" w:rsidRPr="00AA1421">
          <w:rPr>
            <w:noProof/>
          </w:rPr>
          <w:t>42</w:t>
        </w:r>
      </w:fldSimple>
      <w:r w:rsidR="00D11E4C" w:rsidRPr="00AA1421">
        <w:t>.</w:t>
      </w:r>
      <w:r w:rsidR="00D11E4C" w:rsidRPr="00AA1421">
        <w:tab/>
        <w:t>Jeżeli ekspozycja jest zabezpieczona poprzez ochronę kredytową nierzeczywistą, zabezpieczona część jest przypisywana jako wypływ np. w kategorii ekspozycji dłużnika oraz jako wpływ w kategorii ekspozycji gwaranta. Rodzaj ekspozycji nie ulega jednak zmianie wskutek zmiany kategorii ekspozycji.</w:t>
      </w:r>
    </w:p>
    <w:p w:rsidR="00464F34" w:rsidRPr="00AA1421" w:rsidRDefault="00AA1421" w:rsidP="00487A02">
      <w:pPr>
        <w:pStyle w:val="InstructionsText2"/>
        <w:numPr>
          <w:ilvl w:val="0"/>
          <w:numId w:val="0"/>
        </w:numPr>
        <w:ind w:left="1353" w:hanging="360"/>
      </w:pPr>
      <w:fldSimple w:instr=" seq paragraphs ">
        <w:r w:rsidR="00D11E4C" w:rsidRPr="00AA1421">
          <w:rPr>
            <w:noProof/>
          </w:rPr>
          <w:t>43</w:t>
        </w:r>
      </w:fldSimple>
      <w:r w:rsidR="00D11E4C" w:rsidRPr="00AA1421">
        <w:t>.</w:t>
      </w:r>
      <w:r w:rsidR="00D11E4C" w:rsidRPr="00AA1421">
        <w:tab/>
        <w:t xml:space="preserve">Efekt substytucyjny w ramach sprawozdawczości COREP odzwierciedla traktowanie ważenia ryzykiem mające skuteczne zastosowanie do zabezpieczonej części ekspozycji. W rezultacie zabezpieczona część ekspozycji jest ważona ryzykiem według metody standardowej i zgłaszana we wzorze CR SA. </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403621"/>
      <w:r w:rsidRPr="00AA1421">
        <w:rPr>
          <w:rFonts w:ascii="Times New Roman" w:hAnsi="Times New Roman"/>
          <w:sz w:val="24"/>
          <w:u w:val="none"/>
        </w:rPr>
        <w:t>3.1.2.</w:t>
      </w:r>
      <w:r w:rsidR="00D712CF" w:rsidRPr="00AA1421">
        <w:rPr>
          <w:u w:val="none"/>
        </w:rPr>
        <w:tab/>
      </w:r>
      <w:r w:rsidRPr="00AA1421">
        <w:rPr>
          <w:rFonts w:ascii="Times New Roman" w:hAnsi="Times New Roman"/>
          <w:sz w:val="24"/>
        </w:rPr>
        <w:t>Sprawozdawczość w zakresie ryzyka kredytowego kontrahenta</w:t>
      </w:r>
      <w:bookmarkEnd w:id="132"/>
      <w:bookmarkEnd w:id="133"/>
      <w:bookmarkEnd w:id="134"/>
      <w:bookmarkEnd w:id="135"/>
      <w:bookmarkEnd w:id="136"/>
      <w:bookmarkEnd w:id="137"/>
    </w:p>
    <w:p w:rsidR="00464F34" w:rsidRPr="00AA1421" w:rsidRDefault="00AA1421" w:rsidP="00487A02">
      <w:pPr>
        <w:pStyle w:val="InstructionsText2"/>
        <w:numPr>
          <w:ilvl w:val="0"/>
          <w:numId w:val="0"/>
        </w:numPr>
        <w:ind w:left="1353" w:hanging="360"/>
      </w:pPr>
      <w:fldSimple w:instr=" seq paragraphs ">
        <w:r w:rsidR="00D11E4C" w:rsidRPr="00AA1421">
          <w:rPr>
            <w:noProof/>
          </w:rPr>
          <w:t>44</w:t>
        </w:r>
      </w:fldSimple>
      <w:r w:rsidR="00D11E4C" w:rsidRPr="00AA1421">
        <w:t>.</w:t>
      </w:r>
      <w:r w:rsidR="00D11E4C" w:rsidRPr="00AA1421">
        <w:tab/>
        <w:t xml:space="preserve">Pozycje dotyczące ekspozycji wynikających z ryzyka kredytowego kontrahenta zgłasza się we wzorach CR SA lub CR IRB niezależne od tego, czy są one pozycjami portfela bankowego czy portfela handlowego. </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403622"/>
      <w:r w:rsidRPr="00AA1421">
        <w:rPr>
          <w:rFonts w:ascii="Times New Roman" w:hAnsi="Times New Roman"/>
          <w:sz w:val="24"/>
          <w:u w:val="none"/>
        </w:rPr>
        <w:t>3.2.</w:t>
      </w:r>
      <w:r w:rsidR="00D712CF" w:rsidRPr="00AA1421">
        <w:rPr>
          <w:u w:val="none"/>
        </w:rPr>
        <w:tab/>
      </w:r>
      <w:r w:rsidRPr="00AA1421">
        <w:rPr>
          <w:rFonts w:ascii="Times New Roman" w:hAnsi="Times New Roman"/>
          <w:sz w:val="24"/>
        </w:rPr>
        <w:t xml:space="preserve">C 07.00 – Ryzyko kredytowe i ryzyko kredytowe kontrahenta oraz dostawy z późniejszym terminem rozliczenia: </w:t>
      </w:r>
      <w:bookmarkStart w:id="143" w:name="_Toc292456202"/>
      <w:r w:rsidRPr="00AA1421">
        <w:rPr>
          <w:rFonts w:ascii="Times New Roman" w:hAnsi="Times New Roman"/>
          <w:sz w:val="24"/>
        </w:rPr>
        <w:t>Wymogi kapitałowe według metody standardowej</w:t>
      </w:r>
      <w:bookmarkEnd w:id="143"/>
      <w:r w:rsidRPr="00AA1421">
        <w:t xml:space="preserve"> </w:t>
      </w:r>
      <w:bookmarkEnd w:id="138"/>
      <w:bookmarkEnd w:id="139"/>
      <w:bookmarkEnd w:id="140"/>
      <w:r w:rsidRPr="00AA1421">
        <w:rPr>
          <w:rFonts w:ascii="Times New Roman" w:hAnsi="Times New Roman"/>
          <w:sz w:val="24"/>
        </w:rPr>
        <w:t>(CR SA)</w:t>
      </w:r>
      <w:bookmarkEnd w:id="141"/>
      <w:bookmarkEnd w:id="142"/>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403623"/>
      <w:r w:rsidRPr="00AA1421">
        <w:rPr>
          <w:rFonts w:ascii="Times New Roman" w:hAnsi="Times New Roman"/>
          <w:sz w:val="24"/>
          <w:u w:val="none"/>
        </w:rPr>
        <w:t>3.2.1.</w:t>
      </w:r>
      <w:r w:rsidR="00D712CF" w:rsidRPr="00AA1421">
        <w:rPr>
          <w:u w:val="none"/>
        </w:rPr>
        <w:tab/>
      </w:r>
      <w:r w:rsidRPr="00AA1421">
        <w:rPr>
          <w:rFonts w:ascii="Times New Roman" w:hAnsi="Times New Roman"/>
          <w:sz w:val="24"/>
        </w:rPr>
        <w:t>Uwagi ogólne</w:t>
      </w:r>
      <w:bookmarkEnd w:id="144"/>
      <w:bookmarkEnd w:id="145"/>
      <w:bookmarkEnd w:id="146"/>
      <w:bookmarkEnd w:id="147"/>
      <w:bookmarkEnd w:id="148"/>
      <w:bookmarkEnd w:id="149"/>
      <w:bookmarkEnd w:id="150"/>
      <w:bookmarkEnd w:id="151"/>
    </w:p>
    <w:p w:rsidR="00464F34" w:rsidRPr="00AA1421" w:rsidRDefault="00AA1421" w:rsidP="00487A02">
      <w:pPr>
        <w:pStyle w:val="InstructionsText2"/>
        <w:numPr>
          <w:ilvl w:val="0"/>
          <w:numId w:val="0"/>
        </w:numPr>
        <w:ind w:left="1353" w:hanging="360"/>
      </w:pPr>
      <w:fldSimple w:instr=" seq paragraphs ">
        <w:r w:rsidR="00D11E4C" w:rsidRPr="00AA1421">
          <w:rPr>
            <w:noProof/>
          </w:rPr>
          <w:t>45</w:t>
        </w:r>
      </w:fldSimple>
      <w:r w:rsidR="00D11E4C" w:rsidRPr="00AA1421">
        <w:t>.</w:t>
      </w:r>
      <w:r w:rsidR="00D11E4C" w:rsidRPr="00AA1421">
        <w:tab/>
        <w:t>Wzory CR SA dostarczają niezbędnych informacji na temat obliczania wymogów w zakresie funduszy własnych z tytułu ryzyka kredytowego według metody standardowej. W szczególności zawierają szczegółowe informacje o:</w:t>
      </w:r>
    </w:p>
    <w:p w:rsidR="00464F34" w:rsidRPr="00AA1421" w:rsidRDefault="00125707" w:rsidP="00487A02">
      <w:pPr>
        <w:pStyle w:val="InstructionsText2"/>
        <w:numPr>
          <w:ilvl w:val="0"/>
          <w:numId w:val="0"/>
        </w:numPr>
        <w:ind w:left="1353" w:hanging="360"/>
      </w:pPr>
      <w:r w:rsidRPr="00AA1421">
        <w:t>a)</w:t>
      </w:r>
      <w:r w:rsidRPr="00AA1421">
        <w:tab/>
        <w:t>podziale wartości ekspozycji według różnych rodzajów ekspozycji, wag ryzyka i kategorii ekspozycji;</w:t>
      </w:r>
    </w:p>
    <w:p w:rsidR="00464F34" w:rsidRPr="00AA1421" w:rsidRDefault="00125707" w:rsidP="00487A02">
      <w:pPr>
        <w:pStyle w:val="InstructionsText2"/>
        <w:numPr>
          <w:ilvl w:val="0"/>
          <w:numId w:val="0"/>
        </w:numPr>
        <w:ind w:left="1353" w:hanging="360"/>
      </w:pPr>
      <w:r w:rsidRPr="00AA1421">
        <w:t>b)</w:t>
      </w:r>
      <w:r w:rsidRPr="00AA1421">
        <w:tab/>
        <w:t xml:space="preserve">kwocie i rodzaju technik ograniczania ryzyka kredytowego zastosowanych w celu zmniejszenia ryzyka. </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403624"/>
      <w:r w:rsidRPr="00AA1421">
        <w:rPr>
          <w:rFonts w:ascii="Times New Roman" w:hAnsi="Times New Roman"/>
          <w:sz w:val="24"/>
          <w:u w:val="none"/>
        </w:rPr>
        <w:lastRenderedPageBreak/>
        <w:t>3.2.2.</w:t>
      </w:r>
      <w:r w:rsidR="00D712CF" w:rsidRPr="00AA1421">
        <w:rPr>
          <w:u w:val="none"/>
        </w:rPr>
        <w:tab/>
      </w:r>
      <w:r w:rsidRPr="00AA1421">
        <w:rPr>
          <w:rFonts w:ascii="Times New Roman" w:hAnsi="Times New Roman"/>
          <w:sz w:val="24"/>
        </w:rPr>
        <w:t>Zakres wzoru CR SA</w:t>
      </w:r>
      <w:bookmarkEnd w:id="152"/>
      <w:bookmarkEnd w:id="153"/>
      <w:bookmarkEnd w:id="154"/>
      <w:bookmarkEnd w:id="155"/>
      <w:bookmarkEnd w:id="156"/>
      <w:bookmarkEnd w:id="157"/>
      <w:bookmarkEnd w:id="158"/>
      <w:bookmarkEnd w:id="159"/>
    </w:p>
    <w:p w:rsidR="00464F34" w:rsidRPr="00AA1421" w:rsidRDefault="00AA1421" w:rsidP="00487A02">
      <w:pPr>
        <w:pStyle w:val="InstructionsText2"/>
        <w:numPr>
          <w:ilvl w:val="0"/>
          <w:numId w:val="0"/>
        </w:numPr>
        <w:ind w:left="1353" w:hanging="360"/>
      </w:pPr>
      <w:fldSimple w:instr=" seq paragraphs ">
        <w:r w:rsidR="00D11E4C" w:rsidRPr="00AA1421">
          <w:rPr>
            <w:noProof/>
          </w:rPr>
          <w:t>46</w:t>
        </w:r>
      </w:fldSimple>
      <w:r w:rsidR="00D11E4C" w:rsidRPr="00AA1421">
        <w:t>.</w:t>
      </w:r>
      <w:r w:rsidR="00D11E4C" w:rsidRPr="00AA1421">
        <w:tab/>
        <w:t xml:space="preserve">Zgodnie z </w:t>
      </w:r>
      <w:r w:rsidR="00D11E4C" w:rsidRPr="00084F66">
        <w:t>art.</w:t>
      </w:r>
      <w:r w:rsidR="00084F66" w:rsidRPr="00084F66">
        <w:t> </w:t>
      </w:r>
      <w:r w:rsidR="00D11E4C" w:rsidRPr="00084F66">
        <w:t>1</w:t>
      </w:r>
      <w:r w:rsidR="00D11E4C" w:rsidRPr="00AA1421">
        <w:t>12 CRR każda ekspozycja według metody standardowej klasyfikowana jest do jednej z 16 kategorii ekspozycji w celu obliczenia wymogów w zakresie funduszy własnych.</w:t>
      </w:r>
    </w:p>
    <w:p w:rsidR="00464F34" w:rsidRPr="00AA1421" w:rsidRDefault="00AA1421" w:rsidP="00487A02">
      <w:pPr>
        <w:pStyle w:val="InstructionsText2"/>
        <w:numPr>
          <w:ilvl w:val="0"/>
          <w:numId w:val="0"/>
        </w:numPr>
        <w:ind w:left="1353" w:hanging="360"/>
      </w:pPr>
      <w:fldSimple w:instr=" seq paragraphs ">
        <w:r w:rsidR="00D11E4C" w:rsidRPr="00AA1421">
          <w:rPr>
            <w:noProof/>
          </w:rPr>
          <w:t>47</w:t>
        </w:r>
      </w:fldSimple>
      <w:r w:rsidR="00D11E4C" w:rsidRPr="00AA1421">
        <w:t>.</w:t>
      </w:r>
      <w:r w:rsidR="00D11E4C" w:rsidRPr="00AA1421">
        <w:tab/>
        <w:t xml:space="preserve">Informacje zawarte we wzorze CR SA są wymagane dla kategorii ekspozycji całkowitych i indywidualnie dla każdej z kategorii ekspozycji określonych na potrzeby metody standardowej. Łączne dane oraz informacje o każdej kategorii ekspozycji zgłasza się w osobnym wymiarze. </w:t>
      </w:r>
    </w:p>
    <w:p w:rsidR="00464F34" w:rsidRPr="00AA1421" w:rsidRDefault="00AA1421" w:rsidP="00487A02">
      <w:pPr>
        <w:pStyle w:val="InstructionsText2"/>
        <w:numPr>
          <w:ilvl w:val="0"/>
          <w:numId w:val="0"/>
        </w:numPr>
        <w:ind w:left="1353" w:hanging="360"/>
      </w:pPr>
      <w:fldSimple w:instr=" seq paragraphs ">
        <w:r w:rsidR="00D11E4C" w:rsidRPr="00AA1421">
          <w:rPr>
            <w:noProof/>
          </w:rPr>
          <w:t>48</w:t>
        </w:r>
      </w:fldSimple>
      <w:r w:rsidR="00D11E4C" w:rsidRPr="00AA1421">
        <w:t>.</w:t>
      </w:r>
      <w:r w:rsidR="00D11E4C" w:rsidRPr="00AA1421">
        <w:tab/>
        <w:t>Następujące pozycje nie wchodzą jednak w zakres wzoru CR SA:</w:t>
      </w:r>
    </w:p>
    <w:p w:rsidR="00464F34" w:rsidRPr="00AA1421" w:rsidRDefault="00125707" w:rsidP="00487A02">
      <w:pPr>
        <w:pStyle w:val="InstructionsText2"/>
        <w:numPr>
          <w:ilvl w:val="0"/>
          <w:numId w:val="0"/>
        </w:numPr>
        <w:ind w:left="1353" w:hanging="360"/>
      </w:pPr>
      <w:r w:rsidRPr="00AA1421">
        <w:t>a)</w:t>
      </w:r>
      <w:r w:rsidRPr="00AA1421">
        <w:tab/>
        <w:t xml:space="preserve">ekspozycje zaklasyfikowane do kategorii ekspozycji „pozycje stanowiące pozycje sekurytyzacyjne”, o których mowa w </w:t>
      </w:r>
      <w:r w:rsidRPr="00084F66">
        <w:t>art.</w:t>
      </w:r>
      <w:r w:rsidR="00084F66" w:rsidRPr="00084F66">
        <w:t> </w:t>
      </w:r>
      <w:r w:rsidRPr="00084F66">
        <w:t>1</w:t>
      </w:r>
      <w:r w:rsidRPr="00AA1421">
        <w:t xml:space="preserve">12 </w:t>
      </w:r>
      <w:r w:rsidRPr="00084F66">
        <w:t>lit.</w:t>
      </w:r>
      <w:r w:rsidR="00084F66" w:rsidRPr="00084F66">
        <w:t> </w:t>
      </w:r>
      <w:r w:rsidRPr="00084F66">
        <w:t>m)</w:t>
      </w:r>
      <w:r w:rsidRPr="00AA1421">
        <w:t xml:space="preserve"> CRR, które zgłasza się we wzorach CR SEC;</w:t>
      </w:r>
    </w:p>
    <w:p w:rsidR="00464F34" w:rsidRPr="00AA1421" w:rsidRDefault="00125707" w:rsidP="00487A02">
      <w:pPr>
        <w:pStyle w:val="InstructionsText2"/>
        <w:numPr>
          <w:ilvl w:val="0"/>
          <w:numId w:val="0"/>
        </w:numPr>
        <w:ind w:left="1353" w:hanging="360"/>
      </w:pPr>
      <w:r w:rsidRPr="00AA1421">
        <w:t>b)</w:t>
      </w:r>
      <w:r w:rsidRPr="00AA1421">
        <w:tab/>
        <w:t>ekspozycje odejmowane od funduszy własnych.</w:t>
      </w:r>
    </w:p>
    <w:p w:rsidR="00464F34" w:rsidRPr="00AA1421" w:rsidRDefault="00AA1421" w:rsidP="00487A02">
      <w:pPr>
        <w:pStyle w:val="InstructionsText2"/>
        <w:numPr>
          <w:ilvl w:val="0"/>
          <w:numId w:val="0"/>
        </w:numPr>
        <w:ind w:left="1353" w:hanging="360"/>
      </w:pPr>
      <w:fldSimple w:instr=" seq paragraphs ">
        <w:r w:rsidR="00D11E4C" w:rsidRPr="00AA1421">
          <w:rPr>
            <w:noProof/>
          </w:rPr>
          <w:t>49</w:t>
        </w:r>
      </w:fldSimple>
      <w:r w:rsidR="00D11E4C" w:rsidRPr="00AA1421">
        <w:t>.</w:t>
      </w:r>
      <w:r w:rsidR="00D11E4C" w:rsidRPr="00AA1421">
        <w:tab/>
        <w:t>Zakres wzoru CR SA obejmuje następujące wymogi w zakresie funduszy własnych:</w:t>
      </w:r>
    </w:p>
    <w:p w:rsidR="00464F34" w:rsidRPr="00AA1421" w:rsidRDefault="00125707" w:rsidP="00487A02">
      <w:pPr>
        <w:pStyle w:val="InstructionsText2"/>
        <w:numPr>
          <w:ilvl w:val="0"/>
          <w:numId w:val="0"/>
        </w:numPr>
        <w:ind w:left="1353" w:hanging="360"/>
      </w:pPr>
      <w:r w:rsidRPr="00AA1421">
        <w:t>a)</w:t>
      </w:r>
      <w:r w:rsidRPr="00AA1421">
        <w:tab/>
        <w:t>ryzyko kredytowe zgodnie z częścią trzecią tytuł II rozdział 2 (Metoda standardowa) CRR w portfelu bankowym, w tym ryzyko kredytowe kontrahenta zgodnie z częścią trzecią tytuł II rozdziałami 4 i 6 (Ryzyko kredytowe kontrahenta) CRR w portfelu bankowym;</w:t>
      </w:r>
    </w:p>
    <w:p w:rsidR="00464F34" w:rsidRPr="00AA1421" w:rsidRDefault="00125707" w:rsidP="00487A02">
      <w:pPr>
        <w:pStyle w:val="InstructionsText2"/>
        <w:numPr>
          <w:ilvl w:val="0"/>
          <w:numId w:val="0"/>
        </w:numPr>
        <w:ind w:left="1353" w:hanging="360"/>
      </w:pPr>
      <w:r w:rsidRPr="00AA1421">
        <w:t>b)</w:t>
      </w:r>
      <w:r w:rsidRPr="00AA1421">
        <w:tab/>
        <w:t>ryzyko kredytowe zgodnie z częścią trzecią tytuł II rozdziały 4 i 6 (Ryzyko kredytowe kontrahenta) CRR w portfelu handlowym;</w:t>
      </w:r>
    </w:p>
    <w:p w:rsidR="00464F34" w:rsidRPr="00AA1421" w:rsidRDefault="00125707" w:rsidP="00487A02">
      <w:pPr>
        <w:pStyle w:val="InstructionsText2"/>
        <w:numPr>
          <w:ilvl w:val="0"/>
          <w:numId w:val="0"/>
        </w:numPr>
        <w:ind w:left="1353" w:hanging="360"/>
      </w:pPr>
      <w:r w:rsidRPr="00AA1421">
        <w:t>c)</w:t>
      </w:r>
      <w:r w:rsidRPr="00AA1421">
        <w:tab/>
        <w:t xml:space="preserve">ryzyko rozliczenia wynikające z dostaw z późniejszym terminem rozliczenia zgodnie z </w:t>
      </w:r>
      <w:r w:rsidRPr="00084F66">
        <w:t>art.</w:t>
      </w:r>
      <w:r w:rsidR="00084F66" w:rsidRPr="00084F66">
        <w:t> </w:t>
      </w:r>
      <w:r w:rsidRPr="00084F66">
        <w:t>3</w:t>
      </w:r>
      <w:r w:rsidRPr="00AA1421">
        <w:t>79 CRR w odniesieniu do wszystkich rodzajów działalności gospodarczej.</w:t>
      </w:r>
    </w:p>
    <w:p w:rsidR="00464F34" w:rsidRPr="00AA1421" w:rsidRDefault="00AA1421" w:rsidP="00487A02">
      <w:pPr>
        <w:pStyle w:val="InstructionsText2"/>
        <w:numPr>
          <w:ilvl w:val="0"/>
          <w:numId w:val="0"/>
        </w:numPr>
        <w:ind w:left="1353" w:hanging="360"/>
      </w:pPr>
      <w:fldSimple w:instr=" seq paragraphs ">
        <w:r w:rsidR="00D11E4C" w:rsidRPr="00AA1421">
          <w:rPr>
            <w:noProof/>
          </w:rPr>
          <w:t>50</w:t>
        </w:r>
      </w:fldSimple>
      <w:r w:rsidR="00D11E4C" w:rsidRPr="00AA1421">
        <w:t>.</w:t>
      </w:r>
      <w:r w:rsidR="00D11E4C" w:rsidRPr="00AA1421">
        <w:tab/>
        <w:t xml:space="preserve">Wzór obejmuje wszystkie ekspozycje, dla których wymogi w zakresie funduszy własnych oblicza się zgodnie z przepisami części trzeciej tytuł II rozdział 2 CRR w związku z częścią trzecią tytuł II rozdziały 4 i 6 CRR. Instytucje, które stosują przepisy </w:t>
      </w:r>
      <w:r w:rsidR="00D11E4C" w:rsidRPr="00084F66">
        <w:t>art.</w:t>
      </w:r>
      <w:r w:rsidR="00084F66" w:rsidRPr="00084F66">
        <w:t> </w:t>
      </w:r>
      <w:r w:rsidR="00D11E4C" w:rsidRPr="00084F66">
        <w:t>9</w:t>
      </w:r>
      <w:r w:rsidR="00D11E4C" w:rsidRPr="00AA1421">
        <w:t xml:space="preserve">4 </w:t>
      </w:r>
      <w:r w:rsidR="00D11E4C" w:rsidRPr="00084F66">
        <w:t>ust.</w:t>
      </w:r>
      <w:r w:rsidR="00084F66" w:rsidRPr="00084F66">
        <w:t> </w:t>
      </w:r>
      <w:r w:rsidR="00D11E4C" w:rsidRPr="00084F66">
        <w:t>1</w:t>
      </w:r>
      <w:r w:rsidR="00D11E4C" w:rsidRPr="00AA1421">
        <w:t xml:space="preserve"> CRR, również muszą zgłosić w tym wzorze swoje pozycje w portfelu handlowym, o których mowa w </w:t>
      </w:r>
      <w:r w:rsidR="00D11E4C" w:rsidRPr="00084F66">
        <w:t>art.</w:t>
      </w:r>
      <w:r w:rsidR="00084F66" w:rsidRPr="00084F66">
        <w:t> </w:t>
      </w:r>
      <w:r w:rsidR="00D11E4C" w:rsidRPr="00084F66">
        <w:t>9</w:t>
      </w:r>
      <w:r w:rsidR="00D11E4C" w:rsidRPr="00AA1421">
        <w:t xml:space="preserve">2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b)</w:t>
      </w:r>
      <w:r w:rsidR="00D11E4C" w:rsidRPr="00AA1421">
        <w:t xml:space="preserve"> CRR, gdy stosują przepisy części trzeciej tytuł II rozdział 2 CRR do obliczenia wymogów w zakresie funduszy własnych (część trzecia tytuł II rozdziały 2 i 6 CRR oraz część trzecia tytuł V CRR). Dlatego wzór zapewnia nie tylko szczegółowe informacje o rodzaju ekspozycji (np. pozycje bilansowe/pozycje pozabilansowe), ale również informacje na temat przypisania wag ryzyka w ramach danej kategorii ekspozycji.</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AA1421" w:rsidRDefault="0056002D"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51</w:t>
      </w:r>
      <w:r w:rsidRPr="00AA1421">
        <w:fldChar w:fldCharType="end"/>
      </w:r>
      <w:r w:rsidRPr="00AA1421">
        <w:t>.</w:t>
      </w:r>
      <w:r w:rsidRPr="00AA1421">
        <w:tab/>
        <w:t xml:space="preserve">Ponadto wzór CR SA zawiera pozycje uzupełniające w wierszach 0290–0320, które mają na celu zbieranie dalszych informacji o ekspozycjach zabezpieczonych hipotekami na nieruchomościach i ekspozycjach, których dotyczy niewykonanie zobowiązania. </w:t>
      </w:r>
    </w:p>
    <w:p w:rsidR="00464F34" w:rsidRPr="00AA1421" w:rsidRDefault="00AA1421" w:rsidP="00487A02">
      <w:pPr>
        <w:pStyle w:val="InstructionsText2"/>
        <w:numPr>
          <w:ilvl w:val="0"/>
          <w:numId w:val="0"/>
        </w:numPr>
        <w:ind w:left="1353" w:hanging="360"/>
      </w:pPr>
      <w:fldSimple w:instr=" seq paragraphs ">
        <w:r w:rsidR="00D11E4C" w:rsidRPr="00AA1421">
          <w:rPr>
            <w:noProof/>
          </w:rPr>
          <w:t>52</w:t>
        </w:r>
      </w:fldSimple>
      <w:r w:rsidR="00D11E4C" w:rsidRPr="00AA1421">
        <w:t>.</w:t>
      </w:r>
      <w:r w:rsidR="00D11E4C" w:rsidRPr="00AA1421">
        <w:tab/>
        <w:t xml:space="preserve">Te pozycje uzupełniające zgłaszane są wyłącznie w odniesieniu do następujących kategorii ekspozycji: </w:t>
      </w:r>
    </w:p>
    <w:p w:rsidR="00464F34" w:rsidRPr="00AA1421" w:rsidRDefault="00125707" w:rsidP="00487A02">
      <w:pPr>
        <w:pStyle w:val="InstructionsText2"/>
        <w:numPr>
          <w:ilvl w:val="0"/>
          <w:numId w:val="0"/>
        </w:numPr>
        <w:ind w:left="1353" w:hanging="360"/>
      </w:pPr>
      <w:r w:rsidRPr="00AA1421">
        <w:t>a)</w:t>
      </w:r>
      <w:r w:rsidRPr="00AA1421">
        <w:tab/>
        <w:t>ekspozycje wobec rządów centralnych lub banków centralnych (</w:t>
      </w:r>
      <w:r w:rsidRPr="00084F66">
        <w:t>art.</w:t>
      </w:r>
      <w:r w:rsidR="00084F66" w:rsidRPr="00084F66">
        <w:t> </w:t>
      </w:r>
      <w:r w:rsidRPr="00084F66">
        <w:t>1</w:t>
      </w:r>
      <w:r w:rsidRPr="00AA1421">
        <w:t xml:space="preserve">12 </w:t>
      </w:r>
      <w:r w:rsidRPr="00084F66">
        <w:t>lit.</w:t>
      </w:r>
      <w:r w:rsidR="00084F66" w:rsidRPr="00084F66">
        <w:t> </w:t>
      </w:r>
      <w:r w:rsidRPr="00084F66">
        <w:t>a)</w:t>
      </w:r>
      <w:r w:rsidRPr="00AA1421">
        <w:t xml:space="preserve"> CRR);</w:t>
      </w:r>
    </w:p>
    <w:p w:rsidR="00464F34" w:rsidRPr="00AA1421" w:rsidRDefault="00125707" w:rsidP="00487A02">
      <w:pPr>
        <w:pStyle w:val="InstructionsText2"/>
        <w:numPr>
          <w:ilvl w:val="0"/>
          <w:numId w:val="0"/>
        </w:numPr>
        <w:ind w:left="1353" w:hanging="360"/>
      </w:pPr>
      <w:r w:rsidRPr="00AA1421">
        <w:t>b)</w:t>
      </w:r>
      <w:r w:rsidRPr="00AA1421">
        <w:tab/>
        <w:t>ekspozycje wobec samorządów regionalnych lub władz lokalnych (</w:t>
      </w:r>
      <w:r w:rsidRPr="00084F66">
        <w:t>art.</w:t>
      </w:r>
      <w:r w:rsidR="00084F66" w:rsidRPr="00084F66">
        <w:t> </w:t>
      </w:r>
      <w:r w:rsidRPr="00084F66">
        <w:t>1</w:t>
      </w:r>
      <w:r w:rsidRPr="00AA1421">
        <w:t xml:space="preserve">12 </w:t>
      </w:r>
      <w:r w:rsidRPr="00084F66">
        <w:t>lit.</w:t>
      </w:r>
      <w:r w:rsidR="00084F66" w:rsidRPr="00084F66">
        <w:t> </w:t>
      </w:r>
      <w:r w:rsidRPr="00084F66">
        <w:t>b)</w:t>
      </w:r>
      <w:r w:rsidRPr="00AA1421">
        <w:t xml:space="preserve"> CRR);</w:t>
      </w:r>
    </w:p>
    <w:p w:rsidR="00464F34" w:rsidRPr="00AA1421" w:rsidRDefault="00125707" w:rsidP="00487A02">
      <w:pPr>
        <w:pStyle w:val="InstructionsText2"/>
        <w:numPr>
          <w:ilvl w:val="0"/>
          <w:numId w:val="0"/>
        </w:numPr>
        <w:ind w:left="1353" w:hanging="360"/>
      </w:pPr>
      <w:r w:rsidRPr="00AA1421">
        <w:t>c)</w:t>
      </w:r>
      <w:r w:rsidRPr="00AA1421">
        <w:tab/>
        <w:t>ekspozycje wobec podmiotów sektora publicznego (</w:t>
      </w:r>
      <w:r w:rsidRPr="00084F66">
        <w:t>art.</w:t>
      </w:r>
      <w:r w:rsidR="00084F66" w:rsidRPr="00084F66">
        <w:t> </w:t>
      </w:r>
      <w:r w:rsidRPr="00084F66">
        <w:t>1</w:t>
      </w:r>
      <w:r w:rsidRPr="00AA1421">
        <w:t xml:space="preserve">12 </w:t>
      </w:r>
      <w:r w:rsidRPr="00084F66">
        <w:t>lit.</w:t>
      </w:r>
      <w:r w:rsidR="00084F66" w:rsidRPr="00084F66">
        <w:t> </w:t>
      </w:r>
      <w:r w:rsidRPr="00084F66">
        <w:t>c)</w:t>
      </w:r>
      <w:r w:rsidRPr="00AA1421">
        <w:t xml:space="preserve"> CRR);</w:t>
      </w:r>
    </w:p>
    <w:p w:rsidR="00464F34" w:rsidRPr="00AA1421" w:rsidRDefault="00125707" w:rsidP="00487A02">
      <w:pPr>
        <w:pStyle w:val="InstructionsText2"/>
        <w:numPr>
          <w:ilvl w:val="0"/>
          <w:numId w:val="0"/>
        </w:numPr>
        <w:ind w:left="1353" w:hanging="360"/>
      </w:pPr>
      <w:r w:rsidRPr="00AA1421">
        <w:t>d)</w:t>
      </w:r>
      <w:r w:rsidRPr="00AA1421">
        <w:tab/>
        <w:t>ekspozycje wobec instytucji (</w:t>
      </w:r>
      <w:r w:rsidRPr="00084F66">
        <w:t>art.</w:t>
      </w:r>
      <w:r w:rsidR="00084F66" w:rsidRPr="00084F66">
        <w:t> </w:t>
      </w:r>
      <w:r w:rsidRPr="00084F66">
        <w:t>1</w:t>
      </w:r>
      <w:r w:rsidRPr="00AA1421">
        <w:t xml:space="preserve">12 </w:t>
      </w:r>
      <w:r w:rsidRPr="00084F66">
        <w:t>lit.</w:t>
      </w:r>
      <w:r w:rsidR="00084F66" w:rsidRPr="00084F66">
        <w:t> </w:t>
      </w:r>
      <w:r w:rsidRPr="00084F66">
        <w:t>f)</w:t>
      </w:r>
      <w:r w:rsidRPr="00AA1421">
        <w:t xml:space="preserve"> CRR);</w:t>
      </w:r>
    </w:p>
    <w:p w:rsidR="00464F34" w:rsidRPr="00AA1421" w:rsidRDefault="00125707" w:rsidP="00487A02">
      <w:pPr>
        <w:pStyle w:val="InstructionsText2"/>
        <w:numPr>
          <w:ilvl w:val="0"/>
          <w:numId w:val="0"/>
        </w:numPr>
        <w:ind w:left="1353" w:hanging="360"/>
      </w:pPr>
      <w:r w:rsidRPr="00AA1421">
        <w:t>e)</w:t>
      </w:r>
      <w:r w:rsidRPr="00AA1421">
        <w:tab/>
        <w:t>ekspozycje wobec przedsiębiorstw (</w:t>
      </w:r>
      <w:r w:rsidRPr="00084F66">
        <w:t>art.</w:t>
      </w:r>
      <w:r w:rsidR="00084F66" w:rsidRPr="00084F66">
        <w:t> </w:t>
      </w:r>
      <w:r w:rsidRPr="00084F66">
        <w:t>1</w:t>
      </w:r>
      <w:r w:rsidRPr="00AA1421">
        <w:t xml:space="preserve">12 </w:t>
      </w:r>
      <w:r w:rsidRPr="00084F66">
        <w:t>lit.</w:t>
      </w:r>
      <w:r w:rsidR="00084F66" w:rsidRPr="00084F66">
        <w:t> </w:t>
      </w:r>
      <w:r w:rsidRPr="00084F66">
        <w:t>g)</w:t>
      </w:r>
      <w:r w:rsidRPr="00AA1421">
        <w:t xml:space="preserve"> CRR);</w:t>
      </w:r>
    </w:p>
    <w:p w:rsidR="00464F34" w:rsidRPr="00AA1421" w:rsidRDefault="00125707" w:rsidP="00487A02">
      <w:pPr>
        <w:pStyle w:val="InstructionsText2"/>
        <w:numPr>
          <w:ilvl w:val="0"/>
          <w:numId w:val="0"/>
        </w:numPr>
        <w:ind w:left="1353" w:hanging="360"/>
      </w:pPr>
      <w:r w:rsidRPr="00AA1421">
        <w:t>f)</w:t>
      </w:r>
      <w:r w:rsidRPr="00AA1421">
        <w:tab/>
        <w:t>ekspozycje detaliczne (</w:t>
      </w:r>
      <w:r w:rsidRPr="00084F66">
        <w:t>art.</w:t>
      </w:r>
      <w:r w:rsidR="00084F66" w:rsidRPr="00084F66">
        <w:t> </w:t>
      </w:r>
      <w:r w:rsidRPr="00084F66">
        <w:t>1</w:t>
      </w:r>
      <w:r w:rsidRPr="00AA1421">
        <w:t xml:space="preserve">12 </w:t>
      </w:r>
      <w:r w:rsidRPr="00084F66">
        <w:t>lit.</w:t>
      </w:r>
      <w:r w:rsidR="00084F66" w:rsidRPr="00084F66">
        <w:t> </w:t>
      </w:r>
      <w:r w:rsidRPr="00084F66">
        <w:t>h)</w:t>
      </w:r>
      <w:r w:rsidRPr="00AA1421">
        <w:t xml:space="preserve"> CRR).</w:t>
      </w:r>
    </w:p>
    <w:p w:rsidR="00464F34" w:rsidRPr="00AA1421" w:rsidRDefault="00AA1421" w:rsidP="00487A02">
      <w:pPr>
        <w:pStyle w:val="InstructionsText2"/>
        <w:numPr>
          <w:ilvl w:val="0"/>
          <w:numId w:val="0"/>
        </w:numPr>
        <w:ind w:left="1353" w:hanging="360"/>
      </w:pPr>
      <w:fldSimple w:instr=" seq paragraphs ">
        <w:r w:rsidR="00D11E4C" w:rsidRPr="00AA1421">
          <w:rPr>
            <w:noProof/>
          </w:rPr>
          <w:t>53</w:t>
        </w:r>
      </w:fldSimple>
      <w:r w:rsidR="00D11E4C" w:rsidRPr="00AA1421">
        <w:t>.</w:t>
      </w:r>
      <w:r w:rsidR="00D11E4C" w:rsidRPr="00AA1421">
        <w:tab/>
        <w:t xml:space="preserve">Zgłaszanie pozycji uzupełniających nie wpływa ani na obliczanie kwot ekspozycji ważonych ryzykiem należących do kategorii ekspozycji, o których mowa w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a)</w:t>
      </w:r>
      <w:r w:rsidR="00D11E4C" w:rsidRPr="00AA1421">
        <w:t xml:space="preserve">–c) i f)–h) CRR, ani na kategorie ekspozycji, o których mowa w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i)</w:t>
      </w:r>
      <w:r w:rsidR="00D11E4C" w:rsidRPr="00AA1421">
        <w:t xml:space="preserve"> oraz j) CRR, zgłaszane we wzorze CR SA. </w:t>
      </w:r>
    </w:p>
    <w:p w:rsidR="00464F34" w:rsidRPr="00AA1421" w:rsidRDefault="00AA1421" w:rsidP="00487A02">
      <w:pPr>
        <w:pStyle w:val="InstructionsText2"/>
        <w:numPr>
          <w:ilvl w:val="0"/>
          <w:numId w:val="0"/>
        </w:numPr>
        <w:ind w:left="1353" w:hanging="360"/>
      </w:pPr>
      <w:fldSimple w:instr=" seq paragraphs ">
        <w:r w:rsidR="00D11E4C" w:rsidRPr="00AA1421">
          <w:rPr>
            <w:noProof/>
          </w:rPr>
          <w:t>54</w:t>
        </w:r>
      </w:fldSimple>
      <w:r w:rsidR="00D11E4C" w:rsidRPr="00AA1421">
        <w:t>.</w:t>
      </w:r>
      <w:r w:rsidR="00D11E4C" w:rsidRPr="00AA1421">
        <w:tab/>
        <w:t>Wiersze uzupełniające zawierają dodatkowe informacje o strukturze dłużnika w kategoriach ekspozycji „ekspozycje, których dotyczy niewykonanie zobowiązania” lub „ekspozycje zabezpieczone hipotekami na nieruchomościach”. W wierszach tych zgłasza się ekspozycje, w przypadku gdy dłużnicy zostaliby zgłoszeni w kategoriach ekspozycji „ekspozycje wobec rządów centralnych lub banków centralnych”, „ekspozycje wobec samorządów regionalnych lub władz lokalnych”, „ekspozycje wobec podmiotów sektora publicznego”, „ekspozycje wobec instytucji”, „ekspozycje wobec przedsiębiorstw” i „ekspozycje detaliczne” we wzorze CR SA, gdyby ekspozycje te nie zostały zaklasyfikowane do kategorii ekspozycji „ekspozycje, których dotyczy niewykonanie zobowiązania”, lub „ekspozycje zabezpieczone hipotekami na nieruchomościach”. Zgłaszane dane liczbowe są jednak takie same, jak dane wykorzystywane do obliczania kwot ekspozycji ważonych ryzykiem w kategoriach ekspozycji „ekspozycje, których dotyczy niewykonanie zobowiązania” lub „ekspozycje zabezpieczone hipotekami na nieruchomościach”.</w:t>
      </w:r>
    </w:p>
    <w:p w:rsidR="00464F34" w:rsidRPr="00AA1421" w:rsidRDefault="00AA1421" w:rsidP="00487A02">
      <w:pPr>
        <w:pStyle w:val="InstructionsText2"/>
        <w:numPr>
          <w:ilvl w:val="0"/>
          <w:numId w:val="0"/>
        </w:numPr>
        <w:ind w:left="1353" w:hanging="360"/>
      </w:pPr>
      <w:fldSimple w:instr=" seq paragraphs ">
        <w:r w:rsidR="00D11E4C" w:rsidRPr="00AA1421">
          <w:rPr>
            <w:noProof/>
          </w:rPr>
          <w:t>55</w:t>
        </w:r>
      </w:fldSimple>
      <w:r w:rsidR="00D11E4C" w:rsidRPr="00AA1421">
        <w:t>.</w:t>
      </w:r>
      <w:r w:rsidR="00D11E4C" w:rsidRPr="00AA1421">
        <w:tab/>
        <w:t xml:space="preserve">Na przykład w przypadku ekspozycji, której kwoty ekspozycji na ryzyko są obliczane zgodnie z </w:t>
      </w:r>
      <w:r w:rsidR="00D11E4C" w:rsidRPr="00084F66">
        <w:t>art.</w:t>
      </w:r>
      <w:r w:rsidR="00084F66" w:rsidRPr="00084F66">
        <w:t> </w:t>
      </w:r>
      <w:r w:rsidR="00D11E4C" w:rsidRPr="00084F66">
        <w:t>1</w:t>
      </w:r>
      <w:r w:rsidR="00D11E4C" w:rsidRPr="00AA1421">
        <w:t>27 CRR, a korekty wartości wynoszą mniej niż 2</w:t>
      </w:r>
      <w:r w:rsidR="00D11E4C" w:rsidRPr="00084F66">
        <w:t>0</w:t>
      </w:r>
      <w:r w:rsidR="00084F66" w:rsidRPr="00084F66">
        <w:t> </w:t>
      </w:r>
      <w:r w:rsidR="00D11E4C" w:rsidRPr="00084F66">
        <w:t>%</w:t>
      </w:r>
      <w:r w:rsidR="00D11E4C" w:rsidRPr="00AA1421">
        <w:t>, informacje te podaje się we wzorze CR SA w wierszu 0320 jako ekspozycję całkowitą oraz w odniesieniu do kategorii ekspozycji „ekspozycje, których dotyczy niewykonanie zobowiązania”. Jeśli ta ekspozycja, zanim stała się ekspozycją, której dotyczy niewykonanie zobowiązania, była ekspozycją wobec instytucji, wówczas informacja ta podawana jest również w wierszu 0320 w kategorii „ekspozycje wobec instytucji”.</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403625"/>
      <w:r w:rsidRPr="00AA1421">
        <w:rPr>
          <w:rFonts w:ascii="Times New Roman" w:hAnsi="Times New Roman"/>
          <w:sz w:val="24"/>
          <w:u w:val="none"/>
        </w:rPr>
        <w:t>3.2.3.</w:t>
      </w:r>
      <w:r w:rsidR="00D712CF" w:rsidRPr="00AA1421">
        <w:rPr>
          <w:u w:val="none"/>
        </w:rPr>
        <w:tab/>
      </w:r>
      <w:r w:rsidRPr="00AA1421">
        <w:rPr>
          <w:rFonts w:ascii="Times New Roman" w:hAnsi="Times New Roman"/>
          <w:sz w:val="24"/>
        </w:rPr>
        <w:t xml:space="preserve"> </w:t>
      </w:r>
      <w:bookmarkStart w:id="189" w:name="_Toc310415022"/>
      <w:bookmarkStart w:id="190" w:name="_Toc360188351"/>
      <w:bookmarkStart w:id="191" w:name="_Toc473560900"/>
      <w:r w:rsidRPr="00AA1421">
        <w:rPr>
          <w:rFonts w:ascii="Times New Roman" w:hAnsi="Times New Roman"/>
          <w:sz w:val="24"/>
        </w:rPr>
        <w:t>Klasyfikowanie ekspozycji do kategorii ekspozycji według metody standardowej</w:t>
      </w:r>
      <w:bookmarkEnd w:id="184"/>
      <w:bookmarkEnd w:id="185"/>
      <w:bookmarkEnd w:id="186"/>
      <w:bookmarkEnd w:id="187"/>
      <w:bookmarkEnd w:id="189"/>
      <w:bookmarkEnd w:id="190"/>
      <w:bookmarkEnd w:id="191"/>
      <w:bookmarkEnd w:id="188"/>
    </w:p>
    <w:p w:rsidR="00464F34" w:rsidRPr="00AA1421" w:rsidRDefault="00AA1421" w:rsidP="00487A02">
      <w:pPr>
        <w:pStyle w:val="InstructionsText2"/>
        <w:numPr>
          <w:ilvl w:val="0"/>
          <w:numId w:val="0"/>
        </w:numPr>
        <w:ind w:left="1353" w:hanging="360"/>
      </w:pPr>
      <w:fldSimple w:instr=" seq paragraphs ">
        <w:r w:rsidR="00D11E4C" w:rsidRPr="00AA1421">
          <w:rPr>
            <w:noProof/>
          </w:rPr>
          <w:t>56</w:t>
        </w:r>
      </w:fldSimple>
      <w:r w:rsidR="00D11E4C" w:rsidRPr="00AA1421">
        <w:t>.</w:t>
      </w:r>
      <w:r w:rsidR="00D11E4C" w:rsidRPr="00AA1421">
        <w:tab/>
        <w:t xml:space="preserve">W celu zapewnienia spójnego klasyfikowania ekspozycji do poszczególnych kategorii ekspozycji określonych w </w:t>
      </w:r>
      <w:r w:rsidR="00D11E4C" w:rsidRPr="00084F66">
        <w:t>art.</w:t>
      </w:r>
      <w:r w:rsidR="00084F66" w:rsidRPr="00084F66">
        <w:t> </w:t>
      </w:r>
      <w:r w:rsidR="00D11E4C" w:rsidRPr="00084F66">
        <w:t>1</w:t>
      </w:r>
      <w:r w:rsidR="00D11E4C" w:rsidRPr="00AA1421">
        <w:t xml:space="preserve">12 CRR stosuje się następującą metodę sekwencyjną: </w:t>
      </w:r>
    </w:p>
    <w:p w:rsidR="00464F34" w:rsidRPr="00AA1421" w:rsidRDefault="00125707" w:rsidP="00487A02">
      <w:pPr>
        <w:pStyle w:val="InstructionsText2"/>
        <w:numPr>
          <w:ilvl w:val="0"/>
          <w:numId w:val="0"/>
        </w:numPr>
        <w:ind w:left="1353" w:hanging="360"/>
      </w:pPr>
      <w:r w:rsidRPr="00AA1421">
        <w:lastRenderedPageBreak/>
        <w:t>a)</w:t>
      </w:r>
      <w:r w:rsidRPr="00AA1421">
        <w:tab/>
        <w:t xml:space="preserve">na pierwszym etapie pierwotną ekspozycję przed uwzględnieniem współczynników konwersji klasyfikuje się do odpowiedniej kategorii ekspozycji (pierwotnej) wymienionej w </w:t>
      </w:r>
      <w:r w:rsidRPr="00084F66">
        <w:t>art.</w:t>
      </w:r>
      <w:r w:rsidR="00084F66" w:rsidRPr="00084F66">
        <w:t> </w:t>
      </w:r>
      <w:r w:rsidRPr="00084F66">
        <w:t>1</w:t>
      </w:r>
      <w:r w:rsidRPr="00AA1421">
        <w:t>12 CRR, bez uszczerbku dla szczególnych metod traktowania (waga ryzyka), które stosuje się wobec każdej określonej ekspozycji w ramach przypisanej jej kategorii ekspozycji;</w:t>
      </w:r>
    </w:p>
    <w:p w:rsidR="00464F34" w:rsidRPr="00AA1421" w:rsidRDefault="00125707" w:rsidP="00487A02">
      <w:pPr>
        <w:pStyle w:val="InstructionsText2"/>
        <w:numPr>
          <w:ilvl w:val="0"/>
          <w:numId w:val="0"/>
        </w:numPr>
        <w:ind w:left="1353" w:hanging="360"/>
      </w:pPr>
      <w:r w:rsidRPr="00AA1421">
        <w:t>b)</w:t>
      </w:r>
      <w:r w:rsidRPr="00AA1421">
        <w:tab/>
        <w:t>na drugim etapie ekspozycje mogą być przeniesione do innych kategorii ekspozycji wskutek stosowania technik ograniczania ryzyka kredytowego z uwzględnieniem efektów substytucyjnych w odniesieniu do ekspozycji (np. gwarancji, kredytowych instrumentów pochodnych, uproszczonej metody ujmowania zabezpieczeń finansowych) poprzez wpływy i wypływy.</w:t>
      </w:r>
    </w:p>
    <w:p w:rsidR="00464F34" w:rsidRPr="00AA1421" w:rsidRDefault="00AA1421" w:rsidP="00487A02">
      <w:pPr>
        <w:pStyle w:val="InstructionsText2"/>
        <w:numPr>
          <w:ilvl w:val="0"/>
          <w:numId w:val="0"/>
        </w:numPr>
        <w:ind w:left="1353" w:hanging="360"/>
      </w:pPr>
      <w:fldSimple w:instr=" seq paragraphs ">
        <w:r w:rsidR="00D11E4C" w:rsidRPr="00AA1421">
          <w:rPr>
            <w:noProof/>
          </w:rPr>
          <w:t>57</w:t>
        </w:r>
      </w:fldSimple>
      <w:r w:rsidR="00D11E4C" w:rsidRPr="00AA1421">
        <w:t>.</w:t>
      </w:r>
      <w:r w:rsidR="00D11E4C" w:rsidRPr="00AA1421">
        <w:tab/>
        <w:t>Następujące kryteria mają zastosowanie do klasyfikacji pierwotnej ekspozycji przed uwzględnieniem współczynników konwersji do poszczególnych kategorii ekspozycji (pierwszy etap), bez uszczerbku dla późniejszej zmiany kategorii spowodowanej zastosowaniem technik ograniczania ryzyka kredytowego z uwzględnieniem efektów substytucyjnych w odniesieniu do ekspozycji lub metod traktowania (waga ryzyka), które stosuje się wobec każdej określonej ekspozycji w ramach przypisanej jej kategorii ekspozycji.</w:t>
      </w:r>
    </w:p>
    <w:p w:rsidR="00464F34" w:rsidRPr="00AA1421" w:rsidRDefault="00AA1421" w:rsidP="00487A02">
      <w:pPr>
        <w:pStyle w:val="InstructionsText2"/>
        <w:numPr>
          <w:ilvl w:val="0"/>
          <w:numId w:val="0"/>
        </w:numPr>
        <w:ind w:left="1353" w:hanging="360"/>
      </w:pPr>
      <w:fldSimple w:instr=" seq paragraphs ">
        <w:r w:rsidR="00D11E4C" w:rsidRPr="00AA1421">
          <w:rPr>
            <w:noProof/>
          </w:rPr>
          <w:t>58</w:t>
        </w:r>
      </w:fldSimple>
      <w:r w:rsidR="00D11E4C" w:rsidRPr="00AA1421">
        <w:t>.</w:t>
      </w:r>
      <w:r w:rsidR="00D11E4C" w:rsidRPr="00AA1421">
        <w:tab/>
        <w:t xml:space="preserve">Dla celów klasyfikacji pierwotnej ekspozycji przed uwzględnieniem współczynników konwersji na pierwszym etapie techniki ograniczania ryzyka kredytowego związane z ekspozycją nie są brane pod uwagę (należy pamiętać, że są one wyraźnie uwzględniane na drugim etapie), o ile efekt ochrony jest nieodłączną częścią definicji kategorii ekspozycji, jak ma to miejsce w przypadku kategorii ekspozycji, o której mowa w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i)</w:t>
      </w:r>
      <w:r w:rsidR="00D11E4C" w:rsidRPr="00AA1421">
        <w:t xml:space="preserve"> CRR (ekspozycje zabezpieczone hipotekami na nieruchomościach).</w:t>
      </w:r>
    </w:p>
    <w:p w:rsidR="00464F34" w:rsidRPr="00AA1421" w:rsidRDefault="00AA1421" w:rsidP="00487A02">
      <w:pPr>
        <w:pStyle w:val="InstructionsText2"/>
        <w:numPr>
          <w:ilvl w:val="0"/>
          <w:numId w:val="0"/>
        </w:numPr>
        <w:ind w:left="1353" w:hanging="360"/>
      </w:pPr>
      <w:fldSimple w:instr=" seq paragraphs ">
        <w:r w:rsidR="00D11E4C" w:rsidRPr="00AA1421">
          <w:rPr>
            <w:noProof/>
          </w:rPr>
          <w:t>59</w:t>
        </w:r>
      </w:fldSimple>
      <w:r w:rsidR="00D11E4C" w:rsidRPr="00AA1421">
        <w:t>.</w:t>
      </w:r>
      <w:r w:rsidR="00D11E4C" w:rsidRPr="00AA1421">
        <w:tab/>
        <w:t>Art. 112 CRR nie zawiera kryteriów wyłączania ekspozycji z poszczególnych kategorii. Może to oznaczać, że jedna ekspozycja mogłaby zostać sklasyfikowana do różnych kategorii ekspozycji, jeżeli kryteria oceny na potrzeby klasyfikacji nie dotyczą hierarchii kategorii. Najbardziej oczywistym przypadkiem są ekspozycje wobec instytucji i przedsiębiorstw posiadających krótkoterminową ocenę kredytową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n)</w:t>
      </w:r>
      <w:r w:rsidR="00D11E4C" w:rsidRPr="00AA1421">
        <w:t xml:space="preserve"> CRR) oraz ekspozycje wobec instytucji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f)</w:t>
      </w:r>
      <w:r w:rsidR="00D11E4C" w:rsidRPr="00AA1421">
        <w:t xml:space="preserve"> CRR)/ekspozycje wobec przedsiębiorstw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g)</w:t>
      </w:r>
      <w:r w:rsidR="00D11E4C" w:rsidRPr="00AA1421">
        <w:t xml:space="preserve"> CRR). W tym przypadku jest oczywiste, że w CRR istnieje domniemana hierarchia kategorii ekspozycji, ponieważ najpierw ocenia się, czy daną ekspozycję można zaklasyfikować do kategorii „ekspozycje wobec instytucji i przedsiębiorstw posiadających krótkoterminową ocenę kredytową”, a dopiero potem ocenia się, czy dana ekspozycja może być przypisana do ekspozycji wobec instytucji lub ekspozycji wobec przedsiębiorstw. Jest oczywiste, że w przeciwnym wypadku do kategorii ekspozycji, o której mowa w </w:t>
      </w:r>
      <w:r w:rsidR="00D11E4C" w:rsidRPr="00084F66">
        <w:t>art.</w:t>
      </w:r>
      <w:r w:rsidR="00084F66" w:rsidRPr="00084F66">
        <w:t> </w:t>
      </w:r>
      <w:r w:rsidR="00D11E4C" w:rsidRPr="00084F66">
        <w:t>1</w:t>
      </w:r>
      <w:r w:rsidR="00D11E4C" w:rsidRPr="00AA1421">
        <w:t xml:space="preserve">12 </w:t>
      </w:r>
      <w:r w:rsidR="00D11E4C" w:rsidRPr="00084F66">
        <w:t>lit.</w:t>
      </w:r>
      <w:r w:rsidR="00084F66" w:rsidRPr="00084F66">
        <w:t> </w:t>
      </w:r>
      <w:r w:rsidR="00D11E4C" w:rsidRPr="00084F66">
        <w:t>n)</w:t>
      </w:r>
      <w:r w:rsidR="00D11E4C" w:rsidRPr="00AA1421">
        <w:t xml:space="preserve"> CRR, nigdy nie zostałaby zaklasyfikowana żadna ekspozycja. Podany przykład jest jednym z najbardziej oczywistych przypadków, ale nie jedynym. Warto zauważyć, że kryteria stosowane do ustalenia kategorii ekspozycji według metody standardowej są różne (klasyfikacja instytucjonalna, okres ekspozycji, status przeterminowania itp.), co stanowi podstawowy powód istnienia grup nierozłącznych.</w:t>
      </w:r>
    </w:p>
    <w:p w:rsidR="00464F34" w:rsidRPr="00AA1421" w:rsidRDefault="00AA1421" w:rsidP="00487A02">
      <w:pPr>
        <w:pStyle w:val="InstructionsText2"/>
        <w:numPr>
          <w:ilvl w:val="0"/>
          <w:numId w:val="0"/>
        </w:numPr>
        <w:ind w:left="1353" w:hanging="360"/>
      </w:pPr>
      <w:fldSimple w:instr=" seq paragraphs ">
        <w:r w:rsidR="00D11E4C" w:rsidRPr="00AA1421">
          <w:rPr>
            <w:noProof/>
          </w:rPr>
          <w:t>60</w:t>
        </w:r>
      </w:fldSimple>
      <w:r w:rsidR="00D11E4C" w:rsidRPr="00AA1421">
        <w:t>.</w:t>
      </w:r>
      <w:r w:rsidR="00D11E4C" w:rsidRPr="00AA1421">
        <w:tab/>
        <w:t>Dla celów jednorodnej i porównywalnej sprawozdawczości konieczne jest określenie kryteriów oceny w odniesieniu do ustalania hierarchii na potrzeby klasyfi</w:t>
      </w:r>
      <w:r w:rsidR="00D11E4C" w:rsidRPr="00AA1421">
        <w:lastRenderedPageBreak/>
        <w:t>kowania pierwotnej ekspozycji przed uwzględnieniem współczynników konwersji według kategorii ekspozycji, bez uszczerbku dla szczególnych metod traktowania (waga ryzyka), które stosuje się wobec każdej określonej ekspozycji w ramach przypisanej jej kategorii ekspozycji. Kryteria ustalania hierarchii przedstawione poniżej przy użyciu schematu podejmowania decyzji oparte są na ocenie warunków wyraźnie określonych w CRR w odniesieniu do przynależności ekspozycji do określonej kategorii ekspozycji oraz, w stosownych przypadkach, na podjętych przez instytucje sprawozdające lub organ nadzoru decyzjach dotyczących zastosowania pewnych kategorii ekspozycji. Wynik procesu klasyfikowania ekspozycji do celów sprawozdawczych jest zatem zgodny z przepisami CRR. Nie wyklucza to stosowania przez instytucje innych wewnętrznych procedur klasyfikacji, które również mogą być zgodne ze wszystkimi istotnymi przepisami CRR i ich interpretacjami wydanymi przez właściwe fora.</w:t>
      </w:r>
    </w:p>
    <w:p w:rsidR="00464F34" w:rsidRPr="00AA1421" w:rsidRDefault="00AA1421" w:rsidP="00487A02">
      <w:pPr>
        <w:pStyle w:val="InstructionsText2"/>
        <w:numPr>
          <w:ilvl w:val="0"/>
          <w:numId w:val="0"/>
        </w:numPr>
        <w:ind w:left="1353" w:hanging="360"/>
      </w:pPr>
      <w:fldSimple w:instr=" seq paragraphs ">
        <w:r w:rsidR="00D11E4C" w:rsidRPr="00AA1421">
          <w:rPr>
            <w:noProof/>
          </w:rPr>
          <w:t>61</w:t>
        </w:r>
      </w:fldSimple>
      <w:r w:rsidR="00D11E4C" w:rsidRPr="00AA1421">
        <w:t>.</w:t>
      </w:r>
      <w:r w:rsidR="00D11E4C" w:rsidRPr="00AA1421">
        <w:tab/>
        <w:t>Kategoria ekspozycji ma pierwszeństwo przed innymi kategoriami w rankingu oceny przedstawionym na schemacie podejmowania decyzji (tj. ocenia się najpierw, czy ekspozycję można zaklasyfikować do danej kategorii ekspozycji, bez uszczerbku dla wyniku tej oceny), jeżeli w przeciwnym wypadku do kategorii tej potencjalnie nie przypisano by żadnej ekspozycji. Sytuacja taka ma miejsce w przypadku, gdy z powodu braku kryteriów ustalania hierarchii jedna kategoria ekspozycji stanowi podzbiór innych kategorii. Kryteria przedstawione graficznie na poniższym schemacie decyzyjnym rozpatrywane byłyby zatem w ramach procesu sekwencyjnego.</w:t>
      </w:r>
    </w:p>
    <w:p w:rsidR="00464F34" w:rsidRPr="00AA1421" w:rsidRDefault="00AA1421" w:rsidP="00487A02">
      <w:pPr>
        <w:pStyle w:val="InstructionsText2"/>
        <w:numPr>
          <w:ilvl w:val="0"/>
          <w:numId w:val="0"/>
        </w:numPr>
        <w:ind w:left="1353" w:hanging="360"/>
      </w:pPr>
      <w:fldSimple w:instr=" seq paragraphs ">
        <w:r w:rsidR="00D11E4C" w:rsidRPr="00AA1421">
          <w:rPr>
            <w:noProof/>
          </w:rPr>
          <w:t>62</w:t>
        </w:r>
      </w:fldSimple>
      <w:r w:rsidR="00D11E4C" w:rsidRPr="00AA1421">
        <w:t>.</w:t>
      </w:r>
      <w:r w:rsidR="00D11E4C" w:rsidRPr="00AA1421">
        <w:tab/>
        <w:t>W tym kontekście ranking oceny przedstawiony na poniższym schemacie podejmowania decyzji jest zgodny z następującą kolejnością:</w:t>
      </w:r>
    </w:p>
    <w:p w:rsidR="00464F34" w:rsidRPr="00AA1421" w:rsidRDefault="00464F34" w:rsidP="00D723DD">
      <w:pPr>
        <w:pStyle w:val="InstructionsText"/>
        <w:ind w:left="1416"/>
      </w:pPr>
      <w:r w:rsidRPr="00AA1421">
        <w:t>1. pozycje sekurytyzacyjne;</w:t>
      </w:r>
    </w:p>
    <w:p w:rsidR="00464F34" w:rsidRPr="00AA1421" w:rsidRDefault="00464F34" w:rsidP="00D723DD">
      <w:pPr>
        <w:pStyle w:val="InstructionsText"/>
        <w:ind w:left="1416"/>
      </w:pPr>
      <w:r w:rsidRPr="00AA1421">
        <w:t>2. pozycje związane ze szczególnie wysokim ryzykiem;</w:t>
      </w:r>
    </w:p>
    <w:p w:rsidR="00464F34" w:rsidRPr="00AA1421" w:rsidRDefault="00464F34" w:rsidP="00D723DD">
      <w:pPr>
        <w:pStyle w:val="InstructionsText"/>
        <w:ind w:left="1416"/>
      </w:pPr>
      <w:r w:rsidRPr="00AA1421">
        <w:t>3. ekspozycje kapitałowe;</w:t>
      </w:r>
    </w:p>
    <w:p w:rsidR="00464F34" w:rsidRPr="00AA1421" w:rsidRDefault="00464F34" w:rsidP="00D723DD">
      <w:pPr>
        <w:pStyle w:val="InstructionsText"/>
        <w:ind w:left="1416"/>
      </w:pPr>
      <w:r w:rsidRPr="00AA1421">
        <w:t>4. ekspozycje, których dotyczy niewykonanie zobowiązania;</w:t>
      </w:r>
    </w:p>
    <w:p w:rsidR="00464F34" w:rsidRPr="00AA1421" w:rsidRDefault="00464F34" w:rsidP="00D723DD">
      <w:pPr>
        <w:pStyle w:val="InstructionsText"/>
        <w:ind w:left="1416"/>
      </w:pPr>
      <w:r w:rsidRPr="00AA1421">
        <w:t>5. ekspozycje w postaci jednostek lub udziałów w przedsiębiorstwach zbiorowego inwestowania/ekspozycje w postaci obligacji zabezpieczonych (rozłączne kategorie ekspozycji);</w:t>
      </w:r>
    </w:p>
    <w:p w:rsidR="00464F34" w:rsidRPr="00AA1421" w:rsidRDefault="00464F34" w:rsidP="00D723DD">
      <w:pPr>
        <w:pStyle w:val="InstructionsText"/>
        <w:ind w:left="1416"/>
      </w:pPr>
      <w:r w:rsidRPr="00AA1421">
        <w:t>6. ekspozycje zabezpieczone hipotekami na nieruchomościach;</w:t>
      </w:r>
    </w:p>
    <w:p w:rsidR="00464F34" w:rsidRPr="00AA1421" w:rsidRDefault="00464F34" w:rsidP="00D723DD">
      <w:pPr>
        <w:pStyle w:val="InstructionsText"/>
        <w:ind w:left="1416"/>
      </w:pPr>
      <w:r w:rsidRPr="00AA1421">
        <w:t>7. inne pozycje;</w:t>
      </w:r>
    </w:p>
    <w:p w:rsidR="00464F34" w:rsidRPr="00AA1421" w:rsidRDefault="00464F34" w:rsidP="00D723DD">
      <w:pPr>
        <w:pStyle w:val="InstructionsText"/>
        <w:ind w:left="1416"/>
      </w:pPr>
      <w:r w:rsidRPr="00AA1421">
        <w:t>8. ekspozycje wobec instytucji i przedsiębiorstw posiadających krótkoterminową ocenę kredytową;</w:t>
      </w:r>
    </w:p>
    <w:p w:rsidR="00464F34" w:rsidRPr="00AA1421" w:rsidRDefault="00464F34" w:rsidP="00D723DD">
      <w:pPr>
        <w:pStyle w:val="InstructionsText"/>
        <w:ind w:left="1416"/>
      </w:pPr>
      <w:r w:rsidRPr="00AA1421">
        <w:t>9. wszystkie pozostałe kategorie ekspozycji (rozłączne kategorie ekspozycji), które obejmują ekspozycje wobec rządów centralnych lub banków centralnych, ekspozycje wobec samorządów regionalnych lub władz lokalnych, ekspozycje wobec podmiotów sektora publicznego, ekspozycje wobec wielostronnych banków rozwoju, ekspozycje wobec organizacji międzynarodowych, ekspozycje wobec instytucji, ekspozycje wobec przedsiębiorstw i ekspozycje detaliczne.</w:t>
      </w:r>
    </w:p>
    <w:p w:rsidR="00464F34" w:rsidRPr="00AA1421" w:rsidRDefault="00AA1421" w:rsidP="00487A02">
      <w:pPr>
        <w:pStyle w:val="InstructionsText2"/>
        <w:numPr>
          <w:ilvl w:val="0"/>
          <w:numId w:val="0"/>
        </w:numPr>
        <w:ind w:left="1353" w:hanging="360"/>
      </w:pPr>
      <w:fldSimple w:instr=" seq paragraphs ">
        <w:r w:rsidR="00D11E4C" w:rsidRPr="00AA1421">
          <w:rPr>
            <w:noProof/>
          </w:rPr>
          <w:t>63</w:t>
        </w:r>
      </w:fldSimple>
      <w:r w:rsidR="00D11E4C" w:rsidRPr="00AA1421">
        <w:t>.</w:t>
      </w:r>
      <w:r w:rsidR="00D11E4C" w:rsidRPr="00AA1421">
        <w:tab/>
        <w:t xml:space="preserve">W przypadku ekspozycji w postaci jednostek lub udziałów w przedsiębiorstwach zbiorowego inwestowania oraz gdy stosowana jest metoda pełnego przeglądu lub </w:t>
      </w:r>
      <w:r w:rsidR="00D11E4C" w:rsidRPr="00AA1421">
        <w:lastRenderedPageBreak/>
        <w:t>metoda oparta na uprawnieniach (</w:t>
      </w:r>
      <w:r w:rsidR="00D11E4C" w:rsidRPr="00084F66">
        <w:t>art.</w:t>
      </w:r>
      <w:r w:rsidR="00084F66" w:rsidRPr="00084F66">
        <w:t> </w:t>
      </w:r>
      <w:r w:rsidR="00D11E4C" w:rsidRPr="00084F66">
        <w:t>1</w:t>
      </w:r>
      <w:r w:rsidR="00D11E4C" w:rsidRPr="00AA1421">
        <w:t xml:space="preserve">32a </w:t>
      </w:r>
      <w:r w:rsidR="00D11E4C" w:rsidRPr="00084F66">
        <w:t>ust.</w:t>
      </w:r>
      <w:r w:rsidR="00084F66" w:rsidRPr="00084F66">
        <w:t> </w:t>
      </w:r>
      <w:r w:rsidR="00D11E4C" w:rsidRPr="00084F66">
        <w:t>1</w:t>
      </w:r>
      <w:r w:rsidR="00D11E4C" w:rsidRPr="00AA1421">
        <w:t xml:space="preserve"> i 2 CRR), poszczególne ekspozycje bazowe (w przypadku metody pełnego przeglądu) i indywidualną grupę ekspozycji (w przypadku metody opartej na uprawnieniach) rozpatruje się i klasyfikuje do odpowiedniej wagi ryzyka zgodnie z ich traktowaniem. Wszystkie poszczególne ekspozycje klasyfikuje się jednak w kategorii ekspozycji „Ekspozycje w postaci jednostek uczestnictwa lub udziałów w przedsiębiorstwach zbiorowego inwestowania”.</w:t>
      </w:r>
    </w:p>
    <w:p w:rsidR="00464F34" w:rsidRPr="00AA1421" w:rsidRDefault="00AA1421" w:rsidP="00487A02">
      <w:pPr>
        <w:pStyle w:val="InstructionsText2"/>
        <w:numPr>
          <w:ilvl w:val="0"/>
          <w:numId w:val="0"/>
        </w:numPr>
        <w:ind w:left="1353" w:hanging="360"/>
      </w:pPr>
      <w:fldSimple w:instr=" seq paragraphs ">
        <w:r w:rsidR="00D11E4C" w:rsidRPr="00AA1421">
          <w:rPr>
            <w:noProof/>
          </w:rPr>
          <w:t>64</w:t>
        </w:r>
      </w:fldSimple>
      <w:r w:rsidR="00D11E4C" w:rsidRPr="00AA1421">
        <w:t>.</w:t>
      </w:r>
      <w:r w:rsidR="00D11E4C" w:rsidRPr="00AA1421">
        <w:tab/>
        <w:t xml:space="preserve"> Kredytowe instrumenty pochodne uruchamiane n-tym niewykonaniem zobowiązania, jak określono w </w:t>
      </w:r>
      <w:r w:rsidR="00D11E4C" w:rsidRPr="00084F66">
        <w:t>art.</w:t>
      </w:r>
      <w:r w:rsidR="00084F66" w:rsidRPr="00084F66">
        <w:t> </w:t>
      </w:r>
      <w:r w:rsidR="00D11E4C" w:rsidRPr="00084F66">
        <w:t>1</w:t>
      </w:r>
      <w:r w:rsidR="00D11E4C" w:rsidRPr="00AA1421">
        <w:t xml:space="preserve">34 </w:t>
      </w:r>
      <w:r w:rsidR="00D11E4C" w:rsidRPr="00084F66">
        <w:t>ust.</w:t>
      </w:r>
      <w:r w:rsidR="00084F66" w:rsidRPr="00084F66">
        <w:t> </w:t>
      </w:r>
      <w:r w:rsidR="00D11E4C" w:rsidRPr="00084F66">
        <w:t>6</w:t>
      </w:r>
      <w:r w:rsidR="00D11E4C" w:rsidRPr="00AA1421">
        <w:t xml:space="preserve"> CRR, które są oceniane, klasyfikuje się bezpośrednio jako pozycje sekurytyzacyjne. Jeśli nie są one oceniane, uwzględnia się je w kategorii ekspozycji „inne pozycje”. W tym ostatnim przypadku kwota nominalna umowy jest zgłaszana jako pierwotna ekspozycja przed uwzględnieniem współczynników konwersji w wierszu dotyczącym „Innych wag ryzyka” (wagą ryzyka jest waga określona w zależności od sumy wskazanej w </w:t>
      </w:r>
      <w:r w:rsidR="00D11E4C" w:rsidRPr="00084F66">
        <w:t>art.</w:t>
      </w:r>
      <w:r w:rsidR="00084F66" w:rsidRPr="00084F66">
        <w:t> </w:t>
      </w:r>
      <w:r w:rsidR="00D11E4C" w:rsidRPr="00084F66">
        <w:t>1</w:t>
      </w:r>
      <w:r w:rsidR="00D11E4C" w:rsidRPr="00AA1421">
        <w:t xml:space="preserve">34 </w:t>
      </w:r>
      <w:r w:rsidR="00D11E4C" w:rsidRPr="00084F66">
        <w:t>ust.</w:t>
      </w:r>
      <w:r w:rsidR="00084F66" w:rsidRPr="00084F66">
        <w:t> </w:t>
      </w:r>
      <w:r w:rsidR="00D11E4C" w:rsidRPr="00084F66">
        <w:t>6</w:t>
      </w:r>
      <w:r w:rsidR="00D11E4C" w:rsidRPr="00AA1421">
        <w:t xml:space="preserve"> CRR). </w:t>
      </w:r>
    </w:p>
    <w:p w:rsidR="00464F34" w:rsidRPr="00AA1421" w:rsidRDefault="00AA1421" w:rsidP="00487A02">
      <w:pPr>
        <w:pStyle w:val="InstructionsText2"/>
        <w:numPr>
          <w:ilvl w:val="0"/>
          <w:numId w:val="0"/>
        </w:numPr>
        <w:ind w:left="1353" w:hanging="360"/>
      </w:pPr>
      <w:fldSimple w:instr=" seq paragraphs ">
        <w:r w:rsidR="00D11E4C" w:rsidRPr="00AA1421">
          <w:rPr>
            <w:noProof/>
          </w:rPr>
          <w:t>65</w:t>
        </w:r>
      </w:fldSimple>
      <w:r w:rsidR="00D11E4C" w:rsidRPr="00AA1421">
        <w:t>.</w:t>
      </w:r>
      <w:r w:rsidR="00D11E4C" w:rsidRPr="00AA1421">
        <w:tab/>
        <w:t>Na drugim etapie wskutek stosowania technik ograniczania ryzyka kredytowego z uwzględnieniem efektów substytucyjnych ekspozycje klasyfikuje się ponownie – tym razem do kategorii ekspozycji dostawcy ochrony.</w:t>
      </w:r>
    </w:p>
    <w:p w:rsidR="00464F34" w:rsidRPr="00AA1421" w:rsidRDefault="00464F34" w:rsidP="00487A02">
      <w:pPr>
        <w:pStyle w:val="InstructionsText"/>
      </w:pPr>
      <w:r w:rsidRPr="00AA1421">
        <w:br w:type="page"/>
      </w:r>
      <w:r w:rsidRPr="00AA1421">
        <w:lastRenderedPageBreak/>
        <w:t xml:space="preserve">SCHEMAT PODEJMOWANIA DECYZJI W SPRAWIE KLASYFIKOWANIA PIERWOTNEJ EKSPOZYCJI PRZED UWZGLĘDNIENIEM WSPÓŁCZYNNIKÓW KONWERSJI DO KATEGORII EKSPOZYCJI WEDŁUG METODY STANDARDOWEJ ZGODNIE Z CRR </w:t>
      </w:r>
    </w:p>
    <w:p w:rsidR="00464F34" w:rsidRPr="00AA1421"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AA1421" w:rsidTr="00672D2A">
        <w:tc>
          <w:tcPr>
            <w:tcW w:w="3761" w:type="dxa"/>
            <w:shd w:val="clear" w:color="auto" w:fill="auto"/>
          </w:tcPr>
          <w:p w:rsidR="003A1B96" w:rsidRPr="00AA1421" w:rsidRDefault="003A1B96" w:rsidP="007574C3">
            <w:pPr>
              <w:spacing w:before="0" w:after="0"/>
              <w:jc w:val="left"/>
              <w:rPr>
                <w:sz w:val="24"/>
              </w:rPr>
            </w:pPr>
            <w:r w:rsidRPr="00AA1421">
              <w:rPr>
                <w:rFonts w:ascii="Times New Roman" w:hAnsi="Times New Roman"/>
                <w:sz w:val="24"/>
              </w:rPr>
              <w:t>Pierwotna ekspozycja przed uwzględnieniem współczynników konwersji</w:t>
            </w:r>
          </w:p>
        </w:tc>
        <w:tc>
          <w:tcPr>
            <w:tcW w:w="1417" w:type="dxa"/>
            <w:shd w:val="clear" w:color="auto" w:fill="auto"/>
          </w:tcPr>
          <w:p w:rsidR="003A1B96" w:rsidRPr="00AA1421" w:rsidRDefault="003A1B96" w:rsidP="00487A02">
            <w:pPr>
              <w:pStyle w:val="InstructionsText"/>
            </w:pPr>
          </w:p>
        </w:tc>
        <w:tc>
          <w:tcPr>
            <w:tcW w:w="4077" w:type="dxa"/>
            <w:shd w:val="clear" w:color="auto" w:fill="auto"/>
          </w:tcPr>
          <w:p w:rsidR="003A1B96" w:rsidRPr="00AA1421" w:rsidRDefault="003A1B96" w:rsidP="00487A02">
            <w:pPr>
              <w:pStyle w:val="InstructionsText"/>
            </w:pPr>
          </w:p>
        </w:tc>
      </w:tr>
      <w:tr w:rsidR="00581FA5" w:rsidRPr="00AA1421" w:rsidTr="00672D2A">
        <w:tc>
          <w:tcPr>
            <w:tcW w:w="3761" w:type="dxa"/>
            <w:shd w:val="clear" w:color="auto" w:fill="auto"/>
          </w:tcPr>
          <w:p w:rsidR="00581FA5" w:rsidRPr="00AA1421" w:rsidRDefault="00581FA5"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m)</w:t>
            </w:r>
            <w:r w:rsidRPr="00AA1421">
              <w:t xml:space="preserve"> CRR?</w:t>
            </w:r>
          </w:p>
        </w:tc>
        <w:tc>
          <w:tcPr>
            <w:tcW w:w="1417" w:type="dxa"/>
            <w:shd w:val="clear" w:color="auto" w:fill="auto"/>
          </w:tcPr>
          <w:p w:rsidR="00BD52C3" w:rsidRPr="00AA1421" w:rsidRDefault="00BD52C3" w:rsidP="00487A02">
            <w:pPr>
              <w:pStyle w:val="InstructionsText"/>
            </w:pPr>
            <w:r w:rsidRPr="00AA1421">
              <w:t>TAK</w:t>
            </w:r>
            <w:r w:rsidRPr="00AA1421">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r w:rsidRPr="00AA1421">
              <w:t>Pozycje sekurytyzacyjne</w:t>
            </w:r>
          </w:p>
        </w:tc>
      </w:tr>
      <w:tr w:rsidR="005B3B7C" w:rsidRPr="00AA1421" w:rsidTr="00672D2A">
        <w:tc>
          <w:tcPr>
            <w:tcW w:w="3761" w:type="dxa"/>
            <w:shd w:val="clear" w:color="auto" w:fill="auto"/>
          </w:tcPr>
          <w:p w:rsidR="00581FA5" w:rsidRPr="00AA1421" w:rsidRDefault="00581FA5" w:rsidP="00487A02">
            <w:pPr>
              <w:pStyle w:val="InstructionsText"/>
            </w:pPr>
            <w:r w:rsidRPr="00AA1421">
              <w:t>NIE</w:t>
            </w:r>
            <w:r w:rsidRPr="00AA1421">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AA1421" w:rsidRDefault="005B3B7C" w:rsidP="00487A02">
            <w:pPr>
              <w:pStyle w:val="InstructionsText"/>
            </w:pPr>
          </w:p>
        </w:tc>
        <w:tc>
          <w:tcPr>
            <w:tcW w:w="1417" w:type="dxa"/>
            <w:shd w:val="clear" w:color="auto" w:fill="auto"/>
          </w:tcPr>
          <w:p w:rsidR="005B3B7C" w:rsidRPr="00AA1421" w:rsidRDefault="005B3B7C" w:rsidP="00487A02">
            <w:pPr>
              <w:pStyle w:val="InstructionsText"/>
            </w:pPr>
          </w:p>
        </w:tc>
        <w:tc>
          <w:tcPr>
            <w:tcW w:w="4077" w:type="dxa"/>
            <w:shd w:val="clear" w:color="auto" w:fill="auto"/>
          </w:tcPr>
          <w:p w:rsidR="005B3B7C" w:rsidRPr="00AA1421" w:rsidRDefault="005B3B7C" w:rsidP="00487A02">
            <w:pPr>
              <w:pStyle w:val="InstructionsText"/>
            </w:pPr>
          </w:p>
        </w:tc>
      </w:tr>
      <w:tr w:rsidR="003A1B96" w:rsidRPr="00AA1421" w:rsidTr="00672D2A">
        <w:tc>
          <w:tcPr>
            <w:tcW w:w="3761" w:type="dxa"/>
            <w:shd w:val="clear" w:color="auto" w:fill="auto"/>
          </w:tcPr>
          <w:p w:rsidR="003A1B96" w:rsidRPr="00AA1421" w:rsidRDefault="003A1B96"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k)</w:t>
            </w:r>
            <w:r w:rsidRPr="00AA1421">
              <w:t xml:space="preserve"> CRR?</w:t>
            </w:r>
          </w:p>
        </w:tc>
        <w:tc>
          <w:tcPr>
            <w:tcW w:w="1417" w:type="dxa"/>
            <w:shd w:val="clear" w:color="auto" w:fill="auto"/>
          </w:tcPr>
          <w:p w:rsidR="00AC3054" w:rsidRPr="00AA1421" w:rsidRDefault="00974E3F" w:rsidP="00487A02">
            <w:pPr>
              <w:pStyle w:val="InstructionsText"/>
            </w:pPr>
            <w:r w:rsidRPr="00AA1421">
              <w:t>TAK</w:t>
            </w:r>
            <w:r w:rsidRPr="00AA1421">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AA1421" w:rsidRDefault="00BD52C3" w:rsidP="00487A02">
            <w:pPr>
              <w:pStyle w:val="InstructionsText"/>
            </w:pPr>
          </w:p>
          <w:p w:rsidR="003A1B96" w:rsidRPr="00AA1421" w:rsidRDefault="003A1B96" w:rsidP="00487A02">
            <w:pPr>
              <w:pStyle w:val="InstructionsText"/>
            </w:pPr>
          </w:p>
        </w:tc>
        <w:tc>
          <w:tcPr>
            <w:tcW w:w="4077" w:type="dxa"/>
            <w:shd w:val="clear" w:color="auto" w:fill="auto"/>
          </w:tcPr>
          <w:p w:rsidR="003A1B96" w:rsidRPr="00AA1421" w:rsidRDefault="003A1B96" w:rsidP="00487A02">
            <w:pPr>
              <w:pStyle w:val="InstructionsText"/>
            </w:pPr>
            <w:r w:rsidRPr="00AA1421">
              <w:t xml:space="preserve">Pozycje związane ze szczególnie wysokim ryzykiem (zob. także </w:t>
            </w:r>
            <w:r w:rsidRPr="00084F66">
              <w:t>art.</w:t>
            </w:r>
            <w:r w:rsidR="00084F66" w:rsidRPr="00084F66">
              <w:t> </w:t>
            </w:r>
            <w:r w:rsidRPr="00084F66">
              <w:t>1</w:t>
            </w:r>
            <w:r w:rsidRPr="00AA1421">
              <w:t>28 CRR)</w:t>
            </w:r>
          </w:p>
        </w:tc>
      </w:tr>
      <w:tr w:rsidR="003A1B96" w:rsidRPr="00AA1421" w:rsidTr="00672D2A">
        <w:tc>
          <w:tcPr>
            <w:tcW w:w="3761" w:type="dxa"/>
            <w:shd w:val="clear" w:color="auto" w:fill="auto"/>
          </w:tcPr>
          <w:p w:rsidR="007241D3" w:rsidRPr="00AA1421" w:rsidRDefault="007241D3" w:rsidP="00487A02">
            <w:pPr>
              <w:pStyle w:val="InstructionsText"/>
            </w:pPr>
            <w:r w:rsidRPr="00AA1421">
              <w:t>NIE</w:t>
            </w:r>
            <w:r w:rsidRPr="00AA1421">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AA1421" w:rsidRDefault="003A1B96" w:rsidP="00487A02">
            <w:pPr>
              <w:pStyle w:val="InstructionsText"/>
            </w:pPr>
          </w:p>
        </w:tc>
        <w:tc>
          <w:tcPr>
            <w:tcW w:w="1417" w:type="dxa"/>
            <w:shd w:val="clear" w:color="auto" w:fill="auto"/>
          </w:tcPr>
          <w:p w:rsidR="003A1B96" w:rsidRPr="00AA1421" w:rsidRDefault="003A1B96" w:rsidP="00487A02">
            <w:pPr>
              <w:pStyle w:val="InstructionsText"/>
            </w:pPr>
          </w:p>
        </w:tc>
        <w:tc>
          <w:tcPr>
            <w:tcW w:w="4077" w:type="dxa"/>
            <w:shd w:val="clear" w:color="auto" w:fill="auto"/>
          </w:tcPr>
          <w:p w:rsidR="003A1B96" w:rsidRPr="00AA1421" w:rsidRDefault="003A1B96" w:rsidP="00487A02">
            <w:pPr>
              <w:pStyle w:val="InstructionsText"/>
            </w:pPr>
          </w:p>
        </w:tc>
      </w:tr>
      <w:tr w:rsidR="003A1B96" w:rsidRPr="00AA1421" w:rsidTr="00672D2A">
        <w:tc>
          <w:tcPr>
            <w:tcW w:w="3761" w:type="dxa"/>
            <w:shd w:val="clear" w:color="auto" w:fill="auto"/>
          </w:tcPr>
          <w:p w:rsidR="003A1B96" w:rsidRPr="00AA1421" w:rsidRDefault="003A1B96"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p)</w:t>
            </w:r>
            <w:r w:rsidRPr="00AA1421">
              <w:t xml:space="preserve"> CRR?</w:t>
            </w:r>
          </w:p>
        </w:tc>
        <w:tc>
          <w:tcPr>
            <w:tcW w:w="1417" w:type="dxa"/>
            <w:shd w:val="clear" w:color="auto" w:fill="auto"/>
          </w:tcPr>
          <w:p w:rsidR="00BD52C3" w:rsidRPr="00AA1421" w:rsidRDefault="00BD52C3" w:rsidP="00487A02">
            <w:pPr>
              <w:pStyle w:val="InstructionsText"/>
            </w:pPr>
            <w:r w:rsidRPr="00AA1421">
              <w:t>TAK</w:t>
            </w:r>
            <w:r w:rsidRPr="00AA1421">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AA1421" w:rsidRDefault="003A1B96" w:rsidP="00487A02">
            <w:pPr>
              <w:pStyle w:val="InstructionsText"/>
            </w:pPr>
          </w:p>
        </w:tc>
        <w:tc>
          <w:tcPr>
            <w:tcW w:w="4077" w:type="dxa"/>
            <w:shd w:val="clear" w:color="auto" w:fill="auto"/>
          </w:tcPr>
          <w:p w:rsidR="003A1B96" w:rsidRPr="00AA1421" w:rsidRDefault="003A1B96" w:rsidP="00487A02">
            <w:pPr>
              <w:pStyle w:val="InstructionsText"/>
            </w:pPr>
            <w:r w:rsidRPr="00AA1421">
              <w:t xml:space="preserve">Ekspozycje kapitałowe (zob. także </w:t>
            </w:r>
            <w:r w:rsidRPr="00084F66">
              <w:t>art.</w:t>
            </w:r>
            <w:r w:rsidR="00084F66" w:rsidRPr="00084F66">
              <w:t> </w:t>
            </w:r>
            <w:r w:rsidRPr="00084F66">
              <w:t>1</w:t>
            </w:r>
            <w:r w:rsidRPr="00AA1421">
              <w:t>33 CRR)</w:t>
            </w:r>
          </w:p>
        </w:tc>
      </w:tr>
      <w:tr w:rsidR="003A1B96" w:rsidRPr="00AA1421" w:rsidTr="00672D2A">
        <w:tc>
          <w:tcPr>
            <w:tcW w:w="3761" w:type="dxa"/>
            <w:shd w:val="clear" w:color="auto" w:fill="auto"/>
          </w:tcPr>
          <w:p w:rsidR="007241D3" w:rsidRPr="00AA1421" w:rsidRDefault="007241D3" w:rsidP="00487A02">
            <w:pPr>
              <w:pStyle w:val="InstructionsText"/>
            </w:pPr>
            <w:r w:rsidRPr="00AA1421">
              <w:t>NIE</w:t>
            </w:r>
            <w:r w:rsidRPr="00AA1421">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AA1421" w:rsidRDefault="003A1B96" w:rsidP="00487A02">
            <w:pPr>
              <w:pStyle w:val="InstructionsText"/>
            </w:pPr>
          </w:p>
        </w:tc>
        <w:tc>
          <w:tcPr>
            <w:tcW w:w="1417" w:type="dxa"/>
            <w:shd w:val="clear" w:color="auto" w:fill="auto"/>
          </w:tcPr>
          <w:p w:rsidR="003A1B96" w:rsidRPr="00AA1421" w:rsidRDefault="003A1B96" w:rsidP="00487A02">
            <w:pPr>
              <w:pStyle w:val="InstructionsText"/>
            </w:pPr>
          </w:p>
        </w:tc>
        <w:tc>
          <w:tcPr>
            <w:tcW w:w="4077" w:type="dxa"/>
            <w:shd w:val="clear" w:color="auto" w:fill="auto"/>
          </w:tcPr>
          <w:p w:rsidR="003A1B96" w:rsidRPr="00AA1421" w:rsidRDefault="003A1B96" w:rsidP="00487A02">
            <w:pPr>
              <w:pStyle w:val="InstructionsText"/>
            </w:pPr>
          </w:p>
        </w:tc>
      </w:tr>
      <w:tr w:rsidR="00581FA5" w:rsidRPr="00AA1421" w:rsidTr="00672D2A">
        <w:tc>
          <w:tcPr>
            <w:tcW w:w="3761" w:type="dxa"/>
            <w:shd w:val="clear" w:color="auto" w:fill="auto"/>
          </w:tcPr>
          <w:p w:rsidR="00581FA5" w:rsidRPr="00AA1421" w:rsidRDefault="00581FA5"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j)</w:t>
            </w:r>
            <w:r w:rsidRPr="00AA1421">
              <w:t xml:space="preserve"> CRR?</w:t>
            </w:r>
          </w:p>
        </w:tc>
        <w:tc>
          <w:tcPr>
            <w:tcW w:w="1417" w:type="dxa"/>
            <w:shd w:val="clear" w:color="auto" w:fill="auto"/>
          </w:tcPr>
          <w:p w:rsidR="00BD52C3" w:rsidRPr="00AA1421" w:rsidRDefault="00BD52C3" w:rsidP="00487A02">
            <w:pPr>
              <w:pStyle w:val="InstructionsText"/>
            </w:pPr>
            <w:r w:rsidRPr="00AA1421">
              <w:t>TAK</w:t>
            </w:r>
            <w:r w:rsidRPr="00AA1421">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r w:rsidRPr="00AA1421">
              <w:t>Ekspozycje, których dotyczy niewykonanie zobowiązania</w:t>
            </w:r>
          </w:p>
        </w:tc>
      </w:tr>
      <w:tr w:rsidR="00581FA5" w:rsidRPr="00AA1421" w:rsidTr="00672D2A">
        <w:tc>
          <w:tcPr>
            <w:tcW w:w="3761" w:type="dxa"/>
            <w:shd w:val="clear" w:color="auto" w:fill="auto"/>
          </w:tcPr>
          <w:p w:rsidR="007241D3" w:rsidRPr="00AA1421" w:rsidRDefault="007241D3" w:rsidP="00487A02">
            <w:pPr>
              <w:pStyle w:val="InstructionsText"/>
            </w:pPr>
            <w:r w:rsidRPr="00AA1421">
              <w:t>NIE</w:t>
            </w:r>
            <w:r w:rsidRPr="00AA1421">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AA1421" w:rsidRDefault="00581FA5" w:rsidP="00487A02">
            <w:pPr>
              <w:pStyle w:val="InstructionsText"/>
            </w:pPr>
          </w:p>
        </w:tc>
        <w:tc>
          <w:tcPr>
            <w:tcW w:w="1417" w:type="dxa"/>
            <w:shd w:val="clear" w:color="auto" w:fill="auto"/>
          </w:tcPr>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p>
        </w:tc>
      </w:tr>
      <w:tr w:rsidR="00581FA5" w:rsidRPr="00AA1421" w:rsidTr="00672D2A">
        <w:tc>
          <w:tcPr>
            <w:tcW w:w="3761" w:type="dxa"/>
            <w:shd w:val="clear" w:color="auto" w:fill="auto"/>
          </w:tcPr>
          <w:p w:rsidR="00581FA5" w:rsidRPr="00AA1421" w:rsidRDefault="00581FA5"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l)</w:t>
            </w:r>
            <w:r w:rsidRPr="00AA1421">
              <w:t xml:space="preserve"> oraz o) CRR?</w:t>
            </w:r>
          </w:p>
        </w:tc>
        <w:tc>
          <w:tcPr>
            <w:tcW w:w="1417" w:type="dxa"/>
            <w:shd w:val="clear" w:color="auto" w:fill="auto"/>
          </w:tcPr>
          <w:p w:rsidR="00BD52C3" w:rsidRPr="00AA1421" w:rsidRDefault="00BD52C3" w:rsidP="00487A02">
            <w:pPr>
              <w:pStyle w:val="InstructionsText"/>
            </w:pPr>
            <w:r w:rsidRPr="00AA1421">
              <w:t>TAK</w:t>
            </w:r>
            <w:r w:rsidRPr="00AA1421">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r w:rsidRPr="00AA1421">
              <w:t>Ekspozycje w postaci jednostek uczestnictwa lub udziałów w przedsiębiorstwach zbiorowego inwestowania</w:t>
            </w:r>
          </w:p>
          <w:p w:rsidR="00581FA5" w:rsidRPr="00AA1421" w:rsidRDefault="00581FA5" w:rsidP="00487A02">
            <w:pPr>
              <w:pStyle w:val="InstructionsText"/>
            </w:pPr>
            <w:r w:rsidRPr="00AA1421">
              <w:t xml:space="preserve">Ekspozycje w postaci obligacji zabezpieczonych (zob. także </w:t>
            </w:r>
            <w:r w:rsidRPr="00084F66">
              <w:t>art.</w:t>
            </w:r>
            <w:r w:rsidR="00084F66" w:rsidRPr="00084F66">
              <w:t> </w:t>
            </w:r>
            <w:r w:rsidRPr="00084F66">
              <w:t>1</w:t>
            </w:r>
            <w:r w:rsidRPr="00AA1421">
              <w:t>29 CRR)</w:t>
            </w:r>
          </w:p>
          <w:p w:rsidR="00581FA5" w:rsidRPr="00AA1421" w:rsidRDefault="00581FA5" w:rsidP="00487A02">
            <w:pPr>
              <w:pStyle w:val="InstructionsText"/>
            </w:pPr>
            <w:r w:rsidRPr="00AA1421">
              <w:t xml:space="preserve">Te dwie kategorie ekspozycji są rozłączne (zob. uwagi na temat metody pełnego przeglądu w odniesieniu do </w:t>
            </w:r>
            <w:r w:rsidRPr="00AA1421">
              <w:lastRenderedPageBreak/>
              <w:t>odpowiedzi powyżej). Zaklasyfikowanie ekspozycji do jednej z tych kategorii jest zatem proste.</w:t>
            </w:r>
          </w:p>
        </w:tc>
      </w:tr>
      <w:tr w:rsidR="00581FA5" w:rsidRPr="00AA1421" w:rsidTr="00672D2A">
        <w:tc>
          <w:tcPr>
            <w:tcW w:w="3761" w:type="dxa"/>
            <w:shd w:val="clear" w:color="auto" w:fill="auto"/>
          </w:tcPr>
          <w:p w:rsidR="007241D3" w:rsidRPr="00AA1421" w:rsidRDefault="007241D3" w:rsidP="00487A02">
            <w:pPr>
              <w:pStyle w:val="InstructionsText"/>
            </w:pPr>
            <w:r w:rsidRPr="00AA1421">
              <w:lastRenderedPageBreak/>
              <w:t>NIE</w:t>
            </w:r>
            <w:r w:rsidRPr="00AA1421">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AA1421" w:rsidRDefault="00581FA5" w:rsidP="00487A02">
            <w:pPr>
              <w:pStyle w:val="InstructionsText"/>
            </w:pPr>
          </w:p>
        </w:tc>
        <w:tc>
          <w:tcPr>
            <w:tcW w:w="1417" w:type="dxa"/>
            <w:shd w:val="clear" w:color="auto" w:fill="auto"/>
          </w:tcPr>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p>
        </w:tc>
      </w:tr>
      <w:tr w:rsidR="00581FA5" w:rsidRPr="00AA1421" w:rsidTr="00672D2A">
        <w:tc>
          <w:tcPr>
            <w:tcW w:w="3761" w:type="dxa"/>
            <w:shd w:val="clear" w:color="auto" w:fill="auto"/>
          </w:tcPr>
          <w:p w:rsidR="00581FA5" w:rsidRPr="00AA1421" w:rsidRDefault="00581FA5"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i)</w:t>
            </w:r>
            <w:r w:rsidRPr="00AA1421">
              <w:t xml:space="preserve"> CRR?</w:t>
            </w:r>
          </w:p>
        </w:tc>
        <w:tc>
          <w:tcPr>
            <w:tcW w:w="1417" w:type="dxa"/>
            <w:shd w:val="clear" w:color="auto" w:fill="auto"/>
          </w:tcPr>
          <w:p w:rsidR="00BD52C3" w:rsidRPr="00AA1421" w:rsidRDefault="00BD52C3" w:rsidP="00487A02">
            <w:pPr>
              <w:pStyle w:val="InstructionsText"/>
            </w:pPr>
            <w:r w:rsidRPr="00AA1421">
              <w:t>TAK</w:t>
            </w:r>
            <w:r w:rsidRPr="00AA1421">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r w:rsidRPr="00AA1421">
              <w:t xml:space="preserve">Ekspozycje zabezpieczone hipotekami na nieruchomościach (zob. także </w:t>
            </w:r>
            <w:r w:rsidRPr="00084F66">
              <w:t>art.</w:t>
            </w:r>
            <w:r w:rsidR="00084F66" w:rsidRPr="00084F66">
              <w:t> </w:t>
            </w:r>
            <w:r w:rsidRPr="00084F66">
              <w:t>1</w:t>
            </w:r>
            <w:r w:rsidRPr="00AA1421">
              <w:t>24 CRR)</w:t>
            </w:r>
          </w:p>
        </w:tc>
      </w:tr>
      <w:tr w:rsidR="00581FA5" w:rsidRPr="00AA1421" w:rsidTr="00672D2A">
        <w:tc>
          <w:tcPr>
            <w:tcW w:w="3761" w:type="dxa"/>
            <w:shd w:val="clear" w:color="auto" w:fill="auto"/>
          </w:tcPr>
          <w:p w:rsidR="007241D3" w:rsidRPr="00AA1421" w:rsidRDefault="007241D3" w:rsidP="00487A02">
            <w:pPr>
              <w:pStyle w:val="InstructionsText"/>
            </w:pPr>
            <w:r w:rsidRPr="00AA1421">
              <w:t>NIE</w:t>
            </w:r>
            <w:r w:rsidRPr="00AA1421">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AA1421" w:rsidRDefault="00581FA5" w:rsidP="00487A02">
            <w:pPr>
              <w:pStyle w:val="InstructionsText"/>
            </w:pPr>
          </w:p>
        </w:tc>
        <w:tc>
          <w:tcPr>
            <w:tcW w:w="1417" w:type="dxa"/>
            <w:shd w:val="clear" w:color="auto" w:fill="auto"/>
          </w:tcPr>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p>
        </w:tc>
      </w:tr>
      <w:tr w:rsidR="00581FA5" w:rsidRPr="00AA1421" w:rsidTr="00672D2A">
        <w:tc>
          <w:tcPr>
            <w:tcW w:w="3761" w:type="dxa"/>
            <w:shd w:val="clear" w:color="auto" w:fill="auto"/>
          </w:tcPr>
          <w:p w:rsidR="00581FA5" w:rsidRPr="00AA1421" w:rsidRDefault="00581FA5"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q)</w:t>
            </w:r>
            <w:r w:rsidRPr="00AA1421">
              <w:t xml:space="preserve"> CRR?</w:t>
            </w:r>
          </w:p>
        </w:tc>
        <w:tc>
          <w:tcPr>
            <w:tcW w:w="1417" w:type="dxa"/>
            <w:shd w:val="clear" w:color="auto" w:fill="auto"/>
          </w:tcPr>
          <w:p w:rsidR="00BD52C3" w:rsidRPr="00AA1421" w:rsidRDefault="00BD52C3" w:rsidP="00487A02">
            <w:pPr>
              <w:pStyle w:val="InstructionsText"/>
            </w:pPr>
            <w:r w:rsidRPr="00AA1421">
              <w:t>TAK</w:t>
            </w:r>
            <w:r w:rsidRPr="00AA1421">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r w:rsidRPr="00AA1421">
              <w:t>Inne pozycje</w:t>
            </w:r>
          </w:p>
        </w:tc>
      </w:tr>
      <w:tr w:rsidR="00581FA5" w:rsidRPr="00AA1421" w:rsidTr="00672D2A">
        <w:tc>
          <w:tcPr>
            <w:tcW w:w="3761" w:type="dxa"/>
            <w:shd w:val="clear" w:color="auto" w:fill="auto"/>
          </w:tcPr>
          <w:p w:rsidR="007241D3" w:rsidRPr="00AA1421" w:rsidRDefault="007241D3" w:rsidP="00487A02">
            <w:pPr>
              <w:pStyle w:val="InstructionsText"/>
            </w:pPr>
            <w:r w:rsidRPr="00AA1421">
              <w:t>NIE</w:t>
            </w:r>
            <w:r w:rsidRPr="00AA1421">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AA1421" w:rsidRDefault="00581FA5" w:rsidP="00487A02">
            <w:pPr>
              <w:pStyle w:val="InstructionsText"/>
            </w:pPr>
          </w:p>
        </w:tc>
        <w:tc>
          <w:tcPr>
            <w:tcW w:w="1417" w:type="dxa"/>
            <w:shd w:val="clear" w:color="auto" w:fill="auto"/>
          </w:tcPr>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p>
        </w:tc>
      </w:tr>
      <w:tr w:rsidR="00581FA5" w:rsidRPr="00AA1421" w:rsidTr="00672D2A">
        <w:tc>
          <w:tcPr>
            <w:tcW w:w="3761" w:type="dxa"/>
            <w:shd w:val="clear" w:color="auto" w:fill="auto"/>
          </w:tcPr>
          <w:p w:rsidR="00581FA5" w:rsidRPr="00AA1421" w:rsidRDefault="00581FA5" w:rsidP="00487A02">
            <w:pPr>
              <w:pStyle w:val="InstructionsText"/>
            </w:pPr>
            <w:r w:rsidRPr="00AA1421">
              <w:t xml:space="preserve">Czy można ją zaklasyfikować do kategorii ekspozycji określonej w </w:t>
            </w:r>
            <w:r w:rsidRPr="00084F66">
              <w:t>art.</w:t>
            </w:r>
            <w:r w:rsidR="00084F66" w:rsidRPr="00084F66">
              <w:t> </w:t>
            </w:r>
            <w:r w:rsidRPr="00084F66">
              <w:t>1</w:t>
            </w:r>
            <w:r w:rsidRPr="00AA1421">
              <w:t xml:space="preserve">12 </w:t>
            </w:r>
            <w:r w:rsidRPr="00084F66">
              <w:t>lit.</w:t>
            </w:r>
            <w:r w:rsidR="00084F66" w:rsidRPr="00084F66">
              <w:t> </w:t>
            </w:r>
            <w:r w:rsidRPr="00084F66">
              <w:t>n)</w:t>
            </w:r>
            <w:r w:rsidRPr="00AA1421">
              <w:t xml:space="preserve"> CRR?</w:t>
            </w:r>
          </w:p>
        </w:tc>
        <w:tc>
          <w:tcPr>
            <w:tcW w:w="1417" w:type="dxa"/>
            <w:shd w:val="clear" w:color="auto" w:fill="auto"/>
          </w:tcPr>
          <w:p w:rsidR="0063493E" w:rsidRPr="00AA1421" w:rsidRDefault="0063493E" w:rsidP="00487A02">
            <w:pPr>
              <w:pStyle w:val="InstructionsText"/>
            </w:pPr>
            <w:r w:rsidRPr="00AA1421">
              <w:t>TAK</w:t>
            </w:r>
            <w:r w:rsidRPr="00AA1421">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r w:rsidRPr="00AA1421">
              <w:t>Ekspozycje wobec instytucji i przedsiębiorstw posiadających krótkoterminową ocenę kredytową</w:t>
            </w:r>
          </w:p>
        </w:tc>
      </w:tr>
      <w:tr w:rsidR="00581FA5" w:rsidRPr="00AA1421" w:rsidTr="00672D2A">
        <w:tc>
          <w:tcPr>
            <w:tcW w:w="3761" w:type="dxa"/>
            <w:shd w:val="clear" w:color="auto" w:fill="auto"/>
          </w:tcPr>
          <w:p w:rsidR="007241D3" w:rsidRPr="00AA1421" w:rsidRDefault="007241D3" w:rsidP="00487A02">
            <w:pPr>
              <w:pStyle w:val="InstructionsText"/>
            </w:pPr>
            <w:r w:rsidRPr="00AA1421">
              <w:t>NIE</w:t>
            </w:r>
            <w:r w:rsidRPr="00AA1421">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AA1421" w:rsidRDefault="00581FA5" w:rsidP="00487A02">
            <w:pPr>
              <w:pStyle w:val="InstructionsText"/>
            </w:pPr>
          </w:p>
        </w:tc>
        <w:tc>
          <w:tcPr>
            <w:tcW w:w="1417" w:type="dxa"/>
            <w:shd w:val="clear" w:color="auto" w:fill="auto"/>
          </w:tcPr>
          <w:p w:rsidR="00581FA5" w:rsidRPr="00AA1421" w:rsidRDefault="00581FA5" w:rsidP="00487A02">
            <w:pPr>
              <w:pStyle w:val="InstructionsText"/>
            </w:pPr>
          </w:p>
        </w:tc>
        <w:tc>
          <w:tcPr>
            <w:tcW w:w="4077" w:type="dxa"/>
            <w:shd w:val="clear" w:color="auto" w:fill="auto"/>
          </w:tcPr>
          <w:p w:rsidR="00581FA5" w:rsidRPr="00AA1421" w:rsidRDefault="00581FA5" w:rsidP="00487A02">
            <w:pPr>
              <w:pStyle w:val="InstructionsText"/>
            </w:pPr>
          </w:p>
        </w:tc>
      </w:tr>
      <w:tr w:rsidR="00581FA5" w:rsidRPr="00AA1421" w:rsidTr="00672D2A">
        <w:tc>
          <w:tcPr>
            <w:tcW w:w="9255" w:type="dxa"/>
            <w:gridSpan w:val="3"/>
            <w:shd w:val="clear" w:color="auto" w:fill="auto"/>
          </w:tcPr>
          <w:p w:rsidR="00581FA5" w:rsidRPr="00AA1421" w:rsidRDefault="00581FA5" w:rsidP="00487A02">
            <w:pPr>
              <w:pStyle w:val="InstructionsText"/>
            </w:pPr>
            <w:r w:rsidRPr="00AA1421">
              <w:t>Poniższe kategorie ekspozycji są rozłączne. Zaklasyfikowanie ekspozycji do jednej z tych kategorii jest zatem proste.</w:t>
            </w:r>
          </w:p>
          <w:p w:rsidR="00581FA5" w:rsidRPr="00AA1421" w:rsidRDefault="00581FA5" w:rsidP="00487A02">
            <w:pPr>
              <w:pStyle w:val="InstructionsText"/>
            </w:pPr>
            <w:r w:rsidRPr="00AA1421">
              <w:t>Ekspozycje wobec rządów centralnych lub banków centralnych</w:t>
            </w:r>
          </w:p>
          <w:p w:rsidR="00581FA5" w:rsidRPr="00AA1421" w:rsidRDefault="00581FA5" w:rsidP="00487A02">
            <w:pPr>
              <w:pStyle w:val="InstructionsText"/>
            </w:pPr>
            <w:r w:rsidRPr="00AA1421">
              <w:t>Ekspozycje wobec samorządów regionalnych lub władz lokalnych</w:t>
            </w:r>
          </w:p>
          <w:p w:rsidR="00581FA5" w:rsidRPr="00AA1421" w:rsidRDefault="00581FA5" w:rsidP="00487A02">
            <w:pPr>
              <w:pStyle w:val="InstructionsText"/>
            </w:pPr>
            <w:r w:rsidRPr="00AA1421">
              <w:t>Ekspozycje wobec podmiotów sektora publicznego</w:t>
            </w:r>
          </w:p>
          <w:p w:rsidR="00581FA5" w:rsidRPr="00AA1421" w:rsidRDefault="00581FA5" w:rsidP="00487A02">
            <w:pPr>
              <w:pStyle w:val="InstructionsText"/>
            </w:pPr>
            <w:r w:rsidRPr="00AA1421">
              <w:t>Ekspozycje wobec wielostronnych banków rozwoju</w:t>
            </w:r>
          </w:p>
          <w:p w:rsidR="00581FA5" w:rsidRPr="00AA1421" w:rsidRDefault="00581FA5" w:rsidP="00487A02">
            <w:pPr>
              <w:pStyle w:val="InstructionsText"/>
            </w:pPr>
            <w:r w:rsidRPr="00AA1421">
              <w:t>Ekspozycje wobec organizacji międzynarodowych</w:t>
            </w:r>
          </w:p>
          <w:p w:rsidR="00581FA5" w:rsidRPr="00AA1421" w:rsidRDefault="00581FA5" w:rsidP="00487A02">
            <w:pPr>
              <w:pStyle w:val="InstructionsText"/>
            </w:pPr>
            <w:r w:rsidRPr="00AA1421">
              <w:t>Ekspozycje wobec instytucji</w:t>
            </w:r>
          </w:p>
          <w:p w:rsidR="00581FA5" w:rsidRPr="00AA1421" w:rsidRDefault="00581FA5" w:rsidP="00487A02">
            <w:pPr>
              <w:pStyle w:val="InstructionsText"/>
            </w:pPr>
            <w:r w:rsidRPr="00AA1421">
              <w:t>Ekspozycje wobec przedsiębiorstw</w:t>
            </w:r>
          </w:p>
          <w:p w:rsidR="00581FA5" w:rsidRPr="00AA1421" w:rsidRDefault="00581FA5" w:rsidP="00487A02">
            <w:pPr>
              <w:pStyle w:val="InstructionsText"/>
            </w:pPr>
            <w:r w:rsidRPr="00AA1421">
              <w:t>Ekspozycje detaliczne</w:t>
            </w:r>
          </w:p>
        </w:tc>
      </w:tr>
    </w:tbl>
    <w:p w:rsidR="00464F34" w:rsidRPr="00AA1421" w:rsidRDefault="00464F34" w:rsidP="00487A02">
      <w:pPr>
        <w:pStyle w:val="InstructionsText"/>
      </w:pPr>
    </w:p>
    <w:p w:rsidR="00464F34" w:rsidRPr="00AA1421" w:rsidRDefault="00464F34" w:rsidP="00487A02">
      <w:pPr>
        <w:pStyle w:val="InstructionsText"/>
      </w:pPr>
    </w:p>
    <w:p w:rsidR="0073242B" w:rsidRPr="00AA1421" w:rsidRDefault="0073242B">
      <w:pPr>
        <w:spacing w:before="0" w:after="0"/>
        <w:jc w:val="left"/>
        <w:rPr>
          <w:rFonts w:ascii="Times New Roman" w:hAnsi="Times New Roman"/>
          <w:bCs/>
          <w:sz w:val="24"/>
        </w:rPr>
      </w:pPr>
      <w:r w:rsidRPr="00AA1421">
        <w:br w:type="page"/>
      </w:r>
    </w:p>
    <w:p w:rsidR="00464F34" w:rsidRPr="00AA1421" w:rsidRDefault="00464F34" w:rsidP="00487A02">
      <w:pPr>
        <w:pStyle w:val="InstructionsText"/>
      </w:pP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403626"/>
      <w:r w:rsidRPr="00AA1421">
        <w:rPr>
          <w:rFonts w:ascii="Times New Roman" w:hAnsi="Times New Roman"/>
          <w:sz w:val="24"/>
          <w:u w:val="none"/>
        </w:rPr>
        <w:t>3.2.4.</w:t>
      </w:r>
      <w:r w:rsidR="00D712CF" w:rsidRPr="00AA1421">
        <w:rPr>
          <w:u w:val="none"/>
        </w:rPr>
        <w:tab/>
      </w:r>
      <w:bookmarkStart w:id="199" w:name="_Toc262568031"/>
      <w:r w:rsidRPr="00AA1421">
        <w:rPr>
          <w:rFonts w:ascii="Times New Roman" w:hAnsi="Times New Roman"/>
          <w:sz w:val="24"/>
        </w:rPr>
        <w:t xml:space="preserve">Wyjaśnienia dotyczące zakresu pewnych określonych kategorii ekspozycji,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12</w:t>
      </w:r>
      <w:bookmarkEnd w:id="199"/>
      <w:bookmarkEnd w:id="192"/>
      <w:bookmarkEnd w:id="193"/>
      <w:bookmarkEnd w:id="194"/>
      <w:bookmarkEnd w:id="195"/>
      <w:bookmarkEnd w:id="196"/>
      <w:bookmarkEnd w:id="197"/>
      <w:r w:rsidRPr="00AA1421">
        <w:rPr>
          <w:rFonts w:ascii="Times New Roman" w:hAnsi="Times New Roman"/>
          <w:sz w:val="24"/>
        </w:rPr>
        <w:t xml:space="preserve"> CRR</w:t>
      </w:r>
      <w:bookmarkEnd w:id="198"/>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403627"/>
      <w:r w:rsidRPr="00AA1421">
        <w:rPr>
          <w:rFonts w:ascii="Times New Roman" w:hAnsi="Times New Roman"/>
          <w:sz w:val="24"/>
          <w:u w:val="none"/>
        </w:rPr>
        <w:t>3.2.4.1.</w:t>
      </w:r>
      <w:r w:rsidR="00D712CF" w:rsidRPr="00AA1421">
        <w:rPr>
          <w:u w:val="none"/>
        </w:rPr>
        <w:tab/>
      </w:r>
      <w:r w:rsidRPr="00AA1421">
        <w:rPr>
          <w:rFonts w:ascii="Times New Roman" w:hAnsi="Times New Roman"/>
          <w:sz w:val="24"/>
        </w:rPr>
        <w:t>Kategoria ekspozycji „ekspozycje wobec instytucji”</w:t>
      </w:r>
      <w:bookmarkEnd w:id="200"/>
      <w:bookmarkEnd w:id="201"/>
      <w:bookmarkEnd w:id="202"/>
    </w:p>
    <w:p w:rsidR="00464F34" w:rsidRPr="00AA1421" w:rsidRDefault="00AA1421" w:rsidP="00487A02">
      <w:pPr>
        <w:pStyle w:val="InstructionsText2"/>
        <w:numPr>
          <w:ilvl w:val="0"/>
          <w:numId w:val="0"/>
        </w:numPr>
        <w:ind w:left="1353" w:hanging="360"/>
      </w:pPr>
      <w:fldSimple w:instr=" seq paragraphs ">
        <w:r w:rsidR="00D11E4C" w:rsidRPr="00AA1421">
          <w:rPr>
            <w:noProof/>
          </w:rPr>
          <w:t>66</w:t>
        </w:r>
      </w:fldSimple>
      <w:r w:rsidR="00D11E4C" w:rsidRPr="00AA1421">
        <w:t>.</w:t>
      </w:r>
      <w:r w:rsidR="00D11E4C" w:rsidRPr="00AA1421">
        <w:tab/>
        <w:t xml:space="preserve">Ekspozycje wewnątrzgrupowe, o których mowa w </w:t>
      </w:r>
      <w:r w:rsidR="00D11E4C" w:rsidRPr="00084F66">
        <w:t>art.</w:t>
      </w:r>
      <w:r w:rsidR="00084F66" w:rsidRPr="00084F66">
        <w:t> </w:t>
      </w:r>
      <w:r w:rsidR="00D11E4C" w:rsidRPr="00084F66">
        <w:t>1</w:t>
      </w:r>
      <w:r w:rsidR="00D11E4C" w:rsidRPr="00AA1421">
        <w:t xml:space="preserve">13 </w:t>
      </w:r>
      <w:r w:rsidR="00D11E4C" w:rsidRPr="00084F66">
        <w:t>ust.</w:t>
      </w:r>
      <w:r w:rsidR="00084F66" w:rsidRPr="00084F66">
        <w:t> </w:t>
      </w:r>
      <w:r w:rsidR="00D11E4C" w:rsidRPr="00084F66">
        <w:t>6</w:t>
      </w:r>
      <w:r w:rsidR="00D11E4C" w:rsidRPr="00AA1421">
        <w:t xml:space="preserve"> i 7 CRR, zgłasza się w następujący sposób.</w:t>
      </w:r>
    </w:p>
    <w:p w:rsidR="00464F34" w:rsidRPr="00AA1421" w:rsidRDefault="00AA1421" w:rsidP="00487A02">
      <w:pPr>
        <w:pStyle w:val="InstructionsText2"/>
        <w:numPr>
          <w:ilvl w:val="0"/>
          <w:numId w:val="0"/>
        </w:numPr>
        <w:ind w:left="1353" w:hanging="360"/>
      </w:pPr>
      <w:fldSimple w:instr=" seq paragraphs ">
        <w:r w:rsidR="00D11E4C" w:rsidRPr="00AA1421">
          <w:rPr>
            <w:noProof/>
          </w:rPr>
          <w:t>67</w:t>
        </w:r>
      </w:fldSimple>
      <w:r w:rsidR="00D11E4C" w:rsidRPr="00AA1421">
        <w:t>.</w:t>
      </w:r>
      <w:r w:rsidR="00D11E4C" w:rsidRPr="00AA1421">
        <w:tab/>
        <w:t xml:space="preserve">Ekspozycje, które spełniają wymogi określone w </w:t>
      </w:r>
      <w:r w:rsidR="00D11E4C" w:rsidRPr="00084F66">
        <w:t>art.</w:t>
      </w:r>
      <w:r w:rsidR="00084F66" w:rsidRPr="00084F66">
        <w:t> </w:t>
      </w:r>
      <w:r w:rsidR="00D11E4C" w:rsidRPr="00084F66">
        <w:t>1</w:t>
      </w:r>
      <w:r w:rsidR="00D11E4C" w:rsidRPr="00AA1421">
        <w:t xml:space="preserve">13 </w:t>
      </w:r>
      <w:r w:rsidR="00D11E4C" w:rsidRPr="00084F66">
        <w:t>ust.</w:t>
      </w:r>
      <w:r w:rsidR="00084F66" w:rsidRPr="00084F66">
        <w:t> </w:t>
      </w:r>
      <w:r w:rsidR="00D11E4C" w:rsidRPr="00084F66">
        <w:t>7</w:t>
      </w:r>
      <w:r w:rsidR="00D11E4C" w:rsidRPr="00AA1421">
        <w:t xml:space="preserve"> CRR, zgłasza się w odpowiednich kategoriach ekspozycji, w których zostałyby one zgłoszone, gdyby nie były ekspozycjami wewnątrzgrupowymi.</w:t>
      </w:r>
    </w:p>
    <w:p w:rsidR="00464F34" w:rsidRPr="00AA1421" w:rsidRDefault="00AA1421" w:rsidP="00487A02">
      <w:pPr>
        <w:pStyle w:val="InstructionsText2"/>
        <w:numPr>
          <w:ilvl w:val="0"/>
          <w:numId w:val="0"/>
        </w:numPr>
        <w:ind w:left="1353" w:hanging="360"/>
      </w:pPr>
      <w:fldSimple w:instr=" seq paragraphs ">
        <w:r w:rsidR="00D11E4C" w:rsidRPr="00AA1421">
          <w:rPr>
            <w:noProof/>
          </w:rPr>
          <w:t>68</w:t>
        </w:r>
      </w:fldSimple>
      <w:r w:rsidR="00D11E4C" w:rsidRPr="00AA1421">
        <w:t>.</w:t>
      </w:r>
      <w:r w:rsidR="00D11E4C" w:rsidRPr="00AA1421">
        <w:tab/>
        <w:t xml:space="preserve">Zgodnie z </w:t>
      </w:r>
      <w:r w:rsidR="00D11E4C" w:rsidRPr="00084F66">
        <w:t>art.</w:t>
      </w:r>
      <w:r w:rsidR="00084F66" w:rsidRPr="00084F66">
        <w:t> </w:t>
      </w:r>
      <w:r w:rsidR="00D11E4C" w:rsidRPr="00084F66">
        <w:t>1</w:t>
      </w:r>
      <w:r w:rsidR="00D11E4C" w:rsidRPr="00AA1421">
        <w:t xml:space="preserve">13 </w:t>
      </w:r>
      <w:r w:rsidR="00D11E4C" w:rsidRPr="00084F66">
        <w:t>ust.</w:t>
      </w:r>
      <w:r w:rsidR="00084F66" w:rsidRPr="00084F66">
        <w:t> </w:t>
      </w:r>
      <w:r w:rsidR="00D11E4C" w:rsidRPr="00084F66">
        <w:t>6</w:t>
      </w:r>
      <w:r w:rsidR="00D11E4C" w:rsidRPr="00AA1421">
        <w:t xml:space="preserve"> i 7 CRR „instytucja może pod warunkiem uzyskania uprzedniej zgody właściwych organów podjąć decyzję o niestosowaniu wymogów </w:t>
      </w:r>
      <w:r w:rsidR="00D11E4C" w:rsidRPr="00084F66">
        <w:t>ust.</w:t>
      </w:r>
      <w:r w:rsidR="00084F66" w:rsidRPr="00084F66">
        <w:t> </w:t>
      </w:r>
      <w:r w:rsidR="00D11E4C" w:rsidRPr="00084F66">
        <w:t>1</w:t>
      </w:r>
      <w:r w:rsidR="00D11E4C" w:rsidRPr="00AA1421">
        <w:t xml:space="preserve"> niniejszego artykułu w odniesieniu do ekspozycji danej instytucji wobec kontrahenta, który jest w stosunku do niej jednostką dominującą, jednostką zależną, jednostką zależną wobec jednostki dominującej danej instytucji lub jednostką powiązaną stosunkiem określonym w </w:t>
      </w:r>
      <w:r w:rsidR="00D11E4C" w:rsidRPr="00084F66">
        <w:t>art.</w:t>
      </w:r>
      <w:r w:rsidR="00084F66" w:rsidRPr="00084F66">
        <w:t> </w:t>
      </w:r>
      <w:r w:rsidR="00D11E4C" w:rsidRPr="00084F66">
        <w:t>1</w:t>
      </w:r>
      <w:r w:rsidR="00D11E4C" w:rsidRPr="00AA1421">
        <w:t xml:space="preserve">2 </w:t>
      </w:r>
      <w:r w:rsidR="00D11E4C" w:rsidRPr="00084F66">
        <w:t>ust.</w:t>
      </w:r>
      <w:r w:rsidR="00084F66" w:rsidRPr="00084F66">
        <w:t> </w:t>
      </w:r>
      <w:r w:rsidR="00D11E4C" w:rsidRPr="00084F66">
        <w:t>1</w:t>
      </w:r>
      <w:r w:rsidR="00D11E4C" w:rsidRPr="00AA1421">
        <w:t xml:space="preserve"> dyrektywy 83/349/EWG”. Oznacza to, że kontrahenci wewnątrzgrupowi niekoniecznie są instytucjami – mogą także być przedsiębiorstwami, które są przypisane do innych kategorii ekspozycji, np. przedsiębiorstwami usług pomocniczych lub przedsiębiorstwami w rozumieniu </w:t>
      </w:r>
      <w:r w:rsidR="00D11E4C" w:rsidRPr="00084F66">
        <w:t>art.</w:t>
      </w:r>
      <w:r w:rsidR="00084F66" w:rsidRPr="00084F66">
        <w:t> </w:t>
      </w:r>
      <w:r w:rsidR="00D11E4C" w:rsidRPr="00084F66">
        <w:t>1</w:t>
      </w:r>
      <w:r w:rsidR="00D11E4C" w:rsidRPr="00AA1421">
        <w:t xml:space="preserve">2 </w:t>
      </w:r>
      <w:r w:rsidR="00D11E4C" w:rsidRPr="00084F66">
        <w:t>ust.</w:t>
      </w:r>
      <w:r w:rsidR="00084F66" w:rsidRPr="00084F66">
        <w:t> </w:t>
      </w:r>
      <w:r w:rsidR="00D11E4C" w:rsidRPr="00084F66">
        <w:t>1</w:t>
      </w:r>
      <w:r w:rsidR="00D11E4C" w:rsidRPr="00AA1421">
        <w:t xml:space="preserve"> dyrektywy Rady 83/349/EWG</w:t>
      </w:r>
      <w:r w:rsidR="00D11E4C" w:rsidRPr="00AA1421">
        <w:footnoteReference w:id="8"/>
      </w:r>
      <w:r w:rsidR="00D11E4C" w:rsidRPr="00AA1421">
        <w:t>. Dlatego ekspozycje wewnątrz grupy zgłasza się w odpowiedniej kategorii ekspozycji.</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403628"/>
      <w:r w:rsidRPr="00AA1421">
        <w:rPr>
          <w:rFonts w:ascii="Times New Roman" w:hAnsi="Times New Roman"/>
          <w:sz w:val="24"/>
          <w:u w:val="none"/>
        </w:rPr>
        <w:t>3.2.4.2.</w:t>
      </w:r>
      <w:r w:rsidR="00D712CF" w:rsidRPr="00AA1421">
        <w:rPr>
          <w:u w:val="none"/>
        </w:rPr>
        <w:tab/>
      </w:r>
      <w:r w:rsidRPr="00AA1421">
        <w:rPr>
          <w:rFonts w:ascii="Times New Roman" w:hAnsi="Times New Roman"/>
          <w:sz w:val="24"/>
        </w:rPr>
        <w:t>Kategoria ekspozycji „ekspozycje w postaci obligacji zabezpieczonych”</w:t>
      </w:r>
      <w:bookmarkEnd w:id="203"/>
      <w:bookmarkEnd w:id="204"/>
      <w:bookmarkEnd w:id="205"/>
    </w:p>
    <w:p w:rsidR="00464F34" w:rsidRPr="00AA1421" w:rsidRDefault="00AA1421" w:rsidP="00487A02">
      <w:pPr>
        <w:pStyle w:val="InstructionsText2"/>
        <w:numPr>
          <w:ilvl w:val="0"/>
          <w:numId w:val="0"/>
        </w:numPr>
        <w:ind w:left="1353" w:hanging="360"/>
      </w:pPr>
      <w:fldSimple w:instr=" seq paragraphs ">
        <w:r w:rsidR="00D11E4C" w:rsidRPr="00AA1421">
          <w:rPr>
            <w:noProof/>
          </w:rPr>
          <w:t>69</w:t>
        </w:r>
      </w:fldSimple>
      <w:r w:rsidR="00D11E4C" w:rsidRPr="00AA1421">
        <w:t>.</w:t>
      </w:r>
      <w:r w:rsidR="00D11E4C" w:rsidRPr="00AA1421">
        <w:tab/>
        <w:t>Ekspozycje według metody standardowej przypisuje się do kategorii ekspozycji „ekspozycje w postaci obligacji zabezpieczonych” w następujący sposób:</w:t>
      </w:r>
    </w:p>
    <w:p w:rsidR="00464F34" w:rsidRPr="00AA1421" w:rsidRDefault="00AA1421" w:rsidP="00487A02">
      <w:pPr>
        <w:pStyle w:val="InstructionsText2"/>
        <w:numPr>
          <w:ilvl w:val="0"/>
          <w:numId w:val="0"/>
        </w:numPr>
        <w:ind w:left="1353" w:hanging="360"/>
      </w:pPr>
      <w:fldSimple w:instr=" seq paragraphs ">
        <w:r w:rsidR="00D11E4C" w:rsidRPr="00AA1421">
          <w:rPr>
            <w:noProof/>
          </w:rPr>
          <w:t>70</w:t>
        </w:r>
      </w:fldSimple>
      <w:r w:rsidR="00D11E4C" w:rsidRPr="00AA1421">
        <w:t>.</w:t>
      </w:r>
      <w:r w:rsidR="00D11E4C" w:rsidRPr="00AA1421">
        <w:tab/>
        <w:t xml:space="preserve">Obligacje, o których mowa w </w:t>
      </w:r>
      <w:r w:rsidR="00D11E4C" w:rsidRPr="00084F66">
        <w:t>art.</w:t>
      </w:r>
      <w:r w:rsidR="00084F66" w:rsidRPr="00084F66">
        <w:t> </w:t>
      </w:r>
      <w:r w:rsidR="00D11E4C" w:rsidRPr="00084F66">
        <w:t>5</w:t>
      </w:r>
      <w:r w:rsidR="00D11E4C" w:rsidRPr="00AA1421">
        <w:t xml:space="preserve">2 </w:t>
      </w:r>
      <w:r w:rsidR="00D11E4C" w:rsidRPr="00084F66">
        <w:t>ust.</w:t>
      </w:r>
      <w:r w:rsidR="00084F66" w:rsidRPr="00084F66">
        <w:t> </w:t>
      </w:r>
      <w:r w:rsidR="00D11E4C" w:rsidRPr="00084F66">
        <w:t>4</w:t>
      </w:r>
      <w:r w:rsidR="00D11E4C" w:rsidRPr="00AA1421">
        <w:t xml:space="preserve"> dyrektywy Parlamentu Europejskiego i Rady 2009/65/WE</w:t>
      </w:r>
      <w:r w:rsidR="00D11E4C" w:rsidRPr="00AA1421">
        <w:footnoteReference w:id="9"/>
      </w:r>
      <w:r w:rsidR="00D11E4C" w:rsidRPr="00AA1421">
        <w:t xml:space="preserve">, spełniają wymogi określone w </w:t>
      </w:r>
      <w:r w:rsidR="00D11E4C" w:rsidRPr="00084F66">
        <w:t>art.</w:t>
      </w:r>
      <w:r w:rsidR="00084F66" w:rsidRPr="00084F66">
        <w:t> </w:t>
      </w:r>
      <w:r w:rsidR="00D11E4C" w:rsidRPr="00084F66">
        <w:t>1</w:t>
      </w:r>
      <w:r w:rsidR="00D11E4C" w:rsidRPr="00AA1421">
        <w:t xml:space="preserve">29 </w:t>
      </w:r>
      <w:r w:rsidR="00D11E4C" w:rsidRPr="00084F66">
        <w:t>ust.</w:t>
      </w:r>
      <w:r w:rsidR="00084F66" w:rsidRPr="00084F66">
        <w:t> </w:t>
      </w:r>
      <w:r w:rsidR="00D11E4C" w:rsidRPr="00084F66">
        <w:t>1</w:t>
      </w:r>
      <w:r w:rsidR="00D11E4C" w:rsidRPr="00AA1421">
        <w:t xml:space="preserve"> i 2 CRR, co umożliwia zaklasyfikowanie ich do kategorii ekspozycji „ekspozycje w postaci obligacji zabezpieczonych”. Spełnienie tych wymogów należy sprawdzać w każdym przypadku. Obligacje, o których mowa w </w:t>
      </w:r>
      <w:r w:rsidR="00D11E4C" w:rsidRPr="00084F66">
        <w:t>art.</w:t>
      </w:r>
      <w:r w:rsidR="00084F66" w:rsidRPr="00084F66">
        <w:t> </w:t>
      </w:r>
      <w:r w:rsidR="00D11E4C" w:rsidRPr="00084F66">
        <w:t>5</w:t>
      </w:r>
      <w:r w:rsidR="00D11E4C" w:rsidRPr="00AA1421">
        <w:t xml:space="preserve">2 </w:t>
      </w:r>
      <w:r w:rsidR="00D11E4C" w:rsidRPr="00084F66">
        <w:t>ust.</w:t>
      </w:r>
      <w:r w:rsidR="00084F66" w:rsidRPr="00084F66">
        <w:t> </w:t>
      </w:r>
      <w:r w:rsidR="00D11E4C" w:rsidRPr="00084F66">
        <w:t>4</w:t>
      </w:r>
      <w:r w:rsidR="00D11E4C" w:rsidRPr="00AA1421">
        <w:t xml:space="preserve"> dyrektywy 2009/65/WE i które wydano przed dniem 31 grudnia 20</w:t>
      </w:r>
      <w:r w:rsidR="00D11E4C" w:rsidRPr="00084F66">
        <w:t>07</w:t>
      </w:r>
      <w:r w:rsidR="00084F66" w:rsidRPr="00084F66">
        <w:t> </w:t>
      </w:r>
      <w:r w:rsidR="00D11E4C" w:rsidRPr="00084F66">
        <w:t>r.</w:t>
      </w:r>
      <w:r w:rsidR="00D11E4C" w:rsidRPr="00AA1421">
        <w:t xml:space="preserve">, są pomimo to także przypisane do kategorii ekspozycji „ekspozycje w postaci obligacji zabezpieczonych” zgodnie z </w:t>
      </w:r>
      <w:r w:rsidR="00D11E4C" w:rsidRPr="00084F66">
        <w:t>art.</w:t>
      </w:r>
      <w:r w:rsidR="00084F66" w:rsidRPr="00084F66">
        <w:t> </w:t>
      </w:r>
      <w:r w:rsidR="00D11E4C" w:rsidRPr="00084F66">
        <w:t>1</w:t>
      </w:r>
      <w:r w:rsidR="00D11E4C" w:rsidRPr="00AA1421">
        <w:t xml:space="preserve">29 </w:t>
      </w:r>
      <w:r w:rsidR="00D11E4C" w:rsidRPr="00084F66">
        <w:t>ust.</w:t>
      </w:r>
      <w:r w:rsidR="00084F66" w:rsidRPr="00084F66">
        <w:t> </w:t>
      </w:r>
      <w:r w:rsidR="00D11E4C" w:rsidRPr="00084F66">
        <w:t>6</w:t>
      </w:r>
      <w:r w:rsidR="00D11E4C" w:rsidRPr="00AA1421">
        <w:t xml:space="preserve"> CRR.</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403629"/>
      <w:r w:rsidRPr="00AA1421">
        <w:rPr>
          <w:rFonts w:ascii="Times New Roman" w:hAnsi="Times New Roman"/>
          <w:sz w:val="24"/>
          <w:u w:val="none"/>
        </w:rPr>
        <w:t>3.2.4.3.</w:t>
      </w:r>
      <w:r w:rsidR="00D712CF" w:rsidRPr="00AA1421">
        <w:rPr>
          <w:u w:val="none"/>
        </w:rPr>
        <w:tab/>
      </w:r>
      <w:r w:rsidRPr="00AA1421">
        <w:rPr>
          <w:rFonts w:ascii="Times New Roman" w:hAnsi="Times New Roman"/>
          <w:sz w:val="24"/>
        </w:rPr>
        <w:t>Kategoria ekspozycji „ekspozycje związane z przedsiębiorstwami zbiorowego inwestowania”</w:t>
      </w:r>
      <w:bookmarkEnd w:id="206"/>
      <w:bookmarkEnd w:id="207"/>
      <w:bookmarkEnd w:id="208"/>
    </w:p>
    <w:p w:rsidR="00464F34" w:rsidRPr="00AA1421" w:rsidRDefault="00AA1421" w:rsidP="00487A02">
      <w:pPr>
        <w:pStyle w:val="InstructionsText2"/>
        <w:numPr>
          <w:ilvl w:val="0"/>
          <w:numId w:val="0"/>
        </w:numPr>
        <w:ind w:left="1353" w:hanging="360"/>
      </w:pPr>
      <w:fldSimple w:instr=" seq paragraphs ">
        <w:r w:rsidR="00D11E4C" w:rsidRPr="00AA1421">
          <w:rPr>
            <w:noProof/>
          </w:rPr>
          <w:t>71</w:t>
        </w:r>
      </w:fldSimple>
      <w:r w:rsidR="00D11E4C" w:rsidRPr="00AA1421">
        <w:t>.</w:t>
      </w:r>
      <w:r w:rsidR="00D11E4C" w:rsidRPr="00AA1421">
        <w:tab/>
        <w:t xml:space="preserve">W przypadku korzystania z możliwości, o której mowa w </w:t>
      </w:r>
      <w:r w:rsidR="00D11E4C" w:rsidRPr="00084F66">
        <w:t>art.</w:t>
      </w:r>
      <w:r w:rsidR="00084F66" w:rsidRPr="00084F66">
        <w:t> </w:t>
      </w:r>
      <w:r w:rsidR="00D11E4C" w:rsidRPr="00084F66">
        <w:t>1</w:t>
      </w:r>
      <w:r w:rsidR="00D11E4C" w:rsidRPr="00AA1421">
        <w:t xml:space="preserve">32a </w:t>
      </w:r>
      <w:r w:rsidR="00D11E4C" w:rsidRPr="00084F66">
        <w:t>ust.</w:t>
      </w:r>
      <w:r w:rsidR="00084F66" w:rsidRPr="00084F66">
        <w:t> </w:t>
      </w:r>
      <w:r w:rsidR="00D11E4C" w:rsidRPr="00084F66">
        <w:t>2</w:t>
      </w:r>
      <w:r w:rsidR="00D11E4C" w:rsidRPr="00AA1421">
        <w:t xml:space="preserve"> CRR, ekspozycje w postaci jednostek lub udziałów w przedsiębiorstwach zbiorowego </w:t>
      </w:r>
      <w:r w:rsidR="00D11E4C" w:rsidRPr="00AA1421">
        <w:lastRenderedPageBreak/>
        <w:t xml:space="preserve">inwestowania zgłasza się jako pozycje bilansowe zgodnie z </w:t>
      </w:r>
      <w:r w:rsidR="00D11E4C" w:rsidRPr="00084F66">
        <w:t>art.</w:t>
      </w:r>
      <w:r w:rsidR="00084F66" w:rsidRPr="00084F66">
        <w:t> </w:t>
      </w:r>
      <w:r w:rsidR="00D11E4C" w:rsidRPr="00084F66">
        <w:t>1</w:t>
      </w:r>
      <w:r w:rsidR="00D11E4C" w:rsidRPr="00AA1421">
        <w:t xml:space="preserve">11 </w:t>
      </w:r>
      <w:r w:rsidR="00D11E4C" w:rsidRPr="00084F66">
        <w:t>ust.</w:t>
      </w:r>
      <w:r w:rsidR="00084F66" w:rsidRPr="00084F66">
        <w:t> </w:t>
      </w:r>
      <w:r w:rsidR="00D11E4C" w:rsidRPr="00084F66">
        <w:t>1</w:t>
      </w:r>
      <w:r w:rsidR="00D11E4C" w:rsidRPr="00AA1421">
        <w:t xml:space="preserve"> zdanie pierwsze CRR. </w:t>
      </w:r>
    </w:p>
    <w:p w:rsidR="00464F34" w:rsidRPr="00AA1421"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403630"/>
      <w:r w:rsidRPr="00AA1421">
        <w:rPr>
          <w:rFonts w:ascii="Times New Roman" w:hAnsi="Times New Roman"/>
          <w:sz w:val="24"/>
          <w:u w:val="none"/>
        </w:rPr>
        <w:t>3.2.5.</w:t>
      </w:r>
      <w:r w:rsidR="00D712CF" w:rsidRPr="00AA1421">
        <w:rPr>
          <w:u w:val="none"/>
        </w:rPr>
        <w:tab/>
      </w:r>
      <w:r w:rsidRPr="00AA1421">
        <w:rPr>
          <w:rFonts w:ascii="Times New Roman" w:hAnsi="Times New Roman"/>
          <w:sz w:val="24"/>
        </w:rPr>
        <w:t>Instrukcje dotyczące poszczególnych pozycji</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A1421" w:rsidTr="00672D2A">
        <w:trPr>
          <w:trHeight w:val="581"/>
        </w:trPr>
        <w:tc>
          <w:tcPr>
            <w:tcW w:w="9828" w:type="dxa"/>
            <w:gridSpan w:val="2"/>
            <w:shd w:val="clear" w:color="auto" w:fill="CCCCCC"/>
          </w:tcPr>
          <w:p w:rsidR="00464F34" w:rsidRPr="00AA1421" w:rsidRDefault="00464F34" w:rsidP="00487A02">
            <w:pPr>
              <w:pStyle w:val="InstructionsText"/>
            </w:pPr>
            <w:r w:rsidRPr="00AA1421">
              <w:t>Kolumny</w:t>
            </w:r>
          </w:p>
        </w:tc>
      </w:tr>
      <w:tr w:rsidR="00464F34" w:rsidRPr="00AA1421" w:rsidTr="00672D2A">
        <w:tc>
          <w:tcPr>
            <w:tcW w:w="1188" w:type="dxa"/>
          </w:tcPr>
          <w:p w:rsidR="00464F34" w:rsidRPr="00AA1421" w:rsidRDefault="00FF15C6" w:rsidP="00487A02">
            <w:pPr>
              <w:pStyle w:val="InstructionsText"/>
            </w:pPr>
            <w:r w:rsidRPr="00AA1421">
              <w:t>0010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PIERWOTNA EKSPOZYCJA PRZED UWZGLĘDNIENIEM WSPÓŁCZYNNIKÓW KONWERSJI</w:t>
            </w:r>
          </w:p>
          <w:p w:rsidR="00464F34" w:rsidRPr="00AA1421" w:rsidRDefault="00464F34" w:rsidP="00487A02">
            <w:pPr>
              <w:pStyle w:val="InstructionsText"/>
            </w:pPr>
            <w:r w:rsidRPr="00AA1421">
              <w:t xml:space="preserve">Wartość ekspozycji obliczona zgodnie z </w:t>
            </w:r>
            <w:r w:rsidRPr="00084F66">
              <w:t>art.</w:t>
            </w:r>
            <w:r w:rsidR="00084F66" w:rsidRPr="00084F66">
              <w:t> </w:t>
            </w:r>
            <w:r w:rsidRPr="00084F66">
              <w:t>1</w:t>
            </w:r>
            <w:r w:rsidRPr="00AA1421">
              <w:t xml:space="preserve">11 CRR bez uwzględnienia korekt wartości i rezerw, odliczeń, współczynników konwersji oraz efektów technik ograniczania ryzyka kredytowego, przy uwzględnieniu następujących zastrzeżeń wynikających z </w:t>
            </w:r>
            <w:r w:rsidRPr="00084F66">
              <w:t>art.</w:t>
            </w:r>
            <w:r w:rsidR="00084F66" w:rsidRPr="00084F66">
              <w:t> </w:t>
            </w:r>
            <w:r w:rsidRPr="00084F66">
              <w:t>1</w:t>
            </w:r>
            <w:r w:rsidRPr="00AA1421">
              <w:t xml:space="preserve">11 </w:t>
            </w:r>
            <w:r w:rsidRPr="00084F66">
              <w:t>ust.</w:t>
            </w:r>
            <w:r w:rsidR="00084F66" w:rsidRPr="00084F66">
              <w:t> </w:t>
            </w:r>
            <w:r w:rsidRPr="00084F66">
              <w:t>2</w:t>
            </w:r>
            <w:r w:rsidRPr="00AA1421">
              <w:t xml:space="preserve"> CRR:</w:t>
            </w:r>
          </w:p>
          <w:p w:rsidR="00464F34" w:rsidRPr="00AA1421" w:rsidRDefault="00464F34" w:rsidP="00487A02">
            <w:pPr>
              <w:pStyle w:val="InstructionsText"/>
              <w:numPr>
                <w:ilvl w:val="0"/>
                <w:numId w:val="32"/>
              </w:numPr>
            </w:pPr>
            <w:r w:rsidRPr="00AA1421">
              <w:t xml:space="preserve">W przypadku instrumentów pochodnych, transakcji odkupu, transakcji udzielania lub zaciągania pożyczek papierów wartościowych lub towarów, transakcji z długim terminem rozliczenia oraz transakcji z obowiązkiem uzupełnienia zabezpieczenia kredytowego z zastrzeżeniem ryzyka kredytowego kontrahenta (część trzecia tytuł II rozdziały 4 </w:t>
            </w:r>
            <w:r w:rsidRPr="00084F66">
              <w:t>lub</w:t>
            </w:r>
            <w:r w:rsidR="00084F66" w:rsidRPr="00084F66">
              <w:t> </w:t>
            </w:r>
            <w:r w:rsidRPr="00084F66">
              <w:t>6</w:t>
            </w:r>
            <w:r w:rsidRPr="00AA1421">
              <w:t xml:space="preserve"> CRR) pierwotna ekspozycja odpowiada wartości ekspozycji na ryzyko kredytowe kontrahenta (zob. instrukcje do kolumny 0210). </w:t>
            </w:r>
          </w:p>
          <w:p w:rsidR="00464F34" w:rsidRPr="00AA1421" w:rsidRDefault="00464F34" w:rsidP="00487A02">
            <w:pPr>
              <w:pStyle w:val="InstructionsText"/>
              <w:numPr>
                <w:ilvl w:val="0"/>
                <w:numId w:val="32"/>
              </w:numPr>
            </w:pPr>
            <w:r w:rsidRPr="00AA1421">
              <w:t xml:space="preserve">Wartości ekspozycji w przypadku leasingu podlegają przepisom </w:t>
            </w:r>
            <w:r w:rsidRPr="00084F66">
              <w:t>art.</w:t>
            </w:r>
            <w:r w:rsidR="00084F66" w:rsidRPr="00084F66">
              <w:t> </w:t>
            </w:r>
            <w:r w:rsidRPr="00084F66">
              <w:t>1</w:t>
            </w:r>
            <w:r w:rsidRPr="00AA1421">
              <w:t xml:space="preserve">34 </w:t>
            </w:r>
            <w:r w:rsidRPr="00084F66">
              <w:t>ust.</w:t>
            </w:r>
            <w:r w:rsidR="00084F66" w:rsidRPr="00084F66">
              <w:t> </w:t>
            </w:r>
            <w:r w:rsidRPr="00084F66">
              <w:t>7</w:t>
            </w:r>
            <w:r w:rsidRPr="00AA1421">
              <w:t xml:space="preserve"> CRR. W szczególności wartość rezydualną uwzględnia się według jej wartości księgowej (tj. zdyskontowanej szacunkowej wartości rezydualnej na koniec okresu leasingu).</w:t>
            </w:r>
          </w:p>
          <w:p w:rsidR="00464F34" w:rsidRPr="00AA1421" w:rsidRDefault="00464F34" w:rsidP="00487A02">
            <w:pPr>
              <w:pStyle w:val="InstructionsText"/>
              <w:numPr>
                <w:ilvl w:val="0"/>
                <w:numId w:val="32"/>
              </w:numPr>
            </w:pPr>
            <w:r w:rsidRPr="00AA1421">
              <w:t xml:space="preserve">W przypadku kompensowania pozycji bilansowych, jak określono w </w:t>
            </w:r>
            <w:r w:rsidRPr="00084F66">
              <w:t>art.</w:t>
            </w:r>
            <w:r w:rsidR="00084F66" w:rsidRPr="00084F66">
              <w:t> </w:t>
            </w:r>
            <w:r w:rsidRPr="00084F66">
              <w:t>2</w:t>
            </w:r>
            <w:r w:rsidRPr="00AA1421">
              <w:t>19 CRR, wartości ekspozycji są podawane z uwzględnieniem kwoty otrzymanego zabezpieczenia gotówkowego.</w:t>
            </w:r>
          </w:p>
          <w:p w:rsidR="00464F34" w:rsidRPr="00AA1421" w:rsidRDefault="00520B00" w:rsidP="00487A02">
            <w:pPr>
              <w:pStyle w:val="InstructionsText"/>
            </w:pPr>
            <w:r w:rsidRPr="00AA1421">
              <w:t xml:space="preserve">Jeżeli instytucje korzystają z odstępstwa przewidzianego w </w:t>
            </w:r>
            <w:r w:rsidRPr="00084F66">
              <w:t>art.</w:t>
            </w:r>
            <w:r w:rsidR="00084F66" w:rsidRPr="00084F66">
              <w:t> </w:t>
            </w:r>
            <w:r w:rsidRPr="00084F66">
              <w:t>4</w:t>
            </w:r>
            <w:r w:rsidRPr="00AA1421">
              <w:t xml:space="preserve">73a </w:t>
            </w:r>
            <w:r w:rsidRPr="00084F66">
              <w:t>ust.</w:t>
            </w:r>
            <w:r w:rsidR="00084F66" w:rsidRPr="00084F66">
              <w:t> </w:t>
            </w:r>
            <w:r w:rsidRPr="00084F66">
              <w:t>7</w:t>
            </w:r>
            <w:r w:rsidRPr="00AA1421">
              <w:t>a CRR, wówczas zgłaszają kwotę AB</w:t>
            </w:r>
            <w:r w:rsidRPr="00AA1421">
              <w:rPr>
                <w:vertAlign w:val="subscript"/>
              </w:rPr>
              <w:t>SA</w:t>
            </w:r>
            <w:r w:rsidRPr="00AA1421">
              <w:t>, której przypisuje się wagę ryzyka równą 10</w:t>
            </w:r>
            <w:r w:rsidRPr="00084F66">
              <w:t>0</w:t>
            </w:r>
            <w:r w:rsidR="00084F66" w:rsidRPr="00084F66">
              <w:t> </w:t>
            </w:r>
            <w:r w:rsidRPr="00084F66">
              <w:t>%</w:t>
            </w:r>
            <w:r w:rsidRPr="00AA1421">
              <w:t>, w kategorii ekspozycji „Inne pozycje” w tej kolumnie.</w:t>
            </w:r>
          </w:p>
        </w:tc>
      </w:tr>
      <w:tr w:rsidR="00464F34" w:rsidRPr="00AA1421" w:rsidTr="00672D2A">
        <w:tc>
          <w:tcPr>
            <w:tcW w:w="1188" w:type="dxa"/>
          </w:tcPr>
          <w:p w:rsidR="00464F34" w:rsidRPr="00AA1421" w:rsidRDefault="00464F34" w:rsidP="00487A02">
            <w:pPr>
              <w:pStyle w:val="InstructionsText"/>
            </w:pPr>
            <w:r w:rsidRPr="00AA1421">
              <w:t>0030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Korekty wartości oraz rezerwy związane z pierwotną ekspozycją</w:t>
            </w:r>
          </w:p>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Art. 24 i 111 CRR.</w:t>
            </w:r>
          </w:p>
          <w:p w:rsidR="00464F34" w:rsidRPr="00AA1421" w:rsidRDefault="00464F34" w:rsidP="00487A02">
            <w:pPr>
              <w:pStyle w:val="InstructionsText"/>
            </w:pPr>
            <w:r w:rsidRPr="00AA1421">
              <w:t xml:space="preserve">Korekty wartości i rezerwy na wypadek strat kredytowych (korekty z tytułu ryzyka kredytowego zgodnie z </w:t>
            </w:r>
            <w:r w:rsidRPr="00084F66">
              <w:t>art.</w:t>
            </w:r>
            <w:r w:rsidR="00084F66" w:rsidRPr="00084F66">
              <w:t> </w:t>
            </w:r>
            <w:r w:rsidRPr="00084F66">
              <w:t>1</w:t>
            </w:r>
            <w:r w:rsidRPr="00AA1421">
              <w:t xml:space="preserve">10) dokonane zgodnie ze standardami rachunkowości mającymi zastosowanie do jednostki sprawozdającej, a także ostrożnościowe korekty wartości (dodatkowe korekty wartości zgodnie z </w:t>
            </w:r>
            <w:r w:rsidRPr="00084F66">
              <w:t>art.</w:t>
            </w:r>
            <w:r w:rsidR="00084F66" w:rsidRPr="00084F66">
              <w:t> </w:t>
            </w:r>
            <w:r w:rsidRPr="00084F66">
              <w:t>3</w:t>
            </w:r>
            <w:r w:rsidRPr="00AA1421">
              <w:t xml:space="preserve">4 i 105, kwoty odliczone zgodnie z </w:t>
            </w:r>
            <w:r w:rsidRPr="00084F66">
              <w:t>art.</w:t>
            </w:r>
            <w:r w:rsidR="00084F66" w:rsidRPr="00084F66">
              <w:t> </w:t>
            </w:r>
            <w:r w:rsidRPr="00084F66">
              <w:t>3</w:t>
            </w:r>
            <w:r w:rsidRPr="00AA1421">
              <w:t xml:space="preserve">6 </w:t>
            </w:r>
            <w:r w:rsidRPr="00084F66">
              <w:t>ust.</w:t>
            </w:r>
            <w:r w:rsidR="00084F66" w:rsidRPr="00084F66">
              <w:t> </w:t>
            </w:r>
            <w:r w:rsidRPr="00084F66">
              <w:t>1</w:t>
            </w:r>
            <w:r w:rsidRPr="00AA1421">
              <w:t xml:space="preserve"> </w:t>
            </w:r>
            <w:r w:rsidRPr="00084F66">
              <w:t>lit.</w:t>
            </w:r>
            <w:r w:rsidR="00084F66" w:rsidRPr="00084F66">
              <w:t> </w:t>
            </w:r>
            <w:r w:rsidRPr="00084F66">
              <w:t>m)</w:t>
            </w:r>
            <w:r w:rsidRPr="00AA1421">
              <w:t xml:space="preserve"> oraz inne redukcje funduszy własnych związane z danym składnikiem aktywów).</w:t>
            </w:r>
          </w:p>
        </w:tc>
      </w:tr>
      <w:tr w:rsidR="00464F34" w:rsidRPr="00AA1421" w:rsidTr="00672D2A">
        <w:tc>
          <w:tcPr>
            <w:tcW w:w="1188" w:type="dxa"/>
          </w:tcPr>
          <w:p w:rsidR="00464F34" w:rsidRPr="00AA1421" w:rsidRDefault="00FF15C6" w:rsidP="00487A02">
            <w:pPr>
              <w:pStyle w:val="InstructionsText"/>
            </w:pPr>
            <w:r w:rsidRPr="00AA1421">
              <w:t>0040</w:t>
            </w:r>
          </w:p>
        </w:tc>
        <w:tc>
          <w:tcPr>
            <w:tcW w:w="8640" w:type="dxa"/>
          </w:tcPr>
          <w:p w:rsidR="00464F34" w:rsidRPr="00AA1421" w:rsidRDefault="00464F34" w:rsidP="00487A02">
            <w:pPr>
              <w:pStyle w:val="InstructionsText"/>
            </w:pPr>
            <w:r w:rsidRPr="00AA1421">
              <w:rPr>
                <w:rStyle w:val="InstructionsTabelleberschrift"/>
                <w:rFonts w:ascii="Times New Roman" w:hAnsi="Times New Roman"/>
                <w:sz w:val="24"/>
              </w:rPr>
              <w:t>Ekspozycja po odliczeniu korekt wartości i rezerw</w:t>
            </w:r>
          </w:p>
          <w:p w:rsidR="00464F34" w:rsidRPr="00AA1421" w:rsidRDefault="00464F34" w:rsidP="00487A02">
            <w:pPr>
              <w:pStyle w:val="InstructionsText"/>
            </w:pPr>
            <w:r w:rsidRPr="00AA1421">
              <w:t>Suma kolumn 0010 i 0030</w:t>
            </w:r>
          </w:p>
        </w:tc>
      </w:tr>
      <w:tr w:rsidR="00464F34" w:rsidRPr="00AA1421" w:rsidTr="00672D2A">
        <w:tc>
          <w:tcPr>
            <w:tcW w:w="1188" w:type="dxa"/>
          </w:tcPr>
          <w:p w:rsidR="00464F34" w:rsidRPr="00AA1421" w:rsidRDefault="00FF15C6" w:rsidP="00487A02">
            <w:pPr>
              <w:pStyle w:val="InstructionsText"/>
            </w:pPr>
            <w:r w:rsidRPr="00AA1421">
              <w:t>0050 - 0100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TECHNIKI OGRANICZANIA RYZYKA KREDYTOWEGO Z UWZGLĘDNIENIEM EFEKTÓW SUBSTYTUCYJNYCH W ODNIESIENIU DO EKSPOZYCJI</w:t>
            </w:r>
          </w:p>
          <w:p w:rsidR="00464F34" w:rsidRPr="00AA1421" w:rsidRDefault="00464F34" w:rsidP="00487A02">
            <w:pPr>
              <w:pStyle w:val="InstructionsText"/>
            </w:pPr>
            <w:r w:rsidRPr="00AA1421">
              <w:t xml:space="preserve">Techniki ograniczania ryzyka kredytowego zdefiniowane w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w:t>
            </w:r>
            <w:r w:rsidRPr="00084F66">
              <w:t>pkt</w:t>
            </w:r>
            <w:r w:rsidR="00084F66" w:rsidRPr="00084F66">
              <w:t> </w:t>
            </w:r>
            <w:r w:rsidRPr="00084F66">
              <w:t>5</w:t>
            </w:r>
            <w:r w:rsidRPr="00AA1421">
              <w:t xml:space="preserve">7 CRR, które zmniejszają ryzyko kredytowe z tytułu ekspozycji poprzez substytucję ekspozycji </w:t>
            </w:r>
            <w:r w:rsidRPr="00AA1421">
              <w:lastRenderedPageBreak/>
              <w:t>opisanych poniżej w pozycji „substytucja ekspozycji w wyniku ograniczania ryzyka kredytowego”.</w:t>
            </w:r>
          </w:p>
          <w:p w:rsidR="00464F34" w:rsidRPr="00AA1421" w:rsidRDefault="00D21B29" w:rsidP="00487A02">
            <w:pPr>
              <w:pStyle w:val="InstructionsText"/>
            </w:pPr>
            <w:r w:rsidRPr="00AA1421">
              <w:t>Zabezpieczenie, które ma wpływ na wartość ekspozycji (np. gdy jest stosowane dla celów technik ograniczania ryzyka kredytowego z uwzględnieniem efektów substytucyjnych w odniesieniu do ekspozycji), jest ograniczone do wartości ekspozycji.</w:t>
            </w:r>
          </w:p>
          <w:p w:rsidR="00464F34" w:rsidRPr="00AA1421" w:rsidRDefault="00464F34" w:rsidP="00487A02">
            <w:pPr>
              <w:pStyle w:val="InstructionsText"/>
            </w:pPr>
            <w:r w:rsidRPr="00AA1421">
              <w:t>Należy w tym miejscu zgłosić następujące pozycje:</w:t>
            </w:r>
          </w:p>
          <w:p w:rsidR="00464F34" w:rsidRPr="00AA1421" w:rsidRDefault="00125707" w:rsidP="00487A02">
            <w:pPr>
              <w:pStyle w:val="InstructionsText"/>
            </w:pPr>
            <w:r w:rsidRPr="00AA1421">
              <w:rPr>
                <w:rFonts w:ascii="Arial" w:hAnsi="Arial"/>
              </w:rPr>
              <w:t>-</w:t>
            </w:r>
            <w:r w:rsidRPr="00AA1421">
              <w:tab/>
              <w:t>zabezpieczenie uwzględnione zgodnie z uproszczoną metodą ujmowania zabezpieczeń finansowych;</w:t>
            </w:r>
          </w:p>
          <w:p w:rsidR="00464F34" w:rsidRPr="00AA1421" w:rsidRDefault="00125707" w:rsidP="00487A02">
            <w:pPr>
              <w:pStyle w:val="InstructionsText"/>
            </w:pPr>
            <w:r w:rsidRPr="00AA1421">
              <w:rPr>
                <w:rFonts w:ascii="Arial" w:hAnsi="Arial"/>
              </w:rPr>
              <w:t>-</w:t>
            </w:r>
            <w:r w:rsidRPr="00AA1421">
              <w:tab/>
              <w:t>uznaną ochronę kredytową nierzeczywistą.</w:t>
            </w:r>
          </w:p>
          <w:p w:rsidR="00464F34" w:rsidRPr="00AA1421" w:rsidRDefault="00464F34" w:rsidP="00487A02">
            <w:pPr>
              <w:pStyle w:val="InstructionsText"/>
            </w:pPr>
            <w:r w:rsidRPr="00AA1421">
              <w:t>Zob. również instrukcje w punkcie 3.1.1.</w:t>
            </w:r>
          </w:p>
        </w:tc>
      </w:tr>
      <w:tr w:rsidR="00464F34" w:rsidRPr="00AA1421" w:rsidTr="00672D2A">
        <w:tc>
          <w:tcPr>
            <w:tcW w:w="1188" w:type="dxa"/>
          </w:tcPr>
          <w:p w:rsidR="00464F34" w:rsidRPr="00AA1421" w:rsidRDefault="00FF15C6" w:rsidP="00487A02">
            <w:pPr>
              <w:pStyle w:val="InstructionsText"/>
            </w:pPr>
            <w:r w:rsidRPr="00AA1421">
              <w:lastRenderedPageBreak/>
              <w:t>0050 - 0060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Ochrona kredytowa nierzeczywista: wartości skorygowane (G</w:t>
            </w:r>
            <w:r w:rsidRPr="00AA1421">
              <w:rPr>
                <w:rStyle w:val="InstructionsTabelleberschrift"/>
                <w:rFonts w:ascii="Times New Roman" w:hAnsi="Times New Roman"/>
                <w:sz w:val="24"/>
                <w:vertAlign w:val="subscript"/>
              </w:rPr>
              <w:t>A</w:t>
            </w:r>
            <w:r w:rsidRPr="00AA1421">
              <w:rPr>
                <w:rStyle w:val="InstructionsTabelleberschrift"/>
                <w:rFonts w:ascii="Times New Roman" w:hAnsi="Times New Roman"/>
                <w:sz w:val="24"/>
              </w:rPr>
              <w:t>)</w:t>
            </w:r>
          </w:p>
          <w:p w:rsidR="00464F34" w:rsidRPr="00AA1421" w:rsidRDefault="00464F34" w:rsidP="00487A02">
            <w:pPr>
              <w:pStyle w:val="InstructionsText"/>
            </w:pPr>
            <w:r w:rsidRPr="00AA1421">
              <w:t>Art. 235 CRR</w:t>
            </w:r>
          </w:p>
          <w:p w:rsidR="00464F34" w:rsidRPr="00AA1421" w:rsidRDefault="00464F34" w:rsidP="00487A02">
            <w:pPr>
              <w:pStyle w:val="InstructionsText"/>
            </w:pPr>
            <w:r w:rsidRPr="00AA1421">
              <w:t xml:space="preserve">W </w:t>
            </w:r>
            <w:r w:rsidRPr="00084F66">
              <w:t>art.</w:t>
            </w:r>
            <w:r w:rsidR="00084F66" w:rsidRPr="00084F66">
              <w:t> </w:t>
            </w:r>
            <w:r w:rsidRPr="00084F66">
              <w:t>2</w:t>
            </w:r>
            <w:r w:rsidRPr="00AA1421">
              <w:t xml:space="preserve">39 </w:t>
            </w:r>
            <w:r w:rsidRPr="00084F66">
              <w:t>ust.</w:t>
            </w:r>
            <w:r w:rsidR="00084F66" w:rsidRPr="00084F66">
              <w:t> </w:t>
            </w:r>
            <w:r w:rsidRPr="00084F66">
              <w:t>3</w:t>
            </w:r>
            <w:r w:rsidRPr="00AA1421">
              <w:t xml:space="preserve"> CRR zawarto wzór stosowany do obliczania wartości skorygowanej G</w:t>
            </w:r>
            <w:r w:rsidRPr="00AA1421">
              <w:rPr>
                <w:vertAlign w:val="subscript"/>
              </w:rPr>
              <w:t>A</w:t>
            </w:r>
            <w:r w:rsidRPr="00AA1421">
              <w:t xml:space="preserve"> ochrony kredytowej nierzeczywistej.</w:t>
            </w:r>
          </w:p>
        </w:tc>
      </w:tr>
      <w:tr w:rsidR="00464F34" w:rsidRPr="00AA1421" w:rsidTr="00672D2A">
        <w:tc>
          <w:tcPr>
            <w:tcW w:w="1188" w:type="dxa"/>
          </w:tcPr>
          <w:p w:rsidR="00464F34" w:rsidRPr="00AA1421" w:rsidRDefault="00FF15C6" w:rsidP="00487A02">
            <w:pPr>
              <w:pStyle w:val="InstructionsText"/>
            </w:pPr>
            <w:r w:rsidRPr="00AA1421">
              <w:t>0050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Gwarancje</w:t>
            </w:r>
          </w:p>
          <w:p w:rsidR="00464F34" w:rsidRPr="00AA1421" w:rsidRDefault="00464F34" w:rsidP="00487A02">
            <w:pPr>
              <w:pStyle w:val="InstructionsText"/>
            </w:pPr>
            <w:r w:rsidRPr="00AA1421">
              <w:t>Art. 203 CRR</w:t>
            </w:r>
          </w:p>
          <w:p w:rsidR="00464F34" w:rsidRPr="00AA1421" w:rsidRDefault="00464F34" w:rsidP="00487A02">
            <w:pPr>
              <w:pStyle w:val="InstructionsText"/>
              <w:rPr>
                <w:b/>
                <w:u w:val="single"/>
              </w:rPr>
            </w:pPr>
            <w:r w:rsidRPr="00AA1421">
              <w:t xml:space="preserve">Ochrona kredytowa nierzeczywista zgodnie z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w:t>
            </w:r>
            <w:r w:rsidRPr="00084F66">
              <w:t>pkt</w:t>
            </w:r>
            <w:r w:rsidR="00084F66" w:rsidRPr="00084F66">
              <w:t> </w:t>
            </w:r>
            <w:r w:rsidRPr="00084F66">
              <w:t>5</w:t>
            </w:r>
            <w:r w:rsidRPr="00AA1421">
              <w:t>9 CRR, która nie obejmuje kredytowych instrumentów pochodnych.</w:t>
            </w:r>
          </w:p>
        </w:tc>
      </w:tr>
      <w:tr w:rsidR="00464F34" w:rsidRPr="00AA1421" w:rsidTr="00672D2A">
        <w:tc>
          <w:tcPr>
            <w:tcW w:w="1188" w:type="dxa"/>
          </w:tcPr>
          <w:p w:rsidR="00464F34" w:rsidRPr="00AA1421" w:rsidRDefault="00464F34" w:rsidP="00487A02">
            <w:pPr>
              <w:pStyle w:val="InstructionsText"/>
            </w:pPr>
            <w:r w:rsidRPr="00AA1421">
              <w:t>0060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Kredytowe instrumenty pochodne</w:t>
            </w:r>
          </w:p>
          <w:p w:rsidR="00464F34" w:rsidRPr="00AA1421" w:rsidRDefault="00464F34" w:rsidP="00487A02">
            <w:pPr>
              <w:pStyle w:val="InstructionsText"/>
              <w:rPr>
                <w:b/>
                <w:u w:val="single"/>
              </w:rPr>
            </w:pPr>
            <w:r w:rsidRPr="00AA1421">
              <w:t>Art. 204 CRR</w:t>
            </w:r>
          </w:p>
        </w:tc>
      </w:tr>
      <w:tr w:rsidR="00464F34" w:rsidRPr="00AA1421" w:rsidTr="00672D2A">
        <w:tc>
          <w:tcPr>
            <w:tcW w:w="1188" w:type="dxa"/>
          </w:tcPr>
          <w:p w:rsidR="00464F34" w:rsidRPr="00AA1421" w:rsidRDefault="00464F34" w:rsidP="00487A02">
            <w:pPr>
              <w:pStyle w:val="InstructionsText"/>
            </w:pPr>
            <w:r w:rsidRPr="00AA1421">
              <w:t>0070 – 0080</w:t>
            </w:r>
          </w:p>
          <w:p w:rsidR="00464F34" w:rsidRPr="00AA1421" w:rsidRDefault="00464F34" w:rsidP="00487A02">
            <w:pPr>
              <w:pStyle w:val="InstructionsText"/>
            </w:pP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Ochrona kredytowa rzeczywista</w:t>
            </w:r>
          </w:p>
          <w:p w:rsidR="00464F34" w:rsidRPr="00AA1421" w:rsidRDefault="009C44E7" w:rsidP="00487A02">
            <w:pPr>
              <w:pStyle w:val="InstructionsText"/>
            </w:pPr>
            <w:r w:rsidRPr="00AA1421">
              <w:t xml:space="preserve">Te kolumny odnoszą się do ochrony kredytowej rzeczywistej zdefiniowanej w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w:t>
            </w:r>
            <w:r w:rsidRPr="00084F66">
              <w:t>pkt</w:t>
            </w:r>
            <w:r w:rsidR="00084F66" w:rsidRPr="00084F66">
              <w:t> </w:t>
            </w:r>
            <w:r w:rsidRPr="00084F66">
              <w:t>5</w:t>
            </w:r>
            <w:r w:rsidRPr="00AA1421">
              <w:t xml:space="preserve">8 CRR oraz podlegającej przepisom określonym w </w:t>
            </w:r>
            <w:r w:rsidRPr="00084F66">
              <w:t>art.</w:t>
            </w:r>
            <w:r w:rsidR="00084F66" w:rsidRPr="00084F66">
              <w:t> </w:t>
            </w:r>
            <w:r w:rsidRPr="00084F66">
              <w:t>1</w:t>
            </w:r>
            <w:r w:rsidRPr="00AA1421">
              <w:t>96, 197 i 200 CRR. Kwoty nie obejmują umów ramowych o kompensowaniu zobowiązań (umowy te są już uwzględnione w pierwotnej ekspozycji przed uwzględnieniem współczynników konwersji).</w:t>
            </w:r>
          </w:p>
          <w:p w:rsidR="00464F34" w:rsidRPr="00AA1421" w:rsidRDefault="00167619" w:rsidP="00487A02">
            <w:pPr>
              <w:pStyle w:val="InstructionsText"/>
            </w:pPr>
            <w:r w:rsidRPr="00AA1421">
              <w:t xml:space="preserve">Inwestycje w obligacje powiązane z ryzykiem kredytowym, o których mowa w </w:t>
            </w:r>
            <w:r w:rsidRPr="00084F66">
              <w:t>art.</w:t>
            </w:r>
            <w:r w:rsidR="00084F66" w:rsidRPr="00084F66">
              <w:t> </w:t>
            </w:r>
            <w:r w:rsidRPr="00084F66">
              <w:t>2</w:t>
            </w:r>
            <w:r w:rsidRPr="00AA1421">
              <w:t xml:space="preserve">18 CRR, oraz bilansowe pozycje kompensujące wynikające z uznanych umów o kompensowaniu pozycji bilansowych, o których mowa w </w:t>
            </w:r>
            <w:r w:rsidRPr="00084F66">
              <w:t>art.</w:t>
            </w:r>
            <w:r w:rsidR="00084F66" w:rsidRPr="00084F66">
              <w:t> </w:t>
            </w:r>
            <w:r w:rsidRPr="00084F66">
              <w:t>2</w:t>
            </w:r>
            <w:r w:rsidRPr="00AA1421">
              <w:t>19 CRR, traktuje się jak zabezpieczenie gotówkowe.</w:t>
            </w:r>
          </w:p>
        </w:tc>
      </w:tr>
      <w:tr w:rsidR="00464F34" w:rsidRPr="00AA1421" w:rsidTr="00672D2A">
        <w:tc>
          <w:tcPr>
            <w:tcW w:w="1188" w:type="dxa"/>
          </w:tcPr>
          <w:p w:rsidR="00464F34" w:rsidRPr="00AA1421" w:rsidRDefault="00464F34" w:rsidP="00487A02">
            <w:pPr>
              <w:pStyle w:val="InstructionsText"/>
            </w:pPr>
            <w:r w:rsidRPr="00AA1421">
              <w:t>0070</w:t>
            </w:r>
          </w:p>
        </w:tc>
        <w:tc>
          <w:tcPr>
            <w:tcW w:w="8640" w:type="dxa"/>
          </w:tcPr>
          <w:p w:rsidR="00464F34" w:rsidRPr="00AA1421" w:rsidRDefault="00464F34" w:rsidP="00487A02">
            <w:pPr>
              <w:pStyle w:val="InstructionsText"/>
            </w:pPr>
            <w:r w:rsidRPr="00AA1421">
              <w:rPr>
                <w:rStyle w:val="InstructionsTabelleberschrift"/>
                <w:rFonts w:ascii="Times New Roman" w:hAnsi="Times New Roman"/>
                <w:sz w:val="24"/>
              </w:rPr>
              <w:t>Zabezpieczenie finansowe: metoda uproszczona</w:t>
            </w:r>
          </w:p>
          <w:p w:rsidR="00464F34" w:rsidRPr="00AA1421" w:rsidRDefault="00167619" w:rsidP="00487A02">
            <w:pPr>
              <w:pStyle w:val="InstructionsText"/>
            </w:pPr>
            <w:r w:rsidRPr="00AA1421">
              <w:t xml:space="preserve">Art. 222 </w:t>
            </w:r>
            <w:r w:rsidRPr="00084F66">
              <w:t>ust.</w:t>
            </w:r>
            <w:r w:rsidR="00084F66" w:rsidRPr="00084F66">
              <w:t> </w:t>
            </w:r>
            <w:r w:rsidRPr="00084F66">
              <w:t>1</w:t>
            </w:r>
            <w:r w:rsidRPr="00AA1421">
              <w:t xml:space="preserve"> i 2 CRR.</w:t>
            </w:r>
          </w:p>
        </w:tc>
      </w:tr>
      <w:tr w:rsidR="00464F34" w:rsidRPr="00AA1421" w:rsidTr="00672D2A">
        <w:tc>
          <w:tcPr>
            <w:tcW w:w="1188" w:type="dxa"/>
          </w:tcPr>
          <w:p w:rsidR="00464F34" w:rsidRPr="00AA1421" w:rsidRDefault="00464F34" w:rsidP="00487A02">
            <w:pPr>
              <w:pStyle w:val="InstructionsText"/>
            </w:pPr>
            <w:r w:rsidRPr="00AA1421">
              <w:t>0080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Inne rodzaje ochrony kredytowej rzeczywistej</w:t>
            </w:r>
          </w:p>
          <w:p w:rsidR="00464F34" w:rsidRPr="00AA1421" w:rsidRDefault="00464F34" w:rsidP="00487A02">
            <w:pPr>
              <w:pStyle w:val="InstructionsText"/>
            </w:pPr>
            <w:r w:rsidRPr="00AA1421">
              <w:t>Art. 232 CRR.</w:t>
            </w:r>
          </w:p>
        </w:tc>
      </w:tr>
      <w:tr w:rsidR="00464F34" w:rsidRPr="00AA1421" w:rsidTr="00672D2A">
        <w:tc>
          <w:tcPr>
            <w:tcW w:w="1188" w:type="dxa"/>
          </w:tcPr>
          <w:p w:rsidR="00464F34" w:rsidRPr="00AA1421" w:rsidRDefault="00464F34" w:rsidP="00487A02">
            <w:pPr>
              <w:pStyle w:val="InstructionsText"/>
            </w:pPr>
            <w:r w:rsidRPr="00AA1421">
              <w:t>0090 - 0100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SUBSTYTUCJA EKSPOZYCJI W WYNIKU OGRANICZANIA RYZYKA KREDYTOWEGO</w:t>
            </w:r>
          </w:p>
          <w:p w:rsidR="00464F34" w:rsidRPr="00AA1421" w:rsidRDefault="00464F34" w:rsidP="00487A02">
            <w:pPr>
              <w:pStyle w:val="InstructionsText"/>
            </w:pPr>
            <w:r w:rsidRPr="00AA1421">
              <w:t xml:space="preserve">Art. 222 </w:t>
            </w:r>
            <w:r w:rsidRPr="00084F66">
              <w:t>ust.</w:t>
            </w:r>
            <w:r w:rsidR="00084F66" w:rsidRPr="00084F66">
              <w:t> </w:t>
            </w:r>
            <w:r w:rsidRPr="00084F66">
              <w:t>3</w:t>
            </w:r>
            <w:r w:rsidRPr="00AA1421">
              <w:t xml:space="preserve">, </w:t>
            </w:r>
            <w:r w:rsidRPr="00084F66">
              <w:t>art.</w:t>
            </w:r>
            <w:r w:rsidR="00084F66" w:rsidRPr="00084F66">
              <w:t> </w:t>
            </w:r>
            <w:r w:rsidRPr="00084F66">
              <w:t>2</w:t>
            </w:r>
            <w:r w:rsidRPr="00AA1421">
              <w:t xml:space="preserve">35 </w:t>
            </w:r>
            <w:r w:rsidRPr="00084F66">
              <w:t>ust.</w:t>
            </w:r>
            <w:r w:rsidR="00084F66" w:rsidRPr="00084F66">
              <w:t> </w:t>
            </w:r>
            <w:r w:rsidRPr="00084F66">
              <w:t>1</w:t>
            </w:r>
            <w:r w:rsidRPr="00AA1421">
              <w:t xml:space="preserve"> i 2 oraz </w:t>
            </w:r>
            <w:r w:rsidRPr="00084F66">
              <w:t>art.</w:t>
            </w:r>
            <w:r w:rsidR="00084F66" w:rsidRPr="00084F66">
              <w:t> </w:t>
            </w:r>
            <w:r w:rsidRPr="00084F66">
              <w:t>2</w:t>
            </w:r>
            <w:r w:rsidRPr="00AA1421">
              <w:t>36 CRR.</w:t>
            </w:r>
          </w:p>
          <w:p w:rsidR="00464F34" w:rsidRPr="00AA1421" w:rsidRDefault="00464F34" w:rsidP="00487A02">
            <w:pPr>
              <w:pStyle w:val="InstructionsText"/>
            </w:pPr>
            <w:r w:rsidRPr="00AA1421">
              <w:lastRenderedPageBreak/>
              <w:t>Wypływy odpowiadają zabezpieczonej części pierwotnej ekspozycji przed uwzględnieniem współczynników konwersji, którą to część odlicza się od kategorii ekspozycji dłużnika, a następnie przypisuje kategorii ekspozycji dostawcy ochrony kredytowej. Kwotę tę uznaje się za wpływ do kategorii ekspozycji dostawcy ochrony kredytowej.</w:t>
            </w:r>
          </w:p>
          <w:p w:rsidR="00464F34" w:rsidRPr="00AA1421" w:rsidRDefault="00464F34" w:rsidP="00487A02">
            <w:pPr>
              <w:pStyle w:val="InstructionsText"/>
              <w:rPr>
                <w:b/>
              </w:rPr>
            </w:pPr>
            <w:r w:rsidRPr="00AA1421">
              <w:t>Zgłasza się również wpływy i wypływy w obrębie tych samych kategorii ekspozycji.</w:t>
            </w:r>
          </w:p>
          <w:p w:rsidR="00464F34" w:rsidRPr="00AA1421" w:rsidRDefault="00464F34" w:rsidP="00487A02">
            <w:pPr>
              <w:pStyle w:val="InstructionsText"/>
            </w:pPr>
            <w:r w:rsidRPr="00AA1421">
              <w:t>Uwzględnia się ekspozycje wynikające z ewentualnych wpływów i wypływów w odniesieniu do innych wzorów.</w:t>
            </w:r>
          </w:p>
        </w:tc>
      </w:tr>
      <w:tr w:rsidR="00464F34" w:rsidRPr="00AA1421" w:rsidTr="00672D2A">
        <w:tc>
          <w:tcPr>
            <w:tcW w:w="1188" w:type="dxa"/>
          </w:tcPr>
          <w:p w:rsidR="00464F34" w:rsidRPr="00AA1421" w:rsidRDefault="00FF15C6" w:rsidP="00487A02">
            <w:pPr>
              <w:pStyle w:val="InstructionsText"/>
            </w:pPr>
            <w:r w:rsidRPr="00AA1421">
              <w:lastRenderedPageBreak/>
              <w:t>0110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rsidR="00464F34" w:rsidRPr="00AA1421" w:rsidRDefault="00464F34" w:rsidP="00487A02">
            <w:pPr>
              <w:pStyle w:val="InstructionsText"/>
            </w:pPr>
            <w:r w:rsidRPr="00AA1421">
              <w:t>Kwota ekspozycji po odliczeniu korekt wartości i po uwzględnieniu wypływów i wpływów wynikających z TECHNIK OGRANICZANIA RYZYKA KREDYTOWEGO Z UWZGLĘDNIENIEM EFEKTÓW SUBSTYTUCYJNYCH W ODNIESIENIU DO EKSPOZYCJI</w:t>
            </w:r>
          </w:p>
        </w:tc>
      </w:tr>
      <w:tr w:rsidR="00464F34" w:rsidRPr="00AA1421" w:rsidTr="00672D2A">
        <w:tc>
          <w:tcPr>
            <w:tcW w:w="1188" w:type="dxa"/>
          </w:tcPr>
          <w:p w:rsidR="00464F34" w:rsidRPr="00AA1421" w:rsidRDefault="00FF15C6" w:rsidP="00487A02">
            <w:pPr>
              <w:pStyle w:val="InstructionsText"/>
            </w:pPr>
            <w:r w:rsidRPr="00AA1421">
              <w:t>0120-0140</w:t>
            </w:r>
          </w:p>
        </w:tc>
        <w:tc>
          <w:tcPr>
            <w:tcW w:w="8640" w:type="dxa"/>
          </w:tcPr>
          <w:p w:rsidR="00464F34" w:rsidRPr="00AA1421" w:rsidRDefault="00464F34" w:rsidP="00487A02">
            <w:pPr>
              <w:pStyle w:val="InstructionsText"/>
            </w:pPr>
            <w:r w:rsidRPr="00AA1421">
              <w:rPr>
                <w:rStyle w:val="InstructionsTabelleberschrift"/>
                <w:rFonts w:ascii="Times New Roman" w:hAnsi="Times New Roman"/>
                <w:sz w:val="24"/>
              </w:rPr>
              <w:t>TECHNIKI OGRANICZANIA RYZYKA KREDYTOWEGO MAJĄCE WPŁYW NA KWOTĘ EKSPOZYCJI: OCHRONA KREDYTOWA RZECZYWISTA, KOMPLEKSOWA METODA UJMOWANIA ZABEZPIECZEŃ FINANSOWYCH</w:t>
            </w:r>
          </w:p>
          <w:p w:rsidR="00464F34" w:rsidRPr="00AA1421" w:rsidRDefault="00464F34" w:rsidP="00487A02">
            <w:pPr>
              <w:pStyle w:val="InstructionsText"/>
            </w:pPr>
            <w:r w:rsidRPr="00AA1421">
              <w:t>Art. 223–228 CRR. Pozycja ta obejmuje także obligacje powiązane z ryzykiem kredytowym (</w:t>
            </w:r>
            <w:r w:rsidRPr="00084F66">
              <w:t>art.</w:t>
            </w:r>
            <w:r w:rsidR="00084F66" w:rsidRPr="00084F66">
              <w:t> </w:t>
            </w:r>
            <w:r w:rsidRPr="00084F66">
              <w:t>2</w:t>
            </w:r>
            <w:r w:rsidRPr="00AA1421">
              <w:t>18 CRR).</w:t>
            </w:r>
          </w:p>
          <w:p w:rsidR="00464F34" w:rsidRPr="00AA1421" w:rsidRDefault="00464F34" w:rsidP="00487A02">
            <w:pPr>
              <w:pStyle w:val="InstructionsText"/>
            </w:pPr>
            <w:r w:rsidRPr="00AA1421">
              <w:t xml:space="preserve">Obligacje powiązane z ryzykiem kredytowym, o których mowa w </w:t>
            </w:r>
            <w:r w:rsidRPr="00084F66">
              <w:t>art.</w:t>
            </w:r>
            <w:r w:rsidR="00084F66" w:rsidRPr="00084F66">
              <w:t> </w:t>
            </w:r>
            <w:r w:rsidRPr="00084F66">
              <w:t>2</w:t>
            </w:r>
            <w:r w:rsidRPr="00AA1421">
              <w:t xml:space="preserve">18 CRR, oraz bilansowe pozycje kompensujące wynikające z uznanych umów o kompensowaniu pozycji bilansowych, o których mowa w </w:t>
            </w:r>
            <w:r w:rsidRPr="00084F66">
              <w:t>art.</w:t>
            </w:r>
            <w:r w:rsidR="00084F66" w:rsidRPr="00084F66">
              <w:t> </w:t>
            </w:r>
            <w:r w:rsidRPr="00084F66">
              <w:t>2</w:t>
            </w:r>
            <w:r w:rsidRPr="00AA1421">
              <w:t>19 CRR, traktuje się jak zabezpieczenie gotówkowe.</w:t>
            </w:r>
          </w:p>
          <w:p w:rsidR="00464F34" w:rsidRPr="00AA1421" w:rsidRDefault="00464F34" w:rsidP="00487A02">
            <w:pPr>
              <w:pStyle w:val="InstructionsText"/>
            </w:pPr>
            <w:r w:rsidRPr="00AA1421">
              <w:t xml:space="preserve">Efekt zabezpieczenia wynikający z kompleksowej metody ujmowania zabezpieczeń finansowych zastosowanej w odniesieniu do ekspozycji, która jest zabezpieczona uznanym zabezpieczeniem finansowym, oblicza się zgodnie z </w:t>
            </w:r>
            <w:r w:rsidRPr="00084F66">
              <w:t>art.</w:t>
            </w:r>
            <w:r w:rsidR="00084F66" w:rsidRPr="00084F66">
              <w:t> </w:t>
            </w:r>
            <w:r w:rsidRPr="00084F66">
              <w:t>2</w:t>
            </w:r>
            <w:r w:rsidRPr="00AA1421">
              <w:t xml:space="preserve">23–228 CRR. </w:t>
            </w:r>
          </w:p>
        </w:tc>
      </w:tr>
      <w:tr w:rsidR="00464F34" w:rsidRPr="00AA1421" w:rsidTr="00672D2A">
        <w:tc>
          <w:tcPr>
            <w:tcW w:w="1188" w:type="dxa"/>
          </w:tcPr>
          <w:p w:rsidR="00464F34" w:rsidRPr="00AA1421" w:rsidRDefault="00FF15C6" w:rsidP="00487A02">
            <w:pPr>
              <w:pStyle w:val="InstructionsText"/>
            </w:pPr>
            <w:r w:rsidRPr="00AA1421">
              <w:t>0120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Korekta z tytułu zmienności ekspozycji</w:t>
            </w:r>
          </w:p>
          <w:p w:rsidR="00464F34" w:rsidRPr="00AA1421" w:rsidRDefault="00167619" w:rsidP="00487A02">
            <w:pPr>
              <w:pStyle w:val="InstructionsText"/>
            </w:pPr>
            <w:r w:rsidRPr="00AA1421">
              <w:t xml:space="preserve">Art. 223 </w:t>
            </w:r>
            <w:r w:rsidRPr="00084F66">
              <w:t>ust.</w:t>
            </w:r>
            <w:r w:rsidR="00084F66" w:rsidRPr="00084F66">
              <w:t> </w:t>
            </w:r>
            <w:r w:rsidRPr="00084F66">
              <w:t>2</w:t>
            </w:r>
            <w:r w:rsidRPr="00AA1421">
              <w:t xml:space="preserve"> i 3 CRR.</w:t>
            </w:r>
          </w:p>
          <w:p w:rsidR="00464F34" w:rsidRPr="00AA1421" w:rsidRDefault="00464F34" w:rsidP="00487A02">
            <w:pPr>
              <w:pStyle w:val="InstructionsText"/>
            </w:pPr>
            <w:r w:rsidRPr="00AA1421">
              <w:t>Kwotą, którą należy zgłosić, jest skutek korekty z tytułu zmienności ekspozycji (</w:t>
            </w:r>
            <w:proofErr w:type="spellStart"/>
            <w:r w:rsidRPr="00AA1421">
              <w:t>Eva</w:t>
            </w:r>
            <w:proofErr w:type="spellEnd"/>
            <w:r w:rsidRPr="00AA1421">
              <w:t>-E) = E*He.</w:t>
            </w:r>
          </w:p>
        </w:tc>
      </w:tr>
      <w:tr w:rsidR="00464F34" w:rsidRPr="00AA1421" w:rsidTr="00672D2A">
        <w:tc>
          <w:tcPr>
            <w:tcW w:w="1188" w:type="dxa"/>
          </w:tcPr>
          <w:p w:rsidR="00464F34" w:rsidRPr="00AA1421" w:rsidRDefault="00FF15C6" w:rsidP="00487A02">
            <w:pPr>
              <w:pStyle w:val="InstructionsText"/>
            </w:pPr>
            <w:r w:rsidRPr="00AA1421">
              <w:t>0130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Zabezpieczenie finansowe: wartość skorygowana (</w:t>
            </w:r>
            <w:proofErr w:type="spellStart"/>
            <w:r w:rsidRPr="00AA1421">
              <w:rPr>
                <w:rStyle w:val="InstructionsTabelleberschrift"/>
                <w:rFonts w:ascii="Times New Roman" w:hAnsi="Times New Roman"/>
                <w:sz w:val="24"/>
              </w:rPr>
              <w:t>Cvam</w:t>
            </w:r>
            <w:proofErr w:type="spellEnd"/>
            <w:r w:rsidRPr="00AA1421">
              <w:rPr>
                <w:rStyle w:val="InstructionsTabelleberschrift"/>
                <w:rFonts w:ascii="Times New Roman" w:hAnsi="Times New Roman"/>
                <w:sz w:val="24"/>
              </w:rPr>
              <w:t>)</w:t>
            </w:r>
          </w:p>
          <w:p w:rsidR="00464F34" w:rsidRPr="00AA1421" w:rsidRDefault="00464F34" w:rsidP="00487A02">
            <w:pPr>
              <w:pStyle w:val="InstructionsText"/>
            </w:pPr>
            <w:r w:rsidRPr="00AA1421">
              <w:t xml:space="preserve">Art. 239 </w:t>
            </w:r>
            <w:r w:rsidRPr="00084F66">
              <w:t>ust.</w:t>
            </w:r>
            <w:r w:rsidR="00084F66" w:rsidRPr="00084F66">
              <w:t> </w:t>
            </w:r>
            <w:r w:rsidRPr="00084F66">
              <w:t>2</w:t>
            </w:r>
            <w:r w:rsidRPr="00AA1421">
              <w:t xml:space="preserve"> CRR</w:t>
            </w:r>
          </w:p>
          <w:p w:rsidR="00464F34" w:rsidRPr="00AA1421" w:rsidRDefault="00464F34" w:rsidP="00487A02">
            <w:pPr>
              <w:pStyle w:val="InstructionsText"/>
            </w:pPr>
            <w:r w:rsidRPr="00AA1421">
              <w:t xml:space="preserve">W przypadku operacji portfela handlowego uwzględnia się zabezpieczenie finansowe i towary kwalifikujące się do ekspozycji zaliczanych do portfela handlowego zgodnie z </w:t>
            </w:r>
            <w:r w:rsidRPr="00084F66">
              <w:t>art.</w:t>
            </w:r>
            <w:r w:rsidR="00084F66" w:rsidRPr="00084F66">
              <w:t> </w:t>
            </w:r>
            <w:r w:rsidRPr="00084F66">
              <w:t>2</w:t>
            </w:r>
            <w:r w:rsidRPr="00AA1421">
              <w:t xml:space="preserve">99 </w:t>
            </w:r>
            <w:r w:rsidRPr="00084F66">
              <w:t>ust.</w:t>
            </w:r>
            <w:r w:rsidR="00084F66" w:rsidRPr="00084F66">
              <w:t> </w:t>
            </w:r>
            <w:r w:rsidRPr="00084F66">
              <w:t>2</w:t>
            </w:r>
            <w:r w:rsidRPr="00AA1421">
              <w:t xml:space="preserve"> </w:t>
            </w:r>
            <w:r w:rsidRPr="00084F66">
              <w:t>lit.</w:t>
            </w:r>
            <w:r w:rsidR="00084F66" w:rsidRPr="00084F66">
              <w:t> </w:t>
            </w:r>
            <w:r w:rsidRPr="00084F66">
              <w:t>c)</w:t>
            </w:r>
            <w:r w:rsidRPr="00AA1421">
              <w:t xml:space="preserve">–f) CRR. </w:t>
            </w:r>
          </w:p>
          <w:p w:rsidR="00464F34" w:rsidRPr="00AA1421" w:rsidRDefault="00464F34" w:rsidP="00487A02">
            <w:pPr>
              <w:pStyle w:val="InstructionsText"/>
            </w:pPr>
            <w:r w:rsidRPr="00AA1421">
              <w:t xml:space="preserve">Kwota, którą należy zgłosić, odpowiada </w:t>
            </w:r>
            <w:proofErr w:type="spellStart"/>
            <w:r w:rsidRPr="00AA1421">
              <w:t>Cvam</w:t>
            </w:r>
            <w:proofErr w:type="spellEnd"/>
            <w:r w:rsidRPr="00AA1421">
              <w:t xml:space="preserve"> = C*(1-Hc-Hfx)*(t-t*)/(T-t*). Definicje C, </w:t>
            </w:r>
            <w:proofErr w:type="spellStart"/>
            <w:r w:rsidRPr="00AA1421">
              <w:t>Hc</w:t>
            </w:r>
            <w:proofErr w:type="spellEnd"/>
            <w:r w:rsidRPr="00AA1421">
              <w:t xml:space="preserve">, </w:t>
            </w:r>
            <w:proofErr w:type="spellStart"/>
            <w:r w:rsidRPr="00AA1421">
              <w:t>Hfx</w:t>
            </w:r>
            <w:proofErr w:type="spellEnd"/>
            <w:r w:rsidRPr="00AA1421">
              <w:t>, t, T i t* znajdują się w części trzeciej tytuł II rozdział 4 sekcje 4 i 5 CRR.</w:t>
            </w:r>
          </w:p>
        </w:tc>
      </w:tr>
      <w:tr w:rsidR="00464F34" w:rsidRPr="00AA1421" w:rsidTr="00672D2A">
        <w:tc>
          <w:tcPr>
            <w:tcW w:w="1188" w:type="dxa"/>
          </w:tcPr>
          <w:p w:rsidR="00464F34" w:rsidRPr="00AA1421" w:rsidRDefault="00FF15C6" w:rsidP="00487A02">
            <w:pPr>
              <w:pStyle w:val="InstructionsText"/>
            </w:pPr>
            <w:r w:rsidRPr="00AA1421">
              <w:t>0140</w:t>
            </w:r>
          </w:p>
        </w:tc>
        <w:tc>
          <w:tcPr>
            <w:tcW w:w="8640" w:type="dxa"/>
          </w:tcPr>
          <w:p w:rsidR="00464F34" w:rsidRPr="00AA1421" w:rsidRDefault="008932B5"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W tym: korekty z tytułu zmienności i korekty terminu zapadalności</w:t>
            </w:r>
          </w:p>
          <w:p w:rsidR="00464F34" w:rsidRPr="00AA1421" w:rsidRDefault="00464F34" w:rsidP="00487A02">
            <w:pPr>
              <w:pStyle w:val="InstructionsText"/>
            </w:pPr>
            <w:r w:rsidRPr="00AA1421">
              <w:t xml:space="preserve">Art. 223 </w:t>
            </w:r>
            <w:r w:rsidRPr="00084F66">
              <w:t>ust.</w:t>
            </w:r>
            <w:r w:rsidR="00084F66" w:rsidRPr="00084F66">
              <w:t> </w:t>
            </w:r>
            <w:r w:rsidRPr="00084F66">
              <w:t>1</w:t>
            </w:r>
            <w:r w:rsidRPr="00AA1421">
              <w:t xml:space="preserve"> CRR i </w:t>
            </w:r>
            <w:r w:rsidRPr="00084F66">
              <w:t>art.</w:t>
            </w:r>
            <w:r w:rsidR="00084F66" w:rsidRPr="00084F66">
              <w:t> </w:t>
            </w:r>
            <w:r w:rsidRPr="00084F66">
              <w:t>2</w:t>
            </w:r>
            <w:r w:rsidRPr="00AA1421">
              <w:t xml:space="preserve">39 </w:t>
            </w:r>
            <w:r w:rsidRPr="00084F66">
              <w:t>ust.</w:t>
            </w:r>
            <w:r w:rsidR="00084F66" w:rsidRPr="00084F66">
              <w:t> </w:t>
            </w:r>
            <w:r w:rsidRPr="00084F66">
              <w:t>2</w:t>
            </w:r>
            <w:r w:rsidRPr="00AA1421">
              <w:t xml:space="preserve"> CRR. </w:t>
            </w:r>
          </w:p>
          <w:p w:rsidR="00464F34" w:rsidRPr="00AA1421" w:rsidRDefault="00464F34" w:rsidP="00487A02">
            <w:pPr>
              <w:pStyle w:val="InstructionsText"/>
            </w:pPr>
            <w:r w:rsidRPr="00AA1421">
              <w:t>Kwotą, którą należy zgłosić, jest łączny skutek korekt z tytułu zmienności i korekt terminu zapadalności (</w:t>
            </w:r>
            <w:proofErr w:type="spellStart"/>
            <w:r w:rsidRPr="00AA1421">
              <w:t>Cvam</w:t>
            </w:r>
            <w:proofErr w:type="spellEnd"/>
            <w:r w:rsidRPr="00AA1421">
              <w:t xml:space="preserve">-C) = C*[(1-Hc-Hfx)*(t-t*)/(T-t*)-1], gdzie skutek korekt z </w:t>
            </w:r>
            <w:r w:rsidRPr="00AA1421">
              <w:lastRenderedPageBreak/>
              <w:t>tytułu zmienności to (</w:t>
            </w:r>
            <w:proofErr w:type="spellStart"/>
            <w:r w:rsidRPr="00AA1421">
              <w:t>Cva</w:t>
            </w:r>
            <w:proofErr w:type="spellEnd"/>
            <w:r w:rsidRPr="00AA1421">
              <w:t>-C) = C*[(1-Hc-Hfx)-1], a skutek korekt terminu zapadalności to (</w:t>
            </w:r>
            <w:proofErr w:type="spellStart"/>
            <w:r w:rsidRPr="00AA1421">
              <w:t>Cvam-Cva</w:t>
            </w:r>
            <w:proofErr w:type="spellEnd"/>
            <w:r w:rsidRPr="00AA1421">
              <w:t>) = C*(1-Hc-Hfx)*[(t-t*)/(T-t*)-1].</w:t>
            </w:r>
          </w:p>
        </w:tc>
      </w:tr>
      <w:tr w:rsidR="00464F34" w:rsidRPr="00AA1421" w:rsidTr="00672D2A">
        <w:tc>
          <w:tcPr>
            <w:tcW w:w="1188" w:type="dxa"/>
          </w:tcPr>
          <w:p w:rsidR="00464F34" w:rsidRPr="00AA1421" w:rsidRDefault="00FF15C6" w:rsidP="00487A02">
            <w:pPr>
              <w:pStyle w:val="InstructionsText"/>
            </w:pPr>
            <w:r w:rsidRPr="00AA1421">
              <w:lastRenderedPageBreak/>
              <w:t>0150</w:t>
            </w:r>
          </w:p>
        </w:tc>
        <w:tc>
          <w:tcPr>
            <w:tcW w:w="8640" w:type="dxa"/>
          </w:tcPr>
          <w:p w:rsidR="00464F34" w:rsidRPr="00AA1421" w:rsidRDefault="00464F34" w:rsidP="00487A02">
            <w:pPr>
              <w:pStyle w:val="InstructionsText"/>
            </w:pPr>
            <w:r w:rsidRPr="00AA1421">
              <w:rPr>
                <w:rStyle w:val="InstructionsTabelleberschrift"/>
                <w:rFonts w:ascii="Times New Roman" w:hAnsi="Times New Roman"/>
                <w:sz w:val="24"/>
              </w:rPr>
              <w:t>W pełni skorygowana wartość ekspozycji (E*)</w:t>
            </w:r>
          </w:p>
          <w:p w:rsidR="00464F34" w:rsidRPr="00AA1421" w:rsidRDefault="00464F34" w:rsidP="00487A02">
            <w:pPr>
              <w:pStyle w:val="InstructionsText"/>
              <w:rPr>
                <w:b/>
                <w:u w:val="single"/>
              </w:rPr>
            </w:pPr>
            <w:r w:rsidRPr="00AA1421">
              <w:t xml:space="preserve">Art. 220 </w:t>
            </w:r>
            <w:r w:rsidRPr="00084F66">
              <w:t>ust.</w:t>
            </w:r>
            <w:r w:rsidR="00084F66" w:rsidRPr="00084F66">
              <w:t> </w:t>
            </w:r>
            <w:r w:rsidRPr="00084F66">
              <w:t>4</w:t>
            </w:r>
            <w:r w:rsidRPr="00AA1421">
              <w:t xml:space="preserve">, </w:t>
            </w:r>
            <w:r w:rsidRPr="00084F66">
              <w:t>art.</w:t>
            </w:r>
            <w:r w:rsidR="00084F66" w:rsidRPr="00084F66">
              <w:t> </w:t>
            </w:r>
            <w:r w:rsidRPr="00084F66">
              <w:t>2</w:t>
            </w:r>
            <w:r w:rsidRPr="00AA1421">
              <w:t xml:space="preserve">23 </w:t>
            </w:r>
            <w:r w:rsidRPr="00084F66">
              <w:t>ust.</w:t>
            </w:r>
            <w:r w:rsidR="00084F66" w:rsidRPr="00084F66">
              <w:t> </w:t>
            </w:r>
            <w:r w:rsidRPr="00084F66">
              <w:t>2</w:t>
            </w:r>
            <w:r w:rsidRPr="00AA1421">
              <w:t xml:space="preserve">–5 i </w:t>
            </w:r>
            <w:r w:rsidRPr="00084F66">
              <w:t>art.</w:t>
            </w:r>
            <w:r w:rsidR="00084F66" w:rsidRPr="00084F66">
              <w:t> </w:t>
            </w:r>
            <w:r w:rsidRPr="00084F66">
              <w:t>2</w:t>
            </w:r>
            <w:r w:rsidRPr="00AA1421">
              <w:t xml:space="preserve">28 </w:t>
            </w:r>
            <w:r w:rsidRPr="00084F66">
              <w:t>ust.</w:t>
            </w:r>
            <w:r w:rsidR="00084F66" w:rsidRPr="00084F66">
              <w:t> </w:t>
            </w:r>
            <w:r w:rsidRPr="00084F66">
              <w:t>1</w:t>
            </w:r>
            <w:r w:rsidRPr="00AA1421">
              <w:t xml:space="preserve"> CRR.</w:t>
            </w:r>
          </w:p>
        </w:tc>
      </w:tr>
      <w:tr w:rsidR="00464F34" w:rsidRPr="00AA1421" w:rsidTr="00672D2A">
        <w:tc>
          <w:tcPr>
            <w:tcW w:w="1188" w:type="dxa"/>
          </w:tcPr>
          <w:p w:rsidR="00464F34" w:rsidRPr="00AA1421" w:rsidRDefault="00FF15C6" w:rsidP="00487A02">
            <w:pPr>
              <w:pStyle w:val="InstructionsText"/>
            </w:pPr>
            <w:r w:rsidRPr="00AA1421">
              <w:t>0160 - 0190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Podział w pełni skorygowanej wartości ekspozycji w pozycjach pozabilansowych według współczynników konwersji</w:t>
            </w:r>
          </w:p>
          <w:p w:rsidR="00464F34" w:rsidRPr="00AA1421" w:rsidRDefault="00464F34" w:rsidP="00487A02">
            <w:pPr>
              <w:pStyle w:val="InstructionsText"/>
            </w:pPr>
            <w:r w:rsidRPr="00AA1421">
              <w:t xml:space="preserve">Art. 111 </w:t>
            </w:r>
            <w:r w:rsidRPr="00084F66">
              <w:t>ust.</w:t>
            </w:r>
            <w:r w:rsidR="00084F66" w:rsidRPr="00084F66">
              <w:t> </w:t>
            </w:r>
            <w:r w:rsidRPr="00084F66">
              <w:t>1</w:t>
            </w:r>
            <w:r w:rsidRPr="00AA1421">
              <w:t xml:space="preserve"> oraz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w:t>
            </w:r>
            <w:r w:rsidRPr="00084F66">
              <w:t>pkt</w:t>
            </w:r>
            <w:r w:rsidR="00084F66" w:rsidRPr="00084F66">
              <w:t> </w:t>
            </w:r>
            <w:r w:rsidRPr="00084F66">
              <w:t>5</w:t>
            </w:r>
            <w:r w:rsidRPr="00AA1421">
              <w:t xml:space="preserve">6 CRR Zob. także </w:t>
            </w:r>
            <w:r w:rsidRPr="00084F66">
              <w:t>art.</w:t>
            </w:r>
            <w:r w:rsidR="00084F66" w:rsidRPr="00084F66">
              <w:t> </w:t>
            </w:r>
            <w:r w:rsidRPr="00084F66">
              <w:t>2</w:t>
            </w:r>
            <w:r w:rsidRPr="00AA1421">
              <w:t xml:space="preserve">22 </w:t>
            </w:r>
            <w:r w:rsidRPr="00084F66">
              <w:t>ust.</w:t>
            </w:r>
            <w:r w:rsidR="00084F66" w:rsidRPr="00084F66">
              <w:t> </w:t>
            </w:r>
            <w:r w:rsidRPr="00084F66">
              <w:t>3</w:t>
            </w:r>
            <w:r w:rsidRPr="00AA1421">
              <w:t xml:space="preserve"> i </w:t>
            </w:r>
            <w:r w:rsidRPr="00084F66">
              <w:t>art.</w:t>
            </w:r>
            <w:r w:rsidR="00084F66" w:rsidRPr="00084F66">
              <w:t> </w:t>
            </w:r>
            <w:r w:rsidRPr="00084F66">
              <w:t>2</w:t>
            </w:r>
            <w:r w:rsidRPr="00AA1421">
              <w:t xml:space="preserve">28 </w:t>
            </w:r>
            <w:r w:rsidRPr="00084F66">
              <w:t>ust.</w:t>
            </w:r>
            <w:r w:rsidR="00084F66" w:rsidRPr="00084F66">
              <w:t> </w:t>
            </w:r>
            <w:r w:rsidRPr="00084F66">
              <w:t>1</w:t>
            </w:r>
            <w:r w:rsidRPr="00AA1421">
              <w:t xml:space="preserve"> CRR.</w:t>
            </w:r>
          </w:p>
          <w:p w:rsidR="000A4C10" w:rsidRPr="00AA1421" w:rsidRDefault="000A4C10" w:rsidP="00487A02">
            <w:pPr>
              <w:pStyle w:val="InstructionsText"/>
              <w:rPr>
                <w:b/>
                <w:u w:val="single"/>
              </w:rPr>
            </w:pPr>
            <w:r w:rsidRPr="00AA1421">
              <w:t>Zgłaszać należy w pełni skorygowane wartości ekspozycji przed zastosowaniem współczynnika konwersji.</w:t>
            </w:r>
          </w:p>
        </w:tc>
      </w:tr>
      <w:tr w:rsidR="00464F34" w:rsidRPr="00AA1421" w:rsidTr="00672D2A">
        <w:tc>
          <w:tcPr>
            <w:tcW w:w="1188" w:type="dxa"/>
          </w:tcPr>
          <w:p w:rsidR="00464F34" w:rsidRPr="00AA1421" w:rsidRDefault="00FF15C6" w:rsidP="00487A02">
            <w:pPr>
              <w:pStyle w:val="InstructionsText"/>
            </w:pPr>
            <w:r w:rsidRPr="00AA1421">
              <w:t>0200</w:t>
            </w:r>
          </w:p>
        </w:tc>
        <w:tc>
          <w:tcPr>
            <w:tcW w:w="8640" w:type="dxa"/>
          </w:tcPr>
          <w:p w:rsidR="00464F34" w:rsidRPr="00AA1421" w:rsidRDefault="00464F34" w:rsidP="00487A02">
            <w:pPr>
              <w:pStyle w:val="InstructionsText"/>
            </w:pPr>
            <w:r w:rsidRPr="00AA1421">
              <w:rPr>
                <w:rStyle w:val="InstructionsTabelleberschrift"/>
                <w:rFonts w:ascii="Times New Roman" w:hAnsi="Times New Roman"/>
                <w:sz w:val="24"/>
              </w:rPr>
              <w:t>Wartość ekspozycji</w:t>
            </w:r>
          </w:p>
          <w:p w:rsidR="00464F34" w:rsidRPr="00AA1421" w:rsidRDefault="00531FC9" w:rsidP="00487A02">
            <w:pPr>
              <w:pStyle w:val="InstructionsText"/>
            </w:pPr>
            <w:r w:rsidRPr="00AA1421">
              <w:t>Art. 111 CRR i część trzecia tytuł II rozdział 4 sekcja 4 CRR.</w:t>
            </w:r>
          </w:p>
          <w:p w:rsidR="00464F34" w:rsidRPr="00AA1421" w:rsidRDefault="00464F34" w:rsidP="00487A02">
            <w:pPr>
              <w:pStyle w:val="InstructionsText"/>
            </w:pPr>
            <w:r w:rsidRPr="00AA1421">
              <w:t xml:space="preserve">Wartość ekspozycji po uwzględnieniu korekty wartości, wszystkich środków ograniczania ryzyka kredytowego i współczynników konwersji kredytowej, którą to wartość należy przypisać wagom ryzyka zgodnie z </w:t>
            </w:r>
            <w:r w:rsidRPr="00084F66">
              <w:t>art.</w:t>
            </w:r>
            <w:r w:rsidR="00084F66" w:rsidRPr="00084F66">
              <w:t> </w:t>
            </w:r>
            <w:r w:rsidRPr="00084F66">
              <w:t>1</w:t>
            </w:r>
            <w:r w:rsidRPr="00AA1421">
              <w:t>13 oraz częścią trzecią tytuł II rozdział 2 sekcja 2 CRR.</w:t>
            </w:r>
          </w:p>
          <w:p w:rsidR="0029630E" w:rsidRPr="00AA1421" w:rsidRDefault="0029630E" w:rsidP="00487A02">
            <w:pPr>
              <w:pStyle w:val="InstructionsText"/>
            </w:pPr>
            <w:r w:rsidRPr="00AA1421">
              <w:t xml:space="preserve">Wartości ekspozycji w przypadku leasingu podlegają przepisom </w:t>
            </w:r>
            <w:r w:rsidRPr="00084F66">
              <w:t>art.</w:t>
            </w:r>
            <w:r w:rsidR="00084F66" w:rsidRPr="00084F66">
              <w:t> </w:t>
            </w:r>
            <w:r w:rsidRPr="00084F66">
              <w:t>1</w:t>
            </w:r>
            <w:r w:rsidRPr="00AA1421">
              <w:t xml:space="preserve">34 </w:t>
            </w:r>
            <w:r w:rsidRPr="00084F66">
              <w:t>ust.</w:t>
            </w:r>
            <w:r w:rsidR="00084F66" w:rsidRPr="00084F66">
              <w:t> </w:t>
            </w:r>
            <w:r w:rsidRPr="00084F66">
              <w:t>7</w:t>
            </w:r>
            <w:r w:rsidRPr="00AA1421">
              <w:t xml:space="preserve"> CRR. W szczególności wartość rezydualną uwzględnia się według jej zdyskontowanej wartości szacunkowej po uwzględnieniu korekt wartości, wszystkich środków ograniczania ryzyka kredytowego i współczynników konwersji kredytowej.</w:t>
            </w:r>
          </w:p>
          <w:p w:rsidR="007C64F7" w:rsidRPr="00AA1421" w:rsidRDefault="007C64F7" w:rsidP="00487A02">
            <w:pPr>
              <w:pStyle w:val="InstructionsText"/>
            </w:pPr>
            <w:r w:rsidRPr="00AA1421">
              <w:t>Wartości ekspozycji dla działalności związanej z ryzykiem kredytowym kontrahenta odpowiadają wartościom zgłoszonym w kolumnie 0210.</w:t>
            </w:r>
          </w:p>
        </w:tc>
      </w:tr>
      <w:tr w:rsidR="00464F34" w:rsidRPr="00AA1421" w:rsidTr="00672D2A">
        <w:tc>
          <w:tcPr>
            <w:tcW w:w="1188" w:type="dxa"/>
          </w:tcPr>
          <w:p w:rsidR="00464F34" w:rsidRPr="00AA1421" w:rsidRDefault="00FF15C6" w:rsidP="00487A02">
            <w:pPr>
              <w:pStyle w:val="InstructionsText"/>
            </w:pPr>
            <w:r w:rsidRPr="00AA1421">
              <w:t>0210</w:t>
            </w:r>
          </w:p>
        </w:tc>
        <w:tc>
          <w:tcPr>
            <w:tcW w:w="8640" w:type="dxa"/>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wynikająca z ryzyka kredytowego kontrahenta</w:t>
            </w:r>
          </w:p>
          <w:p w:rsidR="007C64F7" w:rsidRPr="00AA1421" w:rsidRDefault="007C64F7" w:rsidP="007C64F7">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Wartość ekspozycji dla działalności związanej z ryzykiem kredytowym kontrahenta obliczona zgodnie z metodami określonymi w części trzeciej tytuł II rozdziały 4 i 6 CRR, która jest kwotą istotną dla obliczenia kwot ekspozycji ważonych ryzykiem, tj. po zastosowaniu technik ograniczenia ryzyka kredytowego stosowanych zgodnie z częścią trzecią tytuł II rozdziały 4 i 6 CRR oraz uwzględniając odliczenie poniesionej straty z tytułu korekty wyceny kredytowej, o której mowa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73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6</w:t>
            </w:r>
            <w:r w:rsidRPr="00AA1421">
              <w:rPr>
                <w:rFonts w:ascii="Times New Roman" w:hAnsi="Times New Roman"/>
                <w:sz w:val="24"/>
                <w:szCs w:val="24"/>
              </w:rPr>
              <w:t xml:space="preserve"> CRR. </w:t>
            </w:r>
          </w:p>
          <w:p w:rsidR="007C64F7" w:rsidRPr="00AA1421" w:rsidRDefault="007C64F7" w:rsidP="007C64F7">
            <w:pPr>
              <w:rPr>
                <w:rFonts w:ascii="Times New Roman" w:hAnsi="Times New Roman"/>
                <w:sz w:val="24"/>
              </w:rPr>
            </w:pPr>
            <w:r w:rsidRPr="00AA1421">
              <w:rPr>
                <w:rFonts w:ascii="Times New Roman" w:hAnsi="Times New Roman"/>
                <w:sz w:val="24"/>
              </w:rPr>
              <w:t xml:space="preserve">Wartość ekspozycji dla transakcji, w których stwierdzono szczególne ryzyko korelacji, należy określić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91 CRR.</w:t>
            </w:r>
          </w:p>
          <w:p w:rsidR="007C64F7" w:rsidRPr="00AA1421" w:rsidRDefault="007C64F7" w:rsidP="00487A02">
            <w:pPr>
              <w:pStyle w:val="InstructionsText"/>
            </w:pPr>
            <w:r w:rsidRPr="00AA1421">
              <w:t>W przypadkach, w których stosuje się więcej niż jedną metodę obliczania ryzyka kredytowego kontrahenta w odniesieniu do jednego kontrahenta, poniesioną stratę z tytułu korekty wyceny kredytowej, którą odlicza się na poziomie kontrahenta, przypisuje się do wartości ekspozycji poszczególnych pakietów kompensowania w wierszach 0090–0130, odzwierciedlając stosunek wartości ekspozycji po ograniczeniu ryzyka kredytowego odpowiednich pakietów kompensowania do całkowitej wartości ekspozycji po ograniczeniu ryzyka kredytowego kontrahenta. W tym celu stosuje się wartość ekspozycji po ograniczeniu ryzyka kredytowego zgodnie z instrukcjami dla kolumny 0160 we wzorze C 34.02.</w:t>
            </w:r>
          </w:p>
          <w:p w:rsidR="00464F34" w:rsidRPr="00AA1421" w:rsidRDefault="00464F34" w:rsidP="00487A02">
            <w:pPr>
              <w:pStyle w:val="InstructionsText"/>
            </w:pPr>
          </w:p>
        </w:tc>
      </w:tr>
      <w:tr w:rsidR="00E46AC0" w:rsidRPr="00AA1421" w:rsidTr="00672D2A">
        <w:tc>
          <w:tcPr>
            <w:tcW w:w="1188" w:type="dxa"/>
          </w:tcPr>
          <w:p w:rsidR="00E46AC0" w:rsidRPr="00AA1421" w:rsidRDefault="00FF15C6" w:rsidP="00487A02">
            <w:pPr>
              <w:pStyle w:val="InstructionsText"/>
            </w:pPr>
            <w:r w:rsidRPr="00AA1421">
              <w:lastRenderedPageBreak/>
              <w:t>0211</w:t>
            </w:r>
          </w:p>
        </w:tc>
        <w:tc>
          <w:tcPr>
            <w:tcW w:w="8640" w:type="dxa"/>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wynikająca z ryzyka kredytowego kontrahenta z wyjątkiem ekspozycji rozliczanych przez kontrahenta centralnego</w:t>
            </w:r>
          </w:p>
          <w:p w:rsidR="00E46AC0" w:rsidRPr="00AA1421" w:rsidRDefault="00E46AC0" w:rsidP="00487A02">
            <w:pPr>
              <w:pStyle w:val="InstructionsText"/>
              <w:rPr>
                <w:rStyle w:val="InstructionsTabelleberschrift"/>
                <w:rFonts w:ascii="Times New Roman" w:hAnsi="Times New Roman"/>
                <w:sz w:val="24"/>
              </w:rPr>
            </w:pPr>
            <w:r w:rsidRPr="00AA1421">
              <w:t xml:space="preserve">Ekspozycje zgłoszone w kolumnie 0210, z wyłączeniem ekspozycji wynikających z umów i transakcji wymienionych w </w:t>
            </w:r>
            <w:r w:rsidRPr="00084F66">
              <w:t>art.</w:t>
            </w:r>
            <w:r w:rsidR="00084F66" w:rsidRPr="00084F66">
              <w:t> </w:t>
            </w:r>
            <w:r w:rsidRPr="00084F66">
              <w:t>3</w:t>
            </w:r>
            <w:r w:rsidRPr="00AA1421">
              <w:t xml:space="preserve">01 </w:t>
            </w:r>
            <w:r w:rsidRPr="00084F66">
              <w:t>ust.</w:t>
            </w:r>
            <w:r w:rsidR="00084F66" w:rsidRPr="00084F66">
              <w:t> </w:t>
            </w:r>
            <w:r w:rsidRPr="00084F66">
              <w:t>1</w:t>
            </w:r>
            <w:r w:rsidRPr="00AA1421">
              <w:t xml:space="preserve"> CRR przez cały okres, gdy pozostają one nierozliczone z CCP, w tym transakcje związane z kontrahentem centralnym zdefiniowane w </w:t>
            </w:r>
            <w:r w:rsidRPr="00084F66">
              <w:t>art.</w:t>
            </w:r>
            <w:r w:rsidR="00084F66" w:rsidRPr="00084F66">
              <w:t> </w:t>
            </w:r>
            <w:r w:rsidRPr="00084F66">
              <w:t>3</w:t>
            </w:r>
            <w:r w:rsidRPr="00AA1421">
              <w:t xml:space="preserve">00 </w:t>
            </w:r>
            <w:r w:rsidRPr="00084F66">
              <w:t>pkt</w:t>
            </w:r>
            <w:r w:rsidR="00084F66" w:rsidRPr="00084F66">
              <w:t> </w:t>
            </w:r>
            <w:r w:rsidRPr="00084F66">
              <w:t>2</w:t>
            </w:r>
            <w:r w:rsidRPr="00AA1421">
              <w:t xml:space="preserve"> CRR.</w:t>
            </w:r>
          </w:p>
        </w:tc>
      </w:tr>
      <w:tr w:rsidR="00E46AC0" w:rsidRPr="00AA1421" w:rsidTr="00672D2A">
        <w:tc>
          <w:tcPr>
            <w:tcW w:w="1188" w:type="dxa"/>
          </w:tcPr>
          <w:p w:rsidR="00E46AC0" w:rsidRPr="00AA1421" w:rsidRDefault="00FF15C6" w:rsidP="00487A02">
            <w:pPr>
              <w:pStyle w:val="InstructionsText"/>
            </w:pPr>
            <w:r w:rsidRPr="00AA1421">
              <w:t>0215</w:t>
            </w:r>
          </w:p>
        </w:tc>
        <w:tc>
          <w:tcPr>
            <w:tcW w:w="8640" w:type="dxa"/>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Kwota ekspozycji ważonej ryzykiem przed uwzględnieniem współczynników wsparcia</w:t>
            </w:r>
          </w:p>
          <w:p w:rsidR="00696434" w:rsidRPr="00AA1421" w:rsidRDefault="00E46AC0" w:rsidP="001A217F">
            <w:pPr>
              <w:pStyle w:val="InstructionsText"/>
            </w:pPr>
            <w:r w:rsidRPr="00AA1421">
              <w:t xml:space="preserve">Art. 113 </w:t>
            </w:r>
            <w:r w:rsidRPr="00084F66">
              <w:t>ust.</w:t>
            </w:r>
            <w:r w:rsidR="00084F66" w:rsidRPr="00084F66">
              <w:t> </w:t>
            </w:r>
            <w:r w:rsidRPr="00084F66">
              <w:t>1</w:t>
            </w:r>
            <w:r w:rsidRPr="00AA1421">
              <w:t xml:space="preserve">–5 CRR, bez uwzględniania współczynników wsparcia MŚP oraz infrastruktury określonych w </w:t>
            </w:r>
            <w:r w:rsidRPr="00084F66">
              <w:t>art.</w:t>
            </w:r>
            <w:r w:rsidR="00084F66" w:rsidRPr="00084F66">
              <w:t> </w:t>
            </w:r>
            <w:r w:rsidRPr="00084F66">
              <w:t>5</w:t>
            </w:r>
            <w:r w:rsidRPr="00AA1421">
              <w:t>01 i 501a CRR.</w:t>
            </w:r>
          </w:p>
          <w:p w:rsidR="00E46AC0" w:rsidRPr="00AA1421" w:rsidRDefault="007D1F12" w:rsidP="00696434">
            <w:pPr>
              <w:pStyle w:val="InstructionsText"/>
              <w:rPr>
                <w:b/>
                <w:u w:val="single"/>
              </w:rPr>
            </w:pPr>
            <w:r w:rsidRPr="00AA1421">
              <w:t xml:space="preserve">Kwota ekspozycji ważonej ryzykiem stanowiąca wartość rezydualną aktywów będących przedmiotem leasingu podlega </w:t>
            </w:r>
            <w:r w:rsidRPr="00084F66">
              <w:t>art.</w:t>
            </w:r>
            <w:r w:rsidR="00084F66" w:rsidRPr="00084F66">
              <w:t> </w:t>
            </w:r>
            <w:r w:rsidRPr="00084F66">
              <w:t>1</w:t>
            </w:r>
            <w:r w:rsidRPr="00AA1421">
              <w:t xml:space="preserve">34 </w:t>
            </w:r>
            <w:r w:rsidRPr="00084F66">
              <w:t>ust.</w:t>
            </w:r>
            <w:r w:rsidR="00084F66" w:rsidRPr="00084F66">
              <w:t> </w:t>
            </w:r>
            <w:r w:rsidRPr="00084F66">
              <w:t>7</w:t>
            </w:r>
            <w:r w:rsidRPr="00AA1421">
              <w:t xml:space="preserve"> zdanie piąte i jest obliczana zgodnie ze wzorem „1/t x 10</w:t>
            </w:r>
            <w:r w:rsidRPr="00084F66">
              <w:t>0</w:t>
            </w:r>
            <w:r w:rsidR="00084F66" w:rsidRPr="00084F66">
              <w:t> </w:t>
            </w:r>
            <w:r w:rsidRPr="00084F66">
              <w:t>%</w:t>
            </w:r>
            <w:r w:rsidRPr="00AA1421">
              <w:t xml:space="preserve"> x wartość rezydualna”. W szczególności wartością rezydualną jest niezdyskontowana szacunkowa wartość rezydualna na koniec okresu leasingu podlegająca okresowemu przeszacowaniu w celu zapewnienia, aby była stale odpowiednia.</w:t>
            </w:r>
          </w:p>
        </w:tc>
      </w:tr>
      <w:tr w:rsidR="00E46AC0" w:rsidRPr="00AA1421" w:rsidTr="00672D2A">
        <w:tc>
          <w:tcPr>
            <w:tcW w:w="1188" w:type="dxa"/>
          </w:tcPr>
          <w:p w:rsidR="00E46AC0" w:rsidRPr="00AA1421" w:rsidRDefault="00FF15C6" w:rsidP="00487A02">
            <w:pPr>
              <w:pStyle w:val="InstructionsText"/>
            </w:pPr>
            <w:r w:rsidRPr="00AA1421">
              <w:t>0216</w:t>
            </w:r>
          </w:p>
        </w:tc>
        <w:tc>
          <w:tcPr>
            <w:tcW w:w="8640" w:type="dxa"/>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Korekta kwoty ekspozycji ważonej ryzykiem wynikająca ze współczynnika wsparcia MŚP</w:t>
            </w:r>
          </w:p>
          <w:p w:rsidR="00E46AC0" w:rsidRPr="00AA1421" w:rsidRDefault="00E46AC0" w:rsidP="00487A02">
            <w:pPr>
              <w:pStyle w:val="InstructionsText"/>
              <w:rPr>
                <w:rStyle w:val="InstructionsTabelleberschrift"/>
                <w:rFonts w:ascii="Times New Roman" w:hAnsi="Times New Roman"/>
                <w:sz w:val="24"/>
              </w:rPr>
            </w:pPr>
            <w:r w:rsidRPr="00AA1421">
              <w:t xml:space="preserve">Odliczenie różnicy kwot ekspozycji ważonych ryzykiem dla ekspozycji, których nie dotyczy niewykonanie zobowiązania, wobec MŚP (RWEA), które oblicza się zgodnie z częścią trzecią tytuł II rozdział 2 CRR, stosownie do przypadku, i RWEA* zgodnie z </w:t>
            </w:r>
            <w:r w:rsidRPr="00084F66">
              <w:t>art.</w:t>
            </w:r>
            <w:r w:rsidR="00084F66" w:rsidRPr="00084F66">
              <w:t> </w:t>
            </w:r>
            <w:r w:rsidRPr="00084F66">
              <w:t>5</w:t>
            </w:r>
            <w:r w:rsidRPr="00AA1421">
              <w:t xml:space="preserve">01 </w:t>
            </w:r>
            <w:r w:rsidRPr="00084F66">
              <w:t>ust.</w:t>
            </w:r>
            <w:r w:rsidR="00084F66" w:rsidRPr="00084F66">
              <w:t> </w:t>
            </w:r>
            <w:r w:rsidRPr="00084F66">
              <w:t>1</w:t>
            </w:r>
            <w:r w:rsidRPr="00AA1421">
              <w:t xml:space="preserve"> CRR.</w:t>
            </w:r>
          </w:p>
        </w:tc>
      </w:tr>
      <w:tr w:rsidR="00E46AC0" w:rsidRPr="00AA1421" w:rsidTr="00672D2A">
        <w:tc>
          <w:tcPr>
            <w:tcW w:w="1188" w:type="dxa"/>
          </w:tcPr>
          <w:p w:rsidR="00E46AC0" w:rsidRPr="00AA1421" w:rsidRDefault="00FF15C6" w:rsidP="00487A02">
            <w:pPr>
              <w:pStyle w:val="InstructionsText"/>
            </w:pPr>
            <w:r w:rsidRPr="00AA1421">
              <w:t>0217</w:t>
            </w:r>
          </w:p>
        </w:tc>
        <w:tc>
          <w:tcPr>
            <w:tcW w:w="8640" w:type="dxa"/>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Korekta kwoty ekspozycji ważonej ryzykiem wynikająca ze współczynnika wsparcia infrastruktury</w:t>
            </w:r>
          </w:p>
          <w:p w:rsidR="00E46AC0" w:rsidRPr="00AA1421" w:rsidRDefault="00E46AC0" w:rsidP="00487A02">
            <w:pPr>
              <w:pStyle w:val="InstructionsText"/>
              <w:rPr>
                <w:rStyle w:val="InstructionsTabelleberschrift"/>
                <w:rFonts w:ascii="Times New Roman" w:hAnsi="Times New Roman"/>
                <w:sz w:val="24"/>
              </w:rPr>
            </w:pPr>
            <w:r w:rsidRPr="00AA1421">
              <w:t xml:space="preserve">Odliczenie różnicy kwot ekspozycji ważonej ryzykiem obliczanych zgodnie z częścią trzecią tytuł II CRR i RWEA skorygowanej o ryzyko kredytowe w odniesieniu do ekspozycji wobec podmiotów, które obsługują lub finansują fizyczne obiekty lub instalacje, systemy i sieci zapewniające lub wspierające podstawowe usługi publiczne, zgodnie z </w:t>
            </w:r>
            <w:r w:rsidRPr="00084F66">
              <w:t>art.</w:t>
            </w:r>
            <w:r w:rsidR="00084F66" w:rsidRPr="00084F66">
              <w:t> </w:t>
            </w:r>
            <w:r w:rsidRPr="00084F66">
              <w:t>5</w:t>
            </w:r>
            <w:r w:rsidRPr="00AA1421">
              <w:t>01a CRR.</w:t>
            </w:r>
          </w:p>
        </w:tc>
      </w:tr>
      <w:tr w:rsidR="00E46AC0" w:rsidRPr="00AA1421" w:rsidTr="00672D2A">
        <w:tc>
          <w:tcPr>
            <w:tcW w:w="1188" w:type="dxa"/>
          </w:tcPr>
          <w:p w:rsidR="00E46AC0" w:rsidRPr="00AA1421" w:rsidRDefault="00FF15C6" w:rsidP="00487A02">
            <w:pPr>
              <w:pStyle w:val="InstructionsText"/>
            </w:pPr>
            <w:r w:rsidRPr="00AA1421">
              <w:t>0220</w:t>
            </w:r>
          </w:p>
        </w:tc>
        <w:tc>
          <w:tcPr>
            <w:tcW w:w="8640" w:type="dxa"/>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Kwota ekspozycji ważonej ryzykiem po uwzględnieniu współczynników wsparcia</w:t>
            </w:r>
          </w:p>
          <w:p w:rsidR="00696434" w:rsidRPr="00AA1421" w:rsidRDefault="00E46AC0" w:rsidP="00E50750">
            <w:pPr>
              <w:pStyle w:val="InstructionsText"/>
            </w:pPr>
            <w:r w:rsidRPr="00AA1421">
              <w:t xml:space="preserve">Art. 113 </w:t>
            </w:r>
            <w:r w:rsidRPr="00084F66">
              <w:t>ust.</w:t>
            </w:r>
            <w:r w:rsidR="00084F66" w:rsidRPr="00084F66">
              <w:t> </w:t>
            </w:r>
            <w:r w:rsidRPr="00084F66">
              <w:t>1</w:t>
            </w:r>
            <w:r w:rsidRPr="00AA1421">
              <w:t xml:space="preserve">–5 CRR, uwzględniając współczynniki wsparcia MŚP oraz infrastruktury określone w </w:t>
            </w:r>
            <w:r w:rsidRPr="00084F66">
              <w:t>art.</w:t>
            </w:r>
            <w:r w:rsidR="00084F66" w:rsidRPr="00084F66">
              <w:t> </w:t>
            </w:r>
            <w:r w:rsidRPr="00084F66">
              <w:t>5</w:t>
            </w:r>
            <w:r w:rsidRPr="00AA1421">
              <w:t>01 i 501a CRR</w:t>
            </w:r>
          </w:p>
          <w:p w:rsidR="00E46AC0" w:rsidRPr="00AA1421" w:rsidRDefault="007D1F12" w:rsidP="00E50750">
            <w:pPr>
              <w:pStyle w:val="InstructionsText"/>
              <w:rPr>
                <w:b/>
                <w:u w:val="single"/>
              </w:rPr>
            </w:pPr>
            <w:r w:rsidRPr="00AA1421">
              <w:t xml:space="preserve">Kwota ekspozycji ważonej ryzykiem stanowiąca wartość rezydualną aktywów będących przedmiotem leasingu podlega </w:t>
            </w:r>
            <w:r w:rsidRPr="00084F66">
              <w:t>art.</w:t>
            </w:r>
            <w:r w:rsidR="00084F66" w:rsidRPr="00084F66">
              <w:t> </w:t>
            </w:r>
            <w:r w:rsidRPr="00084F66">
              <w:t>1</w:t>
            </w:r>
            <w:r w:rsidRPr="00AA1421">
              <w:t xml:space="preserve">34 </w:t>
            </w:r>
            <w:r w:rsidRPr="00084F66">
              <w:t>ust.</w:t>
            </w:r>
            <w:r w:rsidR="00084F66" w:rsidRPr="00084F66">
              <w:t> </w:t>
            </w:r>
            <w:r w:rsidRPr="00084F66">
              <w:t>7</w:t>
            </w:r>
            <w:r w:rsidRPr="00AA1421">
              <w:t xml:space="preserve"> zdanie piąte i jest obliczana zgodnie ze wzorem „1/t x 10</w:t>
            </w:r>
            <w:r w:rsidRPr="00084F66">
              <w:t>0</w:t>
            </w:r>
            <w:r w:rsidR="00084F66" w:rsidRPr="00084F66">
              <w:t> </w:t>
            </w:r>
            <w:r w:rsidRPr="00084F66">
              <w:t>%</w:t>
            </w:r>
            <w:r w:rsidRPr="00AA1421">
              <w:t xml:space="preserve"> x wartość rezydualna”. W szczególności wartością rezydualną jest niezdyskontowana szacunkowa wartość rezydualna na koniec okresu leasingu podlegająca okresowemu przeszacowaniu w celu zapewnienia, aby była stale odpowiednia.</w:t>
            </w:r>
          </w:p>
        </w:tc>
      </w:tr>
      <w:tr w:rsidR="00E46AC0" w:rsidRPr="00AA1421" w:rsidTr="00672D2A">
        <w:tc>
          <w:tcPr>
            <w:tcW w:w="1188" w:type="dxa"/>
            <w:shd w:val="clear" w:color="auto" w:fill="auto"/>
          </w:tcPr>
          <w:p w:rsidR="00E46AC0" w:rsidRPr="00AA1421" w:rsidRDefault="00FF15C6" w:rsidP="00487A02">
            <w:pPr>
              <w:pStyle w:val="InstructionsText"/>
            </w:pPr>
            <w:r w:rsidRPr="00AA1421">
              <w:t>0230</w:t>
            </w:r>
          </w:p>
        </w:tc>
        <w:tc>
          <w:tcPr>
            <w:tcW w:w="8640" w:type="dxa"/>
            <w:shd w:val="clear" w:color="auto" w:fill="auto"/>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z uwzględnieniem oceny kredytowej sporządzonej przez wyznaczoną ECAI</w:t>
            </w:r>
          </w:p>
          <w:p w:rsidR="00E46AC0" w:rsidRPr="00AA1421" w:rsidRDefault="00E46AC0" w:rsidP="00487A02">
            <w:pPr>
              <w:pStyle w:val="InstructionsText"/>
            </w:pPr>
            <w:r w:rsidRPr="00AA1421">
              <w:t xml:space="preserve">Art. 112 </w:t>
            </w:r>
            <w:r w:rsidRPr="00084F66">
              <w:t>lit.</w:t>
            </w:r>
            <w:r w:rsidR="00084F66" w:rsidRPr="00084F66">
              <w:t> </w:t>
            </w:r>
            <w:r w:rsidRPr="00084F66">
              <w:t>a)</w:t>
            </w:r>
            <w:r w:rsidRPr="00AA1421">
              <w:t>–d), f), g), l), n) o) i q) CRR.</w:t>
            </w:r>
          </w:p>
        </w:tc>
      </w:tr>
      <w:tr w:rsidR="00E46AC0" w:rsidRPr="00AA1421" w:rsidTr="00672D2A">
        <w:tc>
          <w:tcPr>
            <w:tcW w:w="1188" w:type="dxa"/>
            <w:shd w:val="clear" w:color="auto" w:fill="auto"/>
          </w:tcPr>
          <w:p w:rsidR="00E46AC0" w:rsidRPr="00AA1421" w:rsidRDefault="00FF15C6" w:rsidP="00487A02">
            <w:pPr>
              <w:pStyle w:val="InstructionsText"/>
            </w:pPr>
            <w:r w:rsidRPr="00AA1421">
              <w:t>0240</w:t>
            </w:r>
          </w:p>
        </w:tc>
        <w:tc>
          <w:tcPr>
            <w:tcW w:w="8640" w:type="dxa"/>
            <w:shd w:val="clear" w:color="auto" w:fill="auto"/>
          </w:tcPr>
          <w:p w:rsidR="00E46AC0" w:rsidRPr="00AA1421" w:rsidRDefault="00E46AC0"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z uwzględnieniem oceny kredytowej uzyskanej od rządu centralnego</w:t>
            </w:r>
          </w:p>
          <w:p w:rsidR="00E46AC0" w:rsidRPr="00AA1421" w:rsidRDefault="00E46AC0" w:rsidP="00487A02">
            <w:pPr>
              <w:pStyle w:val="InstructionsText"/>
            </w:pPr>
            <w:r w:rsidRPr="00AA1421">
              <w:t xml:space="preserve">Art. 112 </w:t>
            </w:r>
            <w:r w:rsidRPr="00084F66">
              <w:t>lit.</w:t>
            </w:r>
            <w:r w:rsidR="00084F66" w:rsidRPr="00084F66">
              <w:t> </w:t>
            </w:r>
            <w:r w:rsidRPr="00084F66">
              <w:t>b)</w:t>
            </w:r>
            <w:r w:rsidRPr="00AA1421">
              <w:t>–d), f), g), l), i o) CRR.</w:t>
            </w:r>
          </w:p>
        </w:tc>
      </w:tr>
    </w:tbl>
    <w:p w:rsidR="00464F34" w:rsidRPr="00AA1421"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AA1421" w:rsidTr="00672D2A">
        <w:tc>
          <w:tcPr>
            <w:tcW w:w="1188" w:type="dxa"/>
            <w:shd w:val="clear" w:color="auto" w:fill="CCCCCC"/>
          </w:tcPr>
          <w:p w:rsidR="00464F34" w:rsidRPr="00AA1421" w:rsidRDefault="007106FB" w:rsidP="00487A02">
            <w:pPr>
              <w:pStyle w:val="InstructionsText"/>
            </w:pPr>
            <w:r w:rsidRPr="00AA1421">
              <w:t>Wiersze</w:t>
            </w:r>
          </w:p>
        </w:tc>
        <w:tc>
          <w:tcPr>
            <w:tcW w:w="8701" w:type="dxa"/>
            <w:shd w:val="clear" w:color="auto" w:fill="CCCCCC"/>
          </w:tcPr>
          <w:p w:rsidR="00464F34" w:rsidRPr="00AA1421" w:rsidRDefault="00464F34" w:rsidP="00487A02">
            <w:pPr>
              <w:pStyle w:val="InstructionsText"/>
            </w:pPr>
            <w:r w:rsidRPr="00AA1421">
              <w:t>Instrukcje</w:t>
            </w:r>
          </w:p>
        </w:tc>
      </w:tr>
      <w:tr w:rsidR="00464F34" w:rsidRPr="00AA1421" w:rsidTr="00672D2A">
        <w:tc>
          <w:tcPr>
            <w:tcW w:w="1188" w:type="dxa"/>
          </w:tcPr>
          <w:p w:rsidR="00464F34" w:rsidRPr="00AA1421" w:rsidRDefault="00FF15C6" w:rsidP="00487A02">
            <w:pPr>
              <w:pStyle w:val="InstructionsText"/>
            </w:pPr>
            <w:r w:rsidRPr="00AA1421">
              <w:lastRenderedPageBreak/>
              <w:t>0010</w:t>
            </w:r>
          </w:p>
        </w:tc>
        <w:tc>
          <w:tcPr>
            <w:tcW w:w="8701" w:type="dxa"/>
          </w:tcPr>
          <w:p w:rsidR="00464F34" w:rsidRPr="00AA1421" w:rsidRDefault="00464F34" w:rsidP="00487A02">
            <w:pPr>
              <w:pStyle w:val="InstructionsText"/>
            </w:pPr>
            <w:r w:rsidRPr="00AA1421">
              <w:rPr>
                <w:rStyle w:val="InstructionsTabelleberschrift"/>
                <w:rFonts w:ascii="Times New Roman" w:hAnsi="Times New Roman"/>
                <w:sz w:val="24"/>
              </w:rPr>
              <w:t>Ekspozycje całkowite</w:t>
            </w:r>
          </w:p>
        </w:tc>
      </w:tr>
      <w:tr w:rsidR="00610B56" w:rsidRPr="00AA1421" w:rsidTr="00672D2A">
        <w:tc>
          <w:tcPr>
            <w:tcW w:w="1188" w:type="dxa"/>
          </w:tcPr>
          <w:p w:rsidR="00610B56" w:rsidRPr="00AA1421" w:rsidRDefault="00FF15C6" w:rsidP="00487A02">
            <w:pPr>
              <w:pStyle w:val="InstructionsText"/>
            </w:pPr>
            <w:r w:rsidRPr="00AA1421">
              <w:t>0015</w:t>
            </w:r>
          </w:p>
        </w:tc>
        <w:tc>
          <w:tcPr>
            <w:tcW w:w="8701" w:type="dxa"/>
          </w:tcPr>
          <w:p w:rsidR="00D21B29" w:rsidRPr="00AA1421" w:rsidRDefault="00F5132F"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których dotyczy niewykonanie zobowiązania, w kategoriach ekspozycji „Pozycje związane ze szczególnie wysokim ryzykiem” i „Ekspozycje kapitałowe”.</w:t>
            </w:r>
          </w:p>
          <w:p w:rsidR="00610B56" w:rsidRPr="00AA1421" w:rsidRDefault="00610B56" w:rsidP="00487A02">
            <w:pPr>
              <w:pStyle w:val="InstructionsText"/>
            </w:pPr>
            <w:r w:rsidRPr="00AA1421">
              <w:t>Art. 127 CRR</w:t>
            </w:r>
          </w:p>
          <w:p w:rsidR="00610B56" w:rsidRPr="00AA1421" w:rsidRDefault="00610B56" w:rsidP="00487A02">
            <w:pPr>
              <w:pStyle w:val="InstructionsText"/>
            </w:pPr>
            <w:r w:rsidRPr="00AA1421">
              <w:t>Zawartość tego wiersza należy zgłaszać wyłącznie dla kategorii ekspozycji „Pozycje związane ze szczególnie wysokim ryzykiem” i „Ekspozycje kapitałowe”.</w:t>
            </w:r>
          </w:p>
          <w:p w:rsidR="00761891" w:rsidRPr="00AA1421" w:rsidRDefault="00167619" w:rsidP="00487A02">
            <w:pPr>
              <w:pStyle w:val="InstructionsText"/>
            </w:pPr>
            <w:r w:rsidRPr="00AA1421">
              <w:t xml:space="preserve">Ekspozycję, która jest wymieniona w </w:t>
            </w:r>
            <w:r w:rsidRPr="00084F66">
              <w:t>art.</w:t>
            </w:r>
            <w:r w:rsidR="00084F66" w:rsidRPr="00084F66">
              <w:t> </w:t>
            </w:r>
            <w:r w:rsidRPr="00084F66">
              <w:t>1</w:t>
            </w:r>
            <w:r w:rsidRPr="00AA1421">
              <w:t xml:space="preserve">28 </w:t>
            </w:r>
            <w:r w:rsidRPr="00084F66">
              <w:t>ust.</w:t>
            </w:r>
            <w:r w:rsidR="00084F66" w:rsidRPr="00084F66">
              <w:t> </w:t>
            </w:r>
            <w:r w:rsidRPr="00084F66">
              <w:t>2</w:t>
            </w:r>
            <w:r w:rsidRPr="00AA1421">
              <w:t xml:space="preserve"> CRR albo która spełnia kryteria określone w </w:t>
            </w:r>
            <w:r w:rsidRPr="00084F66">
              <w:t>art.</w:t>
            </w:r>
            <w:r w:rsidR="00084F66" w:rsidRPr="00084F66">
              <w:t> </w:t>
            </w:r>
            <w:r w:rsidRPr="00084F66">
              <w:t>1</w:t>
            </w:r>
            <w:r w:rsidRPr="00AA1421">
              <w:t xml:space="preserve">28 </w:t>
            </w:r>
            <w:r w:rsidRPr="00084F66">
              <w:t>ust.</w:t>
            </w:r>
            <w:r w:rsidR="00084F66" w:rsidRPr="00084F66">
              <w:t> </w:t>
            </w:r>
            <w:r w:rsidRPr="00084F66">
              <w:t>3</w:t>
            </w:r>
            <w:r w:rsidRPr="00AA1421">
              <w:t xml:space="preserve"> lub </w:t>
            </w:r>
            <w:r w:rsidRPr="00084F66">
              <w:t>art.</w:t>
            </w:r>
            <w:r w:rsidR="00084F66" w:rsidRPr="00084F66">
              <w:t> </w:t>
            </w:r>
            <w:r w:rsidRPr="00084F66">
              <w:t>1</w:t>
            </w:r>
            <w:r w:rsidRPr="00AA1421">
              <w:t xml:space="preserve">33 CRR, przypisuje się do kategorii ekspozycji „Pozycje związane ze szczególnie wysokim ryzykiem” lub „Ekspozycje kapitałowe”. W związku z tym ekspozycji nie przypisuje się do żadnej innej kategorii, nawet w przypadku ekspozycji, której dotyczy niewykonanie zobowiązania, zgodnie z </w:t>
            </w:r>
            <w:r w:rsidRPr="00084F66">
              <w:t>art.</w:t>
            </w:r>
            <w:r w:rsidR="00084F66" w:rsidRPr="00084F66">
              <w:t> </w:t>
            </w:r>
            <w:r w:rsidRPr="00084F66">
              <w:t>1</w:t>
            </w:r>
            <w:r w:rsidRPr="00AA1421">
              <w:t>27 CRR.</w:t>
            </w:r>
          </w:p>
        </w:tc>
      </w:tr>
      <w:tr w:rsidR="00464F34" w:rsidRPr="00AA1421" w:rsidTr="00672D2A">
        <w:tc>
          <w:tcPr>
            <w:tcW w:w="1188" w:type="dxa"/>
            <w:shd w:val="clear" w:color="auto" w:fill="auto"/>
          </w:tcPr>
          <w:p w:rsidR="00464F34" w:rsidRPr="00AA1421" w:rsidRDefault="00FF15C6" w:rsidP="00487A02">
            <w:pPr>
              <w:pStyle w:val="InstructionsText"/>
            </w:pPr>
            <w:r w:rsidRPr="00AA1421">
              <w:t>0020</w:t>
            </w:r>
          </w:p>
        </w:tc>
        <w:tc>
          <w:tcPr>
            <w:tcW w:w="8701" w:type="dxa"/>
            <w:shd w:val="clear" w:color="auto" w:fill="auto"/>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wobec MŚP</w:t>
            </w:r>
          </w:p>
          <w:p w:rsidR="00464F34" w:rsidRPr="00AA1421" w:rsidRDefault="00464F34" w:rsidP="00487A02">
            <w:pPr>
              <w:pStyle w:val="InstructionsText"/>
            </w:pPr>
            <w:r w:rsidRPr="00AA1421">
              <w:t xml:space="preserve">W tym miejscu zgłasza się wszystkie ekspozycje wobec MŚP. </w:t>
            </w:r>
          </w:p>
        </w:tc>
      </w:tr>
      <w:tr w:rsidR="00464F34" w:rsidRPr="00AA1421" w:rsidTr="00672D2A">
        <w:tc>
          <w:tcPr>
            <w:tcW w:w="1188" w:type="dxa"/>
            <w:shd w:val="clear" w:color="auto" w:fill="auto"/>
          </w:tcPr>
          <w:p w:rsidR="00464F34" w:rsidRPr="00AA1421" w:rsidRDefault="00FF15C6" w:rsidP="00487A02">
            <w:pPr>
              <w:pStyle w:val="InstructionsText"/>
            </w:pPr>
            <w:r w:rsidRPr="00AA1421">
              <w:t>0030</w:t>
            </w:r>
          </w:p>
        </w:tc>
        <w:tc>
          <w:tcPr>
            <w:tcW w:w="8701" w:type="dxa"/>
            <w:shd w:val="clear" w:color="auto" w:fill="auto"/>
          </w:tcPr>
          <w:p w:rsidR="00464F34" w:rsidRPr="00AA1421" w:rsidRDefault="00464F34"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podlegające współczynnikowi wsparcia MŚP</w:t>
            </w:r>
          </w:p>
          <w:p w:rsidR="00464F34" w:rsidRPr="00AA1421" w:rsidRDefault="00464F34" w:rsidP="00487A02">
            <w:pPr>
              <w:pStyle w:val="InstructionsText"/>
            </w:pPr>
            <w:r w:rsidRPr="00AA1421">
              <w:t xml:space="preserve">W tym miejscu zgłasza się wyłącznie ekspozycje, które spełniają wymogi określone w </w:t>
            </w:r>
            <w:r w:rsidRPr="00084F66">
              <w:t>art.</w:t>
            </w:r>
            <w:r w:rsidR="00084F66" w:rsidRPr="00084F66">
              <w:t> </w:t>
            </w:r>
            <w:r w:rsidRPr="00084F66">
              <w:t>5</w:t>
            </w:r>
            <w:r w:rsidRPr="00AA1421">
              <w:t xml:space="preserve">01 CRR. </w:t>
            </w:r>
          </w:p>
        </w:tc>
      </w:tr>
      <w:tr w:rsidR="001B1F77" w:rsidRPr="00AA1421" w:rsidTr="00672D2A">
        <w:tc>
          <w:tcPr>
            <w:tcW w:w="1188" w:type="dxa"/>
            <w:shd w:val="clear" w:color="auto" w:fill="auto"/>
          </w:tcPr>
          <w:p w:rsidR="001B1F77" w:rsidRPr="00AA1421" w:rsidRDefault="00FF15C6" w:rsidP="00487A02">
            <w:pPr>
              <w:pStyle w:val="InstructionsText"/>
            </w:pPr>
            <w:r w:rsidRPr="00AA1421">
              <w:t>0035</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podlegające współczynnikowi wsparcia infrastruktury</w:t>
            </w:r>
          </w:p>
          <w:p w:rsidR="001B1F77" w:rsidRPr="00AA1421" w:rsidRDefault="001B1F77" w:rsidP="00487A02">
            <w:pPr>
              <w:pStyle w:val="InstructionsText"/>
              <w:rPr>
                <w:rStyle w:val="InstructionsTabelleberschrift"/>
                <w:rFonts w:ascii="Times New Roman" w:hAnsi="Times New Roman"/>
                <w:sz w:val="24"/>
              </w:rPr>
            </w:pPr>
            <w:r w:rsidRPr="00AA1421">
              <w:t xml:space="preserve">W tym miejscu zgłasza się wyłącznie ekspozycje, które spełniają wymogi określone w </w:t>
            </w:r>
            <w:r w:rsidRPr="00084F66">
              <w:t>art.</w:t>
            </w:r>
            <w:r w:rsidR="00084F66" w:rsidRPr="00084F66">
              <w:t> </w:t>
            </w:r>
            <w:r w:rsidRPr="00084F66">
              <w:t>5</w:t>
            </w:r>
            <w:r w:rsidRPr="00AA1421">
              <w:t>01a CRR.</w:t>
            </w:r>
          </w:p>
        </w:tc>
      </w:tr>
      <w:tr w:rsidR="001B1F77" w:rsidRPr="00AA1421" w:rsidTr="00672D2A">
        <w:tc>
          <w:tcPr>
            <w:tcW w:w="1188" w:type="dxa"/>
            <w:shd w:val="clear" w:color="auto" w:fill="auto"/>
          </w:tcPr>
          <w:p w:rsidR="001B1F77" w:rsidRPr="00AA1421" w:rsidRDefault="001B1F77" w:rsidP="00487A02">
            <w:pPr>
              <w:pStyle w:val="InstructionsText"/>
            </w:pPr>
            <w:r w:rsidRPr="00AA1421">
              <w:t>0040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zabezpieczone hipotekami na nieruchomościach – nieruchomości mieszkalne</w:t>
            </w:r>
          </w:p>
          <w:p w:rsidR="001B1F77" w:rsidRPr="00AA1421" w:rsidRDefault="001B1F77" w:rsidP="00487A02">
            <w:pPr>
              <w:pStyle w:val="InstructionsText"/>
            </w:pPr>
            <w:r w:rsidRPr="00AA1421">
              <w:t>Art. 125 CRR</w:t>
            </w:r>
          </w:p>
          <w:p w:rsidR="001B1F77" w:rsidRPr="00AA1421" w:rsidRDefault="001B1F77" w:rsidP="00487A02">
            <w:pPr>
              <w:pStyle w:val="InstructionsText"/>
              <w:rPr>
                <w:b/>
                <w:u w:val="single"/>
              </w:rPr>
            </w:pPr>
            <w:r w:rsidRPr="00AA1421">
              <w:t>Wyłącznie ekspozycje zgłoszone w kategorii „ekspozycje zabezpieczone hipotekami na nieruchomościach”</w:t>
            </w:r>
          </w:p>
        </w:tc>
      </w:tr>
      <w:tr w:rsidR="001B1F77" w:rsidRPr="00AA1421" w:rsidTr="00672D2A">
        <w:tc>
          <w:tcPr>
            <w:tcW w:w="1188" w:type="dxa"/>
            <w:shd w:val="clear" w:color="auto" w:fill="auto"/>
          </w:tcPr>
          <w:p w:rsidR="001B1F77" w:rsidRPr="00AA1421" w:rsidRDefault="001B1F77" w:rsidP="00487A02">
            <w:pPr>
              <w:pStyle w:val="InstructionsText"/>
            </w:pPr>
            <w:r w:rsidRPr="00AA1421">
              <w:t>0050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podlegające stałemu stosowaniu metody standardowej w niepełnym zakresie,</w:t>
            </w:r>
          </w:p>
          <w:p w:rsidR="001B1F77" w:rsidRPr="00AA1421" w:rsidRDefault="001B1F77" w:rsidP="00487A02">
            <w:pPr>
              <w:pStyle w:val="InstructionsText"/>
            </w:pPr>
            <w:r w:rsidRPr="00AA1421">
              <w:t xml:space="preserve">ekspozycje, do których zastosowano metodę standardową, zgodnie z </w:t>
            </w:r>
            <w:r w:rsidRPr="00084F66">
              <w:t>art.</w:t>
            </w:r>
            <w:r w:rsidR="00084F66" w:rsidRPr="00084F66">
              <w:t> </w:t>
            </w:r>
            <w:r w:rsidRPr="00084F66">
              <w:t>1</w:t>
            </w:r>
            <w:r w:rsidRPr="00AA1421">
              <w:t xml:space="preserve">50 </w:t>
            </w:r>
            <w:r w:rsidRPr="00084F66">
              <w:t>ust.</w:t>
            </w:r>
            <w:r w:rsidR="00084F66" w:rsidRPr="00084F66">
              <w:t> </w:t>
            </w:r>
            <w:r w:rsidRPr="00084F66">
              <w:t>1</w:t>
            </w:r>
            <w:r w:rsidRPr="00AA1421">
              <w:t xml:space="preserve"> CRR.</w:t>
            </w:r>
          </w:p>
        </w:tc>
      </w:tr>
      <w:tr w:rsidR="001B1F77" w:rsidRPr="00AA1421" w:rsidTr="00672D2A">
        <w:tc>
          <w:tcPr>
            <w:tcW w:w="1188" w:type="dxa"/>
            <w:shd w:val="clear" w:color="auto" w:fill="auto"/>
          </w:tcPr>
          <w:p w:rsidR="001B1F77" w:rsidRPr="00AA1421" w:rsidRDefault="001B1F77" w:rsidP="00487A02">
            <w:pPr>
              <w:pStyle w:val="InstructionsText"/>
            </w:pPr>
            <w:r w:rsidRPr="00AA1421">
              <w:t>0060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ekspozycje podlegające metodzie standardowej z uzyskaniem uprzedniego zezwolenia nadzorczego na stopniowe wdrożenie metody IRB</w:t>
            </w:r>
          </w:p>
          <w:p w:rsidR="001B1F77" w:rsidRPr="00AA1421" w:rsidRDefault="001B1F77" w:rsidP="00487A02">
            <w:pPr>
              <w:pStyle w:val="InstructionsText"/>
            </w:pPr>
            <w:r w:rsidRPr="00AA1421">
              <w:t xml:space="preserve">Art. 148 ust. 1 CRR </w:t>
            </w:r>
          </w:p>
        </w:tc>
      </w:tr>
      <w:tr w:rsidR="001B1F77" w:rsidRPr="00AA1421" w:rsidTr="00672D2A">
        <w:tc>
          <w:tcPr>
            <w:tcW w:w="1188" w:type="dxa"/>
          </w:tcPr>
          <w:p w:rsidR="001B1F77" w:rsidRPr="00AA1421" w:rsidRDefault="001B1F77" w:rsidP="00487A02">
            <w:pPr>
              <w:pStyle w:val="InstructionsText"/>
            </w:pPr>
            <w:r w:rsidRPr="00AA1421">
              <w:t>0070-0130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PODZIAŁ EKSPOZYCJI CAŁKOWITYCH WEDŁUG RODZAJÓW EKSPOZYCJI</w:t>
            </w:r>
          </w:p>
          <w:p w:rsidR="001B1F77" w:rsidRPr="00AA1421" w:rsidRDefault="001B1F77" w:rsidP="00487A02">
            <w:pPr>
              <w:pStyle w:val="InstructionsText"/>
            </w:pPr>
            <w:r w:rsidRPr="00AA1421">
              <w:t xml:space="preserve">Pozycje zawarte w portfelu bankowym instytucji sprawozdającej dzieli się zgodnie z poniższymi kryteriami na ekspozycje bilansowe podlegające ryzyku kredytowemu, ekspozycje pozabilansowe podlegające ryzyku kredytowemu oraz ekspozycje podlegające ryzyku kredytowemu kontrahenta. </w:t>
            </w:r>
          </w:p>
          <w:p w:rsidR="001B1F77" w:rsidRPr="00AA1421" w:rsidRDefault="001B1F77" w:rsidP="00487A02">
            <w:pPr>
              <w:pStyle w:val="InstructionsText"/>
            </w:pPr>
            <w:r w:rsidRPr="00AA1421">
              <w:t xml:space="preserve">Ekspozycje z tytułu ryzyka kredytowego kontrahenta wynikającego z działalności zaliczanej do portfela handlowego danej instytucji, o których mowa w </w:t>
            </w:r>
            <w:r w:rsidRPr="00084F66">
              <w:t>art.</w:t>
            </w:r>
            <w:r w:rsidR="00084F66" w:rsidRPr="00084F66">
              <w:t> </w:t>
            </w:r>
            <w:r w:rsidRPr="00084F66">
              <w:t>9</w:t>
            </w:r>
            <w:r w:rsidRPr="00AA1421">
              <w:t xml:space="preserve">2 </w:t>
            </w:r>
            <w:r w:rsidRPr="00084F66">
              <w:t>ust.</w:t>
            </w:r>
            <w:r w:rsidR="00084F66" w:rsidRPr="00084F66">
              <w:t> </w:t>
            </w:r>
            <w:r w:rsidRPr="00084F66">
              <w:t>3</w:t>
            </w:r>
            <w:r w:rsidRPr="00AA1421">
              <w:t xml:space="preserve"> </w:t>
            </w:r>
            <w:r w:rsidRPr="00084F66">
              <w:t>lit.</w:t>
            </w:r>
            <w:r w:rsidR="00084F66" w:rsidRPr="00084F66">
              <w:t> </w:t>
            </w:r>
            <w:r w:rsidRPr="00084F66">
              <w:t>f)</w:t>
            </w:r>
            <w:r w:rsidRPr="00AA1421">
              <w:t xml:space="preserve"> oraz w </w:t>
            </w:r>
            <w:r w:rsidRPr="00084F66">
              <w:t>art.</w:t>
            </w:r>
            <w:r w:rsidR="00084F66" w:rsidRPr="00084F66">
              <w:t> </w:t>
            </w:r>
            <w:r w:rsidRPr="00084F66">
              <w:t>2</w:t>
            </w:r>
            <w:r w:rsidRPr="00AA1421">
              <w:t xml:space="preserve">99 </w:t>
            </w:r>
            <w:r w:rsidRPr="00084F66">
              <w:t>ust.</w:t>
            </w:r>
            <w:r w:rsidR="00084F66" w:rsidRPr="00084F66">
              <w:t> </w:t>
            </w:r>
            <w:r w:rsidRPr="00084F66">
              <w:t>2</w:t>
            </w:r>
            <w:r w:rsidRPr="00AA1421">
              <w:t xml:space="preserve"> CRR, przypisuje się do ekspozycji podlegających ryzyku kredytowemu kontrahenta. Instytucje stosujące przepisy </w:t>
            </w:r>
            <w:r w:rsidRPr="00084F66">
              <w:t>art.</w:t>
            </w:r>
            <w:r w:rsidR="00084F66" w:rsidRPr="00084F66">
              <w:t> </w:t>
            </w:r>
            <w:r w:rsidRPr="00084F66">
              <w:t>9</w:t>
            </w:r>
            <w:r w:rsidRPr="00AA1421">
              <w:t xml:space="preserve">4 </w:t>
            </w:r>
            <w:r w:rsidRPr="00084F66">
              <w:t>ust.</w:t>
            </w:r>
            <w:r w:rsidR="00084F66" w:rsidRPr="00084F66">
              <w:t> </w:t>
            </w:r>
            <w:r w:rsidRPr="00084F66">
              <w:t>1</w:t>
            </w:r>
            <w:r w:rsidRPr="00AA1421">
              <w:t xml:space="preserve"> CRR również dzielą swoje </w:t>
            </w:r>
            <w:r w:rsidRPr="00AA1421">
              <w:lastRenderedPageBreak/>
              <w:t xml:space="preserve">pozycje zawarte w portfelu handlowym, o których mowa w </w:t>
            </w:r>
            <w:r w:rsidRPr="00084F66">
              <w:t>art.</w:t>
            </w:r>
            <w:r w:rsidR="00084F66" w:rsidRPr="00084F66">
              <w:t> </w:t>
            </w:r>
            <w:r w:rsidRPr="00084F66">
              <w:t>9</w:t>
            </w:r>
            <w:r w:rsidRPr="00AA1421">
              <w:t xml:space="preserve">2 </w:t>
            </w:r>
            <w:r w:rsidRPr="00084F66">
              <w:t>ust.</w:t>
            </w:r>
            <w:r w:rsidR="00084F66" w:rsidRPr="00084F66">
              <w:t> </w:t>
            </w:r>
            <w:r w:rsidRPr="00084F66">
              <w:t>3</w:t>
            </w:r>
            <w:r w:rsidRPr="00AA1421">
              <w:t xml:space="preserve"> </w:t>
            </w:r>
            <w:r w:rsidRPr="00084F66">
              <w:t>lit.</w:t>
            </w:r>
            <w:r w:rsidR="00084F66" w:rsidRPr="00084F66">
              <w:t> </w:t>
            </w:r>
            <w:r w:rsidRPr="00084F66">
              <w:t>b)</w:t>
            </w:r>
            <w:r w:rsidRPr="00AA1421">
              <w:t xml:space="preserve"> CRR, zgodnie z poniższymi kryteriami na ekspozycje bilansowe podlegające ryzyku kredytowemu, ekspozycje pozabilansowe podlegające ryzyku kredytowemu oraz ekspozycje podlegające ryzyku kredytowemu kontrahenta.</w:t>
            </w:r>
          </w:p>
        </w:tc>
      </w:tr>
      <w:tr w:rsidR="001B1F77" w:rsidRPr="00AA1421" w:rsidTr="00672D2A">
        <w:tc>
          <w:tcPr>
            <w:tcW w:w="1188" w:type="dxa"/>
          </w:tcPr>
          <w:p w:rsidR="001B1F77" w:rsidRPr="00AA1421" w:rsidRDefault="00FF15C6" w:rsidP="00487A02">
            <w:pPr>
              <w:pStyle w:val="InstructionsText"/>
            </w:pPr>
            <w:r w:rsidRPr="00AA1421">
              <w:lastRenderedPageBreak/>
              <w:t>0070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Ekspozycje bilansowe podlegające ryzyku kredytowemu </w:t>
            </w:r>
          </w:p>
          <w:p w:rsidR="001B1F77" w:rsidRPr="00AA1421" w:rsidRDefault="001B1F77" w:rsidP="00487A02">
            <w:pPr>
              <w:pStyle w:val="InstructionsText"/>
            </w:pPr>
            <w:r w:rsidRPr="00AA1421">
              <w:t xml:space="preserve">Aktywa, o których mowa w </w:t>
            </w:r>
            <w:r w:rsidRPr="00084F66">
              <w:t>art.</w:t>
            </w:r>
            <w:r w:rsidR="00084F66" w:rsidRPr="00084F66">
              <w:t> </w:t>
            </w:r>
            <w:r w:rsidRPr="00084F66">
              <w:t>2</w:t>
            </w:r>
            <w:r w:rsidRPr="00AA1421">
              <w:t>4 CRR, nieujęte w żadnej innej kategorii.</w:t>
            </w:r>
          </w:p>
          <w:p w:rsidR="001B1F77" w:rsidRPr="00AA1421" w:rsidRDefault="001B1F77" w:rsidP="00487A02">
            <w:pPr>
              <w:pStyle w:val="InstructionsText"/>
            </w:pPr>
            <w:r w:rsidRPr="00AA1421">
              <w:t>Ekspozycje podlegające ryzyku kredytowemu kontrahenta zgłasza się w wierszach 0090–0130, a zatem nie zgłasza się ich w tym wierszu.</w:t>
            </w:r>
          </w:p>
          <w:p w:rsidR="001B1F77" w:rsidRPr="00AA1421" w:rsidRDefault="001B1F77" w:rsidP="00487A02">
            <w:pPr>
              <w:pStyle w:val="InstructionsText"/>
            </w:pPr>
            <w:r w:rsidRPr="00AA1421">
              <w:t xml:space="preserve">Dostawy z późniejszym terminem rozliczenia zgodnie z </w:t>
            </w:r>
            <w:r w:rsidRPr="00084F66">
              <w:t>art.</w:t>
            </w:r>
            <w:r w:rsidR="00084F66" w:rsidRPr="00084F66">
              <w:t> </w:t>
            </w:r>
            <w:r w:rsidRPr="00084F66">
              <w:t>3</w:t>
            </w:r>
            <w:r w:rsidRPr="00AA1421">
              <w:t xml:space="preserve">79 </w:t>
            </w:r>
            <w:r w:rsidRPr="00084F66">
              <w:t>ust.</w:t>
            </w:r>
            <w:r w:rsidR="00084F66" w:rsidRPr="00084F66">
              <w:t> </w:t>
            </w:r>
            <w:r w:rsidRPr="00084F66">
              <w:t>1</w:t>
            </w:r>
            <w:r w:rsidRPr="00AA1421">
              <w:t xml:space="preserve"> CRR (jeżeli nie zostały odliczone) nie są pozycjami bilansowymi, jednak zgłaszane są w tym wierszu.</w:t>
            </w:r>
          </w:p>
          <w:p w:rsidR="001B1F77" w:rsidRPr="00AA1421" w:rsidRDefault="001B1F77" w:rsidP="00487A02">
            <w:pPr>
              <w:pStyle w:val="InstructionsText"/>
            </w:pPr>
          </w:p>
        </w:tc>
      </w:tr>
      <w:tr w:rsidR="001B1F77" w:rsidRPr="00AA1421" w:rsidTr="00672D2A">
        <w:tc>
          <w:tcPr>
            <w:tcW w:w="1188" w:type="dxa"/>
          </w:tcPr>
          <w:p w:rsidR="001B1F77" w:rsidRPr="00AA1421" w:rsidRDefault="00FF15C6" w:rsidP="00487A02">
            <w:pPr>
              <w:pStyle w:val="InstructionsText"/>
            </w:pPr>
            <w:r w:rsidRPr="00AA1421">
              <w:t>0080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Ekspozycje pozabilansowe podlegające ryzyku kredytowemu</w:t>
            </w:r>
          </w:p>
          <w:p w:rsidR="001B1F77" w:rsidRPr="00AA1421" w:rsidRDefault="001B1F77" w:rsidP="00487A02">
            <w:pPr>
              <w:pStyle w:val="InstructionsText"/>
            </w:pPr>
            <w:r w:rsidRPr="00AA1421">
              <w:t>Pozycje pozabilansowe zawierają elementy wymienione w załączniku I do CRR.</w:t>
            </w:r>
          </w:p>
          <w:p w:rsidR="001B1F77" w:rsidRPr="00AA1421" w:rsidRDefault="001B1F77" w:rsidP="00487A02">
            <w:pPr>
              <w:pStyle w:val="InstructionsText"/>
            </w:pPr>
            <w:r w:rsidRPr="00AA1421">
              <w:t>Ekspozycje podlegające ryzyku kredytowemu kontrahenta zgłasza się w wierszach 0090–0130, a zatem nie zgłasza się ich w tym wierszu.</w:t>
            </w:r>
          </w:p>
          <w:p w:rsidR="001B1F77" w:rsidRPr="00AA1421" w:rsidRDefault="001B1F77" w:rsidP="00487A02">
            <w:pPr>
              <w:pStyle w:val="InstructionsText"/>
            </w:pPr>
          </w:p>
        </w:tc>
      </w:tr>
      <w:tr w:rsidR="001B1F77" w:rsidRPr="00AA1421" w:rsidTr="00672D2A">
        <w:tc>
          <w:tcPr>
            <w:tcW w:w="1188" w:type="dxa"/>
            <w:tcBorders>
              <w:top w:val="single" w:sz="4" w:space="0" w:color="auto"/>
              <w:left w:val="single" w:sz="4" w:space="0" w:color="auto"/>
              <w:bottom w:val="single" w:sz="4" w:space="0" w:color="auto"/>
              <w:right w:val="single" w:sz="4" w:space="0" w:color="auto"/>
            </w:tcBorders>
          </w:tcPr>
          <w:p w:rsidR="001B1F77" w:rsidRPr="00AA1421" w:rsidRDefault="00FF15C6" w:rsidP="00487A02">
            <w:pPr>
              <w:pStyle w:val="InstructionsText"/>
            </w:pPr>
            <w:r w:rsidRPr="00AA1421">
              <w:t>0090-0130</w:t>
            </w:r>
          </w:p>
        </w:tc>
        <w:tc>
          <w:tcPr>
            <w:tcW w:w="8701" w:type="dxa"/>
            <w:tcBorders>
              <w:top w:val="single" w:sz="4" w:space="0" w:color="auto"/>
              <w:left w:val="single" w:sz="4" w:space="0" w:color="auto"/>
              <w:bottom w:val="single" w:sz="4" w:space="0" w:color="auto"/>
              <w:right w:val="single" w:sz="4" w:space="0" w:color="auto"/>
            </w:tcBorders>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Ekspozycje / transakcje podlegające ryzyku kredytowemu kontrahenta</w:t>
            </w:r>
          </w:p>
          <w:p w:rsidR="00E86B98" w:rsidRPr="00AA1421" w:rsidRDefault="00E86B98" w:rsidP="00487A02">
            <w:pPr>
              <w:pStyle w:val="InstructionsText"/>
            </w:pPr>
            <w:r w:rsidRPr="00AA1421">
              <w:t>Transakcje podlegające ryzyku kredytowemu kontrahenta, tj. instrumenty pochodne, transakcje odkupu, transakcje udzielania lub zaciągania pożyczek papierów wartościowych lub towarów, transakcje z długim terminem rozliczenia i transakcje z obowiązkiem uzupełnienia zabezpieczenia kredytowego.</w:t>
            </w:r>
          </w:p>
        </w:tc>
      </w:tr>
      <w:tr w:rsidR="001B1F77" w:rsidRPr="00AA1421" w:rsidTr="00672D2A">
        <w:tc>
          <w:tcPr>
            <w:tcW w:w="1188" w:type="dxa"/>
          </w:tcPr>
          <w:p w:rsidR="001B1F77" w:rsidRPr="00AA1421" w:rsidRDefault="00FF15C6" w:rsidP="00487A02">
            <w:pPr>
              <w:pStyle w:val="InstructionsText"/>
            </w:pPr>
            <w:r w:rsidRPr="00AA1421">
              <w:t>0090</w:t>
            </w:r>
          </w:p>
        </w:tc>
        <w:tc>
          <w:tcPr>
            <w:tcW w:w="8701" w:type="dxa"/>
          </w:tcPr>
          <w:p w:rsidR="001B1F77" w:rsidRPr="00AA1421" w:rsidRDefault="001B1F77" w:rsidP="00487A02">
            <w:pPr>
              <w:pStyle w:val="InstructionsText"/>
            </w:pPr>
            <w:r w:rsidRPr="00AA1421">
              <w:rPr>
                <w:rStyle w:val="InstructionsTabelleberschrift"/>
                <w:rFonts w:ascii="Times New Roman" w:hAnsi="Times New Roman"/>
                <w:sz w:val="24"/>
              </w:rPr>
              <w:t>Pakiety kompensowania transakcji finansowanych z użyciem papierów wartościowych</w:t>
            </w:r>
          </w:p>
          <w:p w:rsidR="00E86B98" w:rsidRPr="00AA1421" w:rsidRDefault="00E86B98" w:rsidP="00487A02">
            <w:pPr>
              <w:pStyle w:val="InstructionsText"/>
            </w:pPr>
            <w:r w:rsidRPr="00AA1421">
              <w:t xml:space="preserve">Pakiety kompensowania zawierające wyłącznie transakcje finansowane z użyciem papierów wartościowych zdefiniowane w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w:t>
            </w:r>
            <w:r w:rsidRPr="00084F66">
              <w:t>pkt</w:t>
            </w:r>
            <w:r w:rsidR="00084F66" w:rsidRPr="00084F66">
              <w:t> </w:t>
            </w:r>
            <w:r w:rsidRPr="00084F66">
              <w:t>1</w:t>
            </w:r>
            <w:r w:rsidRPr="00AA1421">
              <w:t>39 CRR.</w:t>
            </w:r>
          </w:p>
          <w:p w:rsidR="00E86B98" w:rsidRPr="00AA1421" w:rsidRDefault="00E86B98" w:rsidP="00487A02">
            <w:pPr>
              <w:pStyle w:val="InstructionsText"/>
            </w:pPr>
            <w:r w:rsidRPr="00AA1421">
              <w:t xml:space="preserve">W wierszu tym nie zgłasza się transakcji finansowanych z użyciem papierów wartościowych, które uwzględniono w pakiecie kompensowania, dla którego istnieje umowa o kompensowaniu </w:t>
            </w:r>
            <w:proofErr w:type="spellStart"/>
            <w:r w:rsidRPr="00AA1421">
              <w:t>międzyproduktowym</w:t>
            </w:r>
            <w:proofErr w:type="spellEnd"/>
            <w:r w:rsidRPr="00AA1421">
              <w:t>, i dlatego zgłoszono je w wierszu 0130.</w:t>
            </w:r>
          </w:p>
          <w:p w:rsidR="001B1F77" w:rsidRPr="00AA1421" w:rsidRDefault="001B1F77" w:rsidP="00487A02">
            <w:pPr>
              <w:pStyle w:val="InstructionsText"/>
            </w:pPr>
          </w:p>
        </w:tc>
      </w:tr>
      <w:tr w:rsidR="001B1F77" w:rsidRPr="00AA1421" w:rsidTr="00672D2A">
        <w:tc>
          <w:tcPr>
            <w:tcW w:w="1188" w:type="dxa"/>
          </w:tcPr>
          <w:p w:rsidR="001B1F77" w:rsidRPr="00AA1421" w:rsidRDefault="00FF15C6" w:rsidP="00487A02">
            <w:pPr>
              <w:pStyle w:val="InstructionsText"/>
            </w:pPr>
            <w:r w:rsidRPr="00AA1421">
              <w:t>0100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W tym: rozliczane centralnie przez kwalifikujących się kontrahentów centralnych</w:t>
            </w:r>
          </w:p>
          <w:p w:rsidR="00E86B98" w:rsidRPr="00AA1421" w:rsidRDefault="00E86B98" w:rsidP="00487A02">
            <w:pPr>
              <w:pStyle w:val="InstructionsText"/>
            </w:pPr>
            <w:r w:rsidRPr="00AA1421">
              <w:t xml:space="preserve">Umowy i transakcje wymienione w </w:t>
            </w:r>
            <w:r w:rsidRPr="00084F66">
              <w:t>art.</w:t>
            </w:r>
            <w:r w:rsidR="00084F66" w:rsidRPr="00084F66">
              <w:t> </w:t>
            </w:r>
            <w:r w:rsidRPr="00084F66">
              <w:t>3</w:t>
            </w:r>
            <w:r w:rsidRPr="00AA1421">
              <w:t xml:space="preserve">01 </w:t>
            </w:r>
            <w:r w:rsidRPr="00084F66">
              <w:t>ust.</w:t>
            </w:r>
            <w:r w:rsidR="00084F66" w:rsidRPr="00084F66">
              <w:t> </w:t>
            </w:r>
            <w:r w:rsidRPr="00084F66">
              <w:t>1</w:t>
            </w:r>
            <w:r w:rsidRPr="00AA1421">
              <w:t xml:space="preserve"> CRR przez cały okres, gdy pozostają one nierozliczone z kwalifikującym się kontrahentem centralnym (kwalifikujący się CCP) w rozumieniu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w:t>
            </w:r>
            <w:r w:rsidRPr="00084F66">
              <w:t>pkt</w:t>
            </w:r>
            <w:r w:rsidR="00084F66" w:rsidRPr="00084F66">
              <w:t> </w:t>
            </w:r>
            <w:r w:rsidRPr="00084F66">
              <w:t>8</w:t>
            </w:r>
            <w:r w:rsidRPr="00AA1421">
              <w:t xml:space="preserve">8 CRR, w tym transakcje związane z kwalifikującym się CCP, w przypadku których kwoty ekspozycji ważonej ryzykiem oblicza się zgodnie z częścią trzecią tytuł II rozdział 6 sekcja 9 CRR. Transakcja związana z kwalifikującym się CCP ma takie samo znaczenie jak transakcja związana z kontrahentem centralnym zdefiniowana w </w:t>
            </w:r>
            <w:r w:rsidRPr="00084F66">
              <w:t>art.</w:t>
            </w:r>
            <w:r w:rsidR="00084F66" w:rsidRPr="00084F66">
              <w:t> </w:t>
            </w:r>
            <w:r w:rsidRPr="00084F66">
              <w:t>3</w:t>
            </w:r>
            <w:r w:rsidRPr="00AA1421">
              <w:t xml:space="preserve">00 </w:t>
            </w:r>
            <w:r w:rsidRPr="00084F66">
              <w:t>pkt</w:t>
            </w:r>
            <w:r w:rsidR="00084F66" w:rsidRPr="00084F66">
              <w:t> </w:t>
            </w:r>
            <w:r w:rsidRPr="00084F66">
              <w:t>2</w:t>
            </w:r>
            <w:r w:rsidRPr="00AA1421">
              <w:t xml:space="preserve"> CRR, gdy CCP jest kwalifikującym się CCP.</w:t>
            </w:r>
          </w:p>
          <w:p w:rsidR="001B1F77" w:rsidRPr="00AA1421" w:rsidRDefault="001B1F77" w:rsidP="00487A02">
            <w:pPr>
              <w:pStyle w:val="InstructionsText"/>
            </w:pPr>
          </w:p>
        </w:tc>
      </w:tr>
      <w:tr w:rsidR="001B1F77" w:rsidRPr="00AA1421" w:rsidTr="00672D2A">
        <w:tc>
          <w:tcPr>
            <w:tcW w:w="1188" w:type="dxa"/>
          </w:tcPr>
          <w:p w:rsidR="001B1F77" w:rsidRPr="00AA1421" w:rsidRDefault="00FF15C6" w:rsidP="00487A02">
            <w:pPr>
              <w:pStyle w:val="InstructionsText"/>
            </w:pPr>
            <w:r w:rsidRPr="00AA1421">
              <w:t>0110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Pakiety kompensowania instrumentów pochodnych i transakcji z długim terminem rozliczenia</w:t>
            </w:r>
          </w:p>
          <w:p w:rsidR="00E86B98" w:rsidRPr="00AA1421" w:rsidRDefault="00E86B98" w:rsidP="00487A02">
            <w:pPr>
              <w:pStyle w:val="InstructionsText"/>
            </w:pPr>
            <w:r w:rsidRPr="00AA1421">
              <w:lastRenderedPageBreak/>
              <w:t xml:space="preserve">Pakiety kompensowania zawierające wyłącznie instrumenty pochodne wymienione w załączniku II do CRR oraz transakcje z długim terminem rozliczenia zdefiniowane w </w:t>
            </w:r>
            <w:r w:rsidRPr="00084F66">
              <w:t>art.</w:t>
            </w:r>
            <w:r w:rsidR="00084F66" w:rsidRPr="00084F66">
              <w:t> </w:t>
            </w:r>
            <w:r w:rsidRPr="00084F66">
              <w:t>2</w:t>
            </w:r>
            <w:r w:rsidRPr="00AA1421">
              <w:t xml:space="preserve">72 </w:t>
            </w:r>
            <w:r w:rsidRPr="00084F66">
              <w:t>pkt</w:t>
            </w:r>
            <w:r w:rsidR="00084F66" w:rsidRPr="00084F66">
              <w:t> </w:t>
            </w:r>
            <w:r w:rsidRPr="00084F66">
              <w:t>2</w:t>
            </w:r>
            <w:r w:rsidRPr="00AA1421">
              <w:t xml:space="preserve"> CRR.</w:t>
            </w:r>
          </w:p>
          <w:p w:rsidR="001B1F77" w:rsidRPr="00AA1421" w:rsidRDefault="001B1F77" w:rsidP="00487A02">
            <w:pPr>
              <w:pStyle w:val="InstructionsText"/>
            </w:pPr>
            <w:r w:rsidRPr="00AA1421">
              <w:t xml:space="preserve">W wierszu tym nie zgłasza się instrumentów pochodnych oraz transakcji z długim terminem rozliczenia, które uwzględniono w pakiecie kompensowania, dla którego istnieje umowa o kompensowaniu </w:t>
            </w:r>
            <w:proofErr w:type="spellStart"/>
            <w:r w:rsidRPr="00AA1421">
              <w:t>międzyproduktowym</w:t>
            </w:r>
            <w:proofErr w:type="spellEnd"/>
            <w:r w:rsidRPr="00AA1421">
              <w:t>, i dlatego zgłoszono je w wierszu 0130.</w:t>
            </w:r>
          </w:p>
        </w:tc>
      </w:tr>
      <w:tr w:rsidR="001B1F77" w:rsidRPr="00AA1421" w:rsidTr="00672D2A">
        <w:tc>
          <w:tcPr>
            <w:tcW w:w="1188" w:type="dxa"/>
          </w:tcPr>
          <w:p w:rsidR="001B1F77" w:rsidRPr="00AA1421" w:rsidRDefault="00FF15C6" w:rsidP="00487A02">
            <w:pPr>
              <w:pStyle w:val="InstructionsText"/>
            </w:pPr>
            <w:r w:rsidRPr="00AA1421">
              <w:lastRenderedPageBreak/>
              <w:t>0120</w:t>
            </w:r>
          </w:p>
        </w:tc>
        <w:tc>
          <w:tcPr>
            <w:tcW w:w="8701" w:type="dxa"/>
          </w:tcPr>
          <w:p w:rsidR="001B1F77" w:rsidRPr="00AA1421" w:rsidRDefault="001B1F77" w:rsidP="00487A02">
            <w:pPr>
              <w:pStyle w:val="InstructionsText"/>
            </w:pPr>
            <w:r w:rsidRPr="00AA1421">
              <w:rPr>
                <w:rStyle w:val="InstructionsTabelleberschrift"/>
                <w:rFonts w:ascii="Times New Roman" w:hAnsi="Times New Roman"/>
                <w:sz w:val="24"/>
              </w:rPr>
              <w:t>W tym: rozliczane centralnie przez kwalifikujących się kontrahentów centralnych</w:t>
            </w:r>
          </w:p>
          <w:p w:rsidR="00E86B98" w:rsidRPr="00AA1421" w:rsidRDefault="00E86B98" w:rsidP="00487A02">
            <w:pPr>
              <w:pStyle w:val="InstructionsText"/>
            </w:pPr>
            <w:r w:rsidRPr="00AA1421">
              <w:t>Zob. instrukcje dla wiersza 0100.</w:t>
            </w:r>
          </w:p>
          <w:p w:rsidR="001B1F77" w:rsidRPr="00AA1421" w:rsidRDefault="001B1F77" w:rsidP="00487A02">
            <w:pPr>
              <w:pStyle w:val="InstructionsText"/>
            </w:pPr>
          </w:p>
        </w:tc>
      </w:tr>
      <w:tr w:rsidR="001B1F77" w:rsidRPr="00AA1421" w:rsidTr="00672D2A">
        <w:tc>
          <w:tcPr>
            <w:tcW w:w="1188" w:type="dxa"/>
          </w:tcPr>
          <w:p w:rsidR="001B1F77" w:rsidRPr="00AA1421" w:rsidRDefault="00FF15C6" w:rsidP="00487A02">
            <w:pPr>
              <w:pStyle w:val="InstructionsText"/>
            </w:pPr>
            <w:r w:rsidRPr="00AA1421">
              <w:t>0130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Pakiety kompensowania, dla których istnieją umowy o kompensowaniu </w:t>
            </w:r>
            <w:proofErr w:type="spellStart"/>
            <w:r w:rsidRPr="00AA1421">
              <w:rPr>
                <w:rStyle w:val="InstructionsTabelleberschrift"/>
                <w:rFonts w:ascii="Times New Roman" w:hAnsi="Times New Roman"/>
                <w:sz w:val="24"/>
              </w:rPr>
              <w:t>międzyproduktowym</w:t>
            </w:r>
            <w:proofErr w:type="spellEnd"/>
          </w:p>
          <w:p w:rsidR="00E86B98" w:rsidRPr="00AA1421" w:rsidRDefault="00E86B98" w:rsidP="00487A02">
            <w:pPr>
              <w:pStyle w:val="InstructionsText"/>
            </w:pPr>
            <w:r w:rsidRPr="00AA1421">
              <w:t>Pakiety kompensowania zawierające transakcje dotyczące różnych kategorii produktów (</w:t>
            </w:r>
            <w:r w:rsidRPr="00084F66">
              <w:t>art.</w:t>
            </w:r>
            <w:r w:rsidR="00084F66" w:rsidRPr="00084F66">
              <w:t> </w:t>
            </w:r>
            <w:r w:rsidRPr="00084F66">
              <w:t>2</w:t>
            </w:r>
            <w:r w:rsidRPr="00AA1421">
              <w:t xml:space="preserve">72 </w:t>
            </w:r>
            <w:r w:rsidRPr="00084F66">
              <w:t>pkt</w:t>
            </w:r>
            <w:r w:rsidR="00084F66" w:rsidRPr="00084F66">
              <w:t> </w:t>
            </w:r>
            <w:r w:rsidRPr="00084F66">
              <w:t>1</w:t>
            </w:r>
            <w:r w:rsidRPr="00AA1421">
              <w:t xml:space="preserve">1 CRR), tj. instrumenty pochodne i transakcje finansowane z użyciem papierów wartościowych, dla których istnieje umowa o kompensowaniu </w:t>
            </w:r>
            <w:proofErr w:type="spellStart"/>
            <w:r w:rsidRPr="00AA1421">
              <w:t>międzyproduktowym</w:t>
            </w:r>
            <w:proofErr w:type="spellEnd"/>
            <w:r w:rsidRPr="00AA1421">
              <w:t xml:space="preserve"> określona w </w:t>
            </w:r>
            <w:r w:rsidRPr="00084F66">
              <w:t>art.</w:t>
            </w:r>
            <w:r w:rsidR="00084F66" w:rsidRPr="00084F66">
              <w:t> </w:t>
            </w:r>
            <w:r w:rsidRPr="00084F66">
              <w:t>2</w:t>
            </w:r>
            <w:r w:rsidRPr="00AA1421">
              <w:t xml:space="preserve">72 </w:t>
            </w:r>
            <w:r w:rsidRPr="00084F66">
              <w:t>pkt</w:t>
            </w:r>
            <w:r w:rsidR="00084F66" w:rsidRPr="00084F66">
              <w:t> </w:t>
            </w:r>
            <w:r w:rsidRPr="00084F66">
              <w:t>2</w:t>
            </w:r>
            <w:r w:rsidRPr="00AA1421">
              <w:t>5 CRR.</w:t>
            </w:r>
          </w:p>
          <w:p w:rsidR="001B1F77" w:rsidRPr="00AA1421" w:rsidRDefault="001B1F77" w:rsidP="00487A02">
            <w:pPr>
              <w:pStyle w:val="InstructionsText"/>
            </w:pPr>
          </w:p>
        </w:tc>
      </w:tr>
      <w:tr w:rsidR="001B1F77" w:rsidRPr="00AA1421" w:rsidTr="00672D2A">
        <w:tc>
          <w:tcPr>
            <w:tcW w:w="1188" w:type="dxa"/>
          </w:tcPr>
          <w:p w:rsidR="001B1F77" w:rsidRPr="00AA1421" w:rsidRDefault="00FF15C6" w:rsidP="00487A02">
            <w:pPr>
              <w:pStyle w:val="InstructionsText"/>
            </w:pPr>
            <w:r w:rsidRPr="00AA1421">
              <w:t>0140-0280</w:t>
            </w:r>
          </w:p>
        </w:tc>
        <w:tc>
          <w:tcPr>
            <w:tcW w:w="8701" w:type="dxa"/>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PODZIAŁ EKSPOZYCJI CAŁKOWITYCH WEDŁUG WAG RYZYKA</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0140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0150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2 %</w:t>
            </w:r>
          </w:p>
          <w:p w:rsidR="001B1F77" w:rsidRPr="00AA1421" w:rsidRDefault="001B1F77" w:rsidP="00487A02">
            <w:pPr>
              <w:pStyle w:val="InstructionsText"/>
              <w:rPr>
                <w:b/>
              </w:rPr>
            </w:pPr>
            <w:r w:rsidRPr="00AA1421">
              <w:t>Art. 306 ust. 1 CRR</w:t>
            </w:r>
          </w:p>
        </w:tc>
      </w:tr>
      <w:tr w:rsidR="001B1F77" w:rsidRPr="00AA1421" w:rsidTr="00672D2A">
        <w:tc>
          <w:tcPr>
            <w:tcW w:w="1188" w:type="dxa"/>
            <w:shd w:val="clear" w:color="auto" w:fill="auto"/>
          </w:tcPr>
          <w:p w:rsidR="001B1F77" w:rsidRPr="00AA1421" w:rsidRDefault="00FF15C6" w:rsidP="00487A02">
            <w:pPr>
              <w:pStyle w:val="InstructionsText"/>
            </w:pPr>
            <w:r w:rsidRPr="00AA1421">
              <w:t>0160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4 %</w:t>
            </w:r>
          </w:p>
          <w:p w:rsidR="001B1F77" w:rsidRPr="00AA1421" w:rsidRDefault="001B1F77" w:rsidP="00487A02">
            <w:pPr>
              <w:pStyle w:val="InstructionsText"/>
              <w:rPr>
                <w:b/>
                <w:u w:val="single"/>
              </w:rPr>
            </w:pPr>
            <w:r w:rsidRPr="00AA1421">
              <w:t>Art. 305 ust. 3 CRR</w:t>
            </w:r>
          </w:p>
        </w:tc>
      </w:tr>
      <w:tr w:rsidR="001B1F77" w:rsidRPr="00AA1421" w:rsidTr="00672D2A">
        <w:tc>
          <w:tcPr>
            <w:tcW w:w="1188" w:type="dxa"/>
            <w:shd w:val="clear" w:color="auto" w:fill="auto"/>
          </w:tcPr>
          <w:p w:rsidR="001B1F77" w:rsidRPr="00AA1421" w:rsidRDefault="00FF15C6" w:rsidP="00487A02">
            <w:pPr>
              <w:pStyle w:val="InstructionsText"/>
            </w:pPr>
            <w:r w:rsidRPr="00AA1421">
              <w:t>0170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0180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0190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w:t>
            </w:r>
            <w:r w:rsidRPr="00084F66">
              <w:rPr>
                <w:rStyle w:val="InstructionsTabelleberschrift"/>
                <w:rFonts w:ascii="Times New Roman" w:hAnsi="Times New Roman"/>
                <w:sz w:val="24"/>
              </w:rPr>
              <w:t>5</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0200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0210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7</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r w:rsidRPr="00AA1421">
              <w:t xml:space="preserve">Art. 232 </w:t>
            </w:r>
            <w:r w:rsidRPr="00084F66">
              <w:t>ust.</w:t>
            </w:r>
            <w:r w:rsidR="00084F66" w:rsidRPr="00084F66">
              <w:t> </w:t>
            </w:r>
            <w:r w:rsidRPr="00084F66">
              <w:t>3</w:t>
            </w:r>
            <w:r w:rsidRPr="00AA1421">
              <w:t xml:space="preserve"> </w:t>
            </w:r>
            <w:r w:rsidRPr="00084F66">
              <w:t>lit.</w:t>
            </w:r>
            <w:r w:rsidR="00084F66" w:rsidRPr="00084F66">
              <w:t> </w:t>
            </w:r>
            <w:r w:rsidRPr="00084F66">
              <w:t>c)</w:t>
            </w:r>
            <w:r w:rsidRPr="00AA1421">
              <w:t xml:space="preserve"> CRR.</w:t>
            </w:r>
          </w:p>
        </w:tc>
      </w:tr>
      <w:tr w:rsidR="001B1F77" w:rsidRPr="00AA1421" w:rsidTr="00672D2A">
        <w:tc>
          <w:tcPr>
            <w:tcW w:w="1188" w:type="dxa"/>
            <w:shd w:val="clear" w:color="auto" w:fill="auto"/>
          </w:tcPr>
          <w:p w:rsidR="001B1F77" w:rsidRPr="00AA1421" w:rsidRDefault="00FF15C6" w:rsidP="00487A02">
            <w:pPr>
              <w:pStyle w:val="InstructionsText"/>
            </w:pPr>
            <w:r w:rsidRPr="00AA1421">
              <w:t>0220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7</w:t>
            </w:r>
            <w:r w:rsidRPr="00084F66">
              <w:rPr>
                <w:rStyle w:val="InstructionsTabelleberschrift"/>
                <w:rFonts w:ascii="Times New Roman" w:hAnsi="Times New Roman"/>
                <w:sz w:val="24"/>
              </w:rPr>
              <w:t>5</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0230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10</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lastRenderedPageBreak/>
              <w:t>0240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pPr>
          </w:p>
        </w:tc>
      </w:tr>
      <w:tr w:rsidR="001B1F77" w:rsidRPr="00AA1421" w:rsidTr="00672D2A">
        <w:tc>
          <w:tcPr>
            <w:tcW w:w="1188" w:type="dxa"/>
            <w:shd w:val="clear" w:color="auto" w:fill="auto"/>
          </w:tcPr>
          <w:p w:rsidR="001B1F77" w:rsidRPr="00AA1421" w:rsidRDefault="00FF15C6" w:rsidP="00487A02">
            <w:pPr>
              <w:pStyle w:val="InstructionsText"/>
            </w:pPr>
            <w:r w:rsidRPr="00AA1421">
              <w:t>0250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250 %</w:t>
            </w:r>
          </w:p>
          <w:p w:rsidR="001B1F77" w:rsidRPr="00AA1421" w:rsidRDefault="001B1F77" w:rsidP="00487A02">
            <w:pPr>
              <w:pStyle w:val="InstructionsText"/>
            </w:pPr>
            <w:r w:rsidRPr="00AA1421">
              <w:t xml:space="preserve">Art. 133 </w:t>
            </w:r>
            <w:r w:rsidRPr="00084F66">
              <w:t>ust.</w:t>
            </w:r>
            <w:r w:rsidR="00084F66" w:rsidRPr="00084F66">
              <w:t> </w:t>
            </w:r>
            <w:r w:rsidRPr="00084F66">
              <w:t>2</w:t>
            </w:r>
            <w:r w:rsidRPr="00AA1421">
              <w:t xml:space="preserve"> i </w:t>
            </w:r>
            <w:r w:rsidRPr="00084F66">
              <w:t>art.</w:t>
            </w:r>
            <w:r w:rsidR="00084F66" w:rsidRPr="00084F66">
              <w:t> </w:t>
            </w:r>
            <w:r w:rsidRPr="00084F66">
              <w:t>4</w:t>
            </w:r>
            <w:r w:rsidRPr="00AA1421">
              <w:t xml:space="preserve">8 </w:t>
            </w:r>
            <w:r w:rsidRPr="00084F66">
              <w:t>ust.</w:t>
            </w:r>
            <w:r w:rsidR="00084F66" w:rsidRPr="00084F66">
              <w:t> </w:t>
            </w:r>
            <w:r w:rsidRPr="00084F66">
              <w:t>4</w:t>
            </w:r>
            <w:r w:rsidRPr="00AA1421">
              <w:t xml:space="preserve"> CRR.</w:t>
            </w:r>
          </w:p>
        </w:tc>
      </w:tr>
      <w:tr w:rsidR="001B1F77" w:rsidRPr="00AA1421" w:rsidTr="00672D2A">
        <w:tc>
          <w:tcPr>
            <w:tcW w:w="1188" w:type="dxa"/>
            <w:shd w:val="clear" w:color="auto" w:fill="auto"/>
          </w:tcPr>
          <w:p w:rsidR="001B1F77" w:rsidRPr="00AA1421" w:rsidRDefault="00FF15C6" w:rsidP="00487A02">
            <w:pPr>
              <w:pStyle w:val="InstructionsText"/>
            </w:pPr>
            <w:r w:rsidRPr="00AA1421">
              <w:t>0260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370 %</w:t>
            </w:r>
          </w:p>
          <w:p w:rsidR="001B1F77" w:rsidRPr="00AA1421" w:rsidRDefault="001B1F77" w:rsidP="00487A02">
            <w:pPr>
              <w:pStyle w:val="InstructionsText"/>
              <w:rPr>
                <w:b/>
                <w:u w:val="single"/>
              </w:rPr>
            </w:pPr>
            <w:r w:rsidRPr="00AA1421">
              <w:t>Art. 471 CRR</w:t>
            </w:r>
          </w:p>
        </w:tc>
      </w:tr>
      <w:tr w:rsidR="001B1F77" w:rsidRPr="00AA1421" w:rsidTr="00672D2A">
        <w:tc>
          <w:tcPr>
            <w:tcW w:w="1188" w:type="dxa"/>
            <w:shd w:val="clear" w:color="auto" w:fill="auto"/>
          </w:tcPr>
          <w:p w:rsidR="001B1F77" w:rsidRPr="00AA1421" w:rsidRDefault="00FF15C6" w:rsidP="00487A02">
            <w:pPr>
              <w:pStyle w:val="InstructionsText"/>
            </w:pPr>
            <w:r w:rsidRPr="00AA1421">
              <w:t>0270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1 25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1B1F77" w:rsidRPr="00AA1421" w:rsidRDefault="001B1F77" w:rsidP="00487A02">
            <w:pPr>
              <w:pStyle w:val="InstructionsText"/>
              <w:rPr>
                <w:b/>
                <w:u w:val="single"/>
              </w:rPr>
            </w:pPr>
            <w:r w:rsidRPr="00AA1421">
              <w:t xml:space="preserve">Art. 133 </w:t>
            </w:r>
            <w:r w:rsidRPr="00084F66">
              <w:t>ust.</w:t>
            </w:r>
            <w:r w:rsidR="00084F66" w:rsidRPr="00084F66">
              <w:t> </w:t>
            </w:r>
            <w:r w:rsidRPr="00084F66">
              <w:t>2</w:t>
            </w:r>
            <w:r w:rsidRPr="00AA1421">
              <w:t xml:space="preserve"> i </w:t>
            </w:r>
            <w:r w:rsidRPr="00084F66">
              <w:t>art.</w:t>
            </w:r>
            <w:r w:rsidR="00084F66" w:rsidRPr="00084F66">
              <w:t> </w:t>
            </w:r>
            <w:r w:rsidRPr="00084F66">
              <w:t>3</w:t>
            </w:r>
            <w:r w:rsidRPr="00AA1421">
              <w:t>79 CRR.</w:t>
            </w:r>
          </w:p>
        </w:tc>
      </w:tr>
      <w:tr w:rsidR="001B1F77" w:rsidRPr="00AA1421" w:rsidTr="00672D2A">
        <w:tc>
          <w:tcPr>
            <w:tcW w:w="1188" w:type="dxa"/>
            <w:shd w:val="clear" w:color="auto" w:fill="auto"/>
          </w:tcPr>
          <w:p w:rsidR="001B1F77" w:rsidRPr="00AA1421" w:rsidRDefault="00FF15C6" w:rsidP="00487A02">
            <w:pPr>
              <w:pStyle w:val="InstructionsText"/>
            </w:pPr>
            <w:r w:rsidRPr="00AA1421">
              <w:t>0280</w:t>
            </w:r>
          </w:p>
        </w:tc>
        <w:tc>
          <w:tcPr>
            <w:tcW w:w="8701" w:type="dxa"/>
            <w:shd w:val="clear" w:color="auto" w:fill="auto"/>
          </w:tcPr>
          <w:p w:rsidR="001B1F77" w:rsidRPr="00AA1421" w:rsidRDefault="001B1F77"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Inne wagi ryzyka</w:t>
            </w:r>
          </w:p>
          <w:p w:rsidR="001B1F77" w:rsidRPr="00AA1421" w:rsidRDefault="001B1F77" w:rsidP="00487A02">
            <w:pPr>
              <w:pStyle w:val="InstructionsText"/>
            </w:pPr>
            <w:r w:rsidRPr="00AA1421">
              <w:t>Ten wiersz jest niedostępny do celów zgłaszania kategorii ekspozycji wobec rządów, wobec przedsiębiorstw, wobec instytucji i ekspozycji detalicznych.</w:t>
            </w:r>
          </w:p>
          <w:p w:rsidR="001B1F77" w:rsidRPr="00AA1421" w:rsidRDefault="001B1F77" w:rsidP="00487A02">
            <w:pPr>
              <w:pStyle w:val="InstructionsText"/>
            </w:pPr>
          </w:p>
          <w:p w:rsidR="001B1F77" w:rsidRPr="00AA1421" w:rsidRDefault="001B1F77" w:rsidP="00487A02">
            <w:pPr>
              <w:pStyle w:val="InstructionsText"/>
            </w:pPr>
            <w:r w:rsidRPr="00AA1421">
              <w:t>Zgłaszanie tych ekspozycji nie podlega wagom ryzyka wymienionym we wzorze.</w:t>
            </w:r>
          </w:p>
          <w:p w:rsidR="001B1F77" w:rsidRPr="00AA1421" w:rsidRDefault="001B1F77" w:rsidP="00487A02">
            <w:pPr>
              <w:pStyle w:val="InstructionsText"/>
            </w:pPr>
            <w:r w:rsidRPr="00AA1421">
              <w:t xml:space="preserve">Art. 113 </w:t>
            </w:r>
            <w:r w:rsidRPr="00084F66">
              <w:t>ust.</w:t>
            </w:r>
            <w:r w:rsidR="00084F66" w:rsidRPr="00084F66">
              <w:t> </w:t>
            </w:r>
            <w:r w:rsidRPr="00084F66">
              <w:t>1</w:t>
            </w:r>
            <w:r w:rsidRPr="00AA1421">
              <w:t xml:space="preserve">–5 CRR. </w:t>
            </w:r>
          </w:p>
          <w:p w:rsidR="001B1F77" w:rsidRPr="00AA1421" w:rsidRDefault="001B1F77" w:rsidP="00487A02">
            <w:pPr>
              <w:pStyle w:val="InstructionsText"/>
            </w:pPr>
          </w:p>
          <w:p w:rsidR="001B1F77" w:rsidRPr="00AA1421" w:rsidRDefault="001B1F77" w:rsidP="00487A02">
            <w:pPr>
              <w:pStyle w:val="InstructionsText"/>
            </w:pPr>
            <w:r w:rsidRPr="00AA1421">
              <w:t>Kredytowe instrumenty pochodne uruchamiane n-tym niewykonaniem zobowiązania bez ratingu zgodnie z metodą standardową (</w:t>
            </w:r>
            <w:r w:rsidRPr="00084F66">
              <w:t>art.</w:t>
            </w:r>
            <w:r w:rsidR="00084F66" w:rsidRPr="00084F66">
              <w:t> </w:t>
            </w:r>
            <w:r w:rsidRPr="00084F66">
              <w:t>1</w:t>
            </w:r>
            <w:r w:rsidRPr="00AA1421">
              <w:t xml:space="preserve">34 </w:t>
            </w:r>
            <w:r w:rsidRPr="00084F66">
              <w:t>ust.</w:t>
            </w:r>
            <w:r w:rsidR="00084F66" w:rsidRPr="00084F66">
              <w:t> </w:t>
            </w:r>
            <w:r w:rsidRPr="00084F66">
              <w:t>6</w:t>
            </w:r>
            <w:r w:rsidRPr="00AA1421">
              <w:t xml:space="preserve"> CRR) zgłaszane są w tym wierszu w kategorii ekspozycji „Inne pozycje”.</w:t>
            </w:r>
          </w:p>
          <w:p w:rsidR="001B1F77" w:rsidRPr="00AA1421" w:rsidRDefault="001B1F77" w:rsidP="00487A02">
            <w:pPr>
              <w:pStyle w:val="InstructionsText"/>
            </w:pPr>
            <w:r w:rsidRPr="00AA1421">
              <w:t xml:space="preserve">Zob. także </w:t>
            </w:r>
            <w:r w:rsidRPr="00084F66">
              <w:t>art.</w:t>
            </w:r>
            <w:r w:rsidR="00084F66" w:rsidRPr="00084F66">
              <w:t> </w:t>
            </w:r>
            <w:r w:rsidRPr="00084F66">
              <w:t>1</w:t>
            </w:r>
            <w:r w:rsidRPr="00AA1421">
              <w:t xml:space="preserve">24 </w:t>
            </w:r>
            <w:r w:rsidRPr="00084F66">
              <w:t>ust.</w:t>
            </w:r>
            <w:r w:rsidR="00084F66" w:rsidRPr="00084F66">
              <w:t> </w:t>
            </w:r>
            <w:r w:rsidRPr="00084F66">
              <w:t>2</w:t>
            </w:r>
            <w:r w:rsidRPr="00AA1421">
              <w:t xml:space="preserve"> oraz </w:t>
            </w:r>
            <w:r w:rsidRPr="00084F66">
              <w:t>art.</w:t>
            </w:r>
            <w:r w:rsidR="00084F66" w:rsidRPr="00084F66">
              <w:t> </w:t>
            </w:r>
            <w:r w:rsidRPr="00084F66">
              <w:t>1</w:t>
            </w:r>
            <w:r w:rsidRPr="00AA1421">
              <w:t xml:space="preserve">52 </w:t>
            </w:r>
            <w:r w:rsidRPr="00084F66">
              <w:t>ust.</w:t>
            </w:r>
            <w:r w:rsidR="00084F66" w:rsidRPr="00084F66">
              <w:t> </w:t>
            </w:r>
            <w:r w:rsidRPr="00084F66">
              <w:t>2</w:t>
            </w:r>
            <w:r w:rsidRPr="00AA1421">
              <w:t xml:space="preserve"> </w:t>
            </w:r>
            <w:r w:rsidRPr="00084F66">
              <w:t>lit.</w:t>
            </w:r>
            <w:r w:rsidR="00084F66" w:rsidRPr="00084F66">
              <w:t> </w:t>
            </w:r>
            <w:r w:rsidRPr="00084F66">
              <w:t>b)</w:t>
            </w:r>
            <w:r w:rsidRPr="00AA1421">
              <w:t xml:space="preserve"> CRR. </w:t>
            </w:r>
          </w:p>
        </w:tc>
      </w:tr>
      <w:tr w:rsidR="00E86B98" w:rsidRPr="00AA1421" w:rsidTr="00672D2A">
        <w:tc>
          <w:tcPr>
            <w:tcW w:w="1188" w:type="dxa"/>
            <w:shd w:val="clear" w:color="auto" w:fill="auto"/>
          </w:tcPr>
          <w:p w:rsidR="00E86B98" w:rsidRPr="00AA1421" w:rsidRDefault="00FF15C6" w:rsidP="00487A02">
            <w:pPr>
              <w:pStyle w:val="InstructionsText"/>
            </w:pPr>
            <w:r w:rsidRPr="00AA1421">
              <w:t>0281-0284</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PODZIAŁ EKSPOZYCJI CAŁKOWITYCH WEDŁUG METODY (PRZEDSIĘBIORSTWO ZBIOROWEGO INWESTOWANIA)</w:t>
            </w:r>
          </w:p>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Wiersze te zgłasza się wyłącznie w odniesieniu do kategorii ekspozycji związanych z przedsiębiorstwami zbiorowego inwestowania,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32, 132a, 132b i 132c CRR.</w:t>
            </w:r>
          </w:p>
        </w:tc>
      </w:tr>
      <w:tr w:rsidR="00E86B98" w:rsidRPr="00AA1421" w:rsidTr="00672D2A">
        <w:tc>
          <w:tcPr>
            <w:tcW w:w="1188" w:type="dxa"/>
            <w:shd w:val="clear" w:color="auto" w:fill="auto"/>
          </w:tcPr>
          <w:p w:rsidR="00E86B98" w:rsidRPr="00AA1421" w:rsidRDefault="00FF15C6" w:rsidP="00487A02">
            <w:pPr>
              <w:pStyle w:val="InstructionsText"/>
            </w:pPr>
            <w:r w:rsidRPr="00AA1421">
              <w:t>0281</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Metoda pełnego przeglądu</w:t>
            </w:r>
          </w:p>
          <w:p w:rsidR="00E86B98" w:rsidRPr="00AA1421" w:rsidRDefault="00E86B98" w:rsidP="00487A02">
            <w:pPr>
              <w:pStyle w:val="InstructionsText"/>
              <w:rPr>
                <w:rStyle w:val="InstructionsTabelleberschrift"/>
                <w:rFonts w:ascii="Times New Roman" w:hAnsi="Times New Roman"/>
                <w:sz w:val="24"/>
              </w:rPr>
            </w:pPr>
            <w:r w:rsidRPr="00AA1421">
              <w:t xml:space="preserve">Art. 132a </w:t>
            </w:r>
            <w:r w:rsidRPr="00084F66">
              <w:t>ust.</w:t>
            </w:r>
            <w:r w:rsidR="00084F66" w:rsidRPr="00084F66">
              <w:t> </w:t>
            </w:r>
            <w:r w:rsidRPr="00084F66">
              <w:t>1</w:t>
            </w:r>
            <w:r w:rsidRPr="00AA1421">
              <w:t xml:space="preserve"> CRR</w:t>
            </w:r>
          </w:p>
        </w:tc>
      </w:tr>
      <w:tr w:rsidR="00E86B98" w:rsidRPr="00AA1421" w:rsidTr="00672D2A">
        <w:tc>
          <w:tcPr>
            <w:tcW w:w="1188" w:type="dxa"/>
            <w:shd w:val="clear" w:color="auto" w:fill="auto"/>
          </w:tcPr>
          <w:p w:rsidR="00E86B98" w:rsidRPr="00AA1421" w:rsidRDefault="00FF15C6" w:rsidP="00487A02">
            <w:pPr>
              <w:pStyle w:val="InstructionsText"/>
            </w:pPr>
            <w:r w:rsidRPr="00AA1421">
              <w:t>0282</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Metoda oparta na uprawnieniach</w:t>
            </w:r>
          </w:p>
          <w:p w:rsidR="00E86B98" w:rsidRPr="00AA1421" w:rsidRDefault="00E86B98" w:rsidP="00487A02">
            <w:pPr>
              <w:pStyle w:val="InstructionsText"/>
              <w:rPr>
                <w:rStyle w:val="InstructionsTabelleberschrift"/>
                <w:rFonts w:ascii="Times New Roman" w:hAnsi="Times New Roman"/>
                <w:sz w:val="24"/>
              </w:rPr>
            </w:pPr>
            <w:r w:rsidRPr="00AA1421">
              <w:t xml:space="preserve">Art. 132a </w:t>
            </w:r>
            <w:r w:rsidRPr="00084F66">
              <w:t>ust.</w:t>
            </w:r>
            <w:r w:rsidR="00084F66" w:rsidRPr="00084F66">
              <w:t> </w:t>
            </w:r>
            <w:r w:rsidRPr="00084F66">
              <w:t>2</w:t>
            </w:r>
            <w:r w:rsidRPr="00AA1421">
              <w:t xml:space="preserve"> CRR</w:t>
            </w:r>
          </w:p>
        </w:tc>
      </w:tr>
      <w:tr w:rsidR="00E86B98" w:rsidRPr="00AA1421" w:rsidTr="00672D2A">
        <w:tc>
          <w:tcPr>
            <w:tcW w:w="1188" w:type="dxa"/>
            <w:shd w:val="clear" w:color="auto" w:fill="auto"/>
          </w:tcPr>
          <w:p w:rsidR="00E86B98" w:rsidRPr="00AA1421" w:rsidRDefault="00FF15C6" w:rsidP="00487A02">
            <w:pPr>
              <w:pStyle w:val="InstructionsText"/>
            </w:pPr>
            <w:r w:rsidRPr="00AA1421">
              <w:t>0283</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Metoda rezerwowa</w:t>
            </w:r>
          </w:p>
          <w:p w:rsidR="00E86B98" w:rsidRPr="00AA1421" w:rsidRDefault="00E86B98" w:rsidP="00487A02">
            <w:pPr>
              <w:pStyle w:val="InstructionsText"/>
              <w:rPr>
                <w:rStyle w:val="InstructionsTabelleberschrift"/>
                <w:rFonts w:ascii="Times New Roman" w:hAnsi="Times New Roman"/>
                <w:sz w:val="24"/>
              </w:rPr>
            </w:pPr>
            <w:r w:rsidRPr="00AA1421">
              <w:t xml:space="preserve">Art. 132 </w:t>
            </w:r>
            <w:r w:rsidRPr="00084F66">
              <w:t>ust.</w:t>
            </w:r>
            <w:r w:rsidR="00084F66" w:rsidRPr="00084F66">
              <w:t> </w:t>
            </w:r>
            <w:r w:rsidRPr="00084F66">
              <w:t>2</w:t>
            </w:r>
            <w:r w:rsidRPr="00AA1421">
              <w:t xml:space="preserve"> CRR</w:t>
            </w:r>
          </w:p>
        </w:tc>
      </w:tr>
      <w:tr w:rsidR="00E86B98" w:rsidRPr="00AA1421" w:rsidTr="00672D2A">
        <w:tc>
          <w:tcPr>
            <w:tcW w:w="1188" w:type="dxa"/>
            <w:shd w:val="clear" w:color="auto" w:fill="auto"/>
          </w:tcPr>
          <w:p w:rsidR="00E86B98" w:rsidRPr="00AA1421" w:rsidRDefault="00FF15C6" w:rsidP="00487A02">
            <w:pPr>
              <w:pStyle w:val="InstructionsText"/>
            </w:pPr>
            <w:r w:rsidRPr="00AA1421">
              <w:t>0290-0320</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Pozycje uzupełniające</w:t>
            </w:r>
          </w:p>
          <w:p w:rsidR="00E86B98" w:rsidRPr="00AA1421" w:rsidRDefault="00E86B98" w:rsidP="00487A02">
            <w:pPr>
              <w:pStyle w:val="InstructionsText"/>
              <w:rPr>
                <w:b/>
                <w:u w:val="single"/>
              </w:rPr>
            </w:pPr>
            <w:r w:rsidRPr="00AA1421">
              <w:t>W odniesieniu do wierszy 0290–0320 zob. także wyjaśnienie celu pozycji uzupełniających zawarte w sekcji ogólnej wzoru CR SA.</w:t>
            </w:r>
          </w:p>
        </w:tc>
      </w:tr>
      <w:tr w:rsidR="00E86B98" w:rsidRPr="00AA1421" w:rsidTr="00672D2A">
        <w:tc>
          <w:tcPr>
            <w:tcW w:w="1188" w:type="dxa"/>
            <w:shd w:val="clear" w:color="auto" w:fill="auto"/>
          </w:tcPr>
          <w:p w:rsidR="00E86B98" w:rsidRPr="00AA1421" w:rsidRDefault="00FF15C6" w:rsidP="00487A02">
            <w:pPr>
              <w:pStyle w:val="InstructionsText"/>
            </w:pPr>
            <w:r w:rsidRPr="00AA1421">
              <w:t>0290</w:t>
            </w:r>
          </w:p>
          <w:p w:rsidR="00E86B98" w:rsidRPr="00AA1421" w:rsidRDefault="00E86B98" w:rsidP="00487A02">
            <w:pPr>
              <w:pStyle w:val="InstructionsText"/>
            </w:pP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Ekspozycje zabezpieczone hipotekami na nieruchomościach komercyjnych</w:t>
            </w:r>
          </w:p>
          <w:p w:rsidR="00E86B98" w:rsidRPr="00AA1421" w:rsidRDefault="00E86B98" w:rsidP="00487A02">
            <w:pPr>
              <w:pStyle w:val="InstructionsText"/>
            </w:pPr>
            <w:r w:rsidRPr="00AA1421">
              <w:t xml:space="preserve">Art. 112 </w:t>
            </w:r>
            <w:r w:rsidRPr="00084F66">
              <w:t>lit.</w:t>
            </w:r>
            <w:r w:rsidR="00084F66" w:rsidRPr="00084F66">
              <w:t> </w:t>
            </w:r>
            <w:r w:rsidRPr="00084F66">
              <w:t>i)</w:t>
            </w:r>
            <w:r w:rsidRPr="00AA1421">
              <w:t xml:space="preserve"> CRR.</w:t>
            </w:r>
          </w:p>
          <w:p w:rsidR="00E86B98" w:rsidRPr="00AA1421" w:rsidRDefault="00E86B98" w:rsidP="00487A02">
            <w:pPr>
              <w:pStyle w:val="InstructionsText"/>
            </w:pPr>
            <w:r w:rsidRPr="00AA1421">
              <w:lastRenderedPageBreak/>
              <w:t xml:space="preserve">Jest to wyłącznie pozycja uzupełniająca. Niezależnie od obliczania kwot ekspozycji na ryzyko z tytułu ekspozycji zabezpieczonych nieruchomościami komercyjnymi zgodnie z </w:t>
            </w:r>
            <w:r w:rsidRPr="00084F66">
              <w:t>art.</w:t>
            </w:r>
            <w:r w:rsidR="00084F66" w:rsidRPr="00084F66">
              <w:t> </w:t>
            </w:r>
            <w:r w:rsidRPr="00084F66">
              <w:t>1</w:t>
            </w:r>
            <w:r w:rsidRPr="00AA1421">
              <w:t>24 i 126 CRR ekspozycje są dzielone i zgłaszane w tym wierszu, jeżeli ekspozycje zabezpieczone są przez nieruchomości komercyjne.</w:t>
            </w:r>
          </w:p>
        </w:tc>
      </w:tr>
      <w:tr w:rsidR="00E86B98" w:rsidRPr="00AA1421" w:rsidTr="00672D2A">
        <w:tc>
          <w:tcPr>
            <w:tcW w:w="1188" w:type="dxa"/>
            <w:shd w:val="clear" w:color="auto" w:fill="auto"/>
          </w:tcPr>
          <w:p w:rsidR="00E86B98" w:rsidRPr="00AA1421" w:rsidRDefault="00FF15C6" w:rsidP="00487A02">
            <w:pPr>
              <w:pStyle w:val="InstructionsText"/>
            </w:pPr>
            <w:r w:rsidRPr="00AA1421">
              <w:lastRenderedPageBreak/>
              <w:t>0300</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Ekspozycje, których dotyczy niewykonanie zobowiązania, podlegające wadze ryzyka równej 10</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p>
          <w:p w:rsidR="00E86B98" w:rsidRPr="00AA1421" w:rsidRDefault="00E86B98" w:rsidP="00487A02">
            <w:pPr>
              <w:pStyle w:val="InstructionsText"/>
            </w:pPr>
            <w:r w:rsidRPr="00AA1421">
              <w:t xml:space="preserve">Art. 112 </w:t>
            </w:r>
            <w:r w:rsidRPr="00084F66">
              <w:t>lit.</w:t>
            </w:r>
            <w:r w:rsidR="00084F66" w:rsidRPr="00084F66">
              <w:t> </w:t>
            </w:r>
            <w:r w:rsidRPr="00084F66">
              <w:t>j)</w:t>
            </w:r>
            <w:r w:rsidRPr="00AA1421">
              <w:t xml:space="preserve"> CRR.</w:t>
            </w:r>
          </w:p>
          <w:p w:rsidR="00E86B98" w:rsidRPr="00AA1421" w:rsidRDefault="00E86B98" w:rsidP="00487A02">
            <w:pPr>
              <w:pStyle w:val="InstructionsText"/>
            </w:pPr>
            <w:r w:rsidRPr="00AA1421">
              <w:t>Ekspozycje ujęte w kategorii ekspozycji „ekspozycje, których dotyczy niewykonanie zobowiązania”, które uwzględnia się w tej kategorii ekspozycji, jeżeli nie dotyczyło ich niewykonanie zobowiązania.</w:t>
            </w:r>
          </w:p>
        </w:tc>
      </w:tr>
      <w:tr w:rsidR="00E86B98" w:rsidRPr="00AA1421" w:rsidTr="00672D2A">
        <w:tc>
          <w:tcPr>
            <w:tcW w:w="1188" w:type="dxa"/>
            <w:shd w:val="clear" w:color="auto" w:fill="auto"/>
          </w:tcPr>
          <w:p w:rsidR="00E86B98" w:rsidRPr="00AA1421" w:rsidRDefault="00FF15C6" w:rsidP="00487A02">
            <w:pPr>
              <w:pStyle w:val="InstructionsText"/>
            </w:pPr>
            <w:r w:rsidRPr="00AA1421">
              <w:t>0310</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Ekspozycje zabezpieczone hipotekami na nieruchomościach mieszkalnych </w:t>
            </w:r>
          </w:p>
          <w:p w:rsidR="00E86B98" w:rsidRPr="00AA1421" w:rsidRDefault="00E86B98" w:rsidP="00487A02">
            <w:pPr>
              <w:pStyle w:val="InstructionsText"/>
            </w:pPr>
            <w:r w:rsidRPr="00AA1421">
              <w:t xml:space="preserve">Art. 112 </w:t>
            </w:r>
            <w:r w:rsidRPr="00084F66">
              <w:t>lit.</w:t>
            </w:r>
            <w:r w:rsidR="00084F66" w:rsidRPr="00084F66">
              <w:t> </w:t>
            </w:r>
            <w:r w:rsidRPr="00084F66">
              <w:t>i)</w:t>
            </w:r>
            <w:r w:rsidRPr="00AA1421">
              <w:t xml:space="preserve"> CRR.</w:t>
            </w:r>
          </w:p>
          <w:p w:rsidR="00E86B98" w:rsidRPr="00AA1421" w:rsidRDefault="00E86B98" w:rsidP="00487A02">
            <w:pPr>
              <w:pStyle w:val="InstructionsText"/>
              <w:rPr>
                <w:b/>
                <w:u w:val="single"/>
              </w:rPr>
            </w:pPr>
            <w:r w:rsidRPr="00AA1421">
              <w:t xml:space="preserve">Jest to wyłącznie pozycja uzupełniająca. Niezależnie od obliczania kwot ekspozycji na ryzyko z tytułu ekspozycji zabezpieczonych nieruchomościami mieszkalnymi zgodnie z </w:t>
            </w:r>
            <w:r w:rsidRPr="00084F66">
              <w:t>art.</w:t>
            </w:r>
            <w:r w:rsidR="00084F66" w:rsidRPr="00084F66">
              <w:t> </w:t>
            </w:r>
            <w:r w:rsidRPr="00084F66">
              <w:t>1</w:t>
            </w:r>
            <w:r w:rsidRPr="00AA1421">
              <w:t>24 i 125 CRR ekspozycje są dzielone i zgłaszane w tym wierszu, jeżeli ekspozycje zabezpieczone są przez nieruchomości.</w:t>
            </w:r>
          </w:p>
        </w:tc>
      </w:tr>
      <w:tr w:rsidR="00E86B98" w:rsidRPr="00AA1421" w:rsidTr="00672D2A">
        <w:tc>
          <w:tcPr>
            <w:tcW w:w="1188" w:type="dxa"/>
            <w:shd w:val="clear" w:color="auto" w:fill="auto"/>
          </w:tcPr>
          <w:p w:rsidR="00E86B98" w:rsidRPr="00AA1421" w:rsidRDefault="00FF15C6" w:rsidP="00487A02">
            <w:pPr>
              <w:pStyle w:val="InstructionsText"/>
            </w:pPr>
            <w:r w:rsidRPr="00AA1421">
              <w:t>0320</w:t>
            </w:r>
          </w:p>
        </w:tc>
        <w:tc>
          <w:tcPr>
            <w:tcW w:w="8701" w:type="dxa"/>
            <w:shd w:val="clear" w:color="auto" w:fill="auto"/>
          </w:tcPr>
          <w:p w:rsidR="00E86B98" w:rsidRPr="00AA1421" w:rsidRDefault="00E86B98" w:rsidP="00487A02">
            <w:pPr>
              <w:pStyle w:val="InstructionsText"/>
              <w:rPr>
                <w:rStyle w:val="InstructionsTabelleberschrift"/>
                <w:rFonts w:ascii="Times New Roman" w:hAnsi="Times New Roman"/>
                <w:sz w:val="24"/>
              </w:rPr>
            </w:pPr>
            <w:r w:rsidRPr="00AA1421">
              <w:rPr>
                <w:rStyle w:val="InstructionsTabelleberschrift"/>
                <w:rFonts w:ascii="Times New Roman" w:hAnsi="Times New Roman"/>
                <w:sz w:val="24"/>
              </w:rPr>
              <w:t xml:space="preserve">Ekspozycje, których dotyczy niewykonanie zobowiązania, podlegające wadze ryzyka równej 150 % </w:t>
            </w:r>
          </w:p>
          <w:p w:rsidR="00E86B98" w:rsidRPr="00AA1421" w:rsidRDefault="00E86B98" w:rsidP="00487A02">
            <w:pPr>
              <w:pStyle w:val="InstructionsText"/>
            </w:pPr>
            <w:r w:rsidRPr="00AA1421">
              <w:t xml:space="preserve">Art. 112 </w:t>
            </w:r>
            <w:r w:rsidRPr="00084F66">
              <w:t>lit.</w:t>
            </w:r>
            <w:r w:rsidR="00084F66" w:rsidRPr="00084F66">
              <w:t> </w:t>
            </w:r>
            <w:r w:rsidRPr="00084F66">
              <w:t>j)</w:t>
            </w:r>
            <w:r w:rsidRPr="00AA1421">
              <w:t xml:space="preserve"> CRR.</w:t>
            </w:r>
          </w:p>
          <w:p w:rsidR="00E86B98" w:rsidRPr="00AA1421" w:rsidRDefault="00E86B98" w:rsidP="00487A02">
            <w:pPr>
              <w:pStyle w:val="InstructionsText"/>
            </w:pPr>
            <w:r w:rsidRPr="00AA1421">
              <w:t>Ekspozycje ujęte w kategorii ekspozycji „ekspozycje, których dotyczy niewykonanie zobowiązania”, które uwzględnia się w tej kategorii ekspozycji, jeżeli nie dotyczyło ich niewykonanie zobowiązania.</w:t>
            </w:r>
          </w:p>
        </w:tc>
      </w:tr>
    </w:tbl>
    <w:p w:rsidR="001C7AB7" w:rsidRPr="00AA1421" w:rsidRDefault="001C7AB7">
      <w:pPr>
        <w:spacing w:before="0" w:after="0"/>
        <w:jc w:val="left"/>
        <w:rPr>
          <w:rFonts w:ascii="Times New Roman" w:hAnsi="Times New Roman"/>
          <w:bCs/>
          <w:sz w:val="24"/>
          <w:lang w:eastAsia="de-DE"/>
        </w:rPr>
      </w:pPr>
    </w:p>
    <w:p w:rsidR="001C7AB7" w:rsidRPr="00AA1421"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403631"/>
      <w:r w:rsidRPr="00AA1421">
        <w:rPr>
          <w:rFonts w:ascii="Times New Roman" w:hAnsi="Times New Roman"/>
          <w:sz w:val="24"/>
          <w:u w:val="none"/>
        </w:rPr>
        <w:t>3.3.</w:t>
      </w:r>
      <w:r w:rsidR="00D712CF" w:rsidRPr="00AA1421">
        <w:rPr>
          <w:u w:val="none"/>
        </w:rPr>
        <w:tab/>
      </w:r>
      <w:r w:rsidRPr="00AA1421">
        <w:rPr>
          <w:rFonts w:ascii="Times New Roman" w:hAnsi="Times New Roman"/>
          <w:sz w:val="24"/>
        </w:rPr>
        <w:t xml:space="preserve">Ryzyko kredytowe i ryzyko kredytowe kontrahenta oraz dostawy z późniejszym terminem rozliczenia: </w:t>
      </w:r>
      <w:bookmarkStart w:id="219" w:name="_Toc360188357"/>
      <w:r w:rsidRPr="00AA1421">
        <w:rPr>
          <w:rFonts w:ascii="Times New Roman" w:hAnsi="Times New Roman"/>
          <w:sz w:val="24"/>
        </w:rPr>
        <w:t>wymogi w zakresie funduszy własnych według metody IRB</w:t>
      </w:r>
      <w:bookmarkEnd w:id="219"/>
      <w:r w:rsidRPr="00AA1421">
        <w:rPr>
          <w:rFonts w:ascii="Times New Roman" w:hAnsi="Times New Roman"/>
          <w:sz w:val="24"/>
        </w:rPr>
        <w:t xml:space="preserve"> (CR IRB)</w:t>
      </w:r>
      <w:bookmarkEnd w:id="217"/>
      <w:bookmarkEnd w:id="218"/>
    </w:p>
    <w:p w:rsidR="001C7AB7" w:rsidRPr="00AA1421"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403632"/>
      <w:r w:rsidRPr="00AA1421">
        <w:rPr>
          <w:rFonts w:ascii="Times New Roman" w:hAnsi="Times New Roman"/>
          <w:sz w:val="24"/>
          <w:u w:val="none"/>
        </w:rPr>
        <w:t>3.3.1.</w:t>
      </w:r>
      <w:r w:rsidR="00D712CF" w:rsidRPr="00AA1421">
        <w:rPr>
          <w:u w:val="none"/>
        </w:rPr>
        <w:tab/>
      </w:r>
      <w:r w:rsidRPr="00AA1421">
        <w:rPr>
          <w:rFonts w:ascii="Times New Roman" w:hAnsi="Times New Roman"/>
          <w:sz w:val="24"/>
        </w:rPr>
        <w:t>Zakres wzoru CR IRB</w:t>
      </w:r>
      <w:bookmarkEnd w:id="220"/>
      <w:bookmarkEnd w:id="221"/>
      <w:bookmarkEnd w:id="222"/>
    </w:p>
    <w:p w:rsidR="001C7AB7" w:rsidRPr="00AA1421" w:rsidRDefault="00AA1421" w:rsidP="00487A02">
      <w:pPr>
        <w:pStyle w:val="InstructionsText2"/>
        <w:numPr>
          <w:ilvl w:val="0"/>
          <w:numId w:val="0"/>
        </w:numPr>
        <w:ind w:left="1353" w:hanging="360"/>
      </w:pPr>
      <w:fldSimple w:instr=" seq paragraphs ">
        <w:r w:rsidR="00D11E4C" w:rsidRPr="00AA1421">
          <w:rPr>
            <w:noProof/>
          </w:rPr>
          <w:t>72</w:t>
        </w:r>
      </w:fldSimple>
      <w:r w:rsidR="00D11E4C" w:rsidRPr="00AA1421">
        <w:t>.</w:t>
      </w:r>
      <w:r w:rsidR="00D11E4C" w:rsidRPr="00AA1421">
        <w:tab/>
        <w:t>Zakres wzoru CR IRB obejmuje:</w:t>
      </w:r>
    </w:p>
    <w:p w:rsidR="001C7AB7" w:rsidRPr="00AA1421" w:rsidRDefault="00125707" w:rsidP="00487A02">
      <w:pPr>
        <w:pStyle w:val="InstructionsText2"/>
        <w:numPr>
          <w:ilvl w:val="0"/>
          <w:numId w:val="0"/>
        </w:numPr>
        <w:ind w:left="1353" w:hanging="360"/>
      </w:pPr>
      <w:r w:rsidRPr="00AA1421">
        <w:t>i.</w:t>
      </w:r>
      <w:r w:rsidRPr="00AA1421">
        <w:tab/>
        <w:t>ryzyka kredytowego w portfelu bankowym, w tym:</w:t>
      </w:r>
    </w:p>
    <w:p w:rsidR="001C7AB7" w:rsidRPr="00AA1421" w:rsidRDefault="001C7AB7" w:rsidP="00487A02">
      <w:pPr>
        <w:pStyle w:val="InstructionsText2"/>
        <w:numPr>
          <w:ilvl w:val="0"/>
          <w:numId w:val="49"/>
        </w:numPr>
      </w:pPr>
      <w:r w:rsidRPr="00AA1421">
        <w:t>ryzyka kredytowego kontrahenta w portfelu bankowym;</w:t>
      </w:r>
    </w:p>
    <w:p w:rsidR="001C7AB7" w:rsidRPr="00AA1421" w:rsidRDefault="001C7AB7" w:rsidP="00487A02">
      <w:pPr>
        <w:pStyle w:val="InstructionsText2"/>
        <w:numPr>
          <w:ilvl w:val="0"/>
          <w:numId w:val="49"/>
        </w:numPr>
      </w:pPr>
      <w:r w:rsidRPr="00AA1421">
        <w:t>ryzyka rozmycia dotyczącego nabytych wierzytelności;</w:t>
      </w:r>
    </w:p>
    <w:p w:rsidR="001C7AB7" w:rsidRPr="00AA1421" w:rsidRDefault="00125707" w:rsidP="00487A02">
      <w:pPr>
        <w:pStyle w:val="InstructionsText2"/>
        <w:numPr>
          <w:ilvl w:val="0"/>
          <w:numId w:val="0"/>
        </w:numPr>
        <w:ind w:left="1353" w:hanging="360"/>
      </w:pPr>
      <w:r w:rsidRPr="00AA1421">
        <w:t>ii.</w:t>
      </w:r>
      <w:r w:rsidRPr="00AA1421">
        <w:tab/>
        <w:t>ryzyka kredytowego kontrahenta w portfelu handlowym;</w:t>
      </w:r>
    </w:p>
    <w:p w:rsidR="001C7AB7" w:rsidRPr="00AA1421" w:rsidRDefault="00125707" w:rsidP="00487A02">
      <w:pPr>
        <w:pStyle w:val="InstructionsText2"/>
        <w:numPr>
          <w:ilvl w:val="0"/>
          <w:numId w:val="0"/>
        </w:numPr>
        <w:ind w:left="1353" w:hanging="360"/>
      </w:pPr>
      <w:r w:rsidRPr="00AA1421">
        <w:t>iii.</w:t>
      </w:r>
      <w:r w:rsidRPr="00AA1421">
        <w:tab/>
        <w:t>dostaw z późniejszym terminem rozliczenia wynikających z całej działalności gospodarczej.</w:t>
      </w:r>
    </w:p>
    <w:p w:rsidR="001C7AB7" w:rsidRPr="00AA1421" w:rsidRDefault="00AA1421" w:rsidP="00487A02">
      <w:pPr>
        <w:pStyle w:val="InstructionsText2"/>
        <w:numPr>
          <w:ilvl w:val="0"/>
          <w:numId w:val="0"/>
        </w:numPr>
        <w:ind w:left="1353" w:hanging="360"/>
      </w:pPr>
      <w:fldSimple w:instr=" seq paragraphs ">
        <w:r w:rsidR="00D11E4C" w:rsidRPr="00AA1421">
          <w:rPr>
            <w:noProof/>
          </w:rPr>
          <w:t>73</w:t>
        </w:r>
      </w:fldSimple>
      <w:r w:rsidR="00D11E4C" w:rsidRPr="00AA1421">
        <w:t>.</w:t>
      </w:r>
      <w:r w:rsidR="00D11E4C" w:rsidRPr="00AA1421">
        <w:tab/>
        <w:t xml:space="preserve">Zakres tego wzoru odnosi się do ekspozycji, w odniesieniu do których kwoty ekspozycji ważonych ryzykiem oblicza się zgodnie z </w:t>
      </w:r>
      <w:r w:rsidR="00D11E4C" w:rsidRPr="00084F66">
        <w:t>art.</w:t>
      </w:r>
      <w:r w:rsidR="00084F66" w:rsidRPr="00084F66">
        <w:t> </w:t>
      </w:r>
      <w:r w:rsidR="00D11E4C" w:rsidRPr="00084F66">
        <w:t>1</w:t>
      </w:r>
      <w:r w:rsidR="00D11E4C" w:rsidRPr="00AA1421">
        <w:t xml:space="preserve">51–157 części trzeciej tytuł II rozdział 3 CRR (podejście IRB). </w:t>
      </w:r>
    </w:p>
    <w:p w:rsidR="001C7AB7" w:rsidRPr="00AA1421" w:rsidRDefault="00AA1421" w:rsidP="00487A02">
      <w:pPr>
        <w:pStyle w:val="InstructionsText2"/>
        <w:numPr>
          <w:ilvl w:val="0"/>
          <w:numId w:val="0"/>
        </w:numPr>
        <w:ind w:left="1353" w:hanging="360"/>
      </w:pPr>
      <w:fldSimple w:instr=" seq paragraphs ">
        <w:r w:rsidR="00D11E4C" w:rsidRPr="00AA1421">
          <w:rPr>
            <w:noProof/>
          </w:rPr>
          <w:t>74</w:t>
        </w:r>
      </w:fldSimple>
      <w:r w:rsidR="00D11E4C" w:rsidRPr="00AA1421">
        <w:t>.</w:t>
      </w:r>
      <w:r w:rsidR="00D11E4C" w:rsidRPr="00AA1421">
        <w:tab/>
        <w:t xml:space="preserve">Wzór CR IRB nie obejmuje następujących danych: </w:t>
      </w:r>
    </w:p>
    <w:p w:rsidR="001C7AB7" w:rsidRPr="00AA1421" w:rsidRDefault="00125707" w:rsidP="00487A02">
      <w:pPr>
        <w:pStyle w:val="InstructionsText2"/>
        <w:numPr>
          <w:ilvl w:val="0"/>
          <w:numId w:val="0"/>
        </w:numPr>
        <w:ind w:left="1353" w:hanging="360"/>
      </w:pPr>
      <w:r w:rsidRPr="00AA1421">
        <w:lastRenderedPageBreak/>
        <w:t>i.</w:t>
      </w:r>
      <w:r w:rsidRPr="00AA1421">
        <w:tab/>
        <w:t xml:space="preserve">ekspozycji kapitałowych, które zgłasza się we wzorze CR EQU IRB; </w:t>
      </w:r>
    </w:p>
    <w:p w:rsidR="001C7AB7" w:rsidRPr="00AA1421" w:rsidRDefault="00125707" w:rsidP="00487A02">
      <w:pPr>
        <w:pStyle w:val="InstructionsText2"/>
        <w:numPr>
          <w:ilvl w:val="0"/>
          <w:numId w:val="0"/>
        </w:numPr>
        <w:ind w:left="1353" w:hanging="360"/>
      </w:pPr>
      <w:r w:rsidRPr="00AA1421">
        <w:t>ii.</w:t>
      </w:r>
      <w:r w:rsidRPr="00AA1421">
        <w:tab/>
        <w:t>pozycji sekurytyzacyjnych, które zgłasza się we wzorach CE SEC lub CR SEC Szczegóły;</w:t>
      </w:r>
    </w:p>
    <w:p w:rsidR="001C7AB7" w:rsidRPr="00AA1421" w:rsidRDefault="00125707" w:rsidP="00487A02">
      <w:pPr>
        <w:pStyle w:val="InstructionsText2"/>
        <w:numPr>
          <w:ilvl w:val="0"/>
          <w:numId w:val="0"/>
        </w:numPr>
        <w:ind w:left="1353" w:hanging="360"/>
      </w:pPr>
      <w:r w:rsidRPr="00AA1421">
        <w:t>iii.</w:t>
      </w:r>
      <w:r w:rsidRPr="00AA1421">
        <w:tab/>
        <w:t xml:space="preserve"> „innych aktywów niegenerujących zobowiązania kredytowego”, o których mowa w </w:t>
      </w:r>
      <w:r w:rsidRPr="00084F66">
        <w:t>art.</w:t>
      </w:r>
      <w:r w:rsidR="00084F66" w:rsidRPr="00084F66">
        <w:t> </w:t>
      </w:r>
      <w:r w:rsidRPr="00084F66">
        <w:t>1</w:t>
      </w:r>
      <w:r w:rsidRPr="00AA1421">
        <w:t xml:space="preserve">47 </w:t>
      </w:r>
      <w:r w:rsidRPr="00084F66">
        <w:t>ust.</w:t>
      </w:r>
      <w:r w:rsidR="00084F66" w:rsidRPr="00084F66">
        <w:t> </w:t>
      </w:r>
      <w:r w:rsidRPr="00084F66">
        <w:t>2</w:t>
      </w:r>
      <w:r w:rsidRPr="00AA1421">
        <w:t xml:space="preserve"> </w:t>
      </w:r>
      <w:r w:rsidRPr="00084F66">
        <w:t>lit.</w:t>
      </w:r>
      <w:r w:rsidR="00084F66" w:rsidRPr="00084F66">
        <w:t> </w:t>
      </w:r>
      <w:r w:rsidRPr="00084F66">
        <w:t>g)</w:t>
      </w:r>
      <w:r w:rsidRPr="00AA1421">
        <w:t xml:space="preserve"> CRR. Waga ryzyka dla tej kategorii ekspozycji musi zawsze wynosić 10</w:t>
      </w:r>
      <w:r w:rsidRPr="00084F66">
        <w:t>0</w:t>
      </w:r>
      <w:r w:rsidR="00084F66" w:rsidRPr="00084F66">
        <w:t> </w:t>
      </w:r>
      <w:r w:rsidRPr="00084F66">
        <w:t>%</w:t>
      </w:r>
      <w:r w:rsidRPr="00AA1421">
        <w:t xml:space="preserve">, z wyjątkiem środków pieniężnych w kasie, równoważnych pozycji pieniężnych oraz ekspozycji, które stanowią rezydualną wartość aktywów będących przedmiotem leasingu, zgodnie z </w:t>
      </w:r>
      <w:r w:rsidRPr="00084F66">
        <w:t>art.</w:t>
      </w:r>
      <w:r w:rsidR="00084F66" w:rsidRPr="00084F66">
        <w:t> </w:t>
      </w:r>
      <w:r w:rsidRPr="00084F66">
        <w:t>1</w:t>
      </w:r>
      <w:r w:rsidRPr="00AA1421">
        <w:t>56 CRR. Kwoty ekspozycji ważonych ryzykiem dla tej kategorii ekspozycji zgłasza się bezpośrednio we wzorze CA;</w:t>
      </w:r>
    </w:p>
    <w:p w:rsidR="001C7AB7" w:rsidRPr="00AA1421" w:rsidRDefault="00125707" w:rsidP="00487A02">
      <w:pPr>
        <w:pStyle w:val="InstructionsText2"/>
        <w:numPr>
          <w:ilvl w:val="0"/>
          <w:numId w:val="0"/>
        </w:numPr>
        <w:ind w:left="1353" w:hanging="360"/>
      </w:pPr>
      <w:r w:rsidRPr="00AA1421">
        <w:t>iv.</w:t>
      </w:r>
      <w:r w:rsidRPr="00AA1421">
        <w:tab/>
        <w:t>ryzyka związanego z korektą wyceny kredytowej, które zgłasza się we wzorze dotyczącym ryzyka związanego z CVA.</w:t>
      </w:r>
    </w:p>
    <w:p w:rsidR="001C7AB7" w:rsidRPr="00AA1421" w:rsidRDefault="001C7AB7" w:rsidP="00487A02">
      <w:pPr>
        <w:pStyle w:val="InstructionsText2"/>
        <w:numPr>
          <w:ilvl w:val="0"/>
          <w:numId w:val="0"/>
        </w:numPr>
        <w:ind w:left="1353" w:hanging="360"/>
      </w:pPr>
      <w:r w:rsidRPr="00AA1421">
        <w:t xml:space="preserve">Wzór CR IRB nie wymaga podziału ekspozycji według metody IRB pod względem geograficznym według siedziby kontrahenta. Podział ten zgłasza się we wzorze CR GB. </w:t>
      </w:r>
    </w:p>
    <w:p w:rsidR="00FA641C" w:rsidRPr="00AA1421" w:rsidRDefault="00FA641C" w:rsidP="00FA641C">
      <w:pPr>
        <w:autoSpaceDE w:val="0"/>
        <w:autoSpaceDN w:val="0"/>
        <w:adjustRightInd w:val="0"/>
        <w:spacing w:before="0" w:after="240"/>
        <w:ind w:left="285" w:firstLine="708"/>
        <w:jc w:val="left"/>
        <w:rPr>
          <w:rFonts w:ascii="Times New Roman" w:hAnsi="Times New Roman"/>
          <w:sz w:val="24"/>
        </w:rPr>
      </w:pPr>
      <w:r w:rsidRPr="00AA1421">
        <w:rPr>
          <w:rFonts w:ascii="Times New Roman" w:hAnsi="Times New Roman"/>
          <w:sz w:val="24"/>
        </w:rPr>
        <w:t>Pozycje (i) i (iii) nie dotyczą wzoru CR IRB 7.</w:t>
      </w:r>
    </w:p>
    <w:p w:rsidR="001C7AB7" w:rsidRPr="00AA1421" w:rsidRDefault="00AA1421" w:rsidP="00487A02">
      <w:pPr>
        <w:pStyle w:val="InstructionsText2"/>
        <w:numPr>
          <w:ilvl w:val="0"/>
          <w:numId w:val="0"/>
        </w:numPr>
        <w:ind w:left="1353" w:hanging="360"/>
      </w:pPr>
      <w:fldSimple w:instr=" seq paragraphs ">
        <w:r w:rsidR="00D11E4C" w:rsidRPr="00AA1421">
          <w:rPr>
            <w:noProof/>
          </w:rPr>
          <w:t>75</w:t>
        </w:r>
      </w:fldSimple>
      <w:r w:rsidR="00D11E4C" w:rsidRPr="00AA1421">
        <w:t>.</w:t>
      </w:r>
      <w:r w:rsidR="00D11E4C" w:rsidRPr="00AA1421">
        <w:tab/>
        <w:t>Aby wyjaśnić, czy instytucja korzysta ze swoich własnych oszacowań LGD lub współczynników konwersji kredytowej, w odniesieniu do każdej kategorii ekspozycji podaje się następujące informacje:</w:t>
      </w:r>
    </w:p>
    <w:p w:rsidR="001C7AB7" w:rsidRPr="00AA1421" w:rsidRDefault="001C7AB7" w:rsidP="00167619">
      <w:pPr>
        <w:autoSpaceDE w:val="0"/>
        <w:autoSpaceDN w:val="0"/>
        <w:adjustRightInd w:val="0"/>
        <w:spacing w:before="0" w:after="240"/>
        <w:ind w:left="993"/>
        <w:jc w:val="left"/>
        <w:rPr>
          <w:rFonts w:ascii="Times New Roman" w:hAnsi="Times New Roman"/>
          <w:sz w:val="24"/>
        </w:rPr>
      </w:pPr>
      <w:r w:rsidRPr="00AA1421">
        <w:rPr>
          <w:rFonts w:ascii="Times New Roman" w:hAnsi="Times New Roman"/>
          <w:sz w:val="24"/>
        </w:rPr>
        <w:t>„NIE” = w przypadku stosowania oszacowań LGD według metody nadzorczej oraz współczynników konwersji kredytowej (podstawowa metoda IRB)</w:t>
      </w:r>
    </w:p>
    <w:p w:rsidR="001C7AB7" w:rsidRPr="00AA1421" w:rsidRDefault="001C7AB7" w:rsidP="00AF3C69">
      <w:pPr>
        <w:autoSpaceDE w:val="0"/>
        <w:autoSpaceDN w:val="0"/>
        <w:adjustRightInd w:val="0"/>
        <w:spacing w:before="0" w:after="240"/>
        <w:ind w:left="993"/>
        <w:jc w:val="left"/>
        <w:rPr>
          <w:rFonts w:ascii="Times New Roman" w:hAnsi="Times New Roman"/>
          <w:sz w:val="24"/>
        </w:rPr>
      </w:pPr>
      <w:r w:rsidRPr="00AA1421">
        <w:rPr>
          <w:rFonts w:ascii="Times New Roman" w:hAnsi="Times New Roman"/>
          <w:sz w:val="24"/>
        </w:rPr>
        <w:t>„TAK” = w przypadku niestosowania oszacowań LGD według metody nadzorczej oraz współczynników konwersji kredytowej (zaawansowana metoda IRB) Obejmuje to wszystkie portfele ekspozycji detalicznych.</w:t>
      </w:r>
    </w:p>
    <w:p w:rsidR="001C7AB7" w:rsidRPr="00AA1421" w:rsidRDefault="001C7AB7" w:rsidP="00167619">
      <w:pPr>
        <w:autoSpaceDE w:val="0"/>
        <w:autoSpaceDN w:val="0"/>
        <w:adjustRightInd w:val="0"/>
        <w:spacing w:before="0" w:after="240"/>
        <w:ind w:left="993"/>
        <w:jc w:val="left"/>
        <w:rPr>
          <w:rFonts w:ascii="Times New Roman" w:hAnsi="Times New Roman"/>
          <w:sz w:val="24"/>
        </w:rPr>
      </w:pPr>
      <w:r w:rsidRPr="00AA1421">
        <w:rPr>
          <w:rFonts w:ascii="Times New Roman" w:hAnsi="Times New Roman"/>
          <w:sz w:val="24"/>
        </w:rPr>
        <w:t xml:space="preserve">Jeżeli w przypadku części swoich ekspozycji według metody IRB instytucja korzysta z własnych oszacowań LGD do obliczenia </w:t>
      </w:r>
      <w:r w:rsidRPr="00AA1421">
        <w:rPr>
          <w:rStyle w:val="InstructionsTabelleText"/>
          <w:rFonts w:ascii="Times New Roman" w:hAnsi="Times New Roman"/>
          <w:sz w:val="24"/>
        </w:rPr>
        <w:t>kwot ekspozycji ważonych ryzykiem</w:t>
      </w:r>
      <w:r w:rsidRPr="00AA1421">
        <w:rPr>
          <w:rFonts w:ascii="Times New Roman" w:hAnsi="Times New Roman"/>
          <w:sz w:val="24"/>
        </w:rPr>
        <w:t xml:space="preserve">, a także z oszacowań LGD według metody nadzorczej w celu obliczenia </w:t>
      </w:r>
      <w:r w:rsidRPr="00AA1421">
        <w:rPr>
          <w:rStyle w:val="InstructionsTabelleText"/>
          <w:rFonts w:ascii="Times New Roman" w:hAnsi="Times New Roman"/>
          <w:sz w:val="24"/>
        </w:rPr>
        <w:t>kwot ekspozycji ważonych ryzykiem</w:t>
      </w:r>
      <w:r w:rsidRPr="00AA1421">
        <w:rPr>
          <w:rFonts w:ascii="Times New Roman" w:hAnsi="Times New Roman"/>
          <w:sz w:val="24"/>
        </w:rPr>
        <w:t xml:space="preserve"> w odniesieniu do innej części swoich ekspozycji według metody IRB, należy zgłosić wartość ekspozycji całkowitej we wzorze CR IRB dla pozycji F-IRB oraz dla pozycji A-IRB.</w:t>
      </w:r>
    </w:p>
    <w:p w:rsidR="001C7AB7" w:rsidRPr="00AA1421"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403633"/>
      <w:r w:rsidRPr="00AA1421">
        <w:rPr>
          <w:rFonts w:ascii="Times New Roman" w:hAnsi="Times New Roman"/>
          <w:sz w:val="24"/>
          <w:u w:val="none"/>
        </w:rPr>
        <w:t>3.3.2.</w:t>
      </w:r>
      <w:r w:rsidR="00D712CF" w:rsidRPr="00AA1421">
        <w:rPr>
          <w:u w:val="none"/>
        </w:rPr>
        <w:tab/>
      </w:r>
      <w:r w:rsidRPr="00AA1421">
        <w:rPr>
          <w:rFonts w:ascii="Times New Roman" w:hAnsi="Times New Roman"/>
          <w:sz w:val="24"/>
        </w:rPr>
        <w:t>Podział wzoru CR IRB</w:t>
      </w:r>
      <w:bookmarkEnd w:id="223"/>
      <w:bookmarkEnd w:id="224"/>
      <w:bookmarkEnd w:id="225"/>
      <w:bookmarkEnd w:id="226"/>
      <w:bookmarkEnd w:id="227"/>
      <w:bookmarkEnd w:id="228"/>
      <w:bookmarkEnd w:id="229"/>
      <w:bookmarkEnd w:id="230"/>
    </w:p>
    <w:p w:rsidR="001C7AB7" w:rsidRPr="00AA1421" w:rsidRDefault="00AA1421" w:rsidP="00487A02">
      <w:pPr>
        <w:pStyle w:val="InstructionsText2"/>
        <w:numPr>
          <w:ilvl w:val="0"/>
          <w:numId w:val="0"/>
        </w:numPr>
        <w:ind w:left="1353" w:hanging="360"/>
      </w:pPr>
      <w:fldSimple w:instr=" seq paragraphs ">
        <w:r w:rsidR="00D11E4C" w:rsidRPr="00AA1421">
          <w:rPr>
            <w:noProof/>
          </w:rPr>
          <w:t>76</w:t>
        </w:r>
      </w:fldSimple>
      <w:r w:rsidR="00D11E4C" w:rsidRPr="00AA1421">
        <w:t>.</w:t>
      </w:r>
      <w:r w:rsidR="00D11E4C" w:rsidRPr="00AA1421">
        <w:tab/>
        <w:t xml:space="preserve">Wzór CR IRB składa się z siedmiu wzorów. Wzór CR IRB 1 zawiera ogólny przegląd ekspozycji według metody IRB i różnych metod obliczania kwot ekspozycji ważonych ryzykiem, a także podział ekspozycji całkowitych według rodzajów ekspozycji. Wzór CR IRB 2 zawiera podział ekspozycji całkowitych przypisanych klasom jakości lub pulom dłużników (ekspozycje zgłaszane w wierszu 0070 wzoru CR IRB 1). Wzór CR IRB 3 zawiera wszystkie istotne parametry wykorzystywane do obliczenia wymogów kapitałowych z tytułu ryzyka kredytowego dla modeli IRB. Wzór CR IRB 4 zawiera rachunek przepływów wyjaśniający zmiany kwot ekspozycji ważonych ryzykiem ustalanych na podstawie metody wewnętrznych ratingów dla ryzyka kredytowego. Wzór CR IRB 5 </w:t>
      </w:r>
      <w:r w:rsidR="00D11E4C" w:rsidRPr="00AA1421">
        <w:lastRenderedPageBreak/>
        <w:t xml:space="preserve">zawiera informacje dotyczące wyników weryfikacji historycznej wartości PD dla zgłaszanych modeli. Wzór CR IRB 6 zawiera wszystkie istotne parametry wykorzystywane do obliczenia wymogów kapitałowych z tytułu ryzyka kredytowego według kryteriów klasyfikacji kredytowania specjalistycznego. Wzór CR IRB 7 zawiera przegląd odsetka wartości ekspozycji objętej metodą standardową lub metodą IRB dla każdej odpowiedniej kategorii ekspozycji. Wzory CR IRB 1, CR IRB 2, CR IRB 3 i CR IRB 5 zgłasza się oddzielnie w odniesieniu do następujących kategorii ekspozycji lub </w:t>
      </w:r>
      <w:proofErr w:type="spellStart"/>
      <w:r w:rsidR="00D11E4C" w:rsidRPr="00AA1421">
        <w:t>subekspozycji</w:t>
      </w:r>
      <w:proofErr w:type="spellEnd"/>
      <w:r w:rsidR="00D11E4C" w:rsidRPr="00AA1421">
        <w:t>:</w:t>
      </w:r>
    </w:p>
    <w:p w:rsidR="001C7AB7" w:rsidRPr="00AA1421" w:rsidRDefault="001C7AB7" w:rsidP="001C7AB7">
      <w:pPr>
        <w:autoSpaceDE w:val="0"/>
        <w:autoSpaceDN w:val="0"/>
        <w:adjustRightInd w:val="0"/>
        <w:spacing w:before="0" w:after="0"/>
        <w:ind w:left="1428" w:hanging="720"/>
        <w:jc w:val="left"/>
        <w:rPr>
          <w:rFonts w:ascii="Times New Roman" w:hAnsi="Times New Roman"/>
          <w:sz w:val="24"/>
        </w:rPr>
      </w:pPr>
      <w:r w:rsidRPr="00AA1421">
        <w:rPr>
          <w:rFonts w:ascii="Times New Roman" w:hAnsi="Times New Roman"/>
          <w:sz w:val="24"/>
        </w:rPr>
        <w:t>1)</w:t>
      </w:r>
      <w:r w:rsidRPr="00AA1421">
        <w:tab/>
      </w:r>
      <w:r w:rsidRPr="00AA1421">
        <w:rPr>
          <w:rFonts w:ascii="Times New Roman" w:hAnsi="Times New Roman"/>
          <w:sz w:val="24"/>
        </w:rPr>
        <w:t>razem</w:t>
      </w:r>
    </w:p>
    <w:p w:rsidR="001C7AB7" w:rsidRPr="00AA1421" w:rsidRDefault="001C7AB7" w:rsidP="001C7AB7">
      <w:pPr>
        <w:autoSpaceDE w:val="0"/>
        <w:autoSpaceDN w:val="0"/>
        <w:adjustRightInd w:val="0"/>
        <w:spacing w:before="0" w:after="0"/>
        <w:ind w:left="1428" w:hanging="720"/>
        <w:jc w:val="left"/>
        <w:rPr>
          <w:rFonts w:ascii="Times New Roman" w:hAnsi="Times New Roman"/>
          <w:sz w:val="24"/>
        </w:rPr>
      </w:pPr>
      <w:r w:rsidRPr="00AA1421">
        <w:tab/>
      </w:r>
      <w:r w:rsidRPr="00AA1421">
        <w:rPr>
          <w:rFonts w:ascii="Times New Roman" w:hAnsi="Times New Roman"/>
          <w:sz w:val="24"/>
        </w:rPr>
        <w:t>(wzór dotyczący wartości całkowitych należy zgłaszać w odniesieniu do podstawowej metody IRB oraz oddzielnie w przypadku zaawansowanej metody IRB);</w:t>
      </w:r>
    </w:p>
    <w:p w:rsidR="001C7AB7" w:rsidRPr="00AA1421" w:rsidRDefault="001C7AB7" w:rsidP="001C7AB7">
      <w:pPr>
        <w:autoSpaceDE w:val="0"/>
        <w:autoSpaceDN w:val="0"/>
        <w:adjustRightInd w:val="0"/>
        <w:spacing w:before="0" w:after="0"/>
        <w:ind w:left="1428" w:hanging="720"/>
        <w:jc w:val="left"/>
        <w:rPr>
          <w:rFonts w:ascii="Times New Roman" w:hAnsi="Times New Roman"/>
          <w:sz w:val="24"/>
        </w:rPr>
      </w:pPr>
      <w:r w:rsidRPr="00AA1421">
        <w:rPr>
          <w:rFonts w:ascii="Times New Roman" w:hAnsi="Times New Roman"/>
          <w:sz w:val="24"/>
        </w:rPr>
        <w:t>2)</w:t>
      </w:r>
      <w:r w:rsidRPr="00AA1421">
        <w:tab/>
      </w:r>
      <w:r w:rsidRPr="00AA1421">
        <w:rPr>
          <w:rFonts w:ascii="Times New Roman" w:hAnsi="Times New Roman"/>
          <w:sz w:val="24"/>
        </w:rPr>
        <w:t xml:space="preserve">ekspozycje wobec rządów centralnych i banków centralnych </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1C7AB7" w:rsidRPr="00AA1421" w:rsidRDefault="001C7AB7" w:rsidP="001C7AB7">
      <w:pPr>
        <w:autoSpaceDE w:val="0"/>
        <w:autoSpaceDN w:val="0"/>
        <w:adjustRightInd w:val="0"/>
        <w:spacing w:before="0" w:after="0"/>
        <w:ind w:left="708"/>
        <w:rPr>
          <w:rFonts w:ascii="Times New Roman" w:hAnsi="Times New Roman"/>
          <w:sz w:val="24"/>
        </w:rPr>
      </w:pPr>
      <w:r w:rsidRPr="00AA1421">
        <w:rPr>
          <w:rFonts w:ascii="Times New Roman" w:hAnsi="Times New Roman"/>
          <w:sz w:val="24"/>
        </w:rPr>
        <w:t>3)</w:t>
      </w:r>
      <w:r w:rsidRPr="00AA1421">
        <w:tab/>
      </w:r>
      <w:r w:rsidRPr="00AA1421">
        <w:rPr>
          <w:rFonts w:ascii="Times New Roman" w:hAnsi="Times New Roman"/>
          <w:sz w:val="24"/>
        </w:rPr>
        <w:t>ekspozycje wobec instytucji</w:t>
      </w:r>
    </w:p>
    <w:p w:rsidR="001C7AB7" w:rsidRPr="00AA1421" w:rsidRDefault="001C7AB7" w:rsidP="001C7AB7">
      <w:pPr>
        <w:autoSpaceDE w:val="0"/>
        <w:autoSpaceDN w:val="0"/>
        <w:adjustRightInd w:val="0"/>
        <w:spacing w:before="0" w:after="0"/>
        <w:ind w:left="708" w:firstLine="720"/>
        <w:rPr>
          <w:rFonts w:ascii="Times New Roman" w:hAnsi="Times New Roman"/>
          <w:sz w:val="24"/>
        </w:rPr>
      </w:pPr>
      <w:r w:rsidRPr="00AA1421">
        <w:rPr>
          <w:rFonts w:ascii="Times New Roman" w:hAnsi="Times New Roman"/>
          <w:sz w:val="24"/>
        </w:rPr>
        <w:t>(</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1C7AB7" w:rsidRPr="00AA1421" w:rsidRDefault="001C7AB7" w:rsidP="001C7AB7">
      <w:pPr>
        <w:autoSpaceDE w:val="0"/>
        <w:autoSpaceDN w:val="0"/>
        <w:adjustRightInd w:val="0"/>
        <w:spacing w:before="0" w:after="0"/>
        <w:ind w:left="1428" w:hanging="720"/>
        <w:jc w:val="left"/>
        <w:rPr>
          <w:rFonts w:ascii="Times New Roman" w:hAnsi="Times New Roman"/>
          <w:sz w:val="24"/>
        </w:rPr>
      </w:pPr>
      <w:r w:rsidRPr="00AA1421">
        <w:rPr>
          <w:rFonts w:ascii="Times New Roman" w:hAnsi="Times New Roman"/>
          <w:sz w:val="24"/>
        </w:rPr>
        <w:t>4.1)</w:t>
      </w:r>
      <w:r w:rsidRPr="00AA1421">
        <w:tab/>
      </w:r>
      <w:r w:rsidRPr="00AA1421">
        <w:rPr>
          <w:rFonts w:ascii="Times New Roman" w:hAnsi="Times New Roman"/>
          <w:sz w:val="24"/>
        </w:rPr>
        <w:t>ekspozycje wobec przedsiębiorstw – MŚP</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Na potrzeby zaklasyfikowania do tej kategorii </w:t>
      </w:r>
      <w:proofErr w:type="spellStart"/>
      <w:r w:rsidRPr="00AA1421">
        <w:rPr>
          <w:rFonts w:ascii="Times New Roman" w:hAnsi="Times New Roman"/>
          <w:sz w:val="24"/>
        </w:rPr>
        <w:t>subekspozycji</w:t>
      </w:r>
      <w:proofErr w:type="spellEnd"/>
      <w:r w:rsidRPr="00AA1421">
        <w:rPr>
          <w:rFonts w:ascii="Times New Roman" w:hAnsi="Times New Roman"/>
          <w:sz w:val="24"/>
        </w:rPr>
        <w:t xml:space="preserve"> jednostki sprawozdawcze stosują swoją wewnętrzną definicję MŚP wykorzystywaną w wewnętrznych procesach zarządzania ryzykiem. </w:t>
      </w:r>
    </w:p>
    <w:p w:rsidR="001C7AB7" w:rsidRPr="00AA1421" w:rsidRDefault="001C7AB7" w:rsidP="001C7AB7">
      <w:pPr>
        <w:autoSpaceDE w:val="0"/>
        <w:autoSpaceDN w:val="0"/>
        <w:adjustRightInd w:val="0"/>
        <w:spacing w:before="0" w:after="0"/>
        <w:ind w:left="708"/>
        <w:jc w:val="left"/>
        <w:rPr>
          <w:rFonts w:ascii="Times New Roman" w:hAnsi="Times New Roman"/>
          <w:sz w:val="24"/>
        </w:rPr>
      </w:pPr>
      <w:r w:rsidRPr="00AA1421">
        <w:rPr>
          <w:rFonts w:ascii="Times New Roman" w:hAnsi="Times New Roman"/>
          <w:sz w:val="24"/>
        </w:rPr>
        <w:t>4.2)</w:t>
      </w:r>
      <w:r w:rsidRPr="00AA1421">
        <w:tab/>
      </w:r>
      <w:r w:rsidRPr="00AA1421">
        <w:rPr>
          <w:rFonts w:ascii="Times New Roman" w:hAnsi="Times New Roman"/>
          <w:sz w:val="24"/>
        </w:rPr>
        <w:t>ekspozycje wobec przedsiębiorstw – kredytowanie specjalistyczne</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CRR);</w:t>
      </w:r>
    </w:p>
    <w:p w:rsidR="001C7AB7" w:rsidRPr="00AA1421" w:rsidRDefault="001C7AB7" w:rsidP="001C7AB7">
      <w:pPr>
        <w:autoSpaceDE w:val="0"/>
        <w:autoSpaceDN w:val="0"/>
        <w:adjustRightInd w:val="0"/>
        <w:spacing w:before="0" w:after="0"/>
        <w:ind w:left="708"/>
        <w:jc w:val="left"/>
        <w:rPr>
          <w:rFonts w:ascii="Times New Roman" w:hAnsi="Times New Roman"/>
          <w:sz w:val="24"/>
        </w:rPr>
      </w:pPr>
      <w:r w:rsidRPr="00AA1421">
        <w:rPr>
          <w:rFonts w:ascii="Times New Roman" w:hAnsi="Times New Roman"/>
          <w:sz w:val="24"/>
        </w:rPr>
        <w:t>4.3)</w:t>
      </w:r>
      <w:r w:rsidRPr="00AA1421">
        <w:tab/>
      </w:r>
      <w:r w:rsidRPr="00AA1421">
        <w:rPr>
          <w:rFonts w:ascii="Times New Roman" w:hAnsi="Times New Roman"/>
          <w:sz w:val="24"/>
        </w:rPr>
        <w:t xml:space="preserve">ekspozycje wobec przedsiębiorstw – inne </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 xml:space="preserve">(wszystkie ekspozycje wobec przedsiębiorstw,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niezgłoszone w pozycji 4.1 i 4.2);</w:t>
      </w:r>
    </w:p>
    <w:p w:rsidR="001C7AB7" w:rsidRPr="00AA1421" w:rsidRDefault="001C7AB7" w:rsidP="001C7AB7">
      <w:pPr>
        <w:autoSpaceDE w:val="0"/>
        <w:autoSpaceDN w:val="0"/>
        <w:adjustRightInd w:val="0"/>
        <w:spacing w:before="0" w:after="0"/>
        <w:ind w:left="708"/>
        <w:jc w:val="left"/>
        <w:rPr>
          <w:rFonts w:ascii="Times New Roman" w:hAnsi="Times New Roman"/>
          <w:sz w:val="24"/>
        </w:rPr>
      </w:pPr>
      <w:r w:rsidRPr="00AA1421">
        <w:rPr>
          <w:rFonts w:ascii="Times New Roman" w:hAnsi="Times New Roman"/>
          <w:sz w:val="24"/>
        </w:rPr>
        <w:t>5.1)</w:t>
      </w:r>
      <w:r w:rsidRPr="00AA1421">
        <w:tab/>
      </w:r>
      <w:r w:rsidRPr="00AA1421">
        <w:rPr>
          <w:rFonts w:ascii="Times New Roman" w:hAnsi="Times New Roman"/>
          <w:sz w:val="24"/>
        </w:rPr>
        <w:t>ekspozycje detaliczne – wobec MŚP zabezpieczone nieruchomością</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które są zabezpieczone nieruchomością); Na potrzeby zaklasyfikowania do tej kategorii </w:t>
      </w:r>
      <w:proofErr w:type="spellStart"/>
      <w:r w:rsidRPr="00AA1421">
        <w:rPr>
          <w:rFonts w:ascii="Times New Roman" w:hAnsi="Times New Roman"/>
          <w:sz w:val="24"/>
        </w:rPr>
        <w:t>subekspozycji</w:t>
      </w:r>
      <w:proofErr w:type="spellEnd"/>
      <w:r w:rsidRPr="00AA1421">
        <w:rPr>
          <w:rFonts w:ascii="Times New Roman" w:hAnsi="Times New Roman"/>
          <w:sz w:val="24"/>
        </w:rPr>
        <w:t xml:space="preserve"> jednostki sprawozdawcze stosują swoją wewnętrzną definicję MŚP wykorzystywaną w wewnętrznych procesach zarządzania ryzykiem.</w:t>
      </w:r>
    </w:p>
    <w:p w:rsidR="001C7AB7" w:rsidRPr="00AA1421" w:rsidRDefault="001C7AB7" w:rsidP="001C7AB7">
      <w:pPr>
        <w:autoSpaceDE w:val="0"/>
        <w:autoSpaceDN w:val="0"/>
        <w:adjustRightInd w:val="0"/>
        <w:spacing w:before="0" w:after="0"/>
        <w:ind w:left="708"/>
        <w:jc w:val="left"/>
        <w:rPr>
          <w:rFonts w:ascii="Times New Roman" w:hAnsi="Times New Roman"/>
          <w:sz w:val="24"/>
        </w:rPr>
      </w:pPr>
      <w:r w:rsidRPr="00AA1421">
        <w:rPr>
          <w:rFonts w:ascii="Times New Roman" w:hAnsi="Times New Roman"/>
          <w:sz w:val="24"/>
        </w:rPr>
        <w:t>5.2)</w:t>
      </w:r>
      <w:r w:rsidRPr="00AA1421">
        <w:tab/>
      </w:r>
      <w:r w:rsidRPr="00AA1421">
        <w:rPr>
          <w:rFonts w:ascii="Times New Roman" w:hAnsi="Times New Roman"/>
          <w:sz w:val="24"/>
        </w:rPr>
        <w:t>ekspozycje detaliczne – ekspozycje zabezpieczone nieruchomością wobec podmiotów niebędących MŚP</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które zabezpieczone są nieruchomością i nie są zgłoszone w pozycji 5.1);</w:t>
      </w:r>
    </w:p>
    <w:p w:rsidR="008304E8" w:rsidRPr="00AA1421" w:rsidRDefault="008304E8" w:rsidP="008304E8">
      <w:pPr>
        <w:autoSpaceDE w:val="0"/>
        <w:autoSpaceDN w:val="0"/>
        <w:adjustRightInd w:val="0"/>
        <w:spacing w:before="0" w:after="0"/>
        <w:ind w:left="1416"/>
        <w:rPr>
          <w:rFonts w:ascii="Times New Roman" w:hAnsi="Times New Roman"/>
          <w:sz w:val="24"/>
        </w:rPr>
      </w:pPr>
      <w:r w:rsidRPr="00AA1421">
        <w:rPr>
          <w:rFonts w:ascii="Times New Roman" w:hAnsi="Times New Roman"/>
          <w:sz w:val="24"/>
        </w:rPr>
        <w:t xml:space="preserve">W pozycjach 5.1 i 5.2 za ekspozycje detaliczne zabezpieczone nieruchomościami uznaje się wszelkie ekspozycje detaliczne zabezpieczone nieruchomościami uznanymi za zabezpieczenie, niezależnie od stosunku wartości zabezpieczenia do wartości ekspozycji lub od celu pożyczki. </w:t>
      </w:r>
    </w:p>
    <w:p w:rsidR="001C7AB7" w:rsidRPr="00AA1421" w:rsidRDefault="001C7AB7" w:rsidP="001C7AB7">
      <w:pPr>
        <w:autoSpaceDE w:val="0"/>
        <w:autoSpaceDN w:val="0"/>
        <w:adjustRightInd w:val="0"/>
        <w:spacing w:before="0" w:after="0"/>
        <w:ind w:left="708"/>
        <w:jc w:val="left"/>
        <w:rPr>
          <w:rFonts w:ascii="Times New Roman" w:hAnsi="Times New Roman"/>
          <w:sz w:val="24"/>
        </w:rPr>
      </w:pPr>
      <w:r w:rsidRPr="00AA1421">
        <w:rPr>
          <w:rFonts w:ascii="Times New Roman" w:hAnsi="Times New Roman"/>
          <w:sz w:val="24"/>
        </w:rPr>
        <w:t>5.3)</w:t>
      </w:r>
      <w:r w:rsidRPr="00AA1421">
        <w:tab/>
      </w:r>
      <w:r w:rsidRPr="00AA1421">
        <w:rPr>
          <w:rFonts w:ascii="Times New Roman" w:hAnsi="Times New Roman"/>
          <w:sz w:val="24"/>
        </w:rPr>
        <w:t>kwalifikowane odnawialne ekspozycje detaliczne</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w:t>
      </w:r>
    </w:p>
    <w:p w:rsidR="001C7AB7" w:rsidRPr="00AA1421" w:rsidRDefault="001C7AB7" w:rsidP="001C7AB7">
      <w:pPr>
        <w:autoSpaceDE w:val="0"/>
        <w:autoSpaceDN w:val="0"/>
        <w:adjustRightInd w:val="0"/>
        <w:spacing w:before="0" w:after="0"/>
        <w:ind w:left="708"/>
        <w:jc w:val="left"/>
        <w:rPr>
          <w:rFonts w:ascii="Times New Roman" w:hAnsi="Times New Roman"/>
          <w:sz w:val="24"/>
        </w:rPr>
      </w:pPr>
      <w:r w:rsidRPr="00AA1421">
        <w:rPr>
          <w:rFonts w:ascii="Times New Roman" w:hAnsi="Times New Roman"/>
          <w:sz w:val="24"/>
        </w:rPr>
        <w:t>5.4)</w:t>
      </w:r>
      <w:r w:rsidRPr="00AA1421">
        <w:tab/>
      </w:r>
      <w:r w:rsidRPr="00AA1421">
        <w:rPr>
          <w:rFonts w:ascii="Times New Roman" w:hAnsi="Times New Roman"/>
          <w:sz w:val="24"/>
        </w:rPr>
        <w:t>ekspozycje detaliczne – inne ekspozycje wobec MŚP</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niezgłoszone w pozycji 5.1 i 5.3); Na potrzeby zaklasyfikowania do tej kategorii </w:t>
      </w:r>
      <w:proofErr w:type="spellStart"/>
      <w:r w:rsidRPr="00AA1421">
        <w:rPr>
          <w:rFonts w:ascii="Times New Roman" w:hAnsi="Times New Roman"/>
          <w:sz w:val="24"/>
        </w:rPr>
        <w:t>subekspozycji</w:t>
      </w:r>
      <w:proofErr w:type="spellEnd"/>
      <w:r w:rsidRPr="00AA1421">
        <w:rPr>
          <w:rFonts w:ascii="Times New Roman" w:hAnsi="Times New Roman"/>
          <w:sz w:val="24"/>
        </w:rPr>
        <w:t xml:space="preserve"> jednostki sprawozdawcze stosują swoją wewnętrzną definicję MŚP wykorzystywaną w wewnętrznych procesach zarządzania ryzykiem.</w:t>
      </w:r>
    </w:p>
    <w:p w:rsidR="001C7AB7" w:rsidRPr="00AA1421"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AA1421">
        <w:rPr>
          <w:rFonts w:ascii="Times New Roman" w:hAnsi="Times New Roman"/>
          <w:sz w:val="24"/>
        </w:rPr>
        <w:t>5.5)</w:t>
      </w:r>
      <w:r w:rsidRPr="00AA1421">
        <w:tab/>
      </w:r>
      <w:r w:rsidRPr="00AA1421">
        <w:rPr>
          <w:rFonts w:ascii="Times New Roman" w:hAnsi="Times New Roman"/>
          <w:sz w:val="24"/>
        </w:rPr>
        <w:t>ekspozycje detaliczne – inne ekspozycje wobec przedsiębiorstw niebędących MŚP</w:t>
      </w:r>
    </w:p>
    <w:p w:rsidR="001C7AB7" w:rsidRPr="00AA1421" w:rsidRDefault="001C7AB7" w:rsidP="001C7AB7">
      <w:pPr>
        <w:autoSpaceDE w:val="0"/>
        <w:autoSpaceDN w:val="0"/>
        <w:adjustRightInd w:val="0"/>
        <w:spacing w:before="0" w:after="0"/>
        <w:ind w:left="1428"/>
        <w:jc w:val="left"/>
        <w:rPr>
          <w:rFonts w:ascii="Times New Roman" w:hAnsi="Times New Roman"/>
          <w:sz w:val="24"/>
        </w:rPr>
      </w:pPr>
      <w:r w:rsidRPr="00AA1421">
        <w:rPr>
          <w:rFonts w:ascii="Times New Roman" w:hAnsi="Times New Roman"/>
          <w:sz w:val="24"/>
        </w:rPr>
        <w:lastRenderedPageBreak/>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których nie zgłoszono w pozycji 5.2 i 5.3).</w:t>
      </w:r>
    </w:p>
    <w:p w:rsidR="001C7AB7" w:rsidRPr="00AA1421" w:rsidRDefault="001C7AB7" w:rsidP="001C7AB7">
      <w:pPr>
        <w:autoSpaceDE w:val="0"/>
        <w:autoSpaceDN w:val="0"/>
        <w:adjustRightInd w:val="0"/>
        <w:spacing w:before="0" w:after="240"/>
        <w:jc w:val="left"/>
        <w:rPr>
          <w:rFonts w:ascii="Times New Roman" w:hAnsi="Times New Roman"/>
          <w:sz w:val="24"/>
          <w:lang w:eastAsia="de-DE"/>
        </w:rPr>
      </w:pPr>
    </w:p>
    <w:p w:rsidR="00206687" w:rsidRPr="00AA1421"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58403634"/>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sidRPr="00AA1421">
        <w:rPr>
          <w:rFonts w:ascii="Times New Roman" w:hAnsi="Times New Roman"/>
          <w:sz w:val="24"/>
          <w:u w:val="none"/>
        </w:rPr>
        <w:t>3.3.3.</w:t>
      </w:r>
      <w:r w:rsidR="00D712CF" w:rsidRPr="00AA1421">
        <w:rPr>
          <w:u w:val="none"/>
        </w:rPr>
        <w:tab/>
      </w:r>
      <w:r w:rsidRPr="00AA1421">
        <w:rPr>
          <w:rFonts w:ascii="Times New Roman" w:hAnsi="Times New Roman"/>
          <w:sz w:val="24"/>
        </w:rPr>
        <w:t>C 08.01 – Ryzyko kredytowe i ryzyko kredytowe kontrahenta oraz dostawy z późniejszym terminem rozliczenia: wymogi kapitałowe według metody IRB (CR IRB 1)</w:t>
      </w:r>
      <w:bookmarkEnd w:id="231"/>
      <w:bookmarkEnd w:id="232"/>
    </w:p>
    <w:p w:rsidR="001C7AB7" w:rsidRPr="00AA1421"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403635"/>
      <w:r w:rsidRPr="00AA1421">
        <w:rPr>
          <w:rFonts w:ascii="Times New Roman" w:hAnsi="Times New Roman"/>
          <w:sz w:val="24"/>
          <w:u w:val="none"/>
        </w:rPr>
        <w:t>3.3.3.1</w:t>
      </w:r>
      <w:r w:rsidR="00D712CF" w:rsidRPr="00AA1421">
        <w:rPr>
          <w:u w:val="none"/>
        </w:rPr>
        <w:tab/>
      </w:r>
      <w:r w:rsidRPr="00AA1421">
        <w:rPr>
          <w:rFonts w:ascii="Times New Roman" w:hAnsi="Times New Roman"/>
          <w:sz w:val="24"/>
        </w:rPr>
        <w:t>Instrukcje dotyczące poszczególnych pozycji</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AA1421" w:rsidTr="00672D2A">
        <w:tc>
          <w:tcPr>
            <w:tcW w:w="1188" w:type="dxa"/>
            <w:shd w:val="clear" w:color="auto" w:fill="CCCCCC"/>
          </w:tcPr>
          <w:p w:rsidR="001C7AB7" w:rsidRPr="00AA1421" w:rsidRDefault="001C7AB7" w:rsidP="001C7AB7">
            <w:pPr>
              <w:rPr>
                <w:rFonts w:ascii="Times New Roman" w:hAnsi="Times New Roman"/>
                <w:sz w:val="24"/>
              </w:rPr>
            </w:pPr>
            <w:r w:rsidRPr="00AA1421">
              <w:rPr>
                <w:rFonts w:ascii="Times New Roman" w:hAnsi="Times New Roman"/>
                <w:sz w:val="24"/>
              </w:rPr>
              <w:t>Kolumny</w:t>
            </w:r>
          </w:p>
        </w:tc>
        <w:tc>
          <w:tcPr>
            <w:tcW w:w="8843" w:type="dxa"/>
            <w:shd w:val="clear" w:color="auto" w:fill="CCCCCC"/>
          </w:tcPr>
          <w:p w:rsidR="001C7AB7" w:rsidRPr="00AA1421" w:rsidRDefault="001C7AB7" w:rsidP="001C7AB7">
            <w:pPr>
              <w:rPr>
                <w:rFonts w:ascii="Times New Roman" w:hAnsi="Times New Roman"/>
                <w:sz w:val="24"/>
              </w:rPr>
            </w:pPr>
            <w:r w:rsidRPr="00AA1421">
              <w:rPr>
                <w:rFonts w:ascii="Times New Roman" w:hAnsi="Times New Roman"/>
                <w:sz w:val="24"/>
              </w:rPr>
              <w:t>Instrukcje</w:t>
            </w:r>
          </w:p>
        </w:tc>
      </w:tr>
      <w:tr w:rsidR="001C7AB7" w:rsidRPr="00AA1421" w:rsidTr="00672D2A">
        <w:tc>
          <w:tcPr>
            <w:tcW w:w="1188" w:type="dxa"/>
          </w:tcPr>
          <w:p w:rsidR="001C7AB7" w:rsidRPr="00AA1421" w:rsidRDefault="001C7AB7" w:rsidP="001C7AB7">
            <w:pPr>
              <w:rPr>
                <w:rFonts w:ascii="Times New Roman" w:hAnsi="Times New Roman"/>
                <w:sz w:val="24"/>
              </w:rPr>
            </w:pPr>
            <w:r w:rsidRPr="00AA1421">
              <w:rPr>
                <w:rFonts w:ascii="Times New Roman" w:hAnsi="Times New Roman"/>
                <w:sz w:val="24"/>
              </w:rPr>
              <w:t>0010</w:t>
            </w:r>
          </w:p>
        </w:tc>
        <w:tc>
          <w:tcPr>
            <w:tcW w:w="8843" w:type="dxa"/>
          </w:tcPr>
          <w:p w:rsidR="001C7AB7" w:rsidRPr="00AA1421" w:rsidRDefault="001C7AB7" w:rsidP="001C7AB7">
            <w:pPr>
              <w:rPr>
                <w:rStyle w:val="InstructionsTabelleberschrift"/>
                <w:rFonts w:ascii="Times New Roman" w:hAnsi="Times New Roman"/>
                <w:sz w:val="24"/>
              </w:rPr>
            </w:pPr>
            <w:r w:rsidRPr="00AA1421">
              <w:rPr>
                <w:rStyle w:val="InstructionsTabelleberschrift"/>
                <w:rFonts w:ascii="Times New Roman" w:hAnsi="Times New Roman"/>
                <w:sz w:val="24"/>
              </w:rPr>
              <w:t>SKALA RATINGU WEWNĘTRZNEGO/PD PRZYPISANE KLASIE JAKOŚCI LUB PULI DŁUŻNIKA (%)</w:t>
            </w:r>
          </w:p>
          <w:p w:rsidR="001C7AB7" w:rsidRPr="00AA1421" w:rsidRDefault="001C7AB7" w:rsidP="001C7AB7">
            <w:pPr>
              <w:rPr>
                <w:rFonts w:ascii="Times New Roman" w:hAnsi="Times New Roman"/>
                <w:sz w:val="24"/>
              </w:rPr>
            </w:pPr>
            <w:r w:rsidRPr="00AA1421">
              <w:rPr>
                <w:rStyle w:val="InstructionsTabelleText"/>
                <w:rFonts w:ascii="Times New Roman" w:hAnsi="Times New Roman"/>
                <w:sz w:val="24"/>
              </w:rPr>
              <w:t xml:space="preserve">PD przypisane klasie jakości lub puli dłużnika, które należy zgłosić, oparte są na przepisach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80 CRR. Dla każdej indywidualnej klasy jakości lub puli dłużnika zgłasza się PD przypisane określonej klasie jakości lub puli dłużnika. W przypadku danych liczbowych odpowiadających zagregowaniu klas jakości lub pul dłużnika (np. „ekspozycje całkowite”) zgłasza się średnią wartość PD ważoną ekspozycją, która to wartość jest przypisana zagregowanym klasom jakości lub pulom dłużnika. Wartość ekspozycji (kolumna 0110) wykorzystuje się do obliczenia średniej wartości PD ważonej ekspozycją</w:t>
            </w:r>
            <w:r w:rsidRPr="00AA1421">
              <w:rPr>
                <w:rFonts w:ascii="Times New Roman" w:hAnsi="Times New Roman"/>
                <w:sz w:val="24"/>
              </w:rPr>
              <w:t>.</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Dla każdej indywidualnej klasy jakości lub puli dłużnika zgłasza się PD przypisane określonej klasie jakości lub puli dłużnika. Wszystkie zgłoszone parametry ryzyka są oparte na parametrach ryzyka wykorzystywanych w skali ratingu wewnętrznego zatwierdzonej przez właściwy organ.</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 xml:space="preserve">Posiadanie wzorca nadzoru nie jest ani zamierzone, ani pożądane. Jeżeli instytucja sprawozdająca stosuje niepowtarzalną skalę ratingową lub ma możliwość zgłaszania danych zgodnie z wewnętrznym wzorcem, wówczas wykorzystuje się ten wzorzec. </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W innym przypadku łączy się różne skale ratingu i szereguje je zgodnie z następującymi kryteriami: klasy jakości dłużnika z różnych skali ratingowych łączy się i szereguje od najniższego PD przypisanego każdej klasie jakości dłużnika do najwyższego. Jeżeli instytucja stosuje dużą liczbę klas jakości i pul, może uzgodnić z właściwym organem zgłaszanie ograniczonej liczby klas i pul. To samo dotyczy ciągłych skali ratingowych: z właściwym organem uzgadnia się zgłaszanie ograniczonej liczby klas.</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Jeżeli instytucje chcą zgłaszać inną liczbę klas jakości niż stosowana na poziomie wewnętrznym, wcześniej kontaktują się w tej kwestii z właściwym organem.</w:t>
            </w:r>
          </w:p>
          <w:p w:rsidR="006C35BA" w:rsidRPr="00AA1421" w:rsidRDefault="006C35BA" w:rsidP="001C7AB7">
            <w:pPr>
              <w:rPr>
                <w:rStyle w:val="InstructionsTabelleText"/>
                <w:rFonts w:ascii="Times New Roman" w:hAnsi="Times New Roman"/>
                <w:sz w:val="24"/>
              </w:rPr>
            </w:pPr>
            <w:r w:rsidRPr="00AA1421">
              <w:rPr>
                <w:rStyle w:val="InstructionsTabelleText"/>
                <w:rFonts w:ascii="Times New Roman" w:hAnsi="Times New Roman"/>
                <w:sz w:val="24"/>
              </w:rPr>
              <w:t>Ostatnia klasa ratingowa lub ostatnie klasy ratingowe przeznaczone są dla ekspozycji, których dotyczy niewykonanie zobowiązania, o PD wynoszącym 10</w:t>
            </w:r>
            <w:r w:rsidRPr="00084F66">
              <w:rPr>
                <w:rStyle w:val="InstructionsTabelleText"/>
                <w:rFonts w:ascii="Times New Roman" w:hAnsi="Times New Roman"/>
                <w:sz w:val="24"/>
              </w:rPr>
              <w:t>0</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w:t>
            </w:r>
            <w:r w:rsidRPr="00AA1421">
              <w:rPr>
                <w:rStyle w:val="InstructionsTabelleText"/>
                <w:rFonts w:ascii="Times New Roman" w:hAnsi="Times New Roman"/>
                <w:sz w:val="24"/>
              </w:rPr>
              <w:t>.</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Do celów ważenia średniej wartości PD wykorzystuje się wartość ekspozycji zgłoszoną w kolumnie 110. Średnią wartość PD ważoną ekspozycją oblicza się z uwzględnieniem wszystkich ekspozycji zgłoszonych w danym wierszu. W wierszu, w którym zgłasza się wyłącznie ekspozycje, których dotyczy niewykonanie zobowiązania, średnia wartość PD wynosi 10</w:t>
            </w:r>
            <w:r w:rsidRPr="00084F66">
              <w:rPr>
                <w:rStyle w:val="InstructionsTabelleText"/>
                <w:rFonts w:ascii="Times New Roman" w:hAnsi="Times New Roman"/>
                <w:sz w:val="24"/>
              </w:rPr>
              <w:t>0</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w:t>
            </w:r>
            <w:r w:rsidRPr="00AA1421">
              <w:rPr>
                <w:rStyle w:val="InstructionsTabelleText"/>
                <w:rFonts w:ascii="Times New Roman" w:hAnsi="Times New Roman"/>
                <w:sz w:val="24"/>
              </w:rPr>
              <w:t>.</w:t>
            </w:r>
          </w:p>
          <w:p w:rsidR="001C7AB7" w:rsidRPr="00AA1421" w:rsidRDefault="001C7AB7" w:rsidP="001C7AB7">
            <w:pPr>
              <w:rPr>
                <w:rFonts w:ascii="Times New Roman" w:hAnsi="Times New Roman"/>
                <w:sz w:val="24"/>
              </w:rPr>
            </w:pP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t>0020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PIERWOTNA EKSPOZYCJA PRZED UWZGLĘDNIENIEM WSPÓŁCZYNNIKÓW KONWERSJI</w:t>
            </w:r>
          </w:p>
          <w:p w:rsidR="001C7AB7" w:rsidRPr="00AA1421" w:rsidRDefault="001C7AB7" w:rsidP="001C7AB7">
            <w:pPr>
              <w:rPr>
                <w:rFonts w:ascii="Times New Roman" w:hAnsi="Times New Roman"/>
                <w:sz w:val="24"/>
              </w:rPr>
            </w:pPr>
            <w:r w:rsidRPr="00AA1421">
              <w:rPr>
                <w:rFonts w:ascii="Times New Roman" w:hAnsi="Times New Roman"/>
                <w:sz w:val="24"/>
              </w:rPr>
              <w:lastRenderedPageBreak/>
              <w:t xml:space="preserve">Instytucje zgłaszają wartość ekspozycji przed uwzględnieniem korekt wartości, rezerw, efektów technik ograniczania ryzyka kredytowego lub współczynników konwersji kredytowej. </w:t>
            </w:r>
          </w:p>
          <w:p w:rsidR="001C7AB7" w:rsidRPr="00AA1421" w:rsidRDefault="001C7AB7" w:rsidP="001C7AB7">
            <w:pPr>
              <w:rPr>
                <w:rFonts w:ascii="Times New Roman" w:hAnsi="Times New Roman"/>
                <w:sz w:val="24"/>
              </w:rPr>
            </w:pPr>
            <w:r w:rsidRPr="00AA1421">
              <w:rPr>
                <w:rFonts w:ascii="Times New Roman" w:hAnsi="Times New Roman"/>
                <w:sz w:val="24"/>
              </w:rPr>
              <w:t xml:space="preserve">Wartość pierwotnej ekspozycji zgłaszana jest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 CRR oraz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2, 4, 5, 6 i 7 CRR.</w:t>
            </w:r>
          </w:p>
          <w:p w:rsidR="001C7AB7" w:rsidRPr="00AA1421" w:rsidRDefault="001C7AB7" w:rsidP="001C7AB7">
            <w:pPr>
              <w:rPr>
                <w:rFonts w:ascii="Times New Roman" w:hAnsi="Times New Roman"/>
                <w:sz w:val="24"/>
              </w:rPr>
            </w:pPr>
            <w:r w:rsidRPr="00AA1421">
              <w:rPr>
                <w:rFonts w:ascii="Times New Roman" w:hAnsi="Times New Roman"/>
                <w:sz w:val="24"/>
              </w:rPr>
              <w:t xml:space="preserve">Efekty wynikające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(efekty umów o kompensowaniu pozycji bilansowych obejmujących kredyty i depozyty) zgłasza się oddzielnie jako ochronę kredytową rzeczywistą, a tym samym nie obniżają one pierwotnej ekspozycji. </w:t>
            </w:r>
          </w:p>
          <w:p w:rsidR="001C7AB7" w:rsidRPr="00AA1421" w:rsidRDefault="006C35BA" w:rsidP="006C35BA">
            <w:pPr>
              <w:rPr>
                <w:rFonts w:ascii="Times New Roman" w:hAnsi="Times New Roman"/>
                <w:sz w:val="24"/>
              </w:rPr>
            </w:pPr>
            <w:r w:rsidRPr="00AA1421">
              <w:rPr>
                <w:rFonts w:ascii="Times New Roman" w:hAnsi="Times New Roman"/>
                <w:sz w:val="24"/>
              </w:rPr>
              <w:t xml:space="preserve">W przypadku instrumentów pochodnych, transakcji odkupu, transakcji udzielania lub zaciągania pożyczek papierów wartościowych lub towarów, transakcji z długim terminem rozliczenia oraz transakcji z obowiązkiem uzupełnienia zabezpieczenia kredytowego podlegających ryzyku kredytowemu kontrahenta (część trzecia tytuł II rozdziały 4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pierwotna ekspozycja odpowiada wartości ekspozycji wynikającej z ryzyka kredytowego kontrahenta (zob. instrukcje do kolumny 0130).</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lastRenderedPageBreak/>
              <w:t>0030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W TYM: DUŻE PODMIOTY SEKTORA FINANSOWEGO ORAZ NIEREGULOWANE PODMIOTY FINANSOWE</w:t>
            </w:r>
          </w:p>
          <w:p w:rsidR="001C7AB7" w:rsidRPr="00AA1421" w:rsidRDefault="001C7AB7" w:rsidP="002E5096">
            <w:pPr>
              <w:rPr>
                <w:rFonts w:ascii="Times New Roman" w:hAnsi="Times New Roman"/>
                <w:b/>
                <w:sz w:val="24"/>
                <w:u w:val="single"/>
              </w:rPr>
            </w:pPr>
            <w:r w:rsidRPr="00AA1421">
              <w:rPr>
                <w:rFonts w:ascii="Times New Roman" w:hAnsi="Times New Roman"/>
                <w:sz w:val="24"/>
              </w:rPr>
              <w:t xml:space="preserve">Podział pierwotnej ekspozycji przed uwzględnieniem współczynników konwersji w odniesieniu do wszystkich ekspozycji podmiotów,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i 5 CRR, z zastrzeżeniem wyższego współczynnika korelacji określonego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1C7AB7" w:rsidRPr="00AA1421" w:rsidTr="00672D2A">
        <w:tc>
          <w:tcPr>
            <w:tcW w:w="1188" w:type="dxa"/>
          </w:tcPr>
          <w:p w:rsidR="001C7AB7" w:rsidRPr="00AA1421" w:rsidRDefault="001C7AB7" w:rsidP="004F2B30">
            <w:pPr>
              <w:rPr>
                <w:rFonts w:ascii="Times New Roman" w:hAnsi="Times New Roman"/>
                <w:sz w:val="24"/>
              </w:rPr>
            </w:pPr>
            <w:r w:rsidRPr="00AA1421">
              <w:rPr>
                <w:rFonts w:ascii="Times New Roman" w:hAnsi="Times New Roman"/>
                <w:sz w:val="24"/>
              </w:rPr>
              <w:t>0040-0080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TECHNIKI OGRANICZANIA RYZYKA KREDYTOWEGO Z UWZGLĘDNIENIEM EFEKTÓW SUBSTYTUCYJNYCH W ODNIESIENIU DO EKSPOZYCJI</w:t>
            </w:r>
          </w:p>
          <w:p w:rsidR="001C7AB7" w:rsidRPr="00AA1421" w:rsidRDefault="001C7AB7" w:rsidP="001C7AB7">
            <w:pPr>
              <w:rPr>
                <w:rFonts w:ascii="Times New Roman" w:hAnsi="Times New Roman"/>
                <w:sz w:val="24"/>
              </w:rPr>
            </w:pPr>
            <w:r w:rsidRPr="00AA1421">
              <w:rPr>
                <w:rFonts w:ascii="Times New Roman" w:hAnsi="Times New Roman"/>
                <w:sz w:val="24"/>
              </w:rPr>
              <w:t xml:space="preserve">Ograniczanie ryzyka kredytowego zdefiniowane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7 CRR, które zmniejsza ryzyko kredytowe z tytułu ekspozycji poprzez substytucję ekspozycji określonych poniżej w pozycji „SUBSTYTUCJA EKSPOZYCJI W WYNIKU OGRANICZANIA RYZYKA KREDYTOWEGO”.</w:t>
            </w:r>
          </w:p>
          <w:p w:rsidR="001C7AB7" w:rsidRPr="00AA1421" w:rsidRDefault="001C7AB7" w:rsidP="001C7AB7">
            <w:pPr>
              <w:autoSpaceDE w:val="0"/>
              <w:autoSpaceDN w:val="0"/>
              <w:adjustRightInd w:val="0"/>
              <w:spacing w:before="0" w:after="0"/>
              <w:jc w:val="left"/>
              <w:rPr>
                <w:rFonts w:ascii="Times New Roman" w:hAnsi="Times New Roman"/>
                <w:sz w:val="24"/>
              </w:rPr>
            </w:pPr>
          </w:p>
        </w:tc>
      </w:tr>
      <w:tr w:rsidR="001C7AB7" w:rsidRPr="00AA1421" w:rsidTr="00672D2A">
        <w:tc>
          <w:tcPr>
            <w:tcW w:w="1188" w:type="dxa"/>
          </w:tcPr>
          <w:p w:rsidR="001C7AB7" w:rsidRPr="00AA1421" w:rsidRDefault="001C7AB7" w:rsidP="004F2B30">
            <w:pPr>
              <w:rPr>
                <w:rFonts w:ascii="Times New Roman" w:hAnsi="Times New Roman"/>
                <w:sz w:val="24"/>
              </w:rPr>
            </w:pPr>
            <w:r w:rsidRPr="00AA1421">
              <w:rPr>
                <w:rFonts w:ascii="Times New Roman" w:hAnsi="Times New Roman"/>
                <w:sz w:val="24"/>
              </w:rPr>
              <w:t>0040-0050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OCHRONA KREDYTOWA NIERZECZYWISTA</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 xml:space="preserve">Nierzeczywista ochrona kredytowa zdefiniowana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9 CRR.</w:t>
            </w:r>
          </w:p>
          <w:p w:rsidR="001C7AB7" w:rsidRPr="00AA1421" w:rsidRDefault="005474CB" w:rsidP="00BD6DB9">
            <w:pPr>
              <w:rPr>
                <w:rFonts w:ascii="Times New Roman" w:hAnsi="Times New Roman"/>
                <w:sz w:val="24"/>
              </w:rPr>
            </w:pPr>
            <w:r w:rsidRPr="00AA1421">
              <w:rPr>
                <w:rFonts w:ascii="Times New Roman" w:hAnsi="Times New Roman"/>
                <w:sz w:val="24"/>
              </w:rPr>
              <w:t>Nierzeczywista ochrona kredytowa, która ma wpływ na ekspozycję (np. stosowana do celów technik ograniczania ryzyka kredytowego z uwzględnieniem efektów substytucyjnych w odniesieniu do ekspozycji), jest ograniczona do wartości ekspozycji.</w:t>
            </w:r>
          </w:p>
        </w:tc>
      </w:tr>
      <w:tr w:rsidR="001C7AB7" w:rsidRPr="00AA1421" w:rsidTr="00672D2A">
        <w:tc>
          <w:tcPr>
            <w:tcW w:w="1188" w:type="dxa"/>
          </w:tcPr>
          <w:p w:rsidR="001C7AB7" w:rsidRPr="00AA1421" w:rsidRDefault="001C7AB7" w:rsidP="001C7AB7">
            <w:pPr>
              <w:rPr>
                <w:rFonts w:ascii="Times New Roman" w:hAnsi="Times New Roman"/>
                <w:sz w:val="24"/>
              </w:rPr>
            </w:pPr>
            <w:r w:rsidRPr="00AA1421">
              <w:rPr>
                <w:rFonts w:ascii="Times New Roman" w:hAnsi="Times New Roman"/>
                <w:sz w:val="24"/>
              </w:rPr>
              <w:t>0040</w:t>
            </w:r>
          </w:p>
        </w:tc>
        <w:tc>
          <w:tcPr>
            <w:tcW w:w="8843" w:type="dxa"/>
          </w:tcPr>
          <w:p w:rsidR="001C7AB7" w:rsidRPr="00AA1421" w:rsidRDefault="001C7AB7" w:rsidP="001C7AB7">
            <w:pPr>
              <w:jc w:val="left"/>
              <w:rPr>
                <w:rStyle w:val="InstructionsTabelleberschrift"/>
                <w:rFonts w:ascii="Times New Roman" w:hAnsi="Times New Roman"/>
                <w:sz w:val="24"/>
              </w:rPr>
            </w:pPr>
            <w:r w:rsidRPr="00AA1421">
              <w:rPr>
                <w:rStyle w:val="InstructionsTabelleberschrift"/>
                <w:rFonts w:ascii="Times New Roman" w:hAnsi="Times New Roman"/>
                <w:sz w:val="24"/>
              </w:rPr>
              <w:t>GWARANCJE:</w:t>
            </w:r>
          </w:p>
          <w:p w:rsidR="001C7AB7" w:rsidRPr="00AA1421" w:rsidRDefault="001C7AB7" w:rsidP="001C7AB7">
            <w:pPr>
              <w:jc w:val="left"/>
              <w:rPr>
                <w:rFonts w:ascii="Times New Roman" w:hAnsi="Times New Roman"/>
                <w:sz w:val="24"/>
              </w:rPr>
            </w:pPr>
            <w:r w:rsidRPr="00AA1421">
              <w:rPr>
                <w:rFonts w:ascii="Times New Roman" w:hAnsi="Times New Roman"/>
                <w:sz w:val="24"/>
              </w:rPr>
              <w:t>W przypadku niestosowania własnych oszacowań LGD przedstawia się wartość skorygowaną (G</w:t>
            </w:r>
            <w:r w:rsidRPr="00AA1421">
              <w:rPr>
                <w:rFonts w:ascii="Times New Roman" w:hAnsi="Times New Roman"/>
                <w:sz w:val="24"/>
                <w:vertAlign w:val="subscript"/>
              </w:rPr>
              <w:t>A</w:t>
            </w:r>
            <w:r w:rsidRPr="00AA1421">
              <w:rPr>
                <w:rFonts w:ascii="Times New Roman" w:hAnsi="Times New Roman"/>
                <w:sz w:val="24"/>
              </w:rPr>
              <w:t xml:space="preserve">) zdefiniowaną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w:t>
            </w:r>
          </w:p>
          <w:p w:rsidR="001C7AB7" w:rsidRPr="00AA1421" w:rsidRDefault="001C7AB7" w:rsidP="001C7AB7">
            <w:pPr>
              <w:jc w:val="left"/>
              <w:rPr>
                <w:rFonts w:ascii="Times New Roman" w:hAnsi="Times New Roman"/>
                <w:sz w:val="24"/>
              </w:rPr>
            </w:pPr>
            <w:r w:rsidRPr="00AA1421">
              <w:rPr>
                <w:rFonts w:ascii="Times New Roman" w:hAnsi="Times New Roman"/>
                <w:sz w:val="24"/>
              </w:rPr>
              <w:t xml:space="preserve">W przypadku stosowania własnych oszacowań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83 CRR (z wyłączeniem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zgłasza się odpowiednią wartość wykorzystaną w modelu wewnętrznym. </w:t>
            </w:r>
          </w:p>
          <w:p w:rsidR="001C7AB7" w:rsidRPr="00AA1421" w:rsidRDefault="001C7AB7" w:rsidP="001C7AB7">
            <w:pPr>
              <w:jc w:val="left"/>
              <w:rPr>
                <w:rFonts w:ascii="Times New Roman" w:hAnsi="Times New Roman"/>
                <w:sz w:val="24"/>
              </w:rPr>
            </w:pPr>
            <w:r w:rsidRPr="00AA1421">
              <w:rPr>
                <w:rFonts w:ascii="Times New Roman" w:hAnsi="Times New Roman"/>
                <w:sz w:val="24"/>
              </w:rPr>
              <w:t>Gwarancje zgłasza się w kolumnie 0040, jeżeli nie dokonano korekty LGD. W przypadku dokonania korekty LGD kwotę gwarancji zgłasza się w kolumnie 0150.</w:t>
            </w:r>
          </w:p>
          <w:p w:rsidR="00785F3E" w:rsidRPr="00AA1421" w:rsidRDefault="00785F3E" w:rsidP="001C7AB7">
            <w:pPr>
              <w:jc w:val="left"/>
              <w:rPr>
                <w:rFonts w:ascii="Times New Roman" w:hAnsi="Times New Roman"/>
                <w:sz w:val="24"/>
              </w:rPr>
            </w:pPr>
            <w:r w:rsidRPr="00AA1421">
              <w:rPr>
                <w:rFonts w:ascii="Times New Roman" w:hAnsi="Times New Roman"/>
                <w:sz w:val="24"/>
              </w:rPr>
              <w:t>W odniesieniu do ekspozycji z uwzględnieniem ujęcia podwójnego niewykonania zobowiązania wartość ochrony kredytowej nierzeczywistej zgłaszana jest w kolumnie 0220.</w:t>
            </w:r>
          </w:p>
          <w:p w:rsidR="001C7AB7" w:rsidRPr="00AA1421" w:rsidRDefault="001C7AB7" w:rsidP="001C7AB7">
            <w:pPr>
              <w:jc w:val="left"/>
              <w:rPr>
                <w:rFonts w:ascii="Times New Roman" w:hAnsi="Times New Roman"/>
                <w:sz w:val="24"/>
              </w:rPr>
            </w:pPr>
          </w:p>
        </w:tc>
      </w:tr>
      <w:tr w:rsidR="001C7AB7" w:rsidRPr="00AA1421" w:rsidTr="00672D2A">
        <w:tc>
          <w:tcPr>
            <w:tcW w:w="1188" w:type="dxa"/>
          </w:tcPr>
          <w:p w:rsidR="001C7AB7" w:rsidRPr="00AA1421" w:rsidRDefault="001C7AB7" w:rsidP="001C7AB7">
            <w:pPr>
              <w:rPr>
                <w:rFonts w:ascii="Times New Roman" w:hAnsi="Times New Roman"/>
                <w:sz w:val="24"/>
              </w:rPr>
            </w:pPr>
            <w:r w:rsidRPr="00AA1421">
              <w:rPr>
                <w:rFonts w:ascii="Times New Roman" w:hAnsi="Times New Roman"/>
                <w:sz w:val="24"/>
              </w:rPr>
              <w:lastRenderedPageBreak/>
              <w:t>0050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KREDYTOWE INSTRUMENTY POCHODNE:</w:t>
            </w:r>
          </w:p>
          <w:p w:rsidR="001C7AB7" w:rsidRPr="00AA1421" w:rsidRDefault="001C7AB7" w:rsidP="001C7AB7">
            <w:pPr>
              <w:rPr>
                <w:rFonts w:ascii="Times New Roman" w:hAnsi="Times New Roman"/>
                <w:sz w:val="24"/>
              </w:rPr>
            </w:pPr>
            <w:r w:rsidRPr="00AA1421">
              <w:rPr>
                <w:rFonts w:ascii="Times New Roman" w:hAnsi="Times New Roman"/>
                <w:sz w:val="24"/>
              </w:rPr>
              <w:t>W przypadku niestosowania własnych oszacowań LGD przedstawia się wartość skorygowaną (G</w:t>
            </w:r>
            <w:r w:rsidRPr="00AA1421">
              <w:rPr>
                <w:rFonts w:ascii="Times New Roman" w:hAnsi="Times New Roman"/>
                <w:sz w:val="24"/>
                <w:vertAlign w:val="subscript"/>
              </w:rPr>
              <w:t>A</w:t>
            </w:r>
            <w:r w:rsidRPr="00AA1421">
              <w:rPr>
                <w:rFonts w:ascii="Times New Roman" w:hAnsi="Times New Roman"/>
                <w:sz w:val="24"/>
              </w:rPr>
              <w:t xml:space="preserve">) zdefiniowaną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t>
            </w:r>
          </w:p>
          <w:p w:rsidR="00785F3E" w:rsidRPr="00AA1421" w:rsidRDefault="00785F3E" w:rsidP="001C7AB7">
            <w:pPr>
              <w:rPr>
                <w:rFonts w:ascii="Times New Roman" w:hAnsi="Times New Roman"/>
                <w:sz w:val="24"/>
              </w:rPr>
            </w:pPr>
            <w:r w:rsidRPr="00AA1421">
              <w:rPr>
                <w:rFonts w:ascii="Times New Roman" w:hAnsi="Times New Roman"/>
                <w:sz w:val="24"/>
              </w:rPr>
              <w:t xml:space="preserve">W przypadku stosowania własnych oszacowań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zgłasza się odpowiednią wartość wykorzystaną w modelu wewnętrznym.</w:t>
            </w:r>
          </w:p>
          <w:p w:rsidR="001C7AB7" w:rsidRPr="00AA1421" w:rsidRDefault="001C7AB7" w:rsidP="001C7AB7">
            <w:pPr>
              <w:rPr>
                <w:rFonts w:ascii="Times New Roman" w:hAnsi="Times New Roman"/>
                <w:sz w:val="24"/>
              </w:rPr>
            </w:pPr>
            <w:r w:rsidRPr="00AA1421">
              <w:rPr>
                <w:rFonts w:ascii="Times New Roman" w:hAnsi="Times New Roman"/>
                <w:sz w:val="24"/>
              </w:rPr>
              <w:t>W przypadku dokonania korekty LGD kwotę kredytowych instrumentów pochodnych zgłasza się w kolumnie 0160.</w:t>
            </w:r>
          </w:p>
          <w:p w:rsidR="001C7AB7" w:rsidRPr="00AA1421" w:rsidRDefault="001C7AB7" w:rsidP="00785F3E">
            <w:pPr>
              <w:jc w:val="left"/>
              <w:rPr>
                <w:rFonts w:ascii="Times New Roman" w:hAnsi="Times New Roman"/>
                <w:sz w:val="24"/>
              </w:rPr>
            </w:pPr>
            <w:r w:rsidRPr="00AA1421">
              <w:rPr>
                <w:rFonts w:ascii="Times New Roman" w:hAnsi="Times New Roman"/>
                <w:sz w:val="24"/>
              </w:rPr>
              <w:t>W odniesieniu do ekspozycji z uwzględnieniem ujęcia podwójnego niewykonania zobowiązania wartość ochrony kredytowej nierzeczywistej zgłaszana jest w kolumnie 0220.</w:t>
            </w:r>
          </w:p>
        </w:tc>
      </w:tr>
      <w:tr w:rsidR="001C7AB7" w:rsidRPr="00AA1421" w:rsidTr="00672D2A">
        <w:tc>
          <w:tcPr>
            <w:tcW w:w="1188" w:type="dxa"/>
          </w:tcPr>
          <w:p w:rsidR="001C7AB7" w:rsidRPr="00AA1421" w:rsidRDefault="001C7AB7" w:rsidP="001C7AB7">
            <w:pPr>
              <w:rPr>
                <w:rFonts w:ascii="Times New Roman" w:hAnsi="Times New Roman"/>
                <w:sz w:val="24"/>
              </w:rPr>
            </w:pPr>
            <w:r w:rsidRPr="00AA1421">
              <w:rPr>
                <w:rFonts w:ascii="Times New Roman" w:hAnsi="Times New Roman"/>
                <w:sz w:val="24"/>
              </w:rPr>
              <w:t>0060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INNE RODZAJE OCHRONY KREDYTOWEJ RZECZYWISTEJ</w:t>
            </w:r>
          </w:p>
          <w:p w:rsidR="00785F3E" w:rsidRPr="00AA1421" w:rsidRDefault="00BD6DB9" w:rsidP="001C7AB7">
            <w:pPr>
              <w:rPr>
                <w:rStyle w:val="InstructionsTabelleText"/>
                <w:rFonts w:ascii="Times New Roman" w:hAnsi="Times New Roman"/>
                <w:sz w:val="24"/>
              </w:rPr>
            </w:pPr>
            <w:r w:rsidRPr="00AA1421">
              <w:rPr>
                <w:rStyle w:val="InstructionsTabelleText"/>
                <w:rFonts w:ascii="Times New Roman" w:hAnsi="Times New Roman"/>
                <w:sz w:val="24"/>
              </w:rPr>
              <w:t xml:space="preserve">Zabezpieczenie, które ma wpływ na wartość PD ekspozycji, jest ograniczone do wartości </w:t>
            </w:r>
            <w:r w:rsidRPr="00AA1421">
              <w:rPr>
                <w:rFonts w:ascii="Times New Roman" w:hAnsi="Times New Roman"/>
                <w:sz w:val="24"/>
              </w:rPr>
              <w:t>pierwotnej ekspozycji przed uwzględnieniem współczynników konwersji</w:t>
            </w:r>
            <w:r w:rsidRPr="00AA1421">
              <w:rPr>
                <w:rStyle w:val="InstructionsTabelleText"/>
                <w:rFonts w:ascii="Times New Roman" w:hAnsi="Times New Roman"/>
                <w:sz w:val="24"/>
              </w:rPr>
              <w:t>.</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 xml:space="preserve">W przypadku niestosowania własnych oszacowań LGD zastosowanie ma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32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W przypadku stosowania własnych oszacowań LGD zgłasza się techniki ograniczania ryzyka kredytowego, które mają wpływ na wartość PD. Zgłasza się odpowiednią wartość nominalną lub rynkową.</w:t>
            </w:r>
          </w:p>
          <w:p w:rsidR="001C7AB7" w:rsidRPr="00AA1421" w:rsidRDefault="001C7AB7" w:rsidP="00A94F5F">
            <w:pPr>
              <w:rPr>
                <w:rFonts w:ascii="Times New Roman" w:hAnsi="Times New Roman"/>
                <w:sz w:val="24"/>
              </w:rPr>
            </w:pPr>
            <w:r w:rsidRPr="00AA1421">
              <w:rPr>
                <w:rStyle w:val="InstructionsTabelleText"/>
                <w:rFonts w:ascii="Times New Roman" w:hAnsi="Times New Roman"/>
                <w:sz w:val="24"/>
              </w:rPr>
              <w:t>W przypadku dokonania korekty LGD kwotę tę zgłasza się w kolumnie 170.</w:t>
            </w:r>
          </w:p>
        </w:tc>
      </w:tr>
      <w:tr w:rsidR="001C7AB7" w:rsidRPr="00AA1421" w:rsidTr="00672D2A">
        <w:tc>
          <w:tcPr>
            <w:tcW w:w="1188" w:type="dxa"/>
          </w:tcPr>
          <w:p w:rsidR="001C7AB7" w:rsidRPr="00AA1421" w:rsidRDefault="001C7AB7" w:rsidP="001C7AB7">
            <w:pPr>
              <w:rPr>
                <w:rFonts w:ascii="Times New Roman" w:hAnsi="Times New Roman"/>
                <w:sz w:val="24"/>
              </w:rPr>
            </w:pPr>
            <w:r w:rsidRPr="00AA1421">
              <w:rPr>
                <w:rFonts w:ascii="Times New Roman" w:hAnsi="Times New Roman"/>
                <w:sz w:val="24"/>
              </w:rPr>
              <w:t>0070-0080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SUBSTYTUCJA EKSPOZYCJI W WYNIKU OGRANICZANIA RYZYKA KREDYTOWEGO</w:t>
            </w:r>
          </w:p>
          <w:p w:rsidR="001C7AB7" w:rsidRPr="00AA1421" w:rsidRDefault="001C7AB7" w:rsidP="001C7AB7">
            <w:pPr>
              <w:rPr>
                <w:rFonts w:ascii="Times New Roman" w:hAnsi="Times New Roman"/>
                <w:sz w:val="24"/>
              </w:rPr>
            </w:pPr>
            <w:r w:rsidRPr="00AA1421">
              <w:rPr>
                <w:rFonts w:ascii="Times New Roman" w:hAnsi="Times New Roman"/>
                <w:sz w:val="24"/>
              </w:rPr>
              <w:t>Wypływy odpowiadają zabezpieczonej części pierwotnej ekspozycji przed uwzględnieniem współczynników konwersji, którą to część odlicza się od kategorii ekspozycji dłużnika i, w stosownych przypadkach, od klasy jakości lub puli dłużnika, a następnie przypisuje kategorii ekspozycji gwaranta i, w stosownych przypadkach, klasie jakości lub puli dłużnika. Kwotę tę uznaje się za wpływ do kategorii ekspozycji gwaranta i, w stosownych przypadkach, do klas jakości lub pul dłużnika.</w:t>
            </w:r>
          </w:p>
          <w:p w:rsidR="001C7AB7" w:rsidRPr="00AA1421" w:rsidRDefault="001C7AB7" w:rsidP="001C7AB7">
            <w:pPr>
              <w:rPr>
                <w:rFonts w:ascii="Times New Roman" w:hAnsi="Times New Roman"/>
                <w:b/>
                <w:sz w:val="24"/>
              </w:rPr>
            </w:pPr>
            <w:r w:rsidRPr="00AA1421">
              <w:rPr>
                <w:rFonts w:ascii="Times New Roman" w:hAnsi="Times New Roman"/>
                <w:sz w:val="24"/>
              </w:rPr>
              <w:t>Uwzględnia się również wpływy i wypływy w obrębie tych samych kategorii ekspozycji i, w stosownych przypadkach, klas jakości lub pul dłużnika.</w:t>
            </w:r>
          </w:p>
          <w:p w:rsidR="001C7AB7" w:rsidRPr="00AA1421" w:rsidRDefault="001C7AB7" w:rsidP="001C7AB7">
            <w:pPr>
              <w:rPr>
                <w:rFonts w:ascii="Times New Roman" w:hAnsi="Times New Roman"/>
                <w:sz w:val="24"/>
              </w:rPr>
            </w:pPr>
            <w:r w:rsidRPr="00AA1421">
              <w:rPr>
                <w:rFonts w:ascii="Times New Roman" w:hAnsi="Times New Roman"/>
                <w:sz w:val="24"/>
              </w:rPr>
              <w:t>Uwzględnia się ekspozycje wynikające z ewentualnych wpływów i wypływów w odniesieniu do innych wzorów.</w:t>
            </w:r>
          </w:p>
          <w:p w:rsidR="006C35BA" w:rsidRPr="00AA1421" w:rsidRDefault="006C35BA" w:rsidP="009A4399">
            <w:pPr>
              <w:rPr>
                <w:rFonts w:ascii="Times New Roman" w:hAnsi="Times New Roman"/>
                <w:sz w:val="24"/>
              </w:rPr>
            </w:pPr>
            <w:r w:rsidRPr="00AA1421">
              <w:rPr>
                <w:rFonts w:ascii="Times New Roman" w:hAnsi="Times New Roman"/>
                <w:sz w:val="24"/>
              </w:rPr>
              <w:t xml:space="preserve">Kolumny te wykorzystuje się wyłącznie wówczas, gdy instytucje uzyskały zezwolenie właściwego organu na traktowanie tych ekspozycji podlegających stałemu stosowaniu metody standardowej w niepełnym zakresie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50 CRR lub na zaklasyfikowanie ekspozycji do kategorii ekspozycji zgodnie z charakterystyką gwaranta.</w:t>
            </w:r>
          </w:p>
        </w:tc>
      </w:tr>
      <w:tr w:rsidR="001C7AB7" w:rsidRPr="00AA1421" w:rsidTr="00672D2A">
        <w:tc>
          <w:tcPr>
            <w:tcW w:w="1188" w:type="dxa"/>
          </w:tcPr>
          <w:p w:rsidR="001C7AB7" w:rsidRPr="00AA1421" w:rsidRDefault="001C7AB7" w:rsidP="001C7AB7">
            <w:pPr>
              <w:rPr>
                <w:rFonts w:ascii="Times New Roman" w:hAnsi="Times New Roman"/>
                <w:sz w:val="24"/>
              </w:rPr>
            </w:pPr>
            <w:r w:rsidRPr="00AA1421">
              <w:rPr>
                <w:rFonts w:ascii="Times New Roman" w:hAnsi="Times New Roman"/>
                <w:sz w:val="24"/>
              </w:rPr>
              <w:t>0090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EKSPOZYCJA PO UWZGLĘDNIENIU EFEKTÓW SUBSTYTUCYJNYCH ZWIĄZANYCH Z OGRANICZANIEM RYZYKA KREDYTOWEGO PRZED UWZGLĘDNIENIEM WSPÓŁCZYNNIKÓW KONWERSJI</w:t>
            </w:r>
          </w:p>
          <w:p w:rsidR="001C7AB7" w:rsidRPr="00AA1421" w:rsidRDefault="001C7AB7" w:rsidP="001C7AB7">
            <w:pPr>
              <w:rPr>
                <w:rFonts w:ascii="Times New Roman" w:hAnsi="Times New Roman"/>
                <w:sz w:val="24"/>
              </w:rPr>
            </w:pPr>
            <w:r w:rsidRPr="00AA1421">
              <w:rPr>
                <w:rFonts w:ascii="Times New Roman" w:hAnsi="Times New Roman"/>
                <w:sz w:val="24"/>
              </w:rPr>
              <w:lastRenderedPageBreak/>
              <w:t>Ekspozycja przypisana do odpowiadającej jej klasy jakości lub puli dłużnika oraz kategoria ekspozycji po uwzględnieniu wypływów i wpływów wynikających z technik ograniczania ryzyka kredytowego z uwzględnieniem efektów substytucyjnych w odniesieniu do ekspozycji.</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lastRenderedPageBreak/>
              <w:t>0100, 0120</w:t>
            </w:r>
          </w:p>
        </w:tc>
        <w:tc>
          <w:tcPr>
            <w:tcW w:w="8843" w:type="dxa"/>
          </w:tcPr>
          <w:p w:rsidR="001C7AB7" w:rsidRPr="00AA1421" w:rsidRDefault="001C7AB7" w:rsidP="001C7AB7">
            <w:pPr>
              <w:rPr>
                <w:rStyle w:val="InstructionsTabelleberschrift"/>
                <w:rFonts w:ascii="Times New Roman" w:hAnsi="Times New Roman"/>
                <w:sz w:val="24"/>
              </w:rPr>
            </w:pPr>
            <w:r w:rsidRPr="00AA1421">
              <w:rPr>
                <w:rStyle w:val="InstructionsTabelleberschrift"/>
                <w:rFonts w:ascii="Times New Roman" w:hAnsi="Times New Roman"/>
                <w:sz w:val="24"/>
              </w:rPr>
              <w:t xml:space="preserve">W tym: pozycje pozabilansowe </w:t>
            </w:r>
          </w:p>
          <w:p w:rsidR="001C7AB7" w:rsidRPr="00AA1421" w:rsidRDefault="001C7AB7" w:rsidP="001C7AB7">
            <w:pPr>
              <w:rPr>
                <w:rFonts w:ascii="Times New Roman" w:hAnsi="Times New Roman"/>
                <w:sz w:val="24"/>
              </w:rPr>
            </w:pPr>
            <w:r w:rsidRPr="00AA1421">
              <w:rPr>
                <w:rFonts w:ascii="Times New Roman" w:hAnsi="Times New Roman"/>
                <w:sz w:val="24"/>
              </w:rPr>
              <w:t>Zob. instrukcje dotyczące wzoru CR-SA</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t>0110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WARTOŚĆ EKSPOZYCJI</w:t>
            </w:r>
          </w:p>
          <w:p w:rsidR="001C7AB7" w:rsidRPr="00AA1421" w:rsidRDefault="001C7AB7" w:rsidP="001C7AB7">
            <w:pPr>
              <w:rPr>
                <w:rFonts w:ascii="Times New Roman" w:hAnsi="Times New Roman"/>
                <w:sz w:val="24"/>
              </w:rPr>
            </w:pPr>
            <w:r w:rsidRPr="00AA1421">
              <w:rPr>
                <w:rFonts w:ascii="Times New Roman" w:hAnsi="Times New Roman"/>
                <w:sz w:val="24"/>
              </w:rPr>
              <w:t xml:space="preserve">Zgłasza się wartości ekspozycji określone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CRR oraz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zdanie drugie CRR.</w:t>
            </w:r>
          </w:p>
          <w:p w:rsidR="001C7AB7" w:rsidRPr="00AA1421" w:rsidRDefault="001C7AB7" w:rsidP="001C7AB7">
            <w:pPr>
              <w:rPr>
                <w:rFonts w:ascii="Times New Roman" w:hAnsi="Times New Roman"/>
                <w:sz w:val="24"/>
              </w:rPr>
            </w:pPr>
            <w:r w:rsidRPr="00AA1421">
              <w:rPr>
                <w:rFonts w:ascii="Times New Roman" w:hAnsi="Times New Roman"/>
                <w:sz w:val="24"/>
              </w:rPr>
              <w:t xml:space="preserve">W odniesieniu do instrumentów, o których mowa w załączniku I, niezależnie od metody wybranej przez instytucję stosuje się współczynniki konwersji kredytowej i wartości procentowe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9 i 10 CRR.</w:t>
            </w:r>
          </w:p>
          <w:p w:rsidR="001C7AB7" w:rsidRPr="00AA1421" w:rsidRDefault="008D24A6" w:rsidP="00BD6DB9">
            <w:pPr>
              <w:rPr>
                <w:rFonts w:ascii="Times New Roman" w:hAnsi="Times New Roman"/>
                <w:sz w:val="24"/>
              </w:rPr>
            </w:pPr>
            <w:r w:rsidRPr="00AA1421">
              <w:rPr>
                <w:rFonts w:ascii="Times New Roman" w:hAnsi="Times New Roman"/>
                <w:sz w:val="24"/>
              </w:rPr>
              <w:t>Wartości ekspozycji dla działalności związanej z ryzykiem kredytowym kontrahenta są tożsame z wartościami zgłoszonymi w kolumnie 0130.</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t>0130</w:t>
            </w:r>
          </w:p>
        </w:tc>
        <w:tc>
          <w:tcPr>
            <w:tcW w:w="8843" w:type="dxa"/>
          </w:tcPr>
          <w:p w:rsidR="001C7AB7" w:rsidRPr="00AA1421" w:rsidRDefault="001C7AB7" w:rsidP="001C7AB7">
            <w:pPr>
              <w:rPr>
                <w:rStyle w:val="InstructionsTabelleberschrift"/>
                <w:rFonts w:ascii="Times New Roman" w:hAnsi="Times New Roman"/>
                <w:sz w:val="24"/>
              </w:rPr>
            </w:pPr>
            <w:r w:rsidRPr="00AA1421">
              <w:rPr>
                <w:rStyle w:val="InstructionsTabelleberschrift"/>
                <w:rFonts w:ascii="Times New Roman" w:hAnsi="Times New Roman"/>
                <w:sz w:val="24"/>
              </w:rPr>
              <w:t xml:space="preserve">W tym: wynikająca z ryzyka kredytowego kontrahenta </w:t>
            </w:r>
          </w:p>
          <w:p w:rsidR="001C7AB7" w:rsidRPr="00AA1421" w:rsidRDefault="001C7AB7" w:rsidP="00FD6CCB">
            <w:pPr>
              <w:rPr>
                <w:rFonts w:ascii="Times New Roman" w:hAnsi="Times New Roman"/>
                <w:sz w:val="24"/>
              </w:rPr>
            </w:pPr>
            <w:r w:rsidRPr="00AA1421">
              <w:rPr>
                <w:rFonts w:ascii="Times New Roman" w:hAnsi="Times New Roman"/>
                <w:sz w:val="24"/>
              </w:rPr>
              <w:t>Zob. odpowiednie instrukcje dla CR SA w kolumnie 0210.</w:t>
            </w:r>
            <w:r w:rsidRPr="00AA1421">
              <w:rPr>
                <w:rStyle w:val="InstructionsTabelleText"/>
                <w:rFonts w:ascii="Times New Roman" w:hAnsi="Times New Roman"/>
                <w:sz w:val="24"/>
              </w:rPr>
              <w:t xml:space="preserve"> </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t>0140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W TYM: DUŻE PODMIOTY SEKTORA FINANSOWEGO ORAZ NIEREGULOWANE PODMIOTY FINANSOWE</w:t>
            </w:r>
          </w:p>
          <w:p w:rsidR="001C7AB7" w:rsidRPr="00AA1421" w:rsidRDefault="001C7AB7" w:rsidP="002E5096">
            <w:pPr>
              <w:rPr>
                <w:rFonts w:ascii="Times New Roman" w:hAnsi="Times New Roman"/>
                <w:b/>
                <w:sz w:val="24"/>
                <w:u w:val="single"/>
              </w:rPr>
            </w:pPr>
            <w:r w:rsidRPr="00AA1421">
              <w:rPr>
                <w:rFonts w:ascii="Times New Roman" w:hAnsi="Times New Roman"/>
                <w:sz w:val="24"/>
              </w:rPr>
              <w:t xml:space="preserve">Podział wartości ekspozycji dla wszystkich ekspozycji wobec podmiotów,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i 5 CRR, z zastrzeżeniem wyższego współczynnika korelacji określonego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1C7AB7" w:rsidRPr="00AA1421" w:rsidTr="00672D2A">
        <w:trPr>
          <w:trHeight w:val="2109"/>
        </w:trPr>
        <w:tc>
          <w:tcPr>
            <w:tcW w:w="1188" w:type="dxa"/>
          </w:tcPr>
          <w:p w:rsidR="001C7AB7" w:rsidRPr="00AA1421" w:rsidDel="001D4BE0" w:rsidRDefault="00FF15C6" w:rsidP="001C7AB7">
            <w:pPr>
              <w:rPr>
                <w:rFonts w:ascii="Times New Roman" w:hAnsi="Times New Roman"/>
                <w:sz w:val="24"/>
              </w:rPr>
            </w:pPr>
            <w:r w:rsidRPr="00AA1421">
              <w:rPr>
                <w:rFonts w:ascii="Times New Roman" w:hAnsi="Times New Roman"/>
                <w:sz w:val="24"/>
              </w:rPr>
              <w:t>0150-0210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TECHNIKI OGRANICZANIA RYZYKA KREDYTOWEGO UWZGLĘDNIANE W OSZACOWANIACH LGD BEZ UJĘCIA PODWÓJNEGO NIEWYKONANIA ZOBOWIĄZANIA</w:t>
            </w:r>
          </w:p>
          <w:p w:rsidR="001C7AB7" w:rsidRPr="00AA1421" w:rsidRDefault="001C7AB7" w:rsidP="001C7AB7">
            <w:pPr>
              <w:rPr>
                <w:rFonts w:ascii="Times New Roman" w:hAnsi="Times New Roman"/>
                <w:sz w:val="24"/>
              </w:rPr>
            </w:pPr>
            <w:r w:rsidRPr="00AA1421">
              <w:rPr>
                <w:rFonts w:ascii="Times New Roman" w:hAnsi="Times New Roman"/>
                <w:sz w:val="24"/>
              </w:rPr>
              <w:t>W kolumnach tych nie ujmuje się technik ograniczania ryzyka kredytowego, które mają wpływ na oszacowania LGD w wyniku efektu substytucyjnego tych technik.</w:t>
            </w:r>
          </w:p>
          <w:p w:rsidR="001C7AB7" w:rsidRPr="00AA1421" w:rsidRDefault="00C61FF5" w:rsidP="001C7AB7">
            <w:pPr>
              <w:rPr>
                <w:rFonts w:ascii="Times New Roman" w:hAnsi="Times New Roman"/>
                <w:sz w:val="24"/>
              </w:rPr>
            </w:pPr>
            <w:r w:rsidRPr="00AA1421">
              <w:rPr>
                <w:rFonts w:ascii="Times New Roman" w:hAnsi="Times New Roman"/>
                <w:sz w:val="24"/>
              </w:rPr>
              <w:t xml:space="preserve">W przypadku niestosowania własnych oszacowań LGD uwzględnia się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31 CRR.</w:t>
            </w:r>
          </w:p>
          <w:p w:rsidR="001C7AB7" w:rsidRPr="00AA1421" w:rsidRDefault="00C61FF5" w:rsidP="001C7AB7">
            <w:pPr>
              <w:rPr>
                <w:rFonts w:ascii="Times New Roman" w:hAnsi="Times New Roman"/>
                <w:sz w:val="24"/>
              </w:rPr>
            </w:pPr>
            <w:r w:rsidRPr="00AA1421">
              <w:rPr>
                <w:rFonts w:ascii="Times New Roman" w:hAnsi="Times New Roman"/>
                <w:sz w:val="24"/>
              </w:rPr>
              <w:t xml:space="preserve">W przypadku stosowania własnych oszacowań LGD: </w:t>
            </w:r>
          </w:p>
          <w:p w:rsidR="001C7AB7" w:rsidRPr="00AA1421" w:rsidRDefault="001C7AB7" w:rsidP="001C7AB7">
            <w:pPr>
              <w:rPr>
                <w:rFonts w:ascii="Times New Roman" w:hAnsi="Times New Roman"/>
                <w:sz w:val="24"/>
              </w:rPr>
            </w:pPr>
            <w:r w:rsidRPr="00AA1421">
              <w:rPr>
                <w:rFonts w:ascii="Times New Roman" w:hAnsi="Times New Roman"/>
                <w:sz w:val="24"/>
              </w:rPr>
              <w:t xml:space="preserve">- jeśli chodzi o ochronę kredytową nierzeczywistą, w odniesieniu do ekspozycji wobec rządów centralnych i banków centralnych, instytucji i przedsiębiorstw uwzględnia się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 odniesieniu do ekspozycji detalicznych uwzględnia się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1C7AB7" w:rsidRPr="00AA1421" w:rsidRDefault="001C7AB7" w:rsidP="00255BA9">
            <w:pPr>
              <w:rPr>
                <w:rFonts w:ascii="Times New Roman" w:hAnsi="Times New Roman"/>
                <w:b/>
                <w:sz w:val="24"/>
                <w:u w:val="single"/>
              </w:rPr>
            </w:pPr>
            <w:r w:rsidRPr="00AA1421">
              <w:rPr>
                <w:rFonts w:ascii="Times New Roman" w:hAnsi="Times New Roman"/>
                <w:sz w:val="24"/>
              </w:rPr>
              <w:t xml:space="preserve">- jeśli chodzi o ochronę kredytową rzeczywistą, zabezpieczenie uwzględnia się w oszacowaniach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i f) CRR.</w:t>
            </w:r>
          </w:p>
        </w:tc>
      </w:tr>
      <w:tr w:rsidR="001C7AB7" w:rsidRPr="00AA1421" w:rsidTr="00672D2A">
        <w:trPr>
          <w:trHeight w:val="957"/>
        </w:trPr>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t>0150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 xml:space="preserve">GWARANCJE </w:t>
            </w:r>
          </w:p>
          <w:p w:rsidR="001C7AB7" w:rsidRPr="00AA1421" w:rsidRDefault="001C7AB7" w:rsidP="001C7AB7">
            <w:pPr>
              <w:jc w:val="left"/>
              <w:rPr>
                <w:rFonts w:ascii="Times New Roman" w:hAnsi="Times New Roman"/>
                <w:b/>
                <w:sz w:val="24"/>
                <w:u w:val="single"/>
              </w:rPr>
            </w:pPr>
            <w:r w:rsidRPr="00AA1421">
              <w:rPr>
                <w:rFonts w:ascii="Times New Roman" w:hAnsi="Times New Roman"/>
                <w:sz w:val="24"/>
              </w:rPr>
              <w:t>Zob. instrukcje dla kolumny 0040.</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t>0160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 xml:space="preserve">KREDYTOWE INSTRUMENTY POCHODNE </w:t>
            </w:r>
          </w:p>
          <w:p w:rsidR="001C7AB7" w:rsidRPr="00AA1421" w:rsidRDefault="001C7AB7" w:rsidP="001C7AB7">
            <w:pPr>
              <w:rPr>
                <w:rFonts w:ascii="Times New Roman" w:hAnsi="Times New Roman"/>
                <w:sz w:val="24"/>
              </w:rPr>
            </w:pPr>
            <w:r w:rsidRPr="00AA1421">
              <w:rPr>
                <w:rFonts w:ascii="Times New Roman" w:hAnsi="Times New Roman"/>
                <w:sz w:val="24"/>
              </w:rPr>
              <w:lastRenderedPageBreak/>
              <w:t>Zob. instrukcje dla kolumny 0050.</w:t>
            </w:r>
          </w:p>
        </w:tc>
      </w:tr>
      <w:tr w:rsidR="001C7AB7" w:rsidRPr="00AA1421" w:rsidTr="00672D2A">
        <w:tc>
          <w:tcPr>
            <w:tcW w:w="1188" w:type="dxa"/>
          </w:tcPr>
          <w:p w:rsidR="001C7AB7" w:rsidRPr="00AA1421" w:rsidRDefault="00FF15C6" w:rsidP="001C7AB7">
            <w:pPr>
              <w:rPr>
                <w:rFonts w:ascii="Times New Roman" w:hAnsi="Times New Roman"/>
                <w:sz w:val="24"/>
              </w:rPr>
            </w:pPr>
            <w:r w:rsidRPr="00AA1421">
              <w:rPr>
                <w:rFonts w:ascii="Times New Roman" w:hAnsi="Times New Roman"/>
                <w:sz w:val="24"/>
              </w:rPr>
              <w:lastRenderedPageBreak/>
              <w:t>0170</w:t>
            </w:r>
          </w:p>
        </w:tc>
        <w:tc>
          <w:tcPr>
            <w:tcW w:w="8843" w:type="dxa"/>
          </w:tcPr>
          <w:p w:rsidR="001C7AB7" w:rsidRPr="00AA1421" w:rsidRDefault="001C7AB7" w:rsidP="001C7AB7">
            <w:pPr>
              <w:rPr>
                <w:rFonts w:ascii="Times New Roman" w:hAnsi="Times New Roman"/>
                <w:b/>
                <w:sz w:val="24"/>
                <w:u w:val="single"/>
              </w:rPr>
            </w:pPr>
            <w:r w:rsidRPr="00AA1421">
              <w:rPr>
                <w:rFonts w:ascii="Times New Roman" w:hAnsi="Times New Roman"/>
                <w:b/>
                <w:sz w:val="24"/>
                <w:u w:val="single"/>
              </w:rPr>
              <w:t xml:space="preserve">ZASTOSOWANE WŁASNE OSZACOWANIA LGD: INNE RODZAJE OCHRONY KREDYTOWEJ RZECZYWISTEJ </w:t>
            </w:r>
          </w:p>
          <w:p w:rsidR="001C7AB7" w:rsidRPr="00AA1421" w:rsidRDefault="001C7AB7" w:rsidP="001C7AB7">
            <w:pPr>
              <w:rPr>
                <w:rStyle w:val="InstructionsTabelleText"/>
                <w:rFonts w:ascii="Times New Roman" w:hAnsi="Times New Roman"/>
                <w:sz w:val="24"/>
              </w:rPr>
            </w:pPr>
            <w:r w:rsidRPr="00AA1421">
              <w:rPr>
                <w:rStyle w:val="InstructionsTabelleText"/>
                <w:rFonts w:ascii="Times New Roman" w:hAnsi="Times New Roman"/>
                <w:sz w:val="24"/>
              </w:rPr>
              <w:t>Odpowiednia wartość wykorzystana w modelu wewnętrznym instytucji.</w:t>
            </w:r>
          </w:p>
          <w:p w:rsidR="001C7AB7" w:rsidRPr="00AA1421" w:rsidRDefault="001C7AB7" w:rsidP="00255BA9">
            <w:pPr>
              <w:rPr>
                <w:rFonts w:ascii="Times New Roman" w:hAnsi="Times New Roman"/>
                <w:sz w:val="24"/>
              </w:rPr>
            </w:pPr>
            <w:r w:rsidRPr="00AA1421">
              <w:rPr>
                <w:rFonts w:ascii="Times New Roman" w:hAnsi="Times New Roman"/>
                <w:sz w:val="24"/>
              </w:rPr>
              <w:t xml:space="preserve">Środki ograniczania ryzyka kredytowego, które są zgodne z kryteriami określonymi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12 CRR. </w:t>
            </w:r>
          </w:p>
        </w:tc>
      </w:tr>
      <w:tr w:rsidR="008D24A6" w:rsidRPr="00AA1421" w:rsidTr="00672D2A">
        <w:tc>
          <w:tcPr>
            <w:tcW w:w="1188" w:type="dxa"/>
          </w:tcPr>
          <w:p w:rsidR="008D24A6" w:rsidRPr="00AA1421" w:rsidRDefault="00FF15C6" w:rsidP="008D24A6">
            <w:pPr>
              <w:rPr>
                <w:rFonts w:ascii="Times New Roman" w:hAnsi="Times New Roman"/>
                <w:sz w:val="24"/>
              </w:rPr>
            </w:pPr>
            <w:r w:rsidRPr="00AA1421">
              <w:rPr>
                <w:rFonts w:ascii="Times New Roman" w:hAnsi="Times New Roman"/>
                <w:sz w:val="24"/>
              </w:rPr>
              <w:t>0171</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ZDEPONOWANE ŚRODKI PIENIĘŻNE</w:t>
            </w:r>
          </w:p>
          <w:p w:rsidR="00B85B8C" w:rsidRPr="00AA1421" w:rsidRDefault="008D24A6" w:rsidP="008D24A6">
            <w:pPr>
              <w:rPr>
                <w:rFonts w:ascii="Times New Roman" w:hAnsi="Times New Roman"/>
                <w:sz w:val="24"/>
              </w:rPr>
            </w:pPr>
            <w:r w:rsidRPr="00AA1421">
              <w:rPr>
                <w:rFonts w:ascii="Times New Roman" w:hAnsi="Times New Roman"/>
                <w:sz w:val="24"/>
              </w:rPr>
              <w:t xml:space="preserve">Art. 200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 </w:t>
            </w:r>
          </w:p>
          <w:p w:rsidR="008D24A6" w:rsidRPr="00AA1421" w:rsidRDefault="008D24A6" w:rsidP="008D24A6">
            <w:pPr>
              <w:rPr>
                <w:rFonts w:ascii="Times New Roman" w:hAnsi="Times New Roman"/>
                <w:b/>
                <w:sz w:val="24"/>
                <w:u w:val="single"/>
              </w:rPr>
            </w:pPr>
            <w:r w:rsidRPr="00AA1421">
              <w:rPr>
                <w:rFonts w:ascii="Times New Roman" w:hAnsi="Times New Roman"/>
                <w:sz w:val="24"/>
              </w:rPr>
              <w:t>Środki pieniężne zdeponowane w instytucji będącej osobą trzecią lub bankowe instrumenty pieniężne utrzymywane przez instytucję będącą osobą trzecią nietrzymane na powierniczym rachunku zastrzeżonym i zastawione na rzecz instytucji kredytującej Wartość zgłaszanego zabezpieczenia ogranicza się do wartości ekspozycji na poziomie indywidualnej ekspozycji.</w:t>
            </w:r>
          </w:p>
        </w:tc>
      </w:tr>
      <w:tr w:rsidR="008D24A6" w:rsidRPr="00AA1421" w:rsidTr="00672D2A">
        <w:tc>
          <w:tcPr>
            <w:tcW w:w="1188" w:type="dxa"/>
          </w:tcPr>
          <w:p w:rsidR="008D24A6" w:rsidRPr="00AA1421" w:rsidRDefault="00FF15C6" w:rsidP="008D24A6">
            <w:pPr>
              <w:rPr>
                <w:rFonts w:ascii="Times New Roman" w:hAnsi="Times New Roman"/>
                <w:sz w:val="24"/>
              </w:rPr>
            </w:pPr>
            <w:r w:rsidRPr="00AA1421">
              <w:rPr>
                <w:rFonts w:ascii="Times New Roman" w:hAnsi="Times New Roman"/>
                <w:sz w:val="24"/>
              </w:rPr>
              <w:t>0172</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POLISY UBEZPIECZENIOWE NA ŻYCIE</w:t>
            </w:r>
          </w:p>
          <w:p w:rsidR="00B85B8C" w:rsidRPr="00AA1421" w:rsidRDefault="008D24A6" w:rsidP="008D24A6">
            <w:pPr>
              <w:rPr>
                <w:rFonts w:ascii="Times New Roman" w:hAnsi="Times New Roman"/>
                <w:sz w:val="24"/>
              </w:rPr>
            </w:pPr>
            <w:r w:rsidRPr="00AA1421">
              <w:rPr>
                <w:rFonts w:ascii="Times New Roman" w:hAnsi="Times New Roman"/>
                <w:sz w:val="24"/>
              </w:rPr>
              <w:t xml:space="preserve">Art. 200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p>
          <w:p w:rsidR="008D24A6" w:rsidRPr="00AA1421" w:rsidRDefault="008D24A6" w:rsidP="008D24A6">
            <w:pPr>
              <w:rPr>
                <w:rFonts w:ascii="Times New Roman" w:hAnsi="Times New Roman"/>
                <w:b/>
                <w:sz w:val="24"/>
                <w:u w:val="single"/>
              </w:rPr>
            </w:pPr>
            <w:r w:rsidRPr="00AA1421">
              <w:rPr>
                <w:rFonts w:ascii="Times New Roman" w:hAnsi="Times New Roman"/>
                <w:sz w:val="24"/>
              </w:rPr>
              <w:t>Wartość zgłaszanego zabezpieczenia ogranicza się do wartości ekspozycji na poziomie indywidualnej ekspozycji.</w:t>
            </w:r>
          </w:p>
        </w:tc>
      </w:tr>
      <w:tr w:rsidR="008D24A6" w:rsidRPr="00AA1421" w:rsidTr="00672D2A">
        <w:tc>
          <w:tcPr>
            <w:tcW w:w="1188" w:type="dxa"/>
          </w:tcPr>
          <w:p w:rsidR="008D24A6" w:rsidRPr="00AA1421" w:rsidRDefault="00FF15C6" w:rsidP="008D24A6">
            <w:pPr>
              <w:rPr>
                <w:rFonts w:ascii="Times New Roman" w:hAnsi="Times New Roman"/>
                <w:sz w:val="24"/>
              </w:rPr>
            </w:pPr>
            <w:r w:rsidRPr="00AA1421">
              <w:rPr>
                <w:rFonts w:ascii="Times New Roman" w:hAnsi="Times New Roman"/>
                <w:sz w:val="24"/>
              </w:rPr>
              <w:t>0173</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INSTRUMENTY BĘDĄCE W POSIADANIU OSOBY TRZECIEJ</w:t>
            </w:r>
          </w:p>
          <w:p w:rsidR="00B85B8C" w:rsidRPr="00AA1421" w:rsidRDefault="008D24A6" w:rsidP="00F66371">
            <w:pPr>
              <w:rPr>
                <w:rFonts w:ascii="Times New Roman" w:hAnsi="Times New Roman"/>
                <w:sz w:val="24"/>
              </w:rPr>
            </w:pPr>
            <w:r w:rsidRPr="00AA1421">
              <w:rPr>
                <w:rFonts w:ascii="Times New Roman" w:hAnsi="Times New Roman"/>
                <w:sz w:val="24"/>
              </w:rPr>
              <w:t xml:space="preserve">Art. 200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w:t>
            </w:r>
          </w:p>
          <w:p w:rsidR="008D24A6" w:rsidRPr="00AA1421" w:rsidRDefault="008D24A6" w:rsidP="00127FEA">
            <w:pPr>
              <w:rPr>
                <w:rFonts w:ascii="Times New Roman" w:hAnsi="Times New Roman"/>
                <w:b/>
                <w:sz w:val="24"/>
                <w:u w:val="single"/>
              </w:rPr>
            </w:pPr>
            <w:r w:rsidRPr="00AA1421">
              <w:rPr>
                <w:rFonts w:ascii="Times New Roman" w:hAnsi="Times New Roman"/>
                <w:sz w:val="24"/>
              </w:rPr>
              <w:t xml:space="preserve">Obejmuje to instrumenty emitowane przez instytucję będącą osobą trzecią, które podlegają wykupowi przez tę instytucję na żądanie. Wartość zgłaszanego zabezpieczenia ogranicza się do wartości ekspozycji na poziomie indywidualnej ekspozycji. Z tej kolumny należy wyłączyć ekspozycje objęte instrumentami będącymi w posiadaniu osoby trzeciej, jeżeli –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 instytucje traktują instrumenty z opcją wykupu na żądanie, uznane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00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jako gwarancję udzieloną przez instytucję emitującą.</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0180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UZNANE ZABEZPIECZENIE FINANSOWE</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operacji portfela handlowego uwzględnia się instrumenty finansowe i towary kwalifikujące się do ekspozycji zaliczanych do portfela handlowego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–f) CRR. Obligacje powiązane z ryzykiem kredytowym oraz kompensowanie pozycji bilansowych zgodnie z częścią trzecią tytuł II rozdział 4 sekcja 4 CRR traktuje się jak zabezpieczenie gotówkowe.</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niestosowania własnych oszacowań LGD w odniesieniu do uznanego zabezpieczenia finansowego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97 CRR zgłasza się skorygowaną wartość (</w:t>
            </w:r>
            <w:proofErr w:type="spellStart"/>
            <w:r w:rsidRPr="00AA1421">
              <w:rPr>
                <w:rFonts w:ascii="Times New Roman" w:hAnsi="Times New Roman"/>
                <w:sz w:val="24"/>
              </w:rPr>
              <w:t>Cvam</w:t>
            </w:r>
            <w:proofErr w:type="spellEnd"/>
            <w:r w:rsidRPr="00AA1421">
              <w:rPr>
                <w:rFonts w:ascii="Times New Roman" w:hAnsi="Times New Roman"/>
                <w:sz w:val="24"/>
              </w:rPr>
              <w:t xml:space="preserve">) określoną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8D24A6" w:rsidRPr="00AA1421" w:rsidRDefault="008D24A6" w:rsidP="008D24A6">
            <w:pPr>
              <w:rPr>
                <w:rFonts w:ascii="Times New Roman" w:hAnsi="Times New Roman"/>
                <w:b/>
                <w:sz w:val="24"/>
                <w:u w:val="single"/>
              </w:rPr>
            </w:pPr>
            <w:r w:rsidRPr="00AA1421">
              <w:rPr>
                <w:rFonts w:ascii="Times New Roman" w:hAnsi="Times New Roman"/>
                <w:sz w:val="24"/>
              </w:rPr>
              <w:t xml:space="preserve">W przypadku stosowania własnych oszacowań LGD zabezpieczenie finansowe uwzględnia się w oszacowaniach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i f) CRR. Kwotą, którą należy zgłosić, jest szacunkowa wartość rynkowa zabezpieczenia.</w:t>
            </w:r>
          </w:p>
        </w:tc>
      </w:tr>
      <w:tr w:rsidR="008D24A6" w:rsidRPr="00AA1421" w:rsidTr="00672D2A">
        <w:tc>
          <w:tcPr>
            <w:tcW w:w="1188" w:type="dxa"/>
          </w:tcPr>
          <w:p w:rsidR="008D24A6" w:rsidRPr="00AA1421" w:rsidDel="001D4BE0" w:rsidRDefault="001452FC" w:rsidP="008D24A6">
            <w:pPr>
              <w:rPr>
                <w:rFonts w:ascii="Times New Roman" w:hAnsi="Times New Roman"/>
                <w:sz w:val="24"/>
              </w:rPr>
            </w:pPr>
            <w:r w:rsidRPr="00AA1421">
              <w:rPr>
                <w:rFonts w:ascii="Times New Roman" w:hAnsi="Times New Roman"/>
                <w:sz w:val="24"/>
              </w:rPr>
              <w:t>0190-0210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INNE UZNANE ZABEZPIECZENIE</w:t>
            </w:r>
          </w:p>
          <w:p w:rsidR="008D24A6" w:rsidRPr="00AA1421" w:rsidRDefault="008D24A6" w:rsidP="008D24A6">
            <w:pPr>
              <w:rPr>
                <w:rFonts w:ascii="Times New Roman" w:hAnsi="Times New Roman"/>
                <w:sz w:val="24"/>
              </w:rPr>
            </w:pPr>
            <w:r w:rsidRPr="00AA1421">
              <w:rPr>
                <w:rFonts w:ascii="Times New Roman" w:hAnsi="Times New Roman"/>
                <w:sz w:val="24"/>
              </w:rPr>
              <w:lastRenderedPageBreak/>
              <w:t xml:space="preserve">W przypadku niestosowania własnych oszacowań LGD wartości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29 CRR.</w:t>
            </w:r>
          </w:p>
          <w:p w:rsidR="008D24A6" w:rsidRPr="00AA1421" w:rsidRDefault="008D24A6" w:rsidP="008D24A6">
            <w:pPr>
              <w:rPr>
                <w:rFonts w:ascii="Times New Roman" w:hAnsi="Times New Roman"/>
                <w:b/>
                <w:sz w:val="24"/>
                <w:u w:val="single"/>
              </w:rPr>
            </w:pPr>
            <w:r w:rsidRPr="00AA1421">
              <w:rPr>
                <w:rFonts w:ascii="Times New Roman" w:hAnsi="Times New Roman"/>
                <w:sz w:val="24"/>
              </w:rPr>
              <w:t xml:space="preserve">W przypadku stosowania własnych oszacowań LGD w oszacowaniach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i f) CRR uwzględnia się inne zabezpieczenie.</w:t>
            </w:r>
          </w:p>
        </w:tc>
      </w:tr>
      <w:tr w:rsidR="008D24A6" w:rsidRPr="00AA1421" w:rsidTr="00672D2A">
        <w:tc>
          <w:tcPr>
            <w:tcW w:w="1188" w:type="dxa"/>
          </w:tcPr>
          <w:p w:rsidR="008D24A6" w:rsidRPr="00AA1421" w:rsidRDefault="001452FC" w:rsidP="008D24A6">
            <w:pPr>
              <w:spacing w:line="240" w:lineRule="exact"/>
              <w:rPr>
                <w:rFonts w:ascii="Times New Roman" w:hAnsi="Times New Roman"/>
                <w:sz w:val="24"/>
              </w:rPr>
            </w:pPr>
            <w:r w:rsidRPr="00AA1421">
              <w:rPr>
                <w:rFonts w:ascii="Times New Roman" w:hAnsi="Times New Roman"/>
                <w:sz w:val="24"/>
              </w:rPr>
              <w:lastRenderedPageBreak/>
              <w:t>0190</w:t>
            </w:r>
          </w:p>
        </w:tc>
        <w:tc>
          <w:tcPr>
            <w:tcW w:w="8843" w:type="dxa"/>
          </w:tcPr>
          <w:p w:rsidR="008D24A6" w:rsidRPr="00AA1421" w:rsidRDefault="008D24A6" w:rsidP="008D24A6">
            <w:pPr>
              <w:spacing w:line="240" w:lineRule="exact"/>
              <w:rPr>
                <w:rFonts w:ascii="Times New Roman" w:hAnsi="Times New Roman"/>
                <w:sz w:val="24"/>
              </w:rPr>
            </w:pPr>
            <w:r w:rsidRPr="00AA1421">
              <w:rPr>
                <w:rFonts w:ascii="Times New Roman" w:hAnsi="Times New Roman"/>
                <w:b/>
                <w:sz w:val="24"/>
                <w:u w:val="single"/>
              </w:rPr>
              <w:t>NIERUCHOMOŚCI</w:t>
            </w:r>
          </w:p>
          <w:p w:rsidR="008D24A6" w:rsidRPr="00AA1421" w:rsidRDefault="008D24A6" w:rsidP="008D24A6">
            <w:pPr>
              <w:spacing w:line="240" w:lineRule="exact"/>
              <w:rPr>
                <w:rFonts w:ascii="Times New Roman" w:hAnsi="Times New Roman"/>
                <w:sz w:val="24"/>
              </w:rPr>
            </w:pPr>
            <w:r w:rsidRPr="00AA1421">
              <w:rPr>
                <w:rFonts w:ascii="Times New Roman" w:hAnsi="Times New Roman"/>
                <w:sz w:val="24"/>
              </w:rPr>
              <w:t xml:space="preserve">W przypadku niestosowania własnych oszacowań LGD wartości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3 i 4 CRR i zgłasza w tej kolumnie. Uwzględnia się również leasing nieruchomości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CRR). Zob. także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29 CRR.</w:t>
            </w:r>
          </w:p>
          <w:p w:rsidR="008D24A6" w:rsidRPr="00AA1421" w:rsidRDefault="008D24A6" w:rsidP="008D24A6">
            <w:pPr>
              <w:spacing w:line="240" w:lineRule="exact"/>
              <w:rPr>
                <w:rFonts w:ascii="Times New Roman" w:hAnsi="Times New Roman"/>
                <w:sz w:val="24"/>
              </w:rPr>
            </w:pPr>
            <w:r w:rsidRPr="00AA1421">
              <w:rPr>
                <w:rFonts w:ascii="Times New Roman" w:hAnsi="Times New Roman"/>
                <w:sz w:val="24"/>
              </w:rPr>
              <w:t>W przypadku stosowania własnych oszacowań LGD kwotą, którą należy zgłosić, jest szacunkowa wartość rynkowa.</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0200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INNE ZABEZPIECZENIE RZECZOWE</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niestosowania własnych oszacowań LGD wartości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i 8 CRR i zgłasza w tej kolumnie. Uwzględnia się również leasing własności innej niż nieruchomości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CRR). Zob. także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t>
            </w:r>
          </w:p>
          <w:p w:rsidR="008D24A6" w:rsidRPr="00AA1421" w:rsidRDefault="008D24A6" w:rsidP="008D24A6">
            <w:pPr>
              <w:rPr>
                <w:rFonts w:ascii="Times New Roman" w:hAnsi="Times New Roman"/>
                <w:b/>
                <w:sz w:val="24"/>
                <w:u w:val="single"/>
              </w:rPr>
            </w:pPr>
            <w:r w:rsidRPr="00AA1421">
              <w:rPr>
                <w:rFonts w:ascii="Times New Roman" w:hAnsi="Times New Roman"/>
                <w:sz w:val="24"/>
              </w:rPr>
              <w:t>W przypadku stosowania własnych oszacowań LGD kwotą, którą należy zgłosić, jest szacunkowa wartość rynkowa zabezpieczenia.</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0210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WIERZYTELNOŚCI</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niestosowania własnych oszacowań LGD wartości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zgłasza w tej kolumnie.</w:t>
            </w:r>
          </w:p>
          <w:p w:rsidR="008D24A6" w:rsidRPr="00AA1421" w:rsidRDefault="008D24A6" w:rsidP="008D24A6">
            <w:pPr>
              <w:rPr>
                <w:rFonts w:ascii="Times New Roman" w:hAnsi="Times New Roman"/>
                <w:b/>
                <w:sz w:val="24"/>
                <w:u w:val="single"/>
              </w:rPr>
            </w:pPr>
            <w:r w:rsidRPr="00AA1421">
              <w:rPr>
                <w:rFonts w:ascii="Times New Roman" w:hAnsi="Times New Roman"/>
                <w:sz w:val="24"/>
              </w:rPr>
              <w:t>W przypadku stosowania własnych oszacowań LGD kwotą, którą należy zgłosić, jest szacunkowa wartość rynkowa zabezpieczenia.</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0220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Z UWZGLĘDNIENIEM UJĘCIA PODWÓJNEGO NIEWYKONANIA ZOBOWIĄZANIA: OCHRONA KREDYTOWA NIERZECZYWISTA</w:t>
            </w:r>
          </w:p>
          <w:p w:rsidR="008D24A6" w:rsidRPr="00AA1421" w:rsidRDefault="008D24A6" w:rsidP="008D24A6">
            <w:pPr>
              <w:rPr>
                <w:rFonts w:ascii="Times New Roman" w:hAnsi="Times New Roman"/>
                <w:sz w:val="24"/>
              </w:rPr>
            </w:pPr>
            <w:r w:rsidRPr="00AA1421">
              <w:rPr>
                <w:rFonts w:ascii="Times New Roman" w:hAnsi="Times New Roman"/>
                <w:sz w:val="24"/>
              </w:rPr>
              <w:t xml:space="preserve">Gwarancje i kredytowe instrumenty pochodne zabezpieczające ekspozycje z uwzględnieniem ujęcia podwójnego niewykonania zobowiązania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i uwzględniające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02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t>
            </w:r>
          </w:p>
          <w:p w:rsidR="008D24A6" w:rsidRPr="00AA1421" w:rsidRDefault="008D24A6" w:rsidP="008D24A6">
            <w:pPr>
              <w:rPr>
                <w:rFonts w:ascii="Times New Roman" w:hAnsi="Times New Roman"/>
                <w:b/>
                <w:sz w:val="24"/>
                <w:u w:val="single"/>
              </w:rPr>
            </w:pPr>
            <w:r w:rsidRPr="00AA1421">
              <w:rPr>
                <w:rFonts w:ascii="Times New Roman" w:hAnsi="Times New Roman"/>
                <w:sz w:val="24"/>
              </w:rPr>
              <w:t>Zgłaszane wartości nie mogą przekraczać wart</w:t>
            </w:r>
            <w:r w:rsidR="00084F66">
              <w:rPr>
                <w:rFonts w:ascii="Times New Roman" w:hAnsi="Times New Roman"/>
                <w:sz w:val="24"/>
              </w:rPr>
              <w:t xml:space="preserve">ości odpowiednich ekspozycji. </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0230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ŚREDNIA WARTOŚĆ LGD WAŻONA EKSPOZYCJĄ (%)</w:t>
            </w:r>
          </w:p>
          <w:p w:rsidR="008D24A6" w:rsidRPr="00AA1421" w:rsidRDefault="008D24A6" w:rsidP="008D24A6">
            <w:pPr>
              <w:rPr>
                <w:rFonts w:ascii="Times New Roman" w:hAnsi="Times New Roman"/>
                <w:sz w:val="24"/>
              </w:rPr>
            </w:pPr>
            <w:r w:rsidRPr="00AA1421">
              <w:rPr>
                <w:rFonts w:ascii="Times New Roman" w:hAnsi="Times New Roman"/>
                <w:sz w:val="24"/>
              </w:rPr>
              <w:t xml:space="preserve">Uwzględnia się wszystkie efekty technik ograniczania ryzyka kredytowego dla LGD określonych w części trzeciej tytuł II rozdziały 3 i 4 CRR. W przypadku ekspozycji z uwzględnieniem ujęcia podwójnego niewykonania zobowiązania LGD, które należy zgłosić, odpowiada temu wybranemu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8D24A6" w:rsidRPr="00AA1421" w:rsidRDefault="008D24A6" w:rsidP="008D24A6">
            <w:pPr>
              <w:rPr>
                <w:rFonts w:ascii="Times New Roman" w:hAnsi="Times New Roman"/>
                <w:sz w:val="24"/>
              </w:rPr>
            </w:pPr>
            <w:r w:rsidRPr="00AA1421">
              <w:rPr>
                <w:rFonts w:ascii="Times New Roman" w:hAnsi="Times New Roman"/>
                <w:sz w:val="24"/>
              </w:rPr>
              <w:t xml:space="preserve">W odniesieniu do ekspozycji, których dotyczy niewykonanie zobowiązania, uwzględnia się przepisy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h)</w:t>
            </w:r>
            <w:r w:rsidRPr="00AA1421">
              <w:rPr>
                <w:rFonts w:ascii="Times New Roman" w:hAnsi="Times New Roman"/>
                <w:sz w:val="24"/>
              </w:rPr>
              <w:t xml:space="preserve"> CRR.</w:t>
            </w:r>
          </w:p>
          <w:p w:rsidR="008D24A6" w:rsidRPr="00AA1421" w:rsidRDefault="008D24A6" w:rsidP="008D24A6">
            <w:pPr>
              <w:rPr>
                <w:rFonts w:ascii="Times New Roman" w:hAnsi="Times New Roman"/>
                <w:sz w:val="24"/>
              </w:rPr>
            </w:pPr>
            <w:r w:rsidRPr="00AA1421">
              <w:rPr>
                <w:rFonts w:ascii="Times New Roman" w:hAnsi="Times New Roman"/>
                <w:sz w:val="24"/>
              </w:rPr>
              <w:t>Wartość ekspozycji, o której mowa w kolumnie 0110, wykorzystuje się do obliczenia średnich wartości ważonych ekspozycją.</w:t>
            </w:r>
          </w:p>
          <w:p w:rsidR="008D24A6" w:rsidRPr="00AA1421" w:rsidRDefault="008D24A6" w:rsidP="008D24A6">
            <w:pPr>
              <w:rPr>
                <w:rFonts w:ascii="Times New Roman" w:hAnsi="Times New Roman"/>
                <w:sz w:val="24"/>
              </w:rPr>
            </w:pPr>
            <w:r w:rsidRPr="00AA1421">
              <w:rPr>
                <w:rFonts w:ascii="Times New Roman" w:hAnsi="Times New Roman"/>
                <w:sz w:val="24"/>
              </w:rPr>
              <w:t xml:space="preserve">Uwzględnia się wszystkie efekty (tak więc w sprawozdawczości ujmuje się efekty dolnego limitu mającego zastosowanie do ekspozycji zabezpieczonych nieruchomościami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8D24A6" w:rsidRPr="00AA1421" w:rsidRDefault="008D24A6" w:rsidP="008D24A6">
            <w:pPr>
              <w:rPr>
                <w:rFonts w:ascii="Times New Roman" w:hAnsi="Times New Roman"/>
                <w:sz w:val="24"/>
              </w:rPr>
            </w:pPr>
            <w:r w:rsidRPr="00AA1421">
              <w:rPr>
                <w:rFonts w:ascii="Times New Roman" w:hAnsi="Times New Roman"/>
                <w:sz w:val="24"/>
              </w:rPr>
              <w:lastRenderedPageBreak/>
              <w:t xml:space="preserve">W przypadku instytucji stosujących metodę IRB, ale niestosujących własnych oszacowań LGD, efekty technik ograniczania ryzyka wynikające z zabezpieczenia finansowego są odzwierciedlone w E* – w pełni skorygowanej wartości ekspozycji – a następnie odzwierciedlane w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8D24A6" w:rsidRPr="00AA1421" w:rsidRDefault="008D24A6" w:rsidP="008D24A6">
            <w:pPr>
              <w:rPr>
                <w:rFonts w:ascii="Times New Roman" w:hAnsi="Times New Roman"/>
                <w:sz w:val="24"/>
              </w:rPr>
            </w:pPr>
            <w:r w:rsidRPr="00AA1421">
              <w:rPr>
                <w:rFonts w:ascii="Times New Roman" w:hAnsi="Times New Roman"/>
                <w:sz w:val="24"/>
              </w:rPr>
              <w:t>Średnia wartość LGD ważona ekspozycją związana z każdą „klasą jakości lub pulą dłużnika” PD wynika ze średniej ostrożnościowych wartości LGD przypisanych do ekspozycji tej klasy jakości/puli PD, ważonych stosownymi wartościami ekspozycji z kolumny 0110.</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stosowania własnych oszacowań LGD uwzględnia się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75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CRR.</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ekspozycji z uwzględnieniem ujęcia podwójnego niewykonania zobowiązania LGD, które należy zgłosić, odpowiada temu wybranemu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8D24A6" w:rsidRPr="00AA1421" w:rsidRDefault="008D24A6" w:rsidP="008D24A6">
            <w:pPr>
              <w:rPr>
                <w:rFonts w:ascii="Times New Roman" w:hAnsi="Times New Roman"/>
                <w:sz w:val="24"/>
              </w:rPr>
            </w:pPr>
            <w:r w:rsidRPr="00AA1421">
              <w:rPr>
                <w:rFonts w:ascii="Times New Roman" w:hAnsi="Times New Roman"/>
                <w:sz w:val="24"/>
              </w:rPr>
              <w:t>Obliczanie średniej wartości LGD ważonej ekspozycją jest oparte na parametrach ryzyka rzeczywiście wykorzystywanych w skali ratingu wewnętrznego zatwierdzonej przez właściwy organ.</w:t>
            </w:r>
          </w:p>
          <w:p w:rsidR="008D24A6" w:rsidRPr="00AA1421" w:rsidRDefault="008D24A6" w:rsidP="008D24A6">
            <w:pPr>
              <w:rPr>
                <w:rFonts w:ascii="Times New Roman" w:hAnsi="Times New Roman"/>
                <w:sz w:val="24"/>
              </w:rPr>
            </w:pPr>
            <w:r w:rsidRPr="00AA1421">
              <w:rPr>
                <w:rFonts w:ascii="Times New Roman" w:hAnsi="Times New Roman"/>
                <w:sz w:val="24"/>
              </w:rPr>
              <w:t xml:space="preserve">Nie zgłasza się danych dotyczących ekspozycji związanych z kredytowaniem specjalistycznym,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Jeżeli PD szacuje się w odniesieniu do ekspozycji związanych z kredytowaniem specjalistycznym, dane zgłasza się na podstawie własnych oszacowań LGD lub regulacyjnych wartości LGD.</w:t>
            </w:r>
          </w:p>
          <w:p w:rsidR="008D24A6" w:rsidRPr="00AA1421" w:rsidRDefault="008D24A6" w:rsidP="008D24A6">
            <w:pPr>
              <w:rPr>
                <w:rFonts w:ascii="Times New Roman" w:hAnsi="Times New Roman"/>
                <w:sz w:val="24"/>
              </w:rPr>
            </w:pPr>
            <w:r w:rsidRPr="00AA1421">
              <w:rPr>
                <w:rFonts w:ascii="Times New Roman" w:hAnsi="Times New Roman"/>
                <w:sz w:val="24"/>
              </w:rPr>
              <w:t xml:space="preserve">Ekspozycji i odpowiednich wartości LGD dotyczących regulowanych dużych podmiotów sektora finansowego oraz nieregulowanych podmiotów finansowych nie uwzględnia się w obliczeniach na potrzeby kolumny 0230, ale wyłącznie w obliczeniach dla celów kolumny 0240. </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lastRenderedPageBreak/>
              <w:t>0240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ŚREDNIA WARTOŚĆ LGD WAŻONA EKSPOZYCJĄ (%) W ODNIESIENIU DO DUŻYCH PODMIOTÓW SEKTORA FINANSOWEGO ORAZ NIEREGULOWANYCH PODMIOTÓW FINANSOWYCH</w:t>
            </w:r>
          </w:p>
          <w:p w:rsidR="008D24A6" w:rsidRPr="00AA1421" w:rsidRDefault="008D24A6" w:rsidP="002669F8">
            <w:pPr>
              <w:rPr>
                <w:rFonts w:ascii="Times New Roman" w:hAnsi="Times New Roman"/>
                <w:sz w:val="24"/>
              </w:rPr>
            </w:pPr>
            <w:r w:rsidRPr="00AA1421">
              <w:rPr>
                <w:rFonts w:ascii="Times New Roman" w:hAnsi="Times New Roman"/>
                <w:sz w:val="24"/>
              </w:rPr>
              <w:t xml:space="preserve">Średnia wartość LGD ważona ekspozycją (%) dla wszystkich ekspozycji wobec dużych podmiotów sektora finansowego zdefiniowanych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oraz wobec nieregulowanych podmiotów sektora finansowego zdefiniowanych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z zastrzeżeniem wyższego współczynnika korelacji określonej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0250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ŚREDNI TERMIN ZAPADALNOŚCI WAŻONY EKSPOZYCJĄ (W DNIACH)</w:t>
            </w:r>
          </w:p>
          <w:p w:rsidR="008D24A6" w:rsidRPr="00AA1421" w:rsidRDefault="008D24A6" w:rsidP="008D24A6">
            <w:pPr>
              <w:rPr>
                <w:rFonts w:ascii="Times New Roman" w:hAnsi="Times New Roman"/>
                <w:sz w:val="24"/>
              </w:rPr>
            </w:pPr>
            <w:r w:rsidRPr="00AA1421">
              <w:rPr>
                <w:rFonts w:ascii="Times New Roman" w:hAnsi="Times New Roman"/>
                <w:sz w:val="24"/>
              </w:rPr>
              <w:t xml:space="preserve">Zgłaszaną wartość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62 CRR. Wartość ekspozycji (kolumna 0110) wykorzystuje się do obliczenia średnich wartości ważonych ekspozycją. Średni termin zapadalności podawany jest jako liczba dni.</w:t>
            </w:r>
          </w:p>
          <w:p w:rsidR="008D24A6" w:rsidRPr="00AA1421" w:rsidRDefault="008D24A6" w:rsidP="008D24A6">
            <w:pPr>
              <w:rPr>
                <w:rFonts w:ascii="Times New Roman" w:hAnsi="Times New Roman"/>
                <w:sz w:val="24"/>
              </w:rPr>
            </w:pPr>
            <w:r w:rsidRPr="00AA1421">
              <w:rPr>
                <w:rFonts w:ascii="Times New Roman" w:hAnsi="Times New Roman"/>
                <w:sz w:val="24"/>
              </w:rPr>
              <w:t>Dane te nie są zgłaszane w odniesieniu do wartości ekspozycji, dla których zapadalność nie jest elementem obliczeń kwot ekspozycji ważonych ryzykiem. Oznacza to, że kolumna ta nie zostanie wypełniona w przypadku kategorii ekspozycji „ekspozycje detaliczne”.</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0255</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KWOTA EKSPOZYCJI WAŻONEJ RYZYKIEM PRZED UWZGLĘDNIENIEM WSPÓŁCZYNNIKÓW WSPARCIA</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ekspozycji wobec rządów centralnych i banków centralnych oraz wobec przedsiębiorstw i instytucji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2, 3 i 4 CRR. W odniesieniu do ekspozycji detalicznych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t>
            </w:r>
          </w:p>
          <w:p w:rsidR="008D24A6" w:rsidRPr="00AA1421" w:rsidRDefault="008D24A6" w:rsidP="003F19BA">
            <w:pPr>
              <w:rPr>
                <w:rFonts w:ascii="Times New Roman" w:hAnsi="Times New Roman"/>
                <w:b/>
                <w:sz w:val="24"/>
                <w:u w:val="single"/>
              </w:rPr>
            </w:pPr>
            <w:r w:rsidRPr="00AA1421">
              <w:rPr>
                <w:rFonts w:ascii="Times New Roman" w:hAnsi="Times New Roman"/>
                <w:sz w:val="24"/>
              </w:rPr>
              <w:lastRenderedPageBreak/>
              <w:t xml:space="preserve">Nie bierze się pod uwagę współczynników wsparcia MŚP oraz infrastruktury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 i 501a CRR.</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lastRenderedPageBreak/>
              <w:t>0256</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 KOREKTA KWOTY EKSPOZYCJI WAŻONEJ RYZYKIEM WYNIKAJĄCA ZE WSPÓŁCZYNNIKA WSPARCIA MŚP</w:t>
            </w:r>
          </w:p>
          <w:p w:rsidR="008D24A6" w:rsidRPr="00AA1421" w:rsidRDefault="008D24A6" w:rsidP="008D24A6">
            <w:pPr>
              <w:rPr>
                <w:rFonts w:ascii="Times New Roman" w:hAnsi="Times New Roman"/>
                <w:b/>
                <w:sz w:val="24"/>
                <w:u w:val="single"/>
              </w:rPr>
            </w:pPr>
            <w:r w:rsidRPr="00AA1421">
              <w:rPr>
                <w:rFonts w:ascii="Times New Roman" w:hAnsi="Times New Roman"/>
                <w:sz w:val="24"/>
              </w:rPr>
              <w:t xml:space="preserve">Odliczenie różnicy kwot ekspozycji ważonych ryzykiem dla ekspozycji, których nie dotyczy niewykonanie zobowiązania, wobec MŚP (RWEA), które oblicza się zgodnie z częścią trzecią tytuł II rozdział 3 CRR, stosownie do przypadku, i RWEA*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 CRR.</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0257</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 KOREKTA KWOTY EKSPOZYCJI WAŻONEJ RYZYKIEM WYNIKAJĄCA ZE WSPÓŁCZYNNIKA WSPARCIA INFRASTRUKTURY</w:t>
            </w:r>
          </w:p>
          <w:p w:rsidR="008D24A6" w:rsidRPr="00AA1421" w:rsidRDefault="008D24A6" w:rsidP="00E50FA0">
            <w:pPr>
              <w:rPr>
                <w:rFonts w:ascii="Times New Roman" w:hAnsi="Times New Roman"/>
                <w:b/>
                <w:sz w:val="24"/>
                <w:u w:val="single"/>
              </w:rPr>
            </w:pPr>
            <w:r w:rsidRPr="00AA1421">
              <w:rPr>
                <w:rFonts w:ascii="Times New Roman" w:hAnsi="Times New Roman"/>
                <w:sz w:val="24"/>
              </w:rPr>
              <w:t xml:space="preserve">Odliczenie różnicy kwot ekspozycji ważonej ryzykiem obliczanych zgodnie z częścią trzecią tytuł II CRR i RWEA skorygowanej o ryzyko kredytowe w odniesieniu do ekspozycji wobec podmiotów, które obsługują lub finansują fizyczne obiekty lub instalacje, systemy i sieci zapewniające lub wspierające podstawowe usługi publiczne,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01a CRR</w:t>
            </w:r>
          </w:p>
        </w:tc>
      </w:tr>
      <w:tr w:rsidR="008D24A6" w:rsidRPr="00AA1421" w:rsidTr="00672D2A">
        <w:tc>
          <w:tcPr>
            <w:tcW w:w="1188" w:type="dxa"/>
            <w:shd w:val="clear" w:color="auto" w:fill="auto"/>
          </w:tcPr>
          <w:p w:rsidR="008D24A6" w:rsidRPr="00AA1421" w:rsidRDefault="001452FC" w:rsidP="008D24A6">
            <w:pPr>
              <w:rPr>
                <w:rFonts w:ascii="Times New Roman" w:hAnsi="Times New Roman"/>
                <w:sz w:val="24"/>
              </w:rPr>
            </w:pPr>
            <w:r w:rsidRPr="00AA1421">
              <w:rPr>
                <w:rFonts w:ascii="Times New Roman" w:hAnsi="Times New Roman"/>
                <w:sz w:val="24"/>
              </w:rPr>
              <w:t>0260</w:t>
            </w:r>
          </w:p>
        </w:tc>
        <w:tc>
          <w:tcPr>
            <w:tcW w:w="8843" w:type="dxa"/>
            <w:shd w:val="clear" w:color="auto" w:fill="auto"/>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KWOTA EKSPOZYCJI WAŻONEJ RYZYKIEM PO UWZGLĘDNIENIU WSPÓŁCZYNNIKÓW WSPARCIA</w:t>
            </w:r>
          </w:p>
          <w:p w:rsidR="008D24A6" w:rsidRPr="00AA1421" w:rsidRDefault="008D24A6" w:rsidP="008D24A6">
            <w:pPr>
              <w:rPr>
                <w:rFonts w:ascii="Times New Roman" w:hAnsi="Times New Roman"/>
                <w:sz w:val="24"/>
              </w:rPr>
            </w:pPr>
            <w:r w:rsidRPr="00AA1421">
              <w:rPr>
                <w:rFonts w:ascii="Times New Roman" w:hAnsi="Times New Roman"/>
                <w:sz w:val="24"/>
              </w:rPr>
              <w:t xml:space="preserve">W przypadku ekspozycji wobec rządów centralnych i banków centralnych oraz wobec przedsiębiorstw i instytucji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2, 3 i 4 CRR. W odniesieniu do ekspozycji detalicznych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8D24A6" w:rsidRPr="00AA1421" w:rsidRDefault="008D24A6" w:rsidP="003F19BA">
            <w:pPr>
              <w:rPr>
                <w:rFonts w:ascii="Times New Roman" w:hAnsi="Times New Roman"/>
                <w:b/>
                <w:sz w:val="24"/>
                <w:u w:val="single"/>
              </w:rPr>
            </w:pPr>
            <w:r w:rsidRPr="00AA1421">
              <w:rPr>
                <w:rFonts w:ascii="Times New Roman" w:hAnsi="Times New Roman"/>
                <w:sz w:val="24"/>
              </w:rPr>
              <w:t xml:space="preserve">Bierze się pod uwagę współczynniki wsparcia MŚP oraz infrastruktury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 i 501a CRR.</w:t>
            </w:r>
          </w:p>
        </w:tc>
      </w:tr>
      <w:tr w:rsidR="008D24A6" w:rsidRPr="00AA1421" w:rsidTr="00672D2A">
        <w:tc>
          <w:tcPr>
            <w:tcW w:w="1188" w:type="dxa"/>
            <w:shd w:val="clear" w:color="auto" w:fill="auto"/>
          </w:tcPr>
          <w:p w:rsidR="008D24A6" w:rsidRPr="00AA1421" w:rsidRDefault="001452FC" w:rsidP="008D24A6">
            <w:pPr>
              <w:rPr>
                <w:rFonts w:ascii="Times New Roman" w:hAnsi="Times New Roman"/>
                <w:sz w:val="24"/>
              </w:rPr>
            </w:pPr>
            <w:r w:rsidRPr="00AA1421">
              <w:rPr>
                <w:rFonts w:ascii="Times New Roman" w:hAnsi="Times New Roman"/>
                <w:sz w:val="24"/>
              </w:rPr>
              <w:t>0270</w:t>
            </w:r>
          </w:p>
        </w:tc>
        <w:tc>
          <w:tcPr>
            <w:tcW w:w="8843" w:type="dxa"/>
            <w:shd w:val="clear" w:color="auto" w:fill="auto"/>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W TYM: DUŻE PODMIOTY SEKTORA FINANSOWEGO ORAZ NIEREGULOWANE PODMIOTY FINANSOWE</w:t>
            </w:r>
          </w:p>
          <w:p w:rsidR="008D24A6" w:rsidRPr="00AA1421" w:rsidDel="005A2363" w:rsidRDefault="008D24A6" w:rsidP="008D24A6">
            <w:pPr>
              <w:rPr>
                <w:rFonts w:ascii="Times New Roman" w:hAnsi="Times New Roman"/>
                <w:sz w:val="24"/>
              </w:rPr>
            </w:pPr>
            <w:r w:rsidRPr="00AA1421">
              <w:rPr>
                <w:rFonts w:ascii="Times New Roman" w:hAnsi="Times New Roman"/>
                <w:sz w:val="24"/>
              </w:rPr>
              <w:t xml:space="preserve">Podział kwoty ekspozycji ważonej ryzykiem po uwzględnieniu współczynnika wsparcia MŚP dla wszystkich ekspozycji wobec dużych podmiotów sektora finansowego zdefiniowanych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oraz wobec nieregulowanych podmiotów sektora finansowego zdefiniowanych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z zastrzeżeniem wyższego współczynnika korelacji określonej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0280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KWOTA OCZEKIWANEJ STRATY</w:t>
            </w:r>
          </w:p>
          <w:p w:rsidR="008D24A6" w:rsidRPr="00AA1421" w:rsidRDefault="008D24A6" w:rsidP="008D24A6">
            <w:pPr>
              <w:jc w:val="left"/>
              <w:rPr>
                <w:rFonts w:ascii="Times New Roman" w:hAnsi="Times New Roman"/>
                <w:sz w:val="24"/>
              </w:rPr>
            </w:pPr>
            <w:r w:rsidRPr="00AA1421">
              <w:rPr>
                <w:rFonts w:ascii="Times New Roman" w:hAnsi="Times New Roman"/>
                <w:sz w:val="24"/>
              </w:rPr>
              <w:t xml:space="preserve">Definicja oczekiwanej straty –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obliczanie kwoty oczekiwanej straty –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58 CRR. W odniesieniu do ekspozycji, których dotyczy niewykonanie zobowiązania,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h)</w:t>
            </w:r>
            <w:r w:rsidRPr="00AA1421">
              <w:rPr>
                <w:rFonts w:ascii="Times New Roman" w:hAnsi="Times New Roman"/>
                <w:sz w:val="24"/>
              </w:rPr>
              <w:t xml:space="preserve"> CRR. Kwota oczekiwanej straty, którą należy zgłosić, opiera się na parametrach ryzyka rzeczywiście wykorzystywanych w skali ratingu wewnętrznego zatwierdzonej przez właściwy organ.</w:t>
            </w:r>
          </w:p>
        </w:tc>
      </w:tr>
      <w:tr w:rsidR="008D24A6" w:rsidRPr="00AA1421" w:rsidTr="00672D2A">
        <w:tc>
          <w:tcPr>
            <w:tcW w:w="1188" w:type="dxa"/>
          </w:tcPr>
          <w:p w:rsidR="008D24A6" w:rsidRPr="00AA1421" w:rsidRDefault="001452FC" w:rsidP="008D24A6">
            <w:pPr>
              <w:rPr>
                <w:rFonts w:ascii="Times New Roman" w:hAnsi="Times New Roman"/>
                <w:sz w:val="24"/>
              </w:rPr>
            </w:pPr>
            <w:r w:rsidRPr="00AA1421">
              <w:rPr>
                <w:rFonts w:ascii="Times New Roman" w:hAnsi="Times New Roman"/>
                <w:sz w:val="24"/>
              </w:rPr>
              <w:t>0290</w:t>
            </w:r>
          </w:p>
        </w:tc>
        <w:tc>
          <w:tcPr>
            <w:tcW w:w="8843" w:type="dxa"/>
          </w:tcPr>
          <w:p w:rsidR="008D24A6" w:rsidRPr="00AA1421" w:rsidRDefault="008D24A6" w:rsidP="008D24A6">
            <w:pPr>
              <w:rPr>
                <w:rFonts w:ascii="Times New Roman" w:hAnsi="Times New Roman"/>
                <w:b/>
                <w:sz w:val="24"/>
                <w:u w:val="single"/>
              </w:rPr>
            </w:pPr>
            <w:r w:rsidRPr="00AA1421">
              <w:rPr>
                <w:rFonts w:ascii="Times New Roman" w:hAnsi="Times New Roman"/>
                <w:b/>
                <w:sz w:val="24"/>
                <w:u w:val="single"/>
              </w:rPr>
              <w:t>(-) KOREKTY WARTOŚCI I REZERWY</w:t>
            </w:r>
          </w:p>
          <w:p w:rsidR="008D24A6" w:rsidRPr="00AA1421" w:rsidRDefault="008D24A6" w:rsidP="008D24A6">
            <w:pPr>
              <w:rPr>
                <w:rFonts w:ascii="Times New Roman" w:hAnsi="Times New Roman"/>
                <w:sz w:val="24"/>
              </w:rPr>
            </w:pPr>
            <w:r w:rsidRPr="00AA1421">
              <w:rPr>
                <w:rFonts w:ascii="Times New Roman" w:hAnsi="Times New Roman"/>
                <w:sz w:val="24"/>
              </w:rPr>
              <w:t xml:space="preserve">Zgłasza się korekty wartości oraz korekty z tytułu szczególnego i ogólnego ryzyka kredytowego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59 CRR. Korekty z tytułu ogólnego ryzyka kredytowego</w:t>
            </w:r>
            <w:r w:rsidRPr="00AA1421">
              <w:rPr>
                <w:rFonts w:ascii="Times New Roman" w:hAnsi="Times New Roman"/>
                <w:b/>
                <w:bCs/>
                <w:i/>
                <w:iCs/>
                <w:sz w:val="24"/>
              </w:rPr>
              <w:t xml:space="preserve"> </w:t>
            </w:r>
            <w:r w:rsidRPr="00AA1421">
              <w:rPr>
                <w:rFonts w:ascii="Times New Roman" w:hAnsi="Times New Roman"/>
                <w:sz w:val="24"/>
              </w:rPr>
              <w:t>zgłasza się poprzez przypisanie kwoty proporcjonalnej na podstawie oczekiwanej straty w różnych klasach jakości dłużnika.</w:t>
            </w:r>
          </w:p>
        </w:tc>
      </w:tr>
      <w:tr w:rsidR="008D24A6" w:rsidRPr="00AA1421" w:rsidTr="00672D2A">
        <w:tc>
          <w:tcPr>
            <w:tcW w:w="1188" w:type="dxa"/>
          </w:tcPr>
          <w:p w:rsidR="008D24A6" w:rsidRPr="00AA1421" w:rsidRDefault="001452FC" w:rsidP="008D24A6">
            <w:pPr>
              <w:ind w:right="-288"/>
              <w:rPr>
                <w:rFonts w:ascii="Times New Roman" w:hAnsi="Times New Roman"/>
                <w:sz w:val="24"/>
              </w:rPr>
            </w:pPr>
            <w:r w:rsidRPr="00AA1421">
              <w:rPr>
                <w:rFonts w:ascii="Times New Roman" w:hAnsi="Times New Roman"/>
                <w:sz w:val="24"/>
              </w:rPr>
              <w:t>0300</w:t>
            </w:r>
          </w:p>
        </w:tc>
        <w:tc>
          <w:tcPr>
            <w:tcW w:w="8843" w:type="dxa"/>
          </w:tcPr>
          <w:p w:rsidR="008D24A6" w:rsidRPr="00AA1421" w:rsidRDefault="008D24A6" w:rsidP="008D24A6">
            <w:pPr>
              <w:ind w:right="-288"/>
              <w:rPr>
                <w:rFonts w:ascii="Times New Roman" w:hAnsi="Times New Roman"/>
                <w:b/>
                <w:sz w:val="24"/>
                <w:u w:val="single"/>
              </w:rPr>
            </w:pPr>
            <w:r w:rsidRPr="00AA1421">
              <w:rPr>
                <w:rFonts w:ascii="Times New Roman" w:hAnsi="Times New Roman"/>
                <w:b/>
                <w:sz w:val="24"/>
                <w:u w:val="single"/>
              </w:rPr>
              <w:t>LICZBA DŁUŻNIKÓW</w:t>
            </w:r>
          </w:p>
          <w:p w:rsidR="008D24A6" w:rsidRPr="00AA1421" w:rsidRDefault="008D24A6" w:rsidP="008D24A6">
            <w:pPr>
              <w:rPr>
                <w:rFonts w:ascii="Times New Roman" w:hAnsi="Times New Roman"/>
                <w:sz w:val="24"/>
              </w:rPr>
            </w:pPr>
            <w:r w:rsidRPr="00AA1421">
              <w:rPr>
                <w:rFonts w:ascii="Times New Roman" w:hAnsi="Times New Roman"/>
                <w:sz w:val="24"/>
              </w:rPr>
              <w:lastRenderedPageBreak/>
              <w:t xml:space="preserve">Art. 172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CRR.</w:t>
            </w:r>
          </w:p>
          <w:p w:rsidR="008D24A6" w:rsidRPr="00AA1421" w:rsidRDefault="008D24A6" w:rsidP="008D24A6">
            <w:pPr>
              <w:rPr>
                <w:rFonts w:ascii="Times New Roman" w:hAnsi="Times New Roman"/>
                <w:sz w:val="24"/>
              </w:rPr>
            </w:pPr>
            <w:r w:rsidRPr="00AA1421">
              <w:rPr>
                <w:rFonts w:ascii="Times New Roman" w:hAnsi="Times New Roman"/>
                <w:sz w:val="24"/>
              </w:rPr>
              <w:t xml:space="preserve">Dla wszystkich kategorii ekspozycji, z wyjątkiem kategorii ekspozycji detalicznych i przypadków wymienionych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zdanie drugie CRR, instytucje zgłaszają liczbę podmiotów prawnych/dłużników, których oceniono oddzielnie, niezależnie od liczby różnych przyznanych pożyczek lub ekspozycji. </w:t>
            </w:r>
          </w:p>
          <w:p w:rsidR="008D24A6" w:rsidRPr="00AA1421" w:rsidRDefault="008D24A6" w:rsidP="008D24A6">
            <w:pPr>
              <w:rPr>
                <w:rFonts w:ascii="Times New Roman" w:hAnsi="Times New Roman"/>
                <w:sz w:val="24"/>
              </w:rPr>
            </w:pPr>
            <w:r w:rsidRPr="00AA1421">
              <w:rPr>
                <w:rFonts w:ascii="Times New Roman" w:hAnsi="Times New Roman"/>
                <w:sz w:val="24"/>
              </w:rPr>
              <w:t xml:space="preserve">W obrębie kategorii ekspozycji detalicznych lub jeżeli odrębne ekspozycje wobec tego samego dłużnika są przypisane do różnych klas jakości dłużnika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zdanie drugie CRR w innych kategoriach ekspozycji, instytucje zgłaszają liczbę ekspozycji, które zostały oddzielnie przypisane do określonej klasy jakości lub puli. Jeżeli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ma zastosowanie, dłużnik może zostać uwzględniony w więcej niż jednej klasie jakości.</w:t>
            </w:r>
          </w:p>
          <w:p w:rsidR="008D24A6" w:rsidRPr="00AA1421" w:rsidRDefault="008D24A6" w:rsidP="008D24A6">
            <w:pPr>
              <w:rPr>
                <w:rFonts w:ascii="Times New Roman" w:hAnsi="Times New Roman"/>
                <w:sz w:val="24"/>
              </w:rPr>
            </w:pPr>
            <w:r w:rsidRPr="00AA1421">
              <w:rPr>
                <w:rStyle w:val="InstructionsTabelleText"/>
                <w:rFonts w:ascii="Times New Roman" w:hAnsi="Times New Roman"/>
                <w:sz w:val="24"/>
              </w:rPr>
              <w:t xml:space="preserve">Jako że kolumna ta dotyczy elementu struktury </w:t>
            </w:r>
            <w:proofErr w:type="spellStart"/>
            <w:r w:rsidRPr="00AA1421">
              <w:rPr>
                <w:rStyle w:val="InstructionsTabelleText"/>
                <w:rFonts w:ascii="Times New Roman" w:hAnsi="Times New Roman"/>
                <w:sz w:val="24"/>
              </w:rPr>
              <w:t>skal</w:t>
            </w:r>
            <w:proofErr w:type="spellEnd"/>
            <w:r w:rsidRPr="00AA1421">
              <w:rPr>
                <w:rStyle w:val="InstructionsTabelleText"/>
                <w:rFonts w:ascii="Times New Roman" w:hAnsi="Times New Roman"/>
                <w:sz w:val="24"/>
              </w:rPr>
              <w:t xml:space="preserve"> ratingowych, odnosi się do pierwotnej ekspozycji przed uwzględnieniem współczynników konwersji przypisanych do każdej klasy jakości lub puli dłużnika bez brania pod uwagę efektu technik ograniczania ryzyka kredytowego (w szczególności efektów redystrybucji).</w:t>
            </w:r>
          </w:p>
        </w:tc>
      </w:tr>
      <w:tr w:rsidR="004D45AA" w:rsidRPr="00AA1421" w:rsidTr="00672D2A">
        <w:tc>
          <w:tcPr>
            <w:tcW w:w="1188" w:type="dxa"/>
          </w:tcPr>
          <w:p w:rsidR="004D45AA" w:rsidRPr="00AA1421" w:rsidRDefault="001452FC" w:rsidP="004D45AA">
            <w:pPr>
              <w:ind w:right="-288"/>
              <w:rPr>
                <w:rFonts w:ascii="Times New Roman" w:hAnsi="Times New Roman"/>
                <w:sz w:val="24"/>
              </w:rPr>
            </w:pPr>
            <w:r w:rsidRPr="00AA1421">
              <w:rPr>
                <w:rFonts w:ascii="Times New Roman" w:hAnsi="Times New Roman"/>
                <w:sz w:val="24"/>
              </w:rPr>
              <w:lastRenderedPageBreak/>
              <w:t>0310</w:t>
            </w:r>
          </w:p>
        </w:tc>
        <w:tc>
          <w:tcPr>
            <w:tcW w:w="8843" w:type="dxa"/>
          </w:tcPr>
          <w:p w:rsidR="004D45AA" w:rsidRPr="00AA1421" w:rsidRDefault="004D45AA" w:rsidP="004D45AA">
            <w:pPr>
              <w:ind w:right="-288"/>
              <w:rPr>
                <w:rFonts w:ascii="Times New Roman" w:hAnsi="Times New Roman"/>
                <w:b/>
                <w:sz w:val="24"/>
                <w:u w:val="single"/>
              </w:rPr>
            </w:pPr>
            <w:r w:rsidRPr="00AA1421">
              <w:rPr>
                <w:rFonts w:ascii="Times New Roman" w:hAnsi="Times New Roman"/>
                <w:b/>
                <w:sz w:val="24"/>
                <w:u w:val="single"/>
              </w:rPr>
              <w:t>KWOTA EKSPOZYCJI WAŻONEJ RYZYKIEM PRZY NIEUWZGLĘDNIENIU KREDYTOWYCH INSTRUMENTÓW POCHODNYCH</w:t>
            </w:r>
          </w:p>
          <w:p w:rsidR="004D45AA" w:rsidRPr="00AA1421" w:rsidRDefault="00BC61F2" w:rsidP="00974F0C">
            <w:pPr>
              <w:ind w:right="6"/>
              <w:rPr>
                <w:rFonts w:ascii="Times New Roman" w:hAnsi="Times New Roman"/>
                <w:b/>
                <w:sz w:val="24"/>
                <w:u w:val="single"/>
              </w:rPr>
            </w:pPr>
            <w:r w:rsidRPr="00AA1421">
              <w:rPr>
                <w:rStyle w:val="InstructionsTabelleText"/>
                <w:rFonts w:ascii="Times New Roman" w:hAnsi="Times New Roman"/>
                <w:sz w:val="24"/>
              </w:rPr>
              <w:t xml:space="preserve">Instytucje zgłaszają hipotetyczną kwotę ekspozycji ważonej ryzykiem, którą oblicza się jako RWEA bez uznawania kwalifikującego się kredytowego instrumentu pochodnego jako techniki ograniczania ryzyka kredytowego, jak określono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04 CRR. Kwoty te przedstawia się w kategoriach ekspozycji istotnych dla ekspozycji wobec dłużnika pierwotnego.</w:t>
            </w:r>
          </w:p>
        </w:tc>
      </w:tr>
    </w:tbl>
    <w:p w:rsidR="001C7AB7" w:rsidRPr="00AA1421"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AA1421" w:rsidTr="00672D2A">
        <w:tc>
          <w:tcPr>
            <w:tcW w:w="1242" w:type="dxa"/>
            <w:shd w:val="clear" w:color="auto" w:fill="CCCCCC"/>
          </w:tcPr>
          <w:p w:rsidR="001C7AB7" w:rsidRPr="00AA1421" w:rsidRDefault="001C7AB7" w:rsidP="001C7AB7">
            <w:pPr>
              <w:rPr>
                <w:rFonts w:ascii="Times New Roman" w:hAnsi="Times New Roman"/>
                <w:sz w:val="24"/>
              </w:rPr>
            </w:pPr>
            <w:r w:rsidRPr="00AA1421">
              <w:rPr>
                <w:rFonts w:ascii="Times New Roman" w:hAnsi="Times New Roman"/>
                <w:sz w:val="24"/>
              </w:rPr>
              <w:t>Wiersze</w:t>
            </w:r>
          </w:p>
        </w:tc>
        <w:tc>
          <w:tcPr>
            <w:tcW w:w="8789" w:type="dxa"/>
            <w:shd w:val="clear" w:color="auto" w:fill="CCCCCC"/>
          </w:tcPr>
          <w:p w:rsidR="001C7AB7" w:rsidRPr="00AA1421" w:rsidRDefault="001C7AB7" w:rsidP="001C7AB7">
            <w:pPr>
              <w:ind w:left="72"/>
              <w:rPr>
                <w:rFonts w:ascii="Times New Roman" w:hAnsi="Times New Roman"/>
                <w:sz w:val="24"/>
              </w:rPr>
            </w:pPr>
            <w:r w:rsidRPr="00AA1421">
              <w:rPr>
                <w:rFonts w:ascii="Times New Roman" w:hAnsi="Times New Roman"/>
                <w:sz w:val="24"/>
              </w:rPr>
              <w:t>Instrukcje</w:t>
            </w:r>
          </w:p>
        </w:tc>
      </w:tr>
      <w:tr w:rsidR="001C7AB7" w:rsidRPr="00AA1421" w:rsidTr="00672D2A">
        <w:tc>
          <w:tcPr>
            <w:tcW w:w="1242" w:type="dxa"/>
          </w:tcPr>
          <w:p w:rsidR="001C7AB7" w:rsidRPr="00AA1421" w:rsidRDefault="001452FC" w:rsidP="001C7AB7">
            <w:pPr>
              <w:rPr>
                <w:rFonts w:ascii="Times New Roman" w:hAnsi="Times New Roman"/>
                <w:sz w:val="24"/>
              </w:rPr>
            </w:pPr>
            <w:r w:rsidRPr="00AA1421">
              <w:rPr>
                <w:rFonts w:ascii="Times New Roman" w:hAnsi="Times New Roman"/>
                <w:sz w:val="24"/>
              </w:rPr>
              <w:t>0010</w:t>
            </w:r>
          </w:p>
        </w:tc>
        <w:tc>
          <w:tcPr>
            <w:tcW w:w="8789" w:type="dxa"/>
          </w:tcPr>
          <w:p w:rsidR="00284A6D" w:rsidRPr="00AA1421" w:rsidRDefault="001C7AB7" w:rsidP="004D45AA">
            <w:pPr>
              <w:rPr>
                <w:rFonts w:ascii="Times New Roman" w:hAnsi="Times New Roman"/>
                <w:sz w:val="24"/>
              </w:rPr>
            </w:pPr>
            <w:r w:rsidRPr="00AA1421">
              <w:rPr>
                <w:rFonts w:ascii="Times New Roman" w:hAnsi="Times New Roman"/>
                <w:b/>
                <w:sz w:val="24"/>
                <w:u w:val="single"/>
              </w:rPr>
              <w:t>EKSPOZYCJE CAŁKOWITE</w:t>
            </w:r>
          </w:p>
        </w:tc>
      </w:tr>
      <w:tr w:rsidR="00785F3E" w:rsidRPr="00AA1421" w:rsidTr="00672D2A">
        <w:tc>
          <w:tcPr>
            <w:tcW w:w="1242" w:type="dxa"/>
          </w:tcPr>
          <w:p w:rsidR="00785F3E" w:rsidRPr="00AA1421" w:rsidRDefault="003C3168" w:rsidP="001C7AB7">
            <w:pPr>
              <w:rPr>
                <w:rFonts w:ascii="Times New Roman" w:hAnsi="Times New Roman"/>
                <w:sz w:val="24"/>
              </w:rPr>
            </w:pPr>
            <w:r w:rsidRPr="00AA1421">
              <w:rPr>
                <w:rFonts w:ascii="Times New Roman" w:hAnsi="Times New Roman"/>
                <w:sz w:val="24"/>
              </w:rPr>
              <w:t>0015</w:t>
            </w:r>
          </w:p>
        </w:tc>
        <w:tc>
          <w:tcPr>
            <w:tcW w:w="8789" w:type="dxa"/>
          </w:tcPr>
          <w:p w:rsidR="00785F3E" w:rsidRPr="00AA1421" w:rsidRDefault="00785F3E" w:rsidP="00785F3E">
            <w:pPr>
              <w:rPr>
                <w:rFonts w:ascii="Times New Roman" w:hAnsi="Times New Roman"/>
                <w:b/>
                <w:sz w:val="24"/>
                <w:u w:val="single"/>
              </w:rPr>
            </w:pPr>
            <w:r w:rsidRPr="00AA1421">
              <w:rPr>
                <w:rFonts w:ascii="Times New Roman" w:hAnsi="Times New Roman"/>
                <w:b/>
                <w:sz w:val="24"/>
                <w:u w:val="single"/>
              </w:rPr>
              <w:t>W tym: ekspozycje podlegające współczynnikowi wsparcia MŚP</w:t>
            </w:r>
          </w:p>
          <w:p w:rsidR="00785F3E" w:rsidRPr="00AA1421" w:rsidRDefault="00785F3E" w:rsidP="00785F3E">
            <w:pPr>
              <w:rPr>
                <w:rFonts w:ascii="Times New Roman" w:hAnsi="Times New Roman"/>
                <w:sz w:val="24"/>
              </w:rPr>
            </w:pPr>
            <w:r w:rsidRPr="00AA1421">
              <w:rPr>
                <w:rFonts w:ascii="Times New Roman" w:hAnsi="Times New Roman"/>
                <w:sz w:val="24"/>
              </w:rPr>
              <w:t xml:space="preserve">W tym miejscu zgłasza się wyłącznie ekspozycje, które spełniają wymogi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 CRR.</w:t>
            </w: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0016</w:t>
            </w:r>
          </w:p>
        </w:tc>
        <w:tc>
          <w:tcPr>
            <w:tcW w:w="8789" w:type="dxa"/>
          </w:tcPr>
          <w:p w:rsidR="004D45AA" w:rsidRPr="00AA1421" w:rsidRDefault="004D45AA" w:rsidP="004D45AA">
            <w:pPr>
              <w:rPr>
                <w:rFonts w:ascii="Times New Roman" w:hAnsi="Times New Roman"/>
                <w:b/>
                <w:sz w:val="24"/>
                <w:u w:val="single"/>
              </w:rPr>
            </w:pPr>
            <w:r w:rsidRPr="00AA1421">
              <w:rPr>
                <w:rFonts w:ascii="Times New Roman" w:hAnsi="Times New Roman"/>
                <w:b/>
                <w:sz w:val="24"/>
                <w:u w:val="single"/>
              </w:rPr>
              <w:t xml:space="preserve">W tym: </w:t>
            </w:r>
            <w:r w:rsidR="00D723DD" w:rsidRPr="00AA1421">
              <w:rPr>
                <w:rFonts w:ascii="Times New Roman" w:hAnsi="Times New Roman"/>
                <w:b/>
                <w:sz w:val="24"/>
                <w:u w:val="single"/>
              </w:rPr>
              <w:t>e</w:t>
            </w:r>
            <w:r w:rsidRPr="00AA1421">
              <w:rPr>
                <w:rFonts w:ascii="Times New Roman" w:hAnsi="Times New Roman"/>
                <w:b/>
                <w:sz w:val="24"/>
                <w:u w:val="single"/>
              </w:rPr>
              <w:t>kspozycje podlegające współczynnikowi wsparcia infrastruktury</w:t>
            </w:r>
          </w:p>
          <w:p w:rsidR="004D45AA" w:rsidRPr="00AA1421" w:rsidRDefault="004D45AA" w:rsidP="004D45AA">
            <w:pPr>
              <w:rPr>
                <w:rFonts w:ascii="Times New Roman" w:hAnsi="Times New Roman"/>
                <w:b/>
                <w:sz w:val="24"/>
                <w:u w:val="single"/>
              </w:rPr>
            </w:pPr>
            <w:r w:rsidRPr="00AA1421">
              <w:rPr>
                <w:rFonts w:ascii="Times New Roman" w:hAnsi="Times New Roman"/>
                <w:sz w:val="24"/>
              </w:rPr>
              <w:t xml:space="preserve">W tym miejscu zgłasza się wyłącznie ekspozycje, które spełniają wymogi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01a CRR.</w:t>
            </w: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0020-0060</w:t>
            </w:r>
          </w:p>
        </w:tc>
        <w:tc>
          <w:tcPr>
            <w:tcW w:w="8789" w:type="dxa"/>
          </w:tcPr>
          <w:p w:rsidR="004D45AA" w:rsidRPr="00AA1421" w:rsidRDefault="004D45AA" w:rsidP="004D45AA">
            <w:pPr>
              <w:rPr>
                <w:rFonts w:ascii="Times New Roman" w:hAnsi="Times New Roman"/>
                <w:sz w:val="24"/>
              </w:rPr>
            </w:pPr>
            <w:r w:rsidRPr="00AA1421">
              <w:rPr>
                <w:rFonts w:ascii="Times New Roman" w:hAnsi="Times New Roman"/>
                <w:sz w:val="24"/>
              </w:rPr>
              <w:t>PODZIAŁ EKSPOZYCJI CAŁKOWITYCH WEDŁUG RODZAJÓW EKSPOZYCJI:</w:t>
            </w: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0020</w:t>
            </w:r>
          </w:p>
        </w:tc>
        <w:tc>
          <w:tcPr>
            <w:tcW w:w="8789" w:type="dxa"/>
          </w:tcPr>
          <w:p w:rsidR="004D45AA" w:rsidRPr="00AA1421" w:rsidRDefault="004D45AA" w:rsidP="004D45AA">
            <w:pPr>
              <w:rPr>
                <w:rFonts w:ascii="Times New Roman" w:hAnsi="Times New Roman"/>
                <w:b/>
                <w:sz w:val="24"/>
                <w:u w:val="single"/>
              </w:rPr>
            </w:pPr>
            <w:r w:rsidRPr="00AA1421">
              <w:rPr>
                <w:rFonts w:ascii="Times New Roman" w:hAnsi="Times New Roman"/>
                <w:b/>
                <w:sz w:val="24"/>
                <w:u w:val="single"/>
              </w:rPr>
              <w:t xml:space="preserve">Pozycje bilansowe podlegające ryzyku kredytowemu </w:t>
            </w:r>
          </w:p>
          <w:p w:rsidR="004D45AA" w:rsidRPr="00AA1421" w:rsidRDefault="004D45AA" w:rsidP="004D45AA">
            <w:pPr>
              <w:rPr>
                <w:rStyle w:val="InstructionsTabelleText"/>
                <w:rFonts w:ascii="Times New Roman" w:hAnsi="Times New Roman"/>
                <w:sz w:val="24"/>
              </w:rPr>
            </w:pPr>
            <w:r w:rsidRPr="00AA1421">
              <w:rPr>
                <w:rStyle w:val="InstructionsTabelleText"/>
                <w:rFonts w:ascii="Times New Roman" w:hAnsi="Times New Roman"/>
                <w:sz w:val="24"/>
              </w:rPr>
              <w:t xml:space="preserve">Aktywów, o których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4 CRR, nie ujmuje się w żadnej innej kategorii.</w:t>
            </w:r>
          </w:p>
          <w:p w:rsidR="004D45AA" w:rsidRPr="00AA1421" w:rsidRDefault="004D45AA" w:rsidP="004D45AA">
            <w:pPr>
              <w:rPr>
                <w:rStyle w:val="InstructionsTabelleText"/>
                <w:rFonts w:ascii="Times New Roman" w:hAnsi="Times New Roman"/>
                <w:sz w:val="24"/>
              </w:rPr>
            </w:pPr>
            <w:r w:rsidRPr="00AA1421">
              <w:rPr>
                <w:rStyle w:val="InstructionsTabelleText"/>
                <w:rFonts w:ascii="Times New Roman" w:hAnsi="Times New Roman"/>
                <w:sz w:val="24"/>
              </w:rPr>
              <w:t>Ekspozycje podlegające ryzyku kredytowemu kontrahenta zgłasza się w wierszach 0040–0060, a zatem nie zgłasza się ich w tym wierszu.</w:t>
            </w:r>
          </w:p>
          <w:p w:rsidR="004D45AA" w:rsidRPr="00AA1421" w:rsidRDefault="004D45AA" w:rsidP="004D45AA">
            <w:pPr>
              <w:rPr>
                <w:rStyle w:val="InstructionsTabelleText"/>
                <w:rFonts w:ascii="Times New Roman" w:hAnsi="Times New Roman"/>
                <w:sz w:val="24"/>
              </w:rPr>
            </w:pPr>
            <w:r w:rsidRPr="00AA1421">
              <w:rPr>
                <w:rStyle w:val="InstructionsTabelleText"/>
                <w:rFonts w:ascii="Times New Roman" w:hAnsi="Times New Roman"/>
                <w:sz w:val="24"/>
              </w:rPr>
              <w:lastRenderedPageBreak/>
              <w:t xml:space="preserve">Dostawy z późniejszym terminem rozliczenia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79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 (jeżeli nie zostały odliczone) nie są pozycjami bilansowymi, jednak zgłaszane są w tym wierszu.</w:t>
            </w:r>
          </w:p>
          <w:p w:rsidR="004D45AA" w:rsidRPr="00AA1421" w:rsidRDefault="004D45AA" w:rsidP="004D45AA">
            <w:pPr>
              <w:rPr>
                <w:rFonts w:ascii="Times New Roman" w:hAnsi="Times New Roman"/>
                <w:sz w:val="24"/>
              </w:rPr>
            </w:pP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lastRenderedPageBreak/>
              <w:t>0030</w:t>
            </w:r>
          </w:p>
        </w:tc>
        <w:tc>
          <w:tcPr>
            <w:tcW w:w="8789" w:type="dxa"/>
          </w:tcPr>
          <w:p w:rsidR="004D45AA" w:rsidRPr="00AA1421" w:rsidRDefault="004D45AA" w:rsidP="004D45AA">
            <w:pPr>
              <w:rPr>
                <w:rFonts w:ascii="Times New Roman" w:hAnsi="Times New Roman"/>
                <w:b/>
                <w:sz w:val="24"/>
                <w:u w:val="single"/>
              </w:rPr>
            </w:pPr>
            <w:r w:rsidRPr="00AA1421">
              <w:rPr>
                <w:rFonts w:ascii="Times New Roman" w:hAnsi="Times New Roman"/>
                <w:b/>
                <w:sz w:val="24"/>
                <w:u w:val="single"/>
              </w:rPr>
              <w:t>Pozycje pozabilansowe podlegające ryzyku kredytowemu</w:t>
            </w:r>
          </w:p>
          <w:p w:rsidR="004D45AA" w:rsidRPr="00AA1421" w:rsidRDefault="004D45AA" w:rsidP="004D45AA">
            <w:pPr>
              <w:rPr>
                <w:rStyle w:val="InstructionsTabelleText"/>
                <w:rFonts w:ascii="Times New Roman" w:hAnsi="Times New Roman"/>
                <w:sz w:val="24"/>
              </w:rPr>
            </w:pPr>
            <w:r w:rsidRPr="00AA1421">
              <w:rPr>
                <w:rStyle w:val="InstructionsTabelleText"/>
                <w:rFonts w:ascii="Times New Roman" w:hAnsi="Times New Roman"/>
                <w:sz w:val="24"/>
              </w:rPr>
              <w:t xml:space="preserve">Pozycje pozabilansowe zawierają pozycje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66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8</w:t>
            </w:r>
            <w:r w:rsidRPr="00AA1421">
              <w:rPr>
                <w:rStyle w:val="InstructionsTabelleText"/>
                <w:rFonts w:ascii="Times New Roman" w:hAnsi="Times New Roman"/>
                <w:sz w:val="24"/>
              </w:rPr>
              <w:t xml:space="preserve"> CRR, a także pozycje wymienione w załączniku I do CRR.</w:t>
            </w:r>
          </w:p>
          <w:p w:rsidR="004D45AA" w:rsidRPr="00AA1421" w:rsidRDefault="004D45AA" w:rsidP="004D45AA">
            <w:pPr>
              <w:rPr>
                <w:rStyle w:val="InstructionsTabelleText"/>
                <w:rFonts w:ascii="Times New Roman" w:hAnsi="Times New Roman"/>
                <w:sz w:val="24"/>
              </w:rPr>
            </w:pPr>
            <w:r w:rsidRPr="00AA1421">
              <w:rPr>
                <w:rStyle w:val="InstructionsTabelleText"/>
                <w:rFonts w:ascii="Times New Roman" w:hAnsi="Times New Roman"/>
                <w:sz w:val="24"/>
              </w:rPr>
              <w:t>Ekspozycje podlegające ryzyku kredytowemu kontrahenta zgłasza się w wierszach 0040–0060, a zatem nie zgłasza się ich w tym wierszu.</w:t>
            </w:r>
          </w:p>
          <w:p w:rsidR="004D45AA" w:rsidRPr="00AA1421" w:rsidRDefault="004D45AA" w:rsidP="004D45AA">
            <w:pPr>
              <w:rPr>
                <w:rFonts w:ascii="Times New Roman" w:hAnsi="Times New Roman"/>
                <w:sz w:val="24"/>
              </w:rPr>
            </w:pP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Style w:val="InstructionsTabelleText"/>
                <w:rFonts w:ascii="Times New Roman" w:hAnsi="Times New Roman"/>
                <w:sz w:val="24"/>
              </w:rPr>
              <w:t>0040-0060</w:t>
            </w:r>
          </w:p>
        </w:tc>
        <w:tc>
          <w:tcPr>
            <w:tcW w:w="8789" w:type="dxa"/>
          </w:tcPr>
          <w:p w:rsidR="004D45AA" w:rsidRPr="00AA1421" w:rsidRDefault="004D45AA" w:rsidP="004D45AA">
            <w:pPr>
              <w:rPr>
                <w:rStyle w:val="InstructionsTabelleberschrift"/>
                <w:rFonts w:ascii="Times New Roman" w:hAnsi="Times New Roman"/>
                <w:sz w:val="24"/>
              </w:rPr>
            </w:pPr>
            <w:r w:rsidRPr="00AA1421">
              <w:rPr>
                <w:rStyle w:val="InstructionsTabelleberschrift"/>
                <w:rFonts w:ascii="Times New Roman" w:hAnsi="Times New Roman"/>
                <w:sz w:val="24"/>
              </w:rPr>
              <w:t>Ekspozycje / transakcje podlegające ryzyku kredytowemu kontrahenta</w:t>
            </w:r>
          </w:p>
          <w:p w:rsidR="004D45AA" w:rsidRPr="00AA1421" w:rsidRDefault="004D45AA" w:rsidP="004D45AA">
            <w:pPr>
              <w:rPr>
                <w:rFonts w:ascii="Times New Roman" w:hAnsi="Times New Roman"/>
                <w:b/>
                <w:sz w:val="24"/>
                <w:u w:val="single"/>
              </w:rPr>
            </w:pPr>
            <w:r w:rsidRPr="00AA1421">
              <w:rPr>
                <w:rFonts w:ascii="Times New Roman" w:hAnsi="Times New Roman"/>
                <w:sz w:val="24"/>
              </w:rPr>
              <w:t>Zob. odpowiednie instrukcje dla CR SA w wierszach 0090–0130.</w:t>
            </w: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0040</w:t>
            </w:r>
          </w:p>
        </w:tc>
        <w:tc>
          <w:tcPr>
            <w:tcW w:w="8789" w:type="dxa"/>
          </w:tcPr>
          <w:p w:rsidR="004D45AA" w:rsidRPr="00AA1421" w:rsidRDefault="004D45AA" w:rsidP="00393FF2">
            <w:pPr>
              <w:rPr>
                <w:rStyle w:val="InstructionsTabelleberschrift"/>
                <w:rFonts w:ascii="Times New Roman" w:hAnsi="Times New Roman"/>
                <w:sz w:val="24"/>
              </w:rPr>
            </w:pPr>
            <w:r w:rsidRPr="00AA1421">
              <w:rPr>
                <w:rStyle w:val="InstructionsTabelleberschrift"/>
                <w:rFonts w:ascii="Times New Roman" w:hAnsi="Times New Roman"/>
                <w:sz w:val="24"/>
              </w:rPr>
              <w:t>Pakiety kompensowania transakcji finansowanych z użyciem papierów wartościowych</w:t>
            </w:r>
          </w:p>
          <w:p w:rsidR="004D45AA" w:rsidRPr="00AA1421" w:rsidRDefault="004D45AA" w:rsidP="00393FF2">
            <w:pPr>
              <w:rPr>
                <w:rFonts w:ascii="Times New Roman" w:hAnsi="Times New Roman"/>
                <w:sz w:val="24"/>
              </w:rPr>
            </w:pPr>
            <w:r w:rsidRPr="00AA1421">
              <w:rPr>
                <w:rFonts w:ascii="Times New Roman" w:hAnsi="Times New Roman"/>
                <w:sz w:val="24"/>
              </w:rPr>
              <w:t>Zob. odpowiednie instrukcje dla CR SA w wierszu 0090.</w:t>
            </w:r>
          </w:p>
          <w:p w:rsidR="004D45AA" w:rsidRPr="00AA1421" w:rsidRDefault="004D45AA" w:rsidP="004D45AA">
            <w:pPr>
              <w:rPr>
                <w:rFonts w:ascii="Times New Roman" w:hAnsi="Times New Roman"/>
                <w:sz w:val="24"/>
              </w:rPr>
            </w:pP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0050</w:t>
            </w:r>
          </w:p>
        </w:tc>
        <w:tc>
          <w:tcPr>
            <w:tcW w:w="8789" w:type="dxa"/>
          </w:tcPr>
          <w:p w:rsidR="004D45AA" w:rsidRPr="00AA1421" w:rsidRDefault="004D45AA" w:rsidP="004D45AA">
            <w:pPr>
              <w:rPr>
                <w:rFonts w:ascii="Times New Roman" w:hAnsi="Times New Roman"/>
                <w:b/>
                <w:sz w:val="24"/>
                <w:u w:val="single"/>
              </w:rPr>
            </w:pPr>
            <w:r w:rsidRPr="00AA1421">
              <w:rPr>
                <w:rFonts w:ascii="Times New Roman" w:hAnsi="Times New Roman"/>
                <w:b/>
                <w:sz w:val="24"/>
                <w:u w:val="single"/>
              </w:rPr>
              <w:t xml:space="preserve">Pakiety kompensowania </w:t>
            </w:r>
            <w:r w:rsidRPr="00AA1421">
              <w:rPr>
                <w:rStyle w:val="InstructionsTabelleberschrift"/>
                <w:rFonts w:ascii="Times New Roman" w:hAnsi="Times New Roman"/>
                <w:sz w:val="24"/>
              </w:rPr>
              <w:t>instrumentów pochodnych i transakcji z długim terminem rozliczenia</w:t>
            </w:r>
          </w:p>
          <w:p w:rsidR="004D45AA" w:rsidRPr="00AA1421" w:rsidRDefault="004D45AA" w:rsidP="00393FF2">
            <w:pPr>
              <w:rPr>
                <w:rFonts w:ascii="Times New Roman" w:hAnsi="Times New Roman"/>
                <w:sz w:val="24"/>
              </w:rPr>
            </w:pPr>
            <w:r w:rsidRPr="00AA1421">
              <w:rPr>
                <w:rFonts w:ascii="Times New Roman" w:hAnsi="Times New Roman"/>
                <w:sz w:val="24"/>
              </w:rPr>
              <w:t>Zob. odpowiednie instrukcje dla CR SA w wierszu 0110.</w:t>
            </w:r>
          </w:p>
          <w:p w:rsidR="004D45AA" w:rsidRPr="00AA1421" w:rsidRDefault="004D45AA" w:rsidP="004D45AA">
            <w:pPr>
              <w:ind w:left="72"/>
              <w:rPr>
                <w:rFonts w:ascii="Times New Roman" w:hAnsi="Times New Roman"/>
                <w:sz w:val="24"/>
              </w:rPr>
            </w:pP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0060</w:t>
            </w:r>
          </w:p>
        </w:tc>
        <w:tc>
          <w:tcPr>
            <w:tcW w:w="8789" w:type="dxa"/>
          </w:tcPr>
          <w:p w:rsidR="004D45AA" w:rsidRPr="00AA1421" w:rsidRDefault="004D45AA" w:rsidP="004D45AA">
            <w:pPr>
              <w:rPr>
                <w:rFonts w:ascii="Times New Roman" w:hAnsi="Times New Roman"/>
                <w:b/>
                <w:sz w:val="24"/>
                <w:u w:val="single"/>
              </w:rPr>
            </w:pPr>
            <w:r w:rsidRPr="00AA1421">
              <w:rPr>
                <w:rFonts w:ascii="Times New Roman" w:hAnsi="Times New Roman"/>
                <w:b/>
                <w:sz w:val="24"/>
                <w:u w:val="single"/>
              </w:rPr>
              <w:t xml:space="preserve">Pakiety kompensowania, dla których istnieją umowy o kompensowaniu </w:t>
            </w:r>
            <w:proofErr w:type="spellStart"/>
            <w:r w:rsidRPr="00AA1421">
              <w:rPr>
                <w:rFonts w:ascii="Times New Roman" w:hAnsi="Times New Roman"/>
                <w:b/>
                <w:sz w:val="24"/>
                <w:u w:val="single"/>
              </w:rPr>
              <w:t>międzyproduktowym</w:t>
            </w:r>
            <w:proofErr w:type="spellEnd"/>
          </w:p>
          <w:p w:rsidR="004D45AA" w:rsidRPr="00AA1421" w:rsidRDefault="004D45AA" w:rsidP="004D45AA">
            <w:pPr>
              <w:rPr>
                <w:rFonts w:ascii="Times New Roman" w:hAnsi="Times New Roman"/>
                <w:sz w:val="24"/>
              </w:rPr>
            </w:pPr>
            <w:r w:rsidRPr="00AA1421">
              <w:rPr>
                <w:rFonts w:ascii="Times New Roman" w:hAnsi="Times New Roman"/>
                <w:sz w:val="24"/>
              </w:rPr>
              <w:t>Zob. odpowiednie instrukcje dla CR SA w wierszu 0130.</w:t>
            </w: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0070</w:t>
            </w:r>
          </w:p>
        </w:tc>
        <w:tc>
          <w:tcPr>
            <w:tcW w:w="8789" w:type="dxa"/>
          </w:tcPr>
          <w:p w:rsidR="004D45AA" w:rsidRPr="00AA1421" w:rsidRDefault="004D45AA" w:rsidP="004D45AA">
            <w:pPr>
              <w:rPr>
                <w:rFonts w:ascii="Times New Roman" w:hAnsi="Times New Roman"/>
                <w:b/>
                <w:sz w:val="24"/>
                <w:u w:val="single"/>
              </w:rPr>
            </w:pPr>
            <w:r w:rsidRPr="00AA1421">
              <w:rPr>
                <w:rFonts w:ascii="Times New Roman" w:hAnsi="Times New Roman"/>
                <w:b/>
                <w:sz w:val="24"/>
                <w:u w:val="single"/>
              </w:rPr>
              <w:t>EKSPOZYCJE PRZYPISANE KLASOM JAKOŚCI LUB PULOM DŁUŻNIKÓW: RAZEM</w:t>
            </w:r>
          </w:p>
          <w:p w:rsidR="004D45AA" w:rsidRPr="00AA1421" w:rsidRDefault="004D45AA" w:rsidP="004D45AA">
            <w:pPr>
              <w:rPr>
                <w:rFonts w:ascii="Times New Roman" w:hAnsi="Times New Roman"/>
                <w:sz w:val="24"/>
              </w:rPr>
            </w:pPr>
            <w:r w:rsidRPr="00AA1421">
              <w:rPr>
                <w:rFonts w:ascii="Times New Roman" w:hAnsi="Times New Roman"/>
                <w:sz w:val="24"/>
              </w:rPr>
              <w:t xml:space="preserve">W odniesieniu do ekspozycji wobec przedsiębiorstw, instytucji oraz rządów centralnych i banków centralnych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w:t>
            </w:r>
          </w:p>
          <w:p w:rsidR="004D45AA" w:rsidRPr="00AA1421" w:rsidRDefault="004D45AA" w:rsidP="004D45AA">
            <w:pPr>
              <w:rPr>
                <w:rFonts w:ascii="Times New Roman" w:hAnsi="Times New Roman"/>
                <w:sz w:val="24"/>
              </w:rPr>
            </w:pPr>
            <w:r w:rsidRPr="00AA1421">
              <w:rPr>
                <w:rFonts w:ascii="Times New Roman" w:hAnsi="Times New Roman"/>
                <w:sz w:val="24"/>
              </w:rPr>
              <w:t xml:space="preserve">W odniesieniu do ekspozycji detalicznych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 odniesieniu do ekspozycji wynikających z nabytych wierzytelności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w:t>
            </w:r>
          </w:p>
          <w:p w:rsidR="004D45AA" w:rsidRPr="00AA1421" w:rsidRDefault="004D45AA" w:rsidP="004D45AA">
            <w:pPr>
              <w:rPr>
                <w:rFonts w:ascii="Times New Roman" w:hAnsi="Times New Roman"/>
                <w:sz w:val="24"/>
              </w:rPr>
            </w:pPr>
            <w:r w:rsidRPr="00AA1421">
              <w:rPr>
                <w:rFonts w:ascii="Times New Roman" w:hAnsi="Times New Roman"/>
                <w:sz w:val="24"/>
              </w:rPr>
              <w:t>Ekspozycji wobec ryzyka rozmycia dotyczącego nabytych wierzytelności nie zgłasza się według klas jakości ani pul dłużnika; zgłasza się je w wierszu 0180.</w:t>
            </w:r>
          </w:p>
          <w:p w:rsidR="004D45AA" w:rsidRPr="00AA1421" w:rsidRDefault="004D45AA" w:rsidP="004D45AA">
            <w:pPr>
              <w:rPr>
                <w:rFonts w:ascii="Times New Roman" w:hAnsi="Times New Roman"/>
                <w:sz w:val="24"/>
              </w:rPr>
            </w:pPr>
            <w:r w:rsidRPr="00AA1421">
              <w:rPr>
                <w:rFonts w:ascii="Times New Roman" w:hAnsi="Times New Roman"/>
                <w:sz w:val="24"/>
              </w:rPr>
              <w:t xml:space="preserve">Jeżeli instytucja stosuje dużą liczbę klas jakości i pul, może uzgodnić z właściwym organem zgłaszanie ograniczonej liczby klas i pul. </w:t>
            </w:r>
          </w:p>
          <w:p w:rsidR="004D45AA" w:rsidRPr="00AA1421" w:rsidRDefault="004D45AA" w:rsidP="004D45AA">
            <w:pPr>
              <w:rPr>
                <w:rFonts w:ascii="Times New Roman" w:hAnsi="Times New Roman"/>
                <w:sz w:val="24"/>
              </w:rPr>
            </w:pPr>
            <w:r w:rsidRPr="00AA1421">
              <w:rPr>
                <w:rFonts w:ascii="Times New Roman" w:hAnsi="Times New Roman"/>
                <w:sz w:val="24"/>
              </w:rPr>
              <w:t xml:space="preserve">Nie stosuje się wzorca nadzoru. Zamiast tego instytucje określają wzorzec, z którego będą korzystać. </w:t>
            </w:r>
          </w:p>
        </w:tc>
      </w:tr>
      <w:tr w:rsidR="004D45AA" w:rsidRPr="00AA1421" w:rsidTr="00672D2A">
        <w:tc>
          <w:tcPr>
            <w:tcW w:w="1242" w:type="dxa"/>
          </w:tcPr>
          <w:p w:rsidR="004D45AA" w:rsidRPr="00AA1421" w:rsidRDefault="004D45AA" w:rsidP="004D45AA">
            <w:pPr>
              <w:rPr>
                <w:rFonts w:ascii="Times New Roman" w:hAnsi="Times New Roman"/>
                <w:sz w:val="24"/>
              </w:rPr>
            </w:pPr>
            <w:r w:rsidRPr="00AA1421">
              <w:rPr>
                <w:rFonts w:ascii="Times New Roman" w:hAnsi="Times New Roman"/>
                <w:sz w:val="24"/>
              </w:rPr>
              <w:t>0080</w:t>
            </w:r>
          </w:p>
        </w:tc>
        <w:tc>
          <w:tcPr>
            <w:tcW w:w="8789" w:type="dxa"/>
          </w:tcPr>
          <w:p w:rsidR="004D45AA" w:rsidRPr="00AA1421" w:rsidRDefault="004D45AA" w:rsidP="004D45AA">
            <w:pPr>
              <w:rPr>
                <w:rFonts w:ascii="Times New Roman" w:hAnsi="Times New Roman"/>
                <w:sz w:val="24"/>
              </w:rPr>
            </w:pPr>
            <w:r w:rsidRPr="00AA1421">
              <w:rPr>
                <w:rFonts w:ascii="Times New Roman" w:hAnsi="Times New Roman"/>
                <w:b/>
                <w:sz w:val="24"/>
                <w:u w:val="single"/>
              </w:rPr>
              <w:t>METODA KLASYFIKACJI KREDYTOWANIA SPECJALISTYCZNEGO: RAZEM</w:t>
            </w:r>
          </w:p>
          <w:p w:rsidR="004D45AA" w:rsidRPr="00AA1421" w:rsidRDefault="004D45AA" w:rsidP="00084F66">
            <w:pPr>
              <w:rPr>
                <w:rFonts w:ascii="Times New Roman" w:hAnsi="Times New Roman"/>
                <w:sz w:val="24"/>
              </w:rPr>
            </w:pPr>
            <w:r w:rsidRPr="00AA1421">
              <w:rPr>
                <w:rFonts w:ascii="Times New Roman" w:hAnsi="Times New Roman"/>
                <w:sz w:val="24"/>
              </w:rPr>
              <w:lastRenderedPageBreak/>
              <w:t xml:space="preserve">Art. 153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Ma to zastosowanie wyłącznie do kategorii ekspozycji wobec przedsiębiorstw </w:t>
            </w:r>
            <w:r w:rsidR="00084F66">
              <w:rPr>
                <w:rFonts w:ascii="Times New Roman" w:hAnsi="Times New Roman"/>
                <w:sz w:val="24"/>
              </w:rPr>
              <w:t>– kredytowanie specjalistyczne.</w:t>
            </w:r>
          </w:p>
        </w:tc>
      </w:tr>
      <w:tr w:rsidR="004D45AA" w:rsidRPr="00AA1421" w:rsidTr="00672D2A">
        <w:tc>
          <w:tcPr>
            <w:tcW w:w="1242" w:type="dxa"/>
          </w:tcPr>
          <w:p w:rsidR="004D45AA" w:rsidRPr="00AA1421" w:rsidRDefault="001452FC" w:rsidP="004D45AA">
            <w:pPr>
              <w:rPr>
                <w:rFonts w:ascii="Times New Roman" w:hAnsi="Times New Roman"/>
                <w:sz w:val="24"/>
              </w:rPr>
            </w:pPr>
            <w:r w:rsidRPr="00AA1421">
              <w:rPr>
                <w:rFonts w:ascii="Times New Roman" w:hAnsi="Times New Roman"/>
                <w:sz w:val="24"/>
              </w:rPr>
              <w:lastRenderedPageBreak/>
              <w:t>0160</w:t>
            </w:r>
          </w:p>
        </w:tc>
        <w:tc>
          <w:tcPr>
            <w:tcW w:w="8789" w:type="dxa"/>
          </w:tcPr>
          <w:p w:rsidR="004D45AA" w:rsidRPr="00AA1421" w:rsidRDefault="004D45AA" w:rsidP="004D45AA">
            <w:pPr>
              <w:rPr>
                <w:rStyle w:val="InstructionsTabelleberschrift"/>
                <w:rFonts w:ascii="Times New Roman" w:hAnsi="Times New Roman"/>
                <w:sz w:val="24"/>
              </w:rPr>
            </w:pPr>
            <w:r w:rsidRPr="00AA1421">
              <w:rPr>
                <w:rStyle w:val="InstructionsTabelleberschrift"/>
                <w:rFonts w:ascii="Times New Roman" w:hAnsi="Times New Roman"/>
                <w:sz w:val="24"/>
              </w:rPr>
              <w:t>PODEJŚCIE ALTERNATYWNE: EKSPOZYCJE ZABEZPIECZONE NIERUCHOMOŚCIĄ</w:t>
            </w:r>
          </w:p>
          <w:p w:rsidR="004D45AA" w:rsidRPr="00AA1421" w:rsidRDefault="004D45AA" w:rsidP="004D45AA">
            <w:pPr>
              <w:rPr>
                <w:rFonts w:ascii="Times New Roman" w:hAnsi="Times New Roman"/>
                <w:sz w:val="24"/>
              </w:rPr>
            </w:pPr>
            <w:r w:rsidRPr="00AA1421">
              <w:rPr>
                <w:rFonts w:ascii="Times New Roman" w:hAnsi="Times New Roman"/>
                <w:sz w:val="24"/>
              </w:rPr>
              <w:t xml:space="preserve">Art. 193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w:t>
            </w:r>
          </w:p>
          <w:p w:rsidR="004D45AA" w:rsidRPr="00AA1421" w:rsidRDefault="004D45AA" w:rsidP="004D45AA">
            <w:pPr>
              <w:rPr>
                <w:rFonts w:ascii="Times New Roman" w:hAnsi="Times New Roman"/>
                <w:sz w:val="24"/>
              </w:rPr>
            </w:pPr>
            <w:r w:rsidRPr="00AA1421">
              <w:rPr>
                <w:rFonts w:ascii="Times New Roman" w:hAnsi="Times New Roman"/>
                <w:sz w:val="24"/>
              </w:rPr>
              <w:t>Takie rozwiązanie alternatywne jest dostępne wyłącznie dla instytucji stosujących podstawową metodę IRB.</w:t>
            </w:r>
          </w:p>
        </w:tc>
      </w:tr>
      <w:tr w:rsidR="004D45AA" w:rsidRPr="00AA1421" w:rsidTr="00672D2A">
        <w:tc>
          <w:tcPr>
            <w:tcW w:w="1242" w:type="dxa"/>
          </w:tcPr>
          <w:p w:rsidR="004D45AA" w:rsidRPr="00AA1421" w:rsidRDefault="001452FC" w:rsidP="004D45AA">
            <w:pPr>
              <w:rPr>
                <w:rFonts w:ascii="Times New Roman" w:hAnsi="Times New Roman"/>
                <w:sz w:val="24"/>
              </w:rPr>
            </w:pPr>
            <w:r w:rsidRPr="00AA1421">
              <w:rPr>
                <w:rFonts w:ascii="Times New Roman" w:hAnsi="Times New Roman"/>
                <w:sz w:val="24"/>
              </w:rPr>
              <w:t>0170</w:t>
            </w:r>
          </w:p>
        </w:tc>
        <w:tc>
          <w:tcPr>
            <w:tcW w:w="8789" w:type="dxa"/>
          </w:tcPr>
          <w:p w:rsidR="004D45AA" w:rsidRPr="00AA1421" w:rsidRDefault="004D45AA" w:rsidP="004D45AA">
            <w:pPr>
              <w:rPr>
                <w:rStyle w:val="InstructionsTabelleberschrift"/>
                <w:rFonts w:ascii="Times New Roman" w:hAnsi="Times New Roman"/>
                <w:sz w:val="24"/>
              </w:rPr>
            </w:pPr>
            <w:r w:rsidRPr="00AA1421">
              <w:rPr>
                <w:rStyle w:val="InstructionsTabelleberschrift"/>
                <w:rFonts w:ascii="Times New Roman" w:hAnsi="Times New Roman"/>
                <w:sz w:val="24"/>
              </w:rPr>
              <w:t>EKSPOZYCJE Z TYTUŁU DOSTAW Z PÓŹNIEJSZYM TERMINEM ROZLICZENIA, Z ZASTOSOWANIEM WAG RYZYKA ZGODNIE Z PODEJŚCIEM ALTERNATYWNYM LUB WAG RYZYKA W WYSOKOŚCI 10</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 xml:space="preserve"> ORAZ INNE EKSPOZYCJE PODLEGAJĄCE WAGOM RYZYKA</w:t>
            </w:r>
          </w:p>
          <w:p w:rsidR="004D45AA" w:rsidRPr="00AA1421" w:rsidRDefault="004D45AA" w:rsidP="004D45AA">
            <w:pPr>
              <w:rPr>
                <w:rFonts w:ascii="Times New Roman" w:hAnsi="Times New Roman"/>
                <w:sz w:val="24"/>
              </w:rPr>
            </w:pPr>
            <w:r w:rsidRPr="00AA1421">
              <w:rPr>
                <w:rFonts w:ascii="Times New Roman" w:hAnsi="Times New Roman"/>
                <w:sz w:val="24"/>
              </w:rPr>
              <w:t xml:space="preserve">Ekspozycje z tytułu dostaw z późniejszym terminem rozliczenia, wobec których stosuje się podejście alternatywne,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79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akapit pierwszy zdanie ostatnie CRR, lub wobec których stosuje się wagi ryzyka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79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akapit ostatni CRR. W tym wierszu zgłasza się kredytowe instrumenty pochodne uruchamiane n-tym niewykonaniem zobowiązania bez ratingu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CRR oraz wszelkie inne ekspozycje podlegające wagom ryzyka nieujęte w żadnym innym wierszu.</w:t>
            </w:r>
          </w:p>
        </w:tc>
      </w:tr>
      <w:tr w:rsidR="004D45AA" w:rsidRPr="00AA1421" w:rsidTr="00672D2A">
        <w:tc>
          <w:tcPr>
            <w:tcW w:w="1242" w:type="dxa"/>
          </w:tcPr>
          <w:p w:rsidR="004D45AA" w:rsidRPr="00AA1421" w:rsidRDefault="001452FC" w:rsidP="004D45AA">
            <w:pPr>
              <w:rPr>
                <w:rFonts w:ascii="Times New Roman" w:hAnsi="Times New Roman"/>
                <w:sz w:val="24"/>
              </w:rPr>
            </w:pPr>
            <w:r w:rsidRPr="00AA1421">
              <w:rPr>
                <w:rFonts w:ascii="Times New Roman" w:hAnsi="Times New Roman"/>
                <w:sz w:val="24"/>
              </w:rPr>
              <w:t>0180</w:t>
            </w:r>
          </w:p>
        </w:tc>
        <w:tc>
          <w:tcPr>
            <w:tcW w:w="8789" w:type="dxa"/>
          </w:tcPr>
          <w:p w:rsidR="004D45AA" w:rsidRPr="00AA1421" w:rsidRDefault="004D45AA" w:rsidP="004D45AA">
            <w:pPr>
              <w:rPr>
                <w:rStyle w:val="InstructionsTabelleberschrift"/>
                <w:rFonts w:ascii="Times New Roman" w:hAnsi="Times New Roman"/>
                <w:sz w:val="24"/>
              </w:rPr>
            </w:pPr>
            <w:r w:rsidRPr="00AA1421">
              <w:rPr>
                <w:rStyle w:val="InstructionsTabelleberschrift"/>
                <w:rFonts w:ascii="Times New Roman" w:hAnsi="Times New Roman"/>
                <w:sz w:val="24"/>
              </w:rPr>
              <w:t>RYZYKO ROZMYCIA: NABYTE WIERZYTELNOŚCI RAZEM</w:t>
            </w:r>
          </w:p>
          <w:p w:rsidR="004D45AA" w:rsidRPr="00AA1421" w:rsidRDefault="004D45AA" w:rsidP="004D45AA">
            <w:pPr>
              <w:rPr>
                <w:rFonts w:ascii="Times New Roman" w:hAnsi="Times New Roman"/>
                <w:sz w:val="24"/>
              </w:rPr>
            </w:pPr>
            <w:r w:rsidRPr="00AA1421">
              <w:rPr>
                <w:rFonts w:ascii="Times New Roman" w:hAnsi="Times New Roman"/>
                <w:sz w:val="24"/>
              </w:rPr>
              <w:t xml:space="preserve">Definicja ryzyka rozmycia –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3 CRR. Obliczanie kwot ekspozycji ważonych ryzykiem dla ryzyka rozmycia –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57 CRR. Ryzyko rozmycia zgłasza się w odniesieniu do nabytych wierzytelności korporacyjnych i detalicznych.</w:t>
            </w:r>
          </w:p>
          <w:p w:rsidR="004D45AA" w:rsidRPr="00AA1421" w:rsidRDefault="004D45AA" w:rsidP="004D45AA">
            <w:pPr>
              <w:rPr>
                <w:rFonts w:ascii="Times New Roman" w:hAnsi="Times New Roman"/>
                <w:sz w:val="24"/>
              </w:rPr>
            </w:pPr>
          </w:p>
        </w:tc>
      </w:tr>
    </w:tbl>
    <w:p w:rsidR="004357B9" w:rsidRPr="00AA1421"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AA1421"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403636"/>
      <w:r w:rsidRPr="00AA1421">
        <w:rPr>
          <w:rFonts w:ascii="Times New Roman" w:hAnsi="Times New Roman"/>
          <w:sz w:val="24"/>
          <w:u w:val="none"/>
        </w:rPr>
        <w:t>3.3.4.</w:t>
      </w:r>
      <w:r w:rsidR="00D712CF" w:rsidRPr="00AA1421">
        <w:rPr>
          <w:u w:val="none"/>
        </w:rPr>
        <w:tab/>
      </w:r>
      <w:r w:rsidRPr="00AA1421">
        <w:rPr>
          <w:rFonts w:ascii="Times New Roman" w:hAnsi="Times New Roman"/>
          <w:sz w:val="24"/>
        </w:rPr>
        <w:t>C 08.02 – Ryzyko kredytowe i ryzyko kredytowe kontrahenta oraz dostawy z późniejszym terminem rozliczenia: wymogi kapitałowe według metody IRB: podział według klas jakości lub puli dłużników (wzór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A1421" w:rsidTr="00672D2A">
        <w:tc>
          <w:tcPr>
            <w:tcW w:w="2024" w:type="dxa"/>
            <w:shd w:val="clear" w:color="auto" w:fill="BFBFBF"/>
          </w:tcPr>
          <w:p w:rsidR="001C7AB7" w:rsidRPr="00AA1421" w:rsidRDefault="001C7AB7" w:rsidP="001C7AB7">
            <w:pPr>
              <w:rPr>
                <w:rFonts w:ascii="Times New Roman" w:hAnsi="Times New Roman"/>
                <w:sz w:val="24"/>
              </w:rPr>
            </w:pPr>
            <w:r w:rsidRPr="00AA1421">
              <w:rPr>
                <w:rFonts w:ascii="Times New Roman" w:hAnsi="Times New Roman"/>
                <w:sz w:val="24"/>
              </w:rPr>
              <w:t>Kolumna</w:t>
            </w:r>
          </w:p>
        </w:tc>
        <w:tc>
          <w:tcPr>
            <w:tcW w:w="7804" w:type="dxa"/>
            <w:shd w:val="clear" w:color="auto" w:fill="BFBFBF"/>
          </w:tcPr>
          <w:p w:rsidR="001C7AB7" w:rsidRPr="00AA1421" w:rsidRDefault="001C7AB7" w:rsidP="001C7AB7">
            <w:pPr>
              <w:rPr>
                <w:rFonts w:ascii="Times New Roman" w:hAnsi="Times New Roman"/>
                <w:sz w:val="24"/>
              </w:rPr>
            </w:pPr>
            <w:r w:rsidRPr="00AA1421">
              <w:rPr>
                <w:rFonts w:ascii="Times New Roman" w:hAnsi="Times New Roman"/>
                <w:sz w:val="24"/>
              </w:rPr>
              <w:t>Instrukcje</w:t>
            </w:r>
          </w:p>
        </w:tc>
      </w:tr>
      <w:tr w:rsidR="00E97CD2" w:rsidRPr="00AA1421" w:rsidTr="00672D2A">
        <w:tc>
          <w:tcPr>
            <w:tcW w:w="2024" w:type="dxa"/>
          </w:tcPr>
          <w:p w:rsidR="00E97CD2" w:rsidRPr="00AA1421" w:rsidRDefault="001452FC" w:rsidP="001C7AB7">
            <w:pPr>
              <w:rPr>
                <w:rFonts w:ascii="Times New Roman" w:hAnsi="Times New Roman"/>
                <w:sz w:val="24"/>
              </w:rPr>
            </w:pPr>
            <w:r w:rsidRPr="00AA1421">
              <w:rPr>
                <w:rFonts w:ascii="Times New Roman" w:hAnsi="Times New Roman"/>
                <w:sz w:val="24"/>
              </w:rPr>
              <w:t>0005</w:t>
            </w:r>
          </w:p>
        </w:tc>
        <w:tc>
          <w:tcPr>
            <w:tcW w:w="7804" w:type="dxa"/>
          </w:tcPr>
          <w:p w:rsidR="00E97CD2" w:rsidRPr="00AA1421" w:rsidRDefault="00E97CD2" w:rsidP="001C7AB7">
            <w:pPr>
              <w:rPr>
                <w:rFonts w:ascii="Times New Roman" w:hAnsi="Times New Roman"/>
                <w:b/>
                <w:sz w:val="24"/>
                <w:u w:val="single"/>
              </w:rPr>
            </w:pPr>
            <w:r w:rsidRPr="00AA1421">
              <w:rPr>
                <w:rFonts w:ascii="Times New Roman" w:hAnsi="Times New Roman"/>
                <w:b/>
                <w:sz w:val="24"/>
                <w:u w:val="single"/>
              </w:rPr>
              <w:t>Klasa jakości dłużnika (identyfikator wiersza)</w:t>
            </w:r>
          </w:p>
          <w:p w:rsidR="00E97CD2" w:rsidRPr="00AA1421" w:rsidRDefault="00E97CD2" w:rsidP="00133396">
            <w:pPr>
              <w:rPr>
                <w:rFonts w:ascii="Times New Roman" w:hAnsi="Times New Roman"/>
                <w:sz w:val="24"/>
              </w:rPr>
            </w:pPr>
            <w:r w:rsidRPr="00AA1421">
              <w:rPr>
                <w:rFonts w:ascii="Times New Roman" w:hAnsi="Times New Roman"/>
                <w:sz w:val="24"/>
              </w:rPr>
              <w:t>Jest to identyfikator wiersza, który jest niepowtarzalny dla każdego wiersza w danym arkuszu wzoru. Numeracja następuje w kolejności numerycznej: 1, 2, 3 itd.</w:t>
            </w:r>
          </w:p>
          <w:p w:rsidR="008151A6" w:rsidRPr="00AA1421" w:rsidRDefault="008151A6" w:rsidP="00133396">
            <w:pPr>
              <w:rPr>
                <w:rFonts w:ascii="Times New Roman" w:hAnsi="Times New Roman"/>
                <w:sz w:val="24"/>
              </w:rPr>
            </w:pPr>
            <w:r w:rsidRPr="00AA1421">
              <w:rPr>
                <w:rFonts w:ascii="Times New Roman" w:hAnsi="Times New Roman"/>
                <w:sz w:val="24"/>
              </w:rPr>
              <w:t xml:space="preserve">Pierwsza zgłaszana klasa (lub pula) jest najlepsza, a następnie druga i kolejne. Ostatnia zgłaszana klasa lub klasy (lub pula) obejmuje ekspozycje, których dotyczy niewykonanie zobowiązania. </w:t>
            </w:r>
          </w:p>
        </w:tc>
      </w:tr>
      <w:tr w:rsidR="001C7AB7" w:rsidRPr="00AA1421" w:rsidTr="00672D2A">
        <w:tc>
          <w:tcPr>
            <w:tcW w:w="2024" w:type="dxa"/>
          </w:tcPr>
          <w:p w:rsidR="001C7AB7" w:rsidRPr="00AA1421" w:rsidRDefault="001452FC" w:rsidP="001C7AB7">
            <w:pPr>
              <w:rPr>
                <w:rFonts w:ascii="Times New Roman" w:hAnsi="Times New Roman"/>
                <w:sz w:val="24"/>
              </w:rPr>
            </w:pPr>
            <w:r w:rsidRPr="00AA1421">
              <w:rPr>
                <w:rFonts w:ascii="Times New Roman" w:hAnsi="Times New Roman"/>
                <w:sz w:val="24"/>
              </w:rPr>
              <w:t>0010-0300</w:t>
            </w:r>
          </w:p>
        </w:tc>
        <w:tc>
          <w:tcPr>
            <w:tcW w:w="7804" w:type="dxa"/>
          </w:tcPr>
          <w:p w:rsidR="001C7AB7" w:rsidRPr="00AA1421" w:rsidRDefault="001C7AB7" w:rsidP="00133396">
            <w:pPr>
              <w:rPr>
                <w:rFonts w:ascii="Times New Roman" w:hAnsi="Times New Roman"/>
                <w:sz w:val="24"/>
              </w:rPr>
            </w:pPr>
            <w:r w:rsidRPr="00AA1421">
              <w:rPr>
                <w:rFonts w:ascii="Times New Roman" w:hAnsi="Times New Roman"/>
                <w:sz w:val="24"/>
              </w:rPr>
              <w:t>Instrukcje dla każdej z tych kolumn są takie same jak dla odpowiadających im numerami kolumn we wzorze CR IRB 1.</w:t>
            </w:r>
          </w:p>
        </w:tc>
      </w:tr>
    </w:tbl>
    <w:p w:rsidR="001C7AB7" w:rsidRPr="00AA1421"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A1421" w:rsidTr="00672D2A">
        <w:tc>
          <w:tcPr>
            <w:tcW w:w="2024" w:type="dxa"/>
            <w:shd w:val="pct25" w:color="auto" w:fill="auto"/>
          </w:tcPr>
          <w:p w:rsidR="001C7AB7" w:rsidRPr="00AA1421" w:rsidRDefault="001C7AB7" w:rsidP="001C7AB7">
            <w:pPr>
              <w:rPr>
                <w:rFonts w:ascii="Times New Roman" w:hAnsi="Times New Roman"/>
                <w:sz w:val="24"/>
              </w:rPr>
            </w:pPr>
            <w:r w:rsidRPr="00AA1421">
              <w:rPr>
                <w:rFonts w:ascii="Times New Roman" w:hAnsi="Times New Roman"/>
                <w:sz w:val="24"/>
              </w:rPr>
              <w:t>Wiersz</w:t>
            </w:r>
          </w:p>
        </w:tc>
        <w:tc>
          <w:tcPr>
            <w:tcW w:w="7804" w:type="dxa"/>
            <w:shd w:val="pct25" w:color="auto" w:fill="auto"/>
          </w:tcPr>
          <w:p w:rsidR="001C7AB7" w:rsidRPr="00AA1421" w:rsidRDefault="001C7AB7" w:rsidP="001C7AB7">
            <w:pPr>
              <w:rPr>
                <w:rFonts w:ascii="Times New Roman" w:hAnsi="Times New Roman"/>
                <w:sz w:val="24"/>
              </w:rPr>
            </w:pPr>
            <w:r w:rsidRPr="00AA1421">
              <w:rPr>
                <w:rFonts w:ascii="Times New Roman" w:hAnsi="Times New Roman"/>
                <w:sz w:val="24"/>
              </w:rPr>
              <w:t>Instrukcje</w:t>
            </w:r>
          </w:p>
        </w:tc>
      </w:tr>
      <w:tr w:rsidR="001C7AB7" w:rsidRPr="00AA1421" w:rsidTr="00672D2A">
        <w:tc>
          <w:tcPr>
            <w:tcW w:w="2024" w:type="dxa"/>
          </w:tcPr>
          <w:p w:rsidR="001C7AB7" w:rsidRPr="00AA1421" w:rsidRDefault="001C7AB7" w:rsidP="001C7AB7">
            <w:pPr>
              <w:rPr>
                <w:rFonts w:ascii="Times New Roman" w:hAnsi="Times New Roman"/>
                <w:sz w:val="24"/>
              </w:rPr>
            </w:pPr>
            <w:r w:rsidRPr="00AA1421">
              <w:rPr>
                <w:rFonts w:ascii="Times New Roman" w:hAnsi="Times New Roman"/>
                <w:sz w:val="24"/>
              </w:rPr>
              <w:lastRenderedPageBreak/>
              <w:t>0010-0001 – 0010-NNNN</w:t>
            </w:r>
          </w:p>
        </w:tc>
        <w:tc>
          <w:tcPr>
            <w:tcW w:w="7804" w:type="dxa"/>
          </w:tcPr>
          <w:p w:rsidR="001C7AB7" w:rsidRPr="00AA1421" w:rsidRDefault="001C7AB7" w:rsidP="00763B4B">
            <w:pPr>
              <w:rPr>
                <w:rFonts w:ascii="Times New Roman" w:hAnsi="Times New Roman"/>
                <w:sz w:val="24"/>
              </w:rPr>
            </w:pPr>
            <w:r w:rsidRPr="00AA1421">
              <w:rPr>
                <w:rFonts w:ascii="Times New Roman" w:hAnsi="Times New Roman"/>
                <w:sz w:val="24"/>
              </w:rPr>
              <w:t>Wartości zgłoszone w tych wierszach należy wprowadzać w porządku odpowiadającym wartości PD przypisanej klasie jakości lub puli dłużnika. Wartość PD dla dłużników, którzy nie wykonali swoich zobowiązań, wynosi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Ekspozycje objęte podejściem alternatywnym w odniesieniu do zabezpieczeń w postaci nieruchomości (dostępne wyłącznie wówczas, gdy nie stosuje się własnych oszacowań LGD) nie są przypisywane zgodnie z wartością PD dla dłużników i nie są zgłaszane w tym wzorze.</w:t>
            </w:r>
          </w:p>
        </w:tc>
      </w:tr>
    </w:tbl>
    <w:p w:rsidR="004357B9" w:rsidRPr="00AA1421" w:rsidRDefault="004357B9" w:rsidP="00487A02">
      <w:pPr>
        <w:pStyle w:val="InstructionsText"/>
      </w:pPr>
    </w:p>
    <w:p w:rsidR="008151A6" w:rsidRPr="00AA1421"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403637"/>
      <w:r w:rsidRPr="00AA1421">
        <w:rPr>
          <w:rFonts w:ascii="Times New Roman" w:hAnsi="Times New Roman"/>
          <w:sz w:val="24"/>
        </w:rPr>
        <w:t>C 08.03 – Ryzyko kredytowe oraz dostawy z późniejszym terminem rozliczenia: wymogi kapitałowe według metody IRB (podział według zakresów PD (CR IRB 3))</w:t>
      </w:r>
      <w:bookmarkEnd w:id="324"/>
      <w:bookmarkEnd w:id="325"/>
    </w:p>
    <w:p w:rsidR="008151A6" w:rsidRPr="00AA1421"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403638"/>
      <w:r w:rsidRPr="00AA1421">
        <w:rPr>
          <w:rFonts w:ascii="Times New Roman" w:hAnsi="Times New Roman"/>
          <w:sz w:val="24"/>
        </w:rPr>
        <w:t>Uwagi ogólne</w:t>
      </w:r>
      <w:bookmarkEnd w:id="326"/>
      <w:bookmarkEnd w:id="327"/>
    </w:p>
    <w:p w:rsidR="008151A6" w:rsidRPr="00AA1421" w:rsidRDefault="00AA1421" w:rsidP="00487A02">
      <w:pPr>
        <w:pStyle w:val="InstructionsText2"/>
        <w:numPr>
          <w:ilvl w:val="0"/>
          <w:numId w:val="0"/>
        </w:numPr>
        <w:ind w:left="1353" w:hanging="360"/>
      </w:pPr>
      <w:fldSimple w:instr=" seq paragraphs ">
        <w:r w:rsidR="00D11E4C" w:rsidRPr="00AA1421">
          <w:rPr>
            <w:noProof/>
          </w:rPr>
          <w:t>77</w:t>
        </w:r>
      </w:fldSimple>
      <w:r w:rsidR="00D11E4C" w:rsidRPr="00AA1421">
        <w:t xml:space="preserve">. Instytucje zgłaszają informacje zawarte w tym wzorze zgodnie z </w:t>
      </w:r>
      <w:r w:rsidR="00D11E4C" w:rsidRPr="00084F66">
        <w:t>art.</w:t>
      </w:r>
      <w:r w:rsidR="00084F66" w:rsidRPr="00084F66">
        <w:t> </w:t>
      </w:r>
      <w:r w:rsidR="00D11E4C" w:rsidRPr="00084F66">
        <w:t>4</w:t>
      </w:r>
      <w:r w:rsidR="00D11E4C" w:rsidRPr="00AA1421">
        <w:t xml:space="preserve">52 </w:t>
      </w:r>
      <w:r w:rsidR="00D11E4C" w:rsidRPr="00084F66">
        <w:t>lit.</w:t>
      </w:r>
      <w:r w:rsidR="00084F66" w:rsidRPr="00084F66">
        <w:t> </w:t>
      </w:r>
      <w:r w:rsidR="00D11E4C" w:rsidRPr="00084F66">
        <w:t>g)</w:t>
      </w:r>
      <w:r w:rsidR="00D11E4C" w:rsidRPr="00AA1421">
        <w:t xml:space="preserve"> </w:t>
      </w:r>
      <w:proofErr w:type="spellStart"/>
      <w:r w:rsidR="00D11E4C" w:rsidRPr="00AA1421">
        <w:t>ppkt</w:t>
      </w:r>
      <w:proofErr w:type="spellEnd"/>
      <w:r w:rsidR="00D11E4C" w:rsidRPr="00AA1421">
        <w:t xml:space="preserve"> (i)–(v) CRR w celu przedstawienia informacji dotyczących głównych parametrów stosowanych do obliczenia wymogów kapitałowych w odniesieniu do metody IRB. Informacje zgłaszane w tym wzorze nie obejmują danych dotyczących kredytowania specjalistycznego, o którym mowa w </w:t>
      </w:r>
      <w:r w:rsidR="00D11E4C" w:rsidRPr="00084F66">
        <w:t>art.</w:t>
      </w:r>
      <w:r w:rsidR="00084F66" w:rsidRPr="00084F66">
        <w:t> </w:t>
      </w:r>
      <w:r w:rsidR="00D11E4C" w:rsidRPr="00084F66">
        <w:t>1</w:t>
      </w:r>
      <w:r w:rsidR="00D11E4C" w:rsidRPr="00AA1421">
        <w:t xml:space="preserve">53 </w:t>
      </w:r>
      <w:r w:rsidR="00D11E4C" w:rsidRPr="00084F66">
        <w:t>ust.</w:t>
      </w:r>
      <w:r w:rsidR="00084F66" w:rsidRPr="00084F66">
        <w:t> </w:t>
      </w:r>
      <w:r w:rsidR="00D11E4C" w:rsidRPr="00084F66">
        <w:t>5</w:t>
      </w:r>
      <w:r w:rsidR="00D11E4C" w:rsidRPr="00AA1421">
        <w:t xml:space="preserve"> CRR, uwzględnianych we wzorze C 08.06. Ten wzór nie obejmuje ekspozycji na ryzyko kredytowe kontrahenta (CCR) (część trzecia tytuł II rozdział 6 CRR).</w:t>
      </w:r>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403639"/>
      <w:r w:rsidRPr="00AA1421">
        <w:rPr>
          <w:rFonts w:ascii="Times New Roman" w:hAnsi="Times New Roman"/>
          <w:sz w:val="24"/>
        </w:rPr>
        <w:t>Instrukcje dotyczące poszczególnych pozycji</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AA1421" w:rsidTr="00664874">
        <w:tc>
          <w:tcPr>
            <w:tcW w:w="1188"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Kolumny</w:t>
            </w:r>
          </w:p>
        </w:tc>
        <w:tc>
          <w:tcPr>
            <w:tcW w:w="8843"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0010</w:t>
            </w:r>
          </w:p>
          <w:p w:rsidR="008151A6" w:rsidRPr="00AA1421"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EKSPOZYCJE BILANSOWE</w:t>
            </w:r>
          </w:p>
          <w:p w:rsidR="008151A6" w:rsidRPr="00AA1421" w:rsidRDefault="008151A6" w:rsidP="00A44410">
            <w:pPr>
              <w:rPr>
                <w:rFonts w:ascii="Times New Roman" w:hAnsi="Times New Roman"/>
                <w:sz w:val="24"/>
              </w:rPr>
            </w:pPr>
            <w:r w:rsidRPr="00AA1421">
              <w:rPr>
                <w:rFonts w:ascii="Times New Roman" w:hAnsi="Times New Roman"/>
                <w:sz w:val="24"/>
              </w:rPr>
              <w:t xml:space="preserve">Wartość ekspozycji obliczana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–7 CRR</w:t>
            </w:r>
            <w:r w:rsidRPr="00AA1421">
              <w:t xml:space="preserve"> </w:t>
            </w:r>
            <w:r w:rsidRPr="00AA1421">
              <w:rPr>
                <w:rFonts w:ascii="Times New Roman" w:hAnsi="Times New Roman"/>
                <w:sz w:val="24"/>
              </w:rPr>
              <w:t>bez uwzględniania jakichkolwiek korekt z tytułu ryzyka kredytowego</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EKSPOZYCJE POZABILANSOWE PRZED UWZGLĘDNIENIEM WSPÓŁCZYNNIKÓW KONWERSJI</w:t>
            </w:r>
          </w:p>
          <w:p w:rsidR="008151A6" w:rsidRPr="00AA1421" w:rsidRDefault="008151A6" w:rsidP="00664874">
            <w:pPr>
              <w:rPr>
                <w:rFonts w:ascii="Times New Roman" w:hAnsi="Times New Roman"/>
                <w:sz w:val="24"/>
              </w:rPr>
            </w:pPr>
            <w:r w:rsidRPr="00AA1421">
              <w:rPr>
                <w:rFonts w:ascii="Times New Roman" w:hAnsi="Times New Roman"/>
                <w:sz w:val="24"/>
              </w:rPr>
              <w:t xml:space="preserve">Wartość ekspozycji zgodnie 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 CRR bez uwzględniania jakichkolwiek korekt z tytułu ryzyka kredytowego i jakichkolwiek współczynników konwersji, ani oszacowań własnych, ani współczynników konwersji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CRR, ani też wartości procentowych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0 CRR</w:t>
            </w:r>
          </w:p>
          <w:p w:rsidR="008151A6" w:rsidRPr="00AA1421" w:rsidRDefault="008151A6" w:rsidP="00664874">
            <w:pPr>
              <w:rPr>
                <w:rFonts w:ascii="Times New Roman" w:hAnsi="Times New Roman"/>
                <w:sz w:val="24"/>
              </w:rPr>
            </w:pPr>
            <w:r w:rsidRPr="00AA1421">
              <w:rPr>
                <w:rFonts w:ascii="Times New Roman" w:hAnsi="Times New Roman"/>
                <w:sz w:val="24"/>
              </w:rPr>
              <w:t>Ekspozycje pozabilansowe obejmują wszystkie zaangażowane, lecz nie wykorzystane kwoty i wszystkie pozycje pozabilansowe wymienione w załączniku I do CRR.</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ŚREDNIE WSPÓŁCZYNNIKI KONWERSJI WAŻONE EKSPOZYCJĄ</w:t>
            </w:r>
          </w:p>
          <w:p w:rsidR="008151A6" w:rsidRPr="00AA1421" w:rsidRDefault="008151A6" w:rsidP="00A44410">
            <w:pPr>
              <w:rPr>
                <w:rFonts w:ascii="Times New Roman" w:hAnsi="Times New Roman"/>
                <w:sz w:val="24"/>
              </w:rPr>
            </w:pPr>
            <w:r w:rsidRPr="00AA1421">
              <w:rPr>
                <w:rFonts w:ascii="Times New Roman" w:hAnsi="Times New Roman"/>
                <w:sz w:val="24"/>
              </w:rPr>
              <w:t xml:space="preserve">W odniesieniu do wszystkich ekspozycji uwzględnionych w każdym koszyku o stałym zakresie PD średni współczynnik konwersji stosowany przez instytucje przy obliczaniu kwot ekspozycji ważonych ryzykiem, ważony ekspozycją pozabilansową przed uwzględnieniem współczynnika konwersji zgłaszaną w kolumnie 0020 </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WARTOŚĆ EKSPOZYCJI PO UWZGLĘDNIENIU WSPÓŁCZYNNIKÓW KONWERSJI I PO ZASTOSOWANIU TECHNIK OGRANICZANIA RYZYKA KREDYTOWEGO</w:t>
            </w:r>
          </w:p>
          <w:p w:rsidR="008151A6" w:rsidRPr="00AA1421" w:rsidRDefault="008151A6" w:rsidP="00664874">
            <w:pPr>
              <w:rPr>
                <w:rFonts w:ascii="Times New Roman" w:hAnsi="Times New Roman"/>
                <w:sz w:val="24"/>
              </w:rPr>
            </w:pPr>
            <w:r w:rsidRPr="00AA1421">
              <w:rPr>
                <w:rFonts w:ascii="Times New Roman" w:hAnsi="Times New Roman"/>
                <w:sz w:val="24"/>
              </w:rPr>
              <w:t xml:space="preserve">Wartość ekspozycji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66 CRR</w:t>
            </w:r>
          </w:p>
          <w:p w:rsidR="008151A6" w:rsidRPr="00AA1421" w:rsidRDefault="008151A6" w:rsidP="00A44410">
            <w:pPr>
              <w:rPr>
                <w:rFonts w:ascii="Times New Roman" w:hAnsi="Times New Roman"/>
                <w:sz w:val="24"/>
              </w:rPr>
            </w:pPr>
            <w:r w:rsidRPr="00AA1421">
              <w:rPr>
                <w:rFonts w:ascii="Times New Roman" w:hAnsi="Times New Roman"/>
                <w:sz w:val="24"/>
              </w:rPr>
              <w:t xml:space="preserve">W tej kolumnie uwzględnia się sumę wartości ekspozycji dla ekspozycji bilansowych i ekspozycji pozabilansowych po uwzględnieniu współczynników konwersji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–10 CRR i po zastosowaniu technik ograniczania ryzyka kredytowego.</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ŚREDNIA WARTOŚĆ PD WAŻONA EKSPOZYCJĄ (%)</w:t>
            </w:r>
          </w:p>
          <w:p w:rsidR="008151A6" w:rsidRPr="00AA1421" w:rsidRDefault="008151A6" w:rsidP="00A44410">
            <w:pPr>
              <w:rPr>
                <w:rFonts w:ascii="Times New Roman" w:hAnsi="Times New Roman"/>
                <w:sz w:val="24"/>
              </w:rPr>
            </w:pPr>
            <w:r w:rsidRPr="00AA1421">
              <w:rPr>
                <w:rFonts w:ascii="Times New Roman" w:hAnsi="Times New Roman"/>
                <w:sz w:val="24"/>
              </w:rPr>
              <w:t>W odniesieniu do wszystkich ekspozycji uwzględnionych w każdym koszyku o stałym zakresie PD średnie oszacowanie wartości PD dla każdego dłużnika, ważone wartością ekspozycji po uwzględnieniu współczynników konwersji i po zastosowaniu technik ograniczania ryzyka kredytowego zgłaszaną w kolumnie 0040.</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LICZBA DŁUŻNIKÓW</w:t>
            </w:r>
          </w:p>
          <w:p w:rsidR="00463F88" w:rsidRPr="00AA1421" w:rsidRDefault="008151A6" w:rsidP="001A370B">
            <w:pPr>
              <w:rPr>
                <w:rFonts w:ascii="Times New Roman" w:hAnsi="Times New Roman"/>
                <w:sz w:val="24"/>
              </w:rPr>
            </w:pPr>
            <w:r w:rsidRPr="00AA1421">
              <w:rPr>
                <w:rFonts w:ascii="Times New Roman" w:hAnsi="Times New Roman"/>
                <w:sz w:val="24"/>
              </w:rPr>
              <w:t xml:space="preserve">Liczba podmiotów prawnych lub dłużników przypisanych do każdego koszyka o stałym zakresie zakresu PD </w:t>
            </w:r>
          </w:p>
          <w:p w:rsidR="001A370B" w:rsidRPr="00AA1421" w:rsidRDefault="001A370B" w:rsidP="001A370B">
            <w:pPr>
              <w:rPr>
                <w:rFonts w:ascii="Times New Roman" w:hAnsi="Times New Roman"/>
                <w:sz w:val="24"/>
              </w:rPr>
            </w:pPr>
            <w:r w:rsidRPr="00AA1421">
              <w:rPr>
                <w:rFonts w:ascii="Times New Roman" w:hAnsi="Times New Roman"/>
                <w:sz w:val="24"/>
              </w:rPr>
              <w:t>Liczbę dłużników oblicza się zgodnie z instrukcjami w kolumnie 0300 we wzorze C 08.01. Dłużników solidarnych traktuje się tak samo jak do celów kalibracji PD.</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ŚREDNIA WARTOŚĆ LGD WAŻONA EKSPOZYCJĄ (%)</w:t>
            </w:r>
          </w:p>
          <w:p w:rsidR="008151A6" w:rsidRPr="00AA1421" w:rsidRDefault="008151A6" w:rsidP="00664874">
            <w:pPr>
              <w:rPr>
                <w:rFonts w:ascii="Times New Roman" w:hAnsi="Times New Roman"/>
                <w:sz w:val="24"/>
              </w:rPr>
            </w:pPr>
            <w:r w:rsidRPr="00AA1421">
              <w:rPr>
                <w:rFonts w:ascii="Times New Roman" w:hAnsi="Times New Roman"/>
                <w:sz w:val="24"/>
              </w:rPr>
              <w:t>W odniesieniu do wszystkich ekspozycji uwzględnionych w każdym koszyku o stałym zakresie PD średnie oszacowania LGD dla każdej ekspozycji, ważone wartością ekspozycji po uwzględnieniu współczynnika konwersji i po zastosowaniu technika ograniczania ryzyka kredytowego zgłaszaną w kolumnie 0040</w:t>
            </w:r>
          </w:p>
          <w:p w:rsidR="008151A6" w:rsidRPr="00AA1421" w:rsidRDefault="008151A6" w:rsidP="00664874">
            <w:pPr>
              <w:rPr>
                <w:rFonts w:ascii="Times New Roman" w:hAnsi="Times New Roman"/>
                <w:sz w:val="24"/>
              </w:rPr>
            </w:pPr>
            <w:r w:rsidRPr="00AA1421">
              <w:rPr>
                <w:rFonts w:ascii="Times New Roman" w:hAnsi="Times New Roman"/>
                <w:sz w:val="24"/>
              </w:rPr>
              <w:t xml:space="preserve">Zgłoszona wartość LGD odpowiada ostatecznemu szacunkowi LGD wykorzystanemu do obliczenia kwot ekspozycji ważonych ryzykiem uzyskanych po uwzględnieniu, stosownie do przypadku, wszelkich efektów ograniczenia ryzyka kredytowego i warunków pogorszenia koniunktury. W odniesieniu do ekspozycji detalicznych zabezpieczonych nieruchomościami przy zgłaszaniu wartości LGD uwzględnia się dolne limity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8151A6" w:rsidRPr="00AA1421" w:rsidRDefault="008151A6" w:rsidP="00664874">
            <w:pPr>
              <w:rPr>
                <w:rFonts w:ascii="Times New Roman" w:hAnsi="Times New Roman"/>
                <w:sz w:val="24"/>
              </w:rPr>
            </w:pPr>
            <w:r w:rsidRPr="00AA1421">
              <w:rPr>
                <w:rFonts w:ascii="Times New Roman" w:hAnsi="Times New Roman"/>
                <w:sz w:val="24"/>
              </w:rPr>
              <w:t xml:space="preserve">W przypadku ekspozycji z uwzględnieniem ujęcia podwójnego niewykonania zobowiązania LGD, które należy zgłosić, odpowiada temu wybranemu </w:t>
            </w:r>
            <w:r w:rsidRPr="00AA1421">
              <w:rPr>
                <w:rStyle w:val="InstructionsTabelleText"/>
                <w:rFonts w:ascii="Times New Roman" w:hAnsi="Times New Roman"/>
                <w:sz w:val="24"/>
              </w:rPr>
              <w:t>zgodnie z</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8151A6" w:rsidRPr="00AA1421" w:rsidRDefault="008151A6" w:rsidP="00AC6619">
            <w:pPr>
              <w:rPr>
                <w:rFonts w:ascii="Times New Roman" w:hAnsi="Times New Roman"/>
                <w:sz w:val="24"/>
              </w:rPr>
            </w:pPr>
            <w:r w:rsidRPr="00AA1421">
              <w:rPr>
                <w:rFonts w:ascii="Times New Roman" w:hAnsi="Times New Roman"/>
                <w:sz w:val="24"/>
              </w:rPr>
              <w:t xml:space="preserve">W odniesieniu do ekspozycji objętych metodą IRB-A, których dotyczy niewykonanie zobowiązania, uwzględnia się przepisy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h)</w:t>
            </w:r>
            <w:r w:rsidRPr="00AA1421">
              <w:rPr>
                <w:rFonts w:ascii="Times New Roman" w:hAnsi="Times New Roman"/>
                <w:sz w:val="24"/>
              </w:rPr>
              <w:t xml:space="preserve"> CRR. Zgłoszona wartość LGD odpowiada szacunkowej wartości LGD, której dotyczy niewykonanie zobowiązania, </w:t>
            </w:r>
            <w:r w:rsidRPr="00AA1421">
              <w:rPr>
                <w:rStyle w:val="InstructionsTabelleText"/>
                <w:rFonts w:ascii="Times New Roman" w:hAnsi="Times New Roman"/>
                <w:sz w:val="24"/>
              </w:rPr>
              <w:t>zgodnie z</w:t>
            </w:r>
            <w:r w:rsidRPr="00AA1421">
              <w:rPr>
                <w:rFonts w:ascii="Times New Roman" w:hAnsi="Times New Roman"/>
                <w:sz w:val="24"/>
              </w:rPr>
              <w:t xml:space="preserve"> mającymi zastosowanie metodami szacowania.</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ŚREDNI TERMIN ZAPADALNOŚCI WAŻONY EKSPOZYCJĄ (W LATACH)</w:t>
            </w:r>
          </w:p>
          <w:p w:rsidR="008151A6" w:rsidRPr="00AA1421" w:rsidRDefault="008151A6" w:rsidP="00664874">
            <w:pPr>
              <w:rPr>
                <w:rFonts w:ascii="Times New Roman" w:hAnsi="Times New Roman"/>
                <w:sz w:val="24"/>
              </w:rPr>
            </w:pPr>
            <w:r w:rsidRPr="00AA1421">
              <w:rPr>
                <w:rFonts w:ascii="Times New Roman" w:hAnsi="Times New Roman"/>
                <w:sz w:val="24"/>
              </w:rPr>
              <w:t>W odniesieniu do wszystkich ekspozycji uwzględnionych w każdym koszyku o stałym zakresie PD średni termin zapadalności każdej ekspozycji ważony wartością ekspozycji po uwzględnieniu współczynnika konwersji zgłaszaną w kolumnie 0040</w:t>
            </w:r>
          </w:p>
          <w:p w:rsidR="008151A6" w:rsidRPr="00AA1421" w:rsidRDefault="008151A6" w:rsidP="00664874">
            <w:pPr>
              <w:rPr>
                <w:rFonts w:ascii="Times New Roman" w:hAnsi="Times New Roman"/>
                <w:sz w:val="24"/>
              </w:rPr>
            </w:pPr>
            <w:r w:rsidRPr="00AA1421">
              <w:rPr>
                <w:rFonts w:ascii="Times New Roman" w:hAnsi="Times New Roman"/>
                <w:sz w:val="24"/>
              </w:rPr>
              <w:t xml:space="preserve">Zgłaszany termin zapadalności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62 CRR. </w:t>
            </w:r>
          </w:p>
          <w:p w:rsidR="008151A6" w:rsidRPr="00AA1421" w:rsidRDefault="008151A6" w:rsidP="00664874">
            <w:pPr>
              <w:rPr>
                <w:rFonts w:ascii="Times New Roman" w:hAnsi="Times New Roman"/>
                <w:sz w:val="24"/>
              </w:rPr>
            </w:pPr>
            <w:r w:rsidRPr="00AA1421">
              <w:rPr>
                <w:rFonts w:ascii="Times New Roman" w:hAnsi="Times New Roman"/>
                <w:sz w:val="24"/>
              </w:rPr>
              <w:t>Średni termin zapadalności podawany jest jako liczba lat.</w:t>
            </w:r>
          </w:p>
          <w:p w:rsidR="008151A6" w:rsidRPr="00AA1421" w:rsidRDefault="008151A6" w:rsidP="00AF6F2C">
            <w:pPr>
              <w:rPr>
                <w:rFonts w:ascii="Times New Roman" w:hAnsi="Times New Roman"/>
                <w:sz w:val="24"/>
              </w:rPr>
            </w:pPr>
            <w:r w:rsidRPr="00AA1421">
              <w:rPr>
                <w:rFonts w:ascii="Times New Roman" w:hAnsi="Times New Roman"/>
                <w:sz w:val="24"/>
              </w:rPr>
              <w:lastRenderedPageBreak/>
              <w:t xml:space="preserve">Danych tych nie zgłasza się w odniesieniu do wartości ekspozycji, dla których termin zapadalność nie jest elementem obliczeń </w:t>
            </w:r>
            <w:r w:rsidRPr="00AA1421">
              <w:rPr>
                <w:rStyle w:val="InstructionsTabelleText"/>
                <w:rFonts w:ascii="Times New Roman" w:hAnsi="Times New Roman"/>
                <w:sz w:val="24"/>
              </w:rPr>
              <w:t xml:space="preserve">kwot ekspozycji ważonych ryzykiem </w:t>
            </w:r>
            <w:r w:rsidRPr="00AA1421">
              <w:rPr>
                <w:rFonts w:ascii="Times New Roman" w:hAnsi="Times New Roman"/>
                <w:sz w:val="24"/>
              </w:rPr>
              <w:t>zgodnie z częścią trzecią tytuł II rozdział 3 CRR. Oznacza to, że kolumny tej nie wypełnia się w przypadku kategorii ekspozycji „ekspozycje detaliczne”.</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Del="00F079B2" w:rsidRDefault="008151A6" w:rsidP="00664874">
            <w:pPr>
              <w:rPr>
                <w:rFonts w:ascii="Times New Roman" w:hAnsi="Times New Roman"/>
                <w:sz w:val="24"/>
              </w:rPr>
            </w:pPr>
            <w:r w:rsidRPr="00AA1421">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EKSPOZYCJI WAŻONEJ RYZYKIEM PO UWZGLĘDNIENIU WSPÓŁCZYNNIKÓW WSPARCIA</w:t>
            </w:r>
          </w:p>
          <w:p w:rsidR="008151A6" w:rsidRPr="00AA1421" w:rsidRDefault="008151A6" w:rsidP="00664874">
            <w:pPr>
              <w:rPr>
                <w:rFonts w:ascii="Times New Roman" w:hAnsi="Times New Roman"/>
                <w:sz w:val="24"/>
              </w:rPr>
            </w:pPr>
            <w:r w:rsidRPr="00AA1421">
              <w:rPr>
                <w:rFonts w:ascii="Times New Roman" w:hAnsi="Times New Roman"/>
                <w:sz w:val="24"/>
              </w:rPr>
              <w:t xml:space="preserve">W odniesieniu do ekspozycji wobec rządów centralnych i banków centralnych oraz instytucji i przedsiębiorstw – kwota ekspozycji ważonej ryzykiem obliczana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 w odniesieniu do ekspozycji detalicznych – kwota ekspozycji ważonej ryzykiem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54 CRR.</w:t>
            </w:r>
          </w:p>
          <w:p w:rsidR="008151A6" w:rsidRPr="00AA1421" w:rsidRDefault="008151A6" w:rsidP="003F19BA">
            <w:pPr>
              <w:rPr>
                <w:rFonts w:ascii="Times New Roman" w:hAnsi="Times New Roman"/>
                <w:sz w:val="24"/>
              </w:rPr>
            </w:pPr>
            <w:r w:rsidRPr="00AA1421">
              <w:rPr>
                <w:rFonts w:ascii="Times New Roman" w:hAnsi="Times New Roman"/>
                <w:sz w:val="24"/>
              </w:rPr>
              <w:t xml:space="preserve">Bierze się pod uwagę współczynniki wsparcia MŚP oraz infrastruktury </w:t>
            </w:r>
            <w:r w:rsidRPr="00AA1421">
              <w:rPr>
                <w:rStyle w:val="InstructionsTabelleText"/>
                <w:rFonts w:ascii="Times New Roman" w:hAnsi="Times New Roman"/>
                <w:sz w:val="24"/>
              </w:rPr>
              <w:t>określone</w:t>
            </w:r>
            <w:r w:rsidRPr="00AA1421">
              <w:rPr>
                <w:rFonts w:ascii="Times New Roman" w:hAnsi="Times New Roman"/>
                <w:sz w:val="24"/>
              </w:rPr>
              <w:t xml:space="preserv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01 i 501a CRR. </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AC6619">
            <w:pPr>
              <w:rPr>
                <w:rFonts w:ascii="Times New Roman" w:hAnsi="Times New Roman"/>
                <w:sz w:val="24"/>
              </w:rPr>
            </w:pPr>
            <w:r w:rsidRPr="00AA1421">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OCZEKIWANEJ STRATY</w:t>
            </w:r>
          </w:p>
          <w:p w:rsidR="008151A6" w:rsidRPr="00AA1421" w:rsidRDefault="008151A6" w:rsidP="00664874">
            <w:pPr>
              <w:rPr>
                <w:rFonts w:ascii="Times New Roman" w:hAnsi="Times New Roman"/>
                <w:sz w:val="24"/>
              </w:rPr>
            </w:pPr>
            <w:r w:rsidRPr="00AA1421">
              <w:rPr>
                <w:rFonts w:ascii="Times New Roman" w:hAnsi="Times New Roman"/>
                <w:sz w:val="24"/>
              </w:rPr>
              <w:t xml:space="preserve">Kwota oczekiwanej straty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58 CRR.</w:t>
            </w:r>
          </w:p>
          <w:p w:rsidR="008151A6" w:rsidRPr="00AA1421" w:rsidRDefault="008151A6" w:rsidP="00664874">
            <w:pPr>
              <w:rPr>
                <w:rFonts w:ascii="Times New Roman" w:hAnsi="Times New Roman"/>
                <w:sz w:val="24"/>
              </w:rPr>
            </w:pPr>
            <w:r w:rsidRPr="00AA1421">
              <w:rPr>
                <w:rFonts w:ascii="Times New Roman" w:hAnsi="Times New Roman"/>
                <w:sz w:val="24"/>
              </w:rPr>
              <w:t>Kwota oczekiwanej straty, którą należy zgłosić, opiera się na parametrach rzeczywistego ryzyka wykorzystywanych w skali ratingu wewnętrznego zatwierdzonej przez odpowiedni właściwy organ.</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AC6619">
            <w:pPr>
              <w:rPr>
                <w:rFonts w:ascii="Times New Roman" w:hAnsi="Times New Roman"/>
                <w:sz w:val="24"/>
              </w:rPr>
            </w:pPr>
            <w:r w:rsidRPr="00AA142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KOREKTY WARTOŚCI I REZERWY</w:t>
            </w:r>
          </w:p>
          <w:p w:rsidR="00A44410" w:rsidRPr="00AA1421" w:rsidRDefault="008151A6" w:rsidP="00664874">
            <w:pPr>
              <w:rPr>
                <w:rFonts w:ascii="Times New Roman" w:hAnsi="Times New Roman"/>
                <w:sz w:val="24"/>
              </w:rPr>
            </w:pPr>
            <w:r w:rsidRPr="00AA1421">
              <w:rPr>
                <w:rFonts w:ascii="Times New Roman" w:hAnsi="Times New Roman"/>
                <w:sz w:val="24"/>
              </w:rPr>
              <w:t xml:space="preserve">Korekty z tytułu szczególnego i ogólnego ryzyka kredytowego zgodnie z rozporządzeniem delegowanym Komisji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83/2014, dodatkowe korekty wartości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 i 110 CRR, a także inne redukcje funduszy własnych związane z ekspozycjami przypisanymi do każdego koszyka o stałym zakresie PD. </w:t>
            </w:r>
          </w:p>
          <w:p w:rsidR="008151A6" w:rsidRPr="00AA1421" w:rsidRDefault="008151A6" w:rsidP="00664874">
            <w:pPr>
              <w:rPr>
                <w:rFonts w:ascii="Times New Roman" w:hAnsi="Times New Roman"/>
                <w:sz w:val="24"/>
              </w:rPr>
            </w:pPr>
            <w:r w:rsidRPr="00AA1421">
              <w:rPr>
                <w:rFonts w:ascii="Times New Roman" w:hAnsi="Times New Roman"/>
                <w:sz w:val="24"/>
              </w:rPr>
              <w:t xml:space="preserve">Są to korekty wartości i rezerwy uwzględniane do celów wykonania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59 CRR.</w:t>
            </w:r>
          </w:p>
          <w:p w:rsidR="008151A6" w:rsidRPr="00AA1421" w:rsidRDefault="008151A6" w:rsidP="00084F66">
            <w:pPr>
              <w:rPr>
                <w:rFonts w:ascii="Times New Roman" w:hAnsi="Times New Roman"/>
                <w:sz w:val="24"/>
              </w:rPr>
            </w:pPr>
            <w:r w:rsidRPr="00AA1421">
              <w:rPr>
                <w:rFonts w:ascii="Times New Roman" w:hAnsi="Times New Roman"/>
                <w:sz w:val="24"/>
              </w:rPr>
              <w:t xml:space="preserve">Ogólne rezerwy zgłasza się poprzez przypisanie kwoty proporcjonalnej </w:t>
            </w:r>
            <w:r w:rsidRPr="00AA1421">
              <w:rPr>
                <w:rStyle w:val="InstructionsTabelleText"/>
                <w:rFonts w:ascii="Times New Roman" w:hAnsi="Times New Roman"/>
                <w:sz w:val="24"/>
              </w:rPr>
              <w:t>zgodnie z</w:t>
            </w:r>
            <w:r w:rsidRPr="00AA1421">
              <w:rPr>
                <w:rFonts w:ascii="Times New Roman" w:hAnsi="Times New Roman"/>
                <w:sz w:val="24"/>
              </w:rPr>
              <w:t xml:space="preserve"> oczekiwaną stratą w ró</w:t>
            </w:r>
            <w:r w:rsidR="00084F66">
              <w:rPr>
                <w:rFonts w:ascii="Times New Roman" w:hAnsi="Times New Roman"/>
                <w:sz w:val="24"/>
              </w:rPr>
              <w:t>żnych klasach jakości dłużnika.</w:t>
            </w:r>
          </w:p>
        </w:tc>
      </w:tr>
    </w:tbl>
    <w:p w:rsidR="008151A6" w:rsidRPr="00AA1421"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AA1421" w:rsidTr="00664874">
        <w:tc>
          <w:tcPr>
            <w:tcW w:w="1271"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Wiersze</w:t>
            </w:r>
          </w:p>
        </w:tc>
        <w:tc>
          <w:tcPr>
            <w:tcW w:w="8557"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271" w:type="dxa"/>
          </w:tcPr>
          <w:p w:rsidR="008151A6" w:rsidRPr="00AA1421" w:rsidRDefault="008151A6" w:rsidP="00664874">
            <w:pPr>
              <w:rPr>
                <w:rFonts w:ascii="Times New Roman" w:hAnsi="Times New Roman"/>
                <w:sz w:val="24"/>
              </w:rPr>
            </w:pPr>
            <w:r w:rsidRPr="00AA1421">
              <w:rPr>
                <w:rFonts w:ascii="Times New Roman" w:hAnsi="Times New Roman"/>
                <w:sz w:val="24"/>
              </w:rPr>
              <w:t>ZAKRES PD</w:t>
            </w:r>
          </w:p>
        </w:tc>
        <w:tc>
          <w:tcPr>
            <w:tcW w:w="8557" w:type="dxa"/>
          </w:tcPr>
          <w:p w:rsidR="008151A6" w:rsidRPr="00AA1421" w:rsidRDefault="008151A6" w:rsidP="00AC6619">
            <w:pPr>
              <w:rPr>
                <w:rFonts w:ascii="Times New Roman" w:hAnsi="Times New Roman"/>
                <w:sz w:val="24"/>
              </w:rPr>
            </w:pPr>
            <w:r w:rsidRPr="00AA1421">
              <w:rPr>
                <w:rFonts w:ascii="Times New Roman" w:hAnsi="Times New Roman"/>
                <w:sz w:val="24"/>
              </w:rPr>
              <w:t xml:space="preserve">Ekspozycje przypisuje się do odpowiedniego koszyka o stałym zakresie PD na podstawie PD oszacowanego dla każdego dłużnika przyporządkowanego do danej kategorii ekspozycji (bez uwzględniania jakichkolwiek efektów </w:t>
            </w:r>
            <w:proofErr w:type="spellStart"/>
            <w:r w:rsidRPr="00AA1421">
              <w:rPr>
                <w:rFonts w:ascii="Times New Roman" w:hAnsi="Times New Roman"/>
                <w:sz w:val="24"/>
              </w:rPr>
              <w:t>subsytucyjnych</w:t>
            </w:r>
            <w:proofErr w:type="spellEnd"/>
            <w:r w:rsidRPr="00AA1421">
              <w:rPr>
                <w:rFonts w:ascii="Times New Roman" w:hAnsi="Times New Roman"/>
                <w:sz w:val="24"/>
              </w:rPr>
              <w:t xml:space="preserve"> wynikających z ograniczenia ryzyka kredytowego). Instytucje przyporządkowują każdą ekspozycję do zakresu PD podanego w niniejszym wzorze, uwzględniając również skale ciągłe. Wszystkie ekspozycje, których dotyczy niewykonanie zobowiązania, ujmuje się w koszyku odpowiadającym PD w wysokości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w:t>
            </w:r>
          </w:p>
        </w:tc>
      </w:tr>
    </w:tbl>
    <w:p w:rsidR="008151A6" w:rsidRPr="00AA1421"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403640"/>
      <w:r w:rsidRPr="00AA1421">
        <w:rPr>
          <w:rFonts w:ascii="Times New Roman" w:hAnsi="Times New Roman"/>
          <w:sz w:val="24"/>
        </w:rPr>
        <w:lastRenderedPageBreak/>
        <w:t>C 08.04 – Ryzyko kredytowe oraz dostawy z późniejszym terminem rozliczenia: wymogi kapitałowe według metody IRB (rachunki przepływów kwot ekspozycji ważonych ryzykiem (CR IRB 4))</w:t>
      </w:r>
      <w:bookmarkEnd w:id="330"/>
      <w:bookmarkEnd w:id="331"/>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403641"/>
      <w:r w:rsidRPr="00AA1421">
        <w:rPr>
          <w:rFonts w:ascii="Times New Roman" w:hAnsi="Times New Roman"/>
          <w:sz w:val="24"/>
        </w:rPr>
        <w:t>Uwagi ogólne</w:t>
      </w:r>
      <w:bookmarkEnd w:id="332"/>
      <w:bookmarkEnd w:id="333"/>
    </w:p>
    <w:p w:rsidR="008151A6" w:rsidRPr="00AA1421" w:rsidRDefault="00AA1421" w:rsidP="00487A02">
      <w:pPr>
        <w:pStyle w:val="InstructionsText2"/>
        <w:numPr>
          <w:ilvl w:val="0"/>
          <w:numId w:val="0"/>
        </w:numPr>
        <w:ind w:left="1353" w:hanging="360"/>
      </w:pPr>
      <w:fldSimple w:instr=" seq paragraphs ">
        <w:r w:rsidR="00D11E4C" w:rsidRPr="00AA1421">
          <w:rPr>
            <w:noProof/>
          </w:rPr>
          <w:t>78</w:t>
        </w:r>
      </w:fldSimple>
      <w:r w:rsidR="00D11E4C" w:rsidRPr="00AA1421">
        <w:t xml:space="preserve">. Instytucje zgłaszają informacje zawarte w tym wzorze zgodnie z </w:t>
      </w:r>
      <w:r w:rsidR="00D11E4C" w:rsidRPr="00084F66">
        <w:t>art.</w:t>
      </w:r>
      <w:r w:rsidR="00084F66" w:rsidRPr="00084F66">
        <w:t> </w:t>
      </w:r>
      <w:r w:rsidR="00D11E4C" w:rsidRPr="00084F66">
        <w:t>4</w:t>
      </w:r>
      <w:r w:rsidR="00D11E4C" w:rsidRPr="00AA1421">
        <w:t xml:space="preserve">38 </w:t>
      </w:r>
      <w:r w:rsidR="00D11E4C" w:rsidRPr="00084F66">
        <w:t>lit.</w:t>
      </w:r>
      <w:r w:rsidR="00084F66" w:rsidRPr="00084F66">
        <w:t> </w:t>
      </w:r>
      <w:r w:rsidR="00D11E4C" w:rsidRPr="00084F66">
        <w:t>h)</w:t>
      </w:r>
      <w:r w:rsidR="00D11E4C" w:rsidRPr="00AA1421">
        <w:t xml:space="preserve"> CRR. Ten wzór nie obejmuje ekspozycji na ryzyko kredytowe kontrahenta (CCR) (część trzecia tytuł II rozdział 6 CRR).</w:t>
      </w:r>
    </w:p>
    <w:p w:rsidR="002F29AF" w:rsidRPr="00AA1421" w:rsidRDefault="00084F66" w:rsidP="00487A02">
      <w:pPr>
        <w:pStyle w:val="InstructionsText2"/>
        <w:numPr>
          <w:ilvl w:val="0"/>
          <w:numId w:val="0"/>
        </w:numPr>
        <w:ind w:left="1353" w:hanging="360"/>
      </w:pPr>
      <w:r>
        <w:fldChar w:fldCharType="begin"/>
      </w:r>
      <w:r>
        <w:instrText xml:space="preserve"> seq paragraphs </w:instrText>
      </w:r>
      <w:r>
        <w:fldChar w:fldCharType="separate"/>
      </w:r>
      <w:r w:rsidR="002F29AF" w:rsidRPr="00AA1421">
        <w:t>79</w:t>
      </w:r>
      <w:r>
        <w:fldChar w:fldCharType="end"/>
      </w:r>
      <w:r w:rsidR="002F29AF" w:rsidRPr="00AA1421">
        <w:t xml:space="preserve">. Instytucje zgłaszają przepływy RWEA jako zmiany między kwotami ekspozycji ważonych ryzykiem na dzień odniesienia a kwotami ekspozycji ważonych ryzykiem na poprzedni </w:t>
      </w:r>
      <w:r w:rsidR="002F29AF" w:rsidRPr="00AA1421">
        <w:rPr>
          <w:bCs/>
          <w:color w:val="000000"/>
        </w:rPr>
        <w:t xml:space="preserve">dzień odniesienia. W przypadku sprawozdań kwartalnych należy zgłaszać dane z końca kwartału poprzedzającego </w:t>
      </w:r>
      <w:r w:rsidR="002F29AF" w:rsidRPr="00AA1421">
        <w:rPr>
          <w:color w:val="000000"/>
        </w:rPr>
        <w:t>kwartał</w:t>
      </w:r>
      <w:r w:rsidR="002F29AF" w:rsidRPr="00AA1421">
        <w:t xml:space="preserve">, w którym wypada sprawozdawczy dzień odniesienia. </w:t>
      </w:r>
    </w:p>
    <w:p w:rsidR="008151A6" w:rsidRPr="00AA1421"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403642"/>
      <w:r w:rsidRPr="00AA1421">
        <w:rPr>
          <w:rFonts w:ascii="Times New Roman" w:hAnsi="Times New Roman"/>
          <w:sz w:val="24"/>
        </w:rPr>
        <w:t>Instrukcje dotyczące poszczególnych pozycji</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AA1421" w:rsidTr="00393FF2">
        <w:tc>
          <w:tcPr>
            <w:tcW w:w="1188" w:type="dxa"/>
            <w:tcBorders>
              <w:bottom w:val="single" w:sz="4" w:space="0" w:color="auto"/>
            </w:tcBorders>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Kolumna</w:t>
            </w:r>
          </w:p>
        </w:tc>
        <w:tc>
          <w:tcPr>
            <w:tcW w:w="8843" w:type="dxa"/>
            <w:tcBorders>
              <w:bottom w:val="single" w:sz="4" w:space="0" w:color="auto"/>
            </w:tcBorders>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0010</w:t>
            </w:r>
          </w:p>
          <w:p w:rsidR="008151A6" w:rsidRPr="00AA1421"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EKSPOZYCJI WAŻONEJ RYZYKIEM</w:t>
            </w:r>
          </w:p>
          <w:p w:rsidR="008151A6" w:rsidRPr="00AA1421" w:rsidRDefault="008151A6" w:rsidP="00AC6619">
            <w:pPr>
              <w:rPr>
                <w:rFonts w:ascii="Times New Roman" w:hAnsi="Times New Roman"/>
                <w:sz w:val="24"/>
              </w:rPr>
            </w:pPr>
            <w:r w:rsidRPr="00AA1421">
              <w:rPr>
                <w:rFonts w:ascii="Times New Roman" w:hAnsi="Times New Roman"/>
                <w:sz w:val="24"/>
              </w:rPr>
              <w:t xml:space="preserve">Całkowita kwota ekspozycji ważonej ryzykiem z tytułu ryzyka kredytowego obliczana według metody IRB z uwzględnieniem współczynników wsparcia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 i 501a CRR.</w:t>
            </w:r>
          </w:p>
        </w:tc>
      </w:tr>
      <w:tr w:rsidR="00393FF2" w:rsidRPr="00AA1421" w:rsidTr="00393FF2">
        <w:trPr>
          <w:trHeight w:val="338"/>
        </w:trPr>
        <w:tc>
          <w:tcPr>
            <w:tcW w:w="1188" w:type="dxa"/>
            <w:tcBorders>
              <w:top w:val="single" w:sz="4" w:space="0" w:color="auto"/>
              <w:left w:val="nil"/>
              <w:bottom w:val="nil"/>
              <w:right w:val="nil"/>
            </w:tcBorders>
            <w:shd w:val="clear" w:color="auto" w:fill="auto"/>
          </w:tcPr>
          <w:p w:rsidR="00393FF2" w:rsidRPr="00AA1421"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AA1421" w:rsidRDefault="00393FF2" w:rsidP="00664874">
            <w:pPr>
              <w:rPr>
                <w:rFonts w:ascii="Times New Roman" w:hAnsi="Times New Roman"/>
                <w:b/>
                <w:sz w:val="24"/>
              </w:rPr>
            </w:pPr>
          </w:p>
        </w:tc>
      </w:tr>
      <w:tr w:rsidR="008151A6" w:rsidRPr="00AA1421" w:rsidTr="00664874">
        <w:tc>
          <w:tcPr>
            <w:tcW w:w="1188"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Wiersze</w:t>
            </w:r>
          </w:p>
        </w:tc>
        <w:tc>
          <w:tcPr>
            <w:tcW w:w="8843"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EKSPOZYCJI WAŻONEJ RYZYKIEM NA KONIEC POPRZEDNIEGO OKRESU SPRAWOZDAWCZEGO</w:t>
            </w:r>
          </w:p>
          <w:p w:rsidR="008151A6" w:rsidRPr="00AA1421" w:rsidRDefault="008151A6" w:rsidP="00F66DFB">
            <w:pPr>
              <w:rPr>
                <w:rFonts w:ascii="Times New Roman" w:hAnsi="Times New Roman"/>
                <w:sz w:val="24"/>
              </w:rPr>
            </w:pPr>
            <w:r w:rsidRPr="00AA1421">
              <w:rPr>
                <w:rFonts w:ascii="Times New Roman" w:hAnsi="Times New Roman"/>
                <w:sz w:val="24"/>
              </w:rPr>
              <w:t xml:space="preserve">Kwota ekspozycji ważonej ryzykiem na koniec poprzedniego okresu sprawozdawczego po zastosowaniu współczynników wsparcia MŚP oraz infrastruktury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01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01a CRR.</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WIELKOŚĆ AKTYWÓW (+/-)</w:t>
            </w:r>
          </w:p>
          <w:p w:rsidR="008151A6" w:rsidRPr="00AA1421" w:rsidRDefault="008151A6" w:rsidP="00664874">
            <w:pPr>
              <w:rPr>
                <w:rFonts w:ascii="Times New Roman" w:hAnsi="Times New Roman"/>
                <w:sz w:val="24"/>
              </w:rPr>
            </w:pPr>
            <w:r w:rsidRPr="00AA1421">
              <w:rPr>
                <w:rFonts w:ascii="Times New Roman" w:hAnsi="Times New Roman"/>
                <w:sz w:val="24"/>
              </w:rPr>
              <w:t>Zmiana wysokości kwoty ekspozycji ważonej ryzykiem, jaka zaszła w okresie od końca poprzedniego okresu sprawozdawczego do końca bieżącego okresu sprawozdawczego, spowodowana wielkością aktywów, tj. organicznymi zmianami wielkości i składu portfela (m.in. wskutek powstawania nowych przedsiębiorstw i upływu terminów zapadalności kredytów), z wyłączeniem zmian wielkości portfela wynikających z nabywania i zbywania podmiotów.</w:t>
            </w:r>
          </w:p>
          <w:p w:rsidR="008151A6" w:rsidRPr="00AA1421" w:rsidRDefault="008151A6" w:rsidP="00664874">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JAKOŚĆ AKTYWÓW (+/-)</w:t>
            </w:r>
          </w:p>
          <w:p w:rsidR="008151A6" w:rsidRPr="00AA1421" w:rsidRDefault="008151A6" w:rsidP="00664874">
            <w:pPr>
              <w:rPr>
                <w:rFonts w:ascii="Times New Roman" w:hAnsi="Times New Roman"/>
                <w:sz w:val="24"/>
              </w:rPr>
            </w:pPr>
            <w:r w:rsidRPr="00AA1421">
              <w:rPr>
                <w:rFonts w:ascii="Times New Roman" w:hAnsi="Times New Roman"/>
                <w:sz w:val="24"/>
              </w:rPr>
              <w:t xml:space="preserve">Zmiana wysokości kwoty ekspozycji ważonej ryzykiem, jaka zaszła w okresie od końca poprzedniego okresu sprawozdawczego do końca bieżącego okresu sprawozdawczego, </w:t>
            </w:r>
            <w:r w:rsidRPr="00AA1421">
              <w:rPr>
                <w:rFonts w:ascii="Times New Roman" w:hAnsi="Times New Roman"/>
                <w:sz w:val="24"/>
              </w:rPr>
              <w:lastRenderedPageBreak/>
              <w:t>spowodowana jakością aktywów, tj. zmianami oceny jakości aktywów danej instytucji wynikającymi ze zmian ryzyka kredytobiorcy, w tym na skutek migracji ratingowej lub podobnych efektów.</w:t>
            </w:r>
          </w:p>
          <w:p w:rsidR="008151A6" w:rsidRPr="00AA1421" w:rsidRDefault="008151A6" w:rsidP="00664874">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AKTUALIZACJE MODELI (+/-)</w:t>
            </w:r>
          </w:p>
          <w:p w:rsidR="008151A6" w:rsidRPr="00AA1421" w:rsidRDefault="008151A6" w:rsidP="00664874">
            <w:pPr>
              <w:rPr>
                <w:rFonts w:ascii="Times New Roman" w:hAnsi="Times New Roman"/>
                <w:sz w:val="24"/>
              </w:rPr>
            </w:pPr>
            <w:r w:rsidRPr="00AA1421">
              <w:rPr>
                <w:rFonts w:ascii="Times New Roman" w:hAnsi="Times New Roman"/>
                <w:sz w:val="24"/>
              </w:rPr>
              <w:t>Zmiana wysokości kwoty ekspozycji ważonej ryzykiem, jaka zaszła w okresie od końca poprzedniego okresu sprawozdawczego do końca bieżącego okresu sprawozdawczego, spowodowana aktualizacjami modeli, tj. zmianami wynikającymi z wdrożenia nowych modeli, zmianami w modelach, zmianami zakresu modeli lub wszelkimi innymi zmianami służącymi wyeliminowaniu słabych punktów modelu.</w:t>
            </w:r>
          </w:p>
          <w:p w:rsidR="008151A6" w:rsidRPr="00AA1421" w:rsidRDefault="008151A6" w:rsidP="00664874">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METODA I POLITYKA (+/-)</w:t>
            </w:r>
          </w:p>
          <w:p w:rsidR="008151A6" w:rsidRPr="00AA1421" w:rsidRDefault="008151A6" w:rsidP="00664874">
            <w:pPr>
              <w:rPr>
                <w:rFonts w:ascii="Times New Roman" w:hAnsi="Times New Roman"/>
                <w:sz w:val="24"/>
              </w:rPr>
            </w:pPr>
            <w:r w:rsidRPr="00AA1421">
              <w:rPr>
                <w:rFonts w:ascii="Times New Roman" w:hAnsi="Times New Roman"/>
                <w:sz w:val="24"/>
              </w:rPr>
              <w:t xml:space="preserve">Zmiana wysokości kwoty ekspozycji ważonej ryzykiem, jaka zaszła w okresie od końca poprzedniego okresu sprawozdawczego do końca bieżącego okresu sprawozdawczego, spowodowana zmianami metodyki i polityki, tj. zmianami metody dokonywania obliczeń w wyniku zmian polityki regulacyjnej, w tym zarówno w wyniku zmian obowiązujących regulacji, jak i wprowadzania nowych regulacji, z wyłączeniem zmian w modelach, które uwzględnia się w wierszu 0040 </w:t>
            </w:r>
          </w:p>
          <w:p w:rsidR="008151A6" w:rsidRPr="00AA1421" w:rsidRDefault="008151A6" w:rsidP="00664874">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NABYCIA I ZBYCIA (+/-)</w:t>
            </w:r>
          </w:p>
          <w:p w:rsidR="008151A6" w:rsidRPr="00AA1421" w:rsidRDefault="008151A6" w:rsidP="00664874">
            <w:pPr>
              <w:rPr>
                <w:rFonts w:ascii="Times New Roman" w:hAnsi="Times New Roman"/>
                <w:sz w:val="24"/>
              </w:rPr>
            </w:pPr>
            <w:r w:rsidRPr="00AA1421">
              <w:rPr>
                <w:rFonts w:ascii="Times New Roman" w:hAnsi="Times New Roman"/>
                <w:sz w:val="24"/>
              </w:rPr>
              <w:t xml:space="preserve">Zmiana wysokości kwoty ekspozycji ważonej ryzykiem, jaka zaszła w okresie od końca poprzedniego okresu sprawozdawczego do końca bieżącego okresu sprawozdawczego, spowodowana </w:t>
            </w:r>
            <w:proofErr w:type="spellStart"/>
            <w:r w:rsidRPr="00AA1421">
              <w:rPr>
                <w:rFonts w:ascii="Times New Roman" w:hAnsi="Times New Roman"/>
                <w:sz w:val="24"/>
              </w:rPr>
              <w:t>nabyciami</w:t>
            </w:r>
            <w:proofErr w:type="spellEnd"/>
            <w:r w:rsidRPr="00AA1421">
              <w:rPr>
                <w:rFonts w:ascii="Times New Roman" w:hAnsi="Times New Roman"/>
                <w:sz w:val="24"/>
              </w:rPr>
              <w:t xml:space="preserve"> i </w:t>
            </w:r>
            <w:proofErr w:type="spellStart"/>
            <w:r w:rsidRPr="00AA1421">
              <w:rPr>
                <w:rFonts w:ascii="Times New Roman" w:hAnsi="Times New Roman"/>
                <w:sz w:val="24"/>
              </w:rPr>
              <w:t>zbyciami</w:t>
            </w:r>
            <w:proofErr w:type="spellEnd"/>
            <w:r w:rsidRPr="00AA1421">
              <w:rPr>
                <w:rFonts w:ascii="Times New Roman" w:hAnsi="Times New Roman"/>
                <w:sz w:val="24"/>
              </w:rPr>
              <w:t>, tj. zmianami wielkości portfela wynikającymi z nabywania i zbywania podmiotów.</w:t>
            </w:r>
          </w:p>
          <w:p w:rsidR="008151A6" w:rsidRPr="00AA1421" w:rsidRDefault="008151A6" w:rsidP="00664874">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WAHANIA KURSÓW WYMIANY WALUT (+/-)</w:t>
            </w:r>
          </w:p>
          <w:p w:rsidR="008151A6" w:rsidRPr="00AA1421" w:rsidRDefault="008151A6" w:rsidP="00664874">
            <w:pPr>
              <w:rPr>
                <w:rFonts w:ascii="Times New Roman" w:hAnsi="Times New Roman"/>
                <w:sz w:val="24"/>
              </w:rPr>
            </w:pPr>
            <w:r w:rsidRPr="00AA1421">
              <w:rPr>
                <w:rFonts w:ascii="Times New Roman" w:hAnsi="Times New Roman"/>
                <w:sz w:val="24"/>
              </w:rPr>
              <w:t>Zmiana wysokości kwoty ekspozycji ważonej ryzykiem, jaka zaszła w okresie od końca poprzedniego okresu sprawozdawczego do końca bieżącego okresu sprawozdawczego, spowodowana wahaniami kursów wymiany walut, tj. zmianami wynikającymi z wahań przeliczenia waluty obcej.</w:t>
            </w:r>
          </w:p>
          <w:p w:rsidR="008151A6" w:rsidRPr="00AA1421" w:rsidRDefault="008151A6" w:rsidP="00664874">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INNE (+/-)</w:t>
            </w:r>
          </w:p>
          <w:p w:rsidR="008151A6" w:rsidRPr="00AA1421" w:rsidRDefault="008151A6" w:rsidP="00664874">
            <w:pPr>
              <w:rPr>
                <w:rFonts w:ascii="Times New Roman" w:hAnsi="Times New Roman"/>
                <w:sz w:val="24"/>
              </w:rPr>
            </w:pPr>
            <w:r w:rsidRPr="00AA1421">
              <w:rPr>
                <w:rFonts w:ascii="Times New Roman" w:hAnsi="Times New Roman"/>
                <w:sz w:val="24"/>
              </w:rPr>
              <w:t>Zmiana wysokości kwoty ekspozycji ważonej ryzykiem, jaka zaszła w okresie od końca poprzedniego okresu sprawozdawczego do końca bieżącego okresu sprawozdawczego, spowodowana innymi czynnikami.</w:t>
            </w:r>
          </w:p>
          <w:p w:rsidR="0044539D" w:rsidRPr="00AA1421" w:rsidRDefault="008151A6" w:rsidP="0044539D">
            <w:pPr>
              <w:rPr>
                <w:rFonts w:ascii="Times New Roman" w:hAnsi="Times New Roman"/>
                <w:sz w:val="24"/>
              </w:rPr>
            </w:pPr>
            <w:r w:rsidRPr="00AA1421">
              <w:rPr>
                <w:rFonts w:ascii="Times New Roman" w:hAnsi="Times New Roman"/>
                <w:sz w:val="24"/>
              </w:rPr>
              <w:lastRenderedPageBreak/>
              <w:t xml:space="preserve">Tę kategorię wykorzystuje się do ujmowania zmian, których nie można przypisać do żadnej z powyższych kategorii. </w:t>
            </w:r>
          </w:p>
          <w:p w:rsidR="008151A6" w:rsidRPr="00AA1421" w:rsidRDefault="008151A6" w:rsidP="0044539D">
            <w:pPr>
              <w:rPr>
                <w:rFonts w:ascii="Times New Roman" w:hAnsi="Times New Roman"/>
                <w:sz w:val="24"/>
              </w:rPr>
            </w:pPr>
            <w:r w:rsidRPr="00AA1421">
              <w:rPr>
                <w:rFonts w:ascii="Times New Roman" w:hAnsi="Times New Roman"/>
                <w:sz w:val="24"/>
              </w:rPr>
              <w:t>Wzrost kwot ekspozycji ważonych ryzykiem zgłasza się jako kwotę dodatnią, a spadek kwot ekspozycji ważonych ryzykiem – jako kwotę ujemną.</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EKSPOZYCJI WAŻONEJ RYZYKIEM NA KONIEC OKRESU SPRAWOZDAWCZEGO</w:t>
            </w:r>
          </w:p>
          <w:p w:rsidR="008151A6" w:rsidRPr="00AA1421" w:rsidRDefault="008151A6" w:rsidP="003F19BA">
            <w:pPr>
              <w:pStyle w:val="CommentText"/>
            </w:pPr>
            <w:r w:rsidRPr="00AA1421">
              <w:rPr>
                <w:rFonts w:ascii="Times New Roman" w:hAnsi="Times New Roman"/>
                <w:sz w:val="24"/>
              </w:rPr>
              <w:t xml:space="preserve">Kwota ekspozycji ważonej ryzykiem w okresie sprawozdawczym po zastosowaniu współczynników wsparcia MŚP i infrastruktury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01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01a CRR.</w:t>
            </w:r>
          </w:p>
        </w:tc>
      </w:tr>
    </w:tbl>
    <w:p w:rsidR="008151A6" w:rsidRPr="00AA1421"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403643"/>
      <w:r w:rsidRPr="00AA1421">
        <w:rPr>
          <w:rFonts w:ascii="Times New Roman" w:hAnsi="Times New Roman"/>
          <w:sz w:val="24"/>
        </w:rPr>
        <w:t>C 08.05 – Ryzyko kredytowe oraz dostawy z późniejszym terminem rozliczenia: wymogi kapitałowe według metody IRB (weryfikacja historyczna PD (CR IRB 5))</w:t>
      </w:r>
      <w:bookmarkEnd w:id="336"/>
      <w:bookmarkEnd w:id="337"/>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403644"/>
      <w:r w:rsidRPr="00AA1421">
        <w:rPr>
          <w:rFonts w:ascii="Times New Roman" w:hAnsi="Times New Roman"/>
          <w:sz w:val="24"/>
        </w:rPr>
        <w:t>Uwagi ogólne</w:t>
      </w:r>
      <w:bookmarkEnd w:id="338"/>
      <w:bookmarkEnd w:id="339"/>
    </w:p>
    <w:p w:rsidR="008151A6" w:rsidRPr="00AA1421" w:rsidRDefault="00AA1421" w:rsidP="00487A02">
      <w:pPr>
        <w:pStyle w:val="InstructionsText2"/>
        <w:numPr>
          <w:ilvl w:val="0"/>
          <w:numId w:val="0"/>
        </w:numPr>
        <w:ind w:left="1353" w:hanging="360"/>
      </w:pPr>
      <w:fldSimple w:instr=" seq paragraphs ">
        <w:r w:rsidR="00D11E4C" w:rsidRPr="00AA1421">
          <w:rPr>
            <w:noProof/>
          </w:rPr>
          <w:t>80</w:t>
        </w:r>
      </w:fldSimple>
      <w:r w:rsidR="00D11E4C" w:rsidRPr="00AA1421">
        <w:t xml:space="preserve">. Instytucje zgłaszają informacje zawarte w tym wzorze zgodnie z </w:t>
      </w:r>
      <w:r w:rsidR="00D11E4C" w:rsidRPr="00084F66">
        <w:t>art.</w:t>
      </w:r>
      <w:r w:rsidR="00084F66" w:rsidRPr="00084F66">
        <w:t> </w:t>
      </w:r>
      <w:r w:rsidR="00D11E4C" w:rsidRPr="00084F66">
        <w:t>4</w:t>
      </w:r>
      <w:r w:rsidR="00D11E4C" w:rsidRPr="00AA1421">
        <w:t xml:space="preserve">52 </w:t>
      </w:r>
      <w:r w:rsidR="00D11E4C" w:rsidRPr="00084F66">
        <w:t>lit.</w:t>
      </w:r>
      <w:r w:rsidR="00084F66" w:rsidRPr="00084F66">
        <w:t> </w:t>
      </w:r>
      <w:r w:rsidR="00D11E4C" w:rsidRPr="00084F66">
        <w:t>h)</w:t>
      </w:r>
      <w:r w:rsidR="00D11E4C" w:rsidRPr="00AA1421">
        <w:t xml:space="preserve"> CRR. Instytucja uwzględnia modele stosowane w każdej kategorii ekspozycji i wyjaśniają procentowy udział kwoty ekspozycji ważonych ryzykiem w odpowiedniej kategorii ekspozycji objętej modelami, dla których zgłasza się tu wyniki weryfikacji historycznej. Ten wzór nie obejmuje ekspozycji na ryzyko kredytowe kontrahenta (CCR) (część trzecia tytuł II rozdział 6 CRR).</w:t>
      </w:r>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403645"/>
      <w:r w:rsidRPr="00AA1421">
        <w:rPr>
          <w:rFonts w:ascii="Times New Roman" w:hAnsi="Times New Roman"/>
          <w:sz w:val="24"/>
        </w:rPr>
        <w:t>Instrukcje dotyczące poszczególnych pozycji</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AA1421" w:rsidTr="00664874">
        <w:tc>
          <w:tcPr>
            <w:tcW w:w="1188"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Kolumny</w:t>
            </w:r>
          </w:p>
        </w:tc>
        <w:tc>
          <w:tcPr>
            <w:tcW w:w="8843"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463F88" w:rsidP="00664874">
            <w:pPr>
              <w:rPr>
                <w:rFonts w:ascii="Times New Roman" w:hAnsi="Times New Roman"/>
                <w:b/>
                <w:sz w:val="24"/>
                <w:u w:val="single"/>
              </w:rPr>
            </w:pPr>
            <w:r w:rsidRPr="00AA1421">
              <w:rPr>
                <w:rFonts w:ascii="Times New Roman" w:hAnsi="Times New Roman"/>
                <w:b/>
                <w:sz w:val="24"/>
                <w:u w:val="single"/>
              </w:rPr>
              <w:t>ŚREDNIA ARYTMETYCZNA PD (%)</w:t>
            </w:r>
          </w:p>
          <w:p w:rsidR="008151A6" w:rsidRPr="00AA1421" w:rsidRDefault="00463F88" w:rsidP="00E50FA0">
            <w:pPr>
              <w:rPr>
                <w:rFonts w:ascii="Times New Roman" w:hAnsi="Times New Roman"/>
                <w:b/>
                <w:sz w:val="24"/>
              </w:rPr>
            </w:pPr>
            <w:r w:rsidRPr="00AA1421">
              <w:rPr>
                <w:rFonts w:ascii="Times New Roman" w:hAnsi="Times New Roman"/>
                <w:sz w:val="24"/>
              </w:rPr>
              <w:t>Średnia arytmetyczna PD na początku okresu sprawozdawczego w przypadku dłużników, których można przyporządkować do danego koszyka o stałym zakresie PD, wyliczona w kolumnie 0020 (średnia ważona liczbą dłużników).</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463F88">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LICZBA DŁUŻNIKÓW NA KONIEC POPRZEDNIEGO ROKU</w:t>
            </w:r>
          </w:p>
          <w:p w:rsidR="00E50FA0" w:rsidRPr="00AA1421" w:rsidRDefault="008151A6" w:rsidP="00463F88">
            <w:pPr>
              <w:rPr>
                <w:rFonts w:ascii="Times New Roman" w:hAnsi="Times New Roman"/>
                <w:sz w:val="24"/>
              </w:rPr>
            </w:pPr>
            <w:r w:rsidRPr="00AA1421">
              <w:rPr>
                <w:rFonts w:ascii="Times New Roman" w:hAnsi="Times New Roman"/>
                <w:sz w:val="24"/>
              </w:rPr>
              <w:t xml:space="preserve">Liczba dłużników na koniec poprzedniego roku podlegających sprawozdawczości. </w:t>
            </w:r>
          </w:p>
          <w:p w:rsidR="00463F88" w:rsidRPr="00AA1421" w:rsidRDefault="008151A6" w:rsidP="00463F88">
            <w:pPr>
              <w:rPr>
                <w:rFonts w:ascii="Times New Roman" w:hAnsi="Times New Roman"/>
                <w:sz w:val="24"/>
              </w:rPr>
            </w:pPr>
            <w:r w:rsidRPr="00AA1421">
              <w:rPr>
                <w:rFonts w:ascii="Times New Roman" w:hAnsi="Times New Roman"/>
                <w:sz w:val="24"/>
              </w:rPr>
              <w:t xml:space="preserve">Uwzględnia się wszystkich dłużników, na których w danym momencie ciąży zobowiązanie kredytowe. </w:t>
            </w:r>
          </w:p>
          <w:p w:rsidR="008151A6" w:rsidRPr="00AA1421" w:rsidRDefault="008A0983" w:rsidP="008A0983">
            <w:pPr>
              <w:rPr>
                <w:rFonts w:ascii="Times New Roman" w:hAnsi="Times New Roman"/>
                <w:sz w:val="24"/>
              </w:rPr>
            </w:pPr>
            <w:r w:rsidRPr="00AA1421">
              <w:rPr>
                <w:rFonts w:ascii="Times New Roman" w:hAnsi="Times New Roman"/>
                <w:sz w:val="24"/>
              </w:rPr>
              <w:t>Liczbę dłużników oblicza się zgodnie z instrukcjami w kolumnie 0300 we wzorze C 08.01. Dłużników solidarnych traktuje się tak samo jak do celów kalibracji PD.</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F66371">
            <w:pPr>
              <w:rPr>
                <w:rFonts w:ascii="Times New Roman" w:hAnsi="Times New Roman"/>
                <w:sz w:val="24"/>
              </w:rPr>
            </w:pPr>
            <w:r w:rsidRPr="00AA142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W TYM: LICZBA DŁUŻNIKÓW, KTÓRZY NIEWYKONALI ZOBOWIĄZANIA W CIĄGU ROKU</w:t>
            </w:r>
          </w:p>
          <w:p w:rsidR="00E50FA0" w:rsidRPr="00AA1421" w:rsidRDefault="008151A6" w:rsidP="00664874">
            <w:pPr>
              <w:autoSpaceDE w:val="0"/>
              <w:autoSpaceDN w:val="0"/>
              <w:adjustRightInd w:val="0"/>
              <w:rPr>
                <w:rFonts w:ascii="Times New Roman" w:hAnsi="Times New Roman"/>
                <w:sz w:val="24"/>
              </w:rPr>
            </w:pPr>
            <w:r w:rsidRPr="00AA1421">
              <w:rPr>
                <w:rFonts w:ascii="Times New Roman" w:hAnsi="Times New Roman"/>
                <w:sz w:val="24"/>
              </w:rPr>
              <w:t xml:space="preserve">Liczba dłużników, którzy nie wykonali zobowiązania w ciągu roku (tj. w okresie obserwacji, w którym obliczono współczynnik niewykonania zobowiązania). </w:t>
            </w:r>
          </w:p>
          <w:p w:rsidR="008151A6" w:rsidRPr="00AA1421" w:rsidRDefault="008151A6" w:rsidP="00664874">
            <w:pPr>
              <w:autoSpaceDE w:val="0"/>
              <w:autoSpaceDN w:val="0"/>
              <w:adjustRightInd w:val="0"/>
              <w:rPr>
                <w:rFonts w:ascii="Times New Roman" w:hAnsi="Times New Roman"/>
                <w:sz w:val="24"/>
              </w:rPr>
            </w:pPr>
            <w:r w:rsidRPr="00AA1421">
              <w:rPr>
                <w:rFonts w:ascii="Times New Roman" w:hAnsi="Times New Roman"/>
                <w:sz w:val="24"/>
              </w:rPr>
              <w:t xml:space="preserve">Przypadki niewykonania zobowiązania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78 CRR. </w:t>
            </w:r>
          </w:p>
          <w:p w:rsidR="008151A6" w:rsidRPr="00AA1421" w:rsidRDefault="008151A6" w:rsidP="00664874">
            <w:pPr>
              <w:rPr>
                <w:rFonts w:ascii="Times New Roman" w:hAnsi="Times New Roman"/>
                <w:b/>
                <w:sz w:val="24"/>
                <w:u w:val="single"/>
              </w:rPr>
            </w:pPr>
            <w:r w:rsidRPr="00AA1421">
              <w:rPr>
                <w:rFonts w:ascii="Times New Roman" w:hAnsi="Times New Roman"/>
                <w:sz w:val="24"/>
              </w:rPr>
              <w:t>W liczniku i mianowniku wyliczenia jednorocznego współczynnika niewykonania zobowiązania każdego dłużnika niewykonującego zobowiązania liczy się tylko raz, nawet jeśli dłużnik nie wykonał zobowiązania więcej niż raz w ciągu danego jednorocznego okresu.</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F66371">
            <w:pPr>
              <w:rPr>
                <w:rFonts w:ascii="Times New Roman" w:hAnsi="Times New Roman"/>
                <w:sz w:val="24"/>
              </w:rPr>
            </w:pPr>
            <w:r w:rsidRPr="00AA1421">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ZAOBSERWOWANA ŚREDNIA WARTOŚĆ WSPÓŁCZYNNIKA NIEWYKONANIA ZOBOWIĄZANIA (%)</w:t>
            </w:r>
          </w:p>
          <w:p w:rsidR="008151A6" w:rsidRPr="00AA1421" w:rsidRDefault="008151A6" w:rsidP="00664874">
            <w:pPr>
              <w:autoSpaceDE w:val="0"/>
              <w:autoSpaceDN w:val="0"/>
              <w:adjustRightInd w:val="0"/>
              <w:rPr>
                <w:rFonts w:ascii="Times New Roman" w:hAnsi="Times New Roman"/>
                <w:sz w:val="24"/>
              </w:rPr>
            </w:pPr>
            <w:r w:rsidRPr="00AA1421">
              <w:rPr>
                <w:rFonts w:ascii="Times New Roman" w:hAnsi="Times New Roman"/>
                <w:sz w:val="24"/>
              </w:rPr>
              <w:t xml:space="preserve">Jednoroczny współczynnik niewykonania zobowiązania,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8 CRR.</w:t>
            </w:r>
          </w:p>
          <w:p w:rsidR="008151A6" w:rsidRPr="00AA1421" w:rsidRDefault="008151A6" w:rsidP="00664874">
            <w:pPr>
              <w:autoSpaceDE w:val="0"/>
              <w:autoSpaceDN w:val="0"/>
              <w:adjustRightInd w:val="0"/>
              <w:rPr>
                <w:rFonts w:ascii="Times New Roman" w:hAnsi="Times New Roman"/>
                <w:sz w:val="24"/>
              </w:rPr>
            </w:pPr>
            <w:r w:rsidRPr="00AA1421">
              <w:rPr>
                <w:rFonts w:ascii="Times New Roman" w:hAnsi="Times New Roman"/>
                <w:sz w:val="24"/>
              </w:rPr>
              <w:t>Instytucje zapewniają, aby:</w:t>
            </w:r>
          </w:p>
          <w:p w:rsidR="008151A6" w:rsidRPr="00AA1421" w:rsidRDefault="008151A6" w:rsidP="00664874">
            <w:pPr>
              <w:autoSpaceDE w:val="0"/>
              <w:autoSpaceDN w:val="0"/>
              <w:adjustRightInd w:val="0"/>
              <w:rPr>
                <w:rFonts w:ascii="Times New Roman" w:hAnsi="Times New Roman"/>
                <w:sz w:val="24"/>
              </w:rPr>
            </w:pPr>
            <w:r w:rsidRPr="00AA1421">
              <w:rPr>
                <w:rFonts w:ascii="Times New Roman" w:hAnsi="Times New Roman"/>
                <w:sz w:val="24"/>
              </w:rPr>
              <w:t>a) mianownik składał się z liczby dłużników, którzy nie dopuścili się niewykonania zobowiązania, a których zobowiązania kredytowe odnotowano na początku rocznego okresu obserwacji (tj. na początku roku poprzedzającego sprawozdawczy dzień odniesienia); w tym kontekście zobowiązanie kredytowe odnosi się do obu poniższych wariantów: (i) dowolnej pozycji bilansowej, w tym wszelkie kwoty kapitału, odsetek i opłat; (ii) dowolnych pozycji pozabilansowych, w tym gwarancji wydanych przez instytucję jako gwaranta;</w:t>
            </w:r>
          </w:p>
          <w:p w:rsidR="008151A6" w:rsidRPr="00AA1421" w:rsidRDefault="008151A6" w:rsidP="00664874">
            <w:pPr>
              <w:rPr>
                <w:rFonts w:ascii="Times New Roman" w:hAnsi="Times New Roman"/>
                <w:sz w:val="24"/>
              </w:rPr>
            </w:pPr>
            <w:r w:rsidRPr="00AA1421">
              <w:rPr>
                <w:rFonts w:ascii="Times New Roman" w:hAnsi="Times New Roman"/>
                <w:sz w:val="24"/>
              </w:rPr>
              <w:t>b) licznik obejmował wszystkich dłużników uwzględnionych w mianowniku, u których wystąpił co najmniej jeden przypadek niewykonania zobowiązania w jednorocznym okresie obserwacji (rok poprzedzający sprawozdawczy dzień odniesienia).</w:t>
            </w:r>
          </w:p>
          <w:p w:rsidR="008151A6" w:rsidRPr="00AA1421" w:rsidRDefault="008151A6" w:rsidP="00851278">
            <w:pPr>
              <w:rPr>
                <w:rFonts w:ascii="Times New Roman" w:hAnsi="Times New Roman"/>
                <w:sz w:val="24"/>
              </w:rPr>
            </w:pPr>
            <w:r w:rsidRPr="00AA1421">
              <w:rPr>
                <w:rFonts w:ascii="Times New Roman" w:hAnsi="Times New Roman"/>
                <w:sz w:val="24"/>
              </w:rPr>
              <w:t>W odniesieniu do liczenia liczby dłużników zob. kolumna 0300 wzoru C 08.01.</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F66371">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2754C0" w:rsidP="00664874">
            <w:pPr>
              <w:rPr>
                <w:rFonts w:ascii="Times New Roman" w:hAnsi="Times New Roman"/>
                <w:sz w:val="24"/>
                <w:u w:val="single"/>
              </w:rPr>
            </w:pPr>
            <w:r w:rsidRPr="00AA1421">
              <w:rPr>
                <w:rFonts w:ascii="Times New Roman" w:hAnsi="Times New Roman"/>
                <w:b/>
                <w:sz w:val="24"/>
                <w:u w:val="single"/>
              </w:rPr>
              <w:t>ŚREDNIA HISTORYCZNA WARTOŚĆ JEDNOROCZNEGO WSPÓŁCZYNNIKA NIEWYKONANIA ZOBOWIĄZANIA (%)</w:t>
            </w:r>
          </w:p>
          <w:p w:rsidR="008151A6" w:rsidRPr="00AA1421" w:rsidRDefault="00A5427A" w:rsidP="008E0688">
            <w:pPr>
              <w:rPr>
                <w:rFonts w:ascii="Times New Roman" w:hAnsi="Times New Roman"/>
                <w:sz w:val="24"/>
              </w:rPr>
            </w:pPr>
            <w:r w:rsidRPr="00AA1421">
              <w:rPr>
                <w:rFonts w:ascii="Times New Roman" w:hAnsi="Times New Roman"/>
                <w:sz w:val="24"/>
              </w:rPr>
              <w:t>Średnia arytmetyczna jednorocznego współczynnika niewykonania zobowiązania z pięciu ostatnich lat (dłużnicy na początku każdego roku, którzy nie wykonują zobowiązań w ciągu tego roku/dłużnicy razem na początku roku) stanowi minimum. Instytucja może stosować dłuższy okres historyczny, który jest zgodny z rzeczywistymi praktykami zarządzania ryzykiem stosowanymi przez tę instytucję.</w:t>
            </w:r>
          </w:p>
        </w:tc>
      </w:tr>
    </w:tbl>
    <w:p w:rsidR="008151A6" w:rsidRPr="00AA1421"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AA1421" w:rsidTr="00664874">
        <w:tc>
          <w:tcPr>
            <w:tcW w:w="1271"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Wiersze</w:t>
            </w:r>
          </w:p>
        </w:tc>
        <w:tc>
          <w:tcPr>
            <w:tcW w:w="8557"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271" w:type="dxa"/>
          </w:tcPr>
          <w:p w:rsidR="008151A6" w:rsidRPr="00AA1421" w:rsidRDefault="008151A6" w:rsidP="00664874">
            <w:pPr>
              <w:rPr>
                <w:rFonts w:ascii="Times New Roman" w:hAnsi="Times New Roman"/>
                <w:sz w:val="24"/>
              </w:rPr>
            </w:pPr>
            <w:r w:rsidRPr="00AA1421">
              <w:rPr>
                <w:rFonts w:ascii="Times New Roman" w:hAnsi="Times New Roman"/>
                <w:sz w:val="24"/>
              </w:rPr>
              <w:t>ZAKRES PD</w:t>
            </w:r>
          </w:p>
        </w:tc>
        <w:tc>
          <w:tcPr>
            <w:tcW w:w="8557" w:type="dxa"/>
          </w:tcPr>
          <w:p w:rsidR="008151A6" w:rsidRPr="00AA1421" w:rsidRDefault="008151A6" w:rsidP="00463F88">
            <w:pPr>
              <w:rPr>
                <w:rFonts w:ascii="Times New Roman" w:hAnsi="Times New Roman"/>
                <w:sz w:val="24"/>
              </w:rPr>
            </w:pPr>
            <w:r w:rsidRPr="00AA1421">
              <w:rPr>
                <w:rFonts w:ascii="Times New Roman" w:hAnsi="Times New Roman"/>
                <w:sz w:val="24"/>
              </w:rPr>
              <w:t>Ekspozycje przypisuje się do odpowiedniego koszyka o stałym zakresie PD na podstawie PD oszacowanego na początku okresu sprawozdawczego dla każdego dłużnika przyporządkowanego do danej kategorii ekspozycji (bez uwzględniania jakichkolwiek efektów substytucyjnych wynikających z ograniczenia ryzyka kredytowego). Instytucje przyporządkowują każdą ekspozycję do zakresu PD podanego w niniejszym wzorze, uwzględniając również skale ciągłe. Wszystkie ekspozycje, których dotyczy niewykonanie zobowiązania, ujmuje się w koszyku odpowiadającym PD w wysokości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w:t>
            </w:r>
          </w:p>
        </w:tc>
      </w:tr>
    </w:tbl>
    <w:p w:rsidR="008151A6" w:rsidRPr="00AA1421"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403646"/>
      <w:r w:rsidRPr="00AA1421">
        <w:rPr>
          <w:rFonts w:ascii="Times New Roman" w:hAnsi="Times New Roman"/>
          <w:sz w:val="24"/>
        </w:rPr>
        <w:t>C 08.05.1 – Ryzyko kredytowe i dostawy z późniejszym terminem rozliczenia: wymogi kapitałowe według metody IRB: weryfikacja historyczna PD (CR IRB 5)</w:t>
      </w:r>
      <w:bookmarkEnd w:id="342"/>
      <w:bookmarkEnd w:id="343"/>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403647"/>
      <w:r w:rsidRPr="00AA1421">
        <w:rPr>
          <w:rFonts w:ascii="Times New Roman" w:hAnsi="Times New Roman"/>
          <w:sz w:val="24"/>
        </w:rPr>
        <w:t>Instrukcje dotyczące poszczególnych pozycji</w:t>
      </w:r>
      <w:bookmarkEnd w:id="344"/>
      <w:bookmarkEnd w:id="345"/>
    </w:p>
    <w:p w:rsidR="008151A6" w:rsidRPr="00AA1421" w:rsidRDefault="00AA1421" w:rsidP="00487A02">
      <w:pPr>
        <w:pStyle w:val="InstructionsText2"/>
        <w:numPr>
          <w:ilvl w:val="0"/>
          <w:numId w:val="0"/>
        </w:numPr>
        <w:ind w:left="1353" w:hanging="360"/>
      </w:pPr>
      <w:fldSimple w:instr=" seq paragraphs ">
        <w:r w:rsidR="00D11E4C" w:rsidRPr="00AA1421">
          <w:rPr>
            <w:noProof/>
          </w:rPr>
          <w:t>81</w:t>
        </w:r>
      </w:fldSimple>
      <w:r w:rsidR="00D11E4C" w:rsidRPr="00AA1421">
        <w:t xml:space="preserve">. Oprócz wzoru C 08.05 instytucje przekazują informacje zawarte we wzorze C 08.05.1, jeżeli stosują </w:t>
      </w:r>
      <w:r w:rsidR="00D11E4C" w:rsidRPr="00084F66">
        <w:t>art.</w:t>
      </w:r>
      <w:r w:rsidR="00084F66" w:rsidRPr="00084F66">
        <w:t> </w:t>
      </w:r>
      <w:r w:rsidR="00D11E4C" w:rsidRPr="00084F66">
        <w:t>1</w:t>
      </w:r>
      <w:r w:rsidR="00D11E4C" w:rsidRPr="00AA1421">
        <w:t xml:space="preserve">80 </w:t>
      </w:r>
      <w:r w:rsidR="00D11E4C" w:rsidRPr="00084F66">
        <w:t>ust.</w:t>
      </w:r>
      <w:r w:rsidR="00084F66" w:rsidRPr="00084F66">
        <w:t> </w:t>
      </w:r>
      <w:r w:rsidR="00D11E4C" w:rsidRPr="00084F66">
        <w:t>1</w:t>
      </w:r>
      <w:r w:rsidR="00D11E4C" w:rsidRPr="00AA1421">
        <w:t xml:space="preserve"> z </w:t>
      </w:r>
      <w:r w:rsidR="00D11E4C" w:rsidRPr="00084F66">
        <w:t>lit.</w:t>
      </w:r>
      <w:r w:rsidR="00084F66" w:rsidRPr="00084F66">
        <w:t> </w:t>
      </w:r>
      <w:r w:rsidR="00D11E4C" w:rsidRPr="00084F66">
        <w:t>f)</w:t>
      </w:r>
      <w:r w:rsidR="00D11E4C" w:rsidRPr="00AA1421">
        <w:t xml:space="preserve"> CRR przy oszacowywaniu PD i wyłącznie do celów oszacowania PD zgodnie z tym samym artykułem. Instrukcje są takie same jak dla wzoru C 08.05, z następującymi wyjątkami: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AA1421" w:rsidTr="00664874">
        <w:tc>
          <w:tcPr>
            <w:tcW w:w="1188"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lastRenderedPageBreak/>
              <w:t>Kolumny</w:t>
            </w:r>
          </w:p>
        </w:tc>
        <w:tc>
          <w:tcPr>
            <w:tcW w:w="8843"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188" w:type="dxa"/>
            <w:shd w:val="clear" w:color="auto" w:fill="auto"/>
          </w:tcPr>
          <w:p w:rsidR="008151A6" w:rsidRPr="00AA1421" w:rsidRDefault="008151A6" w:rsidP="008D1D6C">
            <w:pPr>
              <w:rPr>
                <w:rFonts w:ascii="Times New Roman" w:hAnsi="Times New Roman"/>
                <w:sz w:val="24"/>
              </w:rPr>
            </w:pPr>
            <w:r w:rsidRPr="00AA1421">
              <w:rPr>
                <w:rFonts w:ascii="Times New Roman" w:hAnsi="Times New Roman"/>
                <w:sz w:val="24"/>
              </w:rPr>
              <w:t>0005</w:t>
            </w:r>
          </w:p>
        </w:tc>
        <w:tc>
          <w:tcPr>
            <w:tcW w:w="8843" w:type="dxa"/>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ZAKRES PD</w:t>
            </w:r>
          </w:p>
          <w:p w:rsidR="008151A6" w:rsidRPr="00AA1421" w:rsidRDefault="008151A6" w:rsidP="00664874">
            <w:pPr>
              <w:rPr>
                <w:rFonts w:ascii="Times New Roman" w:hAnsi="Times New Roman"/>
                <w:sz w:val="24"/>
              </w:rPr>
            </w:pPr>
            <w:r w:rsidRPr="00AA1421">
              <w:rPr>
                <w:rFonts w:ascii="Times New Roman" w:hAnsi="Times New Roman"/>
                <w:sz w:val="24"/>
              </w:rPr>
              <w:t xml:space="preserve">Instytucje zgłaszają zakresy PD </w:t>
            </w:r>
            <w:r w:rsidRPr="00AA1421">
              <w:rPr>
                <w:rStyle w:val="InstructionsTabelleText"/>
                <w:rFonts w:ascii="Times New Roman" w:hAnsi="Times New Roman"/>
                <w:sz w:val="24"/>
              </w:rPr>
              <w:t>zgodnie z</w:t>
            </w:r>
            <w:r w:rsidRPr="00AA1421">
              <w:rPr>
                <w:rFonts w:ascii="Times New Roman" w:hAnsi="Times New Roman"/>
                <w:sz w:val="24"/>
              </w:rPr>
              <w:t xml:space="preserve"> ich wewnętrznymi klasami jakości, które przyporządkowują do skali stosowanej przez zewnętrzną ECAI, zamiast korzystać ze stałego zewnętrznego zakresu PD.</w:t>
            </w:r>
          </w:p>
        </w:tc>
      </w:tr>
      <w:tr w:rsidR="008151A6" w:rsidRPr="00AA1421" w:rsidTr="00664874">
        <w:tc>
          <w:tcPr>
            <w:tcW w:w="1188" w:type="dxa"/>
            <w:shd w:val="clear" w:color="auto" w:fill="auto"/>
          </w:tcPr>
          <w:p w:rsidR="008151A6" w:rsidRPr="00AA1421" w:rsidRDefault="008151A6" w:rsidP="008D1D6C">
            <w:pPr>
              <w:rPr>
                <w:rFonts w:ascii="Times New Roman" w:hAnsi="Times New Roman"/>
                <w:sz w:val="24"/>
              </w:rPr>
            </w:pPr>
            <w:r w:rsidRPr="00AA1421">
              <w:rPr>
                <w:rFonts w:ascii="Times New Roman" w:hAnsi="Times New Roman"/>
                <w:sz w:val="24"/>
              </w:rPr>
              <w:t>0006</w:t>
            </w:r>
          </w:p>
        </w:tc>
        <w:tc>
          <w:tcPr>
            <w:tcW w:w="8843" w:type="dxa"/>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EKWIWALENT RATINGU ZEWNĘTRZNEGO</w:t>
            </w:r>
          </w:p>
          <w:p w:rsidR="008151A6" w:rsidRPr="00AA1421" w:rsidRDefault="00B7583B" w:rsidP="00815EE9">
            <w:pPr>
              <w:rPr>
                <w:rFonts w:ascii="Times New Roman" w:hAnsi="Times New Roman"/>
                <w:sz w:val="24"/>
              </w:rPr>
            </w:pPr>
            <w:r w:rsidRPr="00AA1421">
              <w:rPr>
                <w:rFonts w:ascii="Times New Roman" w:hAnsi="Times New Roman"/>
                <w:sz w:val="24"/>
              </w:rPr>
              <w:t xml:space="preserve">Instytucje zgłaszają jedną kolumnę dla każdej rozpatrywanej ECAI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f)</w:t>
            </w:r>
            <w:r w:rsidRPr="00AA1421">
              <w:rPr>
                <w:rFonts w:ascii="Times New Roman" w:hAnsi="Times New Roman"/>
                <w:sz w:val="24"/>
              </w:rPr>
              <w:t xml:space="preserve"> CRR. Instytucje uwzględniają w tych kolumnach rating zewnętrzny, do którego przyporządkowywane są ich wewnętrzne zakresy PD.</w:t>
            </w:r>
          </w:p>
        </w:tc>
      </w:tr>
    </w:tbl>
    <w:p w:rsidR="008151A6" w:rsidRPr="00AA1421"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403648"/>
      <w:r w:rsidRPr="00AA1421">
        <w:rPr>
          <w:rFonts w:ascii="Times New Roman" w:hAnsi="Times New Roman"/>
          <w:sz w:val="24"/>
        </w:rPr>
        <w:t>C 08.06 – Ryzyko kredytowe oraz dostawy z późniejszym terminem rozliczenia: wymogi kapitałowe według metody IRB (metoda klasyfikacji kredytowania specjalistycznego (CR IRB 6))</w:t>
      </w:r>
      <w:bookmarkEnd w:id="346"/>
      <w:bookmarkEnd w:id="347"/>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403649"/>
      <w:r w:rsidRPr="00AA1421">
        <w:rPr>
          <w:rFonts w:ascii="Times New Roman" w:hAnsi="Times New Roman"/>
          <w:sz w:val="24"/>
        </w:rPr>
        <w:t>Uwagi ogólne</w:t>
      </w:r>
      <w:bookmarkEnd w:id="348"/>
      <w:bookmarkEnd w:id="349"/>
    </w:p>
    <w:p w:rsidR="008151A6" w:rsidRPr="00AA1421" w:rsidRDefault="00AA1421" w:rsidP="00487A02">
      <w:pPr>
        <w:pStyle w:val="InstructionsText2"/>
        <w:numPr>
          <w:ilvl w:val="0"/>
          <w:numId w:val="0"/>
        </w:numPr>
        <w:ind w:left="1353" w:hanging="360"/>
      </w:pPr>
      <w:fldSimple w:instr=" seq paragraphs ">
        <w:r w:rsidR="00D11E4C" w:rsidRPr="00AA1421">
          <w:rPr>
            <w:noProof/>
          </w:rPr>
          <w:t>82</w:t>
        </w:r>
      </w:fldSimple>
      <w:r w:rsidR="00D11E4C" w:rsidRPr="00AA1421">
        <w:t xml:space="preserve">. Instytucje zgłaszają informacje zawarte w tym wzorze zgodnie z </w:t>
      </w:r>
      <w:r w:rsidR="00D11E4C" w:rsidRPr="00084F66">
        <w:t>art.</w:t>
      </w:r>
      <w:r w:rsidR="00084F66" w:rsidRPr="00084F66">
        <w:t> </w:t>
      </w:r>
      <w:r w:rsidR="00D11E4C" w:rsidRPr="00084F66">
        <w:t>4</w:t>
      </w:r>
      <w:r w:rsidR="00D11E4C" w:rsidRPr="00AA1421">
        <w:t xml:space="preserve">38 </w:t>
      </w:r>
      <w:r w:rsidR="00D11E4C" w:rsidRPr="00084F66">
        <w:t>lit.</w:t>
      </w:r>
      <w:r w:rsidR="00084F66" w:rsidRPr="00084F66">
        <w:t> </w:t>
      </w:r>
      <w:r w:rsidR="00D11E4C" w:rsidRPr="00084F66">
        <w:t>e)</w:t>
      </w:r>
      <w:r w:rsidR="00D11E4C" w:rsidRPr="00AA1421">
        <w:t xml:space="preserve"> CRR. Instytucje zgłaszają informacje na temat następujących rodzajów ekspozycji związanych z kredytowaniem specjalistycznym, o których mowa w </w:t>
      </w:r>
      <w:r w:rsidR="00D11E4C" w:rsidRPr="00084F66">
        <w:t>art.</w:t>
      </w:r>
      <w:r w:rsidR="00084F66" w:rsidRPr="00084F66">
        <w:t> </w:t>
      </w:r>
      <w:r w:rsidR="00D11E4C" w:rsidRPr="00084F66">
        <w:t>1</w:t>
      </w:r>
      <w:r w:rsidR="00D11E4C" w:rsidRPr="00AA1421">
        <w:t xml:space="preserve">53 </w:t>
      </w:r>
      <w:r w:rsidR="00D11E4C" w:rsidRPr="00084F66">
        <w:t>ust.</w:t>
      </w:r>
      <w:r w:rsidR="00084F66" w:rsidRPr="00084F66">
        <w:t> </w:t>
      </w:r>
      <w:r w:rsidR="00D11E4C" w:rsidRPr="00084F66">
        <w:t>5</w:t>
      </w:r>
      <w:r w:rsidR="00D11E4C" w:rsidRPr="00AA1421">
        <w:t xml:space="preserve"> tabela 1:</w:t>
      </w:r>
    </w:p>
    <w:p w:rsidR="008151A6" w:rsidRPr="00AA1421" w:rsidRDefault="008151A6" w:rsidP="00487A02">
      <w:pPr>
        <w:pStyle w:val="InstructionsText2"/>
        <w:numPr>
          <w:ilvl w:val="1"/>
          <w:numId w:val="15"/>
        </w:numPr>
      </w:pPr>
      <w:r w:rsidRPr="00AA1421">
        <w:t>finansowanie projektów;</w:t>
      </w:r>
    </w:p>
    <w:p w:rsidR="008151A6" w:rsidRPr="00AA1421" w:rsidRDefault="008151A6" w:rsidP="00487A02">
      <w:pPr>
        <w:pStyle w:val="InstructionsText2"/>
        <w:numPr>
          <w:ilvl w:val="1"/>
          <w:numId w:val="15"/>
        </w:numPr>
      </w:pPr>
      <w:r w:rsidRPr="00AA1421">
        <w:t>nieruchomości przynoszące dochody i nieruchomości komercyjne charakteryzujące się dużą zmiennością;</w:t>
      </w:r>
    </w:p>
    <w:p w:rsidR="008151A6" w:rsidRPr="00AA1421" w:rsidRDefault="008151A6" w:rsidP="00487A02">
      <w:pPr>
        <w:pStyle w:val="InstructionsText2"/>
        <w:numPr>
          <w:ilvl w:val="1"/>
          <w:numId w:val="15"/>
        </w:numPr>
      </w:pPr>
      <w:r w:rsidRPr="00AA1421">
        <w:t>finansowanie obiektów;</w:t>
      </w:r>
    </w:p>
    <w:p w:rsidR="008151A6" w:rsidRPr="00AA1421" w:rsidRDefault="008151A6" w:rsidP="00487A02">
      <w:pPr>
        <w:pStyle w:val="InstructionsText2"/>
        <w:numPr>
          <w:ilvl w:val="1"/>
          <w:numId w:val="15"/>
        </w:numPr>
      </w:pPr>
      <w:r w:rsidRPr="00AA1421">
        <w:t>finansowanie towarów.</w:t>
      </w:r>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403650"/>
      <w:r w:rsidRPr="00AA1421">
        <w:rPr>
          <w:rFonts w:ascii="Times New Roman" w:hAnsi="Times New Roman"/>
          <w:sz w:val="24"/>
        </w:rPr>
        <w:t>Instrukcje dotyczące poszczególnych pozycji</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AA1421" w:rsidTr="00664874">
        <w:tc>
          <w:tcPr>
            <w:tcW w:w="1188"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Kolumny</w:t>
            </w:r>
          </w:p>
        </w:tc>
        <w:tc>
          <w:tcPr>
            <w:tcW w:w="8843"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PIERWOTNA EKSPOZYCJA PRZED UWZGLĘDNIENIEM WSPÓŁCZYNNIKÓW KONWERSJI</w:t>
            </w:r>
          </w:p>
          <w:p w:rsidR="008151A6" w:rsidRPr="00AA1421" w:rsidRDefault="008151A6" w:rsidP="00664874">
            <w:pPr>
              <w:rPr>
                <w:rFonts w:ascii="Times New Roman" w:hAnsi="Times New Roman"/>
                <w:sz w:val="24"/>
              </w:rPr>
            </w:pPr>
            <w:r w:rsidRPr="00AA1421">
              <w:rPr>
                <w:rFonts w:ascii="Times New Roman" w:hAnsi="Times New Roman"/>
                <w:sz w:val="24"/>
              </w:rPr>
              <w:t>Zob. instrukcje dotyczące wzoru CR-IRB.</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EKSPOZYCJA PO UWZGLĘDNIENIU EFEKTÓW SUBSTYTUCYJNYCH ZWIĄZANYCH Z OGRANICZANIEM RYZYKA KREDYTOWEGO PRZED UWZGLĘDNIENIEM WSPÓŁCZYNNIKÓW KONWERSJI</w:t>
            </w:r>
          </w:p>
          <w:p w:rsidR="008151A6" w:rsidRPr="00AA1421" w:rsidRDefault="008151A6" w:rsidP="00664874">
            <w:pPr>
              <w:rPr>
                <w:rFonts w:ascii="Times New Roman" w:hAnsi="Times New Roman"/>
                <w:sz w:val="24"/>
              </w:rPr>
            </w:pPr>
            <w:r w:rsidRPr="00AA1421">
              <w:rPr>
                <w:rFonts w:ascii="Times New Roman" w:hAnsi="Times New Roman"/>
                <w:sz w:val="24"/>
              </w:rPr>
              <w:t>Zob. instrukcje dotyczące wzoru CR-IRB.</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Style w:val="InstructionsTabelleberschrift"/>
                <w:rFonts w:ascii="Times New Roman" w:hAnsi="Times New Roman"/>
                <w:bCs w:val="0"/>
                <w:sz w:val="24"/>
              </w:rPr>
            </w:pPr>
            <w:r w:rsidRPr="00AA1421">
              <w:rPr>
                <w:rStyle w:val="InstructionsTabelleberschrift"/>
                <w:rFonts w:ascii="Times New Roman" w:hAnsi="Times New Roman"/>
                <w:bCs w:val="0"/>
                <w:sz w:val="24"/>
              </w:rPr>
              <w:t xml:space="preserve">W TYM: POZYCJE POZABILANSOWE </w:t>
            </w:r>
          </w:p>
          <w:p w:rsidR="008151A6" w:rsidRPr="00AA1421" w:rsidRDefault="008151A6" w:rsidP="00664874">
            <w:pPr>
              <w:rPr>
                <w:rFonts w:ascii="Times New Roman" w:hAnsi="Times New Roman"/>
                <w:sz w:val="24"/>
              </w:rPr>
            </w:pPr>
            <w:r w:rsidRPr="00AA1421">
              <w:rPr>
                <w:rFonts w:ascii="Times New Roman" w:hAnsi="Times New Roman"/>
                <w:sz w:val="24"/>
              </w:rPr>
              <w:t>Zob. instrukcje dotyczące wzoru CR-SA</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WARTOŚĆ EKSPOZYCJI</w:t>
            </w:r>
          </w:p>
          <w:p w:rsidR="008151A6" w:rsidRPr="00AA1421" w:rsidRDefault="008151A6" w:rsidP="00664874">
            <w:pPr>
              <w:rPr>
                <w:rFonts w:ascii="Times New Roman" w:hAnsi="Times New Roman"/>
                <w:sz w:val="24"/>
              </w:rPr>
            </w:pPr>
            <w:r w:rsidRPr="00AA1421">
              <w:rPr>
                <w:rFonts w:ascii="Times New Roman" w:hAnsi="Times New Roman"/>
                <w:sz w:val="24"/>
              </w:rPr>
              <w:t>Zob. instrukcje dotyczące wzoru CR-IRB.</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Style w:val="InstructionsTabelleberschrift"/>
                <w:rFonts w:ascii="Times New Roman" w:hAnsi="Times New Roman"/>
                <w:bCs w:val="0"/>
                <w:sz w:val="24"/>
              </w:rPr>
            </w:pPr>
            <w:r w:rsidRPr="00AA1421">
              <w:rPr>
                <w:rStyle w:val="InstructionsTabelleberschrift"/>
                <w:rFonts w:ascii="Times New Roman" w:hAnsi="Times New Roman"/>
                <w:bCs w:val="0"/>
                <w:sz w:val="24"/>
              </w:rPr>
              <w:t xml:space="preserve">W TYM: WYNIKAJĄCA Z RYZYKA KREDYTOWEGO KONTRAHENTA </w:t>
            </w:r>
          </w:p>
          <w:p w:rsidR="008151A6" w:rsidRPr="00AA1421" w:rsidRDefault="008151A6" w:rsidP="00664874">
            <w:pPr>
              <w:rPr>
                <w:rFonts w:ascii="Times New Roman" w:hAnsi="Times New Roman"/>
                <w:sz w:val="24"/>
              </w:rPr>
            </w:pPr>
            <w:r w:rsidRPr="00AA1421">
              <w:rPr>
                <w:rFonts w:ascii="Times New Roman" w:hAnsi="Times New Roman"/>
                <w:sz w:val="24"/>
              </w:rPr>
              <w:t>Zob. instrukcje dotyczące wzoru CR SA.</w:t>
            </w:r>
            <w:r w:rsidRPr="00AA1421">
              <w:rPr>
                <w:rStyle w:val="InstructionsTabelleText"/>
                <w:rFonts w:ascii="Times New Roman" w:hAnsi="Times New Roman"/>
                <w:sz w:val="24"/>
              </w:rPr>
              <w:t xml:space="preserve"> </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WAGA RYZYKA</w:t>
            </w:r>
          </w:p>
          <w:p w:rsidR="002771C5" w:rsidRPr="00AA1421" w:rsidRDefault="0044539D" w:rsidP="00664874">
            <w:pPr>
              <w:rPr>
                <w:rFonts w:ascii="Times New Roman" w:hAnsi="Times New Roman"/>
                <w:sz w:val="24"/>
              </w:rPr>
            </w:pPr>
            <w:r w:rsidRPr="00AA1421">
              <w:rPr>
                <w:rFonts w:ascii="Times New Roman" w:hAnsi="Times New Roman"/>
                <w:sz w:val="24"/>
              </w:rPr>
              <w:t>Art. 153 ust. 5 CRR</w:t>
            </w:r>
          </w:p>
          <w:p w:rsidR="008151A6" w:rsidRPr="00AA1421" w:rsidRDefault="008151A6" w:rsidP="00664874">
            <w:pPr>
              <w:rPr>
                <w:rFonts w:ascii="Times New Roman" w:hAnsi="Times New Roman"/>
                <w:sz w:val="24"/>
              </w:rPr>
            </w:pPr>
            <w:r w:rsidRPr="00AA1421">
              <w:rPr>
                <w:rFonts w:ascii="Times New Roman" w:hAnsi="Times New Roman"/>
                <w:sz w:val="24"/>
              </w:rPr>
              <w:t xml:space="preserve">Jest to stała kolumna do celów informacyjnych. Nie wolno jej zmieniać. </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EKSPOZYCJI WAŻONEJ RYZYKIEM PO UWZGLĘDNIENIU WSPÓŁCZYNNIKÓW WSPARCIA</w:t>
            </w:r>
          </w:p>
          <w:p w:rsidR="008151A6" w:rsidRPr="00AA1421" w:rsidRDefault="008151A6" w:rsidP="00664874">
            <w:pPr>
              <w:rPr>
                <w:rFonts w:ascii="Times New Roman" w:hAnsi="Times New Roman"/>
                <w:b/>
                <w:sz w:val="24"/>
              </w:rPr>
            </w:pPr>
            <w:r w:rsidRPr="00AA1421">
              <w:rPr>
                <w:rFonts w:ascii="Times New Roman" w:hAnsi="Times New Roman"/>
                <w:sz w:val="24"/>
              </w:rPr>
              <w:t>Zob. instrukcje dotyczące wzoru CR-IRB.</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KWOTA OCZEKIWANEJ STRATY</w:t>
            </w:r>
          </w:p>
          <w:p w:rsidR="008151A6" w:rsidRPr="00AA1421" w:rsidRDefault="008151A6" w:rsidP="00664874">
            <w:pPr>
              <w:rPr>
                <w:rFonts w:ascii="Times New Roman" w:hAnsi="Times New Roman"/>
                <w:b/>
                <w:sz w:val="24"/>
              </w:rPr>
            </w:pPr>
            <w:r w:rsidRPr="00AA1421">
              <w:rPr>
                <w:rFonts w:ascii="Times New Roman" w:hAnsi="Times New Roman"/>
                <w:sz w:val="24"/>
              </w:rPr>
              <w:t>Zob. instrukcje dotyczące wzoru CR-IRB.</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sz w:val="24"/>
              </w:rPr>
            </w:pPr>
            <w:r w:rsidRPr="00AA1421">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 KOREKTY WARTOŚCI I REZERWY</w:t>
            </w:r>
          </w:p>
          <w:p w:rsidR="008151A6" w:rsidRPr="00AA1421" w:rsidRDefault="008151A6" w:rsidP="00664874">
            <w:pPr>
              <w:rPr>
                <w:rFonts w:ascii="Times New Roman" w:hAnsi="Times New Roman"/>
                <w:b/>
                <w:sz w:val="24"/>
              </w:rPr>
            </w:pPr>
            <w:r w:rsidRPr="00AA1421">
              <w:rPr>
                <w:rFonts w:ascii="Times New Roman" w:hAnsi="Times New Roman"/>
                <w:sz w:val="24"/>
              </w:rPr>
              <w:t>Zob. instrukcje dotyczące wzoru CR-IRB.</w:t>
            </w:r>
          </w:p>
        </w:tc>
      </w:tr>
    </w:tbl>
    <w:p w:rsidR="008151A6" w:rsidRPr="00AA1421"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AA1421" w:rsidTr="00664874">
        <w:tc>
          <w:tcPr>
            <w:tcW w:w="1129"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Wiersze</w:t>
            </w:r>
          </w:p>
        </w:tc>
        <w:tc>
          <w:tcPr>
            <w:tcW w:w="8931"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129" w:type="dxa"/>
          </w:tcPr>
          <w:p w:rsidR="008151A6" w:rsidRPr="00AA1421" w:rsidRDefault="008151A6" w:rsidP="00664874">
            <w:pPr>
              <w:rPr>
                <w:rFonts w:ascii="Times New Roman" w:hAnsi="Times New Roman"/>
                <w:sz w:val="24"/>
              </w:rPr>
            </w:pPr>
            <w:r w:rsidRPr="00AA1421">
              <w:rPr>
                <w:rFonts w:ascii="Times New Roman" w:hAnsi="Times New Roman"/>
                <w:sz w:val="24"/>
              </w:rPr>
              <w:t>0010-0120</w:t>
            </w:r>
          </w:p>
        </w:tc>
        <w:tc>
          <w:tcPr>
            <w:tcW w:w="8931" w:type="dxa"/>
          </w:tcPr>
          <w:p w:rsidR="008151A6" w:rsidRPr="00AA1421" w:rsidRDefault="008151A6" w:rsidP="0044539D">
            <w:pPr>
              <w:rPr>
                <w:rFonts w:ascii="Times New Roman" w:hAnsi="Times New Roman"/>
                <w:sz w:val="24"/>
              </w:rPr>
            </w:pPr>
            <w:r w:rsidRPr="00AA1421">
              <w:rPr>
                <w:rFonts w:ascii="Times New Roman" w:hAnsi="Times New Roman"/>
                <w:sz w:val="24"/>
              </w:rPr>
              <w:t xml:space="preserve">Ekspozycje przypisuje się do odpowiedniej kategorii i terminu zapadalności </w:t>
            </w:r>
            <w:r w:rsidRPr="00AA1421">
              <w:rPr>
                <w:rStyle w:val="InstructionsTabelleText"/>
                <w:rFonts w:ascii="Times New Roman" w:hAnsi="Times New Roman"/>
                <w:sz w:val="24"/>
              </w:rPr>
              <w:t>zgodnie z</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tabela 1 CRR.</w:t>
            </w:r>
          </w:p>
        </w:tc>
      </w:tr>
    </w:tbl>
    <w:p w:rsidR="008151A6" w:rsidRPr="00AA1421" w:rsidRDefault="008151A6" w:rsidP="007D633B">
      <w:pPr>
        <w:pStyle w:val="body"/>
      </w:pPr>
    </w:p>
    <w:p w:rsidR="008151A6" w:rsidRPr="00AA1421" w:rsidRDefault="008151A6" w:rsidP="00F66371">
      <w:pPr>
        <w:pStyle w:val="Instructionsberschrift2"/>
        <w:numPr>
          <w:ilvl w:val="2"/>
          <w:numId w:val="36"/>
        </w:numPr>
        <w:rPr>
          <w:rFonts w:ascii="Times New Roman" w:hAnsi="Times New Roman" w:cs="Times New Roman"/>
          <w:sz w:val="24"/>
        </w:rPr>
      </w:pPr>
      <w:bookmarkStart w:id="353" w:name="_Toc58403651"/>
      <w:r w:rsidRPr="00AA1421">
        <w:rPr>
          <w:rFonts w:ascii="Times New Roman" w:hAnsi="Times New Roman"/>
          <w:sz w:val="24"/>
        </w:rPr>
        <w:t>C 08.07 – Ryzyko kredytowe oraz dostawy z późniejszym terminem rozliczenia: wymogi kapitałowe według metody IRB (zakres stosowania metody IRB i metody standardowej (CR IRB 7))</w:t>
      </w:r>
      <w:bookmarkEnd w:id="352"/>
      <w:bookmarkEnd w:id="353"/>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403652"/>
      <w:r w:rsidRPr="00AA1421">
        <w:rPr>
          <w:rFonts w:ascii="Times New Roman" w:hAnsi="Times New Roman"/>
          <w:sz w:val="24"/>
        </w:rPr>
        <w:t>Uwagi ogólne</w:t>
      </w:r>
      <w:bookmarkEnd w:id="354"/>
      <w:bookmarkEnd w:id="355"/>
    </w:p>
    <w:p w:rsidR="008151A6" w:rsidRPr="00AA1421" w:rsidRDefault="00AA1421" w:rsidP="00487A02">
      <w:pPr>
        <w:pStyle w:val="InstructionsText2"/>
        <w:numPr>
          <w:ilvl w:val="0"/>
          <w:numId w:val="0"/>
        </w:numPr>
        <w:ind w:left="1353" w:hanging="360"/>
      </w:pPr>
      <w:fldSimple w:instr=" seq paragraphs ">
        <w:r w:rsidR="00D11E4C" w:rsidRPr="00AA1421">
          <w:rPr>
            <w:noProof/>
          </w:rPr>
          <w:t>83</w:t>
        </w:r>
      </w:fldSimple>
      <w:r w:rsidR="00D11E4C" w:rsidRPr="00AA1421">
        <w:t>. Do celów tego wzoru instytucje obliczające kwoty ekspozycji ważonych ryzykiem zgodnie z metodą IRB w odniesieniu do ryzyka kredytowego przypisują swoje ekspozycje według metody standardowej określonej w części trzeciej tytuł II rozdział 2 CRR lub metody IRB określonej w części trzeciej tytuł II rozdział 3 CRR, a także część każdej kategorii ekspozycji, którą uwzględniono w planie rozciągnięcia metody. Instytucje zamieszczają w tym wzorze informacje według kategorii ekspozycji, zgodnie z podziałem na kategorie ekspozycji zawartym w wierszach wzoru.</w:t>
      </w:r>
    </w:p>
    <w:p w:rsidR="008151A6" w:rsidRPr="00AA1421" w:rsidRDefault="00AA1421" w:rsidP="00487A02">
      <w:pPr>
        <w:pStyle w:val="InstructionsText2"/>
        <w:numPr>
          <w:ilvl w:val="0"/>
          <w:numId w:val="0"/>
        </w:numPr>
        <w:ind w:left="1353" w:hanging="360"/>
      </w:pPr>
      <w:fldSimple w:instr=" seq paragraphs ">
        <w:r w:rsidR="00D11E4C" w:rsidRPr="00AA1421">
          <w:rPr>
            <w:noProof/>
          </w:rPr>
          <w:t>84</w:t>
        </w:r>
      </w:fldSimple>
      <w:r w:rsidR="00D11E4C" w:rsidRPr="00AA1421">
        <w:t>. W kolumnach 0020–0040 należy uwzględnić pełne spektrum ekspozycji, tak aby suma każdego wiersza dla tych trzech kolumn stanowiła 10</w:t>
      </w:r>
      <w:r w:rsidR="00D11E4C" w:rsidRPr="00084F66">
        <w:t>0</w:t>
      </w:r>
      <w:r w:rsidR="00084F66" w:rsidRPr="00084F66">
        <w:t> </w:t>
      </w:r>
      <w:r w:rsidR="00D11E4C" w:rsidRPr="00084F66">
        <w:t>%</w:t>
      </w:r>
      <w:r w:rsidR="00D11E4C" w:rsidRPr="00AA1421">
        <w:t xml:space="preserve"> wszystkich kategorii ekspozycji z wyjątkiem pozycji sekurytyzacyjnych i pozycji odliczonych.</w:t>
      </w:r>
    </w:p>
    <w:p w:rsidR="008151A6" w:rsidRPr="00AA1421"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403653"/>
      <w:r w:rsidRPr="00AA1421">
        <w:rPr>
          <w:rFonts w:ascii="Times New Roman" w:hAnsi="Times New Roman"/>
          <w:sz w:val="24"/>
        </w:rPr>
        <w:lastRenderedPageBreak/>
        <w:t>Instrukcje dotyczące poszczególnych pozycji</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AA1421" w:rsidTr="00664874">
        <w:tc>
          <w:tcPr>
            <w:tcW w:w="1188"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Kolumny</w:t>
            </w:r>
          </w:p>
        </w:tc>
        <w:tc>
          <w:tcPr>
            <w:tcW w:w="8843" w:type="dxa"/>
            <w:shd w:val="clear" w:color="auto" w:fill="CCCCCC"/>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EE6F6C"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AA1421" w:rsidRDefault="00EE6F6C" w:rsidP="00664874">
            <w:pPr>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AA1421" w:rsidRDefault="00EE6F6C" w:rsidP="00EE6F6C">
            <w:pPr>
              <w:rPr>
                <w:rFonts w:ascii="Times New Roman" w:hAnsi="Times New Roman"/>
                <w:b/>
                <w:sz w:val="24"/>
                <w:u w:val="single"/>
              </w:rPr>
            </w:pPr>
            <w:r w:rsidRPr="00AA1421">
              <w:rPr>
                <w:rFonts w:ascii="Times New Roman" w:hAnsi="Times New Roman"/>
                <w:b/>
                <w:sz w:val="24"/>
                <w:u w:val="single"/>
              </w:rPr>
              <w:t>CAŁKOWITA WARTOŚĆ EKSPOZYCJI OKREŚLONA W ART. 166 CRR</w:t>
            </w:r>
          </w:p>
          <w:p w:rsidR="00EE6F6C" w:rsidRPr="00AA1421" w:rsidRDefault="00EE6F6C" w:rsidP="00840A22">
            <w:pPr>
              <w:rPr>
                <w:rFonts w:ascii="Times New Roman" w:hAnsi="Times New Roman"/>
                <w:b/>
                <w:sz w:val="24"/>
              </w:rPr>
            </w:pPr>
            <w:r w:rsidRPr="00AA1421">
              <w:rPr>
                <w:rFonts w:ascii="Times New Roman" w:hAnsi="Times New Roman"/>
                <w:sz w:val="24"/>
              </w:rPr>
              <w:t xml:space="preserve">Instytucje stosują wartość ekspozycji przed ograniczeniem ryzyka kredytowego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66 CRR.</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EE6F6C">
            <w:pPr>
              <w:rPr>
                <w:rStyle w:val="InstructionsTabelleText"/>
                <w:rFonts w:ascii="Times New Roman" w:hAnsi="Times New Roman"/>
                <w:sz w:val="24"/>
              </w:rPr>
            </w:pPr>
            <w:r w:rsidRPr="00AA1421">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CAŁKOWITA WARTOŚĆ EKSPOZYCJI OBJĘTA METODĄ STANDARDOWĄ I METODĄ IRB</w:t>
            </w:r>
          </w:p>
          <w:p w:rsidR="008151A6" w:rsidRPr="00AA1421" w:rsidRDefault="008151A6" w:rsidP="00EE6F6C">
            <w:pPr>
              <w:rPr>
                <w:rFonts w:ascii="Times New Roman" w:hAnsi="Times New Roman"/>
                <w:sz w:val="24"/>
              </w:rPr>
            </w:pPr>
            <w:r w:rsidRPr="00AA1421">
              <w:rPr>
                <w:rFonts w:ascii="Times New Roman" w:hAnsi="Times New Roman"/>
                <w:sz w:val="24"/>
              </w:rPr>
              <w:t xml:space="preserve">Instytucje stosują wartość ekspozycji przed ograniczeniem ryzyka kredytowego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29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w celu zgłaszania całkowitej wartości ekspozycji, w tym zarówno ekspozycji podlegających metodzie standardowej, jak i ekspozycji podlegających metodzie IRB.</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EE6F6C">
            <w:pPr>
              <w:rPr>
                <w:rFonts w:ascii="Times New Roman" w:hAnsi="Times New Roman"/>
                <w:sz w:val="24"/>
              </w:rPr>
            </w:pPr>
            <w:r w:rsidRPr="00AA142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PROCENT CAŁKOWITEJ WARTOŚCI EKSPOZYCJI PODLEGAJĄCEJ STAŁEMU ZASTOSOWANIU CZĘŚCIOWEMU METODY STANDARDOWEJ (%)</w:t>
            </w:r>
          </w:p>
          <w:p w:rsidR="008151A6" w:rsidRPr="00AA1421" w:rsidRDefault="008151A6" w:rsidP="00EE6F6C">
            <w:pPr>
              <w:rPr>
                <w:rFonts w:ascii="Times New Roman" w:hAnsi="Times New Roman"/>
                <w:sz w:val="24"/>
              </w:rPr>
            </w:pPr>
            <w:r w:rsidRPr="00AA1421">
              <w:rPr>
                <w:rFonts w:ascii="Times New Roman" w:hAnsi="Times New Roman"/>
                <w:sz w:val="24"/>
              </w:rPr>
              <w:t xml:space="preserve">Część ekspozycji dla każdej kategorii ekspozycji podlegającej metodzie standardowej (ekspozycja podlegająca metodzie standardowej przed ograniczeniem ryzyka kredytowego ponad łączną ekspozycję w tej kategorii ekspozycji w kolumnie 0020), mieszcząca się w zakresie zezwolenia na stałe zastosowanie częściowe metody standardowej, otrzymanego od właściwych organów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50 CRR.</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EE6F6C">
            <w:pPr>
              <w:rPr>
                <w:rFonts w:ascii="Times New Roman" w:hAnsi="Times New Roman"/>
                <w:sz w:val="24"/>
              </w:rPr>
            </w:pPr>
            <w:r w:rsidRPr="00AA1421">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PROCENT CAŁKOWITEJ WARTOŚCI EKSPOZYCJI OBJĘTEJ PLANEM ROZCIĄGNIĘCIA METODY (%)</w:t>
            </w:r>
          </w:p>
          <w:p w:rsidR="008151A6" w:rsidRPr="00AA1421" w:rsidRDefault="008151A6" w:rsidP="00664874">
            <w:pPr>
              <w:rPr>
                <w:rFonts w:ascii="Times New Roman" w:hAnsi="Times New Roman"/>
                <w:sz w:val="24"/>
              </w:rPr>
            </w:pPr>
            <w:r w:rsidRPr="00AA1421">
              <w:rPr>
                <w:rFonts w:ascii="Times New Roman" w:hAnsi="Times New Roman"/>
                <w:sz w:val="24"/>
              </w:rPr>
              <w:t xml:space="preserve">Część ekspozycji dla każdej kategorii ekspozycji podlegającej sekwencyjnemu wdrażaniu metody IRB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48 CRR. Obejmują one: </w:t>
            </w:r>
          </w:p>
          <w:p w:rsidR="008151A6" w:rsidRPr="00AA1421" w:rsidRDefault="008151A6" w:rsidP="00F66371">
            <w:pPr>
              <w:pStyle w:val="ListParagraph"/>
              <w:numPr>
                <w:ilvl w:val="0"/>
                <w:numId w:val="35"/>
              </w:numPr>
              <w:autoSpaceDE w:val="0"/>
              <w:autoSpaceDN w:val="0"/>
              <w:adjustRightInd w:val="0"/>
              <w:rPr>
                <w:rFonts w:ascii="Times New Roman" w:hAnsi="Times New Roman"/>
                <w:spacing w:val="-2"/>
                <w:sz w:val="24"/>
              </w:rPr>
            </w:pPr>
            <w:r w:rsidRPr="00AA1421">
              <w:rPr>
                <w:rFonts w:ascii="Times New Roman" w:hAnsi="Times New Roman"/>
                <w:sz w:val="24"/>
              </w:rPr>
              <w:t xml:space="preserve">zarówno ekspozycje, w przypadku których instytucje planują stosować metodę IRB z uwzględnieniem własnych oszacowań wartości LGD i współczynników konwersji (F-IRB i A-IRB); </w:t>
            </w:r>
          </w:p>
          <w:p w:rsidR="008151A6" w:rsidRPr="00AA1421" w:rsidRDefault="008151A6" w:rsidP="00F66371">
            <w:pPr>
              <w:pStyle w:val="ListParagraph"/>
              <w:numPr>
                <w:ilvl w:val="0"/>
                <w:numId w:val="35"/>
              </w:numPr>
              <w:autoSpaceDE w:val="0"/>
              <w:autoSpaceDN w:val="0"/>
              <w:adjustRightInd w:val="0"/>
              <w:rPr>
                <w:rFonts w:ascii="Times New Roman" w:hAnsi="Times New Roman"/>
                <w:spacing w:val="-2"/>
                <w:sz w:val="24"/>
              </w:rPr>
            </w:pPr>
            <w:r w:rsidRPr="00AA1421">
              <w:rPr>
                <w:rFonts w:ascii="Times New Roman" w:hAnsi="Times New Roman"/>
                <w:sz w:val="24"/>
              </w:rPr>
              <w:t xml:space="preserve">nieistotne ekspozycje kapitałowe, których nie uwzględniono w kolumnach 0020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040;</w:t>
            </w:r>
          </w:p>
          <w:p w:rsidR="008151A6" w:rsidRPr="00AA1421" w:rsidRDefault="008151A6" w:rsidP="00F66371">
            <w:pPr>
              <w:pStyle w:val="ListParagraph"/>
              <w:numPr>
                <w:ilvl w:val="0"/>
                <w:numId w:val="35"/>
              </w:numPr>
              <w:autoSpaceDE w:val="0"/>
              <w:autoSpaceDN w:val="0"/>
              <w:adjustRightInd w:val="0"/>
              <w:rPr>
                <w:rFonts w:ascii="Times New Roman" w:hAnsi="Times New Roman"/>
                <w:spacing w:val="-2"/>
                <w:sz w:val="24"/>
              </w:rPr>
            </w:pPr>
            <w:r w:rsidRPr="00AA1421">
              <w:rPr>
                <w:rFonts w:ascii="Times New Roman" w:hAnsi="Times New Roman"/>
                <w:sz w:val="24"/>
              </w:rPr>
              <w:t xml:space="preserve">ekspozycje podlegające już metodzie IRB-F, w przypadku gdy instytucja planuje w przyszłości zastosować metodę A-IRB; </w:t>
            </w:r>
          </w:p>
          <w:p w:rsidR="008151A6" w:rsidRPr="00AA1421" w:rsidRDefault="008151A6" w:rsidP="00F66371">
            <w:pPr>
              <w:pStyle w:val="ListParagraph"/>
              <w:numPr>
                <w:ilvl w:val="0"/>
                <w:numId w:val="35"/>
              </w:numPr>
              <w:autoSpaceDE w:val="0"/>
              <w:autoSpaceDN w:val="0"/>
              <w:adjustRightInd w:val="0"/>
              <w:rPr>
                <w:rFonts w:ascii="Times New Roman" w:hAnsi="Times New Roman"/>
                <w:spacing w:val="-2"/>
                <w:sz w:val="24"/>
              </w:rPr>
            </w:pPr>
            <w:r w:rsidRPr="00AA1421">
              <w:rPr>
                <w:rFonts w:ascii="Times New Roman" w:hAnsi="Times New Roman"/>
                <w:sz w:val="24"/>
              </w:rPr>
              <w:t>ekspozycje związane z kredytowaniem specjalistycznym podlegającym metodzie klasyfikacji nadzorczej, nieuwzględnione w kolumnie 0040.</w:t>
            </w:r>
          </w:p>
        </w:tc>
      </w:tr>
      <w:tr w:rsidR="008151A6"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EE6F6C">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AA1421" w:rsidRDefault="008151A6" w:rsidP="00664874">
            <w:pPr>
              <w:rPr>
                <w:rFonts w:ascii="Times New Roman" w:hAnsi="Times New Roman"/>
                <w:b/>
                <w:sz w:val="24"/>
                <w:u w:val="single"/>
              </w:rPr>
            </w:pPr>
            <w:r w:rsidRPr="00AA1421">
              <w:rPr>
                <w:rFonts w:ascii="Times New Roman" w:hAnsi="Times New Roman"/>
                <w:b/>
                <w:sz w:val="24"/>
                <w:u w:val="single"/>
              </w:rPr>
              <w:t>PROCENT CAŁKOWITEJ WARTOŚCI EKSPOZYCJI OBJĘTEJ METODĄ IRB (%)</w:t>
            </w:r>
          </w:p>
          <w:p w:rsidR="008151A6" w:rsidRPr="00AA1421" w:rsidRDefault="008151A6" w:rsidP="009A4399">
            <w:pPr>
              <w:rPr>
                <w:rFonts w:ascii="Times New Roman" w:hAnsi="Times New Roman"/>
                <w:b/>
                <w:sz w:val="24"/>
              </w:rPr>
            </w:pPr>
            <w:r w:rsidRPr="00AA1421">
              <w:rPr>
                <w:rFonts w:ascii="Times New Roman" w:hAnsi="Times New Roman"/>
                <w:sz w:val="24"/>
              </w:rPr>
              <w:t xml:space="preserve">Część ekspozycji dla każdej kategorii ekspozycji podlegającej metodzie IRB (ekspozycja podlegająca metodzie IRB przed ograniczeniem ryzyka kredytowego ponad łączną ekspozycję w tej kategorii ekspozycji), mieszcząca się w zakresie zezwolenia na stosowanie metody IRB otrzymanego od właściwych organów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43 CRR. Obejmuje to zarówno ekspozycje, w przypadku których instytucje mają zezwolenie na stosowanie własnych oszacowań wartości LGD i współczynników konwersji lub nie mają takiego zezwolenia (F-IRB i A-IRB), łącznie z metodą klasyfikacji nadzorczej dla ekspozycji związanych </w:t>
            </w:r>
            <w:r w:rsidRPr="00AA1421">
              <w:rPr>
                <w:rFonts w:ascii="Times New Roman" w:hAnsi="Times New Roman"/>
                <w:sz w:val="24"/>
              </w:rPr>
              <w:lastRenderedPageBreak/>
              <w:t>z kredytowaniem specjalistycznym i ekspozycji kapitałowych według uproszczonej metody ważenia ryzykiem, jak i ekspozycje zgłoszone w wierszu 0170 we wzorze C 08.01.</w:t>
            </w:r>
          </w:p>
        </w:tc>
      </w:tr>
    </w:tbl>
    <w:p w:rsidR="008151A6" w:rsidRPr="00AA1421"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AA1421" w:rsidTr="00664874">
        <w:tc>
          <w:tcPr>
            <w:tcW w:w="1271"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Wiersze</w:t>
            </w:r>
          </w:p>
        </w:tc>
        <w:tc>
          <w:tcPr>
            <w:tcW w:w="8557" w:type="dxa"/>
            <w:shd w:val="pct25" w:color="auto" w:fill="auto"/>
          </w:tcPr>
          <w:p w:rsidR="008151A6" w:rsidRPr="00AA1421" w:rsidRDefault="008151A6" w:rsidP="00664874">
            <w:pPr>
              <w:rPr>
                <w:rFonts w:ascii="Times New Roman" w:hAnsi="Times New Roman"/>
                <w:sz w:val="24"/>
              </w:rPr>
            </w:pPr>
            <w:r w:rsidRPr="00AA1421">
              <w:rPr>
                <w:rFonts w:ascii="Times New Roman" w:hAnsi="Times New Roman"/>
                <w:sz w:val="24"/>
              </w:rPr>
              <w:t>Instrukcje</w:t>
            </w:r>
          </w:p>
        </w:tc>
      </w:tr>
      <w:tr w:rsidR="008151A6" w:rsidRPr="00AA1421" w:rsidTr="00664874">
        <w:tc>
          <w:tcPr>
            <w:tcW w:w="1271" w:type="dxa"/>
          </w:tcPr>
          <w:p w:rsidR="008151A6" w:rsidRPr="00AA1421" w:rsidRDefault="008151A6" w:rsidP="00664874">
            <w:pPr>
              <w:rPr>
                <w:rFonts w:ascii="Times New Roman" w:hAnsi="Times New Roman"/>
                <w:sz w:val="24"/>
              </w:rPr>
            </w:pPr>
            <w:r w:rsidRPr="00AA1421">
              <w:rPr>
                <w:rFonts w:ascii="Times New Roman" w:hAnsi="Times New Roman"/>
                <w:sz w:val="24"/>
              </w:rPr>
              <w:t>KATEGORIE EKSPOZYCJI</w:t>
            </w:r>
          </w:p>
        </w:tc>
        <w:tc>
          <w:tcPr>
            <w:tcW w:w="8557" w:type="dxa"/>
          </w:tcPr>
          <w:p w:rsidR="008151A6" w:rsidRPr="00AA1421" w:rsidRDefault="008151A6" w:rsidP="00CC2B5B">
            <w:pPr>
              <w:rPr>
                <w:rFonts w:ascii="Times New Roman" w:eastAsiaTheme="minorHAnsi" w:hAnsi="Times New Roman"/>
                <w:sz w:val="24"/>
              </w:rPr>
            </w:pPr>
            <w:r w:rsidRPr="00AA1421">
              <w:rPr>
                <w:rFonts w:ascii="Times New Roman" w:hAnsi="Times New Roman"/>
                <w:sz w:val="24"/>
              </w:rPr>
              <w:t>Instytucje zamieszczają w tym wzorze informacje według kategorii ekspozycji, zgodnie z podziałem na kategorie ekspozycji zawartym w wierszach wzoru.</w:t>
            </w:r>
          </w:p>
        </w:tc>
      </w:tr>
    </w:tbl>
    <w:p w:rsidR="008151A6" w:rsidRPr="00AA1421" w:rsidRDefault="008151A6" w:rsidP="00487A02">
      <w:pPr>
        <w:pStyle w:val="InstructionsText"/>
      </w:pPr>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403654"/>
      <w:r w:rsidRPr="00AA1421">
        <w:rPr>
          <w:rFonts w:ascii="Times New Roman" w:hAnsi="Times New Roman"/>
          <w:sz w:val="24"/>
          <w:u w:val="none"/>
        </w:rPr>
        <w:t>3.4.</w:t>
      </w:r>
      <w:r w:rsidR="00D712CF" w:rsidRPr="00AA1421">
        <w:rPr>
          <w:u w:val="none"/>
        </w:rPr>
        <w:tab/>
      </w:r>
      <w:r w:rsidRPr="00AA1421">
        <w:rPr>
          <w:rFonts w:ascii="Times New Roman" w:hAnsi="Times New Roman"/>
          <w:sz w:val="24"/>
        </w:rPr>
        <w:t>Ryzyko kredytowe i ryzyko kredytowe kontrahenta oraz dostawy z późniejszym terminem rozliczenia: Informacje z podziałem pod względem geograficznym</w:t>
      </w:r>
      <w:bookmarkEnd w:id="358"/>
      <w:bookmarkEnd w:id="359"/>
      <w:bookmarkEnd w:id="360"/>
    </w:p>
    <w:p w:rsidR="004357B9" w:rsidRPr="00AA1421" w:rsidRDefault="00AA1421" w:rsidP="00487A02">
      <w:pPr>
        <w:pStyle w:val="InstructionsText2"/>
        <w:numPr>
          <w:ilvl w:val="0"/>
          <w:numId w:val="0"/>
        </w:numPr>
        <w:ind w:left="1353" w:hanging="360"/>
      </w:pPr>
      <w:fldSimple w:instr=" seq paragraphs ">
        <w:r w:rsidR="00D11E4C" w:rsidRPr="00AA1421">
          <w:rPr>
            <w:noProof/>
          </w:rPr>
          <w:t>85</w:t>
        </w:r>
      </w:fldSimple>
      <w:r w:rsidR="00D11E4C" w:rsidRPr="00AA1421">
        <w:t>.</w:t>
      </w:r>
      <w:r w:rsidR="00D11E4C" w:rsidRPr="00AA1421">
        <w:tab/>
        <w:t xml:space="preserve">Wszystkie instytucje przedkładają informacje zagregowane na poziomie łącznym. Ponadto instytucje osiągające próg określony w </w:t>
      </w:r>
      <w:r w:rsidR="00D11E4C" w:rsidRPr="00084F66">
        <w:t>art.</w:t>
      </w:r>
      <w:r w:rsidR="00084F66" w:rsidRPr="00084F66">
        <w:t> </w:t>
      </w:r>
      <w:r w:rsidR="00D11E4C" w:rsidRPr="00084F66">
        <w:t>5</w:t>
      </w:r>
      <w:r w:rsidR="00D11E4C" w:rsidRPr="00AA1421">
        <w:t xml:space="preserve"> </w:t>
      </w:r>
      <w:r w:rsidR="00D11E4C" w:rsidRPr="00084F66">
        <w:t>ust.</w:t>
      </w:r>
      <w:r w:rsidR="00084F66" w:rsidRPr="00084F66">
        <w:t> </w:t>
      </w:r>
      <w:r w:rsidR="00D11E4C" w:rsidRPr="00084F66">
        <w:t>5</w:t>
      </w:r>
      <w:r w:rsidR="00D11E4C" w:rsidRPr="00AA1421">
        <w:t xml:space="preserve"> niniejszego rozporządzenia wykonawczego przedkładają informacje według państw w odniesieniu do ekspozycji krajowych i zagranicznych. Próg należy uwzględniać wyłącznie w odniesieniu do wzorów CR GB 1 i CR GB 2. Ekspozycje wobec organizacji ponadnarodowych przypisuje się do obszaru geograficznego „Inne państwa”.</w:t>
      </w:r>
    </w:p>
    <w:p w:rsidR="004357B9" w:rsidRPr="00AA1421" w:rsidRDefault="00AA1421" w:rsidP="00487A02">
      <w:pPr>
        <w:pStyle w:val="InstructionsText2"/>
        <w:numPr>
          <w:ilvl w:val="0"/>
          <w:numId w:val="0"/>
        </w:numPr>
        <w:ind w:left="1353" w:hanging="360"/>
      </w:pPr>
      <w:fldSimple w:instr=" seq paragraphs ">
        <w:r w:rsidR="00D11E4C" w:rsidRPr="00AA1421">
          <w:rPr>
            <w:noProof/>
          </w:rPr>
          <w:t>86</w:t>
        </w:r>
      </w:fldSimple>
      <w:r w:rsidR="00D11E4C" w:rsidRPr="00AA1421">
        <w:t>.</w:t>
      </w:r>
      <w:r w:rsidR="00D11E4C" w:rsidRPr="00AA1421">
        <w:tab/>
        <w:t>Pojęcie „siedziby dłużnika” odnosi się do państwa założenia dłużnika. Pojęcie to można stosować na zasadzie bezpośredniego dłużnika lub na zasadzie ostatecznego ryzyka. Tym samym techniki ograniczania ryzyka kredytowego z uwzględnieniem efektów substytucyjnych mogą zmienić przypisanie ekspozycji do państwa. Ekspozycje wobec organizacji ponadnarodowych nie są przypisywane do państwa siedziby instytucji, tylko do obszaru geograficznego „Inne państwa”, niezależnie od kategorii ekspozycji, do której przypisano daną ekspozycję wobec organizacji ponadnarodowej.</w:t>
      </w:r>
    </w:p>
    <w:p w:rsidR="0096378F" w:rsidRPr="00AA1421" w:rsidRDefault="00AA1421" w:rsidP="00487A02">
      <w:pPr>
        <w:pStyle w:val="InstructionsText2"/>
        <w:numPr>
          <w:ilvl w:val="0"/>
          <w:numId w:val="0"/>
        </w:numPr>
        <w:ind w:left="1353" w:hanging="360"/>
      </w:pPr>
      <w:fldSimple w:instr=" seq paragraphs ">
        <w:r w:rsidR="00D11E4C" w:rsidRPr="00AA1421">
          <w:rPr>
            <w:noProof/>
          </w:rPr>
          <w:t>87</w:t>
        </w:r>
      </w:fldSimple>
      <w:r w:rsidR="00D11E4C" w:rsidRPr="00AA1421">
        <w:t>.</w:t>
      </w:r>
      <w:r w:rsidR="00D11E4C" w:rsidRPr="00AA1421">
        <w:tab/>
        <w:t>Dane dotyczące „pierwotnej ekspozycji przed uwzględnieniem współczynników konwersji” zgłaszane są z odwołaniem do państwa siedziby dłużnika bezpośredniego. Dane dotyczące „wartości ekspozycji” i „kwot ekspozycji ważonych ryzykiem” zgłaszane są w odniesieniu do państwa siedziby dłużnika ostatecznego.</w:t>
      </w:r>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403655"/>
      <w:r w:rsidRPr="00AA1421">
        <w:rPr>
          <w:rFonts w:ascii="Times New Roman" w:hAnsi="Times New Roman"/>
          <w:sz w:val="24"/>
          <w:u w:val="none"/>
        </w:rPr>
        <w:t>3.4.1.</w:t>
      </w:r>
      <w:r w:rsidR="00D712CF" w:rsidRPr="00AA1421">
        <w:rPr>
          <w:u w:val="none"/>
        </w:rPr>
        <w:tab/>
      </w:r>
      <w:r w:rsidRPr="00AA1421">
        <w:rPr>
          <w:rFonts w:ascii="Times New Roman" w:hAnsi="Times New Roman"/>
          <w:sz w:val="24"/>
        </w:rPr>
        <w:t>C 09.01 – Podział ekspozycji pod względem geograficznym według siedziby dłużnika: ekspozycje według metody standardowej (CR GB 1)</w:t>
      </w:r>
      <w:bookmarkEnd w:id="361"/>
      <w:bookmarkEnd w:id="362"/>
      <w:bookmarkEnd w:id="363"/>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403656"/>
      <w:r w:rsidRPr="00AA1421">
        <w:rPr>
          <w:rFonts w:ascii="Times New Roman" w:hAnsi="Times New Roman"/>
          <w:sz w:val="24"/>
          <w:u w:val="none"/>
        </w:rPr>
        <w:t>3.4.1.1.</w:t>
      </w:r>
      <w:r w:rsidR="00D712CF" w:rsidRPr="00AA1421">
        <w:rPr>
          <w:u w:val="none"/>
        </w:rPr>
        <w:tab/>
      </w:r>
      <w:r w:rsidRPr="00AA1421">
        <w:rPr>
          <w:rFonts w:ascii="Times New Roman" w:hAnsi="Times New Roman"/>
          <w:sz w:val="24"/>
        </w:rPr>
        <w:t>Instrukcje dotyczące poszczególnych pozycji</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AA1421" w:rsidTr="00672D2A">
        <w:trPr>
          <w:trHeight w:val="581"/>
        </w:trPr>
        <w:tc>
          <w:tcPr>
            <w:tcW w:w="9828" w:type="dxa"/>
            <w:gridSpan w:val="2"/>
            <w:shd w:val="clear" w:color="auto" w:fill="CCCCCC"/>
          </w:tcPr>
          <w:p w:rsidR="004357B9" w:rsidRPr="00AA1421" w:rsidRDefault="004357B9" w:rsidP="004357B9">
            <w:pPr>
              <w:spacing w:after="0"/>
              <w:rPr>
                <w:rStyle w:val="InstructionsTabelleText"/>
                <w:rFonts w:ascii="Times New Roman" w:hAnsi="Times New Roman"/>
                <w:b/>
                <w:sz w:val="24"/>
              </w:rPr>
            </w:pPr>
            <w:r w:rsidRPr="00AA1421">
              <w:rPr>
                <w:rStyle w:val="InstructionsTabelleText"/>
                <w:rFonts w:ascii="Times New Roman" w:hAnsi="Times New Roman"/>
                <w:b/>
                <w:sz w:val="24"/>
              </w:rPr>
              <w:t>Kolumny</w:t>
            </w:r>
          </w:p>
        </w:tc>
      </w:tr>
      <w:tr w:rsidR="004357B9" w:rsidRPr="00AA1421" w:rsidTr="00672D2A">
        <w:tc>
          <w:tcPr>
            <w:tcW w:w="1188" w:type="dxa"/>
          </w:tcPr>
          <w:p w:rsidR="004357B9" w:rsidRPr="00AA1421" w:rsidRDefault="004357B9" w:rsidP="004357B9">
            <w:pPr>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PIERWOTNA EKSPOZYCJA PRZED UWZGLĘDNIENIEM WSPÓŁCZYNNIKÓW KONWERSJI</w:t>
            </w:r>
          </w:p>
          <w:p w:rsidR="004357B9" w:rsidRPr="00AA1421" w:rsidRDefault="004357B9" w:rsidP="004357B9">
            <w:pPr>
              <w:rPr>
                <w:rFonts w:ascii="Times New Roman" w:hAnsi="Times New Roman"/>
                <w:sz w:val="24"/>
              </w:rPr>
            </w:pPr>
            <w:r w:rsidRPr="00AA1421">
              <w:rPr>
                <w:rFonts w:ascii="Times New Roman" w:hAnsi="Times New Roman"/>
                <w:sz w:val="24"/>
              </w:rPr>
              <w:t>Definicja taka sama jak dla kolumny 0010 wzoru CR SA</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0020</w:t>
            </w:r>
          </w:p>
        </w:tc>
        <w:tc>
          <w:tcPr>
            <w:tcW w:w="8640" w:type="dxa"/>
          </w:tcPr>
          <w:p w:rsidR="004357B9" w:rsidRPr="00AA1421" w:rsidRDefault="00744F50" w:rsidP="004357B9">
            <w:pPr>
              <w:rPr>
                <w:rFonts w:ascii="Times New Roman" w:hAnsi="Times New Roman"/>
                <w:b/>
                <w:sz w:val="24"/>
                <w:u w:val="single"/>
              </w:rPr>
            </w:pPr>
            <w:r w:rsidRPr="00AA1421">
              <w:rPr>
                <w:rFonts w:ascii="Times New Roman" w:hAnsi="Times New Roman"/>
                <w:b/>
                <w:sz w:val="24"/>
                <w:u w:val="single"/>
              </w:rPr>
              <w:t>E</w:t>
            </w:r>
            <w:r w:rsidR="00771E97" w:rsidRPr="00AA1421">
              <w:rPr>
                <w:rFonts w:ascii="Times New Roman" w:hAnsi="Times New Roman"/>
                <w:b/>
                <w:sz w:val="24"/>
                <w:u w:val="single"/>
              </w:rPr>
              <w:t>kspozycje, których dotyczy niewykonanie zobowiązania</w:t>
            </w:r>
          </w:p>
          <w:p w:rsidR="004357B9" w:rsidRPr="00AA1421" w:rsidRDefault="004357B9" w:rsidP="004357B9">
            <w:pPr>
              <w:rPr>
                <w:rStyle w:val="InstructionsTabelleText"/>
                <w:rFonts w:ascii="Times New Roman" w:hAnsi="Times New Roman"/>
                <w:sz w:val="24"/>
              </w:rPr>
            </w:pPr>
            <w:r w:rsidRPr="00AA1421">
              <w:rPr>
                <w:rStyle w:val="InstructionsTabelleText"/>
                <w:rFonts w:ascii="Times New Roman" w:hAnsi="Times New Roman"/>
                <w:sz w:val="24"/>
              </w:rPr>
              <w:lastRenderedPageBreak/>
              <w:t>Pierwotna ekspozycja przed uwzględnieniem współczynników konwersji w odniesieniu do tych ekspozycji, które zostały sklasyfikowane jako „ekspozycje, których dotyczy niewykonanie zobowiązania”, oraz w odniesieniu do tych ekspozycji, których dotyczy niewykonanie zobowiązania, które zostały przypisane do kategorii ekspozycji „ekspozycje związane ze szczególnie wysokim ryzykiem” lub „ekspozycje kapitałowe”.</w:t>
            </w:r>
          </w:p>
          <w:p w:rsidR="004357B9" w:rsidRPr="00AA1421" w:rsidRDefault="004357B9" w:rsidP="004357B9">
            <w:pPr>
              <w:rPr>
                <w:rStyle w:val="InstructionsTabelleText"/>
                <w:rFonts w:ascii="Times New Roman" w:hAnsi="Times New Roman"/>
                <w:sz w:val="24"/>
              </w:rPr>
            </w:pPr>
            <w:r w:rsidRPr="00AA1421">
              <w:rPr>
                <w:rStyle w:val="InstructionsTabelleText"/>
                <w:rFonts w:ascii="Times New Roman" w:hAnsi="Times New Roman"/>
                <w:sz w:val="24"/>
              </w:rPr>
              <w:t xml:space="preserve">Ta „pozycja uzupełniająca” zawiera dodatkowe informacje o strukturze dłużnika w przypadku ekspozycji, których dotyczy niewykonanie zobowiązania. Ekspozycje sklasyfikowane jako „ekspozycje, których dotyczy niewykonanie zobowiązania”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12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j)</w:t>
            </w:r>
            <w:r w:rsidRPr="00AA1421">
              <w:rPr>
                <w:rStyle w:val="InstructionsTabelleText"/>
                <w:rFonts w:ascii="Times New Roman" w:hAnsi="Times New Roman"/>
                <w:sz w:val="24"/>
              </w:rPr>
              <w:t xml:space="preserve"> CRR zgłasza się w przypadku, gdy dłużnicy zostaliby</w:t>
            </w:r>
            <w:r w:rsidRPr="00AA1421">
              <w:t xml:space="preserve"> </w:t>
            </w:r>
            <w:r w:rsidRPr="00AA1421">
              <w:rPr>
                <w:rStyle w:val="InstructionsTabelleText"/>
                <w:rFonts w:ascii="Times New Roman" w:hAnsi="Times New Roman"/>
                <w:sz w:val="24"/>
              </w:rPr>
              <w:t xml:space="preserve">zgłoszeni, jeżeli ekspozycje te nie zostałyby przypisane do kategorii ekspozycji „ekspozycje, których dotyczy niewykonanie zobowiązania”. </w:t>
            </w:r>
          </w:p>
          <w:p w:rsidR="004357B9" w:rsidRPr="00AA1421" w:rsidRDefault="004357B9" w:rsidP="00763B4B">
            <w:pPr>
              <w:rPr>
                <w:rFonts w:ascii="Times New Roman" w:hAnsi="Times New Roman"/>
                <w:sz w:val="24"/>
              </w:rPr>
            </w:pPr>
            <w:r w:rsidRPr="00AA1421">
              <w:rPr>
                <w:rStyle w:val="InstructionsTabelleText"/>
                <w:rFonts w:ascii="Times New Roman" w:hAnsi="Times New Roman"/>
                <w:sz w:val="24"/>
              </w:rPr>
              <w:t xml:space="preserve">Informacja ta jest „pozycją uzupełniającą”, dlatego nie wpływa na obliczanie kwot ekspozycji ważonych ryzykiem dla kategorii ekspozycji „ekspozycje, których dotyczy niewykonanie zobowiązania”, „ekspozycje związane ze szczególnie wysokim ryzykiem” lub „ekspozycje kapitałowe”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12 odpowiednio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j)</w:t>
            </w:r>
            <w:r w:rsidRPr="00AA1421">
              <w:rPr>
                <w:rStyle w:val="InstructionsTabelleText"/>
                <w:rFonts w:ascii="Times New Roman" w:hAnsi="Times New Roman"/>
                <w:sz w:val="24"/>
              </w:rPr>
              <w:t>, k) i p)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lastRenderedPageBreak/>
              <w:t>0040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Zaobserwowane w danym okresie nowe przypadki niewykonania zobowiązania</w:t>
            </w:r>
          </w:p>
          <w:p w:rsidR="004357B9" w:rsidRPr="00AA1421" w:rsidRDefault="00DF70AE" w:rsidP="00DF70AE">
            <w:pPr>
              <w:rPr>
                <w:rFonts w:ascii="Times New Roman" w:hAnsi="Times New Roman"/>
                <w:b/>
                <w:sz w:val="24"/>
                <w:u w:val="single"/>
              </w:rPr>
            </w:pPr>
            <w:r w:rsidRPr="00AA1421">
              <w:rPr>
                <w:rStyle w:val="InstructionsTabelleText"/>
                <w:rFonts w:ascii="Times New Roman" w:hAnsi="Times New Roman"/>
                <w:sz w:val="24"/>
              </w:rPr>
              <w:t>Kwotę pierwotnych ekspozycji, które zostały przeniesione do kategorii „ekspozycji, których dotyczy niewykonanie zobowiązania” w okresie trzech miesięcy od ostatniego terminu przekazywania sprawozdania, zgłasza się w odniesieniu do kategorii ekspozycji, do której dłużnik należał pierwotnie.</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0050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Korekty z tytułu ogólnego ryzyka kredytowego</w:t>
            </w:r>
          </w:p>
          <w:p w:rsidR="004357B9" w:rsidRPr="00AA1421" w:rsidRDefault="004357B9" w:rsidP="004357B9">
            <w:pPr>
              <w:rPr>
                <w:rFonts w:ascii="Times New Roman" w:hAnsi="Times New Roman"/>
                <w:sz w:val="24"/>
              </w:rPr>
            </w:pPr>
            <w:r w:rsidRPr="00AA1421">
              <w:rPr>
                <w:rFonts w:ascii="Times New Roman" w:hAnsi="Times New Roman"/>
                <w:sz w:val="24"/>
              </w:rPr>
              <w:t xml:space="preserve">Korekty z tytułu ryzyka kredytowego,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10 CRR oraz w rozporządzeniu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83/2014. </w:t>
            </w:r>
          </w:p>
          <w:p w:rsidR="00D95045" w:rsidRPr="00AA1421" w:rsidRDefault="00D95045" w:rsidP="00D95045">
            <w:pPr>
              <w:rPr>
                <w:rFonts w:ascii="Times New Roman" w:hAnsi="Times New Roman"/>
                <w:sz w:val="24"/>
              </w:rPr>
            </w:pPr>
            <w:r w:rsidRPr="00AA1421">
              <w:rPr>
                <w:rFonts w:ascii="Times New Roman" w:hAnsi="Times New Roman"/>
                <w:sz w:val="24"/>
              </w:rPr>
              <w:t xml:space="preserve">W pozycji tej uwzględnia się korekty z tytułu ogólnego ryzyka kredytowego, które kwalifikują się do włączenia do kapitału </w:t>
            </w:r>
            <w:proofErr w:type="spellStart"/>
            <w:r w:rsidRPr="00AA1421">
              <w:rPr>
                <w:rFonts w:ascii="Times New Roman" w:hAnsi="Times New Roman"/>
                <w:sz w:val="24"/>
              </w:rPr>
              <w:t>Tier</w:t>
            </w:r>
            <w:proofErr w:type="spellEnd"/>
            <w:r w:rsidRPr="00AA1421">
              <w:rPr>
                <w:rFonts w:ascii="Times New Roman" w:hAnsi="Times New Roman"/>
                <w:sz w:val="24"/>
              </w:rPr>
              <w:t xml:space="preserve"> II, przed zastosowaniem pułapu,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2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w:t>
            </w:r>
          </w:p>
          <w:p w:rsidR="00D95045" w:rsidRPr="00AA1421" w:rsidRDefault="00D95045" w:rsidP="00D95045">
            <w:pPr>
              <w:rPr>
                <w:rFonts w:ascii="Times New Roman" w:hAnsi="Times New Roman"/>
                <w:b/>
                <w:sz w:val="24"/>
                <w:u w:val="single"/>
              </w:rPr>
            </w:pPr>
            <w:r w:rsidRPr="00AA1421">
              <w:rPr>
                <w:rFonts w:ascii="Times New Roman" w:hAnsi="Times New Roman"/>
                <w:sz w:val="24"/>
              </w:rPr>
              <w:t>Kwota, którą należy zgłosić, jest kwotą przed skutkami podatkowymi.</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0055</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Korekty z tytułu szczególnego ryzyka kredytowego</w:t>
            </w:r>
          </w:p>
          <w:p w:rsidR="004357B9" w:rsidRPr="00AA1421" w:rsidRDefault="004357B9" w:rsidP="003B2712">
            <w:pPr>
              <w:rPr>
                <w:rFonts w:ascii="Times New Roman" w:hAnsi="Times New Roman"/>
                <w:b/>
                <w:sz w:val="24"/>
                <w:u w:val="single"/>
              </w:rPr>
            </w:pPr>
            <w:r w:rsidRPr="00AA1421">
              <w:rPr>
                <w:rFonts w:ascii="Times New Roman" w:hAnsi="Times New Roman"/>
                <w:sz w:val="24"/>
              </w:rPr>
              <w:t xml:space="preserve">Korekty z tytułu ryzyka kredytowego,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10 CRR oraz w rozporządzeniu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83/2014.</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0060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Spisania</w:t>
            </w:r>
          </w:p>
          <w:p w:rsidR="004357B9" w:rsidRPr="00AA1421" w:rsidRDefault="004357B9" w:rsidP="007D1F12">
            <w:pPr>
              <w:rPr>
                <w:rFonts w:ascii="Times New Roman" w:hAnsi="Times New Roman"/>
                <w:b/>
                <w:sz w:val="24"/>
                <w:u w:val="single"/>
              </w:rPr>
            </w:pPr>
            <w:r w:rsidRPr="00AA1421">
              <w:rPr>
                <w:rStyle w:val="InstructionsTabelleText"/>
                <w:rFonts w:ascii="Times New Roman" w:hAnsi="Times New Roman"/>
                <w:sz w:val="24"/>
              </w:rPr>
              <w:t xml:space="preserve">Odpisy, o których mowa w MSSF 9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.4.4 i B5.4.9.</w:t>
            </w:r>
          </w:p>
        </w:tc>
      </w:tr>
      <w:tr w:rsidR="00664874" w:rsidRPr="00AA1421" w:rsidTr="00672D2A">
        <w:tc>
          <w:tcPr>
            <w:tcW w:w="1188" w:type="dxa"/>
          </w:tcPr>
          <w:p w:rsidR="00664874" w:rsidRPr="00AA1421" w:rsidRDefault="00664874" w:rsidP="00010124">
            <w:pPr>
              <w:rPr>
                <w:rFonts w:ascii="Times New Roman" w:hAnsi="Times New Roman"/>
                <w:sz w:val="24"/>
              </w:rPr>
            </w:pPr>
            <w:r w:rsidRPr="00AA1421">
              <w:rPr>
                <w:rFonts w:ascii="Times New Roman" w:hAnsi="Times New Roman"/>
                <w:sz w:val="24"/>
              </w:rPr>
              <w:t>0061</w:t>
            </w:r>
          </w:p>
        </w:tc>
        <w:tc>
          <w:tcPr>
            <w:tcW w:w="8640" w:type="dxa"/>
          </w:tcPr>
          <w:p w:rsidR="00664874" w:rsidRPr="00AA1421" w:rsidRDefault="00664874" w:rsidP="00664874">
            <w:pPr>
              <w:rPr>
                <w:rFonts w:ascii="Times New Roman" w:hAnsi="Times New Roman"/>
                <w:b/>
                <w:sz w:val="24"/>
                <w:u w:val="single"/>
              </w:rPr>
            </w:pPr>
            <w:r w:rsidRPr="00AA1421">
              <w:rPr>
                <w:rFonts w:ascii="Times New Roman" w:hAnsi="Times New Roman"/>
                <w:b/>
                <w:sz w:val="24"/>
                <w:u w:val="single"/>
              </w:rPr>
              <w:t>Dodatkowe korekty wartości i inne redukcje funduszy własnych</w:t>
            </w:r>
          </w:p>
          <w:p w:rsidR="00664874" w:rsidRPr="00AA1421" w:rsidRDefault="00664874" w:rsidP="00664874">
            <w:pPr>
              <w:rPr>
                <w:rFonts w:ascii="Times New Roman" w:hAnsi="Times New Roman"/>
                <w:b/>
                <w:sz w:val="24"/>
                <w:u w:val="single"/>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11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0070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Korekty z tytułu ryzyka kredytowego/spisania w zakresie zaobserwowanych nowych przypadków niewykonania zobowiązania</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 xml:space="preserve">Suma korekt z tytułu ryzyka kredytowego i </w:t>
            </w:r>
            <w:proofErr w:type="spellStart"/>
            <w:r w:rsidRPr="00AA1421">
              <w:rPr>
                <w:rStyle w:val="InstructionsTabelleText"/>
                <w:rFonts w:ascii="Times New Roman" w:hAnsi="Times New Roman"/>
                <w:sz w:val="24"/>
              </w:rPr>
              <w:t>spisań</w:t>
            </w:r>
            <w:proofErr w:type="spellEnd"/>
            <w:r w:rsidRPr="00AA1421">
              <w:rPr>
                <w:rStyle w:val="InstructionsTabelleText"/>
                <w:rFonts w:ascii="Times New Roman" w:hAnsi="Times New Roman"/>
                <w:sz w:val="24"/>
              </w:rPr>
              <w:t xml:space="preserve"> dla tych ekspozycji, które sklasyfikowano jako „ekspozycje, których dotyczy niewykonanie zobowiązania” w okresie trzech miesięcy od ostatniego terminu przekazywania sprawozdania.</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lastRenderedPageBreak/>
              <w:t>0075</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Wartość ekspozycji</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Definicja taka sama jak dla kolumny 0200 wzoru CR SA</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0080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KWOTA EKSPOZYCJI WAŻONEJ RYZYKIEM PRZED UWZGLĘDNIENIEM WSPÓŁCZYNNIKÓW WSPARCIA</w:t>
            </w:r>
          </w:p>
          <w:p w:rsidR="004357B9" w:rsidRPr="00AA1421" w:rsidRDefault="004357B9" w:rsidP="004357B9">
            <w:pPr>
              <w:rPr>
                <w:rFonts w:ascii="Times New Roman" w:hAnsi="Times New Roman"/>
                <w:b/>
                <w:sz w:val="24"/>
                <w:u w:val="single"/>
              </w:rPr>
            </w:pPr>
            <w:r w:rsidRPr="00AA1421">
              <w:rPr>
                <w:rFonts w:ascii="Times New Roman" w:hAnsi="Times New Roman"/>
                <w:sz w:val="24"/>
              </w:rPr>
              <w:t>Definicja taka sama jak dla kolumny 0215 wzoru CR SA</w:t>
            </w:r>
          </w:p>
        </w:tc>
      </w:tr>
      <w:tr w:rsidR="00664874" w:rsidRPr="00AA1421" w:rsidTr="00672D2A">
        <w:tc>
          <w:tcPr>
            <w:tcW w:w="1188" w:type="dxa"/>
          </w:tcPr>
          <w:p w:rsidR="00664874" w:rsidRPr="00AA1421" w:rsidRDefault="00664874" w:rsidP="00664874">
            <w:pPr>
              <w:rPr>
                <w:rFonts w:ascii="Times New Roman" w:hAnsi="Times New Roman"/>
                <w:sz w:val="24"/>
              </w:rPr>
            </w:pPr>
            <w:r w:rsidRPr="00AA1421">
              <w:rPr>
                <w:rFonts w:ascii="Times New Roman" w:hAnsi="Times New Roman"/>
                <w:sz w:val="24"/>
              </w:rPr>
              <w:t>0081</w:t>
            </w:r>
          </w:p>
        </w:tc>
        <w:tc>
          <w:tcPr>
            <w:tcW w:w="8640" w:type="dxa"/>
          </w:tcPr>
          <w:p w:rsidR="00664874" w:rsidRPr="00AA1421" w:rsidRDefault="00664874" w:rsidP="00664874">
            <w:pPr>
              <w:rPr>
                <w:rStyle w:val="InstructionsTabelleberschrift"/>
                <w:rFonts w:ascii="Times New Roman" w:hAnsi="Times New Roman"/>
                <w:sz w:val="32"/>
              </w:rPr>
            </w:pPr>
            <w:r w:rsidRPr="00AA1421">
              <w:rPr>
                <w:rStyle w:val="InstructionsTabelleberschrift"/>
                <w:rFonts w:ascii="Times New Roman" w:hAnsi="Times New Roman"/>
                <w:sz w:val="24"/>
              </w:rPr>
              <w:t>(-) KOREKTA KWOTY EKSPOZYCJI WAŻONEJ RYZYKIEM WYNIKAJĄCA ZE WSPÓŁCZYNNIKA WSPARCIA MŚP</w:t>
            </w:r>
          </w:p>
          <w:p w:rsidR="00664874" w:rsidRPr="00AA1421" w:rsidRDefault="00664874" w:rsidP="003F19BA">
            <w:pPr>
              <w:rPr>
                <w:rFonts w:ascii="Times New Roman" w:hAnsi="Times New Roman"/>
                <w:b/>
                <w:sz w:val="24"/>
                <w:u w:val="single"/>
              </w:rPr>
            </w:pPr>
            <w:r w:rsidRPr="00AA1421">
              <w:rPr>
                <w:rFonts w:ascii="Times New Roman" w:hAnsi="Times New Roman"/>
                <w:sz w:val="24"/>
              </w:rPr>
              <w:t>Definicja taka sama jak dla kolumny 0216 wzoru CR SA</w:t>
            </w:r>
          </w:p>
        </w:tc>
      </w:tr>
      <w:tr w:rsidR="00664874" w:rsidRPr="00AA1421" w:rsidTr="00672D2A">
        <w:tc>
          <w:tcPr>
            <w:tcW w:w="1188" w:type="dxa"/>
          </w:tcPr>
          <w:p w:rsidR="00664874" w:rsidRPr="00AA1421" w:rsidRDefault="00664874" w:rsidP="00664874">
            <w:pPr>
              <w:rPr>
                <w:rFonts w:ascii="Times New Roman" w:hAnsi="Times New Roman"/>
                <w:sz w:val="24"/>
              </w:rPr>
            </w:pPr>
            <w:r w:rsidRPr="00AA1421">
              <w:rPr>
                <w:rFonts w:ascii="Times New Roman" w:hAnsi="Times New Roman"/>
                <w:sz w:val="24"/>
              </w:rPr>
              <w:t>0082</w:t>
            </w:r>
          </w:p>
        </w:tc>
        <w:tc>
          <w:tcPr>
            <w:tcW w:w="8640" w:type="dxa"/>
          </w:tcPr>
          <w:p w:rsidR="00664874" w:rsidRPr="00AA1421" w:rsidRDefault="00664874" w:rsidP="00664874">
            <w:pPr>
              <w:rPr>
                <w:rStyle w:val="InstructionsTabelleberschrift"/>
                <w:rFonts w:ascii="Times New Roman" w:hAnsi="Times New Roman"/>
                <w:sz w:val="32"/>
              </w:rPr>
            </w:pPr>
            <w:r w:rsidRPr="00AA1421">
              <w:rPr>
                <w:rStyle w:val="InstructionsTabelleberschrift"/>
                <w:rFonts w:ascii="Times New Roman" w:hAnsi="Times New Roman"/>
                <w:sz w:val="24"/>
              </w:rPr>
              <w:t>(-) KOREKTA KWOTY EKSPOZYCJI WAŻONEJ RYZYKIEM WYNIKAJĄCA ZE WSPÓŁCZYNNIKA WSPARCIA INFRASTRUKTURY</w:t>
            </w:r>
          </w:p>
          <w:p w:rsidR="00664874" w:rsidRPr="00AA1421" w:rsidRDefault="00664874" w:rsidP="000E197A">
            <w:pPr>
              <w:rPr>
                <w:rFonts w:ascii="Times New Roman" w:hAnsi="Times New Roman"/>
                <w:b/>
                <w:sz w:val="24"/>
                <w:u w:val="single"/>
              </w:rPr>
            </w:pPr>
            <w:r w:rsidRPr="00AA1421">
              <w:rPr>
                <w:rFonts w:ascii="Times New Roman" w:hAnsi="Times New Roman"/>
                <w:sz w:val="24"/>
              </w:rPr>
              <w:t>Definicja taka sama jak dla kolumny 0217 wzoru CR SA</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0090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KWOTA EKSPOZYCJI WAŻONEJ RYZYKIEM PO UWZGLĘDNIENIU WSPÓŁCZYNNIKÓW WSPARCIA</w:t>
            </w:r>
          </w:p>
          <w:p w:rsidR="004357B9" w:rsidRPr="00AA1421" w:rsidRDefault="004357B9" w:rsidP="004357B9">
            <w:pPr>
              <w:rPr>
                <w:rFonts w:ascii="Times New Roman" w:hAnsi="Times New Roman"/>
                <w:b/>
                <w:sz w:val="24"/>
                <w:u w:val="single"/>
              </w:rPr>
            </w:pPr>
            <w:r w:rsidRPr="00AA1421">
              <w:rPr>
                <w:rFonts w:ascii="Times New Roman" w:hAnsi="Times New Roman"/>
                <w:sz w:val="24"/>
              </w:rPr>
              <w:t>Definicja taka sama jak dla kolumny 0220 wzoru CR SA</w:t>
            </w:r>
          </w:p>
        </w:tc>
      </w:tr>
    </w:tbl>
    <w:p w:rsidR="004357B9" w:rsidRPr="00AA1421"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AA1421" w:rsidTr="00672D2A">
        <w:trPr>
          <w:gridAfter w:val="1"/>
          <w:wAfter w:w="61" w:type="dxa"/>
          <w:trHeight w:val="581"/>
        </w:trPr>
        <w:tc>
          <w:tcPr>
            <w:tcW w:w="9828" w:type="dxa"/>
            <w:gridSpan w:val="2"/>
            <w:shd w:val="clear" w:color="auto" w:fill="CCCCCC"/>
          </w:tcPr>
          <w:p w:rsidR="004357B9" w:rsidRPr="00AA1421" w:rsidRDefault="004357B9" w:rsidP="004357B9">
            <w:pPr>
              <w:spacing w:after="0"/>
              <w:rPr>
                <w:rStyle w:val="InstructionsTabelleText"/>
                <w:rFonts w:ascii="Times New Roman" w:hAnsi="Times New Roman"/>
                <w:b/>
                <w:sz w:val="24"/>
              </w:rPr>
            </w:pPr>
            <w:r w:rsidRPr="00AA1421">
              <w:rPr>
                <w:rStyle w:val="InstructionsTabelleText"/>
                <w:rFonts w:ascii="Times New Roman" w:hAnsi="Times New Roman"/>
                <w:b/>
                <w:sz w:val="24"/>
              </w:rPr>
              <w:t>Wiersze</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0010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rządów centralnych lub banków centralnych</w:t>
            </w:r>
          </w:p>
          <w:p w:rsidR="004357B9" w:rsidRPr="00AA1421" w:rsidRDefault="00D21B29" w:rsidP="00D21B29">
            <w:pPr>
              <w:ind w:left="72"/>
              <w:rPr>
                <w:rStyle w:val="InstructionsTabelleText"/>
                <w:rFonts w:ascii="Times New Roman" w:hAnsi="Times New Roman"/>
                <w:sz w:val="24"/>
              </w:rPr>
            </w:pPr>
            <w:r w:rsidRPr="00AA1421">
              <w:rPr>
                <w:rFonts w:ascii="Times New Roman" w:hAnsi="Times New Roman"/>
                <w:sz w:val="24"/>
              </w:rPr>
              <w:t xml:space="preserve">Art. 112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0020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samorządów regionalnych lub władz lokalnych</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b)</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0030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podmiotów sektora publicznego</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c)</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0040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wielostronnych banków rozwoju</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d)</w:t>
            </w:r>
            <w:r w:rsidRPr="00AA1421">
              <w:rPr>
                <w:rStyle w:val="InstructionsTabelleText"/>
                <w:rFonts w:ascii="Times New Roman" w:hAnsi="Times New Roman"/>
                <w:sz w:val="24"/>
              </w:rPr>
              <w:t xml:space="preserve"> </w:t>
            </w:r>
            <w:r w:rsidRPr="00AA1421">
              <w:rPr>
                <w:rFonts w:ascii="Times New Roman" w:hAnsi="Times New Roman"/>
                <w:bCs/>
                <w:sz w:val="24"/>
              </w:rPr>
              <w:t>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0050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organizacji międzynarodowych</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Art. 112 ust. e)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0060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instytucji</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Art. 112 ust. f)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0070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wobec przedsiębiorstw</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Art. 112 ust. g)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0075</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W tym: ekspozycje wobec MŚP</w:t>
            </w:r>
          </w:p>
          <w:p w:rsidR="004357B9" w:rsidRPr="00AA1421" w:rsidRDefault="004357B9" w:rsidP="007121C9">
            <w:pPr>
              <w:ind w:left="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Definicja taka sama jak dla wiersza 0020 wzoru CR SA</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lastRenderedPageBreak/>
              <w:t>0080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detaliczne</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h)</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0085</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W tym: ekspozycje wobec MŚP</w:t>
            </w:r>
          </w:p>
          <w:p w:rsidR="004357B9" w:rsidRPr="00AA1421" w:rsidRDefault="004357B9" w:rsidP="00DE26F2">
            <w:pPr>
              <w:ind w:left="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Definicja taka sama jak dla wiersza 0020 wzoru CR SA</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0090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zabezpieczone hipotekami na nieruchomościach</w:t>
            </w:r>
          </w:p>
          <w:p w:rsidR="004357B9" w:rsidRPr="00AA1421" w:rsidRDefault="00D21B29" w:rsidP="00D21B29">
            <w:pPr>
              <w:ind w:left="72"/>
              <w:rPr>
                <w:rStyle w:val="InstructionsTabelleTex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i)</w:t>
            </w:r>
            <w:r w:rsidRPr="00AA1421">
              <w:rPr>
                <w:rFonts w:ascii="Times New Roman" w:hAnsi="Times New Roman"/>
                <w:bCs/>
                <w:sz w:val="24"/>
              </w:rPr>
              <w:t xml:space="preserve"> </w:t>
            </w:r>
            <w:r w:rsidRPr="00AA1421">
              <w:rPr>
                <w:rFonts w:ascii="Times New Roman" w:hAnsi="Times New Roman"/>
                <w:sz w:val="24"/>
              </w:rPr>
              <w:t>CRR</w:t>
            </w:r>
          </w:p>
        </w:tc>
      </w:tr>
      <w:tr w:rsidR="004357B9" w:rsidRPr="00AA1421" w:rsidTr="00672D2A">
        <w:tc>
          <w:tcPr>
            <w:tcW w:w="1188" w:type="dxa"/>
            <w:shd w:val="clear" w:color="auto" w:fill="FFFFFF"/>
          </w:tcPr>
          <w:p w:rsidR="004357B9" w:rsidRPr="00AA1421" w:rsidRDefault="004357B9" w:rsidP="004357B9">
            <w:pPr>
              <w:rPr>
                <w:rFonts w:ascii="Times New Roman" w:hAnsi="Times New Roman"/>
                <w:sz w:val="24"/>
              </w:rPr>
            </w:pPr>
            <w:r w:rsidRPr="00AA1421">
              <w:rPr>
                <w:rFonts w:ascii="Times New Roman" w:hAnsi="Times New Roman"/>
                <w:sz w:val="24"/>
              </w:rPr>
              <w:t>0095</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W tym: ekspozycje wobec MŚP</w:t>
            </w:r>
          </w:p>
          <w:p w:rsidR="004357B9" w:rsidRPr="00AA1421" w:rsidRDefault="004357B9" w:rsidP="00DE26F2">
            <w:pPr>
              <w:ind w:left="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Definicja taka sama jak dla wiersza 0020 wzoru CR SA</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0100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których dotyczy niewykonanie zobowiązania</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j)</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0110</w:t>
            </w:r>
          </w:p>
        </w:tc>
        <w:tc>
          <w:tcPr>
            <w:tcW w:w="8701" w:type="dxa"/>
            <w:gridSpan w:val="2"/>
            <w:shd w:val="clear" w:color="auto" w:fill="FFFFFF"/>
          </w:tcPr>
          <w:p w:rsidR="004357B9" w:rsidRPr="00AA1421" w:rsidRDefault="000565B6" w:rsidP="004357B9">
            <w:pPr>
              <w:autoSpaceDE w:val="0"/>
              <w:autoSpaceDN w:val="0"/>
              <w:adjustRightInd w:val="0"/>
              <w:spacing w:before="0"/>
              <w:ind w:left="72"/>
              <w:jc w:val="left"/>
              <w:rPr>
                <w:rFonts w:ascii="Times New Roman" w:hAnsi="Times New Roman"/>
                <w:b/>
                <w:bCs/>
                <w:sz w:val="24"/>
                <w:u w:val="single"/>
              </w:rPr>
            </w:pPr>
            <w:r w:rsidRPr="00AA1421">
              <w:rPr>
                <w:rFonts w:ascii="Times New Roman" w:hAnsi="Times New Roman"/>
                <w:b/>
                <w:bCs/>
                <w:sz w:val="24"/>
                <w:u w:val="single"/>
              </w:rPr>
              <w:t>Pozycje związane ze szczególnie wysokim ryzykiem</w:t>
            </w:r>
          </w:p>
          <w:p w:rsidR="004357B9" w:rsidRPr="00AA1421"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k)</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0120</w:t>
            </w:r>
          </w:p>
        </w:tc>
        <w:tc>
          <w:tcPr>
            <w:tcW w:w="8701" w:type="dxa"/>
            <w:gridSpan w:val="2"/>
            <w:shd w:val="clear" w:color="auto" w:fill="FFFFFF"/>
          </w:tcPr>
          <w:p w:rsidR="004357B9" w:rsidRPr="00AA1421"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AA1421">
              <w:rPr>
                <w:rStyle w:val="InstructionsTabelleberschrift"/>
                <w:rFonts w:ascii="Times New Roman" w:hAnsi="Times New Roman"/>
                <w:sz w:val="24"/>
              </w:rPr>
              <w:t>Obligacje zabezpieczone</w:t>
            </w:r>
          </w:p>
          <w:p w:rsidR="004357B9" w:rsidRPr="00AA1421"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l)</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0130</w:t>
            </w:r>
          </w:p>
          <w:p w:rsidR="004357B9" w:rsidRPr="00AA1421" w:rsidRDefault="004357B9" w:rsidP="004357B9">
            <w:pPr>
              <w:rPr>
                <w:rFonts w:ascii="Times New Roman" w:hAnsi="Times New Roman"/>
                <w:sz w:val="24"/>
              </w:rPr>
            </w:pP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bCs w:val="0"/>
                <w:sz w:val="24"/>
              </w:rPr>
            </w:pPr>
            <w:r w:rsidRPr="00AA1421">
              <w:rPr>
                <w:rStyle w:val="InstructionsTabelleberschrift"/>
                <w:rFonts w:ascii="Times New Roman" w:hAnsi="Times New Roman"/>
                <w:bCs w:val="0"/>
                <w:sz w:val="24"/>
              </w:rPr>
              <w:t>Ekspozycje z tytułu należności od instytucji i przedsiębiorstw posiadających krótkoterminową ocenę kredytową</w:t>
            </w:r>
          </w:p>
          <w:p w:rsidR="004357B9" w:rsidRPr="00AA1421" w:rsidRDefault="00D21B29" w:rsidP="00D21B29">
            <w:pPr>
              <w:ind w:left="72"/>
              <w:rPr>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n)</w:t>
            </w:r>
            <w:r w:rsidRPr="00AA1421">
              <w:rPr>
                <w:rFonts w:ascii="Times New Roman" w:hAnsi="Times New Roman"/>
                <w:sz w:val="24"/>
              </w:rPr>
              <w:t xml:space="preserve"> CRR</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0140</w:t>
            </w:r>
          </w:p>
        </w:tc>
        <w:tc>
          <w:tcPr>
            <w:tcW w:w="8701" w:type="dxa"/>
            <w:gridSpan w:val="2"/>
            <w:shd w:val="clear" w:color="auto" w:fill="FFFFFF"/>
          </w:tcPr>
          <w:p w:rsidR="00D82B60" w:rsidRPr="00AA1421" w:rsidRDefault="00A402A8"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Przedsiębiorstwa zbiorowego inwestowania</w:t>
            </w:r>
          </w:p>
          <w:p w:rsidR="004357B9" w:rsidRPr="00AA1421" w:rsidRDefault="00D21B29" w:rsidP="00D21B29">
            <w:pPr>
              <w:ind w:left="72"/>
              <w:rPr>
                <w:rFonts w:ascii="Times New Roman" w:hAnsi="Times New Roman"/>
                <w:bCs/>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o)</w:t>
            </w:r>
            <w:r w:rsidRPr="00AA1421">
              <w:rPr>
                <w:rFonts w:ascii="Times New Roman" w:hAnsi="Times New Roman"/>
                <w:bCs/>
                <w:sz w:val="24"/>
              </w:rPr>
              <w:t xml:space="preserve"> CRR</w:t>
            </w:r>
          </w:p>
          <w:p w:rsidR="00C1357C" w:rsidRPr="00AA1421" w:rsidRDefault="00C1357C" w:rsidP="00D21B29">
            <w:pPr>
              <w:ind w:left="72"/>
              <w:rPr>
                <w:rStyle w:val="InstructionsTabelleberschrift"/>
                <w:rFonts w:ascii="Times New Roman" w:hAnsi="Times New Roman"/>
                <w:b w:val="0"/>
                <w:bCs w:val="0"/>
                <w:sz w:val="24"/>
                <w:u w:val="none"/>
              </w:rPr>
            </w:pPr>
            <w:r w:rsidRPr="00AA1421">
              <w:rPr>
                <w:rFonts w:ascii="Times New Roman" w:hAnsi="Times New Roman"/>
                <w:bCs/>
                <w:sz w:val="24"/>
              </w:rPr>
              <w:t>Suma wierszy 0141–0143</w:t>
            </w:r>
          </w:p>
        </w:tc>
      </w:tr>
      <w:tr w:rsidR="00664874"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AA1421" w:rsidRDefault="001452FC" w:rsidP="00664874">
            <w:pPr>
              <w:rPr>
                <w:rFonts w:ascii="Times New Roman" w:hAnsi="Times New Roman"/>
                <w:sz w:val="24"/>
              </w:rPr>
            </w:pPr>
            <w:r w:rsidRPr="00AA1421">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AA1421" w:rsidRDefault="00664874" w:rsidP="00664874">
            <w:pPr>
              <w:ind w:left="72"/>
              <w:rPr>
                <w:rStyle w:val="InstructionsTabelleberschrift"/>
                <w:rFonts w:ascii="Times New Roman" w:hAnsi="Times New Roman"/>
                <w:sz w:val="24"/>
              </w:rPr>
            </w:pPr>
            <w:r w:rsidRPr="00AA1421">
              <w:rPr>
                <w:rStyle w:val="InstructionsTabelleberschrift"/>
                <w:rFonts w:ascii="Times New Roman" w:hAnsi="Times New Roman"/>
                <w:sz w:val="24"/>
              </w:rPr>
              <w:t>Metoda pełnego przeglądu</w:t>
            </w:r>
          </w:p>
          <w:p w:rsidR="00664874" w:rsidRPr="00AA1421" w:rsidRDefault="00664874" w:rsidP="00664874">
            <w:pPr>
              <w:ind w:left="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Definicja taka sama jak dla wiersza 0281 wzoru CR SA</w:t>
            </w:r>
          </w:p>
        </w:tc>
      </w:tr>
      <w:tr w:rsidR="00664874"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AA1421" w:rsidRDefault="001452FC" w:rsidP="00664874">
            <w:pPr>
              <w:rPr>
                <w:rFonts w:ascii="Times New Roman" w:hAnsi="Times New Roman"/>
                <w:sz w:val="24"/>
              </w:rPr>
            </w:pPr>
            <w:r w:rsidRPr="00AA1421">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AA1421" w:rsidRDefault="00664874" w:rsidP="00664874">
            <w:pPr>
              <w:ind w:left="72"/>
              <w:rPr>
                <w:rStyle w:val="InstructionsTabelleberschrift"/>
                <w:rFonts w:ascii="Times New Roman" w:hAnsi="Times New Roman"/>
                <w:sz w:val="24"/>
              </w:rPr>
            </w:pPr>
            <w:r w:rsidRPr="00AA1421">
              <w:rPr>
                <w:rStyle w:val="InstructionsTabelleberschrift"/>
                <w:rFonts w:ascii="Times New Roman" w:hAnsi="Times New Roman"/>
                <w:sz w:val="24"/>
              </w:rPr>
              <w:t>Metoda oparta na uprawnieniach</w:t>
            </w:r>
          </w:p>
          <w:p w:rsidR="00664874" w:rsidRPr="00AA1421" w:rsidRDefault="00664874" w:rsidP="00664874">
            <w:pPr>
              <w:ind w:left="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Definicja taka sama jak dla wiersza 0282 wzoru CR SA</w:t>
            </w:r>
          </w:p>
        </w:tc>
      </w:tr>
      <w:tr w:rsidR="00664874" w:rsidRPr="00AA1421"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AA1421" w:rsidRDefault="001452FC" w:rsidP="00664874">
            <w:pPr>
              <w:rPr>
                <w:rFonts w:ascii="Times New Roman" w:hAnsi="Times New Roman"/>
                <w:sz w:val="24"/>
              </w:rPr>
            </w:pPr>
            <w:r w:rsidRPr="00AA1421">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AA1421" w:rsidRDefault="00664874" w:rsidP="00664874">
            <w:pPr>
              <w:ind w:left="72"/>
              <w:rPr>
                <w:rStyle w:val="InstructionsTabelleberschrift"/>
                <w:rFonts w:ascii="Times New Roman" w:hAnsi="Times New Roman"/>
                <w:sz w:val="24"/>
              </w:rPr>
            </w:pPr>
            <w:r w:rsidRPr="00AA1421">
              <w:rPr>
                <w:rStyle w:val="InstructionsTabelleberschrift"/>
                <w:rFonts w:ascii="Times New Roman" w:hAnsi="Times New Roman"/>
                <w:sz w:val="24"/>
              </w:rPr>
              <w:t>Metoda rezerwowa</w:t>
            </w:r>
          </w:p>
          <w:p w:rsidR="00664874" w:rsidRPr="00AA1421" w:rsidRDefault="00664874" w:rsidP="00664874">
            <w:pPr>
              <w:ind w:left="72"/>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Definicja taka sama jak dla wiersza 0283 wzoru CR SA</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0150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kapitałowe</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p)</w:t>
            </w:r>
            <w:r w:rsidRPr="00AA1421">
              <w:rPr>
                <w:rFonts w:ascii="Times New Roman" w:hAnsi="Times New Roman"/>
                <w:bCs/>
                <w:sz w:val="24"/>
              </w:rPr>
              <w:t xml:space="preserve"> CRR</w:t>
            </w:r>
          </w:p>
        </w:tc>
      </w:tr>
      <w:tr w:rsidR="004357B9" w:rsidRPr="00AA1421" w:rsidTr="00672D2A">
        <w:tc>
          <w:tcPr>
            <w:tcW w:w="1188" w:type="dxa"/>
            <w:shd w:val="clear" w:color="auto" w:fill="FFFFFF"/>
          </w:tcPr>
          <w:p w:rsidR="004357B9" w:rsidRPr="00AA1421" w:rsidRDefault="001452FC" w:rsidP="004357B9">
            <w:pPr>
              <w:rPr>
                <w:rFonts w:ascii="Times New Roman" w:hAnsi="Times New Roman"/>
                <w:sz w:val="24"/>
              </w:rPr>
            </w:pPr>
            <w:r w:rsidRPr="00AA1421">
              <w:rPr>
                <w:rFonts w:ascii="Times New Roman" w:hAnsi="Times New Roman"/>
                <w:sz w:val="24"/>
              </w:rPr>
              <w:t>0160</w:t>
            </w:r>
          </w:p>
        </w:tc>
        <w:tc>
          <w:tcPr>
            <w:tcW w:w="8701" w:type="dxa"/>
            <w:gridSpan w:val="2"/>
            <w:shd w:val="clear" w:color="auto" w:fill="FFFFFF"/>
          </w:tcPr>
          <w:p w:rsidR="004357B9" w:rsidRPr="00AA1421" w:rsidRDefault="004357B9"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Inne ekspozycje</w:t>
            </w:r>
          </w:p>
          <w:p w:rsidR="004357B9" w:rsidRPr="00AA1421" w:rsidRDefault="00D21B29" w:rsidP="00D21B29">
            <w:pPr>
              <w:ind w:left="72"/>
              <w:rPr>
                <w:rStyle w:val="InstructionsTabelleberschrift"/>
                <w:rFonts w:ascii="Times New Roman" w:hAnsi="Times New Roman"/>
                <w:sz w:val="24"/>
              </w:rPr>
            </w:pPr>
            <w:r w:rsidRPr="00AA1421">
              <w:rPr>
                <w:rFonts w:ascii="Times New Roman" w:hAnsi="Times New Roman"/>
                <w:bCs/>
                <w:sz w:val="24"/>
              </w:rPr>
              <w:t xml:space="preserve">Art. 112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q)</w:t>
            </w:r>
            <w:r w:rsidRPr="00AA1421">
              <w:rPr>
                <w:rFonts w:ascii="Times New Roman" w:hAnsi="Times New Roman"/>
                <w:bCs/>
                <w:sz w:val="24"/>
              </w:rPr>
              <w:t xml:space="preserve"> CRR</w:t>
            </w:r>
          </w:p>
        </w:tc>
      </w:tr>
      <w:tr w:rsidR="007A49AC" w:rsidRPr="00AA1421" w:rsidTr="00672D2A">
        <w:tc>
          <w:tcPr>
            <w:tcW w:w="1188" w:type="dxa"/>
            <w:shd w:val="clear" w:color="auto" w:fill="FFFFFF"/>
          </w:tcPr>
          <w:p w:rsidR="007A49AC" w:rsidRPr="00AA1421" w:rsidRDefault="001452FC" w:rsidP="004357B9">
            <w:pPr>
              <w:rPr>
                <w:rFonts w:ascii="Times New Roman" w:hAnsi="Times New Roman"/>
                <w:sz w:val="24"/>
              </w:rPr>
            </w:pPr>
            <w:r w:rsidRPr="00AA1421">
              <w:rPr>
                <w:rFonts w:ascii="Times New Roman" w:hAnsi="Times New Roman"/>
                <w:sz w:val="24"/>
              </w:rPr>
              <w:lastRenderedPageBreak/>
              <w:t>0170</w:t>
            </w:r>
          </w:p>
        </w:tc>
        <w:tc>
          <w:tcPr>
            <w:tcW w:w="8701" w:type="dxa"/>
            <w:gridSpan w:val="2"/>
            <w:shd w:val="clear" w:color="auto" w:fill="FFFFFF"/>
          </w:tcPr>
          <w:p w:rsidR="007A49AC" w:rsidRPr="00AA1421" w:rsidRDefault="007A49AC" w:rsidP="004357B9">
            <w:pPr>
              <w:ind w:left="72"/>
              <w:rPr>
                <w:rStyle w:val="InstructionsTabelleberschrift"/>
                <w:rFonts w:ascii="Times New Roman" w:hAnsi="Times New Roman"/>
                <w:sz w:val="24"/>
              </w:rPr>
            </w:pPr>
            <w:r w:rsidRPr="00AA1421">
              <w:rPr>
                <w:rStyle w:val="InstructionsTabelleberschrift"/>
                <w:rFonts w:ascii="Times New Roman" w:hAnsi="Times New Roman"/>
                <w:sz w:val="24"/>
              </w:rPr>
              <w:t>Ekspozycje całkowite</w:t>
            </w:r>
          </w:p>
        </w:tc>
      </w:tr>
    </w:tbl>
    <w:p w:rsidR="004357B9" w:rsidRPr="00AA1421" w:rsidRDefault="004357B9" w:rsidP="004357B9">
      <w:pPr>
        <w:spacing w:before="0" w:after="200" w:line="312" w:lineRule="auto"/>
        <w:jc w:val="left"/>
        <w:rPr>
          <w:rFonts w:ascii="Times New Roman" w:hAnsi="Times New Roman"/>
          <w:sz w:val="24"/>
        </w:rPr>
      </w:pPr>
      <w:bookmarkStart w:id="367" w:name="_Toc292456210"/>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403657"/>
      <w:r w:rsidRPr="00AA1421">
        <w:rPr>
          <w:rFonts w:ascii="Times New Roman" w:hAnsi="Times New Roman"/>
          <w:sz w:val="24"/>
          <w:u w:val="none"/>
        </w:rPr>
        <w:t>3.4.2.</w:t>
      </w:r>
      <w:r w:rsidR="00D712CF" w:rsidRPr="00AA1421">
        <w:rPr>
          <w:u w:val="none"/>
        </w:rPr>
        <w:tab/>
      </w:r>
      <w:r w:rsidRPr="00AA1421">
        <w:rPr>
          <w:rFonts w:ascii="Times New Roman" w:hAnsi="Times New Roman"/>
          <w:sz w:val="24"/>
        </w:rPr>
        <w:t xml:space="preserve">C 09.02 – Podział ekspozycji pod względem geograficznym według siedziby dłużnika: </w:t>
      </w:r>
      <w:bookmarkStart w:id="370" w:name="_Toc360188364"/>
      <w:r w:rsidRPr="00AA1421">
        <w:rPr>
          <w:rFonts w:ascii="Times New Roman" w:hAnsi="Times New Roman"/>
          <w:sz w:val="24"/>
        </w:rPr>
        <w:t>ekspozycje według metody IRB</w:t>
      </w:r>
      <w:bookmarkEnd w:id="370"/>
      <w:r w:rsidRPr="00AA1421">
        <w:rPr>
          <w:rFonts w:ascii="Times New Roman" w:hAnsi="Times New Roman"/>
          <w:sz w:val="24"/>
        </w:rPr>
        <w:t xml:space="preserve"> (CR GB 2)</w:t>
      </w:r>
      <w:bookmarkEnd w:id="368"/>
      <w:bookmarkEnd w:id="369"/>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403658"/>
      <w:r w:rsidRPr="00AA1421">
        <w:rPr>
          <w:rFonts w:ascii="Times New Roman" w:hAnsi="Times New Roman"/>
          <w:sz w:val="24"/>
          <w:u w:val="none"/>
        </w:rPr>
        <w:t>3.4.2.1.</w:t>
      </w:r>
      <w:r w:rsidR="00D712CF" w:rsidRPr="00AA1421">
        <w:rPr>
          <w:u w:val="none"/>
        </w:rPr>
        <w:tab/>
      </w:r>
      <w:r w:rsidRPr="00AA1421">
        <w:rPr>
          <w:rFonts w:ascii="Times New Roman" w:hAnsi="Times New Roman"/>
          <w:sz w:val="24"/>
        </w:rPr>
        <w:t>Instrukcje dotyczące poszczególnych pozycji</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A1421" w:rsidTr="00672D2A">
        <w:tc>
          <w:tcPr>
            <w:tcW w:w="1188" w:type="dxa"/>
            <w:shd w:val="clear" w:color="auto" w:fill="CCCCCC"/>
          </w:tcPr>
          <w:p w:rsidR="004357B9" w:rsidRPr="00AA1421" w:rsidRDefault="004357B9" w:rsidP="004357B9">
            <w:pPr>
              <w:rPr>
                <w:rFonts w:ascii="Times New Roman" w:hAnsi="Times New Roman"/>
                <w:b/>
                <w:sz w:val="24"/>
              </w:rPr>
            </w:pPr>
            <w:r w:rsidRPr="00AA1421">
              <w:rPr>
                <w:rFonts w:ascii="Times New Roman" w:hAnsi="Times New Roman"/>
                <w:b/>
                <w:sz w:val="24"/>
              </w:rPr>
              <w:t>Kolumny</w:t>
            </w:r>
          </w:p>
        </w:tc>
        <w:tc>
          <w:tcPr>
            <w:tcW w:w="8640" w:type="dxa"/>
            <w:shd w:val="clear" w:color="auto" w:fill="CCCCCC"/>
          </w:tcPr>
          <w:p w:rsidR="004357B9" w:rsidRPr="00AA1421" w:rsidRDefault="004357B9" w:rsidP="004357B9">
            <w:pPr>
              <w:ind w:left="72"/>
              <w:rPr>
                <w:rFonts w:ascii="Times New Roman" w:hAnsi="Times New Roman"/>
                <w:sz w:val="24"/>
              </w:rPr>
            </w:pPr>
          </w:p>
        </w:tc>
      </w:tr>
      <w:tr w:rsidR="004357B9" w:rsidRPr="00AA1421" w:rsidTr="00672D2A">
        <w:tc>
          <w:tcPr>
            <w:tcW w:w="1188" w:type="dxa"/>
          </w:tcPr>
          <w:p w:rsidR="004357B9" w:rsidRPr="00AA1421" w:rsidRDefault="004357B9" w:rsidP="004357B9">
            <w:pPr>
              <w:rPr>
                <w:rStyle w:val="InstructionsTabelleText"/>
                <w:rFonts w:ascii="Times New Roman" w:hAnsi="Times New Roman"/>
                <w:sz w:val="24"/>
              </w:rPr>
            </w:pPr>
            <w:r w:rsidRPr="00AA1421">
              <w:rPr>
                <w:rStyle w:val="InstructionsTabelleText"/>
                <w:rFonts w:ascii="Times New Roman" w:hAnsi="Times New Roman"/>
                <w:sz w:val="24"/>
              </w:rPr>
              <w:t>0010</w:t>
            </w:r>
          </w:p>
        </w:tc>
        <w:tc>
          <w:tcPr>
            <w:tcW w:w="8640" w:type="dxa"/>
          </w:tcPr>
          <w:p w:rsidR="004357B9" w:rsidRPr="00AA1421" w:rsidRDefault="004357B9" w:rsidP="004357B9">
            <w:pPr>
              <w:rPr>
                <w:rStyle w:val="InstructionsTabelleberschrift"/>
                <w:rFonts w:ascii="Times New Roman" w:hAnsi="Times New Roman"/>
                <w:sz w:val="24"/>
              </w:rPr>
            </w:pPr>
            <w:r w:rsidRPr="00AA1421">
              <w:rPr>
                <w:rStyle w:val="InstructionsTabelleberschrift"/>
                <w:rFonts w:ascii="Times New Roman" w:hAnsi="Times New Roman"/>
                <w:sz w:val="24"/>
              </w:rPr>
              <w:t>PIERWOTNA EKSPOZYCJA PRZED UWZGLĘDNIENIEM WSPÓŁCZYNNIKÓW KONWERSJI</w:t>
            </w:r>
          </w:p>
          <w:p w:rsidR="004357B9" w:rsidRPr="00AA1421" w:rsidRDefault="004357B9" w:rsidP="004357B9">
            <w:pPr>
              <w:autoSpaceDE w:val="0"/>
              <w:autoSpaceDN w:val="0"/>
              <w:adjustRightInd w:val="0"/>
              <w:spacing w:before="0" w:after="0"/>
              <w:jc w:val="left"/>
              <w:rPr>
                <w:rStyle w:val="InstructionsTabelleText"/>
                <w:rFonts w:ascii="Times New Roman" w:hAnsi="Times New Roman"/>
                <w:sz w:val="24"/>
              </w:rPr>
            </w:pPr>
            <w:r w:rsidRPr="00AA1421">
              <w:rPr>
                <w:rFonts w:ascii="Times New Roman" w:hAnsi="Times New Roman"/>
                <w:sz w:val="24"/>
              </w:rPr>
              <w:t>Definicja taka sama jak dla kolumny 0020 wzoru CR IRB</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0030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 tym: cechujące się niewykonaniem zobowiązania</w:t>
            </w:r>
          </w:p>
          <w:p w:rsidR="004357B9" w:rsidRPr="00AA1421" w:rsidRDefault="004357B9" w:rsidP="00F855D5">
            <w:pPr>
              <w:rPr>
                <w:rStyle w:val="InstructionsTabelleText"/>
                <w:rFonts w:ascii="Times New Roman" w:hAnsi="Times New Roman"/>
                <w:sz w:val="24"/>
              </w:rPr>
            </w:pPr>
            <w:r w:rsidRPr="00AA1421">
              <w:rPr>
                <w:rStyle w:val="InstructionsTabelleText"/>
                <w:rFonts w:ascii="Times New Roman" w:hAnsi="Times New Roman"/>
                <w:sz w:val="24"/>
              </w:rPr>
              <w:t xml:space="preserve">Wartość pierwotnej ekspozycji dla tych ekspozycji, które zostały sklasyfikowane jako ekspozycje, których dotyczy niewykonanie zobowiązania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78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0040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Zaobserwowane w danym okresie nowe przypadki niewykonania zobowiązania</w:t>
            </w:r>
          </w:p>
          <w:p w:rsidR="004357B9" w:rsidRPr="00AA1421" w:rsidRDefault="003D14AE" w:rsidP="003D14AE">
            <w:pPr>
              <w:rPr>
                <w:rFonts w:ascii="Times New Roman" w:hAnsi="Times New Roman"/>
                <w:b/>
                <w:sz w:val="24"/>
                <w:u w:val="single"/>
              </w:rPr>
            </w:pPr>
            <w:r w:rsidRPr="00AA1421">
              <w:rPr>
                <w:rStyle w:val="InstructionsTabelleText"/>
                <w:rFonts w:ascii="Times New Roman" w:hAnsi="Times New Roman"/>
                <w:sz w:val="24"/>
              </w:rPr>
              <w:t xml:space="preserve">Wartość pierwotnych ekspozycji w przypadku tych ekspozycji, które sklasyfikowano jako ekspozycje, których dotyczy niewykonanie zobowiązania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78 CRR w okresie trzech miesięcy od ostatniego sprawozdawczego dnia odniesienia, zgłasza się w odniesieniu do kategorii ekspozycji, do której należy dłużnik.</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0050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Korekty z tytułu ogólnego ryzyka kredytowego</w:t>
            </w:r>
          </w:p>
          <w:p w:rsidR="004357B9" w:rsidRPr="00AA1421" w:rsidRDefault="004357B9" w:rsidP="00D82B60">
            <w:pPr>
              <w:rPr>
                <w:rFonts w:ascii="Times New Roman" w:hAnsi="Times New Roman"/>
                <w:b/>
                <w:sz w:val="24"/>
                <w:u w:val="single"/>
              </w:rPr>
            </w:pPr>
            <w:r w:rsidRPr="00AA1421">
              <w:rPr>
                <w:rFonts w:ascii="Times New Roman" w:hAnsi="Times New Roman"/>
                <w:sz w:val="24"/>
              </w:rPr>
              <w:t xml:space="preserve">Korekty z tytułu ryzyka kredytowego,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10 CRR oraz w rozporządzeniu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83/2014.</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0055</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Korekty z tytułu szczególnego ryzyka kredytowego</w:t>
            </w:r>
          </w:p>
          <w:p w:rsidR="004357B9" w:rsidRPr="00AA1421" w:rsidRDefault="004357B9" w:rsidP="003B2712">
            <w:pPr>
              <w:rPr>
                <w:rFonts w:ascii="Times New Roman" w:hAnsi="Times New Roman"/>
                <w:b/>
                <w:sz w:val="24"/>
                <w:u w:val="single"/>
              </w:rPr>
            </w:pPr>
            <w:r w:rsidRPr="00AA1421">
              <w:rPr>
                <w:rFonts w:ascii="Times New Roman" w:hAnsi="Times New Roman"/>
                <w:sz w:val="24"/>
              </w:rPr>
              <w:t xml:space="preserve">Korekty z tytułu ryzyka kredytowego,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10 CRR oraz w rozporządzeniu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83/2014.</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0060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Spisania</w:t>
            </w:r>
          </w:p>
          <w:p w:rsidR="004357B9" w:rsidRPr="00AA1421" w:rsidRDefault="004357B9" w:rsidP="00EA4F4F">
            <w:pPr>
              <w:rPr>
                <w:rFonts w:ascii="Times New Roman" w:hAnsi="Times New Roman"/>
                <w:b/>
                <w:sz w:val="24"/>
                <w:u w:val="single"/>
              </w:rPr>
            </w:pPr>
            <w:r w:rsidRPr="00AA1421">
              <w:rPr>
                <w:rStyle w:val="InstructionsTabelleText"/>
                <w:rFonts w:ascii="Times New Roman" w:hAnsi="Times New Roman"/>
                <w:sz w:val="24"/>
              </w:rPr>
              <w:t xml:space="preserve">Odpisy, o których mowa w MSSF 9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.4.4 i B5.4.9</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0070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Korekty z tytułu ryzyka kredytowego/spisania w zakresie zaobserwowanych nowych przypadków niewykonania zobowiązania</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 xml:space="preserve">Suma korekt z tytułu ryzyka kredytowego i </w:t>
            </w:r>
            <w:proofErr w:type="spellStart"/>
            <w:r w:rsidRPr="00AA1421">
              <w:rPr>
                <w:rStyle w:val="InstructionsTabelleText"/>
                <w:rFonts w:ascii="Times New Roman" w:hAnsi="Times New Roman"/>
                <w:sz w:val="24"/>
              </w:rPr>
              <w:t>spisań</w:t>
            </w:r>
            <w:proofErr w:type="spellEnd"/>
            <w:r w:rsidRPr="00AA1421">
              <w:rPr>
                <w:rStyle w:val="InstructionsTabelleText"/>
                <w:rFonts w:ascii="Times New Roman" w:hAnsi="Times New Roman"/>
                <w:sz w:val="24"/>
              </w:rPr>
              <w:t xml:space="preserve"> dla tych ekspozycji, które sklasyfikowano jako „ekspozycje, których dotyczy niewykonanie zobowiązania” w okresie trzech miesięcy od ostatniego terminu przekazywania sprawozdania.</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0080</w:t>
            </w:r>
          </w:p>
        </w:tc>
        <w:tc>
          <w:tcPr>
            <w:tcW w:w="8640" w:type="dxa"/>
          </w:tcPr>
          <w:p w:rsidR="004357B9" w:rsidRPr="00AA1421" w:rsidRDefault="004357B9" w:rsidP="004357B9">
            <w:pPr>
              <w:rPr>
                <w:rStyle w:val="InstructionsTabelleberschrift"/>
                <w:rFonts w:ascii="Times New Roman" w:hAnsi="Times New Roman"/>
                <w:bCs w:val="0"/>
                <w:sz w:val="24"/>
              </w:rPr>
            </w:pPr>
            <w:r w:rsidRPr="00AA1421">
              <w:rPr>
                <w:rStyle w:val="InstructionsTabelleberschrift"/>
                <w:rFonts w:ascii="Times New Roman" w:hAnsi="Times New Roman"/>
                <w:bCs w:val="0"/>
                <w:sz w:val="24"/>
              </w:rPr>
              <w:t>SKALA RATINGU WEWNĘTRZNEGO/PD PRZYPISANE KLASIE JAKOŚCI LUB PULI DŁUŻNIKA (%)</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Definicja taka sama jak dla kolumny 0010 wzoru CR IRB</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0090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ŚREDNIA WARTOŚĆ LGD WAŻONA EKSPOZYCJĄ (%)</w:t>
            </w:r>
          </w:p>
          <w:p w:rsidR="004357B9" w:rsidRPr="00AA1421" w:rsidRDefault="004357B9" w:rsidP="004357B9">
            <w:pPr>
              <w:rPr>
                <w:rStyle w:val="InstructionsTabelleText"/>
                <w:rFonts w:ascii="Times New Roman" w:hAnsi="Times New Roman"/>
                <w:sz w:val="24"/>
              </w:rPr>
            </w:pPr>
            <w:r w:rsidRPr="00AA1421">
              <w:rPr>
                <w:rStyle w:val="InstructionsTabelleText"/>
                <w:rFonts w:ascii="Times New Roman" w:hAnsi="Times New Roman"/>
                <w:sz w:val="24"/>
              </w:rPr>
              <w:lastRenderedPageBreak/>
              <w:t xml:space="preserve">Definicja taka sama jak dla kolumn 0230 i 0240 wzoru CR IRB: średnia wartość LGD ważona ekspozycją (%) dotyczy wszystkich ekspozycji, w tym ekspozycji wobec dużych podmiotów sektora finansowego i nieregulowanych podmiotów finansowych. Art. 181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h)</w:t>
            </w:r>
            <w:r w:rsidRPr="00AA1421">
              <w:rPr>
                <w:rStyle w:val="InstructionsTabelleText"/>
                <w:rFonts w:ascii="Times New Roman" w:hAnsi="Times New Roman"/>
                <w:sz w:val="24"/>
              </w:rPr>
              <w:t xml:space="preserve"> CRR</w:t>
            </w:r>
          </w:p>
          <w:p w:rsidR="0042766A" w:rsidRPr="00AA1421" w:rsidRDefault="0027034D" w:rsidP="009A4399">
            <w:pPr>
              <w:rPr>
                <w:rFonts w:ascii="Times New Roman" w:hAnsi="Times New Roman"/>
                <w:b/>
                <w:sz w:val="24"/>
                <w:u w:val="single"/>
              </w:rPr>
            </w:pPr>
            <w:r w:rsidRPr="00AA1421">
              <w:rPr>
                <w:rFonts w:ascii="Times New Roman" w:hAnsi="Times New Roman"/>
                <w:sz w:val="24"/>
              </w:rPr>
              <w:t xml:space="preserve">W przypadku ekspozycji związanych z kredytowaniem specjalistycznym, w przypadku których wartość PD jest szacunkowa, zgłaszana wartość powinna być szacunkową albo regulacyjną wartością LGD. W odniesieniu do ekspozycji związanych z kredytowaniem specjalistycznym,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nie zgłasza się danych, ponieważ nie są dostępne.</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lastRenderedPageBreak/>
              <w:t>0100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 tym: cechujące się niewykonaniem zobowiązania</w:t>
            </w:r>
          </w:p>
          <w:p w:rsidR="004357B9" w:rsidRPr="00AA1421" w:rsidRDefault="004357B9" w:rsidP="003B2712">
            <w:pPr>
              <w:rPr>
                <w:rFonts w:ascii="Times New Roman" w:hAnsi="Times New Roman"/>
                <w:b/>
                <w:sz w:val="24"/>
                <w:u w:val="single"/>
              </w:rPr>
            </w:pPr>
            <w:r w:rsidRPr="00AA1421">
              <w:rPr>
                <w:rStyle w:val="InstructionsTabelleText"/>
                <w:rFonts w:ascii="Times New Roman" w:hAnsi="Times New Roman"/>
                <w:sz w:val="24"/>
              </w:rPr>
              <w:t xml:space="preserve">Wartość LGD ważona ekspozycją dla tych ekspozycji, które zostały sklasyfikowane jako ekspozycje, których dotyczy niewykonanie zobowiązania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78 CRR.</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0105</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Wartość ekspozycji</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Definicja taka sama jak dla kolumny 0110 wzoru CR IRB</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0110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KWOTA EKSPOZYCJI WAŻONEJ RYZYKIEM PRZED UWZGLĘDNIENIEM WSPÓŁCZYNNIKÓW WSPARCIA</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Definicja taka sama jak dla kolumny 0255 wzoru CR IRB</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0120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 tym: cechujące się niewykonaniem zobowiązania</w:t>
            </w:r>
          </w:p>
          <w:p w:rsidR="004357B9" w:rsidRPr="00AA1421" w:rsidRDefault="004357B9" w:rsidP="00BB22D4">
            <w:pPr>
              <w:rPr>
                <w:rFonts w:ascii="Times New Roman" w:hAnsi="Times New Roman"/>
                <w:b/>
                <w:sz w:val="24"/>
                <w:u w:val="single"/>
              </w:rPr>
            </w:pPr>
            <w:r w:rsidRPr="00AA1421">
              <w:rPr>
                <w:rStyle w:val="InstructionsTabelleText"/>
                <w:rFonts w:ascii="Times New Roman" w:hAnsi="Times New Roman"/>
                <w:sz w:val="24"/>
              </w:rPr>
              <w:t xml:space="preserve">Kwota ekspozycji ważonej ryzykiem dla tych ekspozycji, które zostały sklasyfikowane jako ekspozycje, których dotyczy niewykonanie zobowiązania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78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w:t>
            </w:r>
          </w:p>
        </w:tc>
      </w:tr>
      <w:tr w:rsidR="0027034D" w:rsidRPr="00AA1421" w:rsidTr="00672D2A">
        <w:tc>
          <w:tcPr>
            <w:tcW w:w="1188" w:type="dxa"/>
          </w:tcPr>
          <w:p w:rsidR="0027034D" w:rsidRPr="00AA1421" w:rsidRDefault="001452FC" w:rsidP="0027034D">
            <w:pPr>
              <w:rPr>
                <w:rFonts w:ascii="Times New Roman" w:hAnsi="Times New Roman"/>
                <w:sz w:val="24"/>
              </w:rPr>
            </w:pPr>
            <w:r w:rsidRPr="00AA1421">
              <w:rPr>
                <w:rFonts w:ascii="Times New Roman" w:hAnsi="Times New Roman"/>
                <w:sz w:val="24"/>
              </w:rPr>
              <w:t>0121</w:t>
            </w:r>
          </w:p>
        </w:tc>
        <w:tc>
          <w:tcPr>
            <w:tcW w:w="8640" w:type="dxa"/>
          </w:tcPr>
          <w:p w:rsidR="0027034D" w:rsidRPr="00AA1421" w:rsidRDefault="0027034D" w:rsidP="0027034D">
            <w:pPr>
              <w:rPr>
                <w:rFonts w:ascii="Times New Roman" w:hAnsi="Times New Roman"/>
                <w:b/>
                <w:sz w:val="24"/>
                <w:u w:val="single"/>
              </w:rPr>
            </w:pPr>
            <w:r w:rsidRPr="00AA1421">
              <w:rPr>
                <w:rFonts w:ascii="Times New Roman" w:hAnsi="Times New Roman"/>
                <w:b/>
                <w:sz w:val="24"/>
                <w:u w:val="single"/>
              </w:rPr>
              <w:t>(-) KOREKTA KWOTY EKSPOZYCJI WAŻONEJ RYZYKIEM WYNIKAJĄCA ZE WSPÓŁCZYNNIKA WSPARCIA MŚP</w:t>
            </w:r>
          </w:p>
          <w:p w:rsidR="0027034D" w:rsidRPr="00AA1421" w:rsidRDefault="0027034D" w:rsidP="0027034D">
            <w:pPr>
              <w:rPr>
                <w:rFonts w:ascii="Times New Roman" w:hAnsi="Times New Roman"/>
                <w:b/>
                <w:sz w:val="24"/>
                <w:u w:val="single"/>
              </w:rPr>
            </w:pPr>
            <w:r w:rsidRPr="00AA1421">
              <w:rPr>
                <w:rStyle w:val="InstructionsTabelleText"/>
                <w:rFonts w:ascii="Times New Roman" w:hAnsi="Times New Roman"/>
                <w:sz w:val="24"/>
              </w:rPr>
              <w:t>Definicja taka sama jak dla kolumny 0256 wzoru CR IRB</w:t>
            </w:r>
          </w:p>
        </w:tc>
      </w:tr>
      <w:tr w:rsidR="0027034D" w:rsidRPr="00AA1421" w:rsidTr="00672D2A">
        <w:tc>
          <w:tcPr>
            <w:tcW w:w="1188" w:type="dxa"/>
          </w:tcPr>
          <w:p w:rsidR="0027034D" w:rsidRPr="00AA1421" w:rsidRDefault="001452FC" w:rsidP="0027034D">
            <w:pPr>
              <w:rPr>
                <w:rFonts w:ascii="Times New Roman" w:hAnsi="Times New Roman"/>
                <w:sz w:val="24"/>
              </w:rPr>
            </w:pPr>
            <w:r w:rsidRPr="00AA1421">
              <w:rPr>
                <w:rFonts w:ascii="Times New Roman" w:hAnsi="Times New Roman"/>
                <w:sz w:val="24"/>
              </w:rPr>
              <w:t>0122</w:t>
            </w:r>
          </w:p>
        </w:tc>
        <w:tc>
          <w:tcPr>
            <w:tcW w:w="8640" w:type="dxa"/>
          </w:tcPr>
          <w:p w:rsidR="0027034D" w:rsidRPr="00AA1421" w:rsidRDefault="0027034D" w:rsidP="0027034D">
            <w:pPr>
              <w:rPr>
                <w:rFonts w:ascii="Times New Roman" w:hAnsi="Times New Roman"/>
                <w:b/>
                <w:sz w:val="24"/>
                <w:u w:val="single"/>
              </w:rPr>
            </w:pPr>
            <w:r w:rsidRPr="00AA1421">
              <w:rPr>
                <w:rFonts w:ascii="Times New Roman" w:hAnsi="Times New Roman"/>
                <w:b/>
                <w:sz w:val="24"/>
                <w:u w:val="single"/>
              </w:rPr>
              <w:t>(-) KOREKTA KWOTY EKSPOZYCJI WAŻONEJ RYZYKIEM WYNIKAJĄCA ZE WSPÓŁCZYNNIKA WSPARCIA INFRASTRUKTURY</w:t>
            </w:r>
          </w:p>
          <w:p w:rsidR="0027034D" w:rsidRPr="00AA1421" w:rsidRDefault="0027034D" w:rsidP="0027034D">
            <w:pPr>
              <w:rPr>
                <w:rFonts w:ascii="Times New Roman" w:hAnsi="Times New Roman"/>
                <w:b/>
                <w:sz w:val="24"/>
                <w:u w:val="single"/>
              </w:rPr>
            </w:pPr>
            <w:r w:rsidRPr="00AA1421">
              <w:rPr>
                <w:rStyle w:val="InstructionsTabelleText"/>
                <w:rFonts w:ascii="Times New Roman" w:hAnsi="Times New Roman"/>
                <w:sz w:val="24"/>
              </w:rPr>
              <w:t>Definicja taka sama jak dla kolumny 0257 wzoru CR IRB</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0125</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KWOTA EKSPOZYCJI WAŻONEJ RYZYKIEM PO UWZGLĘDNIENIU WSPÓŁCZYNNIKÓW WSPARCIA</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Definicja taka sama jak dla kolumny 0260 wzoru CR IRB</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0130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KWOTA OCZEKIWANEJ STRATY</w:t>
            </w:r>
          </w:p>
          <w:p w:rsidR="004357B9" w:rsidRPr="00AA1421" w:rsidRDefault="004357B9" w:rsidP="004357B9">
            <w:pPr>
              <w:rPr>
                <w:rFonts w:ascii="Times New Roman" w:hAnsi="Times New Roman"/>
                <w:b/>
                <w:sz w:val="24"/>
                <w:u w:val="single"/>
              </w:rPr>
            </w:pPr>
            <w:r w:rsidRPr="00AA1421">
              <w:rPr>
                <w:rStyle w:val="InstructionsTabelleText"/>
                <w:rFonts w:ascii="Times New Roman" w:hAnsi="Times New Roman"/>
                <w:sz w:val="24"/>
              </w:rPr>
              <w:t>Definicja taka sama jak dla kolumny 0280 wzoru CR IRB</w:t>
            </w:r>
          </w:p>
        </w:tc>
      </w:tr>
    </w:tbl>
    <w:p w:rsidR="004357B9" w:rsidRPr="00AA1421"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A1421" w:rsidTr="00672D2A">
        <w:tc>
          <w:tcPr>
            <w:tcW w:w="1188" w:type="dxa"/>
            <w:shd w:val="clear" w:color="auto" w:fill="CCCCCC"/>
          </w:tcPr>
          <w:p w:rsidR="004357B9" w:rsidRPr="00AA1421" w:rsidRDefault="004357B9" w:rsidP="004357B9">
            <w:pPr>
              <w:rPr>
                <w:rFonts w:ascii="Times New Roman" w:hAnsi="Times New Roman"/>
                <w:b/>
                <w:sz w:val="24"/>
              </w:rPr>
            </w:pPr>
            <w:r w:rsidRPr="00AA1421">
              <w:rPr>
                <w:rFonts w:ascii="Times New Roman" w:hAnsi="Times New Roman"/>
                <w:b/>
                <w:sz w:val="24"/>
              </w:rPr>
              <w:t>Wiersze</w:t>
            </w:r>
          </w:p>
        </w:tc>
        <w:tc>
          <w:tcPr>
            <w:tcW w:w="8640" w:type="dxa"/>
            <w:shd w:val="clear" w:color="auto" w:fill="CCCCCC"/>
          </w:tcPr>
          <w:p w:rsidR="004357B9" w:rsidRPr="00AA1421" w:rsidRDefault="004357B9" w:rsidP="004357B9">
            <w:pPr>
              <w:ind w:left="72"/>
              <w:rPr>
                <w:rFonts w:ascii="Times New Roman" w:hAnsi="Times New Roman"/>
                <w:sz w:val="24"/>
              </w:rPr>
            </w:pP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0010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 xml:space="preserve">Ekspozycje wobec rządów centralnych i banków centralnych </w:t>
            </w:r>
          </w:p>
          <w:p w:rsidR="004357B9" w:rsidRPr="00AA1421" w:rsidRDefault="00D21B29" w:rsidP="001E0C80">
            <w:pPr>
              <w:rPr>
                <w:rFonts w:ascii="Times New Roman" w:hAnsi="Times New Roman"/>
                <w:sz w:val="24"/>
              </w:rPr>
            </w:pPr>
            <w:r w:rsidRPr="00AA1421">
              <w:rPr>
                <w:rFonts w:ascii="Times New Roman" w:hAnsi="Times New Roman"/>
                <w:sz w:val="24"/>
              </w:rPr>
              <w:lastRenderedPageBreak/>
              <w:t>A</w:t>
            </w:r>
            <w:r w:rsidRPr="00AA1421">
              <w:rPr>
                <w:rFonts w:ascii="Times New Roman" w:hAnsi="Times New Roman"/>
                <w:bCs/>
                <w:sz w:val="24"/>
              </w:rPr>
              <w:t xml:space="preserve">rt. 147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lastRenderedPageBreak/>
              <w:t>0020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wobec instytucji</w:t>
            </w:r>
          </w:p>
          <w:p w:rsidR="004357B9" w:rsidRPr="00AA1421" w:rsidRDefault="00D21B29" w:rsidP="00D21B29">
            <w:pPr>
              <w:rPr>
                <w:rFonts w:ascii="Times New Roman" w:hAnsi="Times New Roman"/>
                <w:sz w:val="24"/>
              </w:rPr>
            </w:pPr>
            <w:r w:rsidRPr="00AA1421">
              <w:rPr>
                <w:rFonts w:ascii="Times New Roman" w:hAnsi="Times New Roman"/>
                <w:sz w:val="24"/>
              </w:rPr>
              <w:t xml:space="preserve">Art. 147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0030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 xml:space="preserve">Ekspozycje wobec przedsiębiorstw </w:t>
            </w:r>
          </w:p>
          <w:p w:rsidR="004357B9" w:rsidRPr="00AA1421" w:rsidRDefault="004357B9" w:rsidP="003B2712">
            <w:pPr>
              <w:pStyle w:val="ListParagraph"/>
              <w:ind w:left="0"/>
              <w:rPr>
                <w:rFonts w:ascii="Times New Roman" w:hAnsi="Times New Roman"/>
                <w:sz w:val="24"/>
              </w:rPr>
            </w:pPr>
            <w:r w:rsidRPr="00AA1421">
              <w:rPr>
                <w:rFonts w:ascii="Times New Roman" w:hAnsi="Times New Roman"/>
                <w:sz w:val="24"/>
              </w:rPr>
              <w:t xml:space="preserve">Wszystkie ekspozycje wobec przedsiębiorstw,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c)</w:t>
            </w:r>
            <w:r w:rsidRPr="00AA1421">
              <w:rPr>
                <w:rFonts w:ascii="Times New Roman" w:hAnsi="Times New Roman"/>
                <w:bCs/>
                <w:sz w:val="24"/>
              </w:rPr>
              <w:t xml:space="preserve"> </w:t>
            </w:r>
            <w:r w:rsidRPr="00AA1421">
              <w:rPr>
                <w:rFonts w:ascii="Times New Roman" w:hAnsi="Times New Roman"/>
                <w:sz w:val="24"/>
              </w:rPr>
              <w:t>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0042</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 tym: związane z kredytowaniem specjalistycznym (z wyłączeniem kredytowania specjalistycznego objętego metodą klasyfikacji)</w:t>
            </w:r>
          </w:p>
          <w:p w:rsidR="004357B9" w:rsidRPr="00AA1421" w:rsidRDefault="00D21B29" w:rsidP="004357B9">
            <w:pPr>
              <w:pStyle w:val="ListParagraph"/>
              <w:ind w:left="0"/>
              <w:rPr>
                <w:rFonts w:ascii="Times New Roman" w:hAnsi="Times New Roman"/>
                <w:sz w:val="24"/>
              </w:rPr>
            </w:pPr>
            <w:r w:rsidRPr="00AA1421">
              <w:rPr>
                <w:rFonts w:ascii="Times New Roman" w:hAnsi="Times New Roman"/>
                <w:bCs/>
                <w:sz w:val="24"/>
              </w:rPr>
              <w:t xml:space="preserve">Art. 147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42766A" w:rsidRPr="00AA1421" w:rsidRDefault="0042766A" w:rsidP="009A4399">
            <w:pPr>
              <w:pStyle w:val="ListParagraph"/>
              <w:ind w:left="0"/>
              <w:rPr>
                <w:rFonts w:ascii="Times New Roman" w:hAnsi="Times New Roman"/>
                <w:sz w:val="24"/>
              </w:rPr>
            </w:pPr>
            <w:r w:rsidRPr="00AA1421">
              <w:rPr>
                <w:rFonts w:ascii="Times New Roman" w:hAnsi="Times New Roman"/>
                <w:sz w:val="24"/>
              </w:rPr>
              <w:t xml:space="preserve">Nie zgłasza się danych dotyczących ekspozycji związanych z kredytowaniem specjalistycznym,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w:t>
            </w:r>
          </w:p>
        </w:tc>
      </w:tr>
      <w:tr w:rsidR="000E093A" w:rsidRPr="00AA1421" w:rsidTr="00672D2A">
        <w:tc>
          <w:tcPr>
            <w:tcW w:w="1188" w:type="dxa"/>
          </w:tcPr>
          <w:p w:rsidR="000E093A" w:rsidRPr="00AA1421" w:rsidRDefault="000E093A" w:rsidP="004357B9">
            <w:pPr>
              <w:rPr>
                <w:rFonts w:ascii="Times New Roman" w:hAnsi="Times New Roman"/>
                <w:sz w:val="24"/>
              </w:rPr>
            </w:pPr>
            <w:r w:rsidRPr="00AA1421">
              <w:rPr>
                <w:rFonts w:ascii="Times New Roman" w:hAnsi="Times New Roman"/>
                <w:sz w:val="24"/>
              </w:rPr>
              <w:t>0045</w:t>
            </w:r>
          </w:p>
        </w:tc>
        <w:tc>
          <w:tcPr>
            <w:tcW w:w="8640" w:type="dxa"/>
          </w:tcPr>
          <w:p w:rsidR="000E093A" w:rsidRPr="00AA1421" w:rsidRDefault="000E093A" w:rsidP="004357B9">
            <w:pPr>
              <w:rPr>
                <w:rFonts w:ascii="Times New Roman" w:hAnsi="Times New Roman"/>
                <w:b/>
                <w:sz w:val="24"/>
                <w:u w:val="single"/>
              </w:rPr>
            </w:pPr>
            <w:r w:rsidRPr="00AA1421">
              <w:rPr>
                <w:rFonts w:ascii="Times New Roman" w:hAnsi="Times New Roman"/>
                <w:b/>
                <w:sz w:val="24"/>
                <w:u w:val="single"/>
              </w:rPr>
              <w:t>W tym: związane z kredytowaniem specjalistycznym objętym metodą klasyfikacji</w:t>
            </w:r>
          </w:p>
          <w:p w:rsidR="000E093A" w:rsidRPr="00AA1421" w:rsidRDefault="00D21B29" w:rsidP="00D21B29">
            <w:pPr>
              <w:rPr>
                <w:rFonts w:ascii="Times New Roman" w:hAnsi="Times New Roman"/>
                <w:b/>
                <w:sz w:val="24"/>
                <w:u w:val="single"/>
              </w:rPr>
            </w:pPr>
            <w:r w:rsidRPr="00AA1421">
              <w:rPr>
                <w:rFonts w:ascii="Times New Roman" w:hAnsi="Times New Roman"/>
                <w:sz w:val="24"/>
              </w:rPr>
              <w:t xml:space="preserve">Art. 147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0050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W tym: ekspozycje wobec MŚP</w:t>
            </w:r>
          </w:p>
          <w:p w:rsidR="004357B9" w:rsidRPr="00AA1421" w:rsidRDefault="00D21B29" w:rsidP="00D21B29">
            <w:pPr>
              <w:pStyle w:val="ListParagraph"/>
              <w:ind w:left="0"/>
              <w:rPr>
                <w:rFonts w:ascii="Times New Roman" w:hAnsi="Times New Roman"/>
                <w:sz w:val="24"/>
              </w:rPr>
            </w:pPr>
            <w:r w:rsidRPr="00AA1421">
              <w:rPr>
                <w:rFonts w:ascii="Times New Roman" w:hAnsi="Times New Roman"/>
                <w:bCs/>
                <w:sz w:val="24"/>
              </w:rPr>
              <w:t xml:space="preserve">Art. 147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w:t>
            </w:r>
          </w:p>
          <w:p w:rsidR="0027034D" w:rsidRPr="00AA1421" w:rsidRDefault="0027034D" w:rsidP="009A4399">
            <w:pPr>
              <w:pStyle w:val="ListParagraph"/>
              <w:ind w:left="0"/>
              <w:rPr>
                <w:rFonts w:ascii="Times New Roman" w:hAnsi="Times New Roman"/>
                <w:sz w:val="24"/>
              </w:rPr>
            </w:pPr>
            <w:r w:rsidRPr="00AA1421">
              <w:rPr>
                <w:rFonts w:ascii="Times New Roman" w:hAnsi="Times New Roman"/>
                <w:sz w:val="24"/>
              </w:rPr>
              <w:t>W ramach metody IRB jednostki sprawozdawcze stosują swoją wewnętrzną definicję MŚP wykorzystywaną w wewnętrznych procesach zarządzania ryzykiem.</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0060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detaliczne</w:t>
            </w:r>
          </w:p>
          <w:p w:rsidR="004357B9" w:rsidRPr="00AA1421" w:rsidRDefault="004357B9" w:rsidP="003B2712">
            <w:pPr>
              <w:rPr>
                <w:rFonts w:ascii="Times New Roman" w:hAnsi="Times New Roman"/>
                <w:sz w:val="24"/>
              </w:rPr>
            </w:pPr>
            <w:r w:rsidRPr="00AA1421">
              <w:rPr>
                <w:rFonts w:ascii="Times New Roman" w:hAnsi="Times New Roman"/>
                <w:sz w:val="24"/>
              </w:rPr>
              <w:t xml:space="preserve">Wszystkie 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0070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detaliczne – zabezpieczone nieruchomością</w:t>
            </w:r>
          </w:p>
          <w:p w:rsidR="004357B9" w:rsidRPr="00AA1421" w:rsidRDefault="003B2712" w:rsidP="00D21B29">
            <w:pPr>
              <w:pStyle w:val="ListParagraph"/>
              <w:ind w:left="0"/>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które są zabezpieczone nieruchomością</w:t>
            </w:r>
          </w:p>
          <w:p w:rsidR="0027034D" w:rsidRPr="00AA1421" w:rsidRDefault="0027034D" w:rsidP="00D21B29">
            <w:pPr>
              <w:pStyle w:val="ListParagraph"/>
              <w:ind w:left="0"/>
              <w:rPr>
                <w:rFonts w:ascii="Times New Roman" w:hAnsi="Times New Roman"/>
                <w:sz w:val="24"/>
              </w:rPr>
            </w:pPr>
            <w:r w:rsidRPr="00AA1421">
              <w:rPr>
                <w:rFonts w:ascii="Times New Roman" w:hAnsi="Times New Roman"/>
                <w:sz w:val="24"/>
              </w:rPr>
              <w:t>Za ekspozycje detaliczne zabezpieczone nieruchomością uznaje się wszelkie ekspozycje detaliczne zabezpieczone nieruchomościami uznanymi za zabezpieczenie, niezależnie od stosunku wartości zabezpieczenia do wartości ekspozycji lub od celu pożyczki.</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0080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wobec MŚP</w:t>
            </w:r>
          </w:p>
          <w:p w:rsidR="004357B9" w:rsidRPr="00AA1421" w:rsidRDefault="004357B9" w:rsidP="00BD4E13">
            <w:pPr>
              <w:pStyle w:val="ListParagraph"/>
              <w:ind w:left="0"/>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które są zabezpieczone nieruchomością</w:t>
            </w:r>
          </w:p>
        </w:tc>
      </w:tr>
      <w:tr w:rsidR="004357B9" w:rsidRPr="00AA1421" w:rsidTr="00672D2A">
        <w:tc>
          <w:tcPr>
            <w:tcW w:w="1188" w:type="dxa"/>
          </w:tcPr>
          <w:p w:rsidR="004357B9" w:rsidRPr="00AA1421" w:rsidRDefault="004357B9" w:rsidP="004357B9">
            <w:pPr>
              <w:rPr>
                <w:rFonts w:ascii="Times New Roman" w:hAnsi="Times New Roman"/>
                <w:sz w:val="24"/>
              </w:rPr>
            </w:pPr>
            <w:r w:rsidRPr="00AA1421">
              <w:rPr>
                <w:rFonts w:ascii="Times New Roman" w:hAnsi="Times New Roman"/>
                <w:sz w:val="24"/>
              </w:rPr>
              <w:t>0090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wobec podmiotów niebędących MŚP</w:t>
            </w:r>
          </w:p>
          <w:p w:rsidR="004357B9" w:rsidRPr="00AA1421" w:rsidRDefault="004357B9" w:rsidP="003B2712">
            <w:pPr>
              <w:pStyle w:val="ListParagraph"/>
              <w:ind w:left="0"/>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które są zabezpieczone nieruchomością</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0100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Kwalifikowane odnawialne ekspozycje detaliczne</w:t>
            </w:r>
          </w:p>
          <w:p w:rsidR="004357B9" w:rsidRPr="00AA1421" w:rsidRDefault="003B2712" w:rsidP="00F811C6">
            <w:pPr>
              <w:pStyle w:val="ListParagraph"/>
              <w:ind w:left="0"/>
              <w:rPr>
                <w:rFonts w:ascii="Times New Roman" w:hAnsi="Times New Roman"/>
                <w:sz w:val="24"/>
              </w:rPr>
            </w:pPr>
            <w:r w:rsidRPr="00AA1421">
              <w:rPr>
                <w:rFonts w:ascii="Times New Roman" w:hAnsi="Times New Roman"/>
                <w:sz w:val="24"/>
              </w:rPr>
              <w:t xml:space="preserve">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d)</w:t>
            </w:r>
            <w:r w:rsidRPr="00AA1421">
              <w:rPr>
                <w:rFonts w:ascii="Times New Roman" w:hAnsi="Times New Roman"/>
                <w:sz w:val="24"/>
              </w:rPr>
              <w:t xml:space="preserve">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lastRenderedPageBreak/>
              <w:t>0110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Inne ekspozycje detaliczne</w:t>
            </w:r>
          </w:p>
          <w:p w:rsidR="004357B9" w:rsidRPr="00AA1421" w:rsidRDefault="004357B9" w:rsidP="003B2712">
            <w:pPr>
              <w:pStyle w:val="ListParagraph"/>
              <w:ind w:left="0"/>
              <w:rPr>
                <w:rFonts w:ascii="Times New Roman" w:hAnsi="Times New Roman"/>
                <w:sz w:val="24"/>
              </w:rPr>
            </w:pPr>
            <w:r w:rsidRPr="00AA1421">
              <w:rPr>
                <w:rFonts w:ascii="Times New Roman" w:hAnsi="Times New Roman"/>
                <w:sz w:val="24"/>
              </w:rPr>
              <w:t xml:space="preserve">Inne ekspozycje detaliczne,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których nie zgłoszono w wierszach 0070–0100</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0120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wobec MŚP</w:t>
            </w:r>
          </w:p>
          <w:p w:rsidR="004357B9" w:rsidRPr="00AA1421" w:rsidRDefault="004357B9" w:rsidP="0024244E">
            <w:pPr>
              <w:pStyle w:val="ListParagraph"/>
              <w:ind w:left="0"/>
              <w:rPr>
                <w:rFonts w:ascii="Times New Roman" w:hAnsi="Times New Roman"/>
                <w:sz w:val="24"/>
              </w:rPr>
            </w:pPr>
            <w:r w:rsidRPr="00AA1421">
              <w:rPr>
                <w:rFonts w:ascii="Times New Roman" w:hAnsi="Times New Roman"/>
                <w:sz w:val="24"/>
              </w:rPr>
              <w:t xml:space="preserve">Inne ekspozycje detaliczne wobec MŚP,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w:t>
            </w:r>
          </w:p>
        </w:tc>
      </w:tr>
      <w:tr w:rsidR="004357B9" w:rsidRPr="00AA1421" w:rsidTr="00672D2A">
        <w:tc>
          <w:tcPr>
            <w:tcW w:w="1188" w:type="dxa"/>
          </w:tcPr>
          <w:p w:rsidR="004357B9" w:rsidRPr="00AA1421" w:rsidRDefault="001452FC" w:rsidP="004357B9">
            <w:pPr>
              <w:rPr>
                <w:rFonts w:ascii="Times New Roman" w:hAnsi="Times New Roman"/>
                <w:sz w:val="24"/>
              </w:rPr>
            </w:pPr>
            <w:r w:rsidRPr="00AA1421">
              <w:rPr>
                <w:rFonts w:ascii="Times New Roman" w:hAnsi="Times New Roman"/>
                <w:sz w:val="24"/>
              </w:rPr>
              <w:t>0130</w:t>
            </w:r>
          </w:p>
        </w:tc>
        <w:tc>
          <w:tcPr>
            <w:tcW w:w="8640" w:type="dxa"/>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wobec podmiotów niebędących MŚP</w:t>
            </w:r>
          </w:p>
          <w:p w:rsidR="004357B9" w:rsidRPr="00AA1421" w:rsidRDefault="004357B9" w:rsidP="0024244E">
            <w:pPr>
              <w:rPr>
                <w:rFonts w:ascii="Times New Roman" w:hAnsi="Times New Roman"/>
                <w:sz w:val="24"/>
              </w:rPr>
            </w:pPr>
            <w:r w:rsidRPr="00AA1421">
              <w:rPr>
                <w:rFonts w:ascii="Times New Roman" w:hAnsi="Times New Roman"/>
                <w:sz w:val="24"/>
              </w:rPr>
              <w:t xml:space="preserve">Inne ekspozycje detaliczne wobec osób fizycznych,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w:t>
            </w:r>
          </w:p>
        </w:tc>
      </w:tr>
      <w:bookmarkEnd w:id="367"/>
      <w:tr w:rsidR="004357B9" w:rsidRPr="00AA1421" w:rsidTr="00672D2A">
        <w:tc>
          <w:tcPr>
            <w:tcW w:w="1188" w:type="dxa"/>
            <w:tcBorders>
              <w:top w:val="single" w:sz="4" w:space="0" w:color="auto"/>
              <w:left w:val="single" w:sz="4" w:space="0" w:color="auto"/>
              <w:bottom w:val="single" w:sz="4" w:space="0" w:color="auto"/>
              <w:right w:val="single" w:sz="4" w:space="0" w:color="auto"/>
            </w:tcBorders>
          </w:tcPr>
          <w:p w:rsidR="004357B9" w:rsidRPr="00AA1421" w:rsidRDefault="001452FC" w:rsidP="004357B9">
            <w:pPr>
              <w:rPr>
                <w:rFonts w:ascii="Times New Roman" w:hAnsi="Times New Roman"/>
                <w:sz w:val="24"/>
              </w:rPr>
            </w:pPr>
            <w:r w:rsidRPr="00AA1421">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AA1421" w:rsidRDefault="004357B9" w:rsidP="004357B9">
            <w:pPr>
              <w:rPr>
                <w:rFonts w:ascii="Times New Roman" w:hAnsi="Times New Roman"/>
                <w:b/>
                <w:sz w:val="24"/>
                <w:u w:val="single"/>
              </w:rPr>
            </w:pPr>
            <w:r w:rsidRPr="00AA1421">
              <w:rPr>
                <w:rFonts w:ascii="Times New Roman" w:hAnsi="Times New Roman"/>
                <w:b/>
                <w:sz w:val="24"/>
                <w:u w:val="single"/>
              </w:rPr>
              <w:t>Ekspozycje kapitałowe</w:t>
            </w:r>
          </w:p>
          <w:p w:rsidR="004357B9" w:rsidRPr="00AA1421" w:rsidRDefault="004357B9" w:rsidP="003B2712">
            <w:pPr>
              <w:rPr>
                <w:rFonts w:ascii="Times New Roman" w:hAnsi="Times New Roman"/>
                <w:b/>
                <w:sz w:val="24"/>
                <w:u w:val="single"/>
              </w:rPr>
            </w:pPr>
            <w:r w:rsidRPr="00AA1421">
              <w:rPr>
                <w:rFonts w:ascii="Times New Roman" w:hAnsi="Times New Roman"/>
                <w:sz w:val="24"/>
              </w:rPr>
              <w:t xml:space="preserve">Ekspozycje kapitałowe,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CRR</w:t>
            </w:r>
          </w:p>
        </w:tc>
      </w:tr>
      <w:tr w:rsidR="007A49AC" w:rsidRPr="00AA1421" w:rsidTr="00672D2A">
        <w:tc>
          <w:tcPr>
            <w:tcW w:w="1188" w:type="dxa"/>
            <w:tcBorders>
              <w:top w:val="single" w:sz="4" w:space="0" w:color="auto"/>
              <w:left w:val="single" w:sz="4" w:space="0" w:color="auto"/>
              <w:bottom w:val="single" w:sz="4" w:space="0" w:color="auto"/>
              <w:right w:val="single" w:sz="4" w:space="0" w:color="auto"/>
            </w:tcBorders>
          </w:tcPr>
          <w:p w:rsidR="007A49AC" w:rsidRPr="00AA1421" w:rsidRDefault="001452FC" w:rsidP="004357B9">
            <w:pPr>
              <w:rPr>
                <w:rFonts w:ascii="Times New Roman" w:hAnsi="Times New Roman"/>
                <w:sz w:val="24"/>
              </w:rPr>
            </w:pPr>
            <w:r w:rsidRPr="00AA1421">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AA1421" w:rsidRDefault="007A49AC" w:rsidP="00A779E9">
            <w:pPr>
              <w:rPr>
                <w:rFonts w:ascii="Times New Roman" w:hAnsi="Times New Roman"/>
                <w:b/>
                <w:sz w:val="24"/>
                <w:u w:val="single"/>
              </w:rPr>
            </w:pPr>
            <w:r w:rsidRPr="00AA1421">
              <w:rPr>
                <w:rFonts w:ascii="Times New Roman" w:hAnsi="Times New Roman"/>
                <w:b/>
                <w:sz w:val="24"/>
                <w:u w:val="single"/>
              </w:rPr>
              <w:t>Ekspozycje całkowite</w:t>
            </w:r>
          </w:p>
        </w:tc>
      </w:tr>
    </w:tbl>
    <w:p w:rsidR="004357B9" w:rsidRPr="00AA1421" w:rsidRDefault="004357B9" w:rsidP="004357B9">
      <w:pPr>
        <w:spacing w:before="0" w:after="200" w:line="312" w:lineRule="auto"/>
        <w:jc w:val="left"/>
        <w:rPr>
          <w:rFonts w:ascii="Times New Roman" w:hAnsi="Times New Roman"/>
          <w:sz w:val="24"/>
        </w:rPr>
      </w:pPr>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403659"/>
      <w:r w:rsidRPr="00AA1421">
        <w:rPr>
          <w:rFonts w:ascii="Times New Roman" w:hAnsi="Times New Roman"/>
          <w:sz w:val="24"/>
          <w:u w:val="none"/>
        </w:rPr>
        <w:t>3.4.3.</w:t>
      </w:r>
      <w:r w:rsidR="00D712CF" w:rsidRPr="00AA1421">
        <w:rPr>
          <w:u w:val="none"/>
        </w:rPr>
        <w:tab/>
      </w:r>
      <w:bookmarkStart w:id="376" w:name="_Toc360188366"/>
      <w:r w:rsidRPr="00AA1421">
        <w:rPr>
          <w:rFonts w:ascii="Times New Roman" w:hAnsi="Times New Roman"/>
          <w:sz w:val="24"/>
        </w:rPr>
        <w:t xml:space="preserve">C 09.04 – Podział ekspozycji kredytowych istotnych do celów obliczania bufora antycyklicznego według państw oraz specyficznego dla instytucji wskaźnika bufora antycyklicznego </w:t>
      </w:r>
      <w:bookmarkEnd w:id="376"/>
      <w:r w:rsidRPr="00AA1421">
        <w:rPr>
          <w:rFonts w:ascii="Times New Roman" w:hAnsi="Times New Roman"/>
          <w:sz w:val="24"/>
        </w:rPr>
        <w:t>(CCB)</w:t>
      </w:r>
      <w:bookmarkEnd w:id="374"/>
      <w:bookmarkEnd w:id="375"/>
    </w:p>
    <w:p w:rsidR="004357B9" w:rsidRPr="00AA1421"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403660"/>
      <w:r w:rsidRPr="00AA1421">
        <w:rPr>
          <w:rFonts w:ascii="Times New Roman" w:hAnsi="Times New Roman"/>
          <w:sz w:val="24"/>
          <w:u w:val="none"/>
        </w:rPr>
        <w:t>3.4.3.1.</w:t>
      </w:r>
      <w:r w:rsidR="00D712CF" w:rsidRPr="00AA1421">
        <w:rPr>
          <w:u w:val="none"/>
        </w:rPr>
        <w:tab/>
      </w:r>
      <w:r w:rsidRPr="00AA1421">
        <w:rPr>
          <w:rFonts w:ascii="Times New Roman" w:hAnsi="Times New Roman"/>
          <w:sz w:val="24"/>
        </w:rPr>
        <w:t>Uwagi ogólne</w:t>
      </w:r>
      <w:bookmarkEnd w:id="377"/>
      <w:bookmarkEnd w:id="378"/>
      <w:bookmarkEnd w:id="379"/>
    </w:p>
    <w:p w:rsidR="00430F6F" w:rsidRPr="00AA1421" w:rsidRDefault="00AA1421" w:rsidP="00487A02">
      <w:pPr>
        <w:pStyle w:val="InstructionsText2"/>
        <w:numPr>
          <w:ilvl w:val="0"/>
          <w:numId w:val="0"/>
        </w:numPr>
        <w:ind w:left="1353" w:hanging="360"/>
      </w:pPr>
      <w:fldSimple w:instr=" seq paragraphs ">
        <w:r w:rsidR="00D11E4C" w:rsidRPr="00AA1421">
          <w:rPr>
            <w:noProof/>
          </w:rPr>
          <w:t>88</w:t>
        </w:r>
      </w:fldSimple>
      <w:r w:rsidR="00D11E4C" w:rsidRPr="00AA1421">
        <w:t>.</w:t>
      </w:r>
      <w:r w:rsidR="00D11E4C" w:rsidRPr="00AA1421">
        <w:tab/>
        <w:t xml:space="preserve">Wzór ten służy uzyskaniu większej ilości informacji dotyczących składników specyficznego dla instytucji bufora antycyklicznego. Żądane informacje dotyczą wymogów w zakresie funduszy własnych określonych zgodnie z częścią trzecią, tytuł II i IV CRR oraz lokalizacji geograficznej ekspozycji kredytowych, ekspozycji z tytułu sekurytyzacji oraz ekspozycji zaliczanych do portfela handlowego istotnych do celów obliczania specyficznego dla instytucji bufora antycyklicznego zgodnie z </w:t>
      </w:r>
      <w:r w:rsidR="00D11E4C" w:rsidRPr="00084F66">
        <w:t>art.</w:t>
      </w:r>
      <w:r w:rsidR="00084F66" w:rsidRPr="00084F66">
        <w:t> </w:t>
      </w:r>
      <w:r w:rsidR="00D11E4C" w:rsidRPr="00084F66">
        <w:t>1</w:t>
      </w:r>
      <w:r w:rsidR="00D11E4C" w:rsidRPr="00AA1421">
        <w:t xml:space="preserve">40 CRD (odnośne ekspozycje kredytowe). </w:t>
      </w:r>
    </w:p>
    <w:p w:rsidR="00430F6F" w:rsidRPr="00AA1421" w:rsidRDefault="00AA1421" w:rsidP="00487A02">
      <w:pPr>
        <w:pStyle w:val="InstructionsText2"/>
        <w:numPr>
          <w:ilvl w:val="0"/>
          <w:numId w:val="0"/>
        </w:numPr>
        <w:ind w:left="1353" w:hanging="360"/>
      </w:pPr>
      <w:fldSimple w:instr=" seq paragraphs ">
        <w:r w:rsidR="00D11E4C" w:rsidRPr="00AA1421">
          <w:rPr>
            <w:noProof/>
          </w:rPr>
          <w:t>89</w:t>
        </w:r>
      </w:fldSimple>
      <w:r w:rsidR="00D11E4C" w:rsidRPr="00AA1421">
        <w:t>.</w:t>
      </w:r>
      <w:r w:rsidR="00D11E4C" w:rsidRPr="00AA1421">
        <w:tab/>
        <w:t xml:space="preserve">Informacje przewidziane we wzorze C 09.04 podaje się dla odnośnych ekspozycji kredytowych „razem” dla wszystkich jurysdykcji, w których zlokalizowane są te ekspozycje, oraz indywidualnie dla każdej z jurysdykcji, w której zlokalizowane są odnośne ekspozycje kredytowe. Łączne dane oraz informacje o każdej jurysdykcji zgłasza się w osobnym wymiarze. </w:t>
      </w:r>
    </w:p>
    <w:p w:rsidR="007463E2" w:rsidRPr="00AA1421" w:rsidRDefault="00AA1421" w:rsidP="00487A02">
      <w:pPr>
        <w:pStyle w:val="InstructionsText2"/>
        <w:numPr>
          <w:ilvl w:val="0"/>
          <w:numId w:val="0"/>
        </w:numPr>
        <w:ind w:left="1353" w:hanging="360"/>
      </w:pPr>
      <w:fldSimple w:instr=" seq paragraphs ">
        <w:r w:rsidR="00D11E4C" w:rsidRPr="00AA1421">
          <w:rPr>
            <w:noProof/>
          </w:rPr>
          <w:t>90</w:t>
        </w:r>
      </w:fldSimple>
      <w:r w:rsidR="00D11E4C" w:rsidRPr="00AA1421">
        <w:t>.</w:t>
      </w:r>
      <w:r w:rsidR="00D11E4C" w:rsidRPr="00AA1421">
        <w:tab/>
        <w:t xml:space="preserve">Progu określonego w </w:t>
      </w:r>
      <w:r w:rsidR="00D11E4C" w:rsidRPr="00084F66">
        <w:t>art.</w:t>
      </w:r>
      <w:r w:rsidR="00084F66" w:rsidRPr="00084F66">
        <w:t> </w:t>
      </w:r>
      <w:r w:rsidR="00D11E4C" w:rsidRPr="00084F66">
        <w:t>5</w:t>
      </w:r>
      <w:r w:rsidR="00D11E4C" w:rsidRPr="00AA1421">
        <w:t xml:space="preserve"> </w:t>
      </w:r>
      <w:r w:rsidR="00D11E4C" w:rsidRPr="00084F66">
        <w:t>ust.</w:t>
      </w:r>
      <w:r w:rsidR="00084F66" w:rsidRPr="00084F66">
        <w:t> </w:t>
      </w:r>
      <w:r w:rsidR="00D11E4C" w:rsidRPr="00084F66">
        <w:t>5</w:t>
      </w:r>
      <w:r w:rsidR="00D11E4C" w:rsidRPr="00AA1421">
        <w:t xml:space="preserve"> niniejszego rozporządzenia wykonawczego nie stosuje się przy zgłaszaniu tego podziału.</w:t>
      </w:r>
    </w:p>
    <w:p w:rsidR="005A7CA9" w:rsidRPr="00AA1421" w:rsidRDefault="00AA1421" w:rsidP="00487A02">
      <w:pPr>
        <w:pStyle w:val="InstructionsText2"/>
        <w:numPr>
          <w:ilvl w:val="0"/>
          <w:numId w:val="0"/>
        </w:numPr>
        <w:ind w:left="1353" w:hanging="360"/>
      </w:pPr>
      <w:fldSimple w:instr=" seq paragraphs ">
        <w:r w:rsidR="00D11E4C" w:rsidRPr="00AA1421">
          <w:rPr>
            <w:noProof/>
          </w:rPr>
          <w:t>91</w:t>
        </w:r>
      </w:fldSimple>
      <w:r w:rsidR="00D11E4C" w:rsidRPr="00AA1421">
        <w:t>.</w:t>
      </w:r>
      <w:r w:rsidR="00D11E4C" w:rsidRPr="00AA1421">
        <w:tab/>
        <w:t xml:space="preserve">W celu określenia lokalizacji geograficznej ekspozycje przypisuje się do lokalizacji bezpośredniego dłużnika zgodnie z rozporządzeniem delegowanym Komisji (UE) </w:t>
      </w:r>
      <w:r w:rsidR="00D11E4C" w:rsidRPr="00084F66">
        <w:t>nr</w:t>
      </w:r>
      <w:r w:rsidR="00084F66" w:rsidRPr="00084F66">
        <w:t> </w:t>
      </w:r>
      <w:r w:rsidR="00D11E4C" w:rsidRPr="00084F66">
        <w:t>1</w:t>
      </w:r>
      <w:r w:rsidR="00D11E4C" w:rsidRPr="00AA1421">
        <w:t>152/2014</w:t>
      </w:r>
      <w:r w:rsidR="00D11E4C" w:rsidRPr="00AA1421">
        <w:footnoteReference w:id="10"/>
      </w:r>
      <w:r w:rsidR="00D11E4C" w:rsidRPr="00AA1421">
        <w:t>. Techniki ograniczenia ryzyka kredytowego nie prowadzą zatem do zmiany przypisania ekspozycji do jej lokalizacji geograficznej do celów zgłoszenia informacji określonych w niniejszym wzorze.</w:t>
      </w:r>
    </w:p>
    <w:p w:rsidR="00154859" w:rsidRPr="00AA1421"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403661"/>
      <w:r w:rsidRPr="00AA1421">
        <w:rPr>
          <w:rFonts w:ascii="Times New Roman" w:hAnsi="Times New Roman"/>
          <w:sz w:val="24"/>
          <w:u w:val="none"/>
        </w:rPr>
        <w:t>3.4.3.2.</w:t>
      </w:r>
      <w:r w:rsidR="00D712CF" w:rsidRPr="00AA1421">
        <w:rPr>
          <w:u w:val="none"/>
        </w:rPr>
        <w:tab/>
      </w:r>
      <w:r w:rsidRPr="00AA1421">
        <w:rPr>
          <w:rFonts w:ascii="Times New Roman" w:hAnsi="Times New Roman"/>
          <w:sz w:val="24"/>
        </w:rPr>
        <w:t>Instrukcje dotyczące poszczególnych pozycji</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AA1421" w:rsidTr="00672D2A">
        <w:tc>
          <w:tcPr>
            <w:tcW w:w="1697" w:type="dxa"/>
            <w:shd w:val="clear" w:color="auto" w:fill="CCCCCC"/>
          </w:tcPr>
          <w:p w:rsidR="00154859" w:rsidRPr="00AA1421" w:rsidRDefault="00154859" w:rsidP="004357B9">
            <w:pPr>
              <w:rPr>
                <w:rFonts w:ascii="Times New Roman" w:hAnsi="Times New Roman"/>
                <w:b/>
                <w:sz w:val="24"/>
              </w:rPr>
            </w:pPr>
            <w:r w:rsidRPr="00AA1421">
              <w:rPr>
                <w:rFonts w:ascii="Times New Roman" w:hAnsi="Times New Roman"/>
                <w:b/>
                <w:sz w:val="24"/>
              </w:rPr>
              <w:t>Kolumny</w:t>
            </w:r>
          </w:p>
        </w:tc>
        <w:tc>
          <w:tcPr>
            <w:tcW w:w="8131" w:type="dxa"/>
            <w:shd w:val="clear" w:color="auto" w:fill="CCCCCC"/>
          </w:tcPr>
          <w:p w:rsidR="004357B9" w:rsidRPr="00AA1421" w:rsidRDefault="004357B9" w:rsidP="004357B9">
            <w:pPr>
              <w:ind w:left="72"/>
              <w:rPr>
                <w:rFonts w:ascii="Times New Roman" w:hAnsi="Times New Roman"/>
                <w:sz w:val="24"/>
              </w:rPr>
            </w:pPr>
          </w:p>
        </w:tc>
      </w:tr>
      <w:tr w:rsidR="00154859" w:rsidRPr="00AA1421" w:rsidTr="00672D2A">
        <w:tc>
          <w:tcPr>
            <w:tcW w:w="1697" w:type="dxa"/>
          </w:tcPr>
          <w:p w:rsidR="00154859" w:rsidRPr="00AA1421" w:rsidRDefault="00154859" w:rsidP="004357B9">
            <w:pPr>
              <w:rPr>
                <w:rStyle w:val="InstructionsTabelleText"/>
                <w:rFonts w:ascii="Times New Roman" w:hAnsi="Times New Roman"/>
                <w:sz w:val="24"/>
              </w:rPr>
            </w:pPr>
            <w:r w:rsidRPr="00AA1421">
              <w:rPr>
                <w:rFonts w:ascii="Times New Roman" w:hAnsi="Times New Roman"/>
                <w:sz w:val="24"/>
              </w:rPr>
              <w:t>0010</w:t>
            </w:r>
          </w:p>
        </w:tc>
        <w:tc>
          <w:tcPr>
            <w:tcW w:w="8131" w:type="dxa"/>
          </w:tcPr>
          <w:p w:rsidR="00154859" w:rsidRPr="00AA1421" w:rsidRDefault="00154859" w:rsidP="00133107">
            <w:pPr>
              <w:rPr>
                <w:rFonts w:ascii="Times New Roman" w:hAnsi="Times New Roman"/>
                <w:b/>
                <w:bCs/>
                <w:sz w:val="24"/>
                <w:u w:val="single"/>
              </w:rPr>
            </w:pPr>
            <w:r w:rsidRPr="00AA1421">
              <w:rPr>
                <w:rFonts w:ascii="Times New Roman" w:hAnsi="Times New Roman"/>
                <w:b/>
                <w:bCs/>
                <w:sz w:val="24"/>
                <w:u w:val="single"/>
              </w:rPr>
              <w:t>Kwota</w:t>
            </w:r>
          </w:p>
          <w:p w:rsidR="00154859" w:rsidRPr="00AA1421" w:rsidRDefault="006E3440" w:rsidP="00535A98">
            <w:pPr>
              <w:rPr>
                <w:rFonts w:ascii="Times New Roman" w:hAnsi="Times New Roman"/>
                <w:b/>
                <w:sz w:val="24"/>
                <w:u w:val="single"/>
              </w:rPr>
            </w:pPr>
            <w:r w:rsidRPr="00AA1421">
              <w:rPr>
                <w:rFonts w:ascii="Times New Roman" w:hAnsi="Times New Roman"/>
                <w:bCs/>
                <w:sz w:val="24"/>
              </w:rPr>
              <w:t>Wartość odnośnych ekspozycji kredytowych oraz związanych z nimi wymogów w zakresie funduszy własnych, określona zgodnie z instrukcjami dla danego wiersza.</w:t>
            </w:r>
          </w:p>
        </w:tc>
      </w:tr>
      <w:tr w:rsidR="00154859" w:rsidRPr="00AA1421" w:rsidTr="00672D2A">
        <w:tc>
          <w:tcPr>
            <w:tcW w:w="1697" w:type="dxa"/>
          </w:tcPr>
          <w:p w:rsidR="00154859" w:rsidRPr="00AA1421" w:rsidRDefault="00154859" w:rsidP="004357B9">
            <w:pPr>
              <w:rPr>
                <w:sz w:val="24"/>
              </w:rPr>
            </w:pPr>
            <w:r w:rsidRPr="00AA1421">
              <w:rPr>
                <w:rFonts w:ascii="Times New Roman" w:hAnsi="Times New Roman"/>
                <w:sz w:val="24"/>
              </w:rPr>
              <w:t>0020</w:t>
            </w:r>
          </w:p>
        </w:tc>
        <w:tc>
          <w:tcPr>
            <w:tcW w:w="8131" w:type="dxa"/>
          </w:tcPr>
          <w:p w:rsidR="00154859" w:rsidRPr="00AA1421" w:rsidRDefault="00154859" w:rsidP="00133107">
            <w:pPr>
              <w:rPr>
                <w:rFonts w:ascii="Times New Roman" w:hAnsi="Times New Roman"/>
                <w:b/>
                <w:bCs/>
                <w:sz w:val="24"/>
                <w:u w:val="single"/>
              </w:rPr>
            </w:pPr>
            <w:r w:rsidRPr="00AA1421">
              <w:rPr>
                <w:rFonts w:ascii="Times New Roman" w:hAnsi="Times New Roman"/>
                <w:b/>
                <w:bCs/>
                <w:sz w:val="24"/>
                <w:u w:val="single"/>
              </w:rPr>
              <w:t>Ujęcie procentowe</w:t>
            </w:r>
          </w:p>
          <w:p w:rsidR="00154859" w:rsidRPr="00AA1421" w:rsidRDefault="00154859" w:rsidP="00133107">
            <w:pPr>
              <w:rPr>
                <w:rFonts w:ascii="Times New Roman" w:hAnsi="Times New Roman"/>
                <w:b/>
                <w:bCs/>
                <w:sz w:val="24"/>
                <w:u w:val="single"/>
                <w:lang w:eastAsia="de-DE"/>
              </w:rPr>
            </w:pPr>
          </w:p>
        </w:tc>
      </w:tr>
      <w:tr w:rsidR="00154859" w:rsidRPr="00AA1421" w:rsidTr="00672D2A">
        <w:tc>
          <w:tcPr>
            <w:tcW w:w="1697" w:type="dxa"/>
          </w:tcPr>
          <w:p w:rsidR="00154859" w:rsidRPr="00AA1421" w:rsidRDefault="00154859" w:rsidP="004357B9">
            <w:pPr>
              <w:rPr>
                <w:rFonts w:ascii="Times New Roman" w:hAnsi="Times New Roman"/>
                <w:sz w:val="24"/>
              </w:rPr>
            </w:pPr>
            <w:r w:rsidRPr="00AA1421">
              <w:rPr>
                <w:rFonts w:ascii="Times New Roman" w:hAnsi="Times New Roman"/>
                <w:sz w:val="24"/>
              </w:rPr>
              <w:t>0030</w:t>
            </w:r>
          </w:p>
        </w:tc>
        <w:tc>
          <w:tcPr>
            <w:tcW w:w="8131" w:type="dxa"/>
          </w:tcPr>
          <w:p w:rsidR="00154859" w:rsidRPr="00AA1421" w:rsidRDefault="00187348" w:rsidP="00133107">
            <w:pPr>
              <w:autoSpaceDE w:val="0"/>
              <w:autoSpaceDN w:val="0"/>
              <w:adjustRightInd w:val="0"/>
              <w:rPr>
                <w:rFonts w:ascii="Times New Roman" w:hAnsi="Times New Roman"/>
                <w:b/>
                <w:bCs/>
                <w:sz w:val="24"/>
                <w:u w:val="single"/>
              </w:rPr>
            </w:pPr>
            <w:r w:rsidRPr="00AA1421">
              <w:rPr>
                <w:rFonts w:ascii="Times New Roman" w:hAnsi="Times New Roman"/>
                <w:b/>
                <w:bCs/>
                <w:sz w:val="24"/>
                <w:u w:val="single"/>
              </w:rPr>
              <w:t>Informacje jakościowe</w:t>
            </w:r>
          </w:p>
          <w:p w:rsidR="00514783" w:rsidRPr="00AA1421" w:rsidRDefault="00CA270D" w:rsidP="00234E7D">
            <w:pPr>
              <w:autoSpaceDE w:val="0"/>
              <w:autoSpaceDN w:val="0"/>
              <w:adjustRightInd w:val="0"/>
              <w:rPr>
                <w:rFonts w:ascii="Times New Roman" w:hAnsi="Times New Roman"/>
                <w:sz w:val="24"/>
              </w:rPr>
            </w:pPr>
            <w:r w:rsidRPr="00AA1421">
              <w:rPr>
                <w:rFonts w:ascii="Times New Roman" w:hAnsi="Times New Roman"/>
                <w:sz w:val="24"/>
              </w:rPr>
              <w:t xml:space="preserve">Informacje te zgłasza się wyłącznie w odniesieniu do państwa siedziby instytucji (jurysdykcji odpowiadającej państwu członkowskiemu jej pochodzenia) oraz „razem” dla wszystkich państw. </w:t>
            </w:r>
          </w:p>
          <w:p w:rsidR="00EF3F40" w:rsidRPr="00AA1421" w:rsidRDefault="00514783" w:rsidP="00514783">
            <w:pPr>
              <w:autoSpaceDE w:val="0"/>
              <w:autoSpaceDN w:val="0"/>
              <w:adjustRightInd w:val="0"/>
              <w:rPr>
                <w:rFonts w:ascii="Times New Roman" w:hAnsi="Times New Roman"/>
                <w:b/>
                <w:bCs/>
                <w:sz w:val="24"/>
                <w:u w:val="single"/>
              </w:rPr>
            </w:pPr>
            <w:r w:rsidRPr="00AA1421">
              <w:rPr>
                <w:rFonts w:ascii="Times New Roman" w:hAnsi="Times New Roman"/>
                <w:sz w:val="24"/>
              </w:rPr>
              <w:t>Instytucje zgłaszają {y} albo {n} zgodnie z instrukcjami dla danego wiersza.</w:t>
            </w:r>
          </w:p>
        </w:tc>
      </w:tr>
    </w:tbl>
    <w:p w:rsidR="00464F34" w:rsidRPr="00AA1421"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AA1421" w:rsidTr="00672D2A">
        <w:tc>
          <w:tcPr>
            <w:tcW w:w="1697" w:type="dxa"/>
            <w:shd w:val="clear" w:color="auto" w:fill="CCCCCC"/>
          </w:tcPr>
          <w:p w:rsidR="00BD5485" w:rsidRPr="00AA1421" w:rsidRDefault="00BD5485" w:rsidP="00133107">
            <w:pPr>
              <w:rPr>
                <w:rFonts w:ascii="Times New Roman" w:hAnsi="Times New Roman"/>
                <w:b/>
                <w:sz w:val="24"/>
              </w:rPr>
            </w:pPr>
            <w:r w:rsidRPr="00AA1421">
              <w:rPr>
                <w:rFonts w:ascii="Times New Roman" w:hAnsi="Times New Roman"/>
                <w:b/>
                <w:sz w:val="24"/>
              </w:rPr>
              <w:t>Wiersze</w:t>
            </w:r>
          </w:p>
        </w:tc>
        <w:tc>
          <w:tcPr>
            <w:tcW w:w="8131" w:type="dxa"/>
            <w:shd w:val="clear" w:color="auto" w:fill="CCCCCC"/>
          </w:tcPr>
          <w:p w:rsidR="00BD5485" w:rsidRPr="00AA1421" w:rsidRDefault="00BD5485" w:rsidP="00133107">
            <w:pPr>
              <w:ind w:left="72"/>
              <w:rPr>
                <w:rFonts w:ascii="Times New Roman" w:hAnsi="Times New Roman"/>
                <w:sz w:val="24"/>
              </w:rPr>
            </w:pPr>
          </w:p>
        </w:tc>
      </w:tr>
      <w:tr w:rsidR="00BD5485" w:rsidRPr="00AA1421" w:rsidTr="00672D2A">
        <w:tc>
          <w:tcPr>
            <w:tcW w:w="1697" w:type="dxa"/>
          </w:tcPr>
          <w:p w:rsidR="00BD5485" w:rsidRPr="00AA1421" w:rsidRDefault="00BD5485" w:rsidP="00133107">
            <w:pPr>
              <w:rPr>
                <w:rStyle w:val="InstructionsTabelleText"/>
                <w:rFonts w:ascii="Times New Roman" w:hAnsi="Times New Roman"/>
                <w:sz w:val="24"/>
              </w:rPr>
            </w:pPr>
            <w:r w:rsidRPr="00AA1421">
              <w:rPr>
                <w:rFonts w:ascii="Times New Roman" w:hAnsi="Times New Roman"/>
                <w:sz w:val="24"/>
              </w:rPr>
              <w:t>0010-0020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Odnośne ekspozycje kredytowe – ryzyko kredytowe</w:t>
            </w:r>
          </w:p>
          <w:p w:rsidR="00BD5485" w:rsidRPr="00AA1421" w:rsidRDefault="00BD5485" w:rsidP="00A37A04">
            <w:pPr>
              <w:rPr>
                <w:rFonts w:ascii="Times New Roman" w:hAnsi="Times New Roman"/>
                <w:b/>
                <w:sz w:val="24"/>
                <w:u w:val="single"/>
              </w:rPr>
            </w:pPr>
            <w:r w:rsidRPr="00AA1421">
              <w:rPr>
                <w:rFonts w:ascii="Times New Roman" w:hAnsi="Times New Roman"/>
                <w:sz w:val="24"/>
              </w:rPr>
              <w:t xml:space="preserve">Odnośne ekspozycje kredytowe,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lit a) CRD.</w:t>
            </w:r>
          </w:p>
        </w:tc>
      </w:tr>
      <w:tr w:rsidR="00BD5485" w:rsidRPr="00AA1421" w:rsidTr="00672D2A">
        <w:tc>
          <w:tcPr>
            <w:tcW w:w="1697" w:type="dxa"/>
          </w:tcPr>
          <w:p w:rsidR="00BD5485" w:rsidRPr="00AA1421" w:rsidRDefault="00BD5485" w:rsidP="00133107">
            <w:pPr>
              <w:rPr>
                <w:sz w:val="24"/>
              </w:rPr>
            </w:pPr>
            <w:r w:rsidRPr="00AA1421">
              <w:rPr>
                <w:rFonts w:ascii="Times New Roman" w:hAnsi="Times New Roman"/>
                <w:sz w:val="24"/>
              </w:rPr>
              <w:t>0010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Wartość ekspozycji według metody standardowej</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 xml:space="preserve">Wartość ekspozycji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11 CRR dla odpowiednich ekspozycji kredytowych,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CRD. </w:t>
            </w:r>
          </w:p>
          <w:p w:rsidR="00BD5485" w:rsidRPr="00AA1421" w:rsidRDefault="00BD5485" w:rsidP="00B85F75">
            <w:pPr>
              <w:autoSpaceDE w:val="0"/>
              <w:autoSpaceDN w:val="0"/>
              <w:adjustRightInd w:val="0"/>
              <w:rPr>
                <w:rFonts w:ascii="Times New Roman" w:hAnsi="Times New Roman"/>
                <w:b/>
                <w:bCs/>
                <w:sz w:val="24"/>
                <w:u w:val="single"/>
              </w:rPr>
            </w:pPr>
            <w:r w:rsidRPr="00AA1421">
              <w:rPr>
                <w:rFonts w:ascii="Times New Roman" w:hAnsi="Times New Roman"/>
                <w:sz w:val="24"/>
              </w:rPr>
              <w:t>Wartość ekspozycji z tytułu pozycji sekurytyzacyjnych w portfelu bankowym wyłącza się z tego wiersza i zgłasza w wierszu 0055.</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0020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Wartość ekspozycji według metody IRB</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 xml:space="preserve">Wartość ekspozycji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CRR dla odpowiednich ekspozycji kredytowych,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CRD. </w:t>
            </w:r>
          </w:p>
          <w:p w:rsidR="00BD5485" w:rsidRPr="00AA1421" w:rsidRDefault="00BD5485" w:rsidP="00B85F75">
            <w:pPr>
              <w:rPr>
                <w:rFonts w:ascii="Times New Roman" w:hAnsi="Times New Roman"/>
                <w:b/>
                <w:bCs/>
                <w:sz w:val="24"/>
                <w:u w:val="single"/>
              </w:rPr>
            </w:pPr>
            <w:r w:rsidRPr="00AA1421">
              <w:rPr>
                <w:rFonts w:ascii="Times New Roman" w:hAnsi="Times New Roman"/>
                <w:sz w:val="24"/>
              </w:rPr>
              <w:t>Wartość ekspozycji z tytułu pozycji sekurytyzacyjnych w portfelu bankowym wyłącza się z tego wiersza i zgłasza w wierszu 0055.</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0030-0040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Odnośne ekspozycje kredytowe – ryzyko rynkowe</w:t>
            </w:r>
          </w:p>
          <w:p w:rsidR="00BD5485" w:rsidRPr="00AA1421" w:rsidRDefault="00BD5485" w:rsidP="00A37A04">
            <w:pPr>
              <w:rPr>
                <w:rFonts w:ascii="Times New Roman" w:hAnsi="Times New Roman"/>
                <w:b/>
                <w:bCs/>
                <w:sz w:val="24"/>
                <w:u w:val="single"/>
              </w:rPr>
            </w:pPr>
            <w:r w:rsidRPr="00AA1421">
              <w:rPr>
                <w:rFonts w:ascii="Times New Roman" w:hAnsi="Times New Roman"/>
                <w:sz w:val="24"/>
              </w:rPr>
              <w:lastRenderedPageBreak/>
              <w:t xml:space="preserve">Odnośne ekspozycje kredytowe,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lit b) CRD.</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lastRenderedPageBreak/>
              <w:t>0030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Suma pozycji długich i krótkich dotyczących ekspozycji zaliczonych do portfela handlowego według metody standardowej</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 xml:space="preserve">Suma długich i krótkich pozycji netto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27 CRR dla odnośnych ekspozycji kredytowych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CRD podlegających wymogom w zakresie funduszy własnych na podstawie części trzeciej tytuł IV rozdział 2 CRR: </w:t>
            </w:r>
          </w:p>
          <w:p w:rsidR="00C4425F" w:rsidRPr="00AA1421" w:rsidRDefault="00125707" w:rsidP="0023700C">
            <w:pPr>
              <w:autoSpaceDE w:val="0"/>
              <w:autoSpaceDN w:val="0"/>
              <w:adjustRightInd w:val="0"/>
              <w:ind w:left="357" w:hanging="357"/>
              <w:contextualSpacing/>
              <w:rPr>
                <w:rFonts w:ascii="Times New Roman" w:hAnsi="Times New Roman"/>
                <w:sz w:val="24"/>
              </w:rPr>
            </w:pPr>
            <w:r w:rsidRPr="00AA1421">
              <w:rPr>
                <w:rFonts w:ascii="Times New Roman" w:hAnsi="Times New Roman"/>
                <w:sz w:val="24"/>
              </w:rPr>
              <w:t>-</w:t>
            </w:r>
            <w:r w:rsidRPr="00AA1421">
              <w:tab/>
            </w:r>
            <w:r w:rsidRPr="00AA1421">
              <w:rPr>
                <w:rFonts w:ascii="Times New Roman" w:hAnsi="Times New Roman"/>
                <w:sz w:val="24"/>
              </w:rPr>
              <w:t>ekspozycje z tytułu instrumentów dłużnych innych niż sekurytyzacja;</w:t>
            </w:r>
          </w:p>
          <w:p w:rsidR="00C4425F" w:rsidRPr="00AA1421" w:rsidRDefault="00125707" w:rsidP="0023700C">
            <w:pPr>
              <w:autoSpaceDE w:val="0"/>
              <w:autoSpaceDN w:val="0"/>
              <w:adjustRightInd w:val="0"/>
              <w:ind w:left="357" w:hanging="357"/>
              <w:contextualSpacing/>
              <w:rPr>
                <w:rFonts w:ascii="Times New Roman" w:hAnsi="Times New Roman"/>
                <w:sz w:val="24"/>
              </w:rPr>
            </w:pPr>
            <w:r w:rsidRPr="00AA1421">
              <w:rPr>
                <w:rFonts w:ascii="Times New Roman" w:hAnsi="Times New Roman"/>
                <w:sz w:val="24"/>
              </w:rPr>
              <w:t>-</w:t>
            </w:r>
            <w:r w:rsidRPr="00AA1421">
              <w:tab/>
            </w:r>
            <w:r w:rsidRPr="00AA1421">
              <w:rPr>
                <w:rFonts w:ascii="Times New Roman" w:hAnsi="Times New Roman"/>
                <w:sz w:val="24"/>
              </w:rPr>
              <w:t>ekspozycje z tytułu pozycji sekurytyzacyjnych w portfelu handlowym;</w:t>
            </w:r>
          </w:p>
          <w:p w:rsidR="00C4425F" w:rsidRPr="00AA1421" w:rsidRDefault="00125707" w:rsidP="0023700C">
            <w:pPr>
              <w:autoSpaceDE w:val="0"/>
              <w:autoSpaceDN w:val="0"/>
              <w:adjustRightInd w:val="0"/>
              <w:ind w:left="357" w:hanging="357"/>
              <w:contextualSpacing/>
              <w:rPr>
                <w:rFonts w:ascii="Times New Roman" w:hAnsi="Times New Roman"/>
                <w:sz w:val="24"/>
              </w:rPr>
            </w:pPr>
            <w:r w:rsidRPr="00AA1421">
              <w:rPr>
                <w:rFonts w:ascii="Times New Roman" w:hAnsi="Times New Roman"/>
                <w:sz w:val="24"/>
              </w:rPr>
              <w:t>-</w:t>
            </w:r>
            <w:r w:rsidRPr="00AA1421">
              <w:tab/>
            </w:r>
            <w:r w:rsidRPr="00AA1421">
              <w:rPr>
                <w:rFonts w:ascii="Times New Roman" w:hAnsi="Times New Roman"/>
                <w:sz w:val="24"/>
              </w:rPr>
              <w:t>ekspozycje z tytułu korelacyjnego portfela handlowego;</w:t>
            </w:r>
          </w:p>
          <w:p w:rsidR="00C4425F" w:rsidRPr="00AA1421" w:rsidRDefault="00125707" w:rsidP="0023700C">
            <w:pPr>
              <w:autoSpaceDE w:val="0"/>
              <w:autoSpaceDN w:val="0"/>
              <w:adjustRightInd w:val="0"/>
              <w:ind w:left="357" w:hanging="357"/>
              <w:contextualSpacing/>
              <w:rPr>
                <w:rFonts w:ascii="Times New Roman" w:hAnsi="Times New Roman"/>
                <w:sz w:val="24"/>
              </w:rPr>
            </w:pPr>
            <w:r w:rsidRPr="00AA1421">
              <w:rPr>
                <w:rFonts w:ascii="Times New Roman" w:hAnsi="Times New Roman"/>
                <w:sz w:val="24"/>
              </w:rPr>
              <w:t>-</w:t>
            </w:r>
            <w:r w:rsidRPr="00AA1421">
              <w:tab/>
            </w:r>
            <w:r w:rsidRPr="00AA1421">
              <w:rPr>
                <w:rFonts w:ascii="Times New Roman" w:hAnsi="Times New Roman"/>
                <w:sz w:val="24"/>
              </w:rPr>
              <w:t>ekspozycje z tytułu udziałowych papierów wartościowych;</w:t>
            </w:r>
          </w:p>
          <w:p w:rsidR="00797715" w:rsidRPr="00AA1421" w:rsidRDefault="00125707" w:rsidP="0023700C">
            <w:pPr>
              <w:autoSpaceDE w:val="0"/>
              <w:autoSpaceDN w:val="0"/>
              <w:adjustRightInd w:val="0"/>
              <w:ind w:left="357" w:hanging="357"/>
              <w:contextualSpacing/>
              <w:rPr>
                <w:rFonts w:ascii="Times New Roman" w:hAnsi="Times New Roman"/>
                <w:b/>
                <w:bCs/>
                <w:sz w:val="24"/>
                <w:u w:val="single"/>
              </w:rPr>
            </w:pPr>
            <w:r w:rsidRPr="00AA1421">
              <w:rPr>
                <w:rFonts w:ascii="Times New Roman" w:hAnsi="Times New Roman"/>
                <w:bCs/>
                <w:sz w:val="24"/>
              </w:rPr>
              <w:t>-</w:t>
            </w:r>
            <w:r w:rsidRPr="00AA1421">
              <w:tab/>
            </w:r>
            <w:r w:rsidRPr="00AA1421">
              <w:rPr>
                <w:rFonts w:ascii="Times New Roman" w:hAnsi="Times New Roman"/>
                <w:sz w:val="24"/>
              </w:rPr>
              <w:t xml:space="preserve">ekspozycje wobec przedsiębiorstw zbiorowego inwestowania, jeżeli wymogi kapitałowe zostały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48 CRR.</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0040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Wartość ekspozycji zaliczonych do portfela handlowego według modeli wewnętrznych</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 xml:space="preserve">Dla odnośnych ekspozycji kredytowych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CRD podlegających wymogom w zakresie funduszy własnych na podstawie części trzeciej tytuł IV rozdział 2 i 5 CRR należy zgłosić sumę poniższych wartości:</w:t>
            </w:r>
          </w:p>
          <w:p w:rsidR="00BD5485" w:rsidRPr="00AA1421" w:rsidRDefault="00125707" w:rsidP="0023700C">
            <w:pPr>
              <w:autoSpaceDE w:val="0"/>
              <w:autoSpaceDN w:val="0"/>
              <w:adjustRightInd w:val="0"/>
              <w:ind w:left="357" w:hanging="357"/>
              <w:contextualSpacing/>
              <w:rPr>
                <w:rFonts w:ascii="Times New Roman" w:hAnsi="Times New Roman"/>
                <w:sz w:val="24"/>
              </w:rPr>
            </w:pPr>
            <w:r w:rsidRPr="00AA1421">
              <w:rPr>
                <w:rFonts w:ascii="Calibri" w:hAnsi="Calibri"/>
                <w:sz w:val="24"/>
              </w:rPr>
              <w:t>-</w:t>
            </w:r>
            <w:r w:rsidRPr="00AA1421">
              <w:tab/>
            </w:r>
            <w:r w:rsidRPr="00AA1421">
              <w:rPr>
                <w:rFonts w:ascii="Times New Roman" w:hAnsi="Times New Roman"/>
                <w:sz w:val="24"/>
              </w:rPr>
              <w:t xml:space="preserve">wartości godziwej pozycji w instrumentach innych niż instrumenty pochodne, odpowiadających odnośnym ekspozycjom kredytowym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CRD, określonym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04 CRR;</w:t>
            </w:r>
          </w:p>
          <w:p w:rsidR="00BD5485" w:rsidRPr="00AA1421" w:rsidRDefault="00125707" w:rsidP="00A37A04">
            <w:pPr>
              <w:autoSpaceDE w:val="0"/>
              <w:autoSpaceDN w:val="0"/>
              <w:adjustRightInd w:val="0"/>
              <w:ind w:left="357" w:hanging="357"/>
              <w:contextualSpacing/>
              <w:rPr>
                <w:rFonts w:ascii="Times New Roman" w:hAnsi="Times New Roman"/>
                <w:b/>
                <w:bCs/>
                <w:sz w:val="24"/>
                <w:u w:val="single"/>
              </w:rPr>
            </w:pPr>
            <w:r w:rsidRPr="00AA1421">
              <w:rPr>
                <w:rFonts w:ascii="Calibri" w:hAnsi="Calibri"/>
                <w:bCs/>
                <w:sz w:val="24"/>
              </w:rPr>
              <w:t>-</w:t>
            </w:r>
            <w:r w:rsidRPr="00AA1421">
              <w:tab/>
            </w:r>
            <w:r w:rsidRPr="00AA1421">
              <w:rPr>
                <w:rFonts w:ascii="Times New Roman" w:hAnsi="Times New Roman"/>
                <w:sz w:val="24"/>
              </w:rPr>
              <w:t xml:space="preserve">wartości referencyjnej instrumentów pochodnych, które reprezentują odpowiednie ekspozycje kredytowe,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lit b) CRD.</w:t>
            </w:r>
          </w:p>
        </w:tc>
      </w:tr>
      <w:tr w:rsidR="00BD5485" w:rsidRPr="00AA1421" w:rsidTr="00672D2A">
        <w:tc>
          <w:tcPr>
            <w:tcW w:w="1697" w:type="dxa"/>
          </w:tcPr>
          <w:p w:rsidR="00BD5485" w:rsidRPr="00AA1421" w:rsidRDefault="008B6B86" w:rsidP="008B6B86">
            <w:pPr>
              <w:rPr>
                <w:rFonts w:ascii="Times New Roman" w:hAnsi="Times New Roman"/>
                <w:sz w:val="24"/>
              </w:rPr>
            </w:pPr>
            <w:r w:rsidRPr="00AA1421">
              <w:rPr>
                <w:rFonts w:ascii="Times New Roman" w:hAnsi="Times New Roman"/>
                <w:sz w:val="24"/>
              </w:rPr>
              <w:t>0055</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Odnośne ekspozycje kredytowe – pozycje sekurytyzacyjne w portfelu bankowym</w:t>
            </w:r>
          </w:p>
          <w:p w:rsidR="00BD5485" w:rsidRPr="00AA1421" w:rsidRDefault="00C44421" w:rsidP="00A37A04">
            <w:pPr>
              <w:rPr>
                <w:rFonts w:ascii="Times New Roman" w:hAnsi="Times New Roman"/>
                <w:sz w:val="24"/>
              </w:rPr>
            </w:pPr>
            <w:r w:rsidRPr="00AA1421">
              <w:rPr>
                <w:rFonts w:ascii="Times New Roman" w:hAnsi="Times New Roman"/>
                <w:sz w:val="24"/>
              </w:rPr>
              <w:t xml:space="preserve">Wartość ekspozycji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CRR dla odpowiednich ekspozycji kredytowych,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CRD.</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0070-0110</w:t>
            </w:r>
          </w:p>
        </w:tc>
        <w:tc>
          <w:tcPr>
            <w:tcW w:w="8131" w:type="dxa"/>
          </w:tcPr>
          <w:p w:rsidR="00BD5485" w:rsidRPr="00AA1421" w:rsidRDefault="00BD5485" w:rsidP="00133107">
            <w:pPr>
              <w:rPr>
                <w:rFonts w:ascii="Times New Roman" w:hAnsi="Times New Roman"/>
                <w:b/>
                <w:bCs/>
                <w:sz w:val="24"/>
                <w:u w:val="single"/>
              </w:rPr>
            </w:pPr>
            <w:r w:rsidRPr="00AA1421">
              <w:rPr>
                <w:rFonts w:ascii="Times New Roman" w:hAnsi="Times New Roman"/>
                <w:b/>
                <w:bCs/>
                <w:sz w:val="24"/>
                <w:u w:val="single"/>
              </w:rPr>
              <w:t>Wymogi w zakresie funduszy własnych i wagi</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0070</w:t>
            </w:r>
          </w:p>
        </w:tc>
        <w:tc>
          <w:tcPr>
            <w:tcW w:w="8131" w:type="dxa"/>
          </w:tcPr>
          <w:p w:rsidR="00BD5485" w:rsidRPr="00AA1421" w:rsidRDefault="00BD5485" w:rsidP="00BD5485">
            <w:pPr>
              <w:rPr>
                <w:rFonts w:ascii="Times New Roman" w:hAnsi="Times New Roman"/>
                <w:b/>
                <w:bCs/>
                <w:sz w:val="24"/>
                <w:u w:val="single"/>
              </w:rPr>
            </w:pPr>
            <w:r w:rsidRPr="00AA1421">
              <w:rPr>
                <w:rFonts w:ascii="Times New Roman" w:hAnsi="Times New Roman"/>
                <w:b/>
                <w:bCs/>
                <w:sz w:val="24"/>
                <w:u w:val="single"/>
              </w:rPr>
              <w:t>Łączne wymogi w zakresie funduszy własnych dla CCB</w:t>
            </w:r>
          </w:p>
          <w:p w:rsidR="00BD5485" w:rsidRPr="00AA1421" w:rsidRDefault="00BD5485" w:rsidP="00BD5485">
            <w:pPr>
              <w:rPr>
                <w:rFonts w:ascii="Times New Roman" w:hAnsi="Times New Roman"/>
                <w:b/>
                <w:bCs/>
                <w:sz w:val="24"/>
                <w:u w:val="single"/>
              </w:rPr>
            </w:pPr>
            <w:r w:rsidRPr="00AA1421">
              <w:rPr>
                <w:rFonts w:ascii="Times New Roman" w:hAnsi="Times New Roman"/>
                <w:sz w:val="24"/>
              </w:rPr>
              <w:t>Suma wierszy 0080, 0090 i 0100.</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0080</w:t>
            </w:r>
          </w:p>
        </w:tc>
        <w:tc>
          <w:tcPr>
            <w:tcW w:w="8131" w:type="dxa"/>
          </w:tcPr>
          <w:p w:rsidR="00BD5485" w:rsidRPr="00AA1421" w:rsidRDefault="00C211DC" w:rsidP="00BD5485">
            <w:pPr>
              <w:rPr>
                <w:rFonts w:ascii="Times New Roman" w:hAnsi="Times New Roman"/>
                <w:b/>
                <w:bCs/>
                <w:sz w:val="24"/>
                <w:u w:val="single"/>
              </w:rPr>
            </w:pPr>
            <w:r w:rsidRPr="00AA1421">
              <w:rPr>
                <w:rFonts w:ascii="Times New Roman" w:hAnsi="Times New Roman"/>
                <w:b/>
                <w:bCs/>
                <w:sz w:val="24"/>
                <w:u w:val="single"/>
              </w:rPr>
              <w:t xml:space="preserve">Wymogi w zakresie funduszy własnych dla odnośnych ekspozycji kredytowych – ryzyko kredytowe </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 xml:space="preserve">Wymogi w zakresie funduszy własnych obliczone zgodnie z częścią trzecią tytuł II rozdziały 1–4 i rozdział 6 CRR dla odnośnych ekspozycji kredytowych,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CRD, w danym państwie.</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Wymogi w zakresie funduszy własnych dla pozycji sekurytyzacyjnych w portfelu bankowym wyłącza się z tego wiersza i zgłasza w wierszu 0100.</w:t>
            </w:r>
          </w:p>
          <w:p w:rsidR="00BD5485" w:rsidRPr="00AA1421" w:rsidRDefault="00BD5485" w:rsidP="002B004B">
            <w:pPr>
              <w:rPr>
                <w:rFonts w:ascii="Times New Roman" w:hAnsi="Times New Roman"/>
                <w:b/>
                <w:bCs/>
                <w:sz w:val="24"/>
                <w:u w:val="single"/>
              </w:rPr>
            </w:pPr>
            <w:r w:rsidRPr="00AA1421">
              <w:rPr>
                <w:rFonts w:ascii="Times New Roman" w:hAnsi="Times New Roman"/>
                <w:sz w:val="24"/>
              </w:rPr>
              <w:t xml:space="preserve">Wymogi w zakresie funduszy własnych wynoszą </w:t>
            </w:r>
            <w:r w:rsidRPr="00084F66">
              <w:rPr>
                <w:rFonts w:ascii="Times New Roman" w:hAnsi="Times New Roman"/>
                <w:sz w:val="24"/>
              </w:rPr>
              <w:t>8</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kwoty ekspozycji ważonej ryzykiem zgodnie z częścią trzecią tytuł II rozdziały 1–4 i rozdział 6 CRR.</w:t>
            </w:r>
          </w:p>
        </w:tc>
      </w:tr>
      <w:tr w:rsidR="00BD5485" w:rsidRPr="00AA1421" w:rsidTr="00672D2A">
        <w:tc>
          <w:tcPr>
            <w:tcW w:w="1697" w:type="dxa"/>
          </w:tcPr>
          <w:p w:rsidR="00BD5485" w:rsidRPr="00AA1421" w:rsidRDefault="00BD5485" w:rsidP="00133107">
            <w:pPr>
              <w:rPr>
                <w:rFonts w:ascii="Times New Roman" w:hAnsi="Times New Roman"/>
                <w:sz w:val="24"/>
              </w:rPr>
            </w:pPr>
            <w:r w:rsidRPr="00AA1421">
              <w:rPr>
                <w:rFonts w:ascii="Times New Roman" w:hAnsi="Times New Roman"/>
                <w:sz w:val="24"/>
              </w:rPr>
              <w:t>0090</w:t>
            </w:r>
          </w:p>
        </w:tc>
        <w:tc>
          <w:tcPr>
            <w:tcW w:w="8131" w:type="dxa"/>
          </w:tcPr>
          <w:p w:rsidR="00BD5485" w:rsidRPr="00AA1421" w:rsidRDefault="00C211DC" w:rsidP="00BD5485">
            <w:pPr>
              <w:rPr>
                <w:rFonts w:ascii="Times New Roman" w:hAnsi="Times New Roman"/>
                <w:b/>
                <w:bCs/>
                <w:sz w:val="24"/>
                <w:u w:val="single"/>
              </w:rPr>
            </w:pPr>
            <w:r w:rsidRPr="00AA1421">
              <w:rPr>
                <w:rFonts w:ascii="Times New Roman" w:hAnsi="Times New Roman"/>
                <w:b/>
                <w:bCs/>
                <w:sz w:val="24"/>
                <w:u w:val="single"/>
              </w:rPr>
              <w:t xml:space="preserve">Wymogi w zakresie funduszy własnych dla odnośnych ekspozycji kredytowych – ryzyko rynkowe </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lastRenderedPageBreak/>
              <w:t xml:space="preserve">Wymogi w zakresie funduszy własnych obliczone zgodnie z częścią trzecią tytuł IV rozdział 2 CRR dla ryzyka szczególnego lub zgodnie z częścią trzecią tytuł IV rozdział 5 CRR dla dodatkowego ryzyka niewykonania zobowiązań i ryzyka migracji dla odnośnych ekspozycji kredytowych,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CRD, w danym państwie. </w:t>
            </w:r>
          </w:p>
          <w:p w:rsidR="00BD5485" w:rsidRPr="00AA1421" w:rsidRDefault="00BD5485" w:rsidP="00A37A04">
            <w:pPr>
              <w:autoSpaceDE w:val="0"/>
              <w:autoSpaceDN w:val="0"/>
              <w:adjustRightInd w:val="0"/>
              <w:rPr>
                <w:rFonts w:ascii="Times New Roman" w:hAnsi="Times New Roman"/>
                <w:b/>
                <w:bCs/>
                <w:sz w:val="24"/>
                <w:u w:val="single"/>
              </w:rPr>
            </w:pPr>
            <w:r w:rsidRPr="00AA1421">
              <w:rPr>
                <w:rFonts w:ascii="Times New Roman" w:hAnsi="Times New Roman"/>
                <w:sz w:val="24"/>
              </w:rPr>
              <w:t xml:space="preserve">Wymogi w zakresie funduszy własnych dla odnośnych ekspozycji kredytowych według ram ryzyka rynkowego obejmują m.in. wymogi w zakresie funduszy własnych dla pozycji sekurytyzacyjnych obliczone zgodnie z częścią trzecią tytuł IV rozdział 2 CRR oraz wymogi w zakresie funduszy własnych dla ekspozycji wobec przedsiębiorstw zbiorowego inwestowania, określone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48 CRR.</w:t>
            </w:r>
          </w:p>
        </w:tc>
      </w:tr>
      <w:tr w:rsidR="00BD5485" w:rsidRPr="00AA1421" w:rsidTr="00672D2A">
        <w:tc>
          <w:tcPr>
            <w:tcW w:w="1697" w:type="dxa"/>
          </w:tcPr>
          <w:p w:rsidR="00BD5485" w:rsidRPr="00AA1421" w:rsidRDefault="006E0E76" w:rsidP="00133107">
            <w:pPr>
              <w:rPr>
                <w:rFonts w:ascii="Times New Roman" w:hAnsi="Times New Roman"/>
                <w:sz w:val="24"/>
              </w:rPr>
            </w:pPr>
            <w:r w:rsidRPr="00AA1421">
              <w:rPr>
                <w:rFonts w:ascii="Times New Roman" w:hAnsi="Times New Roman"/>
                <w:sz w:val="24"/>
              </w:rPr>
              <w:lastRenderedPageBreak/>
              <w:t>0100</w:t>
            </w:r>
          </w:p>
        </w:tc>
        <w:tc>
          <w:tcPr>
            <w:tcW w:w="8131" w:type="dxa"/>
          </w:tcPr>
          <w:p w:rsidR="00BD5485" w:rsidRPr="00AA1421" w:rsidRDefault="00C211DC" w:rsidP="00BD5485">
            <w:pPr>
              <w:rPr>
                <w:rFonts w:ascii="Times New Roman" w:hAnsi="Times New Roman"/>
                <w:b/>
                <w:bCs/>
                <w:sz w:val="24"/>
                <w:u w:val="single"/>
              </w:rPr>
            </w:pPr>
            <w:r w:rsidRPr="00AA1421">
              <w:rPr>
                <w:rFonts w:ascii="Times New Roman" w:hAnsi="Times New Roman"/>
                <w:b/>
                <w:bCs/>
                <w:sz w:val="24"/>
                <w:u w:val="single"/>
              </w:rPr>
              <w:t>Wymogi w zakresie funduszy własnych dla odnośnych ekspozycji kredytowych – pozycje sekurytyzacyjne w portfelu bankowym</w:t>
            </w:r>
          </w:p>
          <w:p w:rsidR="00BD5485" w:rsidRPr="00AA1421" w:rsidRDefault="00BD5485" w:rsidP="00BD5485">
            <w:pPr>
              <w:autoSpaceDE w:val="0"/>
              <w:autoSpaceDN w:val="0"/>
              <w:adjustRightInd w:val="0"/>
              <w:rPr>
                <w:rFonts w:ascii="Times New Roman" w:hAnsi="Times New Roman"/>
                <w:sz w:val="24"/>
              </w:rPr>
            </w:pPr>
            <w:r w:rsidRPr="00AA1421">
              <w:rPr>
                <w:rFonts w:ascii="Times New Roman" w:hAnsi="Times New Roman"/>
                <w:sz w:val="24"/>
              </w:rPr>
              <w:t xml:space="preserve">Wymogi w zakresie funduszy własnych obliczone zgodnie z częścią trzecią tytuł II rozdział 5 CRR dla odnośnych ekspozycji kredytowych,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CRD, w danym państwie.</w:t>
            </w:r>
          </w:p>
          <w:p w:rsidR="00BD5485" w:rsidRPr="00AA1421" w:rsidRDefault="00BD5485" w:rsidP="00A37A04">
            <w:pPr>
              <w:rPr>
                <w:rFonts w:ascii="Times New Roman" w:hAnsi="Times New Roman"/>
                <w:b/>
                <w:bCs/>
                <w:sz w:val="24"/>
                <w:u w:val="single"/>
              </w:rPr>
            </w:pPr>
            <w:r w:rsidRPr="00AA1421">
              <w:rPr>
                <w:rFonts w:ascii="Times New Roman" w:hAnsi="Times New Roman"/>
                <w:sz w:val="24"/>
              </w:rPr>
              <w:t xml:space="preserve">Wymogi w zakresie funduszy własnych wynoszą </w:t>
            </w:r>
            <w:r w:rsidRPr="00084F66">
              <w:rPr>
                <w:rFonts w:ascii="Times New Roman" w:hAnsi="Times New Roman"/>
                <w:sz w:val="24"/>
              </w:rPr>
              <w:t>8</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kwoty ekspozycji ważonej ryzykiem obliczonej zgodnie z częścią trzecią tytuł II rozdział 5 CRR.</w:t>
            </w:r>
          </w:p>
        </w:tc>
      </w:tr>
      <w:tr w:rsidR="00BD5485" w:rsidRPr="00AA1421" w:rsidTr="00672D2A">
        <w:tc>
          <w:tcPr>
            <w:tcW w:w="1697" w:type="dxa"/>
          </w:tcPr>
          <w:p w:rsidR="00BD5485" w:rsidRPr="00AA1421" w:rsidRDefault="006E0E76" w:rsidP="00133107">
            <w:pPr>
              <w:rPr>
                <w:rFonts w:ascii="Times New Roman" w:hAnsi="Times New Roman"/>
                <w:sz w:val="24"/>
              </w:rPr>
            </w:pPr>
            <w:r w:rsidRPr="00AA1421">
              <w:rPr>
                <w:rFonts w:ascii="Times New Roman" w:hAnsi="Times New Roman"/>
                <w:sz w:val="24"/>
              </w:rPr>
              <w:t>0110</w:t>
            </w:r>
          </w:p>
        </w:tc>
        <w:tc>
          <w:tcPr>
            <w:tcW w:w="8131" w:type="dxa"/>
          </w:tcPr>
          <w:p w:rsidR="00966663" w:rsidRPr="00AA1421" w:rsidRDefault="00966663" w:rsidP="00966663">
            <w:pPr>
              <w:rPr>
                <w:rFonts w:ascii="Times New Roman" w:hAnsi="Times New Roman"/>
                <w:b/>
                <w:bCs/>
                <w:sz w:val="24"/>
                <w:u w:val="single"/>
              </w:rPr>
            </w:pPr>
            <w:r w:rsidRPr="00AA1421">
              <w:rPr>
                <w:rFonts w:ascii="Times New Roman" w:hAnsi="Times New Roman"/>
                <w:b/>
                <w:bCs/>
                <w:sz w:val="24"/>
                <w:u w:val="single"/>
              </w:rPr>
              <w:t>Wymogi w zakresie funduszy własnych: wagi</w:t>
            </w:r>
          </w:p>
          <w:p w:rsidR="00966663" w:rsidRPr="00AA1421" w:rsidRDefault="00966663" w:rsidP="00966663">
            <w:pPr>
              <w:rPr>
                <w:rFonts w:ascii="Times New Roman" w:hAnsi="Times New Roman"/>
                <w:sz w:val="24"/>
              </w:rPr>
            </w:pPr>
            <w:r w:rsidRPr="00AA1421">
              <w:rPr>
                <w:rFonts w:ascii="Times New Roman" w:hAnsi="Times New Roman"/>
                <w:sz w:val="24"/>
              </w:rPr>
              <w:t>Wagę stosowaną do wskaźnika bufora antycyklicznego w każdym państwie oblicza się jako współczynnik wymogów w zakresie funduszy własnych, określony w następujący sposób:</w:t>
            </w:r>
          </w:p>
          <w:p w:rsidR="00966663" w:rsidRPr="00AA1421" w:rsidRDefault="00966663" w:rsidP="00966663">
            <w:pPr>
              <w:rPr>
                <w:rFonts w:ascii="Times New Roman" w:hAnsi="Times New Roman"/>
                <w:sz w:val="24"/>
              </w:rPr>
            </w:pPr>
            <w:r w:rsidRPr="00AA1421">
              <w:rPr>
                <w:rFonts w:ascii="Times New Roman" w:hAnsi="Times New Roman"/>
                <w:sz w:val="24"/>
              </w:rPr>
              <w:t>1.</w:t>
            </w:r>
            <w:r w:rsidRPr="00AA1421">
              <w:tab/>
            </w:r>
            <w:r w:rsidRPr="00AA1421">
              <w:rPr>
                <w:rFonts w:ascii="Times New Roman" w:hAnsi="Times New Roman"/>
                <w:sz w:val="24"/>
              </w:rPr>
              <w:t xml:space="preserve">Licznik: łączne wymogi w zakresie funduszy własnych, które dotyczą odnośnych ekspozycji kredytowych w danym państwie [r0070; c0010; arkusz dotyczący danego państwa], </w:t>
            </w:r>
          </w:p>
          <w:p w:rsidR="00BD5485" w:rsidRPr="00AA1421" w:rsidRDefault="00966663" w:rsidP="00CF5466">
            <w:pPr>
              <w:rPr>
                <w:rFonts w:ascii="Times New Roman" w:hAnsi="Times New Roman"/>
                <w:b/>
                <w:bCs/>
                <w:sz w:val="24"/>
                <w:u w:val="single"/>
              </w:rPr>
            </w:pPr>
            <w:r w:rsidRPr="00AA1421">
              <w:rPr>
                <w:rFonts w:ascii="Times New Roman" w:hAnsi="Times New Roman"/>
                <w:sz w:val="24"/>
              </w:rPr>
              <w:t>2.</w:t>
            </w:r>
            <w:r w:rsidRPr="00AA1421">
              <w:tab/>
            </w:r>
            <w:r w:rsidRPr="00AA1421">
              <w:rPr>
                <w:rFonts w:ascii="Times New Roman" w:hAnsi="Times New Roman"/>
                <w:sz w:val="24"/>
              </w:rPr>
              <w:t xml:space="preserve">Mianownik: łączne wymogi w zakresie funduszy własnych, które dotyczą odnośnych ekspozycji kredytowych istotnych do celów obliczania bufora antycyklicznego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CRD [r0070; c0010; „Razem”].</w:t>
            </w:r>
          </w:p>
          <w:p w:rsidR="003B00F4" w:rsidRPr="00AA1421" w:rsidRDefault="003B00F4" w:rsidP="003B00F4">
            <w:pPr>
              <w:rPr>
                <w:rFonts w:ascii="Times New Roman" w:hAnsi="Times New Roman"/>
                <w:b/>
                <w:bCs/>
                <w:sz w:val="24"/>
                <w:u w:val="single"/>
              </w:rPr>
            </w:pPr>
            <w:r w:rsidRPr="00AA1421">
              <w:rPr>
                <w:rFonts w:ascii="Times New Roman" w:hAnsi="Times New Roman"/>
                <w:sz w:val="24"/>
              </w:rPr>
              <w:t>Informacji na temat wag dla wymogów w zakresie funduszy własnych nie zgłasza się jako wartość „Razem” dla wszystkich państw.</w:t>
            </w:r>
          </w:p>
        </w:tc>
      </w:tr>
      <w:tr w:rsidR="00966663" w:rsidRPr="00AA1421" w:rsidTr="00672D2A">
        <w:tc>
          <w:tcPr>
            <w:tcW w:w="1697" w:type="dxa"/>
          </w:tcPr>
          <w:p w:rsidR="00966663" w:rsidRPr="00AA1421" w:rsidRDefault="006E0E76" w:rsidP="00133107">
            <w:pPr>
              <w:rPr>
                <w:rFonts w:ascii="Times New Roman" w:hAnsi="Times New Roman"/>
                <w:sz w:val="24"/>
              </w:rPr>
            </w:pPr>
            <w:r w:rsidRPr="00AA1421">
              <w:rPr>
                <w:rFonts w:ascii="Times New Roman" w:hAnsi="Times New Roman"/>
                <w:sz w:val="24"/>
              </w:rPr>
              <w:t>0120-0140</w:t>
            </w:r>
          </w:p>
        </w:tc>
        <w:tc>
          <w:tcPr>
            <w:tcW w:w="8131" w:type="dxa"/>
          </w:tcPr>
          <w:p w:rsidR="00966663" w:rsidRPr="00AA1421" w:rsidRDefault="00966663" w:rsidP="00133107">
            <w:pPr>
              <w:rPr>
                <w:rFonts w:ascii="Times New Roman" w:hAnsi="Times New Roman"/>
                <w:b/>
                <w:bCs/>
                <w:sz w:val="24"/>
                <w:u w:val="single"/>
              </w:rPr>
            </w:pPr>
            <w:r w:rsidRPr="00AA1421">
              <w:rPr>
                <w:rFonts w:ascii="Times New Roman" w:hAnsi="Times New Roman"/>
                <w:b/>
                <w:bCs/>
                <w:sz w:val="24"/>
                <w:u w:val="single"/>
              </w:rPr>
              <w:t>Wskaźniki bufora antycyklicznego</w:t>
            </w:r>
          </w:p>
        </w:tc>
      </w:tr>
      <w:tr w:rsidR="00966663" w:rsidRPr="00AA1421" w:rsidTr="00672D2A">
        <w:tc>
          <w:tcPr>
            <w:tcW w:w="1697" w:type="dxa"/>
          </w:tcPr>
          <w:p w:rsidR="00966663" w:rsidRPr="00AA1421" w:rsidRDefault="006E0E76" w:rsidP="00133107">
            <w:pPr>
              <w:rPr>
                <w:rFonts w:ascii="Times New Roman" w:hAnsi="Times New Roman"/>
                <w:sz w:val="24"/>
              </w:rPr>
            </w:pPr>
            <w:r w:rsidRPr="00AA1421">
              <w:rPr>
                <w:rFonts w:ascii="Times New Roman" w:hAnsi="Times New Roman"/>
                <w:sz w:val="24"/>
              </w:rPr>
              <w:t>0120</w:t>
            </w:r>
          </w:p>
        </w:tc>
        <w:tc>
          <w:tcPr>
            <w:tcW w:w="8131" w:type="dxa"/>
          </w:tcPr>
          <w:p w:rsidR="00966663" w:rsidRPr="00AA1421" w:rsidRDefault="00966663" w:rsidP="00133107">
            <w:pPr>
              <w:rPr>
                <w:rFonts w:ascii="Times New Roman" w:hAnsi="Times New Roman"/>
                <w:b/>
                <w:bCs/>
                <w:sz w:val="24"/>
                <w:u w:val="single"/>
              </w:rPr>
            </w:pPr>
            <w:r w:rsidRPr="00AA1421">
              <w:rPr>
                <w:rFonts w:ascii="Times New Roman" w:hAnsi="Times New Roman"/>
                <w:b/>
                <w:bCs/>
                <w:sz w:val="24"/>
                <w:u w:val="single"/>
              </w:rPr>
              <w:t>Wskaźnik bufora antycyklicznego określony przez wyznaczony organ</w:t>
            </w:r>
          </w:p>
          <w:p w:rsidR="00966663" w:rsidRPr="00AA1421" w:rsidRDefault="00966663" w:rsidP="00133107">
            <w:pPr>
              <w:autoSpaceDE w:val="0"/>
              <w:autoSpaceDN w:val="0"/>
              <w:adjustRightInd w:val="0"/>
              <w:rPr>
                <w:rFonts w:ascii="Times New Roman" w:hAnsi="Times New Roman"/>
                <w:sz w:val="24"/>
              </w:rPr>
            </w:pPr>
            <w:r w:rsidRPr="00AA1421">
              <w:rPr>
                <w:rFonts w:ascii="Times New Roman" w:hAnsi="Times New Roman"/>
                <w:sz w:val="24"/>
              </w:rPr>
              <w:t xml:space="preserve">Wskaźnik bufora antycyklicznego określony dla danego państwa przez wyznaczony organ tego państwa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36, 137, 139,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i c)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CRD.</w:t>
            </w:r>
          </w:p>
          <w:p w:rsidR="00C4425F" w:rsidRPr="00AA1421" w:rsidRDefault="00966663" w:rsidP="00133107">
            <w:pPr>
              <w:autoSpaceDE w:val="0"/>
              <w:autoSpaceDN w:val="0"/>
              <w:adjustRightInd w:val="0"/>
              <w:rPr>
                <w:rFonts w:ascii="Times New Roman" w:hAnsi="Times New Roman"/>
                <w:sz w:val="24"/>
              </w:rPr>
            </w:pPr>
            <w:r w:rsidRPr="00AA1421">
              <w:rPr>
                <w:rFonts w:ascii="Times New Roman" w:hAnsi="Times New Roman"/>
                <w:sz w:val="24"/>
              </w:rPr>
              <w:t>Wiersz ten pozostawia się niewypełniony, jeżeli dla danego państwa wyznaczony organ tego państwa nie określił wskaźnika bufora antycyklicznego.</w:t>
            </w:r>
          </w:p>
          <w:p w:rsidR="00C4425F" w:rsidRPr="00AA1421" w:rsidRDefault="00966663" w:rsidP="00133107">
            <w:pPr>
              <w:autoSpaceDE w:val="0"/>
              <w:autoSpaceDN w:val="0"/>
              <w:adjustRightInd w:val="0"/>
              <w:rPr>
                <w:rFonts w:ascii="Times New Roman" w:hAnsi="Times New Roman"/>
                <w:sz w:val="24"/>
              </w:rPr>
            </w:pPr>
            <w:r w:rsidRPr="00AA1421">
              <w:rPr>
                <w:rFonts w:ascii="Times New Roman" w:hAnsi="Times New Roman"/>
                <w:sz w:val="24"/>
              </w:rPr>
              <w:t>Nie zgłasza się wskaźników bufora antycyklicznego określonych przez wyznaczony organ, które na sprawozdawczy dzień odniesienia nie mają jeszcze zastosowania w danym państwie.</w:t>
            </w:r>
          </w:p>
          <w:p w:rsidR="00966663" w:rsidRPr="00AA1421" w:rsidRDefault="00966663" w:rsidP="000E6835">
            <w:pPr>
              <w:rPr>
                <w:rFonts w:ascii="Times New Roman" w:hAnsi="Times New Roman"/>
                <w:b/>
                <w:bCs/>
                <w:sz w:val="24"/>
                <w:u w:val="single"/>
              </w:rPr>
            </w:pPr>
            <w:r w:rsidRPr="00AA1421">
              <w:rPr>
                <w:rFonts w:ascii="Times New Roman" w:hAnsi="Times New Roman"/>
                <w:sz w:val="24"/>
              </w:rPr>
              <w:t xml:space="preserve">Informacji na temat wskaźnika bufora antycyklicznego określonego przez wyznaczony organ nie zgłasza się jako wartość „Razem” dla wszystkich krajów. </w:t>
            </w:r>
          </w:p>
        </w:tc>
      </w:tr>
      <w:tr w:rsidR="00966663" w:rsidRPr="00AA1421" w:rsidTr="00672D2A">
        <w:tc>
          <w:tcPr>
            <w:tcW w:w="1697" w:type="dxa"/>
          </w:tcPr>
          <w:p w:rsidR="00966663" w:rsidRPr="00AA1421" w:rsidRDefault="006E0E76" w:rsidP="00133107">
            <w:pPr>
              <w:rPr>
                <w:rFonts w:ascii="Times New Roman" w:hAnsi="Times New Roman"/>
                <w:sz w:val="24"/>
              </w:rPr>
            </w:pPr>
            <w:r w:rsidRPr="00AA1421">
              <w:rPr>
                <w:rFonts w:ascii="Times New Roman" w:hAnsi="Times New Roman"/>
                <w:sz w:val="24"/>
              </w:rPr>
              <w:lastRenderedPageBreak/>
              <w:t>0130</w:t>
            </w:r>
          </w:p>
        </w:tc>
        <w:tc>
          <w:tcPr>
            <w:tcW w:w="8131" w:type="dxa"/>
          </w:tcPr>
          <w:p w:rsidR="00966663" w:rsidRPr="00AA1421" w:rsidRDefault="00966663" w:rsidP="00133107">
            <w:pPr>
              <w:rPr>
                <w:rFonts w:ascii="Times New Roman" w:hAnsi="Times New Roman"/>
                <w:b/>
                <w:bCs/>
                <w:sz w:val="24"/>
                <w:u w:val="single"/>
              </w:rPr>
            </w:pPr>
            <w:r w:rsidRPr="00AA1421">
              <w:rPr>
                <w:rFonts w:ascii="Times New Roman" w:hAnsi="Times New Roman"/>
                <w:b/>
                <w:bCs/>
                <w:sz w:val="24"/>
                <w:u w:val="single"/>
              </w:rPr>
              <w:t>Wskaźnik bufora antycyklicznego mający zastosowanie w państwie, w którym mieści się instytucja</w:t>
            </w:r>
          </w:p>
          <w:p w:rsidR="00C4425F" w:rsidRPr="00AA1421" w:rsidRDefault="00966663" w:rsidP="00133107">
            <w:pPr>
              <w:autoSpaceDE w:val="0"/>
              <w:autoSpaceDN w:val="0"/>
              <w:adjustRightInd w:val="0"/>
              <w:rPr>
                <w:rFonts w:ascii="Times New Roman" w:hAnsi="Times New Roman"/>
                <w:sz w:val="24"/>
              </w:rPr>
            </w:pPr>
            <w:r w:rsidRPr="00AA1421">
              <w:rPr>
                <w:rFonts w:ascii="Times New Roman" w:hAnsi="Times New Roman"/>
                <w:sz w:val="24"/>
              </w:rPr>
              <w:t xml:space="preserve">Wskaźnik bufora antycyklicznego mający zastosowanie w danym państwie, który został ustalony przez wyznaczony organ państwa siedziby instytucji,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37, 138, 139,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CRD. Nie zgłasza się wskaźników bufora antycyklicznego, które na sprawozdawczy dzień odniesienia nie mają jeszcze zastosowania.</w:t>
            </w:r>
          </w:p>
          <w:p w:rsidR="00966663" w:rsidRPr="00AA1421" w:rsidRDefault="00966663" w:rsidP="00133107">
            <w:pPr>
              <w:rPr>
                <w:rFonts w:ascii="Times New Roman" w:hAnsi="Times New Roman"/>
                <w:b/>
                <w:bCs/>
                <w:sz w:val="24"/>
                <w:u w:val="single"/>
              </w:rPr>
            </w:pPr>
            <w:r w:rsidRPr="00AA1421">
              <w:rPr>
                <w:rFonts w:ascii="Times New Roman" w:hAnsi="Times New Roman"/>
                <w:sz w:val="24"/>
              </w:rPr>
              <w:t>Informacji na temat wskaźnika bufora antycyklicznego mającego zastosowanie w państwie, w którym mieści się instytucja, nie zgłasza się jako wartość „Razem” dla wszystkich państw.</w:t>
            </w:r>
          </w:p>
        </w:tc>
      </w:tr>
      <w:tr w:rsidR="00966663" w:rsidRPr="00AA1421" w:rsidTr="00672D2A">
        <w:tc>
          <w:tcPr>
            <w:tcW w:w="1697" w:type="dxa"/>
          </w:tcPr>
          <w:p w:rsidR="00966663" w:rsidRPr="00AA1421" w:rsidRDefault="006E0E76" w:rsidP="00133107">
            <w:pPr>
              <w:rPr>
                <w:rFonts w:ascii="Times New Roman" w:hAnsi="Times New Roman"/>
                <w:sz w:val="24"/>
              </w:rPr>
            </w:pPr>
            <w:r w:rsidRPr="00AA1421">
              <w:rPr>
                <w:rFonts w:ascii="Times New Roman" w:hAnsi="Times New Roman"/>
                <w:sz w:val="24"/>
              </w:rPr>
              <w:t>0140</w:t>
            </w:r>
          </w:p>
        </w:tc>
        <w:tc>
          <w:tcPr>
            <w:tcW w:w="8131" w:type="dxa"/>
          </w:tcPr>
          <w:p w:rsidR="00966663" w:rsidRPr="00AA1421" w:rsidRDefault="00966663" w:rsidP="00133107">
            <w:pPr>
              <w:rPr>
                <w:rFonts w:ascii="Times New Roman" w:hAnsi="Times New Roman"/>
                <w:b/>
                <w:bCs/>
                <w:sz w:val="24"/>
                <w:u w:val="single"/>
              </w:rPr>
            </w:pPr>
            <w:r w:rsidRPr="00AA1421">
              <w:rPr>
                <w:rFonts w:ascii="Times New Roman" w:hAnsi="Times New Roman"/>
                <w:b/>
                <w:bCs/>
                <w:sz w:val="24"/>
                <w:u w:val="single"/>
              </w:rPr>
              <w:t xml:space="preserve">Specyficzny dla instytucji wskaźnik bufora antycyklicznego </w:t>
            </w:r>
          </w:p>
          <w:p w:rsidR="00C4425F" w:rsidRPr="00AA1421" w:rsidRDefault="00966663" w:rsidP="00133107">
            <w:pPr>
              <w:autoSpaceDE w:val="0"/>
              <w:autoSpaceDN w:val="0"/>
              <w:adjustRightInd w:val="0"/>
              <w:rPr>
                <w:rFonts w:ascii="Times New Roman" w:hAnsi="Times New Roman"/>
                <w:sz w:val="24"/>
              </w:rPr>
            </w:pPr>
            <w:r w:rsidRPr="00AA1421">
              <w:rPr>
                <w:rFonts w:ascii="Times New Roman" w:hAnsi="Times New Roman"/>
                <w:sz w:val="24"/>
              </w:rPr>
              <w:t xml:space="preserve">Specyficzny dla instytucji wskaźnik bufora antycyklicznego obliczony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CRD. </w:t>
            </w:r>
          </w:p>
          <w:p w:rsidR="00C4425F" w:rsidRPr="00AA1421" w:rsidRDefault="00966663" w:rsidP="00133107">
            <w:pPr>
              <w:autoSpaceDE w:val="0"/>
              <w:autoSpaceDN w:val="0"/>
              <w:adjustRightInd w:val="0"/>
              <w:rPr>
                <w:rFonts w:ascii="Times New Roman" w:hAnsi="Times New Roman"/>
                <w:sz w:val="24"/>
              </w:rPr>
            </w:pPr>
            <w:r w:rsidRPr="00AA1421">
              <w:rPr>
                <w:rFonts w:ascii="Times New Roman" w:hAnsi="Times New Roman"/>
                <w:sz w:val="24"/>
              </w:rPr>
              <w:t xml:space="preserve">Specyficzny dla instytucji wskaźnik bufora antycyklicznego oblicza się jako średnią ważoną wskaźników bufora antycyklicznego mających zastosowanie w jurysdykcjach, w których odnośne ekspozycje kredytowe instytucji się znajdują lub są stosowane do celów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40 na mocy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CRD. Odnośny wskaźnik bufora antycyklicznego zgłasza się, stosownie do przypadku, w pozycji [r0120; c0020; arkusz dotyczący danego państwa] lub [r0130; c0020; arkusz dotyczący danego państwa].</w:t>
            </w:r>
          </w:p>
          <w:p w:rsidR="00C4425F" w:rsidRPr="00AA1421" w:rsidRDefault="00966663" w:rsidP="00133107">
            <w:pPr>
              <w:autoSpaceDE w:val="0"/>
              <w:autoSpaceDN w:val="0"/>
              <w:adjustRightInd w:val="0"/>
              <w:rPr>
                <w:rFonts w:ascii="Times New Roman" w:hAnsi="Times New Roman"/>
                <w:b/>
                <w:strike/>
                <w:sz w:val="24"/>
              </w:rPr>
            </w:pPr>
            <w:r w:rsidRPr="00AA1421">
              <w:rPr>
                <w:rFonts w:ascii="Times New Roman" w:hAnsi="Times New Roman"/>
                <w:sz w:val="24"/>
              </w:rPr>
              <w:t xml:space="preserve">Wagę stosowaną do wskaźnika bufora antycyklicznego w każdym państwie stanowi udział wymogów w zakresie funduszy własnych w łącznych wymogach w zakresie funduszy własnych; podlega ona zgłoszeniu w pozycji [r0110; c0020; arkusz dotyczący danego państwa], </w:t>
            </w:r>
          </w:p>
          <w:p w:rsidR="00966663" w:rsidRPr="00AA1421" w:rsidRDefault="00966663" w:rsidP="00B816A3">
            <w:pPr>
              <w:rPr>
                <w:rFonts w:ascii="Times New Roman" w:hAnsi="Times New Roman"/>
                <w:b/>
                <w:bCs/>
                <w:sz w:val="24"/>
                <w:u w:val="single"/>
              </w:rPr>
            </w:pPr>
            <w:r w:rsidRPr="00AA1421">
              <w:rPr>
                <w:rFonts w:ascii="Times New Roman" w:hAnsi="Times New Roman"/>
                <w:sz w:val="24"/>
              </w:rPr>
              <w:t>Informacje na temat specyficznego dla instytucji wskaźnika bufora antycyklicznego zgłasza się wyłącznie jako wartość „Razem” dla wszystkich państw, a nie osobno dla każdego państwa.</w:t>
            </w:r>
          </w:p>
        </w:tc>
      </w:tr>
      <w:tr w:rsidR="006B1A77" w:rsidRPr="00AA1421" w:rsidTr="00672D2A">
        <w:tc>
          <w:tcPr>
            <w:tcW w:w="1697" w:type="dxa"/>
          </w:tcPr>
          <w:p w:rsidR="006B1A77" w:rsidRPr="00AA1421" w:rsidRDefault="006E0E76" w:rsidP="00FC0B81">
            <w:pPr>
              <w:rPr>
                <w:rFonts w:ascii="Times New Roman" w:hAnsi="Times New Roman"/>
                <w:sz w:val="24"/>
              </w:rPr>
            </w:pPr>
            <w:r w:rsidRPr="00AA1421">
              <w:rPr>
                <w:rFonts w:ascii="Times New Roman" w:hAnsi="Times New Roman"/>
                <w:sz w:val="24"/>
              </w:rPr>
              <w:t>0150 - 0160</w:t>
            </w:r>
          </w:p>
        </w:tc>
        <w:tc>
          <w:tcPr>
            <w:tcW w:w="8131" w:type="dxa"/>
          </w:tcPr>
          <w:p w:rsidR="006B1A77" w:rsidRPr="00AA1421" w:rsidRDefault="006B1A77" w:rsidP="00133107">
            <w:pPr>
              <w:rPr>
                <w:rFonts w:ascii="Times New Roman" w:hAnsi="Times New Roman"/>
                <w:b/>
                <w:bCs/>
                <w:sz w:val="24"/>
                <w:u w:val="single"/>
              </w:rPr>
            </w:pPr>
            <w:r w:rsidRPr="00AA1421">
              <w:rPr>
                <w:rFonts w:ascii="Times New Roman" w:hAnsi="Times New Roman"/>
                <w:b/>
                <w:bCs/>
                <w:sz w:val="24"/>
                <w:u w:val="single"/>
              </w:rPr>
              <w:t>Zastosowanie 2-procentowego progu</w:t>
            </w:r>
          </w:p>
        </w:tc>
      </w:tr>
      <w:tr w:rsidR="00966663" w:rsidRPr="00AA1421" w:rsidTr="00672D2A">
        <w:tc>
          <w:tcPr>
            <w:tcW w:w="1697" w:type="dxa"/>
          </w:tcPr>
          <w:p w:rsidR="00966663" w:rsidRPr="00AA1421" w:rsidRDefault="006E0E76" w:rsidP="00133107">
            <w:pPr>
              <w:rPr>
                <w:rFonts w:ascii="Times New Roman" w:hAnsi="Times New Roman"/>
                <w:sz w:val="24"/>
              </w:rPr>
            </w:pPr>
            <w:r w:rsidRPr="00AA1421">
              <w:rPr>
                <w:rFonts w:ascii="Times New Roman" w:hAnsi="Times New Roman"/>
                <w:sz w:val="24"/>
              </w:rPr>
              <w:t>0150</w:t>
            </w:r>
          </w:p>
        </w:tc>
        <w:tc>
          <w:tcPr>
            <w:tcW w:w="8131" w:type="dxa"/>
          </w:tcPr>
          <w:p w:rsidR="006A3A82" w:rsidRPr="00AA1421" w:rsidRDefault="00FC0B81" w:rsidP="006A3A82">
            <w:pPr>
              <w:autoSpaceDE w:val="0"/>
              <w:autoSpaceDN w:val="0"/>
              <w:adjustRightInd w:val="0"/>
              <w:rPr>
                <w:rFonts w:ascii="Times New Roman" w:hAnsi="Times New Roman"/>
                <w:sz w:val="24"/>
              </w:rPr>
            </w:pPr>
            <w:r w:rsidRPr="00AA1421">
              <w:rPr>
                <w:rFonts w:ascii="Times New Roman" w:hAnsi="Times New Roman"/>
                <w:b/>
                <w:bCs/>
                <w:sz w:val="24"/>
                <w:u w:val="single"/>
              </w:rPr>
              <w:t>Zastosowanie 2-procentowego progu dla ogólnej ekspozycji kredytowej</w:t>
            </w:r>
            <w:r w:rsidRPr="00AA1421">
              <w:rPr>
                <w:rFonts w:ascii="Times New Roman" w:hAnsi="Times New Roman"/>
                <w:sz w:val="24"/>
              </w:rPr>
              <w:t xml:space="preserve"> </w:t>
            </w:r>
          </w:p>
          <w:p w:rsidR="006A3A82" w:rsidRPr="00AA1421" w:rsidRDefault="006A3A82" w:rsidP="006A3A82">
            <w:pPr>
              <w:autoSpaceDE w:val="0"/>
              <w:autoSpaceDN w:val="0"/>
              <w:adjustRightInd w:val="0"/>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Komisji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152/2014 zagraniczne ogólne ekspozycje kredytowe, które łącznie nie przekraczają </w:t>
            </w:r>
            <w:r w:rsidRPr="00084F66">
              <w:rPr>
                <w:rFonts w:ascii="Times New Roman" w:hAnsi="Times New Roman"/>
                <w:sz w:val="24"/>
              </w:rPr>
              <w:t>2</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łącznych ogólnych ekspozycji kredytowych, ekspozycji zaliczonych do portfela handlowego i ekspozycji sekurytyzacyjnych tej instytucji, można przypisać państwu członkowskiemu pochodzenia instytucji. Łączne ogólne ekspozycje kredytowe, ekspozycje zaliczone do portfela handlowego i ekspozycje sekurytyzacyjne oblicza się z wykluczeniem ogólnych ekspozycji kredytowych zlokalizowanych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rozporządzenia delegowanego Komisji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152/2014.</w:t>
            </w:r>
          </w:p>
          <w:p w:rsidR="00966663" w:rsidRPr="00AA1421" w:rsidRDefault="006A3A82" w:rsidP="006A3A82">
            <w:pPr>
              <w:autoSpaceDE w:val="0"/>
              <w:autoSpaceDN w:val="0"/>
              <w:adjustRightInd w:val="0"/>
              <w:rPr>
                <w:rFonts w:ascii="Times New Roman" w:hAnsi="Times New Roman"/>
                <w:sz w:val="24"/>
              </w:rPr>
            </w:pPr>
            <w:r w:rsidRPr="00AA1421">
              <w:rPr>
                <w:rFonts w:ascii="Times New Roman" w:hAnsi="Times New Roman"/>
                <w:sz w:val="24"/>
              </w:rPr>
              <w:t>Jeżeli instytucja skorzysta z tego odstępstwa, we wzorze dla jurysdykcji odpowiadającej państwu członkowskiemu jej pochodzenia oraz w pozycji „Razem” dla wszystkich państw wpisuje „y”.</w:t>
            </w:r>
          </w:p>
          <w:p w:rsidR="006A3A82" w:rsidRPr="00AA1421" w:rsidRDefault="006A3A82" w:rsidP="006A3A82">
            <w:pPr>
              <w:autoSpaceDE w:val="0"/>
              <w:autoSpaceDN w:val="0"/>
              <w:adjustRightInd w:val="0"/>
              <w:rPr>
                <w:rFonts w:ascii="Times New Roman" w:hAnsi="Times New Roman"/>
                <w:sz w:val="24"/>
              </w:rPr>
            </w:pPr>
            <w:r w:rsidRPr="00AA1421">
              <w:rPr>
                <w:rFonts w:ascii="Times New Roman" w:hAnsi="Times New Roman"/>
                <w:sz w:val="24"/>
              </w:rPr>
              <w:t>Jeżeli instytucja nie skorzysta z tego odstępstwa, w odpowiedniej komórce wpisuje „n”.</w:t>
            </w:r>
          </w:p>
        </w:tc>
      </w:tr>
      <w:tr w:rsidR="00966663" w:rsidRPr="00AA1421" w:rsidTr="00672D2A">
        <w:tc>
          <w:tcPr>
            <w:tcW w:w="1697" w:type="dxa"/>
          </w:tcPr>
          <w:p w:rsidR="00966663" w:rsidRPr="00AA1421" w:rsidRDefault="006E0E76" w:rsidP="00133107">
            <w:pPr>
              <w:rPr>
                <w:rFonts w:ascii="Times New Roman" w:hAnsi="Times New Roman"/>
                <w:sz w:val="24"/>
              </w:rPr>
            </w:pPr>
            <w:r w:rsidRPr="00AA1421">
              <w:rPr>
                <w:rFonts w:ascii="Times New Roman" w:hAnsi="Times New Roman"/>
                <w:sz w:val="24"/>
              </w:rPr>
              <w:lastRenderedPageBreak/>
              <w:t>0160</w:t>
            </w:r>
          </w:p>
        </w:tc>
        <w:tc>
          <w:tcPr>
            <w:tcW w:w="8131" w:type="dxa"/>
          </w:tcPr>
          <w:p w:rsidR="00535A98" w:rsidRPr="00AA1421" w:rsidRDefault="00FC0B81" w:rsidP="006A3A82">
            <w:pPr>
              <w:autoSpaceDE w:val="0"/>
              <w:autoSpaceDN w:val="0"/>
              <w:adjustRightInd w:val="0"/>
              <w:rPr>
                <w:rFonts w:ascii="Times New Roman" w:hAnsi="Times New Roman"/>
                <w:sz w:val="24"/>
              </w:rPr>
            </w:pPr>
            <w:r w:rsidRPr="00AA1421">
              <w:rPr>
                <w:rFonts w:ascii="Times New Roman" w:hAnsi="Times New Roman"/>
                <w:b/>
                <w:bCs/>
                <w:sz w:val="24"/>
                <w:u w:val="single"/>
              </w:rPr>
              <w:t>Zastosowanie 2-procentowego progu dla ekspozycji zaliczonej do portfela handlowego</w:t>
            </w:r>
          </w:p>
          <w:p w:rsidR="006A3A82" w:rsidRPr="00AA1421" w:rsidRDefault="006A3A82" w:rsidP="006A3A82">
            <w:pPr>
              <w:autoSpaceDE w:val="0"/>
              <w:autoSpaceDN w:val="0"/>
              <w:adjustRightInd w:val="0"/>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rozporządzenia delegowanego Komisji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152/2014 instytucje mogą przypisać ekspozycje zaliczone do portfela handlowego państwu członkowskiemu pochodzenia instytucji, jeżeli łączne ekspozycje zaliczone do portfela handlowego nie przekraczają </w:t>
            </w:r>
            <w:r w:rsidRPr="00084F66">
              <w:rPr>
                <w:rFonts w:ascii="Times New Roman" w:hAnsi="Times New Roman"/>
                <w:sz w:val="24"/>
              </w:rPr>
              <w:t>2</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ich łącznych ogólnych ekspozycji kredytowych, ekspozycji zaliczonych do portfela handlowego i ekspozycji sekurytyzacyjnych.</w:t>
            </w:r>
          </w:p>
          <w:p w:rsidR="006A3A82" w:rsidRPr="00AA1421" w:rsidRDefault="006A3A82" w:rsidP="006A3A82">
            <w:pPr>
              <w:rPr>
                <w:rFonts w:ascii="Times New Roman" w:hAnsi="Times New Roman"/>
                <w:sz w:val="24"/>
              </w:rPr>
            </w:pPr>
            <w:r w:rsidRPr="00AA1421">
              <w:rPr>
                <w:rFonts w:ascii="Times New Roman" w:hAnsi="Times New Roman"/>
                <w:sz w:val="24"/>
              </w:rPr>
              <w:t>Jeżeli instytucja skorzysta z tego odstępstwa, we wzorze dla jurysdykcji odpowiadającej państwu członkowskiemu jej pochodzenia oraz w pozycji „Razem” dla wszystkich państw wpisuje „y”.</w:t>
            </w:r>
          </w:p>
          <w:p w:rsidR="00966663" w:rsidRPr="00AA1421" w:rsidRDefault="006A3A82" w:rsidP="006A3A82">
            <w:pPr>
              <w:rPr>
                <w:rFonts w:ascii="Times New Roman" w:hAnsi="Times New Roman"/>
                <w:b/>
                <w:bCs/>
                <w:sz w:val="24"/>
                <w:u w:val="single"/>
              </w:rPr>
            </w:pPr>
            <w:r w:rsidRPr="00AA1421">
              <w:rPr>
                <w:rFonts w:ascii="Times New Roman" w:hAnsi="Times New Roman"/>
                <w:sz w:val="24"/>
              </w:rPr>
              <w:t>Jeżeli instytucja nie skorzysta z tego odstępstwa, w odpowiedniej komórce wpisuje „n”.</w:t>
            </w:r>
          </w:p>
        </w:tc>
      </w:tr>
    </w:tbl>
    <w:p w:rsidR="004357B9" w:rsidRPr="00AA1421" w:rsidRDefault="004357B9">
      <w:pPr>
        <w:spacing w:before="0" w:after="0"/>
        <w:jc w:val="left"/>
        <w:rPr>
          <w:rFonts w:ascii="Times New Roman" w:hAnsi="Times New Roman"/>
          <w:bCs/>
          <w:sz w:val="24"/>
          <w:lang w:eastAsia="de-DE"/>
        </w:rPr>
      </w:pPr>
    </w:p>
    <w:p w:rsidR="00C61FF5" w:rsidRPr="00AA1421"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403662"/>
      <w:r w:rsidRPr="00AA1421">
        <w:rPr>
          <w:rFonts w:ascii="Times New Roman" w:hAnsi="Times New Roman"/>
          <w:sz w:val="24"/>
          <w:u w:val="none"/>
        </w:rPr>
        <w:t>3.5.</w:t>
      </w:r>
      <w:r w:rsidR="00D712CF" w:rsidRPr="00AA1421">
        <w:rPr>
          <w:u w:val="none"/>
        </w:rPr>
        <w:tab/>
      </w:r>
      <w:bookmarkStart w:id="387" w:name="_Toc295829919"/>
      <w:r w:rsidRPr="00AA1421">
        <w:rPr>
          <w:rFonts w:ascii="Times New Roman" w:hAnsi="Times New Roman"/>
          <w:sz w:val="24"/>
        </w:rPr>
        <w:t>C 10.01 oraz C 10.02 – Ekspozycje kapitałowe, w odniesieniu do których zastosowano metodę wewnętrznych ratingów</w:t>
      </w:r>
      <w:bookmarkEnd w:id="387"/>
      <w:bookmarkEnd w:id="383"/>
      <w:bookmarkEnd w:id="384"/>
      <w:r w:rsidRPr="00AA1421">
        <w:rPr>
          <w:rFonts w:ascii="Times New Roman" w:hAnsi="Times New Roman"/>
          <w:sz w:val="24"/>
        </w:rPr>
        <w:t xml:space="preserve"> (CR EQU IRB 1 oraz CR EQU IRB 2)</w:t>
      </w:r>
      <w:bookmarkEnd w:id="385"/>
      <w:bookmarkEnd w:id="386"/>
    </w:p>
    <w:p w:rsidR="00C61FF5" w:rsidRPr="00AA1421"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403663"/>
      <w:r w:rsidRPr="00AA1421">
        <w:rPr>
          <w:rFonts w:ascii="Times New Roman" w:hAnsi="Times New Roman"/>
          <w:sz w:val="24"/>
          <w:u w:val="none"/>
        </w:rPr>
        <w:t>3.5.1.</w:t>
      </w:r>
      <w:r w:rsidR="00D712CF" w:rsidRPr="00AA1421">
        <w:rPr>
          <w:u w:val="none"/>
        </w:rPr>
        <w:tab/>
      </w:r>
      <w:r w:rsidRPr="00AA1421">
        <w:rPr>
          <w:rFonts w:ascii="Times New Roman" w:hAnsi="Times New Roman"/>
          <w:sz w:val="24"/>
        </w:rPr>
        <w:t>Uwagi ogólne</w:t>
      </w:r>
      <w:bookmarkEnd w:id="388"/>
      <w:bookmarkEnd w:id="389"/>
      <w:bookmarkEnd w:id="390"/>
      <w:bookmarkEnd w:id="391"/>
      <w:bookmarkEnd w:id="392"/>
      <w:bookmarkEnd w:id="393"/>
    </w:p>
    <w:p w:rsidR="00C61FF5" w:rsidRPr="00AA1421" w:rsidRDefault="00AA1421" w:rsidP="00487A02">
      <w:pPr>
        <w:pStyle w:val="InstructionsText2"/>
        <w:numPr>
          <w:ilvl w:val="0"/>
          <w:numId w:val="0"/>
        </w:numPr>
        <w:ind w:left="1353" w:hanging="360"/>
      </w:pPr>
      <w:fldSimple w:instr=" seq paragraphs ">
        <w:r w:rsidR="00D11E4C" w:rsidRPr="00AA1421">
          <w:rPr>
            <w:noProof/>
          </w:rPr>
          <w:t>92</w:t>
        </w:r>
      </w:fldSimple>
      <w:r w:rsidR="00D11E4C" w:rsidRPr="00AA1421">
        <w:t>.</w:t>
      </w:r>
      <w:r w:rsidR="00D11E4C" w:rsidRPr="00AA1421">
        <w:tab/>
        <w:t>Wzór CR EQU IRB składa się z dwóch wzorów: wzór CR EQU IRB 1 zawiera ogólny przegląd ekspozycji według metody IRB w odniesieniu do kategorii ekspozycji kapitałowej i różnych metod obliczania łącznych kwot ekspozycji na ryzyko. Wzór CR EQU IRB 2 zawiera podział ekspozycji całkowitych przypisanych klasom jakości w kontekście metody opartej na PD/LGD. W dalszych instrukcjach wzór „CR EQU IRB” odnosi się w stosownych przypadkach zarówno do „CR EQU IRB 1”, jak i do „CR EQU IRB 2”.</w:t>
      </w:r>
    </w:p>
    <w:p w:rsidR="00C61FF5" w:rsidRPr="00AA1421" w:rsidRDefault="00AA1421" w:rsidP="00487A02">
      <w:pPr>
        <w:pStyle w:val="InstructionsText2"/>
        <w:numPr>
          <w:ilvl w:val="0"/>
          <w:numId w:val="0"/>
        </w:numPr>
        <w:ind w:left="1353" w:hanging="360"/>
      </w:pPr>
      <w:fldSimple w:instr=" seq paragraphs ">
        <w:r w:rsidR="00D11E4C" w:rsidRPr="00AA1421">
          <w:rPr>
            <w:noProof/>
          </w:rPr>
          <w:t>93</w:t>
        </w:r>
      </w:fldSimple>
      <w:r w:rsidR="00D11E4C" w:rsidRPr="00AA1421">
        <w:t>.</w:t>
      </w:r>
      <w:r w:rsidR="00D11E4C" w:rsidRPr="00AA1421">
        <w:tab/>
        <w:t>Wzór CR EQU IRB zawiera informacje dotyczące obliczania kwot ekspozycji ważonych ryzykiem z tytułu ryzyka kredytowego (</w:t>
      </w:r>
      <w:r w:rsidR="00D11E4C" w:rsidRPr="00084F66">
        <w:t>art.</w:t>
      </w:r>
      <w:r w:rsidR="00084F66" w:rsidRPr="00084F66">
        <w:t> </w:t>
      </w:r>
      <w:r w:rsidR="00D11E4C" w:rsidRPr="00084F66">
        <w:t>9</w:t>
      </w:r>
      <w:r w:rsidR="00D11E4C" w:rsidRPr="00AA1421">
        <w:t xml:space="preserve">2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a)</w:t>
      </w:r>
      <w:r w:rsidR="00D11E4C" w:rsidRPr="00AA1421">
        <w:t xml:space="preserve"> CRR) zgodnie z częścią trzecią tytuł II rozdział 3 CRR dla ekspozycji kapitałowych, o których mowa w </w:t>
      </w:r>
      <w:r w:rsidR="00D11E4C" w:rsidRPr="00084F66">
        <w:t>art.</w:t>
      </w:r>
      <w:r w:rsidR="00084F66" w:rsidRPr="00084F66">
        <w:t> </w:t>
      </w:r>
      <w:r w:rsidR="00D11E4C" w:rsidRPr="00084F66">
        <w:t>1</w:t>
      </w:r>
      <w:r w:rsidR="00D11E4C" w:rsidRPr="00AA1421">
        <w:t xml:space="preserve">47 </w:t>
      </w:r>
      <w:r w:rsidR="00D11E4C" w:rsidRPr="00084F66">
        <w:t>ust.</w:t>
      </w:r>
      <w:r w:rsidR="00084F66" w:rsidRPr="00084F66">
        <w:t> </w:t>
      </w:r>
      <w:r w:rsidR="00D11E4C" w:rsidRPr="00084F66">
        <w:t>2</w:t>
      </w:r>
      <w:r w:rsidR="00D11E4C" w:rsidRPr="00AA1421">
        <w:t xml:space="preserve"> </w:t>
      </w:r>
      <w:r w:rsidR="00D11E4C" w:rsidRPr="00084F66">
        <w:t>lit.</w:t>
      </w:r>
      <w:r w:rsidR="00084F66" w:rsidRPr="00084F66">
        <w:t> </w:t>
      </w:r>
      <w:r w:rsidR="00D11E4C" w:rsidRPr="00084F66">
        <w:t>e)</w:t>
      </w:r>
      <w:r w:rsidR="00D11E4C" w:rsidRPr="00AA1421">
        <w:t xml:space="preserve"> CRR.</w:t>
      </w:r>
    </w:p>
    <w:p w:rsidR="00C61FF5" w:rsidRPr="00AA1421" w:rsidRDefault="00AA1421" w:rsidP="00487A02">
      <w:pPr>
        <w:pStyle w:val="InstructionsText2"/>
        <w:numPr>
          <w:ilvl w:val="0"/>
          <w:numId w:val="0"/>
        </w:numPr>
        <w:ind w:left="1353" w:hanging="360"/>
      </w:pPr>
      <w:fldSimple w:instr=" seq paragraphs ">
        <w:r w:rsidR="00D11E4C" w:rsidRPr="00AA1421">
          <w:rPr>
            <w:noProof/>
          </w:rPr>
          <w:t>94</w:t>
        </w:r>
      </w:fldSimple>
      <w:r w:rsidR="00D11E4C" w:rsidRPr="00AA1421">
        <w:t>.</w:t>
      </w:r>
      <w:r w:rsidR="00D11E4C" w:rsidRPr="00AA1421">
        <w:tab/>
        <w:t xml:space="preserve">Zgodnie z </w:t>
      </w:r>
      <w:r w:rsidR="00D11E4C" w:rsidRPr="00084F66">
        <w:t>art.</w:t>
      </w:r>
      <w:r w:rsidR="00084F66" w:rsidRPr="00084F66">
        <w:t> </w:t>
      </w:r>
      <w:r w:rsidR="00D11E4C" w:rsidRPr="00084F66">
        <w:t>1</w:t>
      </w:r>
      <w:r w:rsidR="00D11E4C" w:rsidRPr="00AA1421">
        <w:t xml:space="preserve">47 </w:t>
      </w:r>
      <w:r w:rsidR="00D11E4C" w:rsidRPr="00084F66">
        <w:t>ust.</w:t>
      </w:r>
      <w:r w:rsidR="00084F66" w:rsidRPr="00084F66">
        <w:t> </w:t>
      </w:r>
      <w:r w:rsidR="00D11E4C" w:rsidRPr="00084F66">
        <w:t>6</w:t>
      </w:r>
      <w:r w:rsidR="00D11E4C" w:rsidRPr="00AA1421">
        <w:t xml:space="preserve"> CRR do kategorii ekspozycji kapitałowych klasyfikuje się następujące ekspozycje:</w:t>
      </w:r>
    </w:p>
    <w:p w:rsidR="00C61FF5" w:rsidRPr="00AA1421" w:rsidRDefault="00125707" w:rsidP="00487A02">
      <w:pPr>
        <w:pStyle w:val="InstructionsText2"/>
        <w:numPr>
          <w:ilvl w:val="0"/>
          <w:numId w:val="0"/>
        </w:numPr>
        <w:ind w:left="1353" w:hanging="360"/>
      </w:pPr>
      <w:r w:rsidRPr="00AA1421">
        <w:t>a)</w:t>
      </w:r>
      <w:r w:rsidRPr="00AA1421">
        <w:tab/>
        <w:t>ekspozycje niedłużne, z którymi wiążą się podporządkowane roszczenia końcowe wobec kapitału lub dochodów emitenta;</w:t>
      </w:r>
    </w:p>
    <w:p w:rsidR="00C61FF5" w:rsidRPr="00AA1421" w:rsidRDefault="00125707" w:rsidP="00487A02">
      <w:pPr>
        <w:pStyle w:val="InstructionsText2"/>
        <w:numPr>
          <w:ilvl w:val="0"/>
          <w:numId w:val="0"/>
        </w:numPr>
        <w:ind w:left="1353" w:hanging="360"/>
      </w:pPr>
      <w:r w:rsidRPr="00AA1421">
        <w:t>b)</w:t>
      </w:r>
      <w:r w:rsidRPr="00AA1421">
        <w:tab/>
        <w:t>ekspozycje dłużne i inne papiery wartościowe, udziały, instrumenty pochodne lub inne instrumenty, pod względem ekonomicznym zbliżone do ekspozycji określonych w lit. a).</w:t>
      </w:r>
    </w:p>
    <w:p w:rsidR="00C61FF5" w:rsidRPr="00AA1421" w:rsidRDefault="00AA1421" w:rsidP="00487A02">
      <w:pPr>
        <w:pStyle w:val="InstructionsText2"/>
        <w:numPr>
          <w:ilvl w:val="0"/>
          <w:numId w:val="0"/>
        </w:numPr>
        <w:ind w:left="1353" w:hanging="360"/>
      </w:pPr>
      <w:fldSimple w:instr=" seq paragraphs ">
        <w:r w:rsidR="00D11E4C" w:rsidRPr="00AA1421">
          <w:rPr>
            <w:noProof/>
          </w:rPr>
          <w:t>95</w:t>
        </w:r>
      </w:fldSimple>
      <w:r w:rsidR="00D11E4C" w:rsidRPr="00AA1421">
        <w:t>.</w:t>
      </w:r>
      <w:r w:rsidR="00D11E4C" w:rsidRPr="00AA1421">
        <w:tab/>
        <w:t xml:space="preserve">Ekspozycje związane z przedsiębiorstwami zbiorowego inwestowania traktowane zgodnie z uproszczoną metodą ważenia ryzykiem, o której mowa w </w:t>
      </w:r>
      <w:r w:rsidR="00D11E4C" w:rsidRPr="00084F66">
        <w:t>art.</w:t>
      </w:r>
      <w:r w:rsidR="00084F66" w:rsidRPr="00084F66">
        <w:t> </w:t>
      </w:r>
      <w:r w:rsidR="00D11E4C" w:rsidRPr="00084F66">
        <w:t>1</w:t>
      </w:r>
      <w:r w:rsidR="00D11E4C" w:rsidRPr="00AA1421">
        <w:t>52 CRR, zgłasza się również we wzorze CR EQU IRB.</w:t>
      </w:r>
    </w:p>
    <w:p w:rsidR="00C61FF5" w:rsidRPr="00AA1421" w:rsidRDefault="00AA1421" w:rsidP="00487A02">
      <w:pPr>
        <w:pStyle w:val="InstructionsText2"/>
        <w:numPr>
          <w:ilvl w:val="0"/>
          <w:numId w:val="0"/>
        </w:numPr>
        <w:ind w:left="1353" w:hanging="360"/>
      </w:pPr>
      <w:fldSimple w:instr=" seq paragraphs ">
        <w:r w:rsidR="00D11E4C" w:rsidRPr="00AA1421">
          <w:rPr>
            <w:noProof/>
          </w:rPr>
          <w:t>96</w:t>
        </w:r>
      </w:fldSimple>
      <w:r w:rsidR="00D11E4C" w:rsidRPr="00AA1421">
        <w:t>.</w:t>
      </w:r>
      <w:r w:rsidR="00D11E4C" w:rsidRPr="00AA1421">
        <w:tab/>
        <w:t xml:space="preserve">Zgodnie z </w:t>
      </w:r>
      <w:r w:rsidR="00D11E4C" w:rsidRPr="00084F66">
        <w:t>art.</w:t>
      </w:r>
      <w:r w:rsidR="00084F66" w:rsidRPr="00084F66">
        <w:t> </w:t>
      </w:r>
      <w:r w:rsidR="00D11E4C" w:rsidRPr="00084F66">
        <w:t>1</w:t>
      </w:r>
      <w:r w:rsidR="00D11E4C" w:rsidRPr="00AA1421">
        <w:t xml:space="preserve">51 </w:t>
      </w:r>
      <w:r w:rsidR="00D11E4C" w:rsidRPr="00084F66">
        <w:t>ust.</w:t>
      </w:r>
      <w:r w:rsidR="00084F66" w:rsidRPr="00084F66">
        <w:t> </w:t>
      </w:r>
      <w:r w:rsidR="00D11E4C" w:rsidRPr="00084F66">
        <w:t>1</w:t>
      </w:r>
      <w:r w:rsidR="00D11E4C" w:rsidRPr="00AA1421">
        <w:t xml:space="preserve"> CRR instytucje przekazują wzór CR EQU IRB, jeżeli stosują jedną z trzech metod, o których mowa w </w:t>
      </w:r>
      <w:r w:rsidR="00D11E4C" w:rsidRPr="00084F66">
        <w:t>art.</w:t>
      </w:r>
      <w:r w:rsidR="00084F66" w:rsidRPr="00084F66">
        <w:t> </w:t>
      </w:r>
      <w:r w:rsidR="00D11E4C" w:rsidRPr="00084F66">
        <w:t>1</w:t>
      </w:r>
      <w:r w:rsidR="00D11E4C" w:rsidRPr="00AA1421">
        <w:t xml:space="preserve">55 CRR: </w:t>
      </w:r>
    </w:p>
    <w:p w:rsidR="00C61FF5" w:rsidRPr="00AA1421" w:rsidRDefault="00C61FF5" w:rsidP="00487A02">
      <w:pPr>
        <w:pStyle w:val="InstructionsText"/>
      </w:pPr>
      <w:r w:rsidRPr="00AA1421">
        <w:lastRenderedPageBreak/>
        <w:t>- uproszczoną metodę ważenia ryzykiem;</w:t>
      </w:r>
    </w:p>
    <w:p w:rsidR="00C61FF5" w:rsidRPr="00AA1421" w:rsidRDefault="00C61FF5" w:rsidP="00487A02">
      <w:pPr>
        <w:pStyle w:val="InstructionsText"/>
      </w:pPr>
      <w:r w:rsidRPr="00AA1421">
        <w:t>- metodę opartą na PD/LGD;</w:t>
      </w:r>
    </w:p>
    <w:p w:rsidR="00C61FF5" w:rsidRPr="00AA1421" w:rsidRDefault="00C61FF5" w:rsidP="00487A02">
      <w:pPr>
        <w:pStyle w:val="InstructionsText"/>
      </w:pPr>
      <w:r w:rsidRPr="00AA1421">
        <w:t>- metodę modeli wewnętrznych.</w:t>
      </w:r>
    </w:p>
    <w:p w:rsidR="00C61FF5" w:rsidRPr="00AA1421" w:rsidRDefault="00C61FF5" w:rsidP="00487A02">
      <w:pPr>
        <w:pStyle w:val="InstructionsText"/>
        <w:ind w:left="1353"/>
      </w:pPr>
      <w:r w:rsidRPr="00AA1421">
        <w:t>Ponadto instytucje stosujące metodę IRB zgłaszają we wzorze CR EQU IRB również kwoty ekspozycji ważonych ryzykiem dla tych ekspozycji kapitałowych, które wiążą się z przypisaniem stałej wagi ryzyka (chociaż nie są jednoznacznie traktowane według uproszczonej metody ważenia ryzykiem ani nie są w niepełnym zakresie objęte standardową metodą (stosowaną czasowo lub stale) obliczania ryzyka kredytowego), np. ekspozycje kapitałowe wiążące się z wagą ryzyka 25</w:t>
      </w:r>
      <w:r w:rsidRPr="00084F66">
        <w:t>0</w:t>
      </w:r>
      <w:r w:rsidR="00084F66" w:rsidRPr="00084F66">
        <w:t> </w:t>
      </w:r>
      <w:r w:rsidRPr="00084F66">
        <w:t>%</w:t>
      </w:r>
      <w:r w:rsidRPr="00AA1421">
        <w:t xml:space="preserve"> – zgodnie z </w:t>
      </w:r>
      <w:r w:rsidRPr="00084F66">
        <w:t>art.</w:t>
      </w:r>
      <w:r w:rsidR="00084F66" w:rsidRPr="00084F66">
        <w:t> </w:t>
      </w:r>
      <w:r w:rsidRPr="00084F66">
        <w:t>4</w:t>
      </w:r>
      <w:r w:rsidRPr="00AA1421">
        <w:t xml:space="preserve">8 </w:t>
      </w:r>
      <w:r w:rsidRPr="00084F66">
        <w:t>ust.</w:t>
      </w:r>
      <w:r w:rsidR="00084F66" w:rsidRPr="00084F66">
        <w:t> </w:t>
      </w:r>
      <w:r w:rsidRPr="00084F66">
        <w:t>4</w:t>
      </w:r>
      <w:r w:rsidRPr="00AA1421">
        <w:t xml:space="preserve"> CRR, a z wagą ryzyka 37</w:t>
      </w:r>
      <w:r w:rsidRPr="00084F66">
        <w:t>0</w:t>
      </w:r>
      <w:r w:rsidR="00084F66" w:rsidRPr="00084F66">
        <w:t> </w:t>
      </w:r>
      <w:r w:rsidRPr="00084F66">
        <w:t>%</w:t>
      </w:r>
      <w:r w:rsidRPr="00AA1421">
        <w:t xml:space="preserve"> – zgodnie z </w:t>
      </w:r>
      <w:r w:rsidRPr="00084F66">
        <w:t>art.</w:t>
      </w:r>
      <w:r w:rsidR="00084F66" w:rsidRPr="00084F66">
        <w:t> </w:t>
      </w:r>
      <w:r w:rsidRPr="00084F66">
        <w:t>4</w:t>
      </w:r>
      <w:r w:rsidRPr="00AA1421">
        <w:t xml:space="preserve">71 </w:t>
      </w:r>
      <w:r w:rsidRPr="00084F66">
        <w:t>ust.</w:t>
      </w:r>
      <w:r w:rsidR="00084F66" w:rsidRPr="00084F66">
        <w:t> </w:t>
      </w:r>
      <w:r w:rsidRPr="00084F66">
        <w:t>2</w:t>
      </w:r>
      <w:r w:rsidRPr="00AA1421">
        <w:t xml:space="preserve"> CRR.</w:t>
      </w:r>
    </w:p>
    <w:p w:rsidR="00C61FF5" w:rsidRPr="00AA1421" w:rsidRDefault="00AA1421" w:rsidP="00487A02">
      <w:pPr>
        <w:pStyle w:val="InstructionsText2"/>
        <w:numPr>
          <w:ilvl w:val="0"/>
          <w:numId w:val="0"/>
        </w:numPr>
        <w:ind w:left="1353" w:hanging="360"/>
      </w:pPr>
      <w:fldSimple w:instr=" seq paragraphs ">
        <w:r w:rsidR="00D11E4C" w:rsidRPr="00AA1421">
          <w:rPr>
            <w:noProof/>
          </w:rPr>
          <w:t>97</w:t>
        </w:r>
      </w:fldSimple>
      <w:r w:rsidR="00D11E4C" w:rsidRPr="00AA1421">
        <w:t>.</w:t>
      </w:r>
      <w:r w:rsidR="00D11E4C" w:rsidRPr="00AA1421">
        <w:tab/>
        <w:t>Następujących należności kapitałowych nie zgłasza się we wzorze CR EQU IRB:</w:t>
      </w:r>
    </w:p>
    <w:p w:rsidR="00C61FF5" w:rsidRPr="00AA1421" w:rsidRDefault="00C61FF5" w:rsidP="00487A02">
      <w:pPr>
        <w:pStyle w:val="InstructionsText"/>
        <w:ind w:left="1353"/>
      </w:pPr>
      <w:r w:rsidRPr="00AA1421">
        <w:t>- ekspozycji kapitałowych w portfelu handlowym (jeżeli instytucje nie są zwolnione z obowiązku obliczania wymogów w zakresie funduszy własnych dla pozycji zawartych w portfelu handlowym (</w:t>
      </w:r>
      <w:r w:rsidRPr="00084F66">
        <w:t>art.</w:t>
      </w:r>
      <w:r w:rsidR="00084F66" w:rsidRPr="00084F66">
        <w:t> </w:t>
      </w:r>
      <w:r w:rsidRPr="00084F66">
        <w:t>9</w:t>
      </w:r>
      <w:r w:rsidRPr="00AA1421">
        <w:t xml:space="preserve">4 CRR)); </w:t>
      </w:r>
    </w:p>
    <w:p w:rsidR="00C61FF5" w:rsidRPr="00AA1421" w:rsidRDefault="00C61FF5" w:rsidP="00487A02">
      <w:pPr>
        <w:pStyle w:val="InstructionsText"/>
        <w:ind w:left="1353"/>
      </w:pPr>
      <w:r w:rsidRPr="00AA1421">
        <w:t>- ekspozycji kapitałowych podlegających stosowaniu metody standardowej w niepełnym zakresie (</w:t>
      </w:r>
      <w:r w:rsidRPr="00084F66">
        <w:t>art.</w:t>
      </w:r>
      <w:r w:rsidR="00084F66" w:rsidRPr="00084F66">
        <w:t> </w:t>
      </w:r>
      <w:r w:rsidRPr="00084F66">
        <w:t>1</w:t>
      </w:r>
      <w:r w:rsidRPr="00AA1421">
        <w:t>50 CRR), w tym:</w:t>
      </w:r>
    </w:p>
    <w:p w:rsidR="00C61FF5" w:rsidRPr="00AA1421" w:rsidRDefault="00C61FF5" w:rsidP="00487A02">
      <w:pPr>
        <w:pStyle w:val="InstructionsText"/>
        <w:ind w:left="1353"/>
      </w:pPr>
      <w:r w:rsidRPr="00AA1421">
        <w:t xml:space="preserve">- ekspozycji kapitałowych podlegających zasadzie praw nabytych zgodnie z </w:t>
      </w:r>
      <w:r w:rsidRPr="00084F66">
        <w:t>art.</w:t>
      </w:r>
      <w:r w:rsidR="00084F66" w:rsidRPr="00084F66">
        <w:t> </w:t>
      </w:r>
      <w:r w:rsidRPr="00084F66">
        <w:t>4</w:t>
      </w:r>
      <w:r w:rsidRPr="00AA1421">
        <w:t xml:space="preserve">95 </w:t>
      </w:r>
      <w:r w:rsidRPr="00084F66">
        <w:t>ust.</w:t>
      </w:r>
      <w:r w:rsidR="00084F66" w:rsidRPr="00084F66">
        <w:t> </w:t>
      </w:r>
      <w:r w:rsidRPr="00084F66">
        <w:t>1</w:t>
      </w:r>
      <w:r w:rsidRPr="00AA1421">
        <w:t xml:space="preserve"> CRR;</w:t>
      </w:r>
    </w:p>
    <w:p w:rsidR="00C61FF5" w:rsidRPr="00AA1421" w:rsidRDefault="00C61FF5" w:rsidP="00487A02">
      <w:pPr>
        <w:pStyle w:val="InstructionsText"/>
        <w:ind w:left="1353"/>
      </w:pPr>
      <w:r w:rsidRPr="00AA1421">
        <w:t xml:space="preserve">- ekspozycji kapitałowych wobec podmiotów, których zobowiązaniom kredytowym przypisano zgodnie ze standardową metodą wagę ryzyka równą </w:t>
      </w:r>
      <w:r w:rsidRPr="00084F66">
        <w:t>0</w:t>
      </w:r>
      <w:r w:rsidR="00084F66" w:rsidRPr="00084F66">
        <w:t> </w:t>
      </w:r>
      <w:r w:rsidRPr="00084F66">
        <w:t>%</w:t>
      </w:r>
      <w:r w:rsidRPr="00AA1421">
        <w:t xml:space="preserve">, w tym podmiotów otrzymujących środki publiczne, o ile można wobec nich zastosować wagę ryzyka równą </w:t>
      </w:r>
      <w:r w:rsidRPr="00084F66">
        <w:t>0</w:t>
      </w:r>
      <w:r w:rsidR="00084F66" w:rsidRPr="00084F66">
        <w:t> </w:t>
      </w:r>
      <w:r w:rsidRPr="00084F66">
        <w:t>%</w:t>
      </w:r>
      <w:r w:rsidRPr="00AA1421">
        <w:t xml:space="preserve"> (</w:t>
      </w:r>
      <w:r w:rsidRPr="00084F66">
        <w:t>art.</w:t>
      </w:r>
      <w:r w:rsidR="00084F66" w:rsidRPr="00084F66">
        <w:t> </w:t>
      </w:r>
      <w:r w:rsidRPr="00084F66">
        <w:t>1</w:t>
      </w:r>
      <w:r w:rsidRPr="00AA1421">
        <w:t xml:space="preserve">50 </w:t>
      </w:r>
      <w:r w:rsidRPr="00084F66">
        <w:t>ust.</w:t>
      </w:r>
      <w:r w:rsidR="00084F66" w:rsidRPr="00084F66">
        <w:t> </w:t>
      </w:r>
      <w:r w:rsidRPr="00084F66">
        <w:t>1</w:t>
      </w:r>
      <w:r w:rsidRPr="00AA1421">
        <w:t xml:space="preserve"> </w:t>
      </w:r>
      <w:r w:rsidRPr="00084F66">
        <w:t>lit.</w:t>
      </w:r>
      <w:r w:rsidR="00084F66" w:rsidRPr="00084F66">
        <w:t> </w:t>
      </w:r>
      <w:r w:rsidRPr="00084F66">
        <w:t>g)</w:t>
      </w:r>
      <w:r w:rsidRPr="00AA1421">
        <w:t xml:space="preserve"> CRR);</w:t>
      </w:r>
    </w:p>
    <w:p w:rsidR="00C61FF5" w:rsidRPr="00AA1421" w:rsidRDefault="00C61FF5" w:rsidP="00487A02">
      <w:pPr>
        <w:pStyle w:val="InstructionsText"/>
        <w:ind w:left="1353"/>
      </w:pPr>
      <w:r w:rsidRPr="00AA1421">
        <w:t>- ekspozycji kapitałowych utworzonych w ramach programów legislacyjnych wspierających określone sektory gospodarki, które zapewniają znaczne dopłaty inwestycyjne dla instytucji i wiążą się z pewną formą nadzoru rządowego oraz ograniczeniami dotyczącymi inwestycji kapitałowych (</w:t>
      </w:r>
      <w:r w:rsidRPr="00084F66">
        <w:t>art.</w:t>
      </w:r>
      <w:r w:rsidR="00084F66" w:rsidRPr="00084F66">
        <w:t> </w:t>
      </w:r>
      <w:r w:rsidRPr="00084F66">
        <w:t>1</w:t>
      </w:r>
      <w:r w:rsidRPr="00AA1421">
        <w:t xml:space="preserve">50 </w:t>
      </w:r>
      <w:r w:rsidRPr="00084F66">
        <w:t>ust.</w:t>
      </w:r>
      <w:r w:rsidR="00084F66" w:rsidRPr="00084F66">
        <w:t> </w:t>
      </w:r>
      <w:r w:rsidRPr="00084F66">
        <w:t>1</w:t>
      </w:r>
      <w:r w:rsidRPr="00AA1421">
        <w:t xml:space="preserve"> </w:t>
      </w:r>
      <w:r w:rsidRPr="00084F66">
        <w:t>lit.</w:t>
      </w:r>
      <w:r w:rsidR="00084F66" w:rsidRPr="00084F66">
        <w:t> </w:t>
      </w:r>
      <w:r w:rsidRPr="00084F66">
        <w:t>h)</w:t>
      </w:r>
      <w:r w:rsidRPr="00AA1421">
        <w:t xml:space="preserve"> CRR);</w:t>
      </w:r>
    </w:p>
    <w:p w:rsidR="00C61FF5" w:rsidRPr="00AA1421" w:rsidRDefault="00C61FF5" w:rsidP="00487A02">
      <w:pPr>
        <w:pStyle w:val="InstructionsText"/>
        <w:ind w:left="1353"/>
      </w:pPr>
      <w:r w:rsidRPr="00AA1421">
        <w:t>- ekspozycji kapitałowych wobec przedsiębiorstw usług pomocniczych, których ekspozycja ważona ryzykiem może zostać obliczona zgodnie ze sposobem ujmowania „innych aktywów niegenerujących zobowiązania kredytowego” (</w:t>
      </w:r>
      <w:r w:rsidRPr="00084F66">
        <w:t>art.</w:t>
      </w:r>
      <w:r w:rsidR="00084F66" w:rsidRPr="00084F66">
        <w:t> </w:t>
      </w:r>
      <w:r w:rsidRPr="00084F66">
        <w:t>1</w:t>
      </w:r>
      <w:r w:rsidRPr="00AA1421">
        <w:t xml:space="preserve">55 </w:t>
      </w:r>
      <w:r w:rsidRPr="00084F66">
        <w:t>ust.</w:t>
      </w:r>
      <w:r w:rsidR="00084F66" w:rsidRPr="00084F66">
        <w:t> </w:t>
      </w:r>
      <w:r w:rsidRPr="00084F66">
        <w:t>1</w:t>
      </w:r>
      <w:r w:rsidRPr="00AA1421">
        <w:t xml:space="preserve"> CRR);</w:t>
      </w:r>
    </w:p>
    <w:p w:rsidR="00C61FF5" w:rsidRPr="00AA1421" w:rsidRDefault="00C61FF5" w:rsidP="00487A02">
      <w:pPr>
        <w:pStyle w:val="InstructionsText"/>
        <w:ind w:left="1353"/>
      </w:pPr>
      <w:r w:rsidRPr="00AA1421">
        <w:t xml:space="preserve">- należności kapitałowych odejmowanych od funduszy własnych zgodnie z </w:t>
      </w:r>
      <w:r w:rsidRPr="00084F66">
        <w:t>art.</w:t>
      </w:r>
      <w:r w:rsidR="00084F66" w:rsidRPr="00084F66">
        <w:t> </w:t>
      </w:r>
      <w:r w:rsidRPr="00084F66">
        <w:t>4</w:t>
      </w:r>
      <w:r w:rsidRPr="00AA1421">
        <w:t>6 oraz 48 CRR.</w:t>
      </w:r>
    </w:p>
    <w:p w:rsidR="00C61FF5" w:rsidRPr="00AA1421" w:rsidRDefault="00C61FF5" w:rsidP="00487A02">
      <w:pPr>
        <w:pStyle w:val="InstructionsText"/>
        <w:ind w:left="1353"/>
      </w:pPr>
    </w:p>
    <w:p w:rsidR="00C61FF5" w:rsidRPr="00AA1421"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403664"/>
      <w:r w:rsidRPr="00AA1421">
        <w:rPr>
          <w:rFonts w:ascii="Times New Roman" w:hAnsi="Times New Roman"/>
          <w:sz w:val="24"/>
          <w:u w:val="none"/>
        </w:rPr>
        <w:t>3.5.2.</w:t>
      </w:r>
      <w:r w:rsidR="00D712CF" w:rsidRPr="00AA1421">
        <w:rPr>
          <w:u w:val="none"/>
        </w:rPr>
        <w:tab/>
      </w:r>
      <w:bookmarkStart w:id="398" w:name="_Toc295829921"/>
      <w:r w:rsidRPr="00AA1421">
        <w:rPr>
          <w:rFonts w:ascii="Times New Roman" w:hAnsi="Times New Roman"/>
          <w:sz w:val="24"/>
        </w:rPr>
        <w:t>Instrukcje dotyczące poszczególnych pozycji</w:t>
      </w:r>
      <w:bookmarkEnd w:id="398"/>
      <w:bookmarkEnd w:id="394"/>
      <w:r w:rsidRPr="00AA1421">
        <w:rPr>
          <w:rFonts w:ascii="Times New Roman" w:hAnsi="Times New Roman"/>
          <w:sz w:val="24"/>
        </w:rPr>
        <w:t xml:space="preserve"> (mające zastosowanie zarówno do CR EQU IRB 1, jak i do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AA1421"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AA1421" w:rsidRDefault="00C61FF5" w:rsidP="00EA0BAB">
            <w:pPr>
              <w:spacing w:beforeLines="60" w:before="144" w:afterLines="60" w:after="144"/>
              <w:rPr>
                <w:rStyle w:val="InstructionsTabelleText"/>
                <w:rFonts w:ascii="Times New Roman" w:hAnsi="Times New Roman"/>
                <w:b/>
                <w:sz w:val="24"/>
              </w:rPr>
            </w:pPr>
            <w:r w:rsidRPr="00AA1421">
              <w:rPr>
                <w:rStyle w:val="InstructionsTabelleText"/>
                <w:rFonts w:ascii="Times New Roman" w:hAnsi="Times New Roman"/>
                <w:b/>
                <w:sz w:val="24"/>
              </w:rPr>
              <w:t>Kolumny</w:t>
            </w:r>
          </w:p>
        </w:tc>
      </w:tr>
      <w:tr w:rsidR="003F05A0"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AA1421" w:rsidRDefault="003F05A0"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0005</w:t>
            </w:r>
          </w:p>
        </w:tc>
        <w:tc>
          <w:tcPr>
            <w:tcW w:w="8004" w:type="dxa"/>
          </w:tcPr>
          <w:p w:rsidR="003F05A0" w:rsidRPr="00AA1421" w:rsidRDefault="003F05A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KLASA JAKOŚCI DŁUŻNIKA (IDENTYFIKATOR WIERSZA)</w:t>
            </w:r>
          </w:p>
          <w:p w:rsidR="003F05A0" w:rsidRPr="00AA1421" w:rsidRDefault="003F05A0" w:rsidP="0013339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 xml:space="preserve">Klasa jakości dłużnika stanowi identyfikator wiersza i jest niepowtarzalna dla każdego wiersza we wzorze. </w:t>
            </w:r>
            <w:r w:rsidRPr="00AA1421">
              <w:rPr>
                <w:rFonts w:ascii="Times New Roman" w:hAnsi="Times New Roman"/>
                <w:sz w:val="24"/>
              </w:rPr>
              <w:t>Numeracja następuje w kolejności numerycznej: 1, 2, 3 itd.</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lastRenderedPageBreak/>
              <w:t>0010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SKALA RATINGU WEWNĘTRZNEGO </w:t>
            </w:r>
          </w:p>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PD PRZYPISANE KLASIE JAKOŚCI DŁUŻNIKA (%)</w:t>
            </w:r>
          </w:p>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Instytucje stosujące metodę opartą na PD/LGD zgłaszają w kolumnie 0010 prawdopodobieństwo niewykonania zobowiązania (PD) obliczone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65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w:t>
            </w:r>
          </w:p>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PD przypisane klasie jakości lub puli dłużnika, które należy zgłosić, jest zgodne z wymogami minimalnymi określonymi w części trzeciej tytuł II rozdział 3 sekcja 6 CRR. Dla każdej indywidualnej klasy jakości lub puli dłużnika zgłasza się PD przypisane tej klasie jakości lub puli dłużnika. Wszystkie zgłoszone parametry ryzyka są oparte na parametrach ryzyka wykorzystywanych w skali ratingu wewnętrznego zatwierdzonej przez właściwy organ.</w:t>
            </w:r>
          </w:p>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W przypadku danych liczbowych odpowiadających zagregowaniu klas jakości lub pul dłużnika (np. „ekspozycje całkowite”) zgłasza się średnią wartość PD ważoną ekspozycją, która to wartość jest przypisana zagregowanym klasom jakości lub pulom dłużnika. W celu obliczenia średniej wartości PD ważonej ekspozycją należy wziąć pod uwagę wszystkie ekspozycje, w tym ekspozycje, których dotyczy niewykonanie zobowiązania. Do obliczenia średniej wartości PD ważonej ekspozycją do celów ważenia brana jest wartość ekspozycji z uwzględnieniem ochrony kredytowej nierzeczywistej (kolumna 0060). </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0020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PIERWOTNA EKSPOZYCJA PRZED UWZGLĘDNIENIEM WSPÓŁCZYNNIKÓW KONWERSJI</w:t>
            </w:r>
          </w:p>
          <w:p w:rsidR="00C61FF5" w:rsidRPr="00AA1421" w:rsidRDefault="00C61FF5" w:rsidP="00C61FF5">
            <w:pPr>
              <w:autoSpaceDE w:val="0"/>
              <w:autoSpaceDN w:val="0"/>
              <w:adjustRightInd w:val="0"/>
              <w:spacing w:before="0" w:after="0"/>
              <w:rPr>
                <w:rStyle w:val="InstructionsTabelleText"/>
                <w:rFonts w:ascii="Times New Roman" w:hAnsi="Times New Roman"/>
                <w:sz w:val="24"/>
              </w:rPr>
            </w:pPr>
            <w:r w:rsidRPr="00AA1421">
              <w:rPr>
                <w:rStyle w:val="InstructionsTabelleText"/>
                <w:rFonts w:ascii="Times New Roman" w:hAnsi="Times New Roman"/>
                <w:sz w:val="24"/>
              </w:rPr>
              <w:t xml:space="preserve">Instytucje zgłaszają w kolumnie 0020 wartość pierwotnej ekspozycji (przed uwzględnieniem współczynnika konwersji).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67 CRR wartość ekspozycji dla ekspozycji kapitałowych jest równa wartości księgowej pozostałej po dokonaniu korekt z tytułu szczególnego ryzyka kredytowego. Wartość </w:t>
            </w:r>
            <w:r w:rsidRPr="00AA1421">
              <w:rPr>
                <w:rFonts w:ascii="Times New Roman" w:hAnsi="Times New Roman"/>
                <w:sz w:val="24"/>
              </w:rPr>
              <w:t>pozabilansowych ekspozycji kapitałowych odpowiada ich wartości nominalnej po korektach z tytułu szczególnego ryzyka kredytowego.</w:t>
            </w:r>
          </w:p>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W kolumnie 0020 instytucje uwzględniają również pozycje pozabilansowe, o których mowa w załączniku I CRR, przypisane do kategorii ekspozycji kapitałowych (np. „niespłacona część częściowo opłaconych akcji i papierów wartościowych”).</w:t>
            </w:r>
          </w:p>
          <w:p w:rsidR="00745369" w:rsidRPr="00AA1421" w:rsidRDefault="00C61FF5" w:rsidP="00A16FFF">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Instytucje stosujące uproszczoną metodę ważenia ryzykiem lub metodę opartą na PD/LGD (o których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65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 uwzględniają również kompensowanie, o którym mowa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akapit drugi CRR. </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0030-0040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TECHNIKI OGRANICZANIA RYZYKA KREDYTOWEGO Z UWZGLĘDNIENIEM EFEKTÓW SUBSTYTUCYJNYCH W ODNIESIENIU DO EKSPOZYCJI</w:t>
            </w:r>
          </w:p>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OCHRONA KREDYTOWA NIERZECZYWISTA</w:t>
            </w:r>
          </w:p>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GWARANCJE</w:t>
            </w:r>
          </w:p>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lastRenderedPageBreak/>
              <w:t>KREDYTOWE INSTRUMENTY POCHODNE</w:t>
            </w:r>
          </w:p>
          <w:p w:rsidR="00745369" w:rsidRPr="00AA1421" w:rsidRDefault="00C61FF5" w:rsidP="001A627D">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Niezależnie od metody przyjętej do obliczania kwot ekspozycji ważonych ryzykiem z tytułu ekspozycji kapitałowych instytucje mogą uznać ochronę kredytową nierzeczywistą uzyskaną dla ekspozycji kapitałowych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3 i 4 CRR). Instytucje stosujące uproszczoną metodę ważenia ryzykiem lub metodę opartą na PD/LGD zgłaszają w kolumnach 0030 i 0040 kwotę ochrony kredytowej nierzeczywistej w formie gwarancji (kolumna 0030) lub kredytowych instrumentów pochodnych (kolumna 0040) uznanych zgodnie z metodami określonymi w części trzeciej tytuł II rozdział 4 CRR.</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lastRenderedPageBreak/>
              <w:t>0050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TECHNIKI OGRANICZANIA RYZYKA KREDYTOWEGO Z UWZGLĘDNIENIEM EFEKTÓW SUBSTYTUCYJNYCH W ODNIESIENIU DO EKSPOZYCJI</w:t>
            </w:r>
          </w:p>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SUBSTYTUCJA EKSPOZYCJI W WYNIKU OGRANICZANIA RYZYKA KREDYTOWEGO</w:t>
            </w:r>
          </w:p>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WYPŁYWY RAZEM</w:t>
            </w:r>
          </w:p>
          <w:p w:rsidR="00745369" w:rsidRPr="00AA1421" w:rsidRDefault="00C61FF5" w:rsidP="00D021AF">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W kolumnie 0050 instytucje zgłaszają część pierwotnej ekspozycji przez zastosowaniem współczynników konwersji objętą ochroną kredytową nierzeczywistą uznaną zgodnie z metodami określonymi w części trzeciej tytuł II rozdział 4 CRR.</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0060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WARTOŚĆ EKSPOZYCJI</w:t>
            </w:r>
          </w:p>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Instytucje stosujące uproszczoną metodę ważenia ryzykiem lub metodę opartą na PD/LGD zgłaszają w kolumnie 0060 wartość ekspozycji z uwzględnieniem efektów substytucyjnych wynikających z ochrony kredytowej nierzeczywistej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i 3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67 CRR).</w:t>
            </w:r>
          </w:p>
          <w:p w:rsidR="00745369" w:rsidRPr="00AA1421" w:rsidRDefault="00A16FFF"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W przypadku pozabilansowych ekspozycji kapitałowych wartość ekspozycji odpowiada ich wartości nominalnej po korektach z tytułu szczególnego ryzyka kredytowego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67 CRR).</w:t>
            </w:r>
          </w:p>
        </w:tc>
      </w:tr>
      <w:tr w:rsidR="0027034D"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AA1421" w:rsidRDefault="0027034D" w:rsidP="0027034D">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0061</w:t>
            </w:r>
          </w:p>
        </w:tc>
        <w:tc>
          <w:tcPr>
            <w:tcW w:w="8004" w:type="dxa"/>
          </w:tcPr>
          <w:p w:rsidR="0027034D" w:rsidRPr="00AA1421" w:rsidRDefault="0027034D" w:rsidP="0027034D">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 TYM: POZYCJE POZABILANSOWE</w:t>
            </w:r>
          </w:p>
          <w:p w:rsidR="0027034D" w:rsidRPr="00AA1421" w:rsidRDefault="0027034D" w:rsidP="0027034D">
            <w:pPr>
              <w:spacing w:beforeLines="60" w:before="144" w:afterLines="60" w:after="144"/>
              <w:rPr>
                <w:rStyle w:val="InstructionsTabelleberschrift"/>
                <w:rFonts w:ascii="Times New Roman" w:hAnsi="Times New Roman"/>
                <w:b w:val="0"/>
                <w:sz w:val="24"/>
              </w:rPr>
            </w:pPr>
            <w:r w:rsidRPr="00AA1421">
              <w:rPr>
                <w:rStyle w:val="InstructionsTabelleberschrift"/>
                <w:rFonts w:ascii="Times New Roman" w:hAnsi="Times New Roman"/>
                <w:b w:val="0"/>
                <w:sz w:val="24"/>
                <w:u w:val="none"/>
              </w:rPr>
              <w:t>Zob. instrukcje dotyczące wzoru CR-SA</w:t>
            </w:r>
            <w:r w:rsidRPr="00AA1421">
              <w:rPr>
                <w:rStyle w:val="InstructionsTabelleberschrift"/>
                <w:rFonts w:ascii="Times New Roman" w:hAnsi="Times New Roman"/>
                <w:b w:val="0"/>
                <w:sz w:val="24"/>
              </w:rPr>
              <w:t xml:space="preserve"> </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0070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ŚREDNIA WARTOŚĆ LGD WAŻONA EKSPOZYCJĄ (%)</w:t>
            </w:r>
          </w:p>
          <w:p w:rsidR="001A627D" w:rsidRPr="00AA1421" w:rsidRDefault="00C61FF5" w:rsidP="001A627D">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Instytucje stosujące metodę opartą na PD/LGD zgłaszają średnią wartość LGD ważoną ekspozycją, która to wartość przypisana jest zagregowanym klasom jakości lub pulom dłużnika.</w:t>
            </w:r>
          </w:p>
          <w:p w:rsidR="001A627D" w:rsidRPr="00AA1421" w:rsidRDefault="00C61FF5" w:rsidP="001A627D">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Do obliczenia średniej wartości LGD ważonej ekspozycją wykorzystuje się wartość ekspozycji z uwzględnieniem ochrony kredytowej nierzeczywistej (kolumna 0060). </w:t>
            </w:r>
          </w:p>
          <w:p w:rsidR="00745369" w:rsidRPr="00AA1421" w:rsidRDefault="00C61FF5" w:rsidP="001A627D">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Instytucje biorą pod uwagę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65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CRR.</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0080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KWOTA EKSPOZYCJI WAŻONEJ RYZYKIEM</w:t>
            </w:r>
          </w:p>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lastRenderedPageBreak/>
              <w:t xml:space="preserve">Instytucje zgłaszają kwoty ekspozycji ważone ryzykiem w odniesieniu do ekspozycji kapitałowych, obliczane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55 CRR.</w:t>
            </w:r>
          </w:p>
          <w:p w:rsidR="00745369" w:rsidRPr="00AA1421" w:rsidRDefault="00D021AF"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Jeżeli instytucje korzystające z metody opartej na PD/LGD nie posiadają wystarczających informacji, by skorzystać z definicji niewykonania zobowiązania określonej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78 CRR, do wag ryzyka przypisuje się współczynnik korygujący w wysokości 1,5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CRR). </w:t>
            </w:r>
          </w:p>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W odniesieniu do parametru wejściowego M (termin zapadalności) w funkcji wagi ryzyka termin zapadalności przypisany do ekspozycji kapitałowych wynosi 5 lat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65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CRR).</w:t>
            </w:r>
          </w:p>
        </w:tc>
      </w:tr>
      <w:tr w:rsidR="00C61FF5" w:rsidRPr="00AA142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AA1421" w:rsidRDefault="00C61FF5" w:rsidP="00450A2E">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lastRenderedPageBreak/>
              <w:t>0090</w:t>
            </w:r>
          </w:p>
        </w:tc>
        <w:tc>
          <w:tcPr>
            <w:tcW w:w="8004" w:type="dxa"/>
          </w:tcPr>
          <w:p w:rsidR="00745369" w:rsidRPr="00AA1421" w:rsidRDefault="00C61FF5"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POZYCJA UZUPEŁNIAJĄCA: KWOTA OCZEKIWANEJ STRATY</w:t>
            </w:r>
          </w:p>
          <w:p w:rsidR="00745369" w:rsidRPr="00AA1421" w:rsidRDefault="00C61FF5" w:rsidP="00021A05">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 xml:space="preserve">W kolumnie 0090 instytucje zgłaszają kwotę oczekiwanej straty dla ekspozycji kapitałowych, obliczaną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58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4</w:t>
            </w:r>
            <w:r w:rsidRPr="00AA1421">
              <w:rPr>
                <w:rStyle w:val="InstructionsTabelleText"/>
                <w:rFonts w:ascii="Times New Roman" w:hAnsi="Times New Roman"/>
                <w:sz w:val="24"/>
              </w:rPr>
              <w:t xml:space="preserve">, 7, 8 i 9 CRR. </w:t>
            </w:r>
          </w:p>
        </w:tc>
      </w:tr>
    </w:tbl>
    <w:p w:rsidR="00745369" w:rsidRPr="00AA1421" w:rsidRDefault="00745369" w:rsidP="00487A02">
      <w:pPr>
        <w:pStyle w:val="InstructionsText"/>
      </w:pPr>
    </w:p>
    <w:p w:rsidR="00C61FF5" w:rsidRPr="00AA1421" w:rsidRDefault="00AA1421" w:rsidP="00487A02">
      <w:pPr>
        <w:pStyle w:val="InstructionsText2"/>
        <w:numPr>
          <w:ilvl w:val="0"/>
          <w:numId w:val="0"/>
        </w:numPr>
        <w:ind w:left="1353" w:hanging="360"/>
      </w:pPr>
      <w:fldSimple w:instr=" seq paragraphs ">
        <w:r w:rsidR="00D11E4C" w:rsidRPr="00AA1421">
          <w:rPr>
            <w:noProof/>
          </w:rPr>
          <w:t>98</w:t>
        </w:r>
      </w:fldSimple>
      <w:r w:rsidR="00D11E4C" w:rsidRPr="00AA1421">
        <w:t>.</w:t>
      </w:r>
      <w:r w:rsidR="00D11E4C" w:rsidRPr="00AA1421">
        <w:tab/>
        <w:t xml:space="preserve">Zgodnie z </w:t>
      </w:r>
      <w:r w:rsidR="00D11E4C" w:rsidRPr="00084F66">
        <w:t>art.</w:t>
      </w:r>
      <w:r w:rsidR="00084F66" w:rsidRPr="00084F66">
        <w:t> </w:t>
      </w:r>
      <w:r w:rsidR="00D11E4C" w:rsidRPr="00084F66">
        <w:t>1</w:t>
      </w:r>
      <w:r w:rsidR="00D11E4C" w:rsidRPr="00AA1421">
        <w:t>55 CRR instytucja może stosować różne metody (uproszczoną metodę ważenia ryzykiem, metodę opartą na PD/LGD, metodę modeli wewnętrznych) w odniesieniu do poszczególnych portfeli, jeżeli instytucja ta stosuje te różne metody do celów wewnętrznych. Instytucje zgłaszają we wzorze CR EQU IRB 1 również kwoty ekspozycji ważonych ryzykiem dla tych ekspozycji kapitałowych, które wiążą się z przypisaniem stałej wagi ryzyka (chociaż nie są jednoznacznie traktowane według uproszczonej metody ważenia ryzykiem ani nie są w niepełnym zakresie objęte standardową metodą (stosowaną czasowo lub stale) obliczania ryzyka kredytowego).</w:t>
      </w:r>
    </w:p>
    <w:tbl>
      <w:tblPr>
        <w:tblW w:w="9524" w:type="dxa"/>
        <w:tblLook w:val="01E0" w:firstRow="1" w:lastRow="1" w:firstColumn="1" w:lastColumn="1" w:noHBand="0" w:noVBand="0"/>
      </w:tblPr>
      <w:tblGrid>
        <w:gridCol w:w="1608"/>
        <w:gridCol w:w="7916"/>
      </w:tblGrid>
      <w:tr w:rsidR="00C61FF5" w:rsidRPr="00AA1421"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AA1421" w:rsidRDefault="00C61FF5" w:rsidP="00EA0BAB">
            <w:pPr>
              <w:spacing w:beforeLines="60" w:before="144" w:afterLines="60" w:after="144"/>
              <w:rPr>
                <w:rStyle w:val="InstructionsTabelleText"/>
                <w:rFonts w:ascii="Times New Roman" w:hAnsi="Times New Roman"/>
                <w:b/>
                <w:sz w:val="24"/>
              </w:rPr>
            </w:pPr>
            <w:r w:rsidRPr="00AA1421">
              <w:rPr>
                <w:rStyle w:val="InstructionsTabelleText"/>
                <w:rFonts w:ascii="Times New Roman" w:hAnsi="Times New Roman"/>
                <w:b/>
                <w:sz w:val="24"/>
              </w:rPr>
              <w:t>Wiersze</w:t>
            </w:r>
          </w:p>
        </w:tc>
      </w:tr>
      <w:tr w:rsidR="00C61FF5" w:rsidRPr="00AA1421" w:rsidTr="00672D2A">
        <w:tc>
          <w:tcPr>
            <w:tcW w:w="1608" w:type="dxa"/>
            <w:tcBorders>
              <w:top w:val="single" w:sz="4" w:space="0" w:color="auto"/>
              <w:left w:val="single" w:sz="4" w:space="0" w:color="auto"/>
              <w:bottom w:val="single" w:sz="4" w:space="0" w:color="auto"/>
              <w:right w:val="single" w:sz="4" w:space="0" w:color="auto"/>
            </w:tcBorders>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CR EQU IRB 1 – wiersz 0020</w:t>
            </w:r>
          </w:p>
          <w:p w:rsidR="00745369" w:rsidRPr="00AA1421"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AA1421" w:rsidRDefault="00C61FF5" w:rsidP="00450A2E">
            <w:pPr>
              <w:keepNext/>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METODA OPARTA NA PD/LGD: RAZEM </w:t>
            </w:r>
          </w:p>
          <w:p w:rsidR="00745369" w:rsidRPr="00AA1421" w:rsidRDefault="00C61FF5" w:rsidP="00AA7658">
            <w:pPr>
              <w:keepNext/>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Instytucje stosujące metodę opartą na PD/LGD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CRR) zgłaszają wymagane informacje w wierszu 0020 wzoru CR EQU IRB 1.</w:t>
            </w:r>
          </w:p>
        </w:tc>
      </w:tr>
      <w:tr w:rsidR="00C61FF5" w:rsidRPr="00AA1421" w:rsidTr="00672D2A">
        <w:tc>
          <w:tcPr>
            <w:tcW w:w="1608" w:type="dxa"/>
            <w:tcBorders>
              <w:top w:val="single" w:sz="4" w:space="0" w:color="auto"/>
              <w:left w:val="single" w:sz="4" w:space="0" w:color="auto"/>
              <w:bottom w:val="single" w:sz="4" w:space="0" w:color="auto"/>
              <w:right w:val="single" w:sz="4" w:space="0" w:color="auto"/>
            </w:tcBorders>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CR EQU IRB 1 – wiersze 0050–0090</w:t>
            </w:r>
          </w:p>
        </w:tc>
        <w:tc>
          <w:tcPr>
            <w:tcW w:w="7916" w:type="dxa"/>
            <w:tcBorders>
              <w:top w:val="single" w:sz="4" w:space="0" w:color="auto"/>
              <w:left w:val="single" w:sz="4" w:space="0" w:color="auto"/>
              <w:bottom w:val="single" w:sz="4" w:space="0" w:color="auto"/>
              <w:right w:val="single" w:sz="4" w:space="0" w:color="auto"/>
            </w:tcBorders>
          </w:tcPr>
          <w:p w:rsidR="00C61FF5" w:rsidRPr="00AA1421" w:rsidRDefault="00C61FF5" w:rsidP="00C61FF5">
            <w:pPr>
              <w:rPr>
                <w:rStyle w:val="InstructionsTabelleText"/>
                <w:rFonts w:ascii="Times New Roman" w:hAnsi="Times New Roman"/>
                <w:b/>
                <w:sz w:val="24"/>
                <w:u w:val="single"/>
              </w:rPr>
            </w:pPr>
            <w:r w:rsidRPr="00AA1421">
              <w:rPr>
                <w:rStyle w:val="InstructionsTabelleText"/>
                <w:rFonts w:ascii="Times New Roman" w:hAnsi="Times New Roman"/>
                <w:b/>
                <w:sz w:val="24"/>
                <w:u w:val="single"/>
              </w:rPr>
              <w:t>UPROSZCZONA METODA WAŻENIA RYZYKIEM: RAZEM</w:t>
            </w:r>
          </w:p>
          <w:p w:rsidR="00C61FF5" w:rsidRPr="00AA1421" w:rsidRDefault="00C61FF5" w:rsidP="00C61FF5">
            <w:pPr>
              <w:rPr>
                <w:rStyle w:val="InstructionsTabelleText"/>
                <w:rFonts w:ascii="Times New Roman" w:hAnsi="Times New Roman"/>
                <w:b/>
                <w:sz w:val="24"/>
                <w:u w:val="single"/>
              </w:rPr>
            </w:pPr>
            <w:r w:rsidRPr="00AA1421">
              <w:rPr>
                <w:rStyle w:val="InstructionsTabelleText"/>
                <w:rFonts w:ascii="Times New Roman" w:hAnsi="Times New Roman"/>
                <w:b/>
                <w:sz w:val="24"/>
                <w:u w:val="single"/>
              </w:rPr>
              <w:t>PODZIAŁ EKSPOZYCJI CAŁKOWITYCH ZGODNIE Z UPROSZCZONĄ METODĄ WAŻENIA RYZYKIEM WEDŁUG WAG RYZYKA</w:t>
            </w:r>
          </w:p>
          <w:p w:rsidR="00745369" w:rsidRPr="00AA1421" w:rsidRDefault="00C61FF5" w:rsidP="00FD239F">
            <w:pPr>
              <w:keepNext/>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W wierszach 0050–0090 instytucje stosujące uproszczoną metodę ważenia ryzykiem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CRR) zgłaszają wymagane informacje zgodnie z charakterystyką ekspozycji bazowych.</w:t>
            </w:r>
          </w:p>
        </w:tc>
      </w:tr>
      <w:tr w:rsidR="00C61FF5" w:rsidRPr="00AA1421" w:rsidTr="00672D2A">
        <w:tc>
          <w:tcPr>
            <w:tcW w:w="1608" w:type="dxa"/>
            <w:tcBorders>
              <w:top w:val="single" w:sz="4" w:space="0" w:color="auto"/>
              <w:left w:val="single" w:sz="4" w:space="0" w:color="auto"/>
              <w:bottom w:val="single" w:sz="4" w:space="0" w:color="auto"/>
              <w:right w:val="single" w:sz="4" w:space="0" w:color="auto"/>
            </w:tcBorders>
          </w:tcPr>
          <w:p w:rsidR="00745369" w:rsidRPr="00AA1421" w:rsidRDefault="00C61FF5" w:rsidP="00EA0BAB">
            <w:pPr>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CR EQU IRB 1 – wiersz 0100</w:t>
            </w:r>
          </w:p>
        </w:tc>
        <w:tc>
          <w:tcPr>
            <w:tcW w:w="7916" w:type="dxa"/>
            <w:tcBorders>
              <w:top w:val="single" w:sz="4" w:space="0" w:color="auto"/>
              <w:left w:val="single" w:sz="4" w:space="0" w:color="auto"/>
              <w:bottom w:val="single" w:sz="4" w:space="0" w:color="auto"/>
              <w:right w:val="single" w:sz="4" w:space="0" w:color="auto"/>
            </w:tcBorders>
          </w:tcPr>
          <w:p w:rsidR="00C61FF5" w:rsidRPr="00AA1421" w:rsidRDefault="00C61FF5" w:rsidP="00C61FF5">
            <w:pPr>
              <w:rPr>
                <w:rStyle w:val="InstructionsTabelleberschrift"/>
                <w:rFonts w:ascii="Times New Roman" w:hAnsi="Times New Roman"/>
                <w:sz w:val="24"/>
              </w:rPr>
            </w:pPr>
            <w:r w:rsidRPr="00AA1421">
              <w:rPr>
                <w:rStyle w:val="InstructionsTabelleberschrift"/>
                <w:rFonts w:ascii="Times New Roman" w:hAnsi="Times New Roman"/>
                <w:sz w:val="24"/>
              </w:rPr>
              <w:t>METODA MODELI WEWNĘTRZNYCH</w:t>
            </w:r>
          </w:p>
          <w:p w:rsidR="00C61FF5" w:rsidRPr="00AA1421" w:rsidRDefault="00C61FF5" w:rsidP="00487A02">
            <w:pPr>
              <w:pStyle w:val="InstructionsText"/>
              <w:rPr>
                <w:rStyle w:val="FormatvorlageInstructionsTabelleText"/>
                <w:rFonts w:ascii="Times New Roman" w:hAnsi="Times New Roman"/>
                <w:bCs w:val="0"/>
                <w:sz w:val="24"/>
              </w:rPr>
            </w:pPr>
            <w:r w:rsidRPr="00AA1421">
              <w:rPr>
                <w:rStyle w:val="FormatvorlageInstructionsTabelleText"/>
                <w:rFonts w:ascii="Times New Roman" w:hAnsi="Times New Roman"/>
                <w:sz w:val="24"/>
              </w:rPr>
              <w:t>Instytucje stosujące metodę modeli wewnętrznych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55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CRR) zgłaszają wymagane informacje w wierszu 0100.</w:t>
            </w:r>
          </w:p>
        </w:tc>
      </w:tr>
      <w:tr w:rsidR="00C61FF5" w:rsidRPr="00AA1421" w:rsidTr="00672D2A">
        <w:tc>
          <w:tcPr>
            <w:tcW w:w="1608" w:type="dxa"/>
            <w:tcBorders>
              <w:top w:val="single" w:sz="4" w:space="0" w:color="auto"/>
              <w:left w:val="single" w:sz="4" w:space="0" w:color="auto"/>
              <w:bottom w:val="single" w:sz="4" w:space="0" w:color="auto"/>
              <w:right w:val="single" w:sz="4" w:space="0" w:color="auto"/>
            </w:tcBorders>
          </w:tcPr>
          <w:p w:rsidR="00745369" w:rsidRPr="00AA1421" w:rsidRDefault="00C61FF5" w:rsidP="00EA0BAB">
            <w:pPr>
              <w:spacing w:beforeLines="60" w:before="144" w:afterLines="60" w:after="144"/>
              <w:rPr>
                <w:rStyle w:val="InstructionsTabelleText"/>
                <w:rFonts w:ascii="Times New Roman" w:hAnsi="Times New Roman"/>
                <w:bCs/>
                <w:sz w:val="24"/>
              </w:rPr>
            </w:pPr>
            <w:r w:rsidRPr="00AA1421">
              <w:rPr>
                <w:rStyle w:val="InstructionsTabelleText"/>
                <w:rFonts w:ascii="Times New Roman" w:hAnsi="Times New Roman"/>
                <w:sz w:val="24"/>
              </w:rPr>
              <w:lastRenderedPageBreak/>
              <w:t>CR EQU IRB 1 – wiersz 0110</w:t>
            </w:r>
          </w:p>
        </w:tc>
        <w:tc>
          <w:tcPr>
            <w:tcW w:w="7916" w:type="dxa"/>
            <w:tcBorders>
              <w:top w:val="single" w:sz="4" w:space="0" w:color="auto"/>
              <w:left w:val="single" w:sz="4" w:space="0" w:color="auto"/>
              <w:bottom w:val="single" w:sz="4" w:space="0" w:color="auto"/>
              <w:right w:val="single" w:sz="4" w:space="0" w:color="auto"/>
            </w:tcBorders>
          </w:tcPr>
          <w:p w:rsidR="00C61FF5" w:rsidRPr="00AA1421" w:rsidRDefault="00C61FF5" w:rsidP="00C61FF5">
            <w:pPr>
              <w:rPr>
                <w:rStyle w:val="InstructionsTabelleberschrift"/>
                <w:rFonts w:ascii="Times New Roman" w:hAnsi="Times New Roman"/>
                <w:sz w:val="24"/>
              </w:rPr>
            </w:pPr>
            <w:r w:rsidRPr="00AA1421">
              <w:rPr>
                <w:rStyle w:val="InstructionsTabelleberschrift"/>
                <w:rFonts w:ascii="Times New Roman" w:hAnsi="Times New Roman"/>
                <w:sz w:val="24"/>
              </w:rPr>
              <w:t>EKSPOZYCJE KAPITAŁOWE PODLEGAJĄCE WAGOM RYZYKA</w:t>
            </w:r>
          </w:p>
          <w:p w:rsidR="00C61FF5" w:rsidRPr="00AA1421" w:rsidRDefault="00C61FF5" w:rsidP="00C61FF5">
            <w:pPr>
              <w:rPr>
                <w:rFonts w:ascii="Times New Roman" w:hAnsi="Times New Roman"/>
                <w:sz w:val="24"/>
              </w:rPr>
            </w:pPr>
            <w:r w:rsidRPr="00AA1421">
              <w:rPr>
                <w:rFonts w:ascii="Times New Roman" w:hAnsi="Times New Roman"/>
                <w:sz w:val="24"/>
              </w:rPr>
              <w:t>Instytucje stosujące metodę IRB zgłaszają kwoty ekspozycji ważonej ryzykiem dla tych ekspozycji kapitałowych, które wiążą się z przypisaniem stałej wagi ryzyka (chociaż nie są jednoznacznie traktowane według uproszczonej metody ważenia ryzykiem ani nie są w niepełnym zakresie objęte standardową metodą (stosowaną czasowo lub stale) obliczania ryzyka kredytowego). Na przykład:</w:t>
            </w:r>
          </w:p>
          <w:p w:rsidR="00C61FF5" w:rsidRPr="00AA1421" w:rsidRDefault="00C61FF5" w:rsidP="00C61FF5">
            <w:pPr>
              <w:rPr>
                <w:rStyle w:val="FormatvorlageInstructionsTabelleText"/>
                <w:rFonts w:ascii="Times New Roman" w:hAnsi="Times New Roman"/>
                <w:sz w:val="24"/>
              </w:rPr>
            </w:pPr>
            <w:r w:rsidRPr="00AA1421">
              <w:rPr>
                <w:rFonts w:ascii="Times New Roman" w:hAnsi="Times New Roman"/>
                <w:sz w:val="24"/>
              </w:rPr>
              <w:t>-</w:t>
            </w:r>
            <w:r w:rsidRPr="00AA1421">
              <w:rPr>
                <w:rStyle w:val="FormatvorlageInstructionsTabelleText"/>
                <w:rFonts w:ascii="Times New Roman" w:hAnsi="Times New Roman"/>
                <w:sz w:val="24"/>
              </w:rPr>
              <w:t xml:space="preserve"> kwota ekspozycji ważona ryzykiem w odniesieniu do pozycji w papierach kapitałowych w podmiotach sektora finansów traktowana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8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 CRR, jak również</w:t>
            </w:r>
          </w:p>
          <w:p w:rsidR="00C61FF5" w:rsidRPr="00AA1421" w:rsidRDefault="00C61FF5" w:rsidP="00C61FF5">
            <w:pPr>
              <w:rPr>
                <w:rStyle w:val="FormatvorlageInstructionsTabelleText"/>
                <w:rFonts w:ascii="Times New Roman" w:hAnsi="Times New Roman"/>
                <w:sz w:val="24"/>
              </w:rPr>
            </w:pPr>
            <w:r w:rsidRPr="00AA1421">
              <w:rPr>
                <w:rStyle w:val="FormatvorlageInstructionsTabelleText"/>
                <w:rFonts w:ascii="Times New Roman" w:hAnsi="Times New Roman"/>
                <w:sz w:val="24"/>
              </w:rPr>
              <w:t>- pozycje w papierach kapitałowych ważone ryzykiem o wadze 37</w:t>
            </w:r>
            <w:r w:rsidRPr="00084F66">
              <w:rPr>
                <w:rStyle w:val="FormatvorlageInstructionsTabelleText"/>
                <w:rFonts w:ascii="Times New Roman" w:hAnsi="Times New Roman"/>
                <w:sz w:val="24"/>
              </w:rPr>
              <w:t>0</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w:t>
            </w:r>
            <w:r w:rsidRPr="00AA1421">
              <w:rPr>
                <w:rStyle w:val="FormatvorlageInstructionsTabelleText"/>
                <w:rFonts w:ascii="Times New Roman" w:hAnsi="Times New Roman"/>
                <w:sz w:val="24"/>
              </w:rPr>
              <w:t xml:space="preserve"> 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4</w:t>
            </w:r>
            <w:r w:rsidRPr="00AA1421">
              <w:rPr>
                <w:rStyle w:val="FormatvorlageInstructionsTabelleText"/>
                <w:rFonts w:ascii="Times New Roman" w:hAnsi="Times New Roman"/>
                <w:sz w:val="24"/>
              </w:rPr>
              <w:t xml:space="preserve">71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 CRR zgłasza się w wierszu 0110.</w:t>
            </w:r>
          </w:p>
        </w:tc>
      </w:tr>
      <w:tr w:rsidR="00C61FF5" w:rsidRPr="00AA1421" w:rsidTr="00672D2A">
        <w:tc>
          <w:tcPr>
            <w:tcW w:w="1608" w:type="dxa"/>
            <w:tcBorders>
              <w:top w:val="single" w:sz="4" w:space="0" w:color="auto"/>
              <w:left w:val="single" w:sz="4" w:space="0" w:color="auto"/>
              <w:bottom w:val="single" w:sz="4" w:space="0" w:color="auto"/>
              <w:right w:val="single" w:sz="4" w:space="0" w:color="auto"/>
            </w:tcBorders>
          </w:tcPr>
          <w:p w:rsidR="00C61FF5" w:rsidRPr="00AA1421" w:rsidRDefault="00C61FF5" w:rsidP="00C61FF5">
            <w:pPr>
              <w:rPr>
                <w:rStyle w:val="InstructionsTabelleText"/>
                <w:rFonts w:ascii="Times New Roman" w:hAnsi="Times New Roman"/>
                <w:sz w:val="24"/>
              </w:rPr>
            </w:pPr>
            <w:r w:rsidRPr="00AA1421">
              <w:rPr>
                <w:rStyle w:val="InstructionsTabelleText"/>
                <w:rFonts w:ascii="Times New Roman" w:hAnsi="Times New Roman"/>
                <w:sz w:val="24"/>
              </w:rPr>
              <w:t>CR EQU IRB 2</w:t>
            </w:r>
          </w:p>
          <w:p w:rsidR="00745369" w:rsidRPr="00AA1421"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AA1421" w:rsidRDefault="00C61FF5" w:rsidP="00450A2E">
            <w:pPr>
              <w:keepNext/>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PODZIAŁ EKSPOZYCJI CAŁKOWITYCH WEDŁUG METODY OPARTEJ NA PD/LGD WEDŁUG KLAS JAKOŚCI DŁUŻNIKÓW</w:t>
            </w:r>
          </w:p>
          <w:p w:rsidR="00745369" w:rsidRPr="00AA1421" w:rsidRDefault="00C61FF5" w:rsidP="00450A2E">
            <w:pPr>
              <w:keepNext/>
              <w:spacing w:beforeLines="60" w:before="144" w:afterLines="60" w:after="144"/>
              <w:rPr>
                <w:rStyle w:val="InstructionsTabelleText"/>
                <w:rFonts w:ascii="Times New Roman" w:hAnsi="Times New Roman"/>
                <w:sz w:val="24"/>
              </w:rPr>
            </w:pPr>
            <w:r w:rsidRPr="00AA1421">
              <w:rPr>
                <w:rStyle w:val="InstructionsTabelleText"/>
                <w:rFonts w:ascii="Times New Roman" w:hAnsi="Times New Roman"/>
                <w:sz w:val="24"/>
              </w:rPr>
              <w:t>Instytucje stosujące metodę opartą na PD/LGD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55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CRR) zgłaszają wymagane informacje we wzorze CR EQU IRB 2.</w:t>
            </w:r>
          </w:p>
          <w:p w:rsidR="00C61FF5" w:rsidRPr="00AA1421" w:rsidRDefault="00D021AF" w:rsidP="00C61FF5">
            <w:pPr>
              <w:rPr>
                <w:rStyle w:val="InstructionsTabelleberschrift"/>
                <w:rFonts w:ascii="Times New Roman" w:hAnsi="Times New Roman"/>
                <w:b w:val="0"/>
                <w:bCs w:val="0"/>
                <w:sz w:val="24"/>
                <w:u w:val="none"/>
              </w:rPr>
            </w:pPr>
            <w:r w:rsidRPr="00AA1421">
              <w:rPr>
                <w:rStyle w:val="InstructionsTabelleText"/>
                <w:rFonts w:ascii="Times New Roman" w:hAnsi="Times New Roman"/>
                <w:sz w:val="24"/>
              </w:rPr>
              <w:t>Instytucje stosujące metodę opartą na PD/LGD, które stosują niepowtarzalną skalę ratingu lub które mają możliwość zgłaszania danych zgodnie z wewnętrznym wzorcem, we wzorze CR EQU IRB 2 zgłaszają klasy ratingowe lub pule związane z tym niepowtarzalną skalą ratingu/wzorcem. W każdym innym przypadku łączy się różne skale ratingu i szereguje je zgodnie z następującymi kryteriami: klasy jakości lub pule dłużnika z różnych skali ratingowych łączy się i szereguje od najniższego PD przypisanego każdej klasie jakości lub puli dłużnika do najwyższego.</w:t>
            </w:r>
          </w:p>
        </w:tc>
      </w:tr>
    </w:tbl>
    <w:p w:rsidR="00633DEB" w:rsidRPr="00AA1421" w:rsidRDefault="00633DEB">
      <w:pPr>
        <w:spacing w:before="0" w:after="0"/>
        <w:jc w:val="left"/>
        <w:rPr>
          <w:rStyle w:val="InstructionsTabelleText"/>
          <w:rFonts w:ascii="Times New Roman" w:hAnsi="Times New Roman"/>
          <w:sz w:val="24"/>
        </w:rPr>
      </w:pPr>
    </w:p>
    <w:p w:rsidR="00612780" w:rsidRPr="00AA1421"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403665"/>
      <w:r w:rsidRPr="00AA1421">
        <w:rPr>
          <w:rFonts w:ascii="Times New Roman" w:hAnsi="Times New Roman"/>
          <w:sz w:val="24"/>
          <w:u w:val="none"/>
        </w:rPr>
        <w:t>3.6.</w:t>
      </w:r>
      <w:r w:rsidR="00D712CF" w:rsidRPr="00AA1421">
        <w:rPr>
          <w:u w:val="none"/>
        </w:rPr>
        <w:tab/>
      </w:r>
      <w:bookmarkStart w:id="402" w:name="_Toc310415035"/>
      <w:r w:rsidRPr="00AA1421">
        <w:rPr>
          <w:rFonts w:ascii="Times New Roman" w:hAnsi="Times New Roman"/>
          <w:sz w:val="24"/>
        </w:rPr>
        <w:t>C 11.00 – Ryzyko rozliczenia/dostawy</w:t>
      </w:r>
      <w:bookmarkEnd w:id="402"/>
      <w:bookmarkEnd w:id="399"/>
      <w:r w:rsidRPr="00AA1421">
        <w:rPr>
          <w:rFonts w:ascii="Times New Roman" w:hAnsi="Times New Roman"/>
          <w:sz w:val="24"/>
        </w:rPr>
        <w:t xml:space="preserve"> (CR SETT)</w:t>
      </w:r>
      <w:bookmarkEnd w:id="400"/>
      <w:bookmarkEnd w:id="401"/>
    </w:p>
    <w:p w:rsidR="00612780" w:rsidRPr="00AA1421"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403666"/>
      <w:r w:rsidRPr="00AA1421">
        <w:rPr>
          <w:rFonts w:ascii="Times New Roman" w:hAnsi="Times New Roman"/>
          <w:sz w:val="24"/>
          <w:u w:val="none"/>
        </w:rPr>
        <w:t>3.6.1.</w:t>
      </w:r>
      <w:r w:rsidR="00D712CF" w:rsidRPr="00AA1421">
        <w:rPr>
          <w:u w:val="none"/>
        </w:rPr>
        <w:tab/>
      </w:r>
      <w:r w:rsidRPr="00AA1421">
        <w:rPr>
          <w:rFonts w:ascii="Times New Roman" w:hAnsi="Times New Roman"/>
          <w:sz w:val="24"/>
        </w:rPr>
        <w:t>Uwagi ogólne</w:t>
      </w:r>
      <w:bookmarkEnd w:id="403"/>
      <w:bookmarkEnd w:id="404"/>
      <w:bookmarkEnd w:id="405"/>
      <w:bookmarkEnd w:id="406"/>
      <w:bookmarkEnd w:id="407"/>
      <w:bookmarkEnd w:id="408"/>
    </w:p>
    <w:p w:rsidR="00612780" w:rsidRPr="00AA1421" w:rsidRDefault="00AA1421" w:rsidP="00487A02">
      <w:pPr>
        <w:pStyle w:val="InstructionsText2"/>
        <w:numPr>
          <w:ilvl w:val="0"/>
          <w:numId w:val="0"/>
        </w:numPr>
        <w:ind w:left="1353" w:hanging="360"/>
      </w:pPr>
      <w:fldSimple w:instr=" seq paragraphs ">
        <w:r w:rsidR="00D11E4C" w:rsidRPr="00AA1421">
          <w:rPr>
            <w:noProof/>
          </w:rPr>
          <w:t>99</w:t>
        </w:r>
      </w:fldSimple>
      <w:r w:rsidR="00D11E4C" w:rsidRPr="00AA1421">
        <w:t>.</w:t>
      </w:r>
      <w:r w:rsidR="00D11E4C" w:rsidRPr="00AA1421">
        <w:tab/>
        <w:t xml:space="preserve">W ten wzór wprowadza się żądane informacje dotyczące zarówno transakcji portfela handlowego, jak i portfela bankowego, które są nierozliczone po ustalonych datach dostawy, a także odpowiadające im wymogi w zakresie funduszy własnych z tytułu ryzyka rozliczenia zgodnie z </w:t>
      </w:r>
      <w:r w:rsidR="00D11E4C" w:rsidRPr="00084F66">
        <w:t>art.</w:t>
      </w:r>
      <w:r w:rsidR="00084F66" w:rsidRPr="00084F66">
        <w:t> </w:t>
      </w:r>
      <w:r w:rsidR="00D11E4C" w:rsidRPr="00084F66">
        <w:t>9</w:t>
      </w:r>
      <w:r w:rsidR="00D11E4C" w:rsidRPr="00AA1421">
        <w:t xml:space="preserve">2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c)</w:t>
      </w:r>
      <w:r w:rsidR="00D11E4C" w:rsidRPr="00AA1421">
        <w:t xml:space="preserve"> </w:t>
      </w:r>
      <w:proofErr w:type="spellStart"/>
      <w:r w:rsidR="00D11E4C" w:rsidRPr="00AA1421">
        <w:t>ppkt</w:t>
      </w:r>
      <w:proofErr w:type="spellEnd"/>
      <w:r w:rsidR="00D11E4C" w:rsidRPr="00AA1421">
        <w:t xml:space="preserve"> (ii) oraz </w:t>
      </w:r>
      <w:r w:rsidR="00D11E4C" w:rsidRPr="00084F66">
        <w:t>art.</w:t>
      </w:r>
      <w:r w:rsidR="00084F66" w:rsidRPr="00084F66">
        <w:t> </w:t>
      </w:r>
      <w:r w:rsidR="00D11E4C" w:rsidRPr="00084F66">
        <w:t>3</w:t>
      </w:r>
      <w:r w:rsidR="00D11E4C" w:rsidRPr="00AA1421">
        <w:t xml:space="preserve">78 CRR. </w:t>
      </w:r>
    </w:p>
    <w:p w:rsidR="00612780" w:rsidRPr="00AA1421" w:rsidRDefault="00AA1421" w:rsidP="00487A02">
      <w:pPr>
        <w:pStyle w:val="InstructionsText2"/>
        <w:numPr>
          <w:ilvl w:val="0"/>
          <w:numId w:val="0"/>
        </w:numPr>
        <w:ind w:left="1353" w:hanging="360"/>
      </w:pPr>
      <w:fldSimple w:instr=" seq paragraphs ">
        <w:r w:rsidR="00D11E4C" w:rsidRPr="00AA1421">
          <w:rPr>
            <w:noProof/>
          </w:rPr>
          <w:t>100</w:t>
        </w:r>
      </w:fldSimple>
      <w:r w:rsidR="00D11E4C" w:rsidRPr="00AA1421">
        <w:t>.</w:t>
      </w:r>
      <w:r w:rsidR="00D11E4C" w:rsidRPr="00AA1421">
        <w:tab/>
        <w:t xml:space="preserve">Instytucje zgłaszają we wzorze CR SETT informacje dotyczące ryzyka rozliczenia/dostawy w związku z instrumentami dłużnymi, instrumentami kapitałowymi, walutami obcymi i towarami posiadanymi w swoich portfelach handlowych i bankowych. </w:t>
      </w:r>
    </w:p>
    <w:p w:rsidR="00612780" w:rsidRPr="00AA1421" w:rsidRDefault="00AA1421" w:rsidP="00487A02">
      <w:pPr>
        <w:pStyle w:val="InstructionsText2"/>
        <w:numPr>
          <w:ilvl w:val="0"/>
          <w:numId w:val="0"/>
        </w:numPr>
        <w:ind w:left="1353" w:hanging="360"/>
      </w:pPr>
      <w:fldSimple w:instr=" seq paragraphs ">
        <w:r w:rsidR="00D11E4C" w:rsidRPr="00AA1421">
          <w:rPr>
            <w:noProof/>
          </w:rPr>
          <w:t>101</w:t>
        </w:r>
      </w:fldSimple>
      <w:r w:rsidR="00D11E4C" w:rsidRPr="00AA1421">
        <w:t>.</w:t>
      </w:r>
      <w:r w:rsidR="00D11E4C" w:rsidRPr="00AA1421">
        <w:tab/>
        <w:t xml:space="preserve">Zgodnie z </w:t>
      </w:r>
      <w:r w:rsidR="00D11E4C" w:rsidRPr="00084F66">
        <w:t>art.</w:t>
      </w:r>
      <w:r w:rsidR="00084F66" w:rsidRPr="00084F66">
        <w:t> </w:t>
      </w:r>
      <w:r w:rsidR="00D11E4C" w:rsidRPr="00084F66">
        <w:t>3</w:t>
      </w:r>
      <w:r w:rsidR="00D11E4C" w:rsidRPr="00AA1421">
        <w:t xml:space="preserve">78 CRR transakcje z udzielonym przyrzeczeniem odkupu, transakcje udzielania lub zaciągania pożyczek papierów wartościowych lub towarów w połączeniu z instrumentami dłużnymi, instrumenty kapitałowe, waluty obce i towary nie są objęte wymogami w zakresie funduszy własnych z tytułu ryzyka rozliczenia/dostawy. Należy jednak zauważyć, że instrumenty pochodne i transakcje z długim terminem rozliczenia nierozliczone po ustalonych datach dostawy </w:t>
      </w:r>
      <w:r w:rsidR="00D11E4C" w:rsidRPr="00AA1421">
        <w:lastRenderedPageBreak/>
        <w:t xml:space="preserve">podlegają wymogom w zakresie funduszy własnych z tytułu ryzyka rozliczenia/dostawy zgodnie z </w:t>
      </w:r>
      <w:r w:rsidR="00D11E4C" w:rsidRPr="00084F66">
        <w:t>art.</w:t>
      </w:r>
      <w:r w:rsidR="00084F66" w:rsidRPr="00084F66">
        <w:t> </w:t>
      </w:r>
      <w:r w:rsidR="00D11E4C" w:rsidRPr="00084F66">
        <w:t>3</w:t>
      </w:r>
      <w:r w:rsidR="00D11E4C" w:rsidRPr="00AA1421">
        <w:t>78 CRR.</w:t>
      </w:r>
    </w:p>
    <w:p w:rsidR="00612780" w:rsidRPr="00AA1421" w:rsidRDefault="00AA1421" w:rsidP="00487A02">
      <w:pPr>
        <w:pStyle w:val="InstructionsText2"/>
        <w:numPr>
          <w:ilvl w:val="0"/>
          <w:numId w:val="0"/>
        </w:numPr>
        <w:ind w:left="1353" w:hanging="360"/>
      </w:pPr>
      <w:fldSimple w:instr=" seq paragraphs ">
        <w:r w:rsidR="00D11E4C" w:rsidRPr="00AA1421">
          <w:rPr>
            <w:noProof/>
          </w:rPr>
          <w:t>102</w:t>
        </w:r>
      </w:fldSimple>
      <w:r w:rsidR="00D11E4C" w:rsidRPr="00AA1421">
        <w:t>.</w:t>
      </w:r>
      <w:r w:rsidR="00D11E4C" w:rsidRPr="00AA1421">
        <w:tab/>
        <w:t xml:space="preserve">W przypadku transakcji nierozliczonych po ustalonych datach dostawy instytucje obliczają różnicę cenową mogącą stanowić ich stratę. Jest to różnica pomiędzy ustalonym kursem rozliczeniowym danego instrumentu dłużnego, instrumentu kapitałowego, waluty obcej lub towaru a obecną wartością rynkową, jeżeli ta różnica może oznaczać stratę dla instytucji. </w:t>
      </w:r>
    </w:p>
    <w:p w:rsidR="00612780" w:rsidRPr="00AA1421" w:rsidRDefault="00AA1421" w:rsidP="00487A02">
      <w:pPr>
        <w:pStyle w:val="InstructionsText2"/>
        <w:numPr>
          <w:ilvl w:val="0"/>
          <w:numId w:val="0"/>
        </w:numPr>
        <w:ind w:left="1353" w:hanging="360"/>
      </w:pPr>
      <w:fldSimple w:instr=" seq paragraphs ">
        <w:r w:rsidR="00D11E4C" w:rsidRPr="00AA1421">
          <w:rPr>
            <w:noProof/>
          </w:rPr>
          <w:t>103</w:t>
        </w:r>
      </w:fldSimple>
      <w:r w:rsidR="00D11E4C" w:rsidRPr="00AA1421">
        <w:t>.</w:t>
      </w:r>
      <w:r w:rsidR="00D11E4C" w:rsidRPr="00AA1421">
        <w:tab/>
        <w:t xml:space="preserve">Instytucje mnożą tę różnicę przez odpowiedni współczynnik z tabeli 1 znajdującej się w </w:t>
      </w:r>
      <w:r w:rsidR="00D11E4C" w:rsidRPr="00084F66">
        <w:t>art.</w:t>
      </w:r>
      <w:r w:rsidR="00084F66" w:rsidRPr="00084F66">
        <w:t> </w:t>
      </w:r>
      <w:r w:rsidR="00D11E4C" w:rsidRPr="00084F66">
        <w:t>3</w:t>
      </w:r>
      <w:r w:rsidR="00D11E4C" w:rsidRPr="00AA1421">
        <w:t>78 CRR, aby określić odpowiadające jej wymogi w zakresie funduszy własnych.</w:t>
      </w:r>
    </w:p>
    <w:p w:rsidR="00612780" w:rsidRPr="00AA1421" w:rsidRDefault="00AA1421" w:rsidP="00487A02">
      <w:pPr>
        <w:pStyle w:val="InstructionsText2"/>
        <w:numPr>
          <w:ilvl w:val="0"/>
          <w:numId w:val="0"/>
        </w:numPr>
        <w:ind w:left="1353" w:hanging="360"/>
      </w:pPr>
      <w:fldSimple w:instr=" seq paragraphs ">
        <w:r w:rsidR="00D11E4C" w:rsidRPr="00AA1421">
          <w:rPr>
            <w:noProof/>
          </w:rPr>
          <w:t>104</w:t>
        </w:r>
      </w:fldSimple>
      <w:r w:rsidR="00D11E4C" w:rsidRPr="00AA1421">
        <w:t>.</w:t>
      </w:r>
      <w:r w:rsidR="00D11E4C" w:rsidRPr="00AA1421">
        <w:tab/>
        <w:t xml:space="preserve">Zgodnie z </w:t>
      </w:r>
      <w:r w:rsidR="00D11E4C" w:rsidRPr="00084F66">
        <w:t>art.</w:t>
      </w:r>
      <w:r w:rsidR="00084F66" w:rsidRPr="00084F66">
        <w:t> </w:t>
      </w:r>
      <w:r w:rsidR="00D11E4C" w:rsidRPr="00084F66">
        <w:t>9</w:t>
      </w:r>
      <w:r w:rsidR="00D11E4C" w:rsidRPr="00AA1421">
        <w:t xml:space="preserve">2 </w:t>
      </w:r>
      <w:r w:rsidR="00D11E4C" w:rsidRPr="00084F66">
        <w:t>ust.</w:t>
      </w:r>
      <w:r w:rsidR="00084F66" w:rsidRPr="00084F66">
        <w:t> </w:t>
      </w:r>
      <w:r w:rsidR="00D11E4C" w:rsidRPr="00084F66">
        <w:t>4</w:t>
      </w:r>
      <w:r w:rsidR="00D11E4C" w:rsidRPr="00AA1421">
        <w:t xml:space="preserve"> </w:t>
      </w:r>
      <w:r w:rsidR="00D11E4C" w:rsidRPr="00084F66">
        <w:t>lit.</w:t>
      </w:r>
      <w:r w:rsidR="00084F66" w:rsidRPr="00084F66">
        <w:t> </w:t>
      </w:r>
      <w:r w:rsidR="00D11E4C" w:rsidRPr="00084F66">
        <w:t>b)</w:t>
      </w:r>
      <w:r w:rsidR="00D11E4C" w:rsidRPr="00AA1421">
        <w:t xml:space="preserve"> CRR wymogi w zakresie funduszy własnych z tytułu ryzyka rozliczenia/dostawy mnoży się przez 12,5, aby obliczyć kwotę ekspozycji na ryzyko.</w:t>
      </w:r>
    </w:p>
    <w:p w:rsidR="00612780" w:rsidRPr="00AA1421" w:rsidRDefault="00AA1421" w:rsidP="00487A02">
      <w:pPr>
        <w:pStyle w:val="InstructionsText2"/>
        <w:numPr>
          <w:ilvl w:val="0"/>
          <w:numId w:val="0"/>
        </w:numPr>
        <w:ind w:left="1353" w:hanging="360"/>
      </w:pPr>
      <w:fldSimple w:instr=" seq paragraphs ">
        <w:r w:rsidR="00D11E4C" w:rsidRPr="00AA1421">
          <w:rPr>
            <w:noProof/>
          </w:rPr>
          <w:t>105</w:t>
        </w:r>
      </w:fldSimple>
      <w:r w:rsidR="00D11E4C" w:rsidRPr="00AA1421">
        <w:t>.</w:t>
      </w:r>
      <w:r w:rsidR="00D11E4C" w:rsidRPr="00AA1421">
        <w:tab/>
        <w:t xml:space="preserve">Należy zauważyć, że wymogi w zakresie funduszy własnych dla dostaw z późniejszym terminem rozliczenia określone w </w:t>
      </w:r>
      <w:r w:rsidR="00D11E4C" w:rsidRPr="00084F66">
        <w:t>art.</w:t>
      </w:r>
      <w:r w:rsidR="00084F66" w:rsidRPr="00084F66">
        <w:t> </w:t>
      </w:r>
      <w:r w:rsidR="00D11E4C" w:rsidRPr="00084F66">
        <w:t>3</w:t>
      </w:r>
      <w:r w:rsidR="00D11E4C" w:rsidRPr="00AA1421">
        <w:t>79 CRR nie wchodzą w zakres wzoru CR SETT. Te wymogi w zakresie funduszy własnych zgłaszane są we wzorach dotyczących ryzyka kredytowego (CR SA, CR IRB).</w:t>
      </w:r>
    </w:p>
    <w:p w:rsidR="00612780" w:rsidRPr="00AA1421"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403667"/>
      <w:r w:rsidRPr="00AA1421">
        <w:rPr>
          <w:rFonts w:ascii="Times New Roman" w:hAnsi="Times New Roman"/>
          <w:sz w:val="24"/>
          <w:u w:val="none"/>
        </w:rPr>
        <w:t>3.6.2.</w:t>
      </w:r>
      <w:r w:rsidR="00D712CF" w:rsidRPr="00AA1421">
        <w:rPr>
          <w:u w:val="none"/>
        </w:rPr>
        <w:tab/>
      </w:r>
      <w:r w:rsidRPr="00AA1421">
        <w:rPr>
          <w:rFonts w:ascii="Times New Roman" w:hAnsi="Times New Roman"/>
          <w:sz w:val="24"/>
        </w:rPr>
        <w:t>Instrukcje dotyczące poszczególnych pozycji</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AA1421" w:rsidTr="00672D2A">
        <w:tc>
          <w:tcPr>
            <w:tcW w:w="8856" w:type="dxa"/>
            <w:gridSpan w:val="2"/>
            <w:shd w:val="clear" w:color="auto" w:fill="CCCCCC"/>
          </w:tcPr>
          <w:p w:rsidR="00745369" w:rsidRPr="00AA1421" w:rsidRDefault="00612780" w:rsidP="00EA0BAB">
            <w:pPr>
              <w:spacing w:beforeLines="60" w:before="144" w:afterLines="60" w:after="144"/>
              <w:rPr>
                <w:rFonts w:ascii="Times New Roman" w:hAnsi="Times New Roman"/>
                <w:b/>
                <w:sz w:val="24"/>
              </w:rPr>
            </w:pPr>
            <w:r w:rsidRPr="00AA1421">
              <w:rPr>
                <w:rFonts w:ascii="Times New Roman" w:hAnsi="Times New Roman"/>
                <w:b/>
                <w:sz w:val="24"/>
              </w:rPr>
              <w:t>Kolumny</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0010</w:t>
            </w:r>
          </w:p>
        </w:tc>
        <w:tc>
          <w:tcPr>
            <w:tcW w:w="8004"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TRANSAKCJE NIEROZLICZONE WEDŁUG KURSU ROZLICZENIOWEGO</w:t>
            </w:r>
          </w:p>
          <w:p w:rsidR="00745369" w:rsidRPr="00AA1421" w:rsidRDefault="00A16FFF" w:rsidP="00450A2E">
            <w:pPr>
              <w:spacing w:beforeLines="60" w:before="144" w:afterLines="60" w:after="144"/>
              <w:rPr>
                <w:rFonts w:ascii="Times New Roman" w:hAnsi="Times New Roman"/>
                <w:sz w:val="24"/>
              </w:rPr>
            </w:pPr>
            <w:r w:rsidRPr="00AA1421">
              <w:rPr>
                <w:rFonts w:ascii="Times New Roman" w:hAnsi="Times New Roman"/>
                <w:sz w:val="24"/>
              </w:rPr>
              <w:t xml:space="preserve">Instytucje zgłaszają transakcje nierozliczone po ustalonych datach dostawy według odpowiedniego ustalonego kursu rozliczeniowego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78 CRR. </w:t>
            </w:r>
          </w:p>
          <w:p w:rsidR="00745369" w:rsidRPr="00AA1421" w:rsidRDefault="00612780" w:rsidP="00302C3F">
            <w:pPr>
              <w:spacing w:beforeLines="60" w:before="144" w:afterLines="60" w:after="144"/>
              <w:rPr>
                <w:rFonts w:ascii="Times New Roman" w:hAnsi="Times New Roman"/>
                <w:sz w:val="24"/>
              </w:rPr>
            </w:pPr>
            <w:r w:rsidRPr="00AA1421">
              <w:rPr>
                <w:rFonts w:ascii="Times New Roman" w:hAnsi="Times New Roman"/>
                <w:sz w:val="24"/>
              </w:rPr>
              <w:t>W tej kolumnie uwzględnia się wszystkie transakcje nierozliczone, niezależnie od faktu, czy po terminie rozliczenia stanowią one zysk czy stratę.</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0020</w:t>
            </w:r>
          </w:p>
        </w:tc>
        <w:tc>
          <w:tcPr>
            <w:tcW w:w="8004"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EKSPOZYCJA ZWIĄZANA Z RÓŻNICĄ CENOWĄ WYNIKAJĄCA Z NIEROZLICZONYCH TRANSAKCJI</w:t>
            </w:r>
          </w:p>
          <w:p w:rsidR="00745369" w:rsidRPr="00AA1421" w:rsidRDefault="00A16FFF" w:rsidP="00450A2E">
            <w:pPr>
              <w:spacing w:beforeLines="60" w:before="144" w:afterLines="60" w:after="144"/>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78 CRR instytucje zgłaszają różnicę pomiędzy ustalonym kursem rozliczeniowym a bieżącą wartością rynkową danego instrumentu dłużnego, instrumentu kapitałowego, waluty obcej lub towaru, jeżeli ta różnica może oznaczać stratę dla instytucji. </w:t>
            </w:r>
          </w:p>
          <w:p w:rsidR="00745369" w:rsidRPr="00AA1421" w:rsidRDefault="00612780" w:rsidP="00302C3F">
            <w:pPr>
              <w:spacing w:beforeLines="60" w:before="144" w:afterLines="60" w:after="144"/>
              <w:rPr>
                <w:rFonts w:ascii="Times New Roman" w:hAnsi="Times New Roman"/>
                <w:sz w:val="24"/>
              </w:rPr>
            </w:pPr>
            <w:r w:rsidRPr="00AA1421">
              <w:rPr>
                <w:rFonts w:ascii="Times New Roman" w:hAnsi="Times New Roman"/>
                <w:sz w:val="24"/>
              </w:rPr>
              <w:t>W tej kolumnie zgłasza się wyłącznie nierozliczone transakcje oznaczające stratę po terminie rozliczenia.</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0030</w:t>
            </w:r>
          </w:p>
        </w:tc>
        <w:tc>
          <w:tcPr>
            <w:tcW w:w="8004"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WYMOGI W ZAKRESIE FUNDUSZY WŁASNYCH</w:t>
            </w:r>
          </w:p>
          <w:p w:rsidR="00745369" w:rsidRPr="00AA1421" w:rsidRDefault="00612780" w:rsidP="00302C3F">
            <w:pPr>
              <w:spacing w:beforeLines="60" w:before="144" w:afterLines="60" w:after="144"/>
              <w:rPr>
                <w:rFonts w:ascii="Times New Roman" w:hAnsi="Times New Roman"/>
                <w:sz w:val="24"/>
              </w:rPr>
            </w:pPr>
            <w:r w:rsidRPr="00AA1421">
              <w:rPr>
                <w:rFonts w:ascii="Times New Roman" w:hAnsi="Times New Roman"/>
                <w:sz w:val="24"/>
              </w:rPr>
              <w:t xml:space="preserve">Instytucje zgłaszają wymogi w zakresie funduszy własnych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78 CRR.</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0040</w:t>
            </w:r>
          </w:p>
        </w:tc>
        <w:tc>
          <w:tcPr>
            <w:tcW w:w="8004"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CAŁKOWITA KWOTA EKSPOZYCJI NA RYZYKO ROZLICZENIA</w:t>
            </w:r>
          </w:p>
          <w:p w:rsidR="00745369" w:rsidRPr="00AA1421" w:rsidRDefault="00612780" w:rsidP="00705025">
            <w:pPr>
              <w:spacing w:beforeLines="60" w:before="144" w:afterLines="60" w:after="144"/>
              <w:rPr>
                <w:rFonts w:ascii="Times New Roman" w:hAnsi="Times New Roman"/>
                <w:sz w:val="24"/>
              </w:rPr>
            </w:pPr>
            <w:r w:rsidRPr="00AA1421">
              <w:rPr>
                <w:rFonts w:ascii="Times New Roman" w:hAnsi="Times New Roman"/>
                <w:sz w:val="24"/>
              </w:rPr>
              <w:lastRenderedPageBreak/>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instytucje mnożą wymogi w zakresie funduszy własnych zgłoszone w kolumnie 0030 przez 12,5, aby uzyskać kwotę ekspozycji na ryzyko rozliczenia.</w:t>
            </w:r>
          </w:p>
        </w:tc>
      </w:tr>
    </w:tbl>
    <w:p w:rsidR="00612780" w:rsidRPr="00AA1421"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8010"/>
      </w:tblGrid>
      <w:tr w:rsidR="00612780" w:rsidRPr="00AA1421" w:rsidTr="00672D2A">
        <w:tc>
          <w:tcPr>
            <w:tcW w:w="8862" w:type="dxa"/>
            <w:gridSpan w:val="2"/>
            <w:shd w:val="clear" w:color="auto" w:fill="CCCCCC"/>
          </w:tcPr>
          <w:p w:rsidR="00745369" w:rsidRPr="00AA1421" w:rsidRDefault="00612780" w:rsidP="00EA0BAB">
            <w:pPr>
              <w:spacing w:beforeLines="60" w:before="144" w:afterLines="60" w:after="144"/>
              <w:rPr>
                <w:rFonts w:ascii="Times New Roman" w:hAnsi="Times New Roman"/>
                <w:b/>
                <w:sz w:val="24"/>
              </w:rPr>
            </w:pPr>
            <w:r w:rsidRPr="00AA1421">
              <w:rPr>
                <w:rFonts w:ascii="Times New Roman" w:hAnsi="Times New Roman"/>
                <w:b/>
                <w:sz w:val="24"/>
              </w:rPr>
              <w:t>Wiersze</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0010</w:t>
            </w:r>
          </w:p>
        </w:tc>
        <w:tc>
          <w:tcPr>
            <w:tcW w:w="8010"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Transakcje nierozliczone w portfelu bankowym razem</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t xml:space="preserve">Instytucje zgłaszają zagregowane informacje dotyczące ryzyka rozliczenia/dostawy dla pozycji w portfelu bankowym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78 CRR).</w:t>
            </w:r>
          </w:p>
          <w:p w:rsidR="00745369" w:rsidRPr="00AA1421" w:rsidRDefault="00612780" w:rsidP="00450A2E">
            <w:pPr>
              <w:spacing w:beforeLines="60" w:before="144"/>
              <w:rPr>
                <w:rFonts w:ascii="Times New Roman" w:hAnsi="Times New Roman"/>
                <w:sz w:val="24"/>
              </w:rPr>
            </w:pPr>
            <w:r w:rsidRPr="00AA1421">
              <w:rPr>
                <w:rFonts w:ascii="Times New Roman" w:hAnsi="Times New Roman"/>
                <w:sz w:val="24"/>
              </w:rPr>
              <w:t>Instytucje zgłaszają w wierszu {r0010;c0010} zagregowaną sumę transakcji nierozliczonych po ustalonych datach dostawy według odpowiedniego ustalonego kursu rozliczeniowego.</w:t>
            </w:r>
          </w:p>
          <w:p w:rsidR="00745369" w:rsidRPr="00AA1421" w:rsidRDefault="00612780" w:rsidP="00450A2E">
            <w:pPr>
              <w:spacing w:beforeLines="60" w:before="144"/>
              <w:rPr>
                <w:rFonts w:ascii="Times New Roman" w:hAnsi="Times New Roman"/>
                <w:sz w:val="24"/>
              </w:rPr>
            </w:pPr>
            <w:r w:rsidRPr="00AA1421">
              <w:rPr>
                <w:rFonts w:ascii="Times New Roman" w:hAnsi="Times New Roman"/>
                <w:sz w:val="24"/>
              </w:rPr>
              <w:t>Instytucje zgłaszają w wierszu {r0010;c0020} zagregowane informacje dotyczące ekspozycji związanej z różnicą cenową wynikającą z nierozliczonych transakcji oznaczającą stratę.</w:t>
            </w:r>
          </w:p>
          <w:p w:rsidR="00745369" w:rsidRPr="00AA1421" w:rsidRDefault="00612780" w:rsidP="00302C3F">
            <w:pPr>
              <w:spacing w:beforeLines="60" w:before="144" w:afterLines="60" w:after="144"/>
              <w:rPr>
                <w:rFonts w:ascii="Times New Roman" w:hAnsi="Times New Roman"/>
                <w:sz w:val="24"/>
              </w:rPr>
            </w:pPr>
            <w:r w:rsidRPr="00AA1421">
              <w:rPr>
                <w:rFonts w:ascii="Times New Roman" w:hAnsi="Times New Roman"/>
                <w:sz w:val="24"/>
              </w:rPr>
              <w:t xml:space="preserve">Instytucje zgłaszają w {r0010;c0030} zagregowane wymogi w zakresie funduszy własnych uzyskane po zsumowaniu wymogów w zakresie funduszy własnych dla nierozliczonych transakcji poprzez pomnożenie „różnicy cenowej” zgłoszonej w kolumnie 0020 przez odpowiedni współczynnik w oparciu o liczbę dni roboczych po terminie rozliczenia (kategorie, o których mowa w tabeli 1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78 CRR).</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 xml:space="preserve">0020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060</w:t>
            </w:r>
          </w:p>
        </w:tc>
        <w:tc>
          <w:tcPr>
            <w:tcW w:w="8010"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maksymalnie 4 dni (współczynnik </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 xml:space="preserve">) </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 xml:space="preserve">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 xml:space="preserve">5 dni (współczynnik </w:t>
            </w:r>
            <w:r w:rsidRPr="00084F66">
              <w:rPr>
                <w:rStyle w:val="InstructionsTabelleberschrift"/>
                <w:rFonts w:ascii="Times New Roman" w:hAnsi="Times New Roman"/>
                <w:sz w:val="24"/>
              </w:rPr>
              <w:t>8</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 xml:space="preserve">6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0 dni (współczynnik 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1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5 dni (współczynnik 75 %)</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Transakcje nierozliczone za okres 46 dni i więcej (współczynnik 10</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t xml:space="preserve">W wierszach 0020–0060 instytucje zgłaszają informacje dotyczące ryzyka rozliczenia/dostawy dla pozycji w portfelu bankowym zgodnie z kategoriami, o których mowa w tabeli 1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78 CRR. </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t>W przypadku gdy od terminu rozliczenia minęło mniej niż 5 dni roboczych, nie ma wymogów w zakresie funduszy własnych w odniesieniu do ryzyka rozliczenia/dostawy.</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t>0070</w:t>
            </w:r>
          </w:p>
        </w:tc>
        <w:tc>
          <w:tcPr>
            <w:tcW w:w="8010"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Transakcje nierozliczone w portfelu handlowym razem</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t xml:space="preserve">Instytucje zgłaszają zagregowane informacje dotyczące ryzyka rozliczenia/dostawy dla pozycji w portfelu handlowym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78 CRR).</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t>Instytucje zgłaszają w wierszu {r0070;c0010} zagregowaną sumę transakcji nierozliczonych po ustalonych datach dostawy według odpowiedniego ustalonego kursu rozliczeniowego.</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lastRenderedPageBreak/>
              <w:t>Instytucje zgłaszają w wierszu {r0070;c0020} zagregowane informacje dotyczące ekspozycji związanej z różnicą cenową wynikającą z nierozliczonych transakcji oznaczającą stratę.</w:t>
            </w:r>
          </w:p>
          <w:p w:rsidR="00745369" w:rsidRPr="00AA1421" w:rsidRDefault="00612780" w:rsidP="00E921F1">
            <w:pPr>
              <w:spacing w:beforeLines="60" w:before="144" w:afterLines="60" w:after="144"/>
              <w:rPr>
                <w:rFonts w:ascii="Times New Roman" w:hAnsi="Times New Roman"/>
                <w:b/>
                <w:sz w:val="24"/>
              </w:rPr>
            </w:pPr>
            <w:r w:rsidRPr="00AA1421">
              <w:rPr>
                <w:rFonts w:ascii="Times New Roman" w:hAnsi="Times New Roman"/>
                <w:sz w:val="24"/>
              </w:rPr>
              <w:t xml:space="preserve">Instytucje zgłaszają w {r0070;c0030} zagregowane wymogi w zakresie funduszy własnych uzyskane po zsumowaniu wymogów w zakresie funduszy własnych dla nierozliczonych transakcji poprzez pomnożenie „różnicy cenowej” zgłoszonej w kolumnie 0020 przez odpowiedni współczynnik w oparciu o liczbę dni roboczych po terminie rozliczenia (kategorie, o których mowa w tabeli 1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78 CRR).</w:t>
            </w:r>
          </w:p>
        </w:tc>
      </w:tr>
      <w:tr w:rsidR="00612780" w:rsidRPr="00AA1421" w:rsidTr="00672D2A">
        <w:tc>
          <w:tcPr>
            <w:tcW w:w="852" w:type="dxa"/>
          </w:tcPr>
          <w:p w:rsidR="00745369" w:rsidRPr="00AA1421" w:rsidRDefault="00612780" w:rsidP="00EA0BAB">
            <w:pPr>
              <w:spacing w:beforeLines="60" w:before="144" w:afterLines="60" w:after="144"/>
              <w:rPr>
                <w:rFonts w:ascii="Times New Roman" w:hAnsi="Times New Roman"/>
                <w:sz w:val="24"/>
              </w:rPr>
            </w:pPr>
            <w:r w:rsidRPr="00AA1421">
              <w:rPr>
                <w:rFonts w:ascii="Times New Roman" w:hAnsi="Times New Roman"/>
                <w:sz w:val="24"/>
              </w:rPr>
              <w:lastRenderedPageBreak/>
              <w:t xml:space="preserve">0080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120</w:t>
            </w:r>
          </w:p>
        </w:tc>
        <w:tc>
          <w:tcPr>
            <w:tcW w:w="8010" w:type="dxa"/>
          </w:tcPr>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maksymalnie 4 dni (współczynnik </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 xml:space="preserve">) </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5</w:t>
            </w:r>
            <w:r w:rsidRPr="00AA1421">
              <w:rPr>
                <w:rStyle w:val="InstructionsTabelleberschrift"/>
                <w:rFonts w:ascii="Times New Roman" w:hAnsi="Times New Roman"/>
                <w:sz w:val="24"/>
              </w:rPr>
              <w:t xml:space="preserve">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 xml:space="preserve">5 dni (współczynnik </w:t>
            </w:r>
            <w:r w:rsidRPr="00084F66">
              <w:rPr>
                <w:rStyle w:val="InstructionsTabelleberschrift"/>
                <w:rFonts w:ascii="Times New Roman" w:hAnsi="Times New Roman"/>
                <w:sz w:val="24"/>
              </w:rPr>
              <w:t>8</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1</w:t>
            </w:r>
            <w:r w:rsidRPr="00AA1421">
              <w:rPr>
                <w:rStyle w:val="InstructionsTabelleberschrift"/>
                <w:rFonts w:ascii="Times New Roman" w:hAnsi="Times New Roman"/>
                <w:sz w:val="24"/>
              </w:rPr>
              <w:t xml:space="preserve">6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0 dni (współczynnik 5</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nierozliczone za okres </w:t>
            </w:r>
            <w:r w:rsidRPr="00084F66">
              <w:rPr>
                <w:rStyle w:val="InstructionsTabelleberschrift"/>
                <w:rFonts w:ascii="Times New Roman" w:hAnsi="Times New Roman"/>
                <w:sz w:val="24"/>
              </w:rPr>
              <w:t>od</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1 </w:t>
            </w:r>
            <w:r w:rsidRPr="00084F66">
              <w:rPr>
                <w:rStyle w:val="InstructionsTabelleberschrift"/>
                <w:rFonts w:ascii="Times New Roman" w:hAnsi="Times New Roman"/>
                <w:sz w:val="24"/>
              </w:rPr>
              <w:t>do</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5 dni (współczynnik 75 %)</w:t>
            </w:r>
          </w:p>
          <w:p w:rsidR="00745369" w:rsidRPr="00AA1421" w:rsidRDefault="00612780" w:rsidP="00450A2E">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Transakcje nierozliczone za okres 46 dni i więcej (współczynnik 10</w:t>
            </w:r>
            <w:r w:rsidRPr="00084F66">
              <w:rPr>
                <w:rStyle w:val="InstructionsTabelleberschrift"/>
                <w:rFonts w:ascii="Times New Roman" w:hAnsi="Times New Roman"/>
                <w:sz w:val="24"/>
              </w:rPr>
              <w:t>0</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w:t>
            </w:r>
            <w:r w:rsidRPr="00AA1421">
              <w:rPr>
                <w:rStyle w:val="InstructionsTabelleberschrift"/>
                <w:rFonts w:ascii="Times New Roman" w:hAnsi="Times New Roman"/>
                <w:sz w:val="24"/>
              </w:rPr>
              <w:t>)</w:t>
            </w:r>
          </w:p>
          <w:p w:rsidR="00745369" w:rsidRPr="00AA1421" w:rsidRDefault="00612780" w:rsidP="00450A2E">
            <w:pPr>
              <w:spacing w:beforeLines="60" w:before="144" w:afterLines="60" w:after="144"/>
              <w:rPr>
                <w:rFonts w:ascii="Times New Roman" w:hAnsi="Times New Roman"/>
                <w:sz w:val="24"/>
              </w:rPr>
            </w:pPr>
            <w:r w:rsidRPr="00AA1421">
              <w:rPr>
                <w:rFonts w:ascii="Times New Roman" w:hAnsi="Times New Roman"/>
                <w:sz w:val="24"/>
              </w:rPr>
              <w:t xml:space="preserve">W wierszach 0080–0120 instytucje zgłaszają informacje dotyczące ryzyka rozliczenia/dostawy dla pozycji w portfelu handlowym zgodnie z kategoriami, o których mowa w tabeli 1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78 CRR. </w:t>
            </w:r>
          </w:p>
          <w:p w:rsidR="00745369" w:rsidRPr="00AA1421" w:rsidRDefault="00612780" w:rsidP="00D021AF">
            <w:pPr>
              <w:spacing w:beforeLines="60" w:before="144" w:afterLines="60" w:after="144"/>
              <w:rPr>
                <w:rFonts w:ascii="Times New Roman" w:hAnsi="Times New Roman"/>
                <w:b/>
                <w:sz w:val="24"/>
              </w:rPr>
            </w:pPr>
            <w:r w:rsidRPr="00AA1421">
              <w:rPr>
                <w:rFonts w:ascii="Times New Roman" w:hAnsi="Times New Roman"/>
                <w:sz w:val="24"/>
              </w:rPr>
              <w:t>W przypadku gdy od terminu rozliczenia minęło mniej niż 5 dni roboczych, nie ma wymogów w zakresie funduszy własnych w odniesieniu do ryzyka rozliczenia/dostawy.</w:t>
            </w:r>
          </w:p>
        </w:tc>
      </w:tr>
    </w:tbl>
    <w:p w:rsidR="00612780" w:rsidRPr="00AA1421" w:rsidRDefault="00612780" w:rsidP="00612780">
      <w:pPr>
        <w:spacing w:after="0"/>
        <w:rPr>
          <w:rFonts w:ascii="Times New Roman" w:hAnsi="Times New Roman"/>
          <w:sz w:val="24"/>
        </w:rPr>
      </w:pPr>
    </w:p>
    <w:p w:rsidR="00612780" w:rsidRPr="00AA1421" w:rsidRDefault="00612780">
      <w:pPr>
        <w:spacing w:before="0" w:after="0"/>
        <w:jc w:val="left"/>
        <w:rPr>
          <w:rStyle w:val="InstructionsTabelleText"/>
          <w:rFonts w:ascii="Times New Roman" w:hAnsi="Times New Roman"/>
          <w:sz w:val="24"/>
        </w:rPr>
      </w:pPr>
      <w:r w:rsidRPr="00AA1421">
        <w:br w:type="page"/>
      </w:r>
    </w:p>
    <w:p w:rsidR="00612780" w:rsidRPr="00AA1421" w:rsidRDefault="00612780" w:rsidP="00612780">
      <w:pPr>
        <w:autoSpaceDE w:val="0"/>
        <w:autoSpaceDN w:val="0"/>
        <w:adjustRightInd w:val="0"/>
        <w:spacing w:before="0" w:after="0"/>
        <w:jc w:val="left"/>
        <w:rPr>
          <w:rFonts w:ascii="Times New Roman" w:hAnsi="Times New Roman"/>
          <w:sz w:val="24"/>
          <w:lang w:eastAsia="es-ES_tradnl"/>
        </w:rPr>
      </w:pPr>
    </w:p>
    <w:p w:rsidR="00E026FB" w:rsidRPr="00AA1421"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403668"/>
      <w:r w:rsidRPr="00AA1421">
        <w:rPr>
          <w:rFonts w:ascii="Times New Roman" w:hAnsi="Times New Roman"/>
          <w:sz w:val="24"/>
          <w:u w:val="none"/>
        </w:rPr>
        <w:t>3.7.</w:t>
      </w:r>
      <w:r w:rsidR="00D712CF" w:rsidRPr="00AA1421">
        <w:rPr>
          <w:u w:val="none"/>
        </w:rPr>
        <w:tab/>
      </w:r>
      <w:r w:rsidRPr="00AA1421">
        <w:rPr>
          <w:rFonts w:ascii="Times New Roman" w:hAnsi="Times New Roman"/>
          <w:sz w:val="24"/>
        </w:rPr>
        <w:t>C 13.01 – Ryzyko kredytowe – sekurytyzacje (CR SEC)</w:t>
      </w:r>
      <w:bookmarkEnd w:id="413"/>
      <w:bookmarkEnd w:id="414"/>
    </w:p>
    <w:p w:rsidR="00E026FB" w:rsidRPr="00AA1421"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403669"/>
      <w:r w:rsidRPr="00AA1421">
        <w:rPr>
          <w:rFonts w:ascii="Times New Roman" w:hAnsi="Times New Roman"/>
          <w:sz w:val="24"/>
          <w:u w:val="none"/>
        </w:rPr>
        <w:t>3.7.1.</w:t>
      </w:r>
      <w:r w:rsidR="00D712CF" w:rsidRPr="00AA1421">
        <w:rPr>
          <w:u w:val="none"/>
        </w:rPr>
        <w:tab/>
      </w:r>
      <w:r w:rsidRPr="00AA1421">
        <w:rPr>
          <w:rFonts w:ascii="Times New Roman" w:hAnsi="Times New Roman"/>
          <w:sz w:val="24"/>
        </w:rPr>
        <w:t>Uwagi ogólne</w:t>
      </w:r>
      <w:bookmarkEnd w:id="415"/>
      <w:bookmarkEnd w:id="416"/>
    </w:p>
    <w:p w:rsidR="00E026FB" w:rsidRPr="00AA1421" w:rsidRDefault="00AA1421" w:rsidP="00487A02">
      <w:pPr>
        <w:pStyle w:val="InstructionsText2"/>
        <w:numPr>
          <w:ilvl w:val="0"/>
          <w:numId w:val="0"/>
        </w:numPr>
        <w:ind w:left="1353" w:hanging="360"/>
      </w:pPr>
      <w:fldSimple w:instr=" seq paragraphs ">
        <w:r w:rsidR="00D11E4C" w:rsidRPr="00AA1421">
          <w:rPr>
            <w:noProof/>
          </w:rPr>
          <w:t>106</w:t>
        </w:r>
      </w:fldSimple>
      <w:r w:rsidR="00D11E4C" w:rsidRPr="00AA1421">
        <w:t xml:space="preserve">. Jeżeli instytucja jest jednostką inicjującą, w tym wzorze wymagane są informacje na temat wszystkich sekurytyzacji, w odniesieniu do których uznano przeniesienie istotnej części ryzyka. Jeżeli instytucja jest inwestorem, zgłasza się wszystkie ekspozycje. </w:t>
      </w:r>
    </w:p>
    <w:p w:rsidR="00E026FB" w:rsidRPr="00AA1421" w:rsidRDefault="00AA1421" w:rsidP="00487A02">
      <w:pPr>
        <w:pStyle w:val="InstructionsText2"/>
        <w:numPr>
          <w:ilvl w:val="0"/>
          <w:numId w:val="0"/>
        </w:numPr>
        <w:ind w:left="1353" w:hanging="360"/>
      </w:pPr>
      <w:fldSimple w:instr=" seq paragraphs ">
        <w:r w:rsidR="00D11E4C" w:rsidRPr="00AA1421">
          <w:rPr>
            <w:noProof/>
          </w:rPr>
          <w:t>107</w:t>
        </w:r>
      </w:fldSimple>
      <w:r w:rsidR="00D11E4C" w:rsidRPr="00AA1421">
        <w:t>.</w:t>
      </w:r>
      <w:r w:rsidR="00D11E4C" w:rsidRPr="00AA1421">
        <w:tab/>
        <w:t xml:space="preserve"> Zgłaszane informacje zależą od roli instytucji w kontekście procesu sekurytyzacji. Poszczególne zgłaszane pozycje mają zastosowanie do jednostek inicjujących, jednostek sponsorujących i inwestorów.</w:t>
      </w:r>
    </w:p>
    <w:p w:rsidR="00E026FB" w:rsidRPr="00AA1421" w:rsidRDefault="00AA1421" w:rsidP="00487A02">
      <w:pPr>
        <w:pStyle w:val="InstructionsText2"/>
        <w:numPr>
          <w:ilvl w:val="0"/>
          <w:numId w:val="0"/>
        </w:numPr>
        <w:ind w:left="1353" w:hanging="360"/>
      </w:pPr>
      <w:fldSimple w:instr=" seq paragraphs ">
        <w:r w:rsidR="00D11E4C" w:rsidRPr="00AA1421">
          <w:rPr>
            <w:noProof/>
          </w:rPr>
          <w:t>108</w:t>
        </w:r>
      </w:fldSimple>
      <w:r w:rsidR="00D11E4C" w:rsidRPr="00AA1421">
        <w:t xml:space="preserve">. Wzór ten służy do gromadzenia informacji dotyczących zarówno sekurytyzacji tradycyjnych, jak i syntetycznych znajdujących się w portfelu bankowym. </w:t>
      </w:r>
    </w:p>
    <w:p w:rsidR="00E026FB" w:rsidRPr="00AA1421"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403670"/>
      <w:r w:rsidRPr="00AA1421">
        <w:rPr>
          <w:rFonts w:ascii="Times New Roman" w:hAnsi="Times New Roman"/>
          <w:sz w:val="24"/>
          <w:u w:val="none"/>
        </w:rPr>
        <w:t>3.7.2.</w:t>
      </w:r>
      <w:r w:rsidR="00D712CF" w:rsidRPr="00AA1421">
        <w:rPr>
          <w:u w:val="none"/>
        </w:rPr>
        <w:tab/>
      </w:r>
      <w:r w:rsidRPr="00AA1421">
        <w:rPr>
          <w:rFonts w:ascii="Times New Roman" w:hAnsi="Times New Roman"/>
          <w:sz w:val="24"/>
        </w:rPr>
        <w:t>Instrukcje dotyczące poszczególnych pozycji</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AA1421" w:rsidTr="00E10B85">
        <w:tc>
          <w:tcPr>
            <w:tcW w:w="9004" w:type="dxa"/>
            <w:gridSpan w:val="2"/>
            <w:shd w:val="clear" w:color="auto" w:fill="CCCCCC"/>
          </w:tcPr>
          <w:p w:rsidR="00E026FB" w:rsidRPr="00AA1421"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AA1421" w:rsidRDefault="00E026FB" w:rsidP="00E10B85">
            <w:pPr>
              <w:autoSpaceDE w:val="0"/>
              <w:autoSpaceDN w:val="0"/>
              <w:adjustRightInd w:val="0"/>
              <w:spacing w:before="0" w:after="0"/>
              <w:rPr>
                <w:rFonts w:ascii="Times New Roman" w:hAnsi="Times New Roman"/>
                <w:b/>
                <w:bCs/>
                <w:sz w:val="24"/>
              </w:rPr>
            </w:pPr>
            <w:r w:rsidRPr="00AA1421">
              <w:rPr>
                <w:rFonts w:ascii="Times New Roman" w:hAnsi="Times New Roman"/>
                <w:b/>
                <w:sz w:val="24"/>
              </w:rPr>
              <w:t>Kolumny</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0010</w:t>
            </w:r>
          </w:p>
        </w:tc>
        <w:tc>
          <w:tcPr>
            <w:tcW w:w="7436" w:type="dxa"/>
          </w:tcPr>
          <w:p w:rsidR="00E026FB" w:rsidRPr="00AA1421" w:rsidRDefault="00E026FB" w:rsidP="00E10B85">
            <w:pPr>
              <w:spacing w:before="0" w:after="0"/>
              <w:jc w:val="left"/>
              <w:rPr>
                <w:rFonts w:ascii="Times New Roman" w:hAnsi="Times New Roman"/>
                <w:sz w:val="24"/>
              </w:rPr>
            </w:pPr>
            <w:r w:rsidRPr="00AA1421">
              <w:rPr>
                <w:rFonts w:ascii="Times New Roman" w:hAnsi="Times New Roman"/>
                <w:b/>
                <w:sz w:val="24"/>
                <w:u w:val="single"/>
              </w:rPr>
              <w:t>CAŁKOWITA KWOTA UTWORZONYCH EKSPOZYCJI SEKURYTYZACYJNYCH</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Instytucja inicjująca zgłasza kwotę należną na dzień sprawozdawczy w odniesieniu do wszystkich aktualnych ekspozycji sekurytyzacyjnych z tytułu transakcji sekurytyzacyjnych bez względu, kto posiada te pozycje. Zgłasza się zatem bilansowe ekspozycje sekurytyzacyjne (np. obligacje, pożyczki podporządkowane), jak również pozabilansowe ekspozycje i instrumenty pochodne (np. podporządkowane linie kredytowe, instrumenty wsparcia płynności, </w:t>
            </w:r>
            <w:proofErr w:type="spellStart"/>
            <w:r w:rsidRPr="00AA1421">
              <w:rPr>
                <w:rFonts w:ascii="Times New Roman" w:hAnsi="Times New Roman"/>
                <w:sz w:val="24"/>
              </w:rPr>
              <w:t>swapy</w:t>
            </w:r>
            <w:proofErr w:type="spellEnd"/>
            <w:r w:rsidRPr="00AA1421">
              <w:rPr>
                <w:rFonts w:ascii="Times New Roman" w:hAnsi="Times New Roman"/>
                <w:sz w:val="24"/>
              </w:rPr>
              <w:t xml:space="preserve"> stopy procentowej, </w:t>
            </w:r>
            <w:proofErr w:type="spellStart"/>
            <w:r w:rsidRPr="00AA1421">
              <w:rPr>
                <w:rFonts w:ascii="Times New Roman" w:hAnsi="Times New Roman"/>
                <w:sz w:val="24"/>
              </w:rPr>
              <w:t>swapy</w:t>
            </w:r>
            <w:proofErr w:type="spellEnd"/>
            <w:r w:rsidRPr="00AA1421">
              <w:rPr>
                <w:rFonts w:ascii="Times New Roman" w:hAnsi="Times New Roman"/>
                <w:sz w:val="24"/>
              </w:rPr>
              <w:t xml:space="preserve"> ryzyka kredytowego), które wynikają z sekurytyzacji. </w:t>
            </w:r>
          </w:p>
          <w:p w:rsidR="00E026FB" w:rsidRPr="00AA1421" w:rsidRDefault="00E026FB" w:rsidP="00E10B85">
            <w:pPr>
              <w:autoSpaceDE w:val="0"/>
              <w:autoSpaceDN w:val="0"/>
              <w:adjustRightInd w:val="0"/>
              <w:spacing w:before="0" w:after="0"/>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przypadku tradycyjnej sekurytyzacji, gdzie jednostka inicjująca nie posiada żadnych pozycji, jednostka ta nie uwzględnia tej sekurytyzacji w zgłaszaniu tego wzoru. W tym celu pozycje sekurytyzacyjne posiadane przez jednostkę inicjującą obejmują opcje przedterminowej spłaty należności, zgodnie z definicją zawartą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6 CRR, w ramach sekurytyzacji ekspozycji odnawialnych.</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0020-0040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SEKURYTYZACJE SYNTETYCZNE: OCHRONA KREDYTOWA EKSPOZYCJI SEKURYTYZACYJNYCH</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Art. 251 i 252 CRR. </w:t>
            </w:r>
          </w:p>
          <w:p w:rsidR="00E026FB" w:rsidRPr="00AA1421" w:rsidRDefault="00E026FB" w:rsidP="00E10B85">
            <w:pPr>
              <w:spacing w:before="0" w:after="0"/>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Niedopasowanie terminów zapadalności nie jest uwzględniane w skorygowanej wartości wynikającej z zastosowania technik ograniczania ryzyka kredytowego w ramach programu sekurytyzacyjnego. </w:t>
            </w:r>
          </w:p>
          <w:p w:rsidR="00E026FB" w:rsidRPr="00AA1421" w:rsidRDefault="00E026FB" w:rsidP="00E10B85">
            <w:pPr>
              <w:spacing w:before="0" w:after="0"/>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0020</w:t>
            </w:r>
          </w:p>
        </w:tc>
        <w:tc>
          <w:tcPr>
            <w:tcW w:w="7436" w:type="dxa"/>
          </w:tcPr>
          <w:p w:rsidR="00E026FB" w:rsidRPr="00AA1421" w:rsidRDefault="00E026FB" w:rsidP="00E10B85">
            <w:pPr>
              <w:spacing w:before="0" w:after="0"/>
              <w:jc w:val="left"/>
              <w:rPr>
                <w:rFonts w:ascii="Times New Roman" w:hAnsi="Times New Roman"/>
                <w:b/>
                <w:strike/>
                <w:sz w:val="24"/>
                <w:u w:val="single"/>
              </w:rPr>
            </w:pPr>
            <w:r w:rsidRPr="00AA1421">
              <w:rPr>
                <w:rFonts w:ascii="Times New Roman" w:hAnsi="Times New Roman"/>
                <w:b/>
                <w:sz w:val="24"/>
                <w:u w:val="single"/>
              </w:rPr>
              <w:t>(-) OCHRONA KREDYTOWA RZECZYWISTA (C</w:t>
            </w:r>
            <w:r w:rsidRPr="00AA1421">
              <w:rPr>
                <w:rFonts w:ascii="Times New Roman" w:hAnsi="Times New Roman"/>
                <w:b/>
                <w:sz w:val="24"/>
                <w:u w:val="single"/>
                <w:vertAlign w:val="subscript"/>
              </w:rPr>
              <w:t>VA</w:t>
            </w:r>
            <w:r w:rsidRPr="00AA1421">
              <w:rPr>
                <w:rFonts w:ascii="Times New Roman" w:hAnsi="Times New Roman"/>
                <w:b/>
                <w:sz w:val="24"/>
                <w:u w:val="single"/>
              </w:rPr>
              <w:t xml:space="preserve">) </w:t>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Szczegółowa procedura obliczania wartości zabezpieczenia skorygowanej o czynnik zmienności (C</w:t>
            </w:r>
            <w:r w:rsidRPr="00AA1421">
              <w:rPr>
                <w:rFonts w:ascii="Times New Roman" w:hAnsi="Times New Roman"/>
                <w:sz w:val="24"/>
                <w:vertAlign w:val="subscript"/>
              </w:rPr>
              <w:t>VA</w:t>
            </w:r>
            <w:r w:rsidRPr="00AA1421">
              <w:rPr>
                <w:rFonts w:ascii="Times New Roman" w:hAnsi="Times New Roman"/>
                <w:sz w:val="24"/>
              </w:rPr>
              <w:t xml:space="preserve">), którą to wartość zgłasza się w tej kolumnie, jest określona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0030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 WYPŁYWY RAZEM: SKORYGOWANE WARTOŚCI NIERZECZYWISTEJ OCHRONY KREDYTOWEJ (G*) </w:t>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Zgodnie z ogólną zasadą dla „wpływów” i „wypływów” kwoty zgłoszone w tej kolumnie pojawiają się jako „wpływy” w odpowiednim wzorze dotyczącym ryzyka kredytowego (CR SA lub CR IRB) oraz w kategorii ekspozycji, do której jednostka sprawozdająca przypisuje dostawcę ochrony kredytowej (tj. stronę trzecią, której przekazywane są transze za pośrednictwem ochrony kredytowej nierzeczywistej).</w:t>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Procedura obliczania nominalnej kwoty ochrony kredytowej skorygowanej o „ryzyko walutowe” (G*) jest określona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w:t>
            </w:r>
          </w:p>
          <w:p w:rsidR="00E026FB" w:rsidRPr="00AA1421"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0040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UTRZYMANA LUB WYKUPIONA NOMINALNA KWOTA OCHRONY KREDYTOWEJ</w:t>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Wszystkie transze, które zostały utrzymane lub wykupione, np. zachowane pozycje pierwszej straty, są zgłaszane zgodnie z ich wartością nominalną.</w:t>
            </w:r>
          </w:p>
          <w:p w:rsidR="00E026FB" w:rsidRPr="00AA1421" w:rsidRDefault="00E026FB" w:rsidP="00E10B85">
            <w:pPr>
              <w:autoSpaceDE w:val="0"/>
              <w:autoSpaceDN w:val="0"/>
              <w:adjustRightInd w:val="0"/>
              <w:spacing w:before="0" w:after="0"/>
              <w:rPr>
                <w:rFonts w:ascii="Times New Roman" w:hAnsi="Times New Roman"/>
                <w:bCs/>
                <w:sz w:val="24"/>
                <w:lang w:eastAsia="nl-BE"/>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Skutek nadzorczej redukcji wartości ochrony kredytowej nie jest brany pod uwagę przy obliczaniu utrzymanej lub wykupionej kwoty ochrony kredytowej.</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0050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 xml:space="preserve">POZYCJE SEKURYTYZACYJNE: PIERWOTNA EKSPOZYCJA PRZED UWZGLĘDNIENIEM WSPÓŁCZYNNIKÓW KONWERSJI </w:t>
            </w:r>
          </w:p>
          <w:p w:rsidR="00E026FB" w:rsidRPr="00AA1421" w:rsidRDefault="00E026FB" w:rsidP="00E10B85">
            <w:pPr>
              <w:spacing w:before="0" w:after="0"/>
              <w:jc w:val="left"/>
              <w:rPr>
                <w:rFonts w:ascii="Times New Roman" w:hAnsi="Times New Roman"/>
                <w:sz w:val="24"/>
              </w:rPr>
            </w:pPr>
          </w:p>
          <w:p w:rsidR="00126395" w:rsidRPr="00AA1421" w:rsidRDefault="00A16FFF" w:rsidP="0002267E">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Niniejsza kolumna zawiera wartości ekspozycji pozycji sekurytyzacyjnych posiadanych przez instytucję sprawozdającą,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CRR, bez stosowania współczynników konwersji kredytowej przed odliczeniem korekt z tytułu ryzyka kredytowego i rezerw oraz wszelkich niepodlegających odliczeniu rabatów cenowych przy zakupie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a także korekt z tytułu ryzyka kredytowego i rezerw w pozycji sekurytyzacyjnej.</w:t>
            </w:r>
          </w:p>
          <w:p w:rsidR="00A16FFF" w:rsidRPr="00AA1421" w:rsidRDefault="00A16FFF" w:rsidP="0002267E">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Kompensowanie ma znaczenie wyłącznie w odniesieniu do złożonych instrumentów pochodnych dotyczących tej samej jednostki specjalnego przeznaczenia do celów sekurytyzacji, które to instrumenty objęte są uznaną umową o kompensowaniu. </w:t>
            </w:r>
          </w:p>
          <w:p w:rsidR="00E026FB" w:rsidRPr="00AA1421" w:rsidRDefault="00E026FB" w:rsidP="00E10B85">
            <w:pPr>
              <w:autoSpaceDE w:val="0"/>
              <w:autoSpaceDN w:val="0"/>
              <w:adjustRightInd w:val="0"/>
              <w:spacing w:before="0" w:after="0"/>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odniesieniu do sekurytyzacji syntetycznych pozycje posiadane przez jednostkę inicjującą w postaci pozycji bilansowych lub udziału inwestora wynikają ze zagregowania kolumn 0010–0040.</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0060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 KOREKTY WARTOŚCI I REZERWY </w:t>
            </w:r>
          </w:p>
          <w:p w:rsidR="00E026FB" w:rsidRPr="00AA1421" w:rsidRDefault="00E026FB" w:rsidP="00E10B85">
            <w:pPr>
              <w:pStyle w:val="ListParagraph"/>
              <w:spacing w:before="0" w:after="0"/>
              <w:ind w:left="284" w:hanging="284"/>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248 CRR. Korekty wartości i rezerwy, które należy zgłosić w tej kolumnie, dotyczą wyłącznie pozycji sekurytyzacyjnych. Nie uwzględnia się korekt wartości ekspozycji </w:t>
            </w:r>
            <w:proofErr w:type="spellStart"/>
            <w:r w:rsidRPr="00AA1421">
              <w:rPr>
                <w:rFonts w:ascii="Times New Roman" w:hAnsi="Times New Roman"/>
                <w:sz w:val="24"/>
              </w:rPr>
              <w:t>sekurytyzowanych</w:t>
            </w:r>
            <w:proofErr w:type="spellEnd"/>
            <w:r w:rsidRPr="00AA1421">
              <w:rPr>
                <w:rFonts w:ascii="Times New Roman" w:hAnsi="Times New Roman"/>
                <w:sz w:val="24"/>
              </w:rPr>
              <w:t>.</w:t>
            </w:r>
          </w:p>
          <w:p w:rsidR="00E026FB" w:rsidRPr="00AA1421"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0070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EKSPOZYCJA PO ODLICZENIU KOREKT WARTOŚCI I REZERW</w:t>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A16FFF"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Niniejsza kolumna zawiera wartości ekspozycji pozycji sekurytyzacyjnych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CRR, po odliczeniu korekt wartości i rezerw, bez stosowania współczynników konwersji</w:t>
            </w:r>
            <w:r w:rsidRPr="00AA1421">
              <w:t xml:space="preserve"> </w:t>
            </w:r>
            <w:r w:rsidRPr="00AA1421">
              <w:rPr>
                <w:rFonts w:ascii="Times New Roman" w:hAnsi="Times New Roman"/>
                <w:sz w:val="24"/>
              </w:rPr>
              <w:t xml:space="preserve">oraz przed odliczeniem wszelkich niepodlegających odliczeniu rabatów cenowych przy zakupie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a także wartości po odliczeniu korekt z tytułu ryzyka kredytowego i rezerw na pozycję sekurytyzacyjną.</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0080-0110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TECHNIKI OGRANICZANIA RYZYKA KREDYTOWEGO Z UWZGLĘDNIENIEM EFEKTÓW SUBSTYTUCYJNYCH W ODNIESIENIU DO EKSPOZYCJI</w:t>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A16FFF" w:rsidP="00E10B85">
            <w:pPr>
              <w:spacing w:before="0" w:after="0"/>
              <w:rPr>
                <w:rFonts w:ascii="Times New Roman" w:hAnsi="Times New Roman"/>
                <w:sz w:val="24"/>
              </w:rPr>
            </w:pPr>
            <w:r w:rsidRPr="00AA1421">
              <w:rPr>
                <w:rFonts w:ascii="Times New Roman" w:hAnsi="Times New Roman"/>
                <w:sz w:val="24"/>
              </w:rPr>
              <w:t xml:space="preserve">Art. 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7 CRR, część trzecia tytuł II rozdział 4 CRR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49 CRR.</w:t>
            </w:r>
          </w:p>
          <w:p w:rsidR="00E026FB" w:rsidRPr="00AA1421" w:rsidRDefault="00E026FB" w:rsidP="00E10B85">
            <w:pPr>
              <w:spacing w:before="0" w:after="0"/>
              <w:rPr>
                <w:rFonts w:ascii="Times New Roman" w:hAnsi="Times New Roman"/>
                <w:sz w:val="24"/>
                <w:lang w:eastAsia="es-ES_tradnl"/>
              </w:rPr>
            </w:pPr>
          </w:p>
          <w:p w:rsidR="00E026FB" w:rsidRPr="00AA1421" w:rsidRDefault="007A00D6" w:rsidP="00E10B85">
            <w:pPr>
              <w:spacing w:before="0" w:after="0"/>
              <w:rPr>
                <w:rFonts w:ascii="Times New Roman" w:hAnsi="Times New Roman"/>
                <w:sz w:val="24"/>
              </w:rPr>
            </w:pPr>
            <w:r w:rsidRPr="00AA1421">
              <w:rPr>
                <w:rFonts w:ascii="Times New Roman" w:hAnsi="Times New Roman"/>
                <w:sz w:val="24"/>
              </w:rPr>
              <w:t>Instytucje zgłaszają w tych kolumnach informacje na temat technik ograniczania ryzyka, które zmniejszają ryzyko kredytowe z tytułu ekspozycji poprzez substytucję ekspozycji (jak wskazano poniżej w odniesieniu do wpływów i wypływów).</w:t>
            </w:r>
          </w:p>
          <w:p w:rsidR="00E026FB" w:rsidRPr="00AA1421" w:rsidRDefault="00E026FB" w:rsidP="00E10B85">
            <w:pPr>
              <w:spacing w:before="0" w:after="0"/>
              <w:rPr>
                <w:rFonts w:ascii="Times New Roman" w:hAnsi="Times New Roman"/>
                <w:sz w:val="24"/>
                <w:lang w:eastAsia="es-ES_tradnl"/>
              </w:rPr>
            </w:pPr>
          </w:p>
          <w:p w:rsidR="00E026FB" w:rsidRPr="00AA1421" w:rsidRDefault="00D021AF" w:rsidP="00487A02">
            <w:pPr>
              <w:pStyle w:val="InstructionsText"/>
            </w:pPr>
            <w:r w:rsidRPr="00AA1421">
              <w:t>Zabezpieczenie, które ma wpływ na wartość ekspozycji (np. gdy jest stosowane dla celów technik ograniczania ryzyka kredytowego z uwzględnieniem efektów substytucyjnych w odniesieniu do ekspozycji), jest ograniczone do wartości ekspozycji.</w:t>
            </w:r>
          </w:p>
          <w:p w:rsidR="00E026FB" w:rsidRPr="00AA1421" w:rsidRDefault="00E026FB" w:rsidP="00487A02">
            <w:pPr>
              <w:pStyle w:val="InstructionsText"/>
            </w:pPr>
            <w:r w:rsidRPr="00AA1421">
              <w:t>Należy w tym miejscu zgłosić następujące pozycje:</w:t>
            </w:r>
          </w:p>
          <w:p w:rsidR="00E026FB" w:rsidRPr="00AA1421" w:rsidRDefault="00E026FB" w:rsidP="00F66371">
            <w:pPr>
              <w:pStyle w:val="ListParagraph"/>
              <w:numPr>
                <w:ilvl w:val="0"/>
                <w:numId w:val="33"/>
              </w:numPr>
              <w:tabs>
                <w:tab w:val="num" w:pos="360"/>
              </w:tabs>
              <w:spacing w:before="0" w:after="0"/>
              <w:rPr>
                <w:rFonts w:ascii="Times New Roman" w:hAnsi="Times New Roman"/>
                <w:sz w:val="24"/>
              </w:rPr>
            </w:pPr>
            <w:r w:rsidRPr="00AA1421">
              <w:rPr>
                <w:rFonts w:ascii="Times New Roman" w:hAnsi="Times New Roman"/>
                <w:sz w:val="24"/>
              </w:rPr>
              <w:t xml:space="preserve">zabezpieczenie włączone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22 CRR (uproszczona metoda ujmowania zabezpieczeń finansowych);</w:t>
            </w:r>
          </w:p>
          <w:p w:rsidR="00E026FB" w:rsidRPr="00AA1421" w:rsidRDefault="00E026FB" w:rsidP="00F66371">
            <w:pPr>
              <w:pStyle w:val="ListParagraph"/>
              <w:numPr>
                <w:ilvl w:val="0"/>
                <w:numId w:val="33"/>
              </w:numPr>
              <w:tabs>
                <w:tab w:val="num" w:pos="360"/>
              </w:tabs>
              <w:spacing w:before="0" w:after="0"/>
              <w:rPr>
                <w:rFonts w:ascii="Times New Roman" w:hAnsi="Times New Roman"/>
                <w:sz w:val="24"/>
              </w:rPr>
            </w:pPr>
            <w:r w:rsidRPr="00AA1421">
              <w:rPr>
                <w:rFonts w:ascii="Times New Roman" w:hAnsi="Times New Roman"/>
                <w:sz w:val="24"/>
              </w:rPr>
              <w:t>uznaną ochronę kredytową nierzeczywistą.</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0080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OCHRONA KREDYTOWA NIERZECZYWISTA: WARTOŚCI SKORYGOWANE (G</w:t>
            </w:r>
            <w:r w:rsidRPr="00AA1421">
              <w:rPr>
                <w:rFonts w:ascii="Times New Roman" w:hAnsi="Times New Roman"/>
                <w:b/>
                <w:sz w:val="24"/>
                <w:u w:val="single"/>
                <w:vertAlign w:val="subscript"/>
              </w:rPr>
              <w:t>A</w:t>
            </w:r>
            <w:r w:rsidRPr="00AA1421">
              <w:rPr>
                <w:rFonts w:ascii="Times New Roman" w:hAnsi="Times New Roman"/>
                <w:b/>
                <w:sz w:val="24"/>
                <w:u w:val="single"/>
              </w:rPr>
              <w:t xml:space="preserve">) </w:t>
            </w:r>
          </w:p>
          <w:p w:rsidR="00E026FB" w:rsidRPr="00AA1421" w:rsidRDefault="00E026FB" w:rsidP="00E10B85">
            <w:pPr>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Nierzeczywista ochrona kredytowa zdefiniowana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9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34–236 CRR.</w:t>
            </w:r>
          </w:p>
          <w:p w:rsidR="00E026FB" w:rsidRPr="00AA1421" w:rsidRDefault="00E026FB" w:rsidP="00E10B85">
            <w:pPr>
              <w:autoSpaceDE w:val="0"/>
              <w:autoSpaceDN w:val="0"/>
              <w:adjustRightInd w:val="0"/>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0090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 OCHRONA KREDYTOWA RZECZYWISTA</w:t>
            </w:r>
          </w:p>
          <w:p w:rsidR="00E026FB" w:rsidRPr="00AA1421" w:rsidRDefault="00E026FB" w:rsidP="00E10B85">
            <w:pPr>
              <w:spacing w:before="0" w:after="0"/>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Ochrona kredytowa rzeczywista zdefiniowana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8 CRR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akapit pierwszy CRR oraz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95, 197 i 200 CRR.</w:t>
            </w:r>
          </w:p>
          <w:p w:rsidR="00E026FB" w:rsidRPr="00AA1421"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lastRenderedPageBreak/>
              <w:t xml:space="preserve">Obligacje powiązane z ryzykiem kredytowym oraz kompensowanie pozycji bilansowych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18 i 219 CRR traktuje się jak zabezpieczenie gotówkowe.</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0100-0110</w:t>
            </w:r>
          </w:p>
        </w:tc>
        <w:tc>
          <w:tcPr>
            <w:tcW w:w="7436"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SUBSTYTUCJA EKSPOZYCJI W WYNIKU OGRANICZANIA RYZYKA KREDYTOWEGO:</w:t>
            </w:r>
          </w:p>
          <w:p w:rsidR="00E026FB" w:rsidRPr="00AA1421" w:rsidRDefault="00E026FB" w:rsidP="00E10B85">
            <w:pPr>
              <w:spacing w:before="0" w:after="0"/>
              <w:rPr>
                <w:rFonts w:ascii="Times New Roman" w:hAnsi="Times New Roman"/>
                <w:b/>
                <w:sz w:val="24"/>
                <w:u w:val="single"/>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Zgłasza się wpływy i wypływy w obrębie tych samych kategorii ekspozycji i, w stosownych przypadkach, wag ryzyka lub klas jakości dłużnika.</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0100</w:t>
            </w:r>
          </w:p>
        </w:tc>
        <w:tc>
          <w:tcPr>
            <w:tcW w:w="7436"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WYPŁYWY RAZEM</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222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36 CRR. </w:t>
            </w:r>
          </w:p>
          <w:p w:rsidR="00E026FB" w:rsidRPr="00AA1421" w:rsidRDefault="00E026FB" w:rsidP="00E10B85">
            <w:pPr>
              <w:autoSpaceDE w:val="0"/>
              <w:autoSpaceDN w:val="0"/>
              <w:adjustRightInd w:val="0"/>
              <w:spacing w:before="0" w:after="0"/>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Wypływy odpowiadają zabezpieczonej części „ekspozycji po odliczeniu korekt wartości i rezerw”, którą to część odlicza się od kategorii ekspozycji dłużnika i, w stosownych przypadkach, od klasy jakości lub puli dłużnika, a następnie przypisuje kategorii ekspozycji dostawcy ochrony kredytowej i, w stosownych przypadkach, wadze ryzyka lub klasie jakości dłużnika. </w:t>
            </w:r>
          </w:p>
          <w:p w:rsidR="00E026FB" w:rsidRPr="00AA1421" w:rsidRDefault="00E026FB" w:rsidP="00E10B85">
            <w:pPr>
              <w:autoSpaceDE w:val="0"/>
              <w:autoSpaceDN w:val="0"/>
              <w:adjustRightInd w:val="0"/>
              <w:spacing w:before="0" w:after="0"/>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Kwotę tę uznaje się za wpływ do kategorii ekspozycji dostawcy ochrony kredytowej i, w stosownych przypadkach, do wag ryzyka lub klas jakości dłużnika.</w:t>
            </w:r>
          </w:p>
          <w:p w:rsidR="00E026FB" w:rsidRPr="00AA1421"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0110</w:t>
            </w:r>
          </w:p>
        </w:tc>
        <w:tc>
          <w:tcPr>
            <w:tcW w:w="7436" w:type="dxa"/>
          </w:tcPr>
          <w:p w:rsidR="00E026FB" w:rsidRPr="00AA1421" w:rsidRDefault="00E026FB" w:rsidP="00E10B85">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WPŁYWY RAZEM</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Pozycje sekurytyzacyjne, które są dłużnymi papierami wartościowymi i które stosowane są jako uznane zabezpieczenie finansowe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zgłasza się w tej kolumnie – jeżeli stosowana jest uproszczona metoda ujmowania zabezpieczeń finansowych – jako wpływy.</w:t>
            </w:r>
          </w:p>
          <w:p w:rsidR="00E026FB" w:rsidRPr="00AA1421"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0120</w:t>
            </w:r>
          </w:p>
        </w:tc>
        <w:tc>
          <w:tcPr>
            <w:tcW w:w="7436" w:type="dxa"/>
          </w:tcPr>
          <w:p w:rsidR="00E026FB" w:rsidRPr="00AA1421" w:rsidRDefault="00E026FB" w:rsidP="00E10B85">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rsidR="00E026FB" w:rsidRPr="00AA1421"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AA1421"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AA1421">
              <w:rPr>
                <w:rStyle w:val="FormatvorlageInstructionsTabelleText"/>
                <w:rFonts w:ascii="Times New Roman" w:hAnsi="Times New Roman"/>
                <w:sz w:val="24"/>
              </w:rPr>
              <w:t>W tej kolumnie uwzględnia się ekspozycje przypisane do odpowiadającej im wagi ryzyka oraz kategorię ekspozycji po uwzględnieniu wypływów i wpływów wynikających z „technik ograniczania ryzyka kredytowego z uwzględnieniem efektów substytucyjnych w odniesieniu do ekspozycji”.</w:t>
            </w:r>
          </w:p>
          <w:p w:rsidR="00E026FB" w:rsidRPr="00AA1421"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0130</w:t>
            </w:r>
          </w:p>
        </w:tc>
        <w:tc>
          <w:tcPr>
            <w:tcW w:w="7436" w:type="dxa"/>
          </w:tcPr>
          <w:p w:rsidR="00E026FB" w:rsidRPr="00AA1421" w:rsidRDefault="00E026FB" w:rsidP="00E10B85">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 TECHNIKI OGRANICZANIA RYZYKA KREDYTOWEGO MAJĄCE WPŁYW NA KWOTĘ EKSPOZYCJI: SKORYGOWANA WARTOŚĆ RZECZYWISTEJ OCHRONY KREDYTOWEJ ZGODNIE Z KOMPLEKSOWĄ METODĄ UJMOWANIA ZABEZPIECZEŃ FINANSOWYCH (CVAM)</w:t>
            </w:r>
          </w:p>
          <w:p w:rsidR="00E026FB" w:rsidRPr="00AA1421"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AA1421" w:rsidRDefault="00E026FB" w:rsidP="00487A02">
            <w:pPr>
              <w:pStyle w:val="InstructionsText"/>
            </w:pPr>
            <w:r w:rsidRPr="00AA1421">
              <w:t xml:space="preserve">Art. 223–228 CRR </w:t>
            </w:r>
          </w:p>
          <w:p w:rsidR="00E026FB" w:rsidRPr="00AA1421" w:rsidRDefault="00A16FFF" w:rsidP="00487A02">
            <w:pPr>
              <w:pStyle w:val="InstructionsText"/>
            </w:pPr>
            <w:r w:rsidRPr="00AA1421">
              <w:lastRenderedPageBreak/>
              <w:t>Zgłoszona kwota musi obejmować także obligacje powiązane z ryzykiem kredytowym (</w:t>
            </w:r>
            <w:r w:rsidRPr="00084F66">
              <w:t>art.</w:t>
            </w:r>
            <w:r w:rsidR="00084F66" w:rsidRPr="00084F66">
              <w:t> </w:t>
            </w:r>
            <w:r w:rsidRPr="00084F66">
              <w:t>2</w:t>
            </w:r>
            <w:r w:rsidRPr="00AA1421">
              <w:t>18 CRR).</w:t>
            </w:r>
          </w:p>
          <w:p w:rsidR="00E026FB" w:rsidRPr="00AA1421"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lastRenderedPageBreak/>
              <w:t>0140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W PEŁNI SKORYGOWANA WARTOŚĆ EKSPOZYCJI (E*)</w:t>
            </w:r>
          </w:p>
          <w:p w:rsidR="00E026FB" w:rsidRPr="00AA1421" w:rsidRDefault="00E026FB" w:rsidP="00E10B85">
            <w:pPr>
              <w:pStyle w:val="Heading1"/>
              <w:rPr>
                <w:rFonts w:ascii="Times New Roman" w:eastAsia="Times New Roman" w:hAnsi="Times New Roman"/>
                <w:sz w:val="24"/>
                <w:szCs w:val="24"/>
                <w:lang w:eastAsia="es-ES_tradnl"/>
              </w:rPr>
            </w:pPr>
          </w:p>
          <w:p w:rsidR="00E026FB" w:rsidRPr="00AA1421" w:rsidRDefault="00D021AF"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Wartość ekspozycji z tytułu pozycji sekurytyzacyjnych obliczonych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CRR, ale bez stosowania współczynników konwersji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0150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 xml:space="preserve">W TYM: WEDŁUG WSPÓŁCZYNNIKA KONWERSJI KREDYTOWEJ WYNOSZĄCEGO </w:t>
            </w:r>
            <w:r w:rsidRPr="00084F66">
              <w:rPr>
                <w:rFonts w:ascii="Times New Roman" w:hAnsi="Times New Roman"/>
                <w:b/>
                <w:sz w:val="24"/>
                <w:u w:val="single"/>
              </w:rPr>
              <w:t>0</w:t>
            </w:r>
            <w:r w:rsidR="00084F66" w:rsidRPr="00084F66">
              <w:rPr>
                <w:rFonts w:ascii="Times New Roman" w:hAnsi="Times New Roman"/>
                <w:b/>
                <w:sz w:val="24"/>
                <w:u w:val="single"/>
              </w:rPr>
              <w:t> </w:t>
            </w:r>
            <w:r w:rsidRPr="00084F66">
              <w:rPr>
                <w:rFonts w:ascii="Times New Roman" w:hAnsi="Times New Roman"/>
                <w:b/>
                <w:sz w:val="24"/>
                <w:u w:val="single"/>
              </w:rPr>
              <w:t>%</w:t>
            </w:r>
          </w:p>
          <w:p w:rsidR="00E026FB" w:rsidRPr="00AA1421" w:rsidRDefault="00E026FB" w:rsidP="00E10B85">
            <w:pPr>
              <w:spacing w:before="0" w:after="0"/>
              <w:rPr>
                <w:rFonts w:ascii="Times New Roman" w:hAnsi="Times New Roman"/>
                <w:b/>
                <w:sz w:val="24"/>
                <w:u w:val="single"/>
                <w:lang w:eastAsia="es-ES_tradnl"/>
              </w:rPr>
            </w:pPr>
          </w:p>
          <w:p w:rsidR="00705025" w:rsidRPr="00AA1421" w:rsidRDefault="0070502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248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p>
          <w:p w:rsidR="00705025" w:rsidRPr="00AA1421" w:rsidRDefault="00705025" w:rsidP="00E10B85">
            <w:pPr>
              <w:autoSpaceDE w:val="0"/>
              <w:autoSpaceDN w:val="0"/>
              <w:adjustRightInd w:val="0"/>
              <w:spacing w:before="0" w:after="0"/>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tym kontekście współczynnik konwersji zdefiniowany jest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6 CRR.</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Dla celów sprawozdawczości w pełni skorygowaną wartość ekspozycji (E*) zgłasza się dla współczynnika konwersji równego </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0160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NIEPODLEGAJĄCE ODLICZENIU RABATY OD CENY ZAKUPU</w:t>
            </w:r>
          </w:p>
          <w:p w:rsidR="00E026FB" w:rsidRPr="00AA1421" w:rsidRDefault="00E026FB" w:rsidP="00E10B85">
            <w:pPr>
              <w:spacing w:before="0" w:after="0"/>
              <w:jc w:val="left"/>
              <w:rPr>
                <w:rFonts w:ascii="Times New Roman" w:hAnsi="Times New Roman"/>
                <w:b/>
                <w:sz w:val="24"/>
                <w:u w:val="single"/>
              </w:rPr>
            </w:pPr>
          </w:p>
          <w:p w:rsidR="00E026FB" w:rsidRPr="00AA1421" w:rsidRDefault="00BB22D4" w:rsidP="00E10B85">
            <w:pPr>
              <w:spacing w:before="0" w:after="0"/>
              <w:jc w:val="left"/>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instytucja inicjująca może odliczyć od wartości ekspozycji pozycji sekurytyzacyjnej, której przypisano wagę ryzyka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wszelkie niepodlegające odliczeniu rabaty cenowe przy zakupie związane z takimi ekspozycjami bazowymi w zakresie, w jakim takie odliczenia spowodowały redukcję funduszy własnych.</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0170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KOREKTY Z TYTUŁU SZCZEGÓLNEGO RYZYKA KREDYTOWEGO W ODNIESIENIU DO EKSPOZYCJI BAZOWYCH</w:t>
            </w:r>
          </w:p>
          <w:p w:rsidR="00E026FB" w:rsidRPr="00AA1421" w:rsidRDefault="00E026FB" w:rsidP="00E10B85">
            <w:pPr>
              <w:spacing w:before="0" w:after="0"/>
              <w:jc w:val="left"/>
              <w:rPr>
                <w:rFonts w:ascii="Times New Roman" w:hAnsi="Times New Roman"/>
                <w:b/>
                <w:sz w:val="24"/>
                <w:u w:val="single"/>
              </w:rPr>
            </w:pPr>
          </w:p>
          <w:p w:rsidR="00E026FB" w:rsidRPr="00AA1421" w:rsidRDefault="00BB22D4" w:rsidP="00E10B85">
            <w:pPr>
              <w:spacing w:before="0" w:after="0"/>
              <w:jc w:val="left"/>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instytucja inicjująca może odliczyć od wartości ekspozycji pozycji sekurytyzacyjnej, której przypisano wagę ryzyka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lub którą odliczono od kapitału podstawowego </w:t>
            </w:r>
            <w:proofErr w:type="spellStart"/>
            <w:r w:rsidRPr="00AA1421">
              <w:rPr>
                <w:rFonts w:ascii="Times New Roman" w:hAnsi="Times New Roman"/>
                <w:sz w:val="24"/>
              </w:rPr>
              <w:t>Tier</w:t>
            </w:r>
            <w:proofErr w:type="spellEnd"/>
            <w:r w:rsidRPr="00AA1421">
              <w:rPr>
                <w:rFonts w:ascii="Times New Roman" w:hAnsi="Times New Roman"/>
                <w:sz w:val="24"/>
              </w:rPr>
              <w:t xml:space="preserve"> I, kwotę korekt z tytułu szczególnego ryzyka kredytowego z tytułu ekspozycji bazowych, jak określono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10 CRR. </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0180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WARTOŚĆ EKSPOZYCJI</w:t>
            </w:r>
          </w:p>
          <w:p w:rsidR="00E026FB" w:rsidRPr="00AA1421" w:rsidRDefault="00E026FB" w:rsidP="00E10B85">
            <w:pPr>
              <w:spacing w:before="0" w:after="0"/>
              <w:jc w:val="left"/>
              <w:rPr>
                <w:rFonts w:ascii="Times New Roman" w:hAnsi="Times New Roman"/>
                <w:b/>
                <w:sz w:val="24"/>
                <w:u w:val="single"/>
                <w:lang w:eastAsia="es-ES_tradnl"/>
              </w:rPr>
            </w:pPr>
          </w:p>
          <w:p w:rsidR="00E026FB" w:rsidRPr="00AA1421" w:rsidRDefault="00D021AF"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Wartość ekspozycji z tytułu pozycji sekurytyzacyjnych obliczonych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48 CRR</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0190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WARTOŚĆ EKSPOZYCJI POMNIEJSZAJĄCA FUNDUSZE WŁASNE</w:t>
            </w:r>
          </w:p>
          <w:p w:rsidR="00E026FB" w:rsidRPr="00AA1421" w:rsidRDefault="00E026FB" w:rsidP="00E10B85">
            <w:pPr>
              <w:spacing w:before="0" w:after="0"/>
              <w:jc w:val="left"/>
              <w:rPr>
                <w:rFonts w:ascii="Times New Roman" w:hAnsi="Times New Roman"/>
                <w:sz w:val="24"/>
              </w:rPr>
            </w:pPr>
          </w:p>
          <w:p w:rsidR="00E026FB" w:rsidRPr="00AA1421" w:rsidRDefault="00BB22D4" w:rsidP="00E10B85">
            <w:pPr>
              <w:spacing w:before="0" w:after="0"/>
              <w:rPr>
                <w:rFonts w:ascii="Times New Roman" w:hAnsi="Times New Roman"/>
                <w:sz w:val="24"/>
              </w:rPr>
            </w:pPr>
            <w:r w:rsidRPr="00AA1421">
              <w:rPr>
                <w:rFonts w:ascii="Times New Roman" w:hAnsi="Times New Roman"/>
                <w:sz w:val="24"/>
              </w:rPr>
              <w:t xml:space="preserve">Zgodnie z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r w:rsidRPr="00084F66">
              <w:rPr>
                <w:rStyle w:val="FormatvorlageInstructionsTabelleText"/>
                <w:rFonts w:ascii="Times New Roman" w:hAnsi="Times New Roman"/>
                <w:sz w:val="24"/>
              </w:rPr>
              <w:t>art.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2</w:t>
            </w:r>
            <w:r w:rsidRPr="00AA1421">
              <w:rPr>
                <w:rStyle w:val="FormatvorlageInstructionsTabelleText"/>
                <w:rFonts w:ascii="Times New Roman" w:hAnsi="Times New Roman"/>
                <w:sz w:val="24"/>
              </w:rPr>
              <w:t xml:space="preserve">45 </w:t>
            </w:r>
            <w:r w:rsidRPr="00084F66">
              <w:rPr>
                <w:rStyle w:val="FormatvorlageInstructionsTabelleText"/>
                <w:rFonts w:ascii="Times New Roman" w:hAnsi="Times New Roman"/>
                <w:sz w:val="24"/>
              </w:rPr>
              <w:t>ust.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1</w:t>
            </w:r>
            <w:r w:rsidRPr="00AA1421">
              <w:rPr>
                <w:rStyle w:val="FormatvorlageInstructionsTabelleText"/>
                <w:rFonts w:ascii="Times New Roman" w:hAnsi="Times New Roman"/>
                <w:sz w:val="24"/>
              </w:rPr>
              <w:t xml:space="preserve"> </w:t>
            </w:r>
            <w:r w:rsidRPr="00084F66">
              <w:rPr>
                <w:rStyle w:val="FormatvorlageInstructionsTabelleText"/>
                <w:rFonts w:ascii="Times New Roman" w:hAnsi="Times New Roman"/>
                <w:sz w:val="24"/>
              </w:rPr>
              <w:t>lit.</w:t>
            </w:r>
            <w:r w:rsidR="00084F66" w:rsidRPr="00084F66">
              <w:rPr>
                <w:rStyle w:val="FormatvorlageInstructionsTabelleText"/>
                <w:rFonts w:ascii="Times New Roman" w:hAnsi="Times New Roman"/>
                <w:sz w:val="24"/>
              </w:rPr>
              <w:t> </w:t>
            </w:r>
            <w:r w:rsidRPr="00084F66">
              <w:rPr>
                <w:rStyle w:val="FormatvorlageInstructionsTabelleText"/>
                <w:rFonts w:ascii="Times New Roman" w:hAnsi="Times New Roman"/>
                <w:sz w:val="24"/>
              </w:rPr>
              <w:t>b)</w:t>
            </w:r>
            <w:r w:rsidRPr="00AA1421">
              <w:rPr>
                <w:rStyle w:val="FormatvorlageInstructionsTabelleText"/>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 przypadku pozycji sekurytyzacyjnej, której przypisuje się wagę ry</w:t>
            </w:r>
            <w:r w:rsidRPr="00AA1421">
              <w:rPr>
                <w:rFonts w:ascii="Times New Roman" w:hAnsi="Times New Roman"/>
                <w:sz w:val="24"/>
              </w:rPr>
              <w:lastRenderedPageBreak/>
              <w:t>zyka równą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instytucje mogą w ramach rozwiązania alternatywnego w stosunku do uwzględniania danej pozycji przy obliczaniu kwot ekspozycji ważonych ryzykiem odliczyć od funduszy własnych wartość ekspozycji danej pozycji.</w:t>
            </w:r>
          </w:p>
          <w:p w:rsidR="00E026FB" w:rsidRPr="00AA1421"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lastRenderedPageBreak/>
              <w:t>0200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WARTOŚĆ EKSPOZYCJI PODLEGAJĄCA WAGOM RYZYKA</w:t>
            </w:r>
          </w:p>
          <w:p w:rsidR="00E026FB" w:rsidRPr="00AA1421" w:rsidRDefault="00E026FB" w:rsidP="00E10B85">
            <w:pPr>
              <w:spacing w:before="0" w:after="0"/>
              <w:jc w:val="left"/>
              <w:rPr>
                <w:rFonts w:ascii="Times New Roman" w:hAnsi="Times New Roman"/>
                <w:b/>
                <w:sz w:val="24"/>
                <w:u w:val="single"/>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Wartość ekspozycji pomniejszona o wartość ekspozycji odejmowaną od funduszy własnych.</w:t>
            </w:r>
          </w:p>
          <w:p w:rsidR="00E026FB" w:rsidRPr="00AA1421" w:rsidRDefault="00E026FB" w:rsidP="00E10B85">
            <w:pPr>
              <w:pStyle w:val="Heading1"/>
              <w:rPr>
                <w:rFonts w:ascii="Times New Roman" w:eastAsia="Times New Roman" w:hAnsi="Times New Roman"/>
                <w:sz w:val="24"/>
                <w:szCs w:val="24"/>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0210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SEC-IRBA</w:t>
            </w:r>
          </w:p>
          <w:p w:rsidR="00E026FB" w:rsidRPr="00AA1421" w:rsidRDefault="00E026FB" w:rsidP="00E10B85">
            <w:pPr>
              <w:spacing w:before="0" w:after="0"/>
              <w:jc w:val="left"/>
              <w:rPr>
                <w:rFonts w:ascii="Times New Roman" w:hAnsi="Times New Roman"/>
                <w:b/>
                <w:sz w:val="24"/>
                <w:u w:val="single"/>
              </w:rPr>
            </w:pPr>
          </w:p>
          <w:p w:rsidR="00E026FB" w:rsidRPr="00AA1421" w:rsidRDefault="001E0C80" w:rsidP="00E10B85">
            <w:pPr>
              <w:spacing w:before="0" w:after="0"/>
              <w:jc w:val="left"/>
              <w:rPr>
                <w:rFonts w:ascii="Times New Roman" w:hAnsi="Times New Roman"/>
                <w:sz w:val="24"/>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E026FB" w:rsidRPr="00AA1421" w:rsidRDefault="00E026FB" w:rsidP="00E10B85">
            <w:pPr>
              <w:spacing w:before="0" w:after="0"/>
              <w:jc w:val="left"/>
              <w:rPr>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0220-0260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PODZIAŁ WEDŁUG ZAKRESÓW WAG RYZYKA</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jc w:val="left"/>
              <w:rPr>
                <w:rFonts w:ascii="Times New Roman" w:hAnsi="Times New Roman"/>
                <w:sz w:val="24"/>
              </w:rPr>
            </w:pPr>
            <w:r w:rsidRPr="00AA1421">
              <w:rPr>
                <w:rFonts w:ascii="Times New Roman" w:hAnsi="Times New Roman"/>
                <w:sz w:val="24"/>
              </w:rPr>
              <w:t>Ekspozycje według metody SEC-IRBA według przedziałów wag ryzyka.</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0270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W TYM: OBLICZONE ZGODNIE Z ART. 255 UST. 4 (NABYTE WIERZYTELNOŚCI) </w:t>
            </w:r>
          </w:p>
          <w:p w:rsidR="00E026FB" w:rsidRPr="00AA1421" w:rsidRDefault="00E026FB" w:rsidP="00E10B85">
            <w:pPr>
              <w:spacing w:before="0" w:after="0"/>
              <w:jc w:val="left"/>
              <w:rPr>
                <w:rFonts w:ascii="Times New Roman" w:hAnsi="Times New Roman"/>
                <w:sz w:val="24"/>
              </w:rPr>
            </w:pPr>
          </w:p>
          <w:p w:rsidR="001E0C80" w:rsidRPr="00AA1421" w:rsidRDefault="00E026FB" w:rsidP="00E10B85">
            <w:pPr>
              <w:spacing w:before="0" w:after="0"/>
              <w:jc w:val="left"/>
              <w:rPr>
                <w:rFonts w:ascii="Times New Roman" w:hAnsi="Times New Roman"/>
                <w:sz w:val="24"/>
              </w:rPr>
            </w:pPr>
            <w:r w:rsidRPr="00AA1421">
              <w:rPr>
                <w:rFonts w:ascii="Times New Roman" w:hAnsi="Times New Roman"/>
                <w:sz w:val="24"/>
              </w:rPr>
              <w:t>Art. 255 ust. 4 CRR</w:t>
            </w:r>
          </w:p>
          <w:p w:rsidR="001E0C80" w:rsidRPr="00AA1421" w:rsidRDefault="00E026FB" w:rsidP="00E10B85">
            <w:pPr>
              <w:spacing w:before="0" w:after="0"/>
              <w:jc w:val="left"/>
              <w:rPr>
                <w:rFonts w:ascii="Times New Roman" w:hAnsi="Times New Roman"/>
                <w:sz w:val="24"/>
              </w:rPr>
            </w:pPr>
            <w:r w:rsidRPr="00AA1421">
              <w:rPr>
                <w:rFonts w:ascii="Times New Roman" w:hAnsi="Times New Roman"/>
                <w:sz w:val="24"/>
              </w:rPr>
              <w:t xml:space="preserve"> </w:t>
            </w:r>
          </w:p>
          <w:p w:rsidR="00E026FB" w:rsidRPr="00AA1421" w:rsidRDefault="00E026FB" w:rsidP="00E10B85">
            <w:pPr>
              <w:spacing w:before="0" w:after="0"/>
              <w:jc w:val="left"/>
              <w:rPr>
                <w:rFonts w:ascii="Times New Roman" w:hAnsi="Times New Roman"/>
                <w:sz w:val="24"/>
              </w:rPr>
            </w:pPr>
            <w:r w:rsidRPr="00AA1421">
              <w:rPr>
                <w:rFonts w:ascii="Times New Roman" w:hAnsi="Times New Roman"/>
                <w:sz w:val="24"/>
              </w:rPr>
              <w:t>Do celów tej kolumny ekspozycje detaliczne traktuje się jako nabyte wierzytelności detaliczne, a ekspozycje niedetaliczne jako nabyte wierzytelności korporacyjne.</w:t>
            </w:r>
          </w:p>
          <w:p w:rsidR="00E026FB" w:rsidRPr="00AA1421" w:rsidRDefault="00E026FB" w:rsidP="00E10B85">
            <w:pPr>
              <w:spacing w:before="0" w:after="0"/>
              <w:jc w:val="left"/>
              <w:rPr>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0280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SEC-SA</w:t>
            </w:r>
          </w:p>
          <w:p w:rsidR="00E026FB" w:rsidRPr="00AA1421" w:rsidRDefault="00E026FB" w:rsidP="00E10B85">
            <w:pPr>
              <w:spacing w:before="0" w:after="0"/>
              <w:jc w:val="left"/>
              <w:rPr>
                <w:rFonts w:ascii="Times New Roman" w:hAnsi="Times New Roman"/>
                <w:b/>
                <w:sz w:val="24"/>
                <w:u w:val="single"/>
              </w:rPr>
            </w:pPr>
          </w:p>
          <w:p w:rsidR="00E026FB" w:rsidRPr="00AA1421" w:rsidRDefault="001E0C80" w:rsidP="00E10B85">
            <w:pPr>
              <w:spacing w:before="0" w:after="0"/>
              <w:jc w:val="left"/>
              <w:rPr>
                <w:rFonts w:ascii="Times New Roman" w:hAnsi="Times New Roman"/>
                <w:b/>
                <w:sz w:val="24"/>
                <w:u w:val="single"/>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E026FB" w:rsidRPr="00AA1421" w:rsidRDefault="00E026FB" w:rsidP="00E10B85">
            <w:pPr>
              <w:spacing w:before="0" w:after="0"/>
              <w:jc w:val="left"/>
              <w:rPr>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0290-0340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PODZIAŁ WEDŁUG ZAKRESÓW WAG RYZYKA</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jc w:val="left"/>
              <w:rPr>
                <w:rFonts w:ascii="Times New Roman" w:hAnsi="Times New Roman"/>
                <w:sz w:val="24"/>
              </w:rPr>
            </w:pPr>
            <w:r w:rsidRPr="00AA1421">
              <w:rPr>
                <w:rFonts w:ascii="Times New Roman" w:hAnsi="Times New Roman"/>
                <w:sz w:val="24"/>
              </w:rPr>
              <w:t>Ekspozycje SEC-SA według przedziałów wag ryzyka.</w:t>
            </w:r>
          </w:p>
          <w:p w:rsidR="00E026FB" w:rsidRPr="00AA1421" w:rsidRDefault="00E026FB" w:rsidP="00E10B85">
            <w:pPr>
              <w:spacing w:before="0" w:after="0"/>
              <w:jc w:val="left"/>
              <w:rPr>
                <w:rFonts w:ascii="Times New Roman" w:hAnsi="Times New Roman"/>
                <w:sz w:val="24"/>
                <w:u w:val="single"/>
              </w:rPr>
            </w:pPr>
          </w:p>
          <w:p w:rsidR="00E026FB" w:rsidRPr="00AA1421" w:rsidRDefault="00E026FB" w:rsidP="00E10B85">
            <w:pPr>
              <w:spacing w:before="0" w:after="0"/>
              <w:jc w:val="left"/>
              <w:rPr>
                <w:rFonts w:ascii="Times New Roman" w:hAnsi="Times New Roman"/>
                <w:sz w:val="24"/>
              </w:rPr>
            </w:pPr>
            <w:r w:rsidRPr="00AA1421">
              <w:rPr>
                <w:rFonts w:ascii="Times New Roman" w:hAnsi="Times New Roman"/>
                <w:sz w:val="24"/>
              </w:rPr>
              <w:t>Dla wagi ryzyka równej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(waga nieznana),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akapit czwarty CRR określono, że pozycji objętej sekurytyzacją przypisuje się wagę ryzyka równą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jeżeli instytucja nie zna stanu zaległości kredytowych w odniesieniu do więcej niż </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ekspozycji bazowych w puli.</w:t>
            </w:r>
          </w:p>
          <w:p w:rsidR="00E026FB" w:rsidRPr="00AA1421" w:rsidRDefault="00E026FB" w:rsidP="00E10B85">
            <w:pPr>
              <w:spacing w:before="0" w:after="0"/>
              <w:jc w:val="left"/>
              <w:rPr>
                <w:rFonts w:ascii="Times New Roman" w:hAnsi="Times New Roman"/>
                <w:sz w:val="24"/>
                <w:u w:val="single"/>
              </w:rPr>
            </w:pPr>
          </w:p>
        </w:tc>
      </w:tr>
      <w:tr w:rsidR="00E026FB" w:rsidRPr="00AA1421" w:rsidTr="00E10B85">
        <w:tc>
          <w:tcPr>
            <w:tcW w:w="1568" w:type="dxa"/>
          </w:tcPr>
          <w:p w:rsidR="00E026FB" w:rsidRPr="00AA1421" w:rsidDel="002122FF"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0350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SEC-ERBA</w:t>
            </w:r>
          </w:p>
          <w:p w:rsidR="00E026FB" w:rsidRPr="00AA1421" w:rsidRDefault="00E026FB" w:rsidP="00E10B85">
            <w:pPr>
              <w:spacing w:before="0" w:after="0"/>
              <w:rPr>
                <w:rFonts w:ascii="Times New Roman" w:hAnsi="Times New Roman"/>
                <w:sz w:val="24"/>
              </w:rPr>
            </w:pPr>
          </w:p>
          <w:p w:rsidR="00E026FB" w:rsidRPr="00AA1421" w:rsidRDefault="001E0C80" w:rsidP="00E10B85">
            <w:pPr>
              <w:spacing w:before="0" w:after="0"/>
              <w:jc w:val="left"/>
              <w:rPr>
                <w:rFonts w:ascii="Times New Roman" w:hAnsi="Times New Roman"/>
                <w:sz w:val="24"/>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0360-0570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PODZIAŁ WEDŁUG STOPNI JAKOŚCI KREDYTOWEJ (STOPNIE JAKOŚCI KREDYTÓW KRÓTKO- I DŁUGOTERMINOWYCH)</w:t>
            </w:r>
          </w:p>
          <w:p w:rsidR="00E026FB" w:rsidRPr="00AA1421" w:rsidRDefault="00E026FB" w:rsidP="00E10B85">
            <w:pPr>
              <w:spacing w:before="0" w:after="0"/>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Art. 263 CRR</w:t>
            </w:r>
          </w:p>
          <w:p w:rsidR="00E026FB" w:rsidRPr="00AA1421" w:rsidRDefault="00E026FB" w:rsidP="00E10B85">
            <w:pPr>
              <w:spacing w:before="0" w:after="0"/>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Pozycje sekurytyzacyjne według metody SEC-ERBA z ratingiem implikowanym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zgłasza się jako pozycje z ratingiem.</w:t>
            </w:r>
          </w:p>
          <w:p w:rsidR="00E026FB" w:rsidRPr="00AA1421" w:rsidRDefault="00E026FB" w:rsidP="00E10B85">
            <w:pPr>
              <w:spacing w:before="0" w:after="0"/>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Wartości ekspozycji podlegające wagom ryzyka dzieli się według krótko- i długoterminowych kredytów i stopni jakości kredytowej jak określono w tabeli 1 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63 oraz w tabelach 3 i 4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64 CRR. </w:t>
            </w:r>
          </w:p>
          <w:p w:rsidR="00E026FB" w:rsidRPr="00AA1421" w:rsidRDefault="00E026FB" w:rsidP="00E10B85">
            <w:pPr>
              <w:pStyle w:val="Heading1"/>
              <w:rPr>
                <w:rFonts w:ascii="Times New Roman" w:eastAsia="Times New Roman" w:hAnsi="Times New Roman"/>
                <w:sz w:val="24"/>
                <w:szCs w:val="24"/>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0580-0630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PODZIAŁ WEDŁUG POWODÓW ZASTOSOWANIA METODY SEC-ERBA</w:t>
            </w:r>
          </w:p>
          <w:p w:rsidR="00E026FB" w:rsidRPr="00AA1421" w:rsidRDefault="00E026FB" w:rsidP="00E10B85">
            <w:pPr>
              <w:spacing w:before="0" w:after="0"/>
              <w:rPr>
                <w:rFonts w:ascii="Times New Roman" w:hAnsi="Times New Roman"/>
                <w:b/>
                <w:sz w:val="24"/>
                <w:u w:val="single"/>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Dla każdej pozycji sekurytyzacyjnej instytucje uwzględniają w kolumnach 0580–0620 jedną z następujących opcji.</w:t>
            </w:r>
          </w:p>
          <w:p w:rsidR="00E026FB" w:rsidRPr="00AA1421" w:rsidRDefault="00E026FB" w:rsidP="00E10B85">
            <w:pPr>
              <w:spacing w:before="0" w:after="0"/>
              <w:rPr>
                <w:rFonts w:ascii="Times New Roman" w:hAnsi="Times New Roman"/>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0580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KREDYTY SAMOCHODOWE, LEASING SAMOCHODOWY I LEASING URZĄDZEŃ</w:t>
            </w:r>
          </w:p>
          <w:p w:rsidR="00E026FB" w:rsidRPr="00AA1421" w:rsidRDefault="00E026FB" w:rsidP="00E10B85">
            <w:pPr>
              <w:spacing w:before="0" w:after="0"/>
              <w:rPr>
                <w:rFonts w:ascii="Times New Roman" w:hAnsi="Times New Roman"/>
                <w:b/>
                <w:sz w:val="24"/>
                <w:u w:val="single"/>
              </w:rPr>
            </w:pPr>
          </w:p>
          <w:p w:rsidR="001E0C80" w:rsidRPr="00AA1421" w:rsidRDefault="001E0C80" w:rsidP="00E10B85">
            <w:pPr>
              <w:spacing w:before="0" w:after="0"/>
              <w:rPr>
                <w:rFonts w:ascii="Times New Roman" w:hAnsi="Times New Roman"/>
                <w:sz w:val="24"/>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w:t>
            </w:r>
          </w:p>
          <w:p w:rsidR="001E0C80" w:rsidRPr="00AA1421" w:rsidRDefault="001E0C80" w:rsidP="00E10B85">
            <w:pPr>
              <w:spacing w:before="0" w:after="0"/>
              <w:rPr>
                <w:rFonts w:ascii="Times New Roman" w:hAnsi="Times New Roman"/>
                <w:sz w:val="24"/>
              </w:rPr>
            </w:pPr>
          </w:p>
          <w:p w:rsidR="00E026FB" w:rsidRPr="00AA1421" w:rsidRDefault="00FC5515" w:rsidP="00BC3A29">
            <w:pPr>
              <w:spacing w:before="0" w:after="0"/>
              <w:rPr>
                <w:rFonts w:ascii="Times New Roman" w:hAnsi="Times New Roman"/>
                <w:b/>
                <w:sz w:val="24"/>
                <w:u w:val="single"/>
              </w:rPr>
            </w:pPr>
            <w:r w:rsidRPr="00AA1421">
              <w:rPr>
                <w:rFonts w:ascii="Times New Roman" w:hAnsi="Times New Roman"/>
                <w:sz w:val="24"/>
              </w:rPr>
              <w:t xml:space="preserve">Wszystkie kredyty na zakup samochodów oraz umowy leasingu samochodów i sprzętu zgłasza się w tej kolumnie, nawet jeśli kwalifikują się do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lub b) CRR.</w:t>
            </w: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0590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WARIANT SEC-ERBA</w:t>
            </w:r>
          </w:p>
          <w:p w:rsidR="00E026FB" w:rsidRPr="00AA1421" w:rsidRDefault="00E026FB" w:rsidP="00E10B85">
            <w:pPr>
              <w:spacing w:before="0" w:after="0"/>
              <w:rPr>
                <w:rFonts w:ascii="Times New Roman" w:hAnsi="Times New Roman"/>
                <w:b/>
                <w:sz w:val="24"/>
                <w:u w:val="single"/>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Art. 254 ust. 3 CRR</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0600</w:t>
            </w:r>
          </w:p>
        </w:tc>
        <w:tc>
          <w:tcPr>
            <w:tcW w:w="7436" w:type="dxa"/>
          </w:tcPr>
          <w:p w:rsidR="00E026FB" w:rsidRPr="00AA1421" w:rsidRDefault="00E026FB" w:rsidP="00E10B85">
            <w:pPr>
              <w:spacing w:before="0" w:after="0"/>
              <w:rPr>
                <w:rFonts w:ascii="Times New Roman" w:hAnsi="Times New Roman"/>
                <w:b/>
                <w:bCs/>
                <w:sz w:val="24"/>
                <w:u w:val="single"/>
              </w:rPr>
            </w:pPr>
            <w:r w:rsidRPr="00AA1421">
              <w:rPr>
                <w:rFonts w:ascii="Times New Roman" w:hAnsi="Times New Roman"/>
                <w:b/>
                <w:bCs/>
                <w:sz w:val="24"/>
                <w:u w:val="single"/>
              </w:rPr>
              <w:t>POZYCJE PODLEGAJĄCE PRZEPISOM ART. 254 UST. 2 LIT. a) CRR</w:t>
            </w:r>
          </w:p>
          <w:p w:rsidR="00E026FB" w:rsidRPr="00AA1421" w:rsidRDefault="00E026FB" w:rsidP="00E10B85">
            <w:pPr>
              <w:spacing w:before="0" w:after="0"/>
              <w:rPr>
                <w:rFonts w:ascii="Times New Roman" w:hAnsi="Times New Roman"/>
                <w:b/>
                <w:bCs/>
                <w:sz w:val="24"/>
                <w:u w:val="single"/>
              </w:rPr>
            </w:pPr>
          </w:p>
          <w:p w:rsidR="00E026FB" w:rsidRPr="00AA1421" w:rsidRDefault="001E0C80" w:rsidP="00E10B85">
            <w:pPr>
              <w:spacing w:before="0" w:after="0"/>
              <w:rPr>
                <w:rFonts w:ascii="Times New Roman" w:hAnsi="Times New Roman"/>
                <w:sz w:val="24"/>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E026FB" w:rsidRPr="00AA1421" w:rsidRDefault="00E026FB" w:rsidP="00E10B85">
            <w:pPr>
              <w:spacing w:before="0" w:after="0"/>
              <w:rPr>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0610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 xml:space="preserve">POZYCJE PODLEGAJĄCE PRZEPISOM ART. 254 UST. 2 LIT. b) CRR </w:t>
            </w:r>
          </w:p>
          <w:p w:rsidR="00E026FB" w:rsidRPr="00AA1421" w:rsidRDefault="00E026FB" w:rsidP="00E10B85">
            <w:pPr>
              <w:spacing w:before="0" w:after="0"/>
              <w:rPr>
                <w:rFonts w:ascii="Times New Roman" w:hAnsi="Times New Roman"/>
                <w:b/>
                <w:sz w:val="24"/>
                <w:u w:val="single"/>
              </w:rPr>
            </w:pPr>
          </w:p>
          <w:p w:rsidR="00E026FB" w:rsidRPr="00AA1421" w:rsidRDefault="001E0C80" w:rsidP="00E10B85">
            <w:pPr>
              <w:spacing w:before="0" w:after="0"/>
              <w:rPr>
                <w:rFonts w:ascii="Times New Roman" w:hAnsi="Times New Roman"/>
                <w:sz w:val="24"/>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0620</w:t>
            </w:r>
          </w:p>
        </w:tc>
        <w:tc>
          <w:tcPr>
            <w:tcW w:w="7436" w:type="dxa"/>
          </w:tcPr>
          <w:p w:rsidR="00962BBD" w:rsidRPr="00AA1421" w:rsidRDefault="00E026FB" w:rsidP="00E10B85">
            <w:pPr>
              <w:spacing w:before="0" w:after="0"/>
              <w:rPr>
                <w:rFonts w:ascii="Times New Roman" w:hAnsi="Times New Roman"/>
                <w:b/>
                <w:bCs/>
                <w:sz w:val="24"/>
                <w:u w:val="single"/>
              </w:rPr>
            </w:pPr>
            <w:r w:rsidRPr="00AA1421">
              <w:rPr>
                <w:rFonts w:ascii="Times New Roman" w:hAnsi="Times New Roman"/>
                <w:b/>
                <w:bCs/>
                <w:sz w:val="24"/>
                <w:u w:val="single"/>
              </w:rPr>
              <w:t>POZYCJE PODLEGAJĄCE PRZEPISOM ART. 254 UST. 4 LUB ART. 258 UST. 2 CRR</w:t>
            </w:r>
          </w:p>
          <w:p w:rsidR="00962BBD" w:rsidRPr="00AA1421" w:rsidRDefault="00962BBD" w:rsidP="00E10B85">
            <w:pPr>
              <w:spacing w:before="0" w:after="0"/>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Pozycje sekurytyzacyjne traktowane według metody SEC-ERBA, jeżeli właściwe organy uniemożliwiły stosowanie metody SEC-IRBA lub SEC-SA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i 258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0630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 xml:space="preserve">ZGODNIE Z HIERARCHIĄ METOD </w:t>
            </w:r>
          </w:p>
          <w:p w:rsidR="00E026FB" w:rsidRPr="00AA1421" w:rsidRDefault="00E026FB" w:rsidP="00E10B85">
            <w:pPr>
              <w:spacing w:before="0" w:after="0"/>
              <w:rPr>
                <w:rFonts w:ascii="Times New Roman" w:hAnsi="Times New Roman"/>
                <w:b/>
                <w:sz w:val="24"/>
                <w:u w:val="single"/>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Pozycje sekurytyzacyjne, w przypadku których zastosowano metodę SEC-ERBA zgodnie z hierarchią metod określoną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E026FB" w:rsidRPr="00AA1421" w:rsidRDefault="00E026FB" w:rsidP="00E10B85">
            <w:pPr>
              <w:spacing w:before="0" w:after="0"/>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0640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METODA WEWNĘTRZNYCH OSZACOWAŃ</w:t>
            </w:r>
          </w:p>
          <w:p w:rsidR="00E026FB" w:rsidRPr="00AA1421" w:rsidRDefault="00E026FB" w:rsidP="00E10B85">
            <w:pPr>
              <w:spacing w:before="0" w:after="0"/>
              <w:jc w:val="left"/>
              <w:rPr>
                <w:rFonts w:ascii="Times New Roman" w:hAnsi="Times New Roman"/>
                <w:sz w:val="24"/>
              </w:rPr>
            </w:pPr>
          </w:p>
          <w:p w:rsidR="00E026FB" w:rsidRPr="00AA1421" w:rsidRDefault="008F2C6B" w:rsidP="00E10B85">
            <w:pPr>
              <w:spacing w:before="0" w:after="0"/>
              <w:rPr>
                <w:rFonts w:ascii="Times New Roman" w:hAnsi="Times New Roman"/>
                <w:sz w:val="24"/>
              </w:rPr>
            </w:pPr>
            <w:r w:rsidRPr="00AA1421">
              <w:rPr>
                <w:rFonts w:ascii="Times New Roman" w:hAnsi="Times New Roman"/>
                <w:sz w:val="24"/>
              </w:rPr>
              <w:lastRenderedPageBreak/>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dotyczący „metody wewnętrznych oszacowań” w odniesieniu do pozycji programów ABCP</w:t>
            </w:r>
          </w:p>
          <w:p w:rsidR="00E026FB" w:rsidRPr="00AA1421" w:rsidRDefault="00E026FB" w:rsidP="00E10B85">
            <w:pPr>
              <w:spacing w:before="0" w:after="0"/>
              <w:jc w:val="left"/>
              <w:rPr>
                <w:rFonts w:ascii="Times New Roman" w:hAnsi="Times New Roman"/>
                <w:sz w:val="24"/>
              </w:rPr>
            </w:pPr>
          </w:p>
        </w:tc>
      </w:tr>
      <w:tr w:rsidR="00E026FB" w:rsidRPr="00AA1421" w:rsidTr="00E10B85">
        <w:tc>
          <w:tcPr>
            <w:tcW w:w="1568" w:type="dxa"/>
          </w:tcPr>
          <w:p w:rsidR="00E026FB" w:rsidRPr="00AA1421" w:rsidDel="002122FF"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0650-0690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PODZIAŁ WEDŁUG ZAKRESÓW WAG RYZYKA</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jc w:val="left"/>
              <w:rPr>
                <w:rFonts w:ascii="Times New Roman" w:hAnsi="Times New Roman"/>
                <w:sz w:val="24"/>
              </w:rPr>
            </w:pPr>
            <w:r w:rsidRPr="00AA1421">
              <w:rPr>
                <w:rFonts w:ascii="Times New Roman" w:hAnsi="Times New Roman"/>
                <w:sz w:val="24"/>
              </w:rPr>
              <w:t>Ekspozycje według metody wewnętrznych oszacowań według przedziałów wag ryzyka</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0700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INNE (WAGA RYZYKA = 1 25</w:t>
            </w:r>
            <w:r w:rsidRPr="00084F66">
              <w:rPr>
                <w:rFonts w:ascii="Times New Roman" w:hAnsi="Times New Roman"/>
                <w:b/>
                <w:sz w:val="24"/>
                <w:u w:val="single"/>
              </w:rPr>
              <w:t>0</w:t>
            </w:r>
            <w:r w:rsidR="00084F66" w:rsidRPr="00084F66">
              <w:rPr>
                <w:rFonts w:ascii="Times New Roman" w:hAnsi="Times New Roman"/>
                <w:b/>
                <w:sz w:val="24"/>
                <w:u w:val="single"/>
              </w:rPr>
              <w:t> </w:t>
            </w:r>
            <w:r w:rsidRPr="00084F66">
              <w:rPr>
                <w:rFonts w:ascii="Times New Roman" w:hAnsi="Times New Roman"/>
                <w:b/>
                <w:sz w:val="24"/>
                <w:u w:val="single"/>
              </w:rPr>
              <w:t>%</w:t>
            </w:r>
            <w:r w:rsidRPr="00AA1421">
              <w:rPr>
                <w:rFonts w:ascii="Times New Roman" w:hAnsi="Times New Roman"/>
                <w:b/>
                <w:sz w:val="24"/>
                <w:u w:val="single"/>
              </w:rPr>
              <w:t>)</w:t>
            </w:r>
          </w:p>
          <w:p w:rsidR="00E026FB" w:rsidRPr="00AA1421" w:rsidRDefault="00E026FB" w:rsidP="00E10B85">
            <w:pPr>
              <w:spacing w:before="0" w:after="0"/>
              <w:jc w:val="left"/>
              <w:rPr>
                <w:rFonts w:ascii="Times New Roman" w:hAnsi="Times New Roman"/>
                <w:b/>
                <w:sz w:val="24"/>
                <w:u w:val="single"/>
              </w:rPr>
            </w:pPr>
          </w:p>
          <w:p w:rsidR="00E026FB" w:rsidRPr="00AA1421" w:rsidRDefault="00D021AF" w:rsidP="00E10B85">
            <w:pPr>
              <w:spacing w:before="0" w:after="0"/>
              <w:jc w:val="left"/>
              <w:rPr>
                <w:rFonts w:ascii="Times New Roman" w:hAnsi="Times New Roman"/>
                <w:sz w:val="24"/>
              </w:rPr>
            </w:pPr>
            <w:r w:rsidRPr="00AA1421">
              <w:rPr>
                <w:rFonts w:ascii="Times New Roman" w:hAnsi="Times New Roman"/>
                <w:sz w:val="24"/>
              </w:rPr>
              <w:t>Jeżeli nie zastosowano żadnej z poprzednich metod, wagę ryzyka równą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przypisuje się pozycjom sekurytyzacyjnym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CRR.</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0710-0860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KWOTA EKSPOZYCJI WAŻONEJ RYZYKIEM</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 xml:space="preserve">Całkowita kwota ekspozycji ważonej ryzykiem obliczona zgodnie z częścią trzecią tytuł II rozdział 5 sekcja 3 CRR, przed korektami wynikającymi z niedopasowania terminów zapadalności lub naruszenia przepisów dotyczących należytej staranności oraz z wyłączeniem jakiekolwiek kwoty ekspozycji ważonej ryzykiem odpowiadającej ekspozycjom przeniesionym do innego wzoru wskutek wypływów. </w:t>
            </w:r>
          </w:p>
          <w:p w:rsidR="00E026FB" w:rsidRPr="00AA1421" w:rsidRDefault="00E026FB" w:rsidP="00E10B85">
            <w:pPr>
              <w:spacing w:before="0" w:after="0"/>
              <w:rPr>
                <w:rFonts w:ascii="Times New Roman" w:hAnsi="Times New Roman"/>
                <w:sz w:val="24"/>
              </w:rPr>
            </w:pPr>
          </w:p>
        </w:tc>
      </w:tr>
      <w:tr w:rsidR="00E026FB" w:rsidRPr="00AA1421" w:rsidTr="00E10B85">
        <w:tc>
          <w:tcPr>
            <w:tcW w:w="1568" w:type="dxa"/>
          </w:tcPr>
          <w:p w:rsidR="00E026FB" w:rsidRPr="00AA1421" w:rsidRDefault="00E026FB" w:rsidP="00CF6F63">
            <w:pPr>
              <w:autoSpaceDE w:val="0"/>
              <w:autoSpaceDN w:val="0"/>
              <w:adjustRightInd w:val="0"/>
              <w:spacing w:before="0" w:after="0"/>
              <w:rPr>
                <w:rFonts w:ascii="Times New Roman" w:hAnsi="Times New Roman"/>
                <w:bCs/>
                <w:sz w:val="24"/>
              </w:rPr>
            </w:pPr>
            <w:r w:rsidRPr="00AA1421">
              <w:rPr>
                <w:rFonts w:ascii="Times New Roman" w:hAnsi="Times New Roman"/>
                <w:bCs/>
                <w:sz w:val="24"/>
              </w:rPr>
              <w:t>0840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METODA WEWNĘTRZNYCH OSZACOWAŃ: ŚREDNIA WAGA RYZYKA (%)</w:t>
            </w:r>
          </w:p>
          <w:p w:rsidR="00E026FB" w:rsidRPr="00AA1421" w:rsidRDefault="00E026FB" w:rsidP="00E10B85">
            <w:pPr>
              <w:spacing w:before="0" w:after="0"/>
              <w:rPr>
                <w:rFonts w:ascii="Times New Roman" w:hAnsi="Times New Roman"/>
                <w:sz w:val="24"/>
              </w:rPr>
            </w:pPr>
          </w:p>
          <w:p w:rsidR="00E026FB" w:rsidRPr="00AA1421" w:rsidRDefault="00E026FB" w:rsidP="00E10B85">
            <w:pPr>
              <w:spacing w:before="0" w:after="0"/>
              <w:jc w:val="left"/>
              <w:rPr>
                <w:rFonts w:ascii="Times New Roman" w:hAnsi="Times New Roman"/>
                <w:sz w:val="24"/>
              </w:rPr>
            </w:pPr>
            <w:r w:rsidRPr="00AA1421">
              <w:rPr>
                <w:rFonts w:ascii="Times New Roman" w:hAnsi="Times New Roman"/>
                <w:sz w:val="24"/>
              </w:rPr>
              <w:t>W tej kolumnie zgłasza się średnie ważone ekspozycją wagi ryzyka pozycji sekurytyzacyjnych.</w:t>
            </w:r>
          </w:p>
          <w:p w:rsidR="00E026FB" w:rsidRPr="00AA1421" w:rsidRDefault="00E026FB" w:rsidP="00E10B85">
            <w:pPr>
              <w:spacing w:before="0" w:after="0"/>
              <w:jc w:val="left"/>
              <w:rPr>
                <w:rFonts w:ascii="Times New Roman" w:hAnsi="Times New Roman"/>
                <w:sz w:val="24"/>
              </w:rPr>
            </w:pPr>
          </w:p>
        </w:tc>
      </w:tr>
      <w:tr w:rsidR="00E026FB" w:rsidRPr="00AA1421" w:rsidTr="00E10B85">
        <w:tc>
          <w:tcPr>
            <w:tcW w:w="1568" w:type="dxa"/>
          </w:tcPr>
          <w:p w:rsidR="00E026FB" w:rsidRPr="00AA1421" w:rsidRDefault="00E026FB" w:rsidP="00CF6F63">
            <w:pPr>
              <w:autoSpaceDE w:val="0"/>
              <w:autoSpaceDN w:val="0"/>
              <w:adjustRightInd w:val="0"/>
              <w:spacing w:before="0" w:after="0"/>
              <w:rPr>
                <w:rFonts w:ascii="Times New Roman" w:hAnsi="Times New Roman"/>
                <w:bCs/>
                <w:sz w:val="24"/>
              </w:rPr>
            </w:pPr>
            <w:r w:rsidRPr="00AA1421">
              <w:rPr>
                <w:rFonts w:ascii="Times New Roman" w:hAnsi="Times New Roman"/>
                <w:sz w:val="24"/>
              </w:rPr>
              <w:t>0860</w:t>
            </w:r>
          </w:p>
        </w:tc>
        <w:tc>
          <w:tcPr>
            <w:tcW w:w="7436"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KWOTA EKSPOZYCJI WAŻONEJ RYZYKIEM – W TYM: SEKURYTYZACJE SYNTETYCZNE</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W odniesieniu do sekurytyzacji syntetycznych związanych z niedopasowaniem terminów zapadalności przy zgłaszaniu kwoty w tej kolumnie ignoruje się niedopasowanie terminów zapadalności.</w:t>
            </w:r>
          </w:p>
          <w:p w:rsidR="00E026FB" w:rsidRPr="00AA1421" w:rsidRDefault="00E026FB" w:rsidP="00E10B85">
            <w:pPr>
              <w:spacing w:before="0" w:after="0"/>
              <w:jc w:val="left"/>
              <w:rPr>
                <w:rFonts w:ascii="Times New Roman" w:hAnsi="Times New Roman"/>
                <w:sz w:val="24"/>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0870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KOREKTA KWOTY EKSPOZYCJI WAŻONEJ RYZYKIEM WYNIKAJĄCA Z NIEDOPASOWANIA TERMINÓW ZAPADALNOŚCI</w:t>
            </w:r>
          </w:p>
          <w:p w:rsidR="00E026FB" w:rsidRPr="00AA1421" w:rsidRDefault="00E026FB" w:rsidP="00E10B85">
            <w:pPr>
              <w:spacing w:before="0" w:after="0"/>
              <w:jc w:val="left"/>
              <w:rPr>
                <w:rFonts w:ascii="Times New Roman" w:hAnsi="Times New Roman"/>
                <w:b/>
                <w:sz w:val="24"/>
                <w:u w:val="single"/>
                <w:lang w:eastAsia="es-ES_tradnl"/>
              </w:rPr>
            </w:pPr>
          </w:p>
          <w:p w:rsidR="00E026FB" w:rsidRPr="00AA1421" w:rsidRDefault="008F2C6B" w:rsidP="00E10B85">
            <w:pPr>
              <w:spacing w:before="0" w:after="0"/>
              <w:rPr>
                <w:rFonts w:ascii="Times New Roman" w:hAnsi="Times New Roman"/>
                <w:sz w:val="24"/>
              </w:rPr>
            </w:pPr>
            <w:r w:rsidRPr="00AA1421">
              <w:rPr>
                <w:rFonts w:ascii="Times New Roman" w:hAnsi="Times New Roman"/>
                <w:sz w:val="24"/>
              </w:rPr>
              <w:t xml:space="preserve">Uwzględnia się niedopasowanie terminów zapadalności w odniesieniu do sekurytyzacji syntetycznych RW*-RW(SP),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52 CRR, z wyjątkiem przypadków transz podlegających ważeniu ryzykiem o wadze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w których kwota, którą należy zgłosić, wynosi zero. RW(SP) obejmuje nie tylko kwoty ekspozycji ważone ryzykiem zgłoszone w kolumnie 0650, ale też kwoty ekspozycji ważone ryzykiem odnoszące się do ekspozycji przeniesionych poprzez wypływy do innych wzorów.</w:t>
            </w:r>
          </w:p>
          <w:p w:rsidR="00E026FB" w:rsidRPr="00AA1421" w:rsidRDefault="00E026FB" w:rsidP="00E10B85">
            <w:pPr>
              <w:spacing w:before="0" w:after="0"/>
              <w:rPr>
                <w:rFonts w:ascii="Times New Roman" w:hAnsi="Times New Roman"/>
                <w:sz w:val="24"/>
                <w:lang w:eastAsia="es-ES_tradnl"/>
              </w:rPr>
            </w:pPr>
          </w:p>
        </w:tc>
      </w:tr>
      <w:tr w:rsidR="00E026FB" w:rsidRPr="00AA1421" w:rsidTr="00E10B85">
        <w:tc>
          <w:tcPr>
            <w:tcW w:w="1568" w:type="dxa"/>
          </w:tcPr>
          <w:p w:rsidR="00E026FB" w:rsidRPr="00AA1421" w:rsidDel="002122FF"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0880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OGÓLNY SKUTEK (KOREKTA) WYNIKAJĄCY Z NARUSZENIA PRZEPISÓW ROZDZIAŁU 2 ROZPORZĄDZENIA (UE) 2017/2402</w:t>
            </w:r>
            <w:r w:rsidRPr="00AA1421">
              <w:rPr>
                <w:rStyle w:val="FootnoteReference"/>
                <w:rFonts w:ascii="Times New Roman" w:hAnsi="Times New Roman"/>
                <w:sz w:val="24"/>
                <w:szCs w:val="24"/>
                <w:vertAlign w:val="superscript"/>
                <w:lang w:eastAsia="es-ES_tradnl"/>
              </w:rPr>
              <w:footnoteReference w:id="11"/>
            </w:r>
          </w:p>
          <w:p w:rsidR="00E026FB" w:rsidRPr="00AA1421" w:rsidRDefault="00E026FB" w:rsidP="00E10B85">
            <w:pPr>
              <w:spacing w:before="0" w:after="0"/>
              <w:jc w:val="left"/>
              <w:rPr>
                <w:rFonts w:ascii="Times New Roman" w:hAnsi="Times New Roman"/>
                <w:sz w:val="24"/>
                <w:lang w:eastAsia="es-ES_tradnl"/>
              </w:rPr>
            </w:pPr>
          </w:p>
          <w:p w:rsidR="00E026FB" w:rsidRPr="00AA1421" w:rsidRDefault="00BB22D4" w:rsidP="00E10B85">
            <w:pPr>
              <w:spacing w:before="0" w:after="0"/>
              <w:jc w:val="left"/>
              <w:rPr>
                <w:rFonts w:ascii="Times New Roman" w:eastAsia="Arial"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70a CRR w przypadku niespełnienia określonych wymogów przez instytucję właściwe organy nakładają proporcjonalną dodatkową wagę ryzyka w wysokości co najmniej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wagi ryzyka (maksymalnie do wysokości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którą zastosuje się do stosownych pozycji sekurytyzacyjnych na mocy części trzeciej tytuł II rozdział 5 sekcja 3 CRR. </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0890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PRZED UWZGLĘDNIENIEM PUŁAPU</w:t>
            </w:r>
          </w:p>
          <w:p w:rsidR="00E026FB" w:rsidRPr="00AA1421" w:rsidRDefault="00E026FB" w:rsidP="00E10B85">
            <w:pPr>
              <w:spacing w:before="0" w:after="0"/>
              <w:jc w:val="left"/>
              <w:rPr>
                <w:rFonts w:ascii="Times New Roman" w:hAnsi="Times New Roman"/>
                <w:b/>
                <w:sz w:val="24"/>
                <w:u w:val="single"/>
                <w:lang w:eastAsia="es-ES_tradnl"/>
              </w:rPr>
            </w:pPr>
          </w:p>
          <w:p w:rsidR="00E026FB" w:rsidRPr="00AA1421" w:rsidRDefault="00E026FB" w:rsidP="00E10B85">
            <w:pPr>
              <w:spacing w:before="0" w:after="0"/>
              <w:jc w:val="left"/>
              <w:rPr>
                <w:rFonts w:ascii="Times New Roman" w:eastAsia="Arial" w:hAnsi="Times New Roman"/>
                <w:sz w:val="24"/>
              </w:rPr>
            </w:pPr>
            <w:r w:rsidRPr="00AA1421">
              <w:rPr>
                <w:rFonts w:ascii="Times New Roman" w:hAnsi="Times New Roman"/>
                <w:sz w:val="24"/>
              </w:rPr>
              <w:t xml:space="preserve">Całkowita kwota ekspozycji ważonej ryzykiem obliczona zgodnie z częścią trzecią tytuł II rozdział 5 sekcja 3 CRR przed uwzględnieniem pułapów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67 i 268 CRR. </w:t>
            </w:r>
          </w:p>
          <w:p w:rsidR="00E026FB" w:rsidRPr="00AA1421" w:rsidRDefault="00E026FB" w:rsidP="00E10B85">
            <w:pPr>
              <w:spacing w:before="0" w:after="0"/>
              <w:jc w:val="left"/>
              <w:rPr>
                <w:rFonts w:ascii="Times New Roman" w:hAnsi="Times New Roman"/>
                <w:b/>
                <w:sz w:val="24"/>
                <w:u w:val="single"/>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0900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ZMNIEJSZENIE ZE WZGLĘDU NA PUŁAP WAGI RYZYKA</w:t>
            </w:r>
          </w:p>
          <w:p w:rsidR="00E026FB" w:rsidRPr="00AA1421" w:rsidRDefault="00E026FB" w:rsidP="00E10B85">
            <w:pPr>
              <w:spacing w:before="0" w:after="0"/>
              <w:jc w:val="left"/>
              <w:rPr>
                <w:rFonts w:ascii="Times New Roman" w:hAnsi="Times New Roman"/>
                <w:b/>
                <w:sz w:val="24"/>
                <w:u w:val="single"/>
              </w:rPr>
            </w:pPr>
          </w:p>
          <w:p w:rsidR="00E026FB" w:rsidRPr="00AA1421" w:rsidRDefault="00BB22D4" w:rsidP="00E10B85">
            <w:pPr>
              <w:spacing w:before="0" w:after="0"/>
              <w:jc w:val="left"/>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67 CRR instytucja, która zawsze zna skład ekspozycji bazowych, może przypisać uprzywilejowanej pozycji sekurytyzacyjnej maksymalną wagę ryzyka równą średniej wadze ryzyka ważonej ekspozycją, która miałaby zastosowanie do ekspozycji bazowych, tak jakby nie zostały one objęte sekurytyzacją.</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0910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 ZMNIEJSZENIE ZE WZGLĘDU NA OGÓLNY PUŁAP</w:t>
            </w:r>
          </w:p>
          <w:p w:rsidR="00E026FB" w:rsidRPr="00AA1421" w:rsidRDefault="00E026FB" w:rsidP="00E10B85">
            <w:pPr>
              <w:spacing w:before="0" w:after="0"/>
              <w:jc w:val="left"/>
              <w:rPr>
                <w:rFonts w:ascii="Times New Roman" w:hAnsi="Times New Roman"/>
                <w:b/>
                <w:sz w:val="24"/>
                <w:u w:val="single"/>
              </w:rPr>
            </w:pPr>
          </w:p>
          <w:p w:rsidR="00E026FB" w:rsidRPr="00AA1421" w:rsidRDefault="00BB22D4" w:rsidP="00E10B85">
            <w:pPr>
              <w:spacing w:before="0" w:after="0"/>
              <w:jc w:val="left"/>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68 CRR instytucja inicjująca, instytucja sponsorująca lub inna instytucja stosujące metodę SEC-IRBA, bądź instytucja inicjująca lub instytucja sponsorująca stosujące metodę SEC-SA lub SEC-ERBA mogą stosować w odniesieniu do posiadanej przez siebie pozycji sekurytyzacyjnej maksymalne wymogi kapitałowe równe wymogom kapitałowym, które zostałyby obliczone zgodnie z częścią trzecią tytuł II rozdział 2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 odniesieniu do ekspozycji bazowych, tak jakby nie zostały one objęte sekurytyzacją.</w:t>
            </w:r>
          </w:p>
          <w:p w:rsidR="00E026FB" w:rsidRPr="00AA1421" w:rsidRDefault="00E026FB" w:rsidP="00E10B85">
            <w:pPr>
              <w:spacing w:before="0" w:after="0"/>
              <w:jc w:val="left"/>
              <w:rPr>
                <w:rFonts w:ascii="Times New Roman" w:hAnsi="Times New Roman"/>
                <w:b/>
                <w:sz w:val="24"/>
                <w:u w:val="single"/>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0920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CAŁKOWITA KWOTA EKSPOZYCJI WAŻONEJ RYZYKIEM</w:t>
            </w:r>
          </w:p>
          <w:p w:rsidR="00E026FB" w:rsidRPr="00AA1421" w:rsidRDefault="00E026FB" w:rsidP="00E10B85">
            <w:pPr>
              <w:spacing w:before="0" w:after="0"/>
              <w:jc w:val="left"/>
              <w:rPr>
                <w:rFonts w:ascii="Times New Roman" w:hAnsi="Times New Roman"/>
                <w:b/>
                <w:sz w:val="24"/>
                <w:u w:val="single"/>
              </w:rPr>
            </w:pPr>
          </w:p>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sz w:val="24"/>
              </w:rPr>
              <w:t xml:space="preserve">Całkowita kwota ekspozycji ważonej ryzykiem obliczono zgodnie z częścią trzecią tytuł II rozdział 5 sekcja 3 CRR, z uwzględnieniem całkowitej kwoty ekspozycji ważonej ryzykiem, jak określono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E026FB" w:rsidRPr="00AA1421" w:rsidRDefault="00E026FB" w:rsidP="00E10B85">
            <w:pPr>
              <w:spacing w:before="0" w:after="0"/>
              <w:jc w:val="left"/>
              <w:rPr>
                <w:rFonts w:ascii="Times New Roman" w:hAnsi="Times New Roman"/>
                <w:b/>
                <w:sz w:val="24"/>
                <w:u w:val="single"/>
                <w:lang w:eastAsia="es-ES_tradnl"/>
              </w:rPr>
            </w:pPr>
          </w:p>
        </w:tc>
      </w:tr>
      <w:tr w:rsidR="00E026FB" w:rsidRPr="00AA1421" w:rsidTr="00E10B85">
        <w:tc>
          <w:tcPr>
            <w:tcW w:w="1568"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0930</w:t>
            </w:r>
          </w:p>
        </w:tc>
        <w:tc>
          <w:tcPr>
            <w:tcW w:w="7436" w:type="dxa"/>
          </w:tcPr>
          <w:p w:rsidR="00E026FB" w:rsidRPr="00AA1421" w:rsidRDefault="00E026FB" w:rsidP="00E10B85">
            <w:pPr>
              <w:spacing w:before="0" w:after="0"/>
              <w:jc w:val="left"/>
              <w:rPr>
                <w:rFonts w:ascii="Times New Roman" w:hAnsi="Times New Roman"/>
                <w:b/>
                <w:sz w:val="24"/>
                <w:u w:val="single"/>
              </w:rPr>
            </w:pPr>
            <w:r w:rsidRPr="00AA1421">
              <w:rPr>
                <w:rFonts w:ascii="Times New Roman" w:hAnsi="Times New Roman"/>
                <w:b/>
                <w:sz w:val="24"/>
                <w:u w:val="single"/>
              </w:rPr>
              <w:t>POZYCJA UZUPEŁNIAJĄCA: KWOTA EKSPOZYCJI WAŻONEJ RYZYKIEM ODPOWIADAJĄCA WYPŁYWOM Z SEKURYTYZACJI DO INNYCH KATEGORII EKSPOZYCJI</w:t>
            </w:r>
          </w:p>
          <w:p w:rsidR="00E026FB" w:rsidRPr="00AA1421" w:rsidRDefault="00E026FB" w:rsidP="00E10B85">
            <w:pPr>
              <w:spacing w:before="0" w:after="0"/>
              <w:jc w:val="left"/>
              <w:rPr>
                <w:rFonts w:ascii="Times New Roman" w:hAnsi="Times New Roman"/>
                <w:sz w:val="24"/>
              </w:rPr>
            </w:pPr>
          </w:p>
          <w:p w:rsidR="00E026FB" w:rsidRPr="00AA1421" w:rsidRDefault="00E026FB" w:rsidP="00E10B85">
            <w:pPr>
              <w:spacing w:before="0" w:after="0"/>
              <w:rPr>
                <w:rFonts w:ascii="Times New Roman" w:hAnsi="Times New Roman"/>
                <w:sz w:val="24"/>
              </w:rPr>
            </w:pPr>
            <w:r w:rsidRPr="00AA1421">
              <w:rPr>
                <w:rFonts w:ascii="Times New Roman" w:hAnsi="Times New Roman"/>
                <w:sz w:val="24"/>
              </w:rPr>
              <w:t>Kwota ekspozycji ważona ryzykiem wynikająca z przeniesienia ekspozycji na dostawcę środków ograniczania ryzyka, a tym samym obliczana w odpowiednim wzorze, która uwzględniana jest przy obliczaniu pułapu dla pozycji sekurytyzacyjnych.</w:t>
            </w:r>
          </w:p>
          <w:p w:rsidR="00E026FB" w:rsidRPr="00AA1421" w:rsidRDefault="00E026FB" w:rsidP="00E10B85">
            <w:pPr>
              <w:spacing w:before="0" w:after="0"/>
              <w:jc w:val="left"/>
              <w:rPr>
                <w:rFonts w:ascii="Times New Roman" w:hAnsi="Times New Roman"/>
                <w:sz w:val="24"/>
              </w:rPr>
            </w:pPr>
          </w:p>
        </w:tc>
      </w:tr>
    </w:tbl>
    <w:p w:rsidR="00E026FB" w:rsidRPr="00AA1421" w:rsidRDefault="00E026FB" w:rsidP="00E026FB">
      <w:pPr>
        <w:spacing w:before="0" w:after="0"/>
        <w:rPr>
          <w:rFonts w:ascii="Times New Roman" w:hAnsi="Times New Roman"/>
          <w:sz w:val="24"/>
        </w:rPr>
      </w:pPr>
    </w:p>
    <w:p w:rsidR="00E026FB" w:rsidRPr="00AA1421" w:rsidRDefault="00E026FB" w:rsidP="00E026FB">
      <w:pPr>
        <w:spacing w:before="0" w:after="0"/>
        <w:rPr>
          <w:rFonts w:ascii="Times New Roman" w:hAnsi="Times New Roman"/>
          <w:sz w:val="24"/>
        </w:rPr>
      </w:pPr>
    </w:p>
    <w:p w:rsidR="00E026FB" w:rsidRPr="00AA1421" w:rsidRDefault="00AA1421" w:rsidP="00487A02">
      <w:pPr>
        <w:pStyle w:val="InstructionsText2"/>
        <w:numPr>
          <w:ilvl w:val="0"/>
          <w:numId w:val="0"/>
        </w:numPr>
        <w:ind w:left="1353" w:hanging="360"/>
      </w:pPr>
      <w:fldSimple w:instr=" seq paragraphs ">
        <w:r w:rsidR="00D11E4C" w:rsidRPr="00AA1421">
          <w:rPr>
            <w:noProof/>
          </w:rPr>
          <w:t>109</w:t>
        </w:r>
      </w:fldSimple>
      <w:r w:rsidR="00D11E4C" w:rsidRPr="00AA1421">
        <w:t>.</w:t>
      </w:r>
      <w:r w:rsidR="00D11E4C" w:rsidRPr="00AA1421">
        <w:tab/>
        <w:t xml:space="preserve"> Wzór podzielony jest na trzy główne zestawienia wierszy. Służy do gromadzenia danych na temat ekspozycji zainicjowanych/sponsorowanych/utrzymanych lub nabytych przez jednostki inicjujące, inwestorów i jednostki sponsorujące. W przypadku każdego z nich informacje podzielone są na pozycje bilansowe i pozabilansowe oraz instrumenty pochodne, a także określa się, czy polegają zróżnicowanemu traktowaniu kapitału, czy też nie.</w:t>
      </w:r>
    </w:p>
    <w:p w:rsidR="00E026FB" w:rsidRPr="00AA1421" w:rsidRDefault="00AA1421" w:rsidP="00487A02">
      <w:pPr>
        <w:pStyle w:val="InstructionsText2"/>
        <w:numPr>
          <w:ilvl w:val="0"/>
          <w:numId w:val="0"/>
        </w:numPr>
        <w:ind w:left="1353" w:hanging="360"/>
      </w:pPr>
      <w:fldSimple w:instr=" seq paragraphs ">
        <w:r w:rsidR="00D11E4C" w:rsidRPr="00AA1421">
          <w:rPr>
            <w:noProof/>
          </w:rPr>
          <w:t>110</w:t>
        </w:r>
      </w:fldSimple>
      <w:r w:rsidR="00D11E4C" w:rsidRPr="00AA1421">
        <w:t>. Pozycje traktowane zgodnie z SEC-ERBA i pozycje bez ratingu (ekspozycje na dzień sprawozdawczy) dzieli się w fazie wstępnej według stopni jakości kredytowej (ostatnie zestawienie wierszy). Informacje te zgłaszają jednostki inicjujące i sponsorujące, jak również inwestorzy.</w:t>
      </w:r>
    </w:p>
    <w:p w:rsidR="00E026FB" w:rsidRPr="00AA1421"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AA1421" w:rsidTr="00E10B85">
        <w:tc>
          <w:tcPr>
            <w:tcW w:w="9145" w:type="dxa"/>
            <w:gridSpan w:val="2"/>
            <w:shd w:val="clear" w:color="auto" w:fill="CCCCCC"/>
          </w:tcPr>
          <w:p w:rsidR="00E026FB" w:rsidRPr="00AA1421" w:rsidRDefault="00E026FB" w:rsidP="00E10B85">
            <w:pPr>
              <w:autoSpaceDE w:val="0"/>
              <w:autoSpaceDN w:val="0"/>
              <w:adjustRightInd w:val="0"/>
              <w:spacing w:before="0" w:after="0"/>
              <w:rPr>
                <w:rFonts w:ascii="Times New Roman" w:hAnsi="Times New Roman"/>
                <w:bCs/>
                <w:sz w:val="24"/>
                <w:lang w:eastAsia="nl-BE"/>
              </w:rPr>
            </w:pPr>
          </w:p>
          <w:p w:rsidR="00E026FB" w:rsidRPr="00AA1421" w:rsidRDefault="00E026FB" w:rsidP="00E10B85">
            <w:pPr>
              <w:autoSpaceDE w:val="0"/>
              <w:autoSpaceDN w:val="0"/>
              <w:adjustRightInd w:val="0"/>
              <w:spacing w:before="0" w:after="0"/>
              <w:rPr>
                <w:rFonts w:ascii="Times New Roman" w:hAnsi="Times New Roman"/>
                <w:b/>
                <w:bCs/>
                <w:sz w:val="24"/>
              </w:rPr>
            </w:pPr>
            <w:r w:rsidRPr="00AA1421">
              <w:rPr>
                <w:rFonts w:ascii="Times New Roman" w:hAnsi="Times New Roman"/>
                <w:b/>
                <w:bCs/>
                <w:sz w:val="24"/>
              </w:rPr>
              <w:t>Wiersze</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0010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EKSPOZYCJE CAŁKOWITE </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Ekspozycje całkowite odnoszą się do całkowitej kwoty pozostających sekurytyzacji i </w:t>
            </w:r>
            <w:proofErr w:type="spellStart"/>
            <w:r w:rsidRPr="00AA1421">
              <w:rPr>
                <w:rFonts w:ascii="Times New Roman" w:hAnsi="Times New Roman"/>
                <w:sz w:val="24"/>
              </w:rPr>
              <w:t>resekurytyzacji</w:t>
            </w:r>
            <w:proofErr w:type="spellEnd"/>
            <w:r w:rsidRPr="00AA1421">
              <w:rPr>
                <w:rFonts w:ascii="Times New Roman" w:hAnsi="Times New Roman"/>
                <w:sz w:val="24"/>
              </w:rPr>
              <w:t>. W tym wierszu podsumowuje się wszystkie informacje zgłoszone przez jednostki inicjujące, jednostki sponsorujące i inwestorów w kolejnych wierszach.</w:t>
            </w:r>
          </w:p>
          <w:p w:rsidR="00E026FB" w:rsidRPr="00AA1421"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0020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POZYCJE SEKURYTYZACYJNE</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pozostających pozycji sekurytyzacyjnych,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2 CRR, które nie stanowią </w:t>
            </w:r>
            <w:proofErr w:type="spellStart"/>
            <w:r w:rsidRPr="00AA1421">
              <w:rPr>
                <w:rFonts w:ascii="Times New Roman" w:hAnsi="Times New Roman"/>
                <w:sz w:val="24"/>
              </w:rPr>
              <w:t>resekurytyzacji</w:t>
            </w:r>
            <w:proofErr w:type="spellEnd"/>
            <w:r w:rsidRPr="00AA1421">
              <w:rPr>
                <w:rFonts w:ascii="Times New Roman" w:hAnsi="Times New Roman"/>
                <w:sz w:val="24"/>
              </w:rPr>
              <w:t xml:space="preserv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3 CRR.</w:t>
            </w:r>
          </w:p>
          <w:p w:rsidR="00E026FB" w:rsidRPr="00AA1421"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0030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KWALIFIKUJĄCE SIĘ DO ZRÓŻNICOWANEGO TRAKTOWANIA KAPITAŁU</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pozycji sekurytyzacyjnych, które spełniają kryteria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43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70 CRR, a w związku z tym kwalifikują się do zróżnicowanego traktowania kapitału.</w:t>
            </w:r>
          </w:p>
          <w:p w:rsidR="00E026FB" w:rsidRPr="00AA1421"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0040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EKSPOZYCJE STS </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pozycji sekurytyzacyjnych STS, które spełniają wymogi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43 CRR.</w:t>
            </w:r>
          </w:p>
          <w:p w:rsidR="00E026FB" w:rsidRPr="00AA1421"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0050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POZYCJA UPRZYWILEJOWANA W SEKURYTYZACJACH W SEKTORZE MŚP </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uprzywilejowanych pozycji sekurytyzacyjnych w MŚP, które spełniają warunki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70 CRR.</w:t>
            </w:r>
          </w:p>
          <w:p w:rsidR="00E026FB" w:rsidRPr="00AA1421"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0060, 0120, 0170, 0240, 0290, 0360 i 0410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NIEKWALIFIKUJĄCE SIĘ DO ZRÓŻNICOWANEGO TRAKTOWANIA KAPITAŁU</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AA1421" w:rsidRDefault="002409C1" w:rsidP="001E0C80">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Art. 254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4, 5 i 6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59, 261, 263, 265, 266 i 269 CRR</w:t>
            </w:r>
          </w:p>
          <w:p w:rsidR="00192744" w:rsidRPr="00AA1421" w:rsidRDefault="00192744" w:rsidP="00192744">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Całkowita kwota pozycji sekurytyzacyjnych, które nie kwalifikują się do zróżnicowanego traktowania kapitału.</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0070, 0190, 0310 i 0430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POZYCJE RESEKURYTYZACYJNE</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52490C">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Całkowita kwota pozostających pozycji </w:t>
            </w:r>
            <w:proofErr w:type="spellStart"/>
            <w:r w:rsidRPr="00AA1421">
              <w:rPr>
                <w:rFonts w:ascii="Times New Roman" w:hAnsi="Times New Roman"/>
                <w:sz w:val="24"/>
              </w:rPr>
              <w:t>resekurytyzacyjnych</w:t>
            </w:r>
            <w:proofErr w:type="spellEnd"/>
            <w:r w:rsidRPr="00AA1421">
              <w:rPr>
                <w:rFonts w:ascii="Times New Roman" w:hAnsi="Times New Roman"/>
                <w:sz w:val="24"/>
              </w:rPr>
              <w:t xml:space="preserv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4 CRR.</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0080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JEDNOSTKA INICJUJĄCA: EKSPOZYCJE CAŁKOWITE </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Wiersz ten zawiera podsumowanie informacji na temat pozycji bilansowych i pozabilansowych oraz instrumentów pochodnych tych pozycji sekurytyzacyjnych oraz </w:t>
            </w:r>
            <w:proofErr w:type="spellStart"/>
            <w:r w:rsidRPr="00AA1421">
              <w:rPr>
                <w:rFonts w:ascii="Times New Roman" w:hAnsi="Times New Roman"/>
                <w:sz w:val="24"/>
              </w:rPr>
              <w:t>resekurytyzacyjnych</w:t>
            </w:r>
            <w:proofErr w:type="spellEnd"/>
            <w:r w:rsidRPr="00AA1421">
              <w:rPr>
                <w:rFonts w:ascii="Times New Roman" w:hAnsi="Times New Roman"/>
                <w:sz w:val="24"/>
              </w:rPr>
              <w:t xml:space="preserve">, w odniesieniu do których instytucja pełni rolę jednostki inicjującej,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3 CRR.</w:t>
            </w:r>
          </w:p>
          <w:p w:rsidR="00E026FB" w:rsidRPr="00AA1421" w:rsidRDefault="00E026FB" w:rsidP="00E10B85">
            <w:pPr>
              <w:autoSpaceDE w:val="0"/>
              <w:autoSpaceDN w:val="0"/>
              <w:adjustRightInd w:val="0"/>
              <w:spacing w:before="0" w:after="0"/>
              <w:rPr>
                <w:rFonts w:ascii="Times New Roman" w:hAnsi="Times New Roman"/>
                <w:b/>
                <w:sz w:val="24"/>
                <w:u w:val="single"/>
              </w:rPr>
            </w:pPr>
            <w:r w:rsidRPr="00AA1421">
              <w:rPr>
                <w:rFonts w:ascii="Times New Roman" w:hAnsi="Times New Roman"/>
                <w:b/>
                <w:sz w:val="24"/>
                <w:u w:val="single"/>
              </w:rPr>
              <w:t xml:space="preserve"> </w:t>
            </w: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0090-0130, 0210-0250 oraz 0330–0370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POZYCJE SEKURYTYZACYJNE: POZYCJE BILANSOWE </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BB22D4"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wartością ekspozycji z tytułu bilansowej pozycji sekurytyzacyjnej jest jej wartość księgowa pozostająca po zastosowaniu w odniesieniu do sekurytyzacji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10 CRR wszelkich stosownych korekt z tytułu szczególnego ryzyka kredytowego.</w:t>
            </w: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bilansowe dzieli się w celu zgromadzenia informacji dotyczących stosowania zróżnicowanego traktowania kapitału,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43 CRR w wierszach 0100 i 0120 oraz informacji dotyczących całkowitej kwoty uprzywilejowanych pozycji sekurytyzacyjnych,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w wierszach 0110 i 0130.</w:t>
            </w:r>
          </w:p>
          <w:p w:rsidR="00E026FB" w:rsidRPr="00AA1421"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0100, 0220 oraz 0340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KWALIFIKUJĄCE SIĘ DO ZRÓŻNICOWANEGO TRAKTOWANIA KAPITAŁU</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pozycji sekurytyzacyjnych, które spełniają kryteria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43 CRR, a w związku z tym kwalifikują się do zróżnicowanego traktowania kapitału.</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 xml:space="preserve">0110, 0130, 0160, 0180, 0230, </w:t>
            </w:r>
            <w:r w:rsidRPr="00AA1421">
              <w:rPr>
                <w:rFonts w:ascii="Times New Roman" w:hAnsi="Times New Roman"/>
                <w:bCs/>
                <w:sz w:val="24"/>
              </w:rPr>
              <w:lastRenderedPageBreak/>
              <w:t>0250, 0280, 0300, 0350, 0370, 400 oraz 420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lastRenderedPageBreak/>
              <w:t>W TYM: EKSPOZYCJE UPRZYWILEJOWANE</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uprzywilejowanych pozycji sekurytyzacyjnych zdefiniowana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0140–0180, 0260–0300 oraz 0380–0420</w:t>
            </w:r>
          </w:p>
        </w:tc>
        <w:tc>
          <w:tcPr>
            <w:tcW w:w="7889" w:type="dxa"/>
          </w:tcPr>
          <w:p w:rsidR="00E026FB" w:rsidRPr="00AA1421" w:rsidRDefault="00E026FB" w:rsidP="00E10B85">
            <w:pPr>
              <w:spacing w:before="0" w:after="0"/>
              <w:rPr>
                <w:rFonts w:ascii="Times New Roman" w:hAnsi="Times New Roman"/>
                <w:b/>
                <w:sz w:val="24"/>
                <w:u w:val="single"/>
              </w:rPr>
            </w:pPr>
            <w:r w:rsidRPr="00AA1421">
              <w:rPr>
                <w:rFonts w:ascii="Times New Roman" w:hAnsi="Times New Roman"/>
                <w:b/>
                <w:sz w:val="24"/>
                <w:u w:val="single"/>
              </w:rPr>
              <w:t>POZYCJE SEKURYTYZACYJNE: POZYCJE POZABILANSOWE I INSTRUMENTY POCHODNE</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i/>
                <w:sz w:val="24"/>
              </w:rPr>
            </w:pPr>
            <w:r w:rsidRPr="00AA1421">
              <w:rPr>
                <w:rFonts w:ascii="Times New Roman" w:hAnsi="Times New Roman"/>
                <w:sz w:val="24"/>
              </w:rPr>
              <w:t>W wierszach tych gromadzone są informacje o pozycjach pozabilansowych i instrumentach pochodnych dotyczących pozycji sekurytyzacyjnych, wobec których stosuje się współczynnik konwersji w ramach koncepcji sekurytyzacji. Wartością ekspozycji z tytułu pozabilansowej pozycji sekurytyzacyjnej jest jej wartość nominalna pomniejszona o wartość wszelkich korekt z tytułu szczególnego ryzyka kredytowego dotyczących tej pozycji sekurytyzacyjnej i pomnożona przez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wartości współczynnika konwersji, o ile nie przewidziano inaczej.</w:t>
            </w:r>
          </w:p>
          <w:p w:rsidR="00E026FB" w:rsidRPr="00AA1421" w:rsidRDefault="00E026FB" w:rsidP="00E10B85">
            <w:pPr>
              <w:autoSpaceDE w:val="0"/>
              <w:autoSpaceDN w:val="0"/>
              <w:adjustRightInd w:val="0"/>
              <w:spacing w:before="0" w:after="0"/>
              <w:rPr>
                <w:rFonts w:ascii="Times New Roman" w:hAnsi="Times New Roman"/>
                <w:i/>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Pozabilansowe pozycje sekurytyzacyjne wynikające z instrumentu pochodnego wymienionego w załączniku II do CRR określa się zgodnie z częścią trzecią tytuł II rozdział 6 CRR. Wartość ekspozycji na ryzyko kredytowe kontrahenta z tytułu instrumentu pochodnego wymienionego w załączniku do II CRR określa się zgodnie z częścią trzecią tytuł II rozdział 6 CRR. </w:t>
            </w:r>
          </w:p>
          <w:p w:rsidR="00E026FB" w:rsidRPr="00AA1421" w:rsidRDefault="00E026FB" w:rsidP="00E10B85">
            <w:pPr>
              <w:autoSpaceDE w:val="0"/>
              <w:autoSpaceDN w:val="0"/>
              <w:adjustRightInd w:val="0"/>
              <w:spacing w:before="0" w:after="0"/>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odniesieniu do instrumentów wsparcia płynności, zobowiązań kredytowych i zaliczek gotówkowych jednostki obsługującej instytucje podają niewykorzystane kwoty.</w:t>
            </w:r>
          </w:p>
          <w:p w:rsidR="00E026FB" w:rsidRPr="00AA1421" w:rsidRDefault="00E026FB" w:rsidP="00E10B85">
            <w:pPr>
              <w:autoSpaceDE w:val="0"/>
              <w:autoSpaceDN w:val="0"/>
              <w:adjustRightInd w:val="0"/>
              <w:spacing w:before="0" w:after="0"/>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Jeżeli chodzi o stopę procentową i </w:t>
            </w:r>
            <w:proofErr w:type="spellStart"/>
            <w:r w:rsidRPr="00AA1421">
              <w:rPr>
                <w:rFonts w:ascii="Times New Roman" w:hAnsi="Times New Roman"/>
                <w:sz w:val="24"/>
              </w:rPr>
              <w:t>swapy</w:t>
            </w:r>
            <w:proofErr w:type="spellEnd"/>
            <w:r w:rsidRPr="00AA1421">
              <w:rPr>
                <w:rFonts w:ascii="Times New Roman" w:hAnsi="Times New Roman"/>
                <w:sz w:val="24"/>
              </w:rPr>
              <w:t xml:space="preserve"> walutowe, podaje się wartość ekspozycji (obliczaną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E026FB" w:rsidRPr="00AA1421" w:rsidRDefault="00E026FB" w:rsidP="00E10B85">
            <w:pPr>
              <w:autoSpaceDE w:val="0"/>
              <w:autoSpaceDN w:val="0"/>
              <w:adjustRightInd w:val="0"/>
              <w:spacing w:before="0" w:after="0"/>
              <w:rPr>
                <w:rFonts w:ascii="Times New Roman" w:hAnsi="Times New Roman"/>
                <w:sz w:val="24"/>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bilansowe i instrumenty pochodne dzieli się w celu zgromadzenia informacji dotyczących stosowania zróżnicowanego traktowania kapitału,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70 CRR w wierszach 0150 i 0170 oraz informacji dotyczących całkowitej kwoty uprzywilejowanych pozycji sekurytyzacyjnych,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w wierszach 0160 i 0180. Takie same odniesienia prawne stosuje się do wierszy 0100–0130.</w:t>
            </w:r>
          </w:p>
          <w:p w:rsidR="00E026FB" w:rsidRPr="00AA1421" w:rsidRDefault="00E026FB" w:rsidP="00E10B85">
            <w:pPr>
              <w:autoSpaceDE w:val="0"/>
              <w:autoSpaceDN w:val="0"/>
              <w:adjustRightInd w:val="0"/>
              <w:spacing w:before="0" w:after="0"/>
              <w:rPr>
                <w:rFonts w:ascii="Times New Roman" w:hAnsi="Times New Roman"/>
                <w:bCs/>
                <w:sz w:val="24"/>
                <w:lang w:eastAsia="nl-BE"/>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0150, 0270 oraz 0390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KWALIFIKUJĄCE SIĘ DO ZRÓŻNICOWANEGO TRAKTOWANIA KAPITAŁU</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Całkowita kwota pozycji sekurytyzacyjnych, które spełniają kryteria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43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70 CRR, a w związku z tym kwalifikują się do zróżnicowanego traktowania kapitału.</w:t>
            </w:r>
          </w:p>
          <w:p w:rsidR="00E026FB" w:rsidRPr="00AA1421" w:rsidRDefault="00E026FB" w:rsidP="00E10B85">
            <w:pPr>
              <w:spacing w:before="0" w:after="0"/>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0200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INWESTOR: EKSPOZYCJE CAŁKOWITE </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Style w:val="FormatvorlageInstructionsTabelleText"/>
                <w:rFonts w:ascii="Times New Roman" w:hAnsi="Times New Roman"/>
                <w:sz w:val="24"/>
              </w:rPr>
            </w:pPr>
            <w:r w:rsidRPr="00AA1421">
              <w:rPr>
                <w:rStyle w:val="FormatvorlageInstructionsTabelleText"/>
                <w:rFonts w:ascii="Times New Roman" w:hAnsi="Times New Roman"/>
                <w:sz w:val="24"/>
              </w:rPr>
              <w:lastRenderedPageBreak/>
              <w:t xml:space="preserve">Wiersz ten zawiera podsumowanie informacji na temat pozycji bilansowych i pozabilansowych oraz instrumentów pochodnych tych pozycji sekurytyzacyjnych oraz </w:t>
            </w:r>
            <w:proofErr w:type="spellStart"/>
            <w:r w:rsidRPr="00AA1421">
              <w:rPr>
                <w:rFonts w:ascii="Times New Roman" w:hAnsi="Times New Roman"/>
                <w:sz w:val="24"/>
              </w:rPr>
              <w:t>resekurytyzacyjnych</w:t>
            </w:r>
            <w:proofErr w:type="spellEnd"/>
            <w:r w:rsidRPr="00AA1421">
              <w:rPr>
                <w:rFonts w:ascii="Times New Roman" w:hAnsi="Times New Roman"/>
                <w:sz w:val="24"/>
              </w:rPr>
              <w:t>,</w:t>
            </w:r>
            <w:r w:rsidRPr="00AA1421">
              <w:rPr>
                <w:rStyle w:val="FormatvorlageInstructionsTabelleText"/>
                <w:rFonts w:ascii="Times New Roman" w:hAnsi="Times New Roman"/>
                <w:sz w:val="24"/>
              </w:rPr>
              <w:t xml:space="preserve"> w odniesieniu do których instytucja pełni rolę inwestora. </w:t>
            </w:r>
          </w:p>
          <w:p w:rsidR="00E026FB" w:rsidRPr="00AA1421"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AA1421" w:rsidRDefault="00E20FAC" w:rsidP="00E10B85">
            <w:pPr>
              <w:autoSpaceDE w:val="0"/>
              <w:autoSpaceDN w:val="0"/>
              <w:adjustRightInd w:val="0"/>
              <w:spacing w:before="0" w:after="0"/>
              <w:rPr>
                <w:rStyle w:val="FormatvorlageInstructionsTabelleText"/>
                <w:rFonts w:ascii="Times New Roman" w:hAnsi="Times New Roman"/>
                <w:sz w:val="24"/>
              </w:rPr>
            </w:pPr>
            <w:r w:rsidRPr="00AA1421">
              <w:rPr>
                <w:rStyle w:val="FormatvorlageInstructionsTabelleText"/>
                <w:rFonts w:ascii="Times New Roman" w:hAnsi="Times New Roman"/>
                <w:sz w:val="24"/>
              </w:rPr>
              <w:t>Dla celów tego wzoru inwestora rozumie się jako instytucję, która posiada pozycje sekurytyzacyjne w transakcji sekurytyzacyjnej, w której nie jest ani jednostką inicjującą, ani sponsorującą.</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0320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JEDNOSTKA SPONSORUJĄCA: EKSPOZYCJE CAŁKOWITE </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Wiersz ten zawiera podsumowanie informacji na temat pozycji bilansowych i pozabilansowych oraz instrumentów pochodnych tych pozycji sekurytyzacyjnych oraz </w:t>
            </w:r>
            <w:proofErr w:type="spellStart"/>
            <w:r w:rsidRPr="00AA1421">
              <w:rPr>
                <w:rFonts w:ascii="Times New Roman" w:hAnsi="Times New Roman"/>
                <w:sz w:val="24"/>
              </w:rPr>
              <w:t>resekurytyzacyjnych</w:t>
            </w:r>
            <w:proofErr w:type="spellEnd"/>
            <w:r w:rsidRPr="00AA1421">
              <w:rPr>
                <w:rFonts w:ascii="Times New Roman" w:hAnsi="Times New Roman"/>
                <w:sz w:val="24"/>
              </w:rPr>
              <w:t xml:space="preserve">, w odniesieniu do których instytucja pełni rolę jednostki sponsorującej,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 CRR. Jeżeli jednostka sponsorująca </w:t>
            </w:r>
            <w:proofErr w:type="spellStart"/>
            <w:r w:rsidRPr="00AA1421">
              <w:rPr>
                <w:rFonts w:ascii="Times New Roman" w:hAnsi="Times New Roman"/>
                <w:sz w:val="24"/>
              </w:rPr>
              <w:t>sekurytyzuje</w:t>
            </w:r>
            <w:proofErr w:type="spellEnd"/>
            <w:r w:rsidRPr="00AA1421">
              <w:rPr>
                <w:rFonts w:ascii="Times New Roman" w:hAnsi="Times New Roman"/>
                <w:sz w:val="24"/>
              </w:rPr>
              <w:t xml:space="preserve"> również swoje aktywa własne, wypełnia wiersze przeznaczone dla jednostki inicjującej, przedstawiając informacje dotyczące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przez siebie aktywów własnych.</w:t>
            </w:r>
          </w:p>
          <w:p w:rsidR="00E026FB" w:rsidRPr="00AA1421" w:rsidRDefault="00E026FB" w:rsidP="00E10B85">
            <w:pPr>
              <w:autoSpaceDE w:val="0"/>
              <w:autoSpaceDN w:val="0"/>
              <w:adjustRightInd w:val="0"/>
              <w:spacing w:before="0" w:after="0"/>
              <w:rPr>
                <w:rFonts w:ascii="Times New Roman" w:hAnsi="Times New Roman"/>
                <w:sz w:val="24"/>
                <w:lang w:eastAsia="es-ES_tradnl"/>
              </w:rPr>
            </w:pPr>
          </w:p>
        </w:tc>
      </w:tr>
      <w:tr w:rsidR="00E026FB" w:rsidRPr="00AA1421" w:rsidTr="00E10B85">
        <w:tc>
          <w:tcPr>
            <w:tcW w:w="1256" w:type="dxa"/>
          </w:tcPr>
          <w:p w:rsidR="00E026FB" w:rsidRPr="00AA1421" w:rsidRDefault="00E026FB"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0440-0670</w:t>
            </w:r>
          </w:p>
        </w:tc>
        <w:tc>
          <w:tcPr>
            <w:tcW w:w="7889" w:type="dxa"/>
          </w:tcPr>
          <w:p w:rsidR="00E026FB" w:rsidRPr="00AA1421" w:rsidRDefault="00E026FB"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PODZIAŁ POZOSTAJĄCYCH POZYCJI WEDŁUG STOPNIA JAKOŚCI KREDYTOWEJ W MOMENCIE INICJACJI</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wierszach tych gromadzi się informacje na temat pozostających pozycji (w dniu sprawozdawczym), w odniesieniu do których w dniu powstania (w fazie wstępnej) wyznaczono stopień jakości kredytowej (jak określono w tabeli 1 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63 oraz w tabelach 3 i 4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64 CRR). W odniesieniu do pozycji sekurytyzacyjnych traktowanych w ramach metody wewnętrznych oszacowań, stopień jakości kredytowej stanowi stopień przypisywany w chwili przyznawania po raz pierwszy ratingu dotyczącego metody wewnętrznych oszacowań. W przypadku braku tych informacji zgłasza się najwcześniejsze dostępne dane równoważne stopniom jakości kredytowej.</w:t>
            </w:r>
          </w:p>
          <w:p w:rsidR="00E026FB" w:rsidRPr="00AA1421" w:rsidRDefault="00E026FB" w:rsidP="00E10B85">
            <w:pPr>
              <w:autoSpaceDE w:val="0"/>
              <w:autoSpaceDN w:val="0"/>
              <w:adjustRightInd w:val="0"/>
              <w:spacing w:before="0" w:after="0"/>
              <w:jc w:val="left"/>
              <w:rPr>
                <w:rFonts w:ascii="Times New Roman" w:hAnsi="Times New Roman"/>
                <w:sz w:val="24"/>
                <w:lang w:eastAsia="es-ES_tradnl"/>
              </w:rPr>
            </w:pPr>
          </w:p>
          <w:p w:rsidR="00E026FB" w:rsidRPr="00AA1421" w:rsidRDefault="00E026FB"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Wiersze te zgłasza się tylko w odniesieniu do kolumn 0180–0210, 0280, 0350–0640, 0700–0720, 0740, 0760–0830 oraz 0850.</w:t>
            </w:r>
          </w:p>
          <w:p w:rsidR="00E026FB" w:rsidRPr="00AA1421"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AA1421" w:rsidRDefault="00E026FB" w:rsidP="00612780">
      <w:pPr>
        <w:autoSpaceDE w:val="0"/>
        <w:autoSpaceDN w:val="0"/>
        <w:adjustRightInd w:val="0"/>
        <w:spacing w:before="0" w:after="0"/>
        <w:jc w:val="left"/>
        <w:rPr>
          <w:rFonts w:ascii="Times New Roman" w:hAnsi="Times New Roman"/>
          <w:sz w:val="24"/>
          <w:lang w:eastAsia="es-ES_tradnl"/>
        </w:rPr>
      </w:pPr>
    </w:p>
    <w:p w:rsidR="00612780" w:rsidRPr="00AA1421"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403671"/>
      <w:r w:rsidRPr="00AA1421">
        <w:rPr>
          <w:rFonts w:ascii="Times New Roman" w:hAnsi="Times New Roman"/>
          <w:sz w:val="24"/>
          <w:u w:val="none"/>
        </w:rPr>
        <w:t>3.8.</w:t>
      </w:r>
      <w:r w:rsidR="00D712CF" w:rsidRPr="00AA1421">
        <w:rPr>
          <w:u w:val="none"/>
        </w:rPr>
        <w:tab/>
      </w:r>
      <w:bookmarkEnd w:id="419"/>
      <w:r w:rsidRPr="00AA1421">
        <w:rPr>
          <w:rFonts w:ascii="Times New Roman" w:hAnsi="Times New Roman"/>
          <w:sz w:val="24"/>
        </w:rPr>
        <w:t>Szczegółowe informacje na temat sekurytyzacji</w:t>
      </w:r>
      <w:bookmarkEnd w:id="420"/>
      <w:bookmarkEnd w:id="421"/>
      <w:r w:rsidRPr="00AA1421">
        <w:rPr>
          <w:rFonts w:ascii="Times New Roman" w:hAnsi="Times New Roman"/>
          <w:sz w:val="24"/>
        </w:rPr>
        <w:t xml:space="preserve"> (SEC SZCZEGÓŁY)</w:t>
      </w:r>
      <w:bookmarkEnd w:id="422"/>
      <w:bookmarkEnd w:id="423"/>
    </w:p>
    <w:p w:rsidR="00612780" w:rsidRPr="00AA1421"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403672"/>
      <w:r w:rsidRPr="00AA1421">
        <w:rPr>
          <w:rFonts w:ascii="Times New Roman" w:hAnsi="Times New Roman"/>
          <w:sz w:val="24"/>
          <w:u w:val="none"/>
        </w:rPr>
        <w:t>3.8.1.</w:t>
      </w:r>
      <w:r w:rsidR="00D712CF" w:rsidRPr="00AA1421">
        <w:rPr>
          <w:u w:val="none"/>
        </w:rPr>
        <w:tab/>
      </w:r>
      <w:r w:rsidRPr="00AA1421">
        <w:rPr>
          <w:rFonts w:ascii="Times New Roman" w:hAnsi="Times New Roman"/>
          <w:sz w:val="24"/>
          <w:u w:val="none"/>
        </w:rPr>
        <w:t>Zakres stosowania wzoru SEC SZCZEGÓŁY</w:t>
      </w:r>
      <w:bookmarkEnd w:id="424"/>
      <w:bookmarkEnd w:id="425"/>
      <w:bookmarkEnd w:id="426"/>
      <w:bookmarkEnd w:id="427"/>
    </w:p>
    <w:bookmarkStart w:id="428" w:name="_Toc310415048"/>
    <w:bookmarkStart w:id="429" w:name="_Toc360188383"/>
    <w:bookmarkStart w:id="430" w:name="_Toc473560934"/>
    <w:p w:rsidR="00062A1F" w:rsidRPr="00AA1421" w:rsidRDefault="00771068"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111</w:t>
      </w:r>
      <w:r w:rsidRPr="00AA1421">
        <w:fldChar w:fldCharType="end"/>
      </w:r>
      <w:r w:rsidRPr="00AA1421">
        <w:t>.</w:t>
      </w:r>
      <w:r w:rsidRPr="00AA1421">
        <w:tab/>
        <w:t xml:space="preserve"> W tych wzorach gromadzone są informacje na poziomie poszczególnych transakcji (w przeciwieństwie do informacji zagregowanych zgłaszanych we wzorach CR SEC, MKR SA SEC, MKR SA CTP, CA1 oraz CA2) dotyczące wszystkich sekurytyzacji, w które zaangażowana jest instytucja sprawozdająca. Zgłasza się główne cechy każdej sekurytyzacji, takie jak charakter puli bazowej i wymogi w zakresie funduszy własnych. </w:t>
      </w:r>
    </w:p>
    <w:p w:rsidR="00062A1F" w:rsidRPr="00AA1421" w:rsidRDefault="00AA1421" w:rsidP="00487A02">
      <w:pPr>
        <w:pStyle w:val="InstructionsText2"/>
        <w:numPr>
          <w:ilvl w:val="0"/>
          <w:numId w:val="0"/>
        </w:numPr>
        <w:ind w:left="1353" w:hanging="360"/>
      </w:pPr>
      <w:fldSimple w:instr=" seq paragraphs ">
        <w:r w:rsidR="00D11E4C" w:rsidRPr="00AA1421">
          <w:rPr>
            <w:noProof/>
          </w:rPr>
          <w:t>112</w:t>
        </w:r>
      </w:fldSimple>
      <w:r w:rsidR="00D11E4C" w:rsidRPr="00AA1421">
        <w:t>.</w:t>
      </w:r>
      <w:r w:rsidR="00D11E4C" w:rsidRPr="00AA1421">
        <w:tab/>
        <w:t xml:space="preserve"> Wzory te zgłasza się w odniesieniu do:</w:t>
      </w:r>
    </w:p>
    <w:p w:rsidR="002409C1" w:rsidRPr="00AA1421" w:rsidRDefault="00062A1F" w:rsidP="00487A02">
      <w:pPr>
        <w:pStyle w:val="InstructionsText2"/>
        <w:numPr>
          <w:ilvl w:val="0"/>
          <w:numId w:val="0"/>
        </w:numPr>
        <w:ind w:left="1353" w:hanging="360"/>
      </w:pPr>
      <w:r w:rsidRPr="00AA1421">
        <w:lastRenderedPageBreak/>
        <w:t>a.</w:t>
      </w:r>
      <w:r w:rsidRPr="00AA1421">
        <w:tab/>
        <w:t xml:space="preserve">Sekurytyzacji utworzonych / sponsorowanych przez instytucję sprawozdającą, w tym w przypadku gdy nie posiada ona żadnej pozycji w danej sekurytyzacji. W przypadkach, w których instytucja posiada co najmniej jedną pozycję w danej sekurytyzacji, niezależnie od tego, czy nastąpiło przeniesienie istotnej części ryzyka, instytucje zgłaszają informacje o wszystkich posiadanych pozycjach (w portfelu bankowym lub handlowym). Posiadane pozycje obejmują pozycje nabyte zgodnie z </w:t>
      </w:r>
      <w:r w:rsidRPr="00084F66">
        <w:t>art.</w:t>
      </w:r>
      <w:r w:rsidR="00084F66" w:rsidRPr="00084F66">
        <w:t> </w:t>
      </w:r>
      <w:r w:rsidRPr="00084F66">
        <w:t>6</w:t>
      </w:r>
      <w:r w:rsidRPr="00AA1421">
        <w:t xml:space="preserve"> rozporządzenia (UE) 2017/2402 oraz, gdy zastosowanie ma </w:t>
      </w:r>
      <w:r w:rsidRPr="00084F66">
        <w:t>art.</w:t>
      </w:r>
      <w:r w:rsidR="00084F66" w:rsidRPr="00084F66">
        <w:t> </w:t>
      </w:r>
      <w:r w:rsidRPr="00084F66">
        <w:t>4</w:t>
      </w:r>
      <w:r w:rsidRPr="00AA1421">
        <w:t xml:space="preserve">3 </w:t>
      </w:r>
      <w:r w:rsidRPr="00084F66">
        <w:t>ust.</w:t>
      </w:r>
      <w:r w:rsidR="00084F66" w:rsidRPr="00084F66">
        <w:t> </w:t>
      </w:r>
      <w:r w:rsidRPr="00084F66">
        <w:t>6</w:t>
      </w:r>
      <w:r w:rsidRPr="00AA1421">
        <w:t xml:space="preserve"> tego rozporządzenia, </w:t>
      </w:r>
      <w:r w:rsidRPr="00084F66">
        <w:t>art.</w:t>
      </w:r>
      <w:r w:rsidR="00084F66" w:rsidRPr="00084F66">
        <w:t> </w:t>
      </w:r>
      <w:r w:rsidRPr="00084F66">
        <w:t>4</w:t>
      </w:r>
      <w:r w:rsidRPr="00AA1421">
        <w:t>05 CRR w wersji mającej zastosowanie w dniu 31 grudnia 20</w:t>
      </w:r>
      <w:r w:rsidRPr="00084F66">
        <w:t>18</w:t>
      </w:r>
      <w:r w:rsidR="00084F66" w:rsidRPr="00084F66">
        <w:t> </w:t>
      </w:r>
      <w:r w:rsidRPr="00084F66">
        <w:t>r.</w:t>
      </w:r>
    </w:p>
    <w:p w:rsidR="00062A1F" w:rsidRPr="00AA1421" w:rsidRDefault="00062A1F" w:rsidP="00487A02">
      <w:pPr>
        <w:pStyle w:val="InstructionsText2"/>
        <w:numPr>
          <w:ilvl w:val="0"/>
          <w:numId w:val="0"/>
        </w:numPr>
        <w:ind w:left="1353" w:hanging="360"/>
      </w:pPr>
      <w:r w:rsidRPr="00AA1421">
        <w:t>b.</w:t>
      </w:r>
      <w:r w:rsidRPr="00AA1421">
        <w:tab/>
        <w:t>sekurytyzacji, w ramach których ostateczne instrumenty bazowe są zobowiązaniami finansowymi wyemitowanymi pierwotnie przez instytucję sprawozdającą, a następnie (częściowo) nabytymi przez podmiot sekurytyzacyjny. Te instrumenty bazowe mogą obejmować obligacje zabezpieczone lub inne zobowiązania i są odpowiednio identyfikowane w kolumnie 0160.</w:t>
      </w:r>
    </w:p>
    <w:p w:rsidR="00062A1F" w:rsidRPr="00AA1421" w:rsidRDefault="002409C1" w:rsidP="00487A02">
      <w:pPr>
        <w:pStyle w:val="InstructionsText2"/>
        <w:numPr>
          <w:ilvl w:val="0"/>
          <w:numId w:val="0"/>
        </w:numPr>
        <w:ind w:left="1353" w:hanging="360"/>
      </w:pPr>
      <w:r w:rsidRPr="00AA1421">
        <w:t>c.</w:t>
      </w:r>
      <w:r w:rsidRPr="00AA1421">
        <w:tab/>
        <w:t>posiadanych pozycji w sekurytyzacjach, w przypadku gdy instytucja sprawozdająca nie jest ani jednostką inicjującą, ani jednostką sponsorującą (tj. zalicza się do inwestorów i pierwotnych kredytodawców).</w:t>
      </w:r>
    </w:p>
    <w:p w:rsidR="00062A1F" w:rsidRPr="00AA1421" w:rsidRDefault="00AA1421" w:rsidP="00487A02">
      <w:pPr>
        <w:pStyle w:val="InstructionsText2"/>
        <w:numPr>
          <w:ilvl w:val="0"/>
          <w:numId w:val="0"/>
        </w:numPr>
        <w:ind w:left="1353" w:hanging="360"/>
      </w:pPr>
      <w:fldSimple w:instr=" seq paragraphs ">
        <w:r w:rsidR="00D11E4C" w:rsidRPr="00AA1421">
          <w:rPr>
            <w:noProof/>
          </w:rPr>
          <w:t>113</w:t>
        </w:r>
      </w:fldSimple>
      <w:r w:rsidR="00D11E4C" w:rsidRPr="00AA1421">
        <w:t>.</w:t>
      </w:r>
      <w:r w:rsidR="00D11E4C" w:rsidRPr="00AA1421">
        <w:tab/>
        <w:t xml:space="preserve"> Wzory te są zgłaszane przez grupy skonsolidowane i jednostki samodzielne znajdujące się w tym samym państwie</w:t>
      </w:r>
      <w:r w:rsidR="00D11E4C" w:rsidRPr="00AA1421">
        <w:footnoteReference w:id="12"/>
      </w:r>
      <w:r w:rsidR="00D11E4C" w:rsidRPr="00AA1421">
        <w:t xml:space="preserve">, w którym podlegają wymogom w zakresie funduszy własnych. W przypadku sekurytyzacji obejmującej więcej niż jeden podmiot z tej samej grupy skonsolidowanej przedstawia się szczegółowy podział według poszczególnych podmiotów. </w:t>
      </w:r>
    </w:p>
    <w:p w:rsidR="00062A1F" w:rsidRPr="00AA1421" w:rsidRDefault="00AA1421" w:rsidP="00487A02">
      <w:pPr>
        <w:pStyle w:val="InstructionsText2"/>
        <w:numPr>
          <w:ilvl w:val="0"/>
          <w:numId w:val="0"/>
        </w:numPr>
        <w:ind w:left="1353" w:hanging="360"/>
      </w:pPr>
      <w:fldSimple w:instr=" seq paragraphs ">
        <w:r w:rsidR="00D11E4C" w:rsidRPr="00AA1421">
          <w:rPr>
            <w:noProof/>
          </w:rPr>
          <w:t>114</w:t>
        </w:r>
      </w:fldSimple>
      <w:r w:rsidR="00D11E4C" w:rsidRPr="00AA1421">
        <w:t>.</w:t>
      </w:r>
      <w:r w:rsidR="00D11E4C" w:rsidRPr="00AA1421">
        <w:tab/>
        <w:t xml:space="preserve"> W związku z </w:t>
      </w:r>
      <w:r w:rsidR="00D11E4C" w:rsidRPr="00084F66">
        <w:t>art.</w:t>
      </w:r>
      <w:r w:rsidR="00084F66" w:rsidRPr="00084F66">
        <w:t> </w:t>
      </w:r>
      <w:r w:rsidR="00D11E4C" w:rsidRPr="00084F66">
        <w:t>5</w:t>
      </w:r>
      <w:r w:rsidR="00D11E4C" w:rsidRPr="00AA1421">
        <w:t xml:space="preserve"> rozporządzenia (UE) 2017/2402, który stanowi, że instytucje inwestujące w pozycje sekurytyzacyjne gromadzą wiele informacji na ich temat w celu zapewnienia zgodności z wymogami należytej staranności, zakres sprawozdawczości tego wzoru stosuje się do inwestorów w ograniczonym stopniu. W szczególności zgłaszają oni kolumny 0010-0040; 0070-0110; 0160; 0190; 0290-0300; 0310-0470.</w:t>
      </w:r>
    </w:p>
    <w:p w:rsidR="00062A1F" w:rsidRPr="00AA1421" w:rsidRDefault="00AA1421" w:rsidP="00487A02">
      <w:pPr>
        <w:pStyle w:val="InstructionsText2"/>
        <w:numPr>
          <w:ilvl w:val="0"/>
          <w:numId w:val="0"/>
        </w:numPr>
        <w:ind w:left="1353" w:hanging="360"/>
      </w:pPr>
      <w:fldSimple w:instr=" seq paragraphs ">
        <w:r w:rsidR="00D11E4C" w:rsidRPr="00AA1421">
          <w:rPr>
            <w:noProof/>
          </w:rPr>
          <w:t>115</w:t>
        </w:r>
      </w:fldSimple>
      <w:r w:rsidR="00D11E4C" w:rsidRPr="00AA1421">
        <w:t>.</w:t>
      </w:r>
      <w:r w:rsidR="00D11E4C" w:rsidRPr="00AA1421">
        <w:tab/>
        <w:t xml:space="preserve"> Instytucje pełniące rolę pierwotnych kredytodawców (i niebędące jednocześnie jednostką inicjującą lub jednostką sponsorującą w ramach tej samej sekurytyzacji) na ogół zgłaszają wzór w takim samym zakresie jak inwestorzy.</w:t>
      </w:r>
    </w:p>
    <w:p w:rsidR="00062A1F" w:rsidRPr="00AA1421"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403673"/>
      <w:r w:rsidRPr="00AA1421">
        <w:rPr>
          <w:rFonts w:ascii="Times New Roman" w:hAnsi="Times New Roman"/>
          <w:sz w:val="24"/>
          <w:u w:val="none"/>
        </w:rPr>
        <w:t>3.8.2 Podział wzoru SEC SZCZEGÓŁY</w:t>
      </w:r>
      <w:bookmarkEnd w:id="431"/>
      <w:bookmarkEnd w:id="432"/>
    </w:p>
    <w:p w:rsidR="00062A1F" w:rsidRPr="00AA1421" w:rsidRDefault="00AA1421" w:rsidP="00487A02">
      <w:pPr>
        <w:pStyle w:val="InstructionsText2"/>
        <w:numPr>
          <w:ilvl w:val="0"/>
          <w:numId w:val="0"/>
        </w:numPr>
        <w:ind w:left="1353" w:hanging="360"/>
      </w:pPr>
      <w:fldSimple w:instr=" seq paragraphs ">
        <w:r w:rsidR="00D11E4C" w:rsidRPr="00AA1421">
          <w:rPr>
            <w:noProof/>
          </w:rPr>
          <w:t>116</w:t>
        </w:r>
      </w:fldSimple>
      <w:r w:rsidR="00D11E4C" w:rsidRPr="00AA1421">
        <w:t xml:space="preserve">. Wzór SEC SZCZEGÓŁY składa się z dwóch wzorów. Wzór SEC SZCZEGÓŁY zawiera ogólny przegląd sekurytyzacji, a wzór SEC SZCZEGÓŁY 2 zawiera podział tych samych sekurytyzacji przez zastosowane podejście. </w:t>
      </w:r>
    </w:p>
    <w:p w:rsidR="00062A1F" w:rsidRPr="00AA1421" w:rsidRDefault="00AA1421" w:rsidP="00487A02">
      <w:pPr>
        <w:pStyle w:val="InstructionsText2"/>
        <w:numPr>
          <w:ilvl w:val="0"/>
          <w:numId w:val="0"/>
        </w:numPr>
        <w:ind w:left="1353" w:hanging="360"/>
      </w:pPr>
      <w:fldSimple w:instr=" seq paragraphs ">
        <w:r w:rsidR="00D11E4C" w:rsidRPr="00AA1421">
          <w:rPr>
            <w:noProof/>
          </w:rPr>
          <w:t>117</w:t>
        </w:r>
      </w:fldSimple>
      <w:r w:rsidR="00D11E4C" w:rsidRPr="00AA1421">
        <w:t xml:space="preserve">. Pozycje sekurytyzacyjne w portfelu handlowym zgłasza się wyłącznie w kolumnach 0005-0020, 0420, 0430, 0431, 0432, 0440 oraz 0450-0470. W przypadku kolumn 0420, 0430 i 0440 instytucje uwzględniają RW odpowiadający wymogowi pozycji netto w zakresie funduszy własnych. </w:t>
      </w:r>
    </w:p>
    <w:p w:rsidR="00612780" w:rsidRPr="00AA1421" w:rsidRDefault="00A2220F">
      <w:pPr>
        <w:pStyle w:val="Instructionsberschrift2"/>
        <w:numPr>
          <w:ilvl w:val="0"/>
          <w:numId w:val="0"/>
        </w:numPr>
        <w:ind w:left="357" w:hanging="357"/>
        <w:rPr>
          <w:rFonts w:ascii="Times New Roman" w:hAnsi="Times New Roman" w:cs="Times New Roman"/>
          <w:sz w:val="24"/>
          <w:u w:val="none"/>
        </w:rPr>
      </w:pPr>
      <w:bookmarkStart w:id="433" w:name="_Toc58403674"/>
      <w:r w:rsidRPr="00AA1421">
        <w:rPr>
          <w:rFonts w:ascii="Times New Roman" w:hAnsi="Times New Roman"/>
          <w:sz w:val="24"/>
          <w:u w:val="none"/>
        </w:rPr>
        <w:lastRenderedPageBreak/>
        <w:t>3.8.3 C 14.00 – Szczegółowe informacje na temat sekurytyzacji (SEC SZCZEGÓŁY)</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AA1421" w:rsidTr="00E10B85">
        <w:tc>
          <w:tcPr>
            <w:tcW w:w="9004" w:type="dxa"/>
            <w:gridSpan w:val="2"/>
            <w:shd w:val="clear" w:color="auto" w:fill="CCCCCC"/>
          </w:tcPr>
          <w:p w:rsidR="00C55547" w:rsidRPr="00AA1421" w:rsidRDefault="00C55547" w:rsidP="00E10B85">
            <w:pPr>
              <w:autoSpaceDE w:val="0"/>
              <w:autoSpaceDN w:val="0"/>
              <w:adjustRightInd w:val="0"/>
              <w:spacing w:before="0" w:after="0"/>
              <w:rPr>
                <w:rFonts w:ascii="Times New Roman" w:hAnsi="Times New Roman"/>
                <w:bCs/>
                <w:sz w:val="24"/>
                <w:lang w:eastAsia="nl-BE"/>
              </w:rPr>
            </w:pPr>
          </w:p>
          <w:p w:rsidR="00C55547" w:rsidRPr="00AA1421" w:rsidRDefault="00C55547" w:rsidP="00E10B85">
            <w:pPr>
              <w:autoSpaceDE w:val="0"/>
              <w:autoSpaceDN w:val="0"/>
              <w:adjustRightInd w:val="0"/>
              <w:spacing w:before="0" w:after="0"/>
              <w:rPr>
                <w:rFonts w:ascii="Times New Roman" w:hAnsi="Times New Roman"/>
                <w:b/>
                <w:bCs/>
                <w:sz w:val="24"/>
              </w:rPr>
            </w:pPr>
            <w:r w:rsidRPr="00AA1421">
              <w:rPr>
                <w:rFonts w:ascii="Times New Roman" w:hAnsi="Times New Roman"/>
                <w:b/>
                <w:sz w:val="24"/>
              </w:rPr>
              <w:t>Kolumny</w:t>
            </w:r>
          </w:p>
          <w:p w:rsidR="00C55547" w:rsidRPr="00AA1421" w:rsidRDefault="00C55547" w:rsidP="00E10B85">
            <w:pPr>
              <w:autoSpaceDE w:val="0"/>
              <w:autoSpaceDN w:val="0"/>
              <w:adjustRightInd w:val="0"/>
              <w:spacing w:before="0" w:after="0"/>
              <w:rPr>
                <w:rFonts w:ascii="Times New Roman" w:hAnsi="Times New Roman"/>
                <w:bCs/>
                <w:sz w:val="24"/>
                <w:lang w:eastAsia="nl-B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0010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KOD WEWNĘTRZNY</w:t>
            </w:r>
          </w:p>
          <w:p w:rsidR="00C55547" w:rsidRPr="00AA1421" w:rsidRDefault="00C55547" w:rsidP="00E10B85">
            <w:pPr>
              <w:spacing w:before="0" w:after="0"/>
              <w:jc w:val="left"/>
              <w:rPr>
                <w:rFonts w:ascii="Times New Roman" w:hAnsi="Times New Roman"/>
                <w:sz w:val="24"/>
              </w:rPr>
            </w:pPr>
          </w:p>
          <w:p w:rsidR="006C5A49" w:rsidRPr="00AA1421" w:rsidRDefault="00D956C2" w:rsidP="00D956C2">
            <w:pPr>
              <w:autoSpaceDE w:val="0"/>
              <w:autoSpaceDN w:val="0"/>
              <w:adjustRightInd w:val="0"/>
              <w:spacing w:before="0" w:after="0"/>
              <w:rPr>
                <w:rFonts w:ascii="Times New Roman" w:hAnsi="Times New Roman"/>
                <w:sz w:val="24"/>
              </w:rPr>
            </w:pPr>
            <w:r w:rsidRPr="00AA1421">
              <w:rPr>
                <w:rFonts w:ascii="Times New Roman" w:hAnsi="Times New Roman"/>
                <w:sz w:val="24"/>
              </w:rPr>
              <w:t>Wewnętrzny (alfanumeryczny) kod stosowany przez instytucję w celu identyfikacji sekurytyzacji.</w:t>
            </w:r>
          </w:p>
          <w:p w:rsidR="006C5A49" w:rsidRPr="00AA1421" w:rsidRDefault="006C5A49" w:rsidP="00D956C2">
            <w:pPr>
              <w:autoSpaceDE w:val="0"/>
              <w:autoSpaceDN w:val="0"/>
              <w:adjustRightInd w:val="0"/>
              <w:spacing w:before="0" w:after="0"/>
              <w:rPr>
                <w:rFonts w:ascii="Times New Roman" w:hAnsi="Times New Roman"/>
                <w:sz w:val="24"/>
              </w:rPr>
            </w:pPr>
          </w:p>
          <w:p w:rsidR="00D956C2" w:rsidRPr="00AA1421" w:rsidRDefault="00D956C2" w:rsidP="00D956C2">
            <w:pPr>
              <w:autoSpaceDE w:val="0"/>
              <w:autoSpaceDN w:val="0"/>
              <w:adjustRightInd w:val="0"/>
              <w:spacing w:before="0" w:after="0"/>
              <w:rPr>
                <w:rFonts w:ascii="Times New Roman" w:hAnsi="Times New Roman"/>
                <w:sz w:val="24"/>
              </w:rPr>
            </w:pPr>
            <w:r w:rsidRPr="00AA1421">
              <w:rPr>
                <w:rFonts w:ascii="Times New Roman" w:hAnsi="Times New Roman"/>
                <w:sz w:val="24"/>
              </w:rPr>
              <w:t>Kod wewnętrzny związany jest z identyfikatorem transakcji sekurytyzacji.</w:t>
            </w:r>
          </w:p>
          <w:p w:rsidR="00C55547" w:rsidRPr="00AA1421"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0020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IDENTYFIKATOR SEKURYTYZACJI</w:t>
            </w:r>
            <w:r w:rsidRPr="00AA1421">
              <w:rPr>
                <w:rFonts w:ascii="Times New Roman" w:hAnsi="Times New Roman"/>
                <w:b/>
                <w:sz w:val="24"/>
              </w:rPr>
              <w:t xml:space="preserve"> (kod/nazwa)</w:t>
            </w:r>
          </w:p>
          <w:p w:rsidR="00C55547" w:rsidRPr="00AA1421" w:rsidRDefault="00C55547" w:rsidP="00E10B85">
            <w:pPr>
              <w:spacing w:before="0" w:after="0"/>
              <w:jc w:val="left"/>
              <w:rPr>
                <w:rFonts w:ascii="Times New Roman" w:hAnsi="Times New Roman"/>
                <w:sz w:val="24"/>
              </w:rPr>
            </w:pPr>
          </w:p>
          <w:p w:rsidR="006C5A49"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Kod używany do celów prawnej rejestracji transakcji sekurytyzacji lub, jeśli taki kod nie jest dostępny, nazwa, pod którą dana transakcja sekurytyzacji jest znana na rynku lub w ramach instytucji w przypadku sekurytyzacji wewnętrznej lub prywatnej. </w:t>
            </w:r>
          </w:p>
          <w:p w:rsidR="006C5A49" w:rsidRPr="00AA1421" w:rsidRDefault="006C5A49"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przypadku gdy dostępny jest Międzynarodowy Numer Identyfikacyjny Papierów Wartościowych (ISIN; np. w odniesieniu do transakcji publicznych), w kolumnie tej zgłasza się znaki wspólne dla wszystkich transz sekurytyzacyjnych.</w:t>
            </w:r>
          </w:p>
          <w:p w:rsidR="00C55547" w:rsidRPr="00AA1421"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0021</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SEKURYTYZACJA WEWNĄTRZGRUPOWA, PRYWATNA LUB PUBLICZNA?</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W tej kolumnie identyfikuje się, czy sekurytyzacja jest sekurytyzacją wewnątrzgrupową, prywatną lub publiczną.</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E20FAC"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Instytucje zgłaszają jeden z następujących skrótów:</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AA1421">
              <w:rPr>
                <w:rFonts w:ascii="Times New Roman" w:hAnsi="Times New Roman"/>
                <w:sz w:val="24"/>
              </w:rPr>
              <w:t>„PRI” w przypadku sekurytyzacji prywatnej;</w:t>
            </w:r>
          </w:p>
          <w:p w:rsidR="00BF67D7" w:rsidRPr="00AA1421"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AA1421">
              <w:rPr>
                <w:rFonts w:ascii="Times New Roman" w:hAnsi="Times New Roman"/>
                <w:sz w:val="24"/>
              </w:rPr>
              <w:t>„INT” w przypadku sekurytyzacji wewnątrzgrupowej;</w:t>
            </w:r>
          </w:p>
          <w:p w:rsidR="00C55547" w:rsidRPr="00AA1421"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AA1421">
              <w:rPr>
                <w:rFonts w:ascii="Times New Roman" w:hAnsi="Times New Roman"/>
                <w:sz w:val="24"/>
              </w:rPr>
              <w:t>„PUB” w przypadku sekurytyzacji publicznej.</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shd w:val="clear" w:color="auto" w:fill="auto"/>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0110</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ROLA INSTYTUCJI (JEDNOSTKA INICJUJĄCA / JEDNOSTKA SPONSORUJĄCA / PIERWOTNY KREDYTODAWCA / INWESTOR)</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E20FAC"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Instytucje zgłaszają następujące skróty: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„O” w przypadku jednostki inicjującej;</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„S” w przypadku jednostki sponsorującej;</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„I” w przypadku inwestora.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„L” w przypadku pierwotnego kredytodawcy.</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E20FAC"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Jednostka inicjująca,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 CRR oraz jednostka sponsorująca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 CRR. Zakłada się, że inwestorami są te instytucje, do których stosują się przepisy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rozporządzenia (UE) 2017/2402. W przypadku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rozporządzenia (UE) 2017/2402 zastosowanie mają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06 i 407 CRR w wersji mającej zastosowanie w dniu 31 grudnia 20</w:t>
            </w:r>
            <w:r w:rsidRPr="00084F66">
              <w:rPr>
                <w:rFonts w:ascii="Times New Roman" w:hAnsi="Times New Roman"/>
                <w:sz w:val="24"/>
              </w:rPr>
              <w:t>18</w:t>
            </w:r>
            <w:r w:rsidR="00084F66" w:rsidRPr="00084F66">
              <w:rPr>
                <w:rFonts w:ascii="Times New Roman" w:hAnsi="Times New Roman"/>
                <w:sz w:val="24"/>
              </w:rPr>
              <w:t> </w:t>
            </w:r>
            <w:r w:rsidRPr="00084F66">
              <w:rPr>
                <w:rFonts w:ascii="Times New Roman" w:hAnsi="Times New Roman"/>
                <w:sz w:val="24"/>
              </w:rPr>
              <w:t>r.</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lastRenderedPageBreak/>
              <w:t>0030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IDENTYFIKATOR JEDNOSTKI INICJUJĄCEJ</w:t>
            </w:r>
            <w:r w:rsidRPr="00AA1421">
              <w:rPr>
                <w:rFonts w:ascii="Times New Roman" w:hAnsi="Times New Roman"/>
                <w:b/>
                <w:sz w:val="24"/>
              </w:rPr>
              <w:t xml:space="preserve"> (kod/nazwa)</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kolumnie tej podaje się kod LEI mający zastosowanie do jednostki inicjującej, lub jeżeli nie jest dostępny, kod nadany przez organ nadzoru jednostce inicjującej lub, jeżeli taki kod nie jest dostępny, nazwę instytucji.</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przypadku sekurytyzacji zbywanych przez wiele podmiotów, gdy instytucja sprawozdająca pełni rolę jednostki inicjującej, sponsorującej lub pierwotnego kredytodawcy, instytucja sprawozdająca podaje identyfikator wszystkich podmiotów należących do jej grupy skonsolidowanej, które biorą udział (jako jednostka inicjująca, jednostka sponsorująca lub pierwotny kredytodawca) w transakcji. Jeżeli taki kod jest niedostępny lub nieznany jednostce sprawozdającej, podaje się nazwę instytucji.</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przypadku sekurytyzacji zbywanych przez wiele podmiotów, gdy instytucja sprawozdająca posiada pozycję w sekurytyzacji w roli inwestora, instytucja sprawozdająca podaje identyfikator wszystkim poszczególnym jednostkom inicjującym zaangażowanym w sekurytyzację, a gdy nie jest on dostępny, podaje nazwy poszczególnych jednostek inicjujących. Gdy nazwy nie są znane instytucji sprawozdającej, instytucja sprawozdająca zgłasza, że sekurytyzacja jest „zbywana przez wiele podmiotów”.</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bCs/>
                <w:sz w:val="24"/>
                <w:lang w:eastAsia="nl-B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0040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RODZAJ SEKURYTYZACJI: (TRADYCYJNA / SYNTETYCZNA / PROGRAM EMISJI ABCP / TRANSAKCJA ABCP) </w:t>
            </w:r>
          </w:p>
          <w:p w:rsidR="00C55547" w:rsidRPr="00AA1421" w:rsidRDefault="00C55547" w:rsidP="00E10B85">
            <w:pPr>
              <w:spacing w:before="0" w:after="0"/>
              <w:jc w:val="left"/>
              <w:rPr>
                <w:rFonts w:ascii="Times New Roman" w:hAnsi="Times New Roman"/>
                <w:sz w:val="24"/>
              </w:rPr>
            </w:pPr>
          </w:p>
          <w:p w:rsidR="00C55547" w:rsidRPr="00AA1421" w:rsidRDefault="00E20FAC"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Instytucje zgłaszają następujące skróty:</w:t>
            </w:r>
            <w:r w:rsidRPr="00AA1421">
              <w:t xml:space="preserve"> </w:t>
            </w:r>
            <w:r w:rsidRPr="00AA1421">
              <w:br/>
            </w:r>
            <w:r w:rsidRPr="00AA1421">
              <w:rPr>
                <w:rFonts w:ascii="Times New Roman" w:hAnsi="Times New Roman"/>
                <w:sz w:val="24"/>
              </w:rPr>
              <w:t>– „AP” w odniesieniu do programu ABCP;</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„AT” w odniesieniu do transakcji ABCP;</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„T” w odniesieniu do sekurytyzacji tradycyjnej;</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„S” w odniesieniu do sekurytyzacji syntetycznej. </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Definicje „programu emisji papierów dłużnych przedsiębiorstw zabezpieczonych aktywami”, „transakcji na papierach dłużnych przedsiębiorstw zabezpieczonych aktywami” oraz „sekurytyzacji syntetycznej” zamieszczono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1–14 CRR.</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0051</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PODEJŚCIE KSIĘGOWE: CZY SEKURYTYZOWANE EKSPOZYCJE SĄ UJMOWANE W BILANSIE CZY SĄ Z NIEGO USUWANE?</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784A19"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Instytucje pełniące role jednostek inicjujących, jednostek sponsorujących i pierwotnych kredytodawców zgłaszają jeden z poniższych skrótów:</w:t>
            </w:r>
          </w:p>
          <w:p w:rsidR="00C55547" w:rsidRPr="00AA1421" w:rsidRDefault="00C55547" w:rsidP="00E10B85">
            <w:pPr>
              <w:autoSpaceDE w:val="0"/>
              <w:autoSpaceDN w:val="0"/>
              <w:adjustRightInd w:val="0"/>
              <w:spacing w:before="0" w:after="0"/>
              <w:ind w:left="1440" w:hanging="1440"/>
              <w:jc w:val="left"/>
              <w:rPr>
                <w:rFonts w:ascii="Times New Roman" w:hAnsi="Times New Roman"/>
                <w:sz w:val="24"/>
              </w:rPr>
            </w:pPr>
            <w:r w:rsidRPr="00AA1421">
              <w:rPr>
                <w:rFonts w:ascii="Times New Roman" w:hAnsi="Times New Roman"/>
                <w:sz w:val="24"/>
              </w:rPr>
              <w:t>– „K”, jeżeli są całkowicie uznane w bilansie;</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„P”, jeżeli są częściowo usunięte z bilansu;</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„R”, jeżeli są całkowicie usunięte z bilansu;</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„N”, jeżeli nie dotyczy.</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tej kolumnie podsumowuje się podejście księgowe do transakcji. Przeniesienie istotnej części ryzyka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44 i 245 CRR nie wpływa na podejście księgowe do transakcji w ramach stosownych standardów rachunkowości.</w:t>
            </w:r>
          </w:p>
          <w:p w:rsidR="007F1970" w:rsidRPr="00AA1421" w:rsidRDefault="007F1970"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przypadku sekurytyzacji zobowiązań jednostki inicjujące nie zgłaszają tej kolumny.</w:t>
            </w: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Odpowiedź „P” (częściowo usunięte z bilansu) zgłasza się, gdy aktywa </w:t>
            </w:r>
            <w:proofErr w:type="spellStart"/>
            <w:r w:rsidRPr="00AA1421">
              <w:rPr>
                <w:rFonts w:ascii="Times New Roman" w:hAnsi="Times New Roman"/>
                <w:sz w:val="24"/>
              </w:rPr>
              <w:t>sekurytyzowane</w:t>
            </w:r>
            <w:proofErr w:type="spellEnd"/>
            <w:r w:rsidRPr="00AA1421">
              <w:rPr>
                <w:rFonts w:ascii="Times New Roman" w:hAnsi="Times New Roman"/>
                <w:sz w:val="24"/>
              </w:rPr>
              <w:t xml:space="preserve"> są uznawane w bilansie w zakresie trwającego zaangażowania jednostki sprawozdającej zgodnie z przepisami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.2.16 – 3.2.21.</w:t>
            </w:r>
          </w:p>
          <w:p w:rsidR="00C55547" w:rsidRPr="00AA1421"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lastRenderedPageBreak/>
              <w:t>0060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SPOSÓB UJMOWANIA WYPŁACALNOŚCI: CZY POZYCJE SEKURYTYZACYJNE PODLEGAJĄ WYMOGOM W ZAKRESIE FUNDUSZY WŁASNYCH?</w:t>
            </w:r>
          </w:p>
          <w:p w:rsidR="00C55547" w:rsidRPr="00AA1421" w:rsidRDefault="00C55547" w:rsidP="00E10B85">
            <w:pPr>
              <w:autoSpaceDE w:val="0"/>
              <w:autoSpaceDN w:val="0"/>
              <w:adjustRightInd w:val="0"/>
              <w:spacing w:before="0" w:after="0"/>
              <w:jc w:val="left"/>
              <w:rPr>
                <w:rFonts w:ascii="Times New Roman" w:hAnsi="Times New Roman"/>
                <w:sz w:val="24"/>
              </w:rPr>
            </w:pPr>
          </w:p>
          <w:p w:rsidR="006C5A49" w:rsidRPr="00AA1421" w:rsidRDefault="006C5A49" w:rsidP="006C5A49">
            <w:pPr>
              <w:autoSpaceDE w:val="0"/>
              <w:autoSpaceDN w:val="0"/>
              <w:adjustRightInd w:val="0"/>
              <w:spacing w:before="0" w:after="0"/>
              <w:rPr>
                <w:rFonts w:ascii="Times New Roman" w:hAnsi="Times New Roman"/>
                <w:sz w:val="24"/>
              </w:rPr>
            </w:pPr>
            <w:r w:rsidRPr="00AA1421">
              <w:rPr>
                <w:rFonts w:ascii="Times New Roman" w:hAnsi="Times New Roman"/>
                <w:sz w:val="24"/>
              </w:rPr>
              <w:t>Art. 109, 244 i 245 CRR</w:t>
            </w:r>
          </w:p>
          <w:p w:rsidR="006C5A49" w:rsidRPr="00AA1421" w:rsidRDefault="006C5A49" w:rsidP="006C5A49">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Następujące skróty podają wyłącznie jednostki inicjujące: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„N” – nie podlegają wymogom w zakresie funduszy własnych;</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„B” – portfel bankowy;</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„T” – portfel handlowy;</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„A” – częściowo w obu portfelach.</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tej kolumnie podsumowuje się sposób ujmowania przez jednostkę inicjującą wypłacalności w odniesieniu do programu sekurytyzacyjnego. Wskazuje ona, czy wymogi w zakresie funduszy własnych oblicza się na podstawie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czy pozycji sekurytyzacyjnych (portfel bankowy/handlowy). </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7F1970"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Gdy wymogi w zakresie funduszy własnych są oparte na </w:t>
            </w:r>
            <w:proofErr w:type="spellStart"/>
            <w:r w:rsidRPr="00AA1421">
              <w:rPr>
                <w:rFonts w:ascii="Times New Roman" w:hAnsi="Times New Roman"/>
                <w:i/>
                <w:sz w:val="24"/>
              </w:rPr>
              <w:t>sekurytyzowanych</w:t>
            </w:r>
            <w:proofErr w:type="spellEnd"/>
            <w:r w:rsidRPr="00AA1421">
              <w:rPr>
                <w:rFonts w:ascii="Times New Roman" w:hAnsi="Times New Roman"/>
                <w:i/>
                <w:sz w:val="24"/>
              </w:rPr>
              <w:t xml:space="preserve"> ekspozycjach</w:t>
            </w:r>
            <w:r w:rsidRPr="00AA1421">
              <w:rPr>
                <w:rFonts w:ascii="Times New Roman" w:hAnsi="Times New Roman"/>
                <w:sz w:val="24"/>
              </w:rPr>
              <w:t xml:space="preserve"> (gdyż nie osiągnięto przeniesienia istotnej części ryzyka), obliczenia wymogów w zakresie funduszy własnych z tytułu ryzyka kredytowego zgłasza się we wzorze CR SA w odniesieniu do tych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przypadku których stosuje się metodę standardową, lub w szablonie CR IRB w odniesieniu do tych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przypadku których instytucja stosuje metodę wewnętrznych ratingów.</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Jeśli natomiast wymogi w zakresie funduszy własnych są oparte na </w:t>
            </w:r>
            <w:r w:rsidRPr="00AA1421">
              <w:rPr>
                <w:rFonts w:ascii="Times New Roman" w:hAnsi="Times New Roman"/>
                <w:i/>
                <w:sz w:val="24"/>
              </w:rPr>
              <w:t>pozycjach sekurytyzacyjnych posiadanych w portfelu bankowym</w:t>
            </w:r>
            <w:r w:rsidRPr="00AA1421">
              <w:rPr>
                <w:rFonts w:ascii="Times New Roman" w:hAnsi="Times New Roman"/>
                <w:sz w:val="24"/>
              </w:rPr>
              <w:t xml:space="preserve"> (gdy osiągnięto przeniesienie istotnej części ryzyka), informacje dotyczące obliczenia wymogów w zakresie funduszy własnych z tytułu ryzyka kredytowego zgłasza się we wzorze CR SEC. W przypadku </w:t>
            </w:r>
            <w:r w:rsidRPr="00AA1421">
              <w:rPr>
                <w:rFonts w:ascii="Times New Roman" w:hAnsi="Times New Roman"/>
                <w:i/>
                <w:sz w:val="24"/>
              </w:rPr>
              <w:t xml:space="preserve">pozycji sekurytyzacyjnych posiadanych w portfelu handlowym </w:t>
            </w:r>
            <w:r w:rsidRPr="00AA1421">
              <w:rPr>
                <w:rFonts w:ascii="Times New Roman" w:hAnsi="Times New Roman"/>
                <w:sz w:val="24"/>
              </w:rPr>
              <w:t>informacje dotyczące obliczenia wymogów w zakresie funduszy własnych z tytułu ryzyka rynkowego zgłasza się we wzorze MKR SA TDI (znormalizowane ryzyko ogólne z tytułu pozycji) oraz we wzorze MKR SA SEC lub MKR SA CTP (znormalizowane ryzyko szczególne z tytułu pozycji) lub we wzorze MKR IM (modele wewnętrzne).</w:t>
            </w:r>
          </w:p>
          <w:p w:rsidR="006C5A49" w:rsidRPr="00AA1421" w:rsidRDefault="006C5A49"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przypadku sekurytyzacji zobowiązań jednostki inicjujące nie zgłaszają tej kolumny.</w:t>
            </w:r>
          </w:p>
          <w:p w:rsidR="00C55547" w:rsidRPr="00AA1421"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0061</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PRZENIESIENIE ISTOTNEJ CZĘŚCI RYZYKA</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Następujące skróty podają wyłącznie jednostki inicjujące:</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lastRenderedPageBreak/>
              <w:t xml:space="preserve">– „N” nie stosuje się do przeniesienia istotnej części ryzyka, a jednostka sprawozdawcza dokonuje ważenia ryzyka swoich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„A” osiągnięto przeniesienie istotnej części ryzyka w ramach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„B” osiągnięto przeniesienie istotnej części ryzyka w ramach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„C” osiągnięto przeniesienie istotnej części ryzyka w ramach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„D” zastosowanie 1 25</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RW lub odjęcie utrzymanych pozycji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W kolumnie tej podsumowuje się, czy osiągnięto istotne przeniesienie, a jeśli tak, to w jaki sposób. Osiągnięcie przeniesienia istotnej części ryzyka określi stosowny sposób ujmowania wypłacalności przez jednostkę inicjującą.</w:t>
            </w:r>
          </w:p>
          <w:p w:rsidR="00C55547" w:rsidRPr="00AA1421" w:rsidRDefault="00C55547" w:rsidP="00E10B85">
            <w:pPr>
              <w:spacing w:before="0" w:after="0"/>
              <w:jc w:val="left"/>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0070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SEKURYTYZACJA CZY RESEKURYTYZACJA?</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BB22D4" w:rsidP="006418A0">
            <w:pPr>
              <w:autoSpaceDE w:val="0"/>
              <w:autoSpaceDN w:val="0"/>
              <w:adjustRightInd w:val="0"/>
              <w:spacing w:before="0"/>
              <w:jc w:val="left"/>
              <w:rPr>
                <w:rFonts w:ascii="Times New Roman" w:hAnsi="Times New Roman"/>
                <w:sz w:val="24"/>
              </w:rPr>
            </w:pPr>
            <w:r w:rsidRPr="00AA1421">
              <w:rPr>
                <w:rFonts w:ascii="Times New Roman" w:hAnsi="Times New Roman"/>
                <w:sz w:val="24"/>
              </w:rPr>
              <w:t xml:space="preserve">Zgodnie z definicją „sekurytyzacji” zamieszczoną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1 CRR oraz definicją „</w:t>
            </w:r>
            <w:proofErr w:type="spellStart"/>
            <w:r w:rsidRPr="00AA1421">
              <w:rPr>
                <w:rFonts w:ascii="Times New Roman" w:hAnsi="Times New Roman"/>
                <w:sz w:val="24"/>
              </w:rPr>
              <w:t>resekurytyzacji</w:t>
            </w:r>
            <w:proofErr w:type="spellEnd"/>
            <w:r w:rsidRPr="00AA1421">
              <w:rPr>
                <w:rFonts w:ascii="Times New Roman" w:hAnsi="Times New Roman"/>
                <w:sz w:val="24"/>
              </w:rPr>
              <w:t xml:space="preserve">” zamieszczoną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3 CRR zgłasza się rodzaj sekurytyzacji przy wykorzystaniu następujących skrótów:</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„S” w przypadku sekurytyzacji;</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„R” w przypadku </w:t>
            </w:r>
            <w:proofErr w:type="spellStart"/>
            <w:r w:rsidRPr="00AA1421">
              <w:rPr>
                <w:rFonts w:ascii="Times New Roman" w:hAnsi="Times New Roman"/>
                <w:sz w:val="24"/>
              </w:rPr>
              <w:t>resekurytyzacji</w:t>
            </w:r>
            <w:proofErr w:type="spellEnd"/>
            <w:r w:rsidRPr="00AA1421">
              <w:rPr>
                <w:rFonts w:ascii="Times New Roman" w:hAnsi="Times New Roman"/>
                <w:sz w:val="24"/>
              </w:rPr>
              <w:t>.</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0075</w:t>
            </w:r>
          </w:p>
        </w:tc>
        <w:tc>
          <w:tcPr>
            <w:tcW w:w="7903" w:type="dxa"/>
          </w:tcPr>
          <w:p w:rsidR="00C55547" w:rsidRPr="00AA1421" w:rsidRDefault="00C55547" w:rsidP="00E10B85">
            <w:pPr>
              <w:tabs>
                <w:tab w:val="left" w:pos="3274"/>
              </w:tabs>
              <w:spacing w:before="0" w:after="0"/>
              <w:jc w:val="left"/>
              <w:rPr>
                <w:rFonts w:ascii="Times New Roman" w:hAnsi="Times New Roman"/>
                <w:b/>
                <w:sz w:val="24"/>
                <w:u w:val="single"/>
              </w:rPr>
            </w:pPr>
            <w:r w:rsidRPr="00AA1421">
              <w:rPr>
                <w:rFonts w:ascii="Times New Roman" w:hAnsi="Times New Roman"/>
                <w:b/>
                <w:sz w:val="24"/>
                <w:u w:val="single"/>
              </w:rPr>
              <w:t>SEKURYTYZACJA STS CZY SEKURUTYZACJA INNA NIŻ STS?</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Art. 18 rozporządzenia (UE) 2017/2402</w:t>
            </w:r>
          </w:p>
          <w:p w:rsidR="00C55547" w:rsidRPr="00AA1421" w:rsidRDefault="00C55547" w:rsidP="00E10B85">
            <w:pPr>
              <w:spacing w:before="0" w:after="0"/>
              <w:jc w:val="left"/>
              <w:rPr>
                <w:rFonts w:ascii="Times New Roman" w:hAnsi="Times New Roman"/>
                <w:sz w:val="24"/>
              </w:rPr>
            </w:pPr>
          </w:p>
          <w:p w:rsidR="00C55547" w:rsidRPr="00AA1421" w:rsidRDefault="00554261" w:rsidP="006418A0">
            <w:pPr>
              <w:spacing w:before="0"/>
              <w:jc w:val="left"/>
              <w:rPr>
                <w:rFonts w:ascii="Times New Roman" w:hAnsi="Times New Roman"/>
                <w:sz w:val="24"/>
              </w:rPr>
            </w:pPr>
            <w:r w:rsidRPr="00AA1421">
              <w:rPr>
                <w:rFonts w:ascii="Times New Roman" w:hAnsi="Times New Roman"/>
                <w:sz w:val="24"/>
              </w:rPr>
              <w:t>Instytucje zgłaszają jeden z następujących skrótów:</w:t>
            </w: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Y – Tak;</w:t>
            </w: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N – Nie.</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0446</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CZY SEKURYTYZACJA KWALIFIKUJE SIĘ DO ZRÓŻNICOWANEGO TRAKTOWANIA KAPITAŁU?</w:t>
            </w:r>
          </w:p>
          <w:p w:rsidR="00C55547" w:rsidRPr="00AA1421" w:rsidRDefault="00C55547" w:rsidP="00E10B85">
            <w:pPr>
              <w:spacing w:before="0" w:after="0"/>
              <w:jc w:val="left"/>
              <w:rPr>
                <w:rFonts w:ascii="Times New Roman" w:hAnsi="Times New Roman"/>
                <w:sz w:val="24"/>
              </w:rPr>
            </w:pPr>
          </w:p>
          <w:p w:rsidR="00554261" w:rsidRPr="00AA1421" w:rsidRDefault="00C55547" w:rsidP="006418A0">
            <w:pPr>
              <w:spacing w:before="0"/>
              <w:jc w:val="left"/>
              <w:rPr>
                <w:rFonts w:ascii="Times New Roman" w:hAnsi="Times New Roman"/>
                <w:sz w:val="24"/>
              </w:rPr>
            </w:pPr>
            <w:r w:rsidRPr="00AA1421">
              <w:rPr>
                <w:rFonts w:ascii="Times New Roman" w:hAnsi="Times New Roman"/>
                <w:sz w:val="24"/>
              </w:rPr>
              <w:t>Art. 243 i 270 CRR</w:t>
            </w:r>
          </w:p>
          <w:p w:rsidR="00C55547" w:rsidRPr="00AA1421" w:rsidRDefault="00EE2BEA" w:rsidP="00E10B85">
            <w:pPr>
              <w:spacing w:before="0" w:after="0"/>
              <w:jc w:val="left"/>
              <w:rPr>
                <w:rFonts w:ascii="Times New Roman" w:hAnsi="Times New Roman"/>
                <w:sz w:val="24"/>
              </w:rPr>
            </w:pPr>
            <w:r w:rsidRPr="00AA1421">
              <w:rPr>
                <w:rFonts w:ascii="Times New Roman" w:hAnsi="Times New Roman"/>
                <w:sz w:val="24"/>
              </w:rPr>
              <w:t>Instytucje zgłaszają jeden z następujących skrótów:</w:t>
            </w: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Y</w:t>
            </w:r>
            <w:r w:rsidRPr="00AA1421">
              <w:tab/>
            </w:r>
            <w:r w:rsidRPr="00AA1421">
              <w:rPr>
                <w:rFonts w:ascii="Times New Roman" w:hAnsi="Times New Roman"/>
                <w:sz w:val="24"/>
              </w:rPr>
              <w:t>– Tak;</w:t>
            </w:r>
          </w:p>
          <w:p w:rsidR="00C55547" w:rsidRPr="00AA1421" w:rsidRDefault="00C55547" w:rsidP="006418A0">
            <w:pPr>
              <w:tabs>
                <w:tab w:val="left" w:pos="708"/>
                <w:tab w:val="left" w:pos="1573"/>
              </w:tabs>
              <w:spacing w:before="0" w:after="0"/>
              <w:jc w:val="left"/>
              <w:rPr>
                <w:rFonts w:ascii="Times New Roman" w:hAnsi="Times New Roman"/>
                <w:sz w:val="24"/>
              </w:rPr>
            </w:pPr>
            <w:r w:rsidRPr="00AA1421">
              <w:rPr>
                <w:rFonts w:ascii="Times New Roman" w:hAnsi="Times New Roman"/>
                <w:sz w:val="24"/>
              </w:rPr>
              <w:t>N</w:t>
            </w:r>
            <w:r w:rsidRPr="00AA1421">
              <w:tab/>
            </w:r>
            <w:r w:rsidRPr="00AA1421">
              <w:rPr>
                <w:rFonts w:ascii="Times New Roman" w:hAnsi="Times New Roman"/>
                <w:sz w:val="24"/>
              </w:rPr>
              <w:t>– Nie.</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 xml:space="preserve">„Tak” zgłasza się zarówno w przypadku sekurytyzacji STS kwalifikujących się do zróżnicowanego traktowania kapitału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43 CRR, jak i w przypadku pozycji uprzywilejowanych w sekurytyzacjach w sektorze MŚP (niebędących sekurytyzacjami STS) kwalifikujących się do tego traktowania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70 CRR.</w:t>
            </w:r>
          </w:p>
          <w:p w:rsidR="00C55547" w:rsidRPr="00AA1421" w:rsidRDefault="00C55547" w:rsidP="00E10B85">
            <w:pPr>
              <w:tabs>
                <w:tab w:val="left" w:pos="3274"/>
              </w:tabs>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0080-0100</w:t>
            </w:r>
          </w:p>
        </w:tc>
        <w:tc>
          <w:tcPr>
            <w:tcW w:w="7903" w:type="dxa"/>
          </w:tcPr>
          <w:p w:rsidR="00C55547" w:rsidRPr="00AA1421" w:rsidRDefault="00C55547" w:rsidP="00E10B85">
            <w:pPr>
              <w:spacing w:before="0" w:after="0"/>
              <w:jc w:val="left"/>
              <w:rPr>
                <w:rFonts w:ascii="Times New Roman" w:hAnsi="Times New Roman"/>
                <w:sz w:val="24"/>
              </w:rPr>
            </w:pPr>
            <w:r w:rsidRPr="00AA1421">
              <w:rPr>
                <w:rFonts w:ascii="Times New Roman" w:hAnsi="Times New Roman"/>
                <w:b/>
                <w:sz w:val="24"/>
                <w:u w:val="single"/>
              </w:rPr>
              <w:t>UTRZYMANIE</w:t>
            </w:r>
          </w:p>
          <w:p w:rsidR="00C55547" w:rsidRPr="00AA1421" w:rsidRDefault="00C55547" w:rsidP="00E10B85">
            <w:pPr>
              <w:spacing w:before="0" w:after="0"/>
              <w:rPr>
                <w:rFonts w:ascii="Times New Roman" w:hAnsi="Times New Roman"/>
                <w:sz w:val="24"/>
              </w:rPr>
            </w:pPr>
          </w:p>
          <w:p w:rsidR="00C55547" w:rsidRPr="00AA1421" w:rsidRDefault="00C55547" w:rsidP="006418A0">
            <w:pPr>
              <w:spacing w:before="0"/>
              <w:rPr>
                <w:rFonts w:ascii="Times New Roman" w:hAnsi="Times New Roman"/>
                <w:sz w:val="24"/>
              </w:rPr>
            </w:pPr>
            <w:r w:rsidRPr="00AA1421">
              <w:rPr>
                <w:rFonts w:ascii="Times New Roman" w:hAnsi="Times New Roman"/>
                <w:sz w:val="24"/>
              </w:rPr>
              <w:lastRenderedPageBreak/>
              <w:t xml:space="preserve">Art. 6 rozporządzenia (UE) 2017/2402; w przypadku gdy zastosowanie ma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rozporządzenia (UE) 2017/2402 –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05 CRR w wersji tego rozporządzenia mającej zastosowanie w dniu 31 grudnia 20</w:t>
            </w:r>
            <w:r w:rsidRPr="00084F66">
              <w:rPr>
                <w:rFonts w:ascii="Times New Roman" w:hAnsi="Times New Roman"/>
                <w:sz w:val="24"/>
              </w:rPr>
              <w:t>18</w:t>
            </w:r>
            <w:r w:rsidR="00084F66" w:rsidRPr="00084F66">
              <w:rPr>
                <w:rFonts w:ascii="Times New Roman" w:hAnsi="Times New Roman"/>
                <w:sz w:val="24"/>
              </w:rPr>
              <w:t> </w:t>
            </w:r>
            <w:r w:rsidRPr="00084F66">
              <w:rPr>
                <w:rFonts w:ascii="Times New Roman" w:hAnsi="Times New Roman"/>
                <w:sz w:val="24"/>
              </w:rPr>
              <w:t>r.</w:t>
            </w:r>
            <w:r w:rsidRPr="00AA1421">
              <w:rPr>
                <w:rFonts w:ascii="Times New Roman" w:hAnsi="Times New Roman"/>
                <w:sz w:val="24"/>
              </w:rPr>
              <w:t xml:space="preserve"> </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0080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RODZAJ STOSOWANEGO UTRZYMANIA</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 xml:space="preserve">W odniesieniu do każdego zainicjowanego programu sekurytyzacyjnego zgłasza się odpowiedni rodzaj utrzymywania udziału gospodarczego netto, jak przewidziano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rozporządzenia (UE) 2017/2402:</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 xml:space="preserve">A – pionowy segment (pozycje sekurytyzacyjne): </w:t>
            </w:r>
            <w:r w:rsidRPr="00AA1421">
              <w:rPr>
                <w:rFonts w:ascii="Times New Roman" w:hAnsi="Times New Roman"/>
                <w:i/>
                <w:sz w:val="24"/>
              </w:rPr>
              <w:t xml:space="preserve">„utrzymywanie nie mniej niż </w:t>
            </w:r>
            <w:r w:rsidRPr="00084F66">
              <w:rPr>
                <w:rFonts w:ascii="Times New Roman" w:hAnsi="Times New Roman"/>
                <w:i/>
                <w:sz w:val="24"/>
              </w:rPr>
              <w:t>5</w:t>
            </w:r>
            <w:r w:rsidR="00084F66" w:rsidRPr="00084F66">
              <w:rPr>
                <w:rFonts w:ascii="Times New Roman" w:hAnsi="Times New Roman"/>
                <w:i/>
                <w:sz w:val="24"/>
              </w:rPr>
              <w:t> </w:t>
            </w:r>
            <w:r w:rsidRPr="00084F66">
              <w:rPr>
                <w:rFonts w:ascii="Times New Roman" w:hAnsi="Times New Roman"/>
                <w:i/>
                <w:sz w:val="24"/>
              </w:rPr>
              <w:t>%</w:t>
            </w:r>
            <w:r w:rsidRPr="00AA1421">
              <w:rPr>
                <w:rFonts w:ascii="Times New Roman" w:hAnsi="Times New Roman"/>
                <w:i/>
                <w:sz w:val="24"/>
              </w:rPr>
              <w:t xml:space="preserve"> wartości nominalnej każdej transzy sprzedanej lub przekazanej inwestorom”;</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V – pionowy segment (</w:t>
            </w:r>
            <w:proofErr w:type="spellStart"/>
            <w:r w:rsidRPr="00AA1421">
              <w:rPr>
                <w:rFonts w:ascii="Times New Roman" w:hAnsi="Times New Roman"/>
                <w:sz w:val="24"/>
              </w:rPr>
              <w:t>sekurytyzowane</w:t>
            </w:r>
            <w:proofErr w:type="spellEnd"/>
            <w:r w:rsidRPr="00AA1421">
              <w:rPr>
                <w:rFonts w:ascii="Times New Roman" w:hAnsi="Times New Roman"/>
                <w:sz w:val="24"/>
              </w:rPr>
              <w:t xml:space="preserve"> ekspozycje): utrzymywanie nie mniej niż </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ryzyka kredytowego w odniesieniu do każdej </w:t>
            </w:r>
            <w:proofErr w:type="spellStart"/>
            <w:r w:rsidRPr="00AA1421">
              <w:rPr>
                <w:rFonts w:ascii="Times New Roman" w:hAnsi="Times New Roman"/>
                <w:sz w:val="24"/>
              </w:rPr>
              <w:t>sekurytyzowanej</w:t>
            </w:r>
            <w:proofErr w:type="spellEnd"/>
            <w:r w:rsidRPr="00AA1421">
              <w:rPr>
                <w:rFonts w:ascii="Times New Roman" w:hAnsi="Times New Roman"/>
                <w:sz w:val="24"/>
              </w:rPr>
              <w:t xml:space="preserve"> ekspozycji, gdy ryzyko kredytowe utrzymywane w ten sposób w odniesieniu do tych ekspozycji zawsze jest równe ryzyku kredytowemu </w:t>
            </w:r>
            <w:proofErr w:type="spellStart"/>
            <w:r w:rsidRPr="00AA1421">
              <w:rPr>
                <w:rFonts w:ascii="Times New Roman" w:hAnsi="Times New Roman"/>
                <w:sz w:val="24"/>
              </w:rPr>
              <w:t>sekurytyzowanemu</w:t>
            </w:r>
            <w:proofErr w:type="spellEnd"/>
            <w:r w:rsidRPr="00AA1421">
              <w:rPr>
                <w:rFonts w:ascii="Times New Roman" w:hAnsi="Times New Roman"/>
                <w:sz w:val="24"/>
              </w:rPr>
              <w:t xml:space="preserve"> w odniesieniu do tych samych ekspozycji lub niższe;</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 xml:space="preserve">B – ekspozycje odnawialne: „w przypadku sekurytyzacji ekspozycji odnawialnych – utrzymywanie przez jednostkę inicjującą udziału wynoszącego co najmniej </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wartości nominalnej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 xml:space="preserve">C – pozycje bilansowe: „utrzymywanie losowo wybranych ekspozycji odpowiadających nie mniej niż </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wartości nominalnej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jeżeli w przeciwnym wypadku ekspozycje takie byłyby </w:t>
            </w:r>
            <w:proofErr w:type="spellStart"/>
            <w:r w:rsidRPr="00AA1421">
              <w:rPr>
                <w:rFonts w:ascii="Times New Roman" w:hAnsi="Times New Roman"/>
                <w:sz w:val="24"/>
              </w:rPr>
              <w:t>sekurytyzowane</w:t>
            </w:r>
            <w:proofErr w:type="spellEnd"/>
            <w:r w:rsidRPr="00AA1421">
              <w:rPr>
                <w:rFonts w:ascii="Times New Roman" w:hAnsi="Times New Roman"/>
                <w:sz w:val="24"/>
              </w:rPr>
              <w:t xml:space="preserve"> w danej sekurytyzacji, pod warunkiem, że liczba potencjalnych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jest pierwotnie nie mniejsza niż 100”;</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 xml:space="preserve">D – pierwsza strata: „utrzymywanie transzy pierwszej straty oraz w razie potrzeby innych transzy o takim samym lub wyższym profilu ryzyka niż transze przekazane lub sprzedane inwestorom i których termin zapadalności nie jest wcześniejszy niż transzy przekazanych lub sprzedanych inwestorom, tak aby utrzymana wartość wynosiła ogółem nie mniej niż </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wartości nominalnej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 xml:space="preserve">E – wyłączone. Kod ten zgłasza się w przypadku sekurytyzacji objętych zastosowaniem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rozporządzenia (UE) 2017/2402.</w:t>
            </w:r>
          </w:p>
          <w:p w:rsidR="00C55547" w:rsidRPr="00AA1421" w:rsidRDefault="00C55547" w:rsidP="00E10B85">
            <w:pPr>
              <w:spacing w:before="0" w:after="0"/>
              <w:rPr>
                <w:rFonts w:ascii="Times New Roman" w:hAnsi="Times New Roman"/>
                <w:sz w:val="24"/>
              </w:rPr>
            </w:pPr>
          </w:p>
          <w:p w:rsidR="00C55547" w:rsidRPr="00AA1421" w:rsidRDefault="00C55547" w:rsidP="00E10B85">
            <w:pPr>
              <w:spacing w:before="0" w:after="0"/>
              <w:rPr>
                <w:rFonts w:ascii="Times New Roman" w:hAnsi="Times New Roman"/>
                <w:sz w:val="24"/>
              </w:rPr>
            </w:pPr>
            <w:r w:rsidRPr="00AA1421">
              <w:rPr>
                <w:rFonts w:ascii="Times New Roman" w:hAnsi="Times New Roman"/>
                <w:sz w:val="24"/>
              </w:rPr>
              <w:t>U – naruszenie lub dane nieznane. Kod ten zgłasza się, gdy instytucja sprawozdająca nie wie z całą pewnością, jaki rodzaj utrzymywania jest stosowany, lub w przypadku niezgodności z przepisami.</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0090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 UTRZYMANIA W DNIU SPRAWOZDAWCZYM</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rPr>
                <w:rFonts w:ascii="Times New Roman" w:hAnsi="Times New Roman"/>
                <w:i/>
                <w:sz w:val="24"/>
              </w:rPr>
            </w:pPr>
            <w:r w:rsidRPr="00AA1421">
              <w:rPr>
                <w:rFonts w:ascii="Times New Roman" w:hAnsi="Times New Roman"/>
                <w:sz w:val="24"/>
              </w:rPr>
              <w:t xml:space="preserve">Utrzymywany </w:t>
            </w:r>
            <w:r w:rsidRPr="00AA1421">
              <w:rPr>
                <w:rFonts w:ascii="Times New Roman" w:hAnsi="Times New Roman"/>
                <w:i/>
                <w:sz w:val="24"/>
              </w:rPr>
              <w:t>istotny udział gospodarczy netto jednostki inicjującej, jednostki sponsorującej lub pierwotnego kredytodawcy</w:t>
            </w:r>
            <w:r w:rsidRPr="00AA1421">
              <w:rPr>
                <w:rFonts w:ascii="Times New Roman" w:hAnsi="Times New Roman"/>
                <w:sz w:val="24"/>
              </w:rPr>
              <w:t xml:space="preserve"> jest nie mniejszy niż </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dniu powstania).</w:t>
            </w:r>
          </w:p>
          <w:p w:rsidR="00C55547" w:rsidRPr="00AA1421" w:rsidRDefault="00C55547" w:rsidP="00E10B85">
            <w:pPr>
              <w:spacing w:before="0" w:after="0"/>
              <w:rPr>
                <w:rFonts w:ascii="Times New Roman" w:hAnsi="Times New Roman"/>
                <w:i/>
                <w:sz w:val="24"/>
              </w:rPr>
            </w:pPr>
          </w:p>
          <w:p w:rsidR="00C55547" w:rsidRPr="00AA1421" w:rsidRDefault="00C55547" w:rsidP="00E10B85">
            <w:pPr>
              <w:autoSpaceDE w:val="0"/>
              <w:autoSpaceDN w:val="0"/>
              <w:adjustRightInd w:val="0"/>
              <w:spacing w:before="0" w:after="0"/>
              <w:rPr>
                <w:rFonts w:ascii="Times New Roman" w:hAnsi="Times New Roman"/>
                <w:i/>
                <w:sz w:val="24"/>
              </w:rPr>
            </w:pPr>
            <w:r w:rsidRPr="00AA1421">
              <w:rPr>
                <w:rFonts w:ascii="Times New Roman" w:hAnsi="Times New Roman"/>
                <w:sz w:val="24"/>
              </w:rPr>
              <w:lastRenderedPageBreak/>
              <w:t>Kolumny tej nie zgłasza się, gdy w kolumnie 0080 (Rodzaj stosowanego utrzymania) zgłoszono kody „E” (wyłączone) lub „N” (nie dotyczy).</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0100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ZGODNOŚĆ Z WYMOGIEM DOTYCZĄCYM UTRZYMANIA?</w:t>
            </w:r>
          </w:p>
          <w:p w:rsidR="00C55547" w:rsidRPr="00AA1421" w:rsidRDefault="00C55547" w:rsidP="00E10B85">
            <w:pPr>
              <w:spacing w:before="0" w:after="0"/>
              <w:jc w:val="left"/>
              <w:rPr>
                <w:rFonts w:ascii="Times New Roman" w:hAnsi="Times New Roman"/>
                <w:b/>
                <w:sz w:val="24"/>
                <w:u w:val="single"/>
              </w:rPr>
            </w:pPr>
          </w:p>
          <w:p w:rsidR="00C55547" w:rsidRPr="00AA1421" w:rsidRDefault="00EE2BEA" w:rsidP="00E10B85">
            <w:pPr>
              <w:spacing w:before="0" w:after="0"/>
              <w:jc w:val="left"/>
              <w:rPr>
                <w:rFonts w:ascii="Times New Roman" w:hAnsi="Times New Roman"/>
                <w:sz w:val="24"/>
              </w:rPr>
            </w:pPr>
            <w:r w:rsidRPr="00AA1421">
              <w:rPr>
                <w:rFonts w:ascii="Times New Roman" w:hAnsi="Times New Roman"/>
                <w:sz w:val="24"/>
              </w:rPr>
              <w:t>Instytucje zgłaszają następujące skróty:</w:t>
            </w:r>
          </w:p>
          <w:p w:rsidR="00C55547" w:rsidRPr="00AA1421" w:rsidRDefault="00C55547" w:rsidP="00E10B85">
            <w:pPr>
              <w:tabs>
                <w:tab w:val="left" w:pos="317"/>
                <w:tab w:val="left" w:pos="600"/>
              </w:tabs>
              <w:spacing w:before="0" w:after="0"/>
              <w:jc w:val="left"/>
              <w:rPr>
                <w:rFonts w:ascii="Times New Roman" w:hAnsi="Times New Roman"/>
                <w:sz w:val="24"/>
              </w:rPr>
            </w:pPr>
            <w:r w:rsidRPr="00AA1421">
              <w:rPr>
                <w:rFonts w:ascii="Times New Roman" w:hAnsi="Times New Roman"/>
                <w:sz w:val="24"/>
              </w:rPr>
              <w:t>Y</w:t>
            </w:r>
            <w:r w:rsidRPr="00AA1421">
              <w:tab/>
            </w:r>
            <w:r w:rsidRPr="00AA1421">
              <w:rPr>
                <w:rFonts w:ascii="Times New Roman" w:hAnsi="Times New Roman"/>
                <w:sz w:val="24"/>
              </w:rPr>
              <w:t>-</w:t>
            </w:r>
            <w:r w:rsidRPr="00AA1421">
              <w:tab/>
            </w:r>
            <w:r w:rsidRPr="00AA1421">
              <w:rPr>
                <w:rFonts w:ascii="Times New Roman" w:hAnsi="Times New Roman"/>
                <w:sz w:val="24"/>
              </w:rPr>
              <w:t>Tak;</w:t>
            </w:r>
          </w:p>
          <w:p w:rsidR="00C55547" w:rsidRPr="00AA1421" w:rsidRDefault="00C55547" w:rsidP="00E10B85">
            <w:pPr>
              <w:tabs>
                <w:tab w:val="left" w:pos="317"/>
                <w:tab w:val="left" w:pos="600"/>
              </w:tabs>
              <w:spacing w:before="0" w:after="0"/>
              <w:jc w:val="left"/>
              <w:rPr>
                <w:rFonts w:ascii="Times New Roman" w:hAnsi="Times New Roman"/>
                <w:sz w:val="24"/>
              </w:rPr>
            </w:pPr>
            <w:r w:rsidRPr="00AA1421">
              <w:rPr>
                <w:rFonts w:ascii="Times New Roman" w:hAnsi="Times New Roman"/>
                <w:sz w:val="24"/>
              </w:rPr>
              <w:t>N</w:t>
            </w:r>
            <w:r w:rsidRPr="00AA1421">
              <w:tab/>
            </w:r>
            <w:r w:rsidRPr="00AA1421">
              <w:rPr>
                <w:rFonts w:ascii="Times New Roman" w:hAnsi="Times New Roman"/>
                <w:sz w:val="24"/>
              </w:rPr>
              <w:t>-</w:t>
            </w:r>
            <w:r w:rsidRPr="00AA1421">
              <w:tab/>
            </w:r>
            <w:r w:rsidRPr="00AA1421">
              <w:rPr>
                <w:rFonts w:ascii="Times New Roman" w:hAnsi="Times New Roman"/>
                <w:sz w:val="24"/>
              </w:rPr>
              <w:t>Nie.</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i/>
                <w:sz w:val="24"/>
              </w:rPr>
            </w:pPr>
            <w:r w:rsidRPr="00AA1421">
              <w:rPr>
                <w:rFonts w:ascii="Times New Roman" w:hAnsi="Times New Roman"/>
                <w:sz w:val="24"/>
              </w:rPr>
              <w:t>Kolumny tej nie zgłasza się, gdy w kolumnie 0080 (Rodzaj stosowanego utrzymania) zgłoszono kod „E” (wyłączone).</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0120-0130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rPr>
            </w:pPr>
            <w:r w:rsidRPr="00AA1421">
              <w:rPr>
                <w:rFonts w:ascii="Times New Roman" w:hAnsi="Times New Roman"/>
                <w:b/>
                <w:sz w:val="24"/>
              </w:rPr>
              <w:t>PROGRAMY INNE NIŻ PROGRAM ABCP</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Z uwagi na szczególną naturę programów ABCP wynikającą z faktu, że składają się z kilku pojedynczych pozycji sekurytyzacyjnych, programy ABCP (jak określono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 CRR) wyłączone są z obowiązku zgłaszania informacji w kolumnach 0120, 0121 i 0130.</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0120</w:t>
            </w:r>
          </w:p>
        </w:tc>
        <w:tc>
          <w:tcPr>
            <w:tcW w:w="7903" w:type="dxa"/>
          </w:tcPr>
          <w:p w:rsidR="00C55547" w:rsidRPr="00AA1421" w:rsidRDefault="00C55547" w:rsidP="00E10B85">
            <w:pPr>
              <w:spacing w:before="0" w:after="0"/>
              <w:jc w:val="left"/>
              <w:rPr>
                <w:rFonts w:ascii="Times New Roman" w:hAnsi="Times New Roman"/>
                <w:b/>
                <w:sz w:val="24"/>
              </w:rPr>
            </w:pPr>
            <w:r w:rsidRPr="00AA1421">
              <w:rPr>
                <w:rFonts w:ascii="Times New Roman" w:hAnsi="Times New Roman"/>
                <w:b/>
                <w:sz w:val="24"/>
              </w:rPr>
              <w:t>DZIEŃ POWSTANIA (</w:t>
            </w:r>
            <w:proofErr w:type="spellStart"/>
            <w:r w:rsidRPr="00AA1421">
              <w:rPr>
                <w:rFonts w:ascii="Times New Roman" w:hAnsi="Times New Roman"/>
                <w:b/>
                <w:sz w:val="24"/>
              </w:rPr>
              <w:t>rrrr</w:t>
            </w:r>
            <w:proofErr w:type="spellEnd"/>
            <w:r w:rsidRPr="00AA1421">
              <w:rPr>
                <w:rFonts w:ascii="Times New Roman" w:hAnsi="Times New Roman"/>
                <w:b/>
                <w:sz w:val="24"/>
              </w:rPr>
              <w:t>-mm-</w:t>
            </w:r>
            <w:proofErr w:type="spellStart"/>
            <w:r w:rsidRPr="00AA1421">
              <w:rPr>
                <w:rFonts w:ascii="Times New Roman" w:hAnsi="Times New Roman"/>
                <w:b/>
                <w:sz w:val="24"/>
              </w:rPr>
              <w:t>dd</w:t>
            </w:r>
            <w:proofErr w:type="spellEnd"/>
            <w:r w:rsidRPr="00AA1421">
              <w:rPr>
                <w:rFonts w:ascii="Times New Roman" w:hAnsi="Times New Roman"/>
                <w:b/>
                <w:sz w:val="24"/>
              </w:rPr>
              <w:t>)</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Miesiąc i rok dnia powstania (np. data graniczna lub data zamknięcia puli) sekurytyzacji zgłasza w następującym formacie: „mm/</w:t>
            </w:r>
            <w:proofErr w:type="spellStart"/>
            <w:r w:rsidRPr="00AA1421">
              <w:rPr>
                <w:rFonts w:ascii="Times New Roman" w:hAnsi="Times New Roman"/>
                <w:sz w:val="24"/>
              </w:rPr>
              <w:t>rrrr</w:t>
            </w:r>
            <w:proofErr w:type="spellEnd"/>
            <w:r w:rsidRPr="00AA1421">
              <w:rPr>
                <w:rFonts w:ascii="Times New Roman" w:hAnsi="Times New Roman"/>
                <w:sz w:val="24"/>
              </w:rPr>
              <w:t>”.</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przypadku każdego programu sekurytyzacyjnego dzień powstania nie może ulec zmianie między poszczególnymi dniami sprawozdawczymi. W szczególnym przypadku programów sekurytyzacyjnych opartych na pulach otwartych dniem powstania jest data pierwszej emisji papierów wartościowych. </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Informację tę zgłasza się, nawet gdy jednostka sprawozdająca nie posiada pozycji w ramach danej sekurytyzacji.</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0121</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DATA OSTATNIEJ EMISJI (</w:t>
            </w:r>
            <w:proofErr w:type="spellStart"/>
            <w:r w:rsidRPr="00AA1421">
              <w:rPr>
                <w:rFonts w:ascii="Times New Roman" w:hAnsi="Times New Roman"/>
                <w:b/>
                <w:sz w:val="24"/>
                <w:u w:val="single"/>
              </w:rPr>
              <w:t>rrrr</w:t>
            </w:r>
            <w:proofErr w:type="spellEnd"/>
            <w:r w:rsidRPr="00AA1421">
              <w:rPr>
                <w:rFonts w:ascii="Times New Roman" w:hAnsi="Times New Roman"/>
                <w:b/>
                <w:sz w:val="24"/>
                <w:u w:val="single"/>
              </w:rPr>
              <w:t>-mm-</w:t>
            </w:r>
            <w:proofErr w:type="spellStart"/>
            <w:r w:rsidRPr="00AA1421">
              <w:rPr>
                <w:rFonts w:ascii="Times New Roman" w:hAnsi="Times New Roman"/>
                <w:b/>
                <w:sz w:val="24"/>
                <w:u w:val="single"/>
              </w:rPr>
              <w:t>dd</w:t>
            </w:r>
            <w:proofErr w:type="spellEnd"/>
            <w:r w:rsidRPr="00AA1421">
              <w:rPr>
                <w:rFonts w:ascii="Times New Roman" w:hAnsi="Times New Roman"/>
                <w:b/>
                <w:sz w:val="24"/>
                <w:u w:val="single"/>
              </w:rPr>
              <w:t>)</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Miesiąc i rok dnia ostatniej emisji papierów wartościowych w ramach sekurytyzacji zgłasza się w następującym formacie: „</w:t>
            </w:r>
            <w:proofErr w:type="spellStart"/>
            <w:r w:rsidRPr="00AA1421">
              <w:rPr>
                <w:rFonts w:ascii="Times New Roman" w:hAnsi="Times New Roman"/>
                <w:sz w:val="24"/>
              </w:rPr>
              <w:t>rrrr</w:t>
            </w:r>
            <w:proofErr w:type="spellEnd"/>
            <w:r w:rsidRPr="00AA1421">
              <w:rPr>
                <w:rFonts w:ascii="Times New Roman" w:hAnsi="Times New Roman"/>
                <w:sz w:val="24"/>
              </w:rPr>
              <w:t>-mm-</w:t>
            </w:r>
            <w:proofErr w:type="spellStart"/>
            <w:r w:rsidRPr="00AA1421">
              <w:rPr>
                <w:rFonts w:ascii="Times New Roman" w:hAnsi="Times New Roman"/>
                <w:sz w:val="24"/>
              </w:rPr>
              <w:t>dd</w:t>
            </w:r>
            <w:proofErr w:type="spellEnd"/>
            <w:r w:rsidRPr="00AA1421">
              <w:rPr>
                <w:rFonts w:ascii="Times New Roman" w:hAnsi="Times New Roman"/>
                <w:sz w:val="24"/>
              </w:rPr>
              <w:t>”.</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Rozporządzenie (UE) 2017/2402 ma zastosowanie wyłącznie do sekurytyzacji papierów wartościowych emitowanych w lub po dniu 1 stycznia 20</w:t>
            </w:r>
            <w:r w:rsidRPr="00084F66">
              <w:rPr>
                <w:rFonts w:ascii="Times New Roman" w:hAnsi="Times New Roman"/>
                <w:sz w:val="24"/>
              </w:rPr>
              <w:t>19</w:t>
            </w:r>
            <w:r w:rsidR="00084F66" w:rsidRPr="00084F66">
              <w:rPr>
                <w:rFonts w:ascii="Times New Roman" w:hAnsi="Times New Roman"/>
                <w:sz w:val="24"/>
              </w:rPr>
              <w:t> </w:t>
            </w:r>
            <w:r w:rsidRPr="00084F66">
              <w:rPr>
                <w:rFonts w:ascii="Times New Roman" w:hAnsi="Times New Roman"/>
                <w:sz w:val="24"/>
              </w:rPr>
              <w:t>r.</w:t>
            </w:r>
            <w:r w:rsidRPr="00AA1421">
              <w:rPr>
                <w:rFonts w:ascii="Times New Roman" w:hAnsi="Times New Roman"/>
                <w:sz w:val="24"/>
              </w:rPr>
              <w:t xml:space="preserve"> Dzień ostatniej emisji papierów wartościowych określa, czy każdy program sekurytyzacyjny wchodzi w zakres rozporządzenia (UE) 2017/2402.</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Informację tę zgłasza się, nawet gdy jednostka sprawozdająca nie posiada pozycji w ramach danej sekurytyzacji.</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0130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CAŁKOWITA KWOTA SEKURYTYZOWANYCH EKSPOZYCJI W DNIU POWSTANIA</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 xml:space="preserve">W kolumnie tej przedstawia się kwotę (obliczoną na podstawie pierwotnych ekspozycji przed uwzględnieniem współczynników konwersji) </w:t>
            </w:r>
            <w:proofErr w:type="spellStart"/>
            <w:r w:rsidRPr="00AA1421">
              <w:rPr>
                <w:rFonts w:ascii="Times New Roman" w:hAnsi="Times New Roman"/>
                <w:sz w:val="24"/>
              </w:rPr>
              <w:t>sekurytyzowanego</w:t>
            </w:r>
            <w:proofErr w:type="spellEnd"/>
            <w:r w:rsidRPr="00AA1421">
              <w:rPr>
                <w:rFonts w:ascii="Times New Roman" w:hAnsi="Times New Roman"/>
                <w:sz w:val="24"/>
              </w:rPr>
              <w:t xml:space="preserve"> portfela w dniu powstania. </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5E5070"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przypadku programów sekurytyzacyjnych opartych na pulach otwartych zgłasza się kwotę odnoszącą się do dnia powstania pierwszej emisji papierów wartościowych. W przypadku sekurytyzacji tradycyjnych nie uwzględnia się żadnych innych aktywów puli sekurytyzacyjnej. W przypadku programów sekurytyzacyjnych z wieloma zbywającymi (tj. z więcej niż jedną jednostką inicjującą) zgłasza się tylko kwotę odpowiadającą wkładowi jednostki sprawozdającej w </w:t>
            </w:r>
            <w:proofErr w:type="spellStart"/>
            <w:r w:rsidRPr="00AA1421">
              <w:rPr>
                <w:rFonts w:ascii="Times New Roman" w:hAnsi="Times New Roman"/>
                <w:sz w:val="24"/>
              </w:rPr>
              <w:t>sekurytyzowany</w:t>
            </w:r>
            <w:proofErr w:type="spellEnd"/>
            <w:r w:rsidRPr="00AA1421">
              <w:rPr>
                <w:rFonts w:ascii="Times New Roman" w:hAnsi="Times New Roman"/>
                <w:sz w:val="24"/>
              </w:rPr>
              <w:t xml:space="preserve"> portfel. W przypadku sekurytyzacji zobowiązań zgłasza się tylko kwoty wyemitowane przez jednostkę sprawozdającą.</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Informację tę zgłasza się, nawet gdy jednostka sprawozdająca nie posiada pozycji w ramach danej sekurytyzacji.</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677A91">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0140-0225</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SEKURYTYZOWANE EKSPOZYCJE</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kolumnach 0140–0225 jednostka sprawozdająca musi zgłosić informacje na temat kilku właściwości </w:t>
            </w:r>
            <w:proofErr w:type="spellStart"/>
            <w:r w:rsidRPr="00AA1421">
              <w:rPr>
                <w:rFonts w:ascii="Times New Roman" w:hAnsi="Times New Roman"/>
                <w:sz w:val="24"/>
              </w:rPr>
              <w:t>sekurytyzowanego</w:t>
            </w:r>
            <w:proofErr w:type="spellEnd"/>
            <w:r w:rsidRPr="00AA1421">
              <w:rPr>
                <w:rFonts w:ascii="Times New Roman" w:hAnsi="Times New Roman"/>
                <w:sz w:val="24"/>
              </w:rPr>
              <w:t xml:space="preserve"> portfela.</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0140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KWOTA CAŁKOWITA</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Instytucje zgłaszają wartość </w:t>
            </w:r>
            <w:proofErr w:type="spellStart"/>
            <w:r w:rsidRPr="00AA1421">
              <w:rPr>
                <w:rFonts w:ascii="Times New Roman" w:hAnsi="Times New Roman"/>
                <w:sz w:val="24"/>
              </w:rPr>
              <w:t>sekurytyzowanego</w:t>
            </w:r>
            <w:proofErr w:type="spellEnd"/>
            <w:r w:rsidRPr="00AA1421">
              <w:rPr>
                <w:rFonts w:ascii="Times New Roman" w:hAnsi="Times New Roman"/>
                <w:sz w:val="24"/>
              </w:rPr>
              <w:t xml:space="preserve"> portfela na dzień sprawozdawczy, tj. pozostającą kwotę należną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W przypadku sekurytyzacji tradycyjnych nie uwzględnia się żadnych innych aktywów puli sekurytyzacyjnej. W przypadku programów sekurytyzacyjnych z wieloma zbywającymi (tj. z więcej niż jedną jednostką inicjującą) zgłasza się tylko kwotę odpowiadającą wkładowi jednostki sprawozdającej w </w:t>
            </w:r>
            <w:proofErr w:type="spellStart"/>
            <w:r w:rsidRPr="00AA1421">
              <w:rPr>
                <w:rFonts w:ascii="Times New Roman" w:hAnsi="Times New Roman"/>
                <w:sz w:val="24"/>
              </w:rPr>
              <w:t>sekurytyzowany</w:t>
            </w:r>
            <w:proofErr w:type="spellEnd"/>
            <w:r w:rsidRPr="00AA1421">
              <w:rPr>
                <w:rFonts w:ascii="Times New Roman" w:hAnsi="Times New Roman"/>
                <w:sz w:val="24"/>
              </w:rPr>
              <w:t xml:space="preserve"> portfel. W przypadku programów sekurytyzacyjnych opartych na pulach zamkniętych (tj. gdy portfela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nie można powiększyć po dniu powstania) kwota będzie stopniowo zmniejszana.</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Informację tę zgłasza się, nawet gdy jednostka sprawozdająca nie posiada pozycji w ramach danej sekurytyzacji.</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0150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UDZIAŁ INSTYTUCJI (%)</w:t>
            </w:r>
          </w:p>
          <w:p w:rsidR="00C55547" w:rsidRPr="00AA1421" w:rsidRDefault="00C55547" w:rsidP="00E10B85">
            <w:pPr>
              <w:spacing w:before="0" w:after="0"/>
              <w:jc w:val="left"/>
              <w:rPr>
                <w:rFonts w:ascii="Times New Roman" w:hAnsi="Times New Roman"/>
                <w:sz w:val="24"/>
              </w:rPr>
            </w:pPr>
          </w:p>
          <w:p w:rsidR="00C55547" w:rsidRPr="00AA1421" w:rsidRDefault="00EE2BEA" w:rsidP="00E10B85">
            <w:pPr>
              <w:spacing w:before="0" w:after="0"/>
              <w:rPr>
                <w:rFonts w:ascii="Times New Roman" w:hAnsi="Times New Roman"/>
                <w:sz w:val="24"/>
              </w:rPr>
            </w:pPr>
            <w:r w:rsidRPr="00AA1421">
              <w:rPr>
                <w:rFonts w:ascii="Times New Roman" w:hAnsi="Times New Roman"/>
                <w:sz w:val="24"/>
              </w:rPr>
              <w:t xml:space="preserve">Udział instytucji w </w:t>
            </w:r>
            <w:proofErr w:type="spellStart"/>
            <w:r w:rsidRPr="00AA1421">
              <w:rPr>
                <w:rFonts w:ascii="Times New Roman" w:hAnsi="Times New Roman"/>
                <w:sz w:val="24"/>
              </w:rPr>
              <w:t>sekurytyzowanym</w:t>
            </w:r>
            <w:proofErr w:type="spellEnd"/>
            <w:r w:rsidRPr="00AA1421">
              <w:rPr>
                <w:rFonts w:ascii="Times New Roman" w:hAnsi="Times New Roman"/>
                <w:sz w:val="24"/>
              </w:rPr>
              <w:t xml:space="preserve"> portfelu (w ujęciu procentowym z dwoma miejscami po przecinku) na dzień sprawozdawczy. Wartością domyślnie zgłaszaną w tej kolumnie jest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z wyjątkiem programów sekurytyzacyjnych z wieloma zbywającymi. W takim przypadku jednostka sprawozdająca zgłasza swój aktualny wkład w </w:t>
            </w:r>
            <w:proofErr w:type="spellStart"/>
            <w:r w:rsidRPr="00AA1421">
              <w:rPr>
                <w:rFonts w:ascii="Times New Roman" w:hAnsi="Times New Roman"/>
                <w:sz w:val="24"/>
              </w:rPr>
              <w:t>sekurytyzowany</w:t>
            </w:r>
            <w:proofErr w:type="spellEnd"/>
            <w:r w:rsidRPr="00AA1421">
              <w:rPr>
                <w:rFonts w:ascii="Times New Roman" w:hAnsi="Times New Roman"/>
                <w:sz w:val="24"/>
              </w:rPr>
              <w:t xml:space="preserve"> portfel (odpowiadający wartości w kolumnie 0140).</w:t>
            </w:r>
          </w:p>
          <w:p w:rsidR="00C55547" w:rsidRPr="00AA1421" w:rsidRDefault="00C55547" w:rsidP="00E10B85">
            <w:pPr>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Informację tę zgłasza się, nawet gdy jednostka sprawozdająca nie posiada pozycji w ramach danej sekurytyzacji.</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Del="00817047"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0160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RODZAJ</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 xml:space="preserve">W kolumnie tej gromadzi się informacje na temat rodzaju aktywów („Zabezpieczenia hipoteczne na nieruchomości mieszkalnej” do „Inne ekspozycje obrotu hurtowego”) lub zobowiązań („Obligacje zabezpieczone” i „Inne zobowiązania”) w ramach </w:t>
            </w:r>
            <w:proofErr w:type="spellStart"/>
            <w:r w:rsidRPr="00AA1421">
              <w:rPr>
                <w:rFonts w:ascii="Times New Roman" w:hAnsi="Times New Roman"/>
                <w:sz w:val="24"/>
              </w:rPr>
              <w:t>sekurytyzowanego</w:t>
            </w:r>
            <w:proofErr w:type="spellEnd"/>
            <w:r w:rsidRPr="00AA1421">
              <w:rPr>
                <w:rFonts w:ascii="Times New Roman" w:hAnsi="Times New Roman"/>
                <w:sz w:val="24"/>
              </w:rPr>
              <w:t xml:space="preserve"> portfela. Instytucje zgłaszają jedną z następujących opcji, biorąc pod uwagę najwyższą wartość EAD:</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b/>
                <w:sz w:val="24"/>
              </w:rPr>
            </w:pPr>
            <w:r w:rsidRPr="00AA1421">
              <w:rPr>
                <w:rFonts w:ascii="Times New Roman" w:hAnsi="Times New Roman"/>
                <w:b/>
                <w:sz w:val="24"/>
              </w:rPr>
              <w:t>Ekspozycje detaliczne:</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kredyty hipoteczne;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należności z tytułu kart kredytowych;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kredyty konsumenckie;</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kredyty dla MŚP (traktowanych jako ekspozycje detaliczne);</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inne ekspozycje detaliczne.</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b/>
                <w:sz w:val="24"/>
              </w:rPr>
            </w:pPr>
            <w:r w:rsidRPr="00AA1421">
              <w:rPr>
                <w:rFonts w:ascii="Times New Roman" w:hAnsi="Times New Roman"/>
                <w:b/>
                <w:sz w:val="24"/>
              </w:rPr>
              <w:t>Handel hurtowy:</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komercyjne kredyty hipoteczne;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leasing;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kredyty dla przedsiębiorstw;</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kredyty dla MŚP (traktowanych jako przedsiębiorstwa); </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należności z tytułu dostaw i usług;</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inne ekspozycje handlu hurtowego. </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b/>
                <w:sz w:val="24"/>
              </w:rPr>
            </w:pPr>
            <w:r w:rsidRPr="00AA1421">
              <w:rPr>
                <w:rFonts w:ascii="Times New Roman" w:hAnsi="Times New Roman"/>
                <w:b/>
                <w:sz w:val="24"/>
              </w:rPr>
              <w:t>Zobowiązania:</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obligacje zabezpieczone;</w:t>
            </w: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inne zobowiązania.</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5E5070"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przypadku gdy pula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stanowi kombinację wymienionych wyżej rodzajów aktywów i zobowiązań, instytucja wskazuje najważniejszy rodzaj. W przypadku </w:t>
            </w:r>
            <w:proofErr w:type="spellStart"/>
            <w:r w:rsidRPr="00AA1421">
              <w:rPr>
                <w:rFonts w:ascii="Times New Roman" w:hAnsi="Times New Roman"/>
                <w:sz w:val="24"/>
              </w:rPr>
              <w:t>resekurytyzacji</w:t>
            </w:r>
            <w:proofErr w:type="spellEnd"/>
            <w:r w:rsidRPr="00AA1421">
              <w:rPr>
                <w:rFonts w:ascii="Times New Roman" w:hAnsi="Times New Roman"/>
                <w:sz w:val="24"/>
              </w:rPr>
              <w:t xml:space="preserve"> instytucja odnosi się do ostatecznej bazowej puli aktywów. Rodzaj „Inne zobowiązania” obejmuje obligacje skarbowe oraz obligacje powiązane z ryzykiem kredytowym.</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przypadku programów sekurytyzacyjnych opartych na pulach zamkniętych rodzaj nie może ulec zmianie między poszczególnymi dniami sprawozdawczymi.</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0171</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 IRB W ZASTOSOWANEJ METODZIE</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kolumnie tej gromadzone są informacje na temat metody lub metod, które w dniu sprawozdawczym instytucja zastosowałaby do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Instytucje zgłaszają odsetek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mierzony za pomocą wartości ekspozycji, do którego zastosowanie w dniu sprawozdawczym ma metoda wewnętrznych ratingów. </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Informację tę zgłasza się, nawet gdy jednostka sprawozdająca nie posiada pozycji w ramach danej sekurytyzacji. Kolumna ta nie dotyczy jednak sekurytyzacji zobowiązań. </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0180</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LICZBA EKSPOZYCJI</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Art. 259 ust. 4 CRR</w:t>
            </w:r>
          </w:p>
          <w:p w:rsidR="00C55547" w:rsidRPr="00AA1421" w:rsidRDefault="00C55547" w:rsidP="00E10B85">
            <w:pPr>
              <w:autoSpaceDE w:val="0"/>
              <w:autoSpaceDN w:val="0"/>
              <w:adjustRightInd w:val="0"/>
              <w:spacing w:before="0" w:after="0"/>
              <w:jc w:val="left"/>
              <w:rPr>
                <w:rFonts w:ascii="Times New Roman" w:hAnsi="Times New Roman"/>
                <w:sz w:val="24"/>
              </w:rPr>
            </w:pPr>
          </w:p>
          <w:p w:rsidR="005E5070"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Ta kolumna jest obowiązkowa dla instytucji stosujących metodę SEC-IRBA do pozycji sekurytyzacyjnych (a zatem zgłaszających co najmniej 9</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kolumnie 171). Instytucja zgłasza rzeczywistą liczbę ekspozycji.</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Kolumny tej nie zgłasza się w przypadku sekurytyzacji zobowiązań ani gdy wymogi w zakresie funduszy własnych są oparte na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ekspozycjach (w przypadku sekurytyzacji aktywów). Kolumny tej nie zgłasza się, gdy instytucja sprawozdająca nie posiada pozycji w ramach danej sekurytyzacji. Kolumny tej nie zgłaszają inwestorzy.</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shd w:val="clear" w:color="auto" w:fill="auto"/>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0181</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EKSPOZYCJE, KTÓRYCH DOTYCZY NIEWYKONANIE ZOBOWIĄZANIA „W” (%)</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Art. 261 ust. 2 CRR</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 xml:space="preserve">Nawet gdy instytucja nie stosuje metody SEC-SA w odniesieniu do pozycji sekurytyzacyjnych, instytucja zgłasza czynnik „W” (dotyczący ekspozycji bazowych, których dotyczy niewykonanie zobowiązania), który oblicza się w sposób określony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shd w:val="clear" w:color="auto" w:fill="auto"/>
          </w:tcPr>
          <w:p w:rsidR="00C55547" w:rsidRPr="00AA1421" w:rsidDel="00A749EA"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0190</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PAŃSTWO</w:t>
            </w:r>
          </w:p>
          <w:p w:rsidR="00C55547" w:rsidRPr="00AA1421" w:rsidRDefault="00C55547" w:rsidP="00E10B85">
            <w:pPr>
              <w:spacing w:before="0" w:after="0"/>
              <w:jc w:val="left"/>
              <w:rPr>
                <w:rFonts w:ascii="Times New Roman" w:hAnsi="Times New Roman"/>
                <w:sz w:val="24"/>
              </w:rPr>
            </w:pPr>
          </w:p>
          <w:p w:rsidR="00C55547" w:rsidRPr="00AA1421" w:rsidRDefault="00EE2BEA" w:rsidP="00E10B85">
            <w:pPr>
              <w:spacing w:before="0" w:after="0"/>
              <w:rPr>
                <w:rFonts w:ascii="Times New Roman" w:hAnsi="Times New Roman"/>
                <w:sz w:val="24"/>
              </w:rPr>
            </w:pPr>
            <w:r w:rsidRPr="00AA1421">
              <w:rPr>
                <w:rFonts w:ascii="Times New Roman" w:hAnsi="Times New Roman"/>
                <w:sz w:val="24"/>
              </w:rPr>
              <w:t xml:space="preserve">Instytucje zgłaszają kod (ISO 3166-1 alfa-2) państwa pochodzenia ostatecznego instrumentu bazowego transakcji, tj. państwa bezpośredniego dłużnika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pierwotnych ekspozycji (według metody pełnego przeglądu). W przypadku gdy pula sekurytyzacji dotyczy różnych państw, instytucja wskazuje najważniejsze państwo. Gdy żadne państwo nie przekracza progu 2</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oparciu o kwotę aktywów/zobowiązań, zgłasza się pozycję „inne państwa”.</w:t>
            </w:r>
          </w:p>
          <w:p w:rsidR="00C55547" w:rsidRPr="00AA1421" w:rsidRDefault="00C55547" w:rsidP="00E10B85">
            <w:pPr>
              <w:spacing w:before="0" w:after="0"/>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0201</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LGD (%) </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Średnią stratę z tytułu niewykonania zobowiązania ważoną ekspozycją (LGD) zgłaszają tylko instytucje stosujące metodę SEC-IRBA (a zatem zgłaszające co najmniej 9</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kolumnie 0170). LGD oblicza się w sposób określony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CRR. </w:t>
            </w: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Kolumny tej nie zgłasza się w przypadku sekurytyzacji zobowiązań ani gdy wymogi w zakresie funduszy własnych są oparte na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ekspozycjach (w przypadku sekurytyzacji aktywów). </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0202</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EL (%)</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Średnią oczekiwaną stratę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ważoną ekspozycją (EL) zgłaszają tylko instytucje stosujące metodę SEC-IRBA (a zatem zgłaszające co najmniej 9</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kolumnie 0171). W przypadku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SA, zgłaszana EL jest konkretna dla konkretnych korekt ryzyka kredytowego,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11 CRR. EL oblicza się w sposób określony w części trzeciej, tytuł II rozdział 3, sekcja 3 CRR. Kolumny tej nie zgłasza się w przypadku </w:t>
            </w:r>
            <w:r w:rsidRPr="00AA1421">
              <w:rPr>
                <w:rFonts w:ascii="Times New Roman" w:hAnsi="Times New Roman"/>
                <w:sz w:val="24"/>
              </w:rPr>
              <w:lastRenderedPageBreak/>
              <w:t xml:space="preserve">sekurytyzacji zobowiązań ani gdy wymogi w zakresie funduszy własnych są oparte na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ekspozycjach (w przypadku sekurytyzacji aktywów).</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29716F" w:rsidP="0029716F">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0203</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UL (%)</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Średnią nieoczekiwaną stratę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ważoną ekspozycją (UL) zgłaszają tylko instytucje stosujące metodę SEC-IRBA (a zatem zgłaszające co najmniej 9</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kolumnie 0170). UL aktywów jest równe kwocie ekspozycji ważonej ryzykiem pomnożonej przez </w:t>
            </w:r>
            <w:r w:rsidRPr="00084F66">
              <w:rPr>
                <w:rFonts w:ascii="Times New Roman" w:hAnsi="Times New Roman"/>
                <w:sz w:val="24"/>
              </w:rPr>
              <w:t>8</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Kwotę ekspozycji ważonej ryzykiem oblicza się w sposób określony w części trzeciej, tytuł II rozdział 3, sekcja 2 CRR. Kolumny tej nie zgłasza się w przypadku sekurytyzacji zobowiązań ani gdy wymogi w zakresie funduszy własnych są oparte na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ekspozycjach (w przypadku sekurytyzacji aktywów).</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0204</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ŚREDNI TERMIN ZAPADALNOŚCI AKTYWÓW WAŻONY EKSPOZYCJĄ</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sz w:val="24"/>
              </w:rPr>
              <w:t xml:space="preserve">Średni termin zapadalności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ważony ekspozycją w dniu sprawozdawczym zgłaszają wszystkie instytucje bez względu na stosowane podejście obliczania wymogów kapitałowych. Instytucje obliczają termin zapadalności poszczególnych aktywów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i f) CRR, bez zastosowania pięcioletniego pułapu.</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0210</w:t>
            </w:r>
          </w:p>
        </w:tc>
        <w:tc>
          <w:tcPr>
            <w:tcW w:w="7903" w:type="dxa"/>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 KOREKTY WARTOŚCI I REZERWY</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Korekty wartości i rezerwy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59 CRR) na wypadek strat kredytowych dokonane zgodnie ze standardami rachunkowości mającymi zastosowanie do jednostki sprawozdającej. Korekty wartości obejmują każdą kwotę uznaną w rachunku zysków i strat jako strata kredytowa aktywów finansowych od czasu ich początkowego ujęcia w bilansie (w tym straty wynikające z ryzyka kredytowego aktywów finansowych wycenione według wartości godziwej, których nie odejmuje się od wartości ekspozycji) plus dyskonto z tytułu aktywów nabytych w przypadku niewykonania zobowiązania,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Rezerwy obejmują skumulowane kwoty strat kredytowych w pozycjach pozabilansowych.</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kolumnie tej gromadzone są informacje na temat korekt wartości i rezerw stosowanych do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Niniejszej kolumny nie zgłasza się w przypadku sekurytyzacji zobowiązań.</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Informację tę zgłasza się, nawet gdy jednostka sprawozdająca nie posiada pozycji w ramach danej sekurytyzacji. </w:t>
            </w:r>
          </w:p>
          <w:p w:rsidR="00C55547" w:rsidRPr="00AA1421" w:rsidRDefault="00C55547" w:rsidP="00E10B85">
            <w:pPr>
              <w:autoSpaceDE w:val="0"/>
              <w:autoSpaceDN w:val="0"/>
              <w:adjustRightInd w:val="0"/>
              <w:spacing w:before="0" w:after="0"/>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0221</w:t>
            </w:r>
          </w:p>
        </w:tc>
        <w:tc>
          <w:tcPr>
            <w:tcW w:w="7903" w:type="dxa"/>
          </w:tcPr>
          <w:p w:rsidR="00C55547" w:rsidRPr="00AA1421" w:rsidRDefault="00C55547" w:rsidP="00E10B85">
            <w:pPr>
              <w:spacing w:before="0" w:after="0"/>
              <w:jc w:val="left"/>
              <w:rPr>
                <w:rFonts w:ascii="Times New Roman" w:hAnsi="Times New Roman"/>
                <w:b/>
                <w:sz w:val="24"/>
                <w:u w:val="single"/>
                <w:vertAlign w:val="subscript"/>
              </w:rPr>
            </w:pPr>
            <w:r w:rsidRPr="00AA1421">
              <w:rPr>
                <w:rFonts w:ascii="Times New Roman" w:hAnsi="Times New Roman"/>
                <w:b/>
                <w:sz w:val="24"/>
                <w:u w:val="single"/>
              </w:rPr>
              <w:t>WYMOGI W ZAKRESIE FUNDUSZY WŁASNYCH PRZED SEKURYTYZACJĄ (%) K</w:t>
            </w:r>
            <w:r w:rsidRPr="00AA1421">
              <w:rPr>
                <w:rFonts w:ascii="Times New Roman" w:hAnsi="Times New Roman"/>
                <w:b/>
                <w:sz w:val="24"/>
                <w:u w:val="single"/>
                <w:vertAlign w:val="subscript"/>
              </w:rPr>
              <w:t>IRB</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Tę kolumnę zgłaszają tylko instytucje stosujące metodę SEC-IRBA (a zatem zgłaszające co najmniej 9</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kolumnie 171); gromadzi się w niej informacje </w:t>
            </w:r>
            <w:r w:rsidRPr="00AA1421">
              <w:rPr>
                <w:rFonts w:ascii="Times New Roman" w:hAnsi="Times New Roman"/>
                <w:sz w:val="24"/>
              </w:rPr>
              <w:lastRenderedPageBreak/>
              <w:t>na temat K</w:t>
            </w:r>
            <w:r w:rsidRPr="00AA1421">
              <w:rPr>
                <w:rFonts w:ascii="Times New Roman" w:hAnsi="Times New Roman"/>
                <w:sz w:val="24"/>
                <w:vertAlign w:val="subscript"/>
              </w:rPr>
              <w:t>IRB</w:t>
            </w:r>
            <w:r w:rsidRPr="00AA1421">
              <w:rPr>
                <w:rFonts w:ascii="Times New Roman" w:hAnsi="Times New Roman"/>
                <w:sz w:val="24"/>
              </w:rPr>
              <w:t xml:space="preserv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55 CRR. K</w:t>
            </w:r>
            <w:r w:rsidRPr="00AA1421">
              <w:rPr>
                <w:rFonts w:ascii="Times New Roman" w:hAnsi="Times New Roman"/>
                <w:sz w:val="24"/>
                <w:vertAlign w:val="subscript"/>
              </w:rPr>
              <w:t>IRB</w:t>
            </w:r>
            <w:r w:rsidRPr="00AA1421">
              <w:rPr>
                <w:rFonts w:ascii="Times New Roman" w:hAnsi="Times New Roman"/>
                <w:sz w:val="24"/>
              </w:rPr>
              <w:t xml:space="preserve"> wyraża się jako wartość procentową (z dwoma miejscami po przecinku).</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Niniejszej kolumny nie zgłasza się w przypadku sekurytyzacji zobowiązań. W przypadku sekurytyzacji aktywów informację tę zgłasza się, nawet gdy jednostka sprawozdająca nie posiada pozycji w ramach danej sekurytyzacji. </w:t>
            </w:r>
          </w:p>
          <w:p w:rsidR="00C55547" w:rsidRPr="00AA1421" w:rsidRDefault="00C55547" w:rsidP="00E10B85">
            <w:pPr>
              <w:autoSpaceDE w:val="0"/>
              <w:autoSpaceDN w:val="0"/>
              <w:adjustRightInd w:val="0"/>
              <w:spacing w:before="0" w:after="0"/>
              <w:rPr>
                <w:rFonts w:ascii="Times New Roman" w:hAnsi="Times New Roman"/>
                <w:sz w:val="24"/>
              </w:rPr>
            </w:pPr>
          </w:p>
        </w:tc>
      </w:tr>
      <w:tr w:rsidR="00C55547" w:rsidRPr="00AA1421" w:rsidTr="00E10B85">
        <w:tc>
          <w:tcPr>
            <w:tcW w:w="1101" w:type="dxa"/>
          </w:tcPr>
          <w:p w:rsidR="00C55547" w:rsidRPr="00AA1421" w:rsidRDefault="006E0E76"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0222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EKSPOZYCJI DETALICZNYCH W PULACH IRB</w:t>
            </w:r>
          </w:p>
          <w:p w:rsidR="00C55547" w:rsidRPr="00AA1421" w:rsidRDefault="00C55547" w:rsidP="00E10B85">
            <w:pPr>
              <w:autoSpaceDE w:val="0"/>
              <w:autoSpaceDN w:val="0"/>
              <w:adjustRightInd w:val="0"/>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Pule IRB, zgodnie z definicją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CRR, pod warunkiem że instytucja jest w stanie obliczyć K</w:t>
            </w:r>
            <w:r w:rsidRPr="00AA1421">
              <w:rPr>
                <w:rFonts w:ascii="Times New Roman" w:hAnsi="Times New Roman"/>
                <w:sz w:val="24"/>
                <w:vertAlign w:val="subscript"/>
              </w:rPr>
              <w:t>IRB</w:t>
            </w:r>
            <w:r w:rsidRPr="00AA1421">
              <w:rPr>
                <w:rFonts w:ascii="Times New Roman" w:hAnsi="Times New Roman"/>
                <w:sz w:val="24"/>
              </w:rPr>
              <w:t xml:space="preserve"> zgodnie z częścią trzecią, tytuł II, rozdział 6, sekcja 3 CRR w odniesieniu do co najmniej 9</w:t>
            </w:r>
            <w:r w:rsidRPr="00084F66">
              <w:rPr>
                <w:rFonts w:ascii="Times New Roman" w:hAnsi="Times New Roman"/>
                <w:sz w:val="24"/>
              </w:rPr>
              <w:t>5</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kwoty ekspozycji bazowych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0223</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WYMOGI W ZAKRESIE FUNDUSZY WŁASNYCH PRZED SEKURYTYZACJĄ (%) </w:t>
            </w:r>
            <w:proofErr w:type="spellStart"/>
            <w:r w:rsidRPr="00AA1421">
              <w:rPr>
                <w:rFonts w:ascii="Times New Roman" w:hAnsi="Times New Roman"/>
                <w:b/>
                <w:sz w:val="24"/>
                <w:u w:val="single"/>
              </w:rPr>
              <w:t>K</w:t>
            </w:r>
            <w:r w:rsidRPr="00AA1421">
              <w:rPr>
                <w:rFonts w:ascii="Times New Roman" w:hAnsi="Times New Roman"/>
                <w:b/>
                <w:sz w:val="24"/>
                <w:u w:val="single"/>
                <w:vertAlign w:val="subscript"/>
              </w:rPr>
              <w:t>sa</w:t>
            </w:r>
            <w:proofErr w:type="spellEnd"/>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Nawet gdy instytucja nie stosuje metody SEC-SA w odniesieniu do pozycji sekurytyzacyjnych, instytucja zgłasza niniejszą kolumnę. W niniejszej kolumnie gromadzi się informacje na temat K</w:t>
            </w:r>
            <w:r w:rsidRPr="00AA1421">
              <w:rPr>
                <w:rFonts w:ascii="Times New Roman" w:hAnsi="Times New Roman"/>
                <w:sz w:val="24"/>
                <w:vertAlign w:val="subscript"/>
              </w:rPr>
              <w:t>SA</w:t>
            </w:r>
            <w:r w:rsidRPr="00AA1421">
              <w:rPr>
                <w:rFonts w:ascii="Times New Roman" w:hAnsi="Times New Roman"/>
                <w:sz w:val="24"/>
              </w:rPr>
              <w:t xml:space="preserve">,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K</w:t>
            </w:r>
            <w:r w:rsidRPr="00AA1421">
              <w:rPr>
                <w:rFonts w:ascii="Times New Roman" w:hAnsi="Times New Roman"/>
                <w:sz w:val="24"/>
                <w:vertAlign w:val="subscript"/>
              </w:rPr>
              <w:t>SA</w:t>
            </w:r>
            <w:r w:rsidRPr="00AA1421">
              <w:rPr>
                <w:rFonts w:ascii="Times New Roman" w:hAnsi="Times New Roman"/>
                <w:sz w:val="24"/>
              </w:rPr>
              <w:t xml:space="preserve"> wyraża się jako wartość procentową (z dwoma miejscami po przecinku).</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Niniejszej kolumny nie zgłasza się w przypadku sekurytyzacji zobowiązań. W przypadku sekurytyzacji aktywów informację tę zgłasza się, nawet gdy jednostka sprawozdająca nie posiada pozycji w ramach danej sekurytyzacji. </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A0754">
            <w:pPr>
              <w:autoSpaceDE w:val="0"/>
              <w:autoSpaceDN w:val="0"/>
              <w:adjustRightInd w:val="0"/>
              <w:spacing w:before="0" w:after="0"/>
              <w:rPr>
                <w:rFonts w:ascii="Times New Roman" w:hAnsi="Times New Roman"/>
                <w:sz w:val="24"/>
              </w:rPr>
            </w:pPr>
            <w:r w:rsidRPr="00AA1421">
              <w:rPr>
                <w:rFonts w:ascii="Times New Roman" w:hAnsi="Times New Roman"/>
                <w:sz w:val="24"/>
              </w:rPr>
              <w:t>0225</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POZYCJE UZUPEŁNIAJĄCE</w:t>
            </w:r>
          </w:p>
        </w:tc>
      </w:tr>
      <w:tr w:rsidR="00C55547" w:rsidRPr="00AA1421" w:rsidTr="00E10B85">
        <w:tc>
          <w:tcPr>
            <w:tcW w:w="1101" w:type="dxa"/>
          </w:tcPr>
          <w:p w:rsidR="00C55547" w:rsidRPr="00AA1421" w:rsidRDefault="00973973" w:rsidP="00EA0754">
            <w:pPr>
              <w:autoSpaceDE w:val="0"/>
              <w:autoSpaceDN w:val="0"/>
              <w:adjustRightInd w:val="0"/>
              <w:spacing w:before="0" w:after="0"/>
              <w:rPr>
                <w:rFonts w:ascii="Times New Roman" w:hAnsi="Times New Roman"/>
                <w:sz w:val="24"/>
              </w:rPr>
            </w:pPr>
            <w:r w:rsidRPr="00AA1421">
              <w:rPr>
                <w:rFonts w:ascii="Times New Roman" w:hAnsi="Times New Roman"/>
                <w:sz w:val="24"/>
              </w:rPr>
              <w:t>0225</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 xml:space="preserve">KOREKTY Z TYTUŁU RYZYKA KREDYTOWEGO W BIEŻĄCYM OKRESIE </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Art. 110 CRR</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B85F75">
            <w:pPr>
              <w:autoSpaceDE w:val="0"/>
              <w:autoSpaceDN w:val="0"/>
              <w:adjustRightInd w:val="0"/>
              <w:spacing w:before="0" w:after="0"/>
              <w:rPr>
                <w:rFonts w:ascii="Times New Roman" w:hAnsi="Times New Roman"/>
                <w:bCs/>
                <w:sz w:val="24"/>
              </w:rPr>
            </w:pPr>
            <w:r w:rsidRPr="00AA1421">
              <w:rPr>
                <w:rFonts w:ascii="Times New Roman" w:hAnsi="Times New Roman"/>
                <w:sz w:val="24"/>
              </w:rPr>
              <w:t>0230-0304</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PROGRAM SEKURYTYZACYJNY</w:t>
            </w:r>
          </w:p>
          <w:p w:rsidR="00C55547" w:rsidRPr="00AA1421" w:rsidRDefault="00C55547" w:rsidP="00E10B85">
            <w:pPr>
              <w:autoSpaceDE w:val="0"/>
              <w:autoSpaceDN w:val="0"/>
              <w:adjustRightInd w:val="0"/>
              <w:spacing w:before="0" w:after="0"/>
              <w:jc w:val="left"/>
              <w:rPr>
                <w:rFonts w:ascii="Times New Roman" w:hAnsi="Times New Roman"/>
                <w:sz w:val="24"/>
                <w:u w:val="single"/>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tym zestawieniu sześciu kolumn gromadzone są informacje na temat struktury sekurytyzacji na podstawie pozycji bilansowych/pozabilansowych, transz (uprzywilejowane / typu </w:t>
            </w:r>
            <w:proofErr w:type="spellStart"/>
            <w:r w:rsidRPr="00AA1421">
              <w:rPr>
                <w:rFonts w:ascii="Times New Roman" w:hAnsi="Times New Roman"/>
                <w:sz w:val="24"/>
              </w:rPr>
              <w:t>mezzanine</w:t>
            </w:r>
            <w:proofErr w:type="spellEnd"/>
            <w:r w:rsidRPr="00AA1421">
              <w:rPr>
                <w:rFonts w:ascii="Times New Roman" w:hAnsi="Times New Roman"/>
                <w:sz w:val="24"/>
              </w:rPr>
              <w:t xml:space="preserve"> / pierwszej straty) oraz terminu zapadalności w dniu sprawozdawczym. </w:t>
            </w:r>
          </w:p>
          <w:p w:rsidR="00C55547" w:rsidRPr="00AA1421" w:rsidRDefault="00C55547" w:rsidP="00E10B85">
            <w:pPr>
              <w:autoSpaceDE w:val="0"/>
              <w:autoSpaceDN w:val="0"/>
              <w:adjustRightInd w:val="0"/>
              <w:spacing w:before="0" w:after="0"/>
              <w:rPr>
                <w:rFonts w:ascii="Times New Roman" w:hAnsi="Times New Roman"/>
                <w:sz w:val="24"/>
              </w:rPr>
            </w:pPr>
          </w:p>
          <w:p w:rsidR="00C55547" w:rsidRPr="00AA1421" w:rsidRDefault="005E5070" w:rsidP="00E10B85">
            <w:pPr>
              <w:spacing w:before="0" w:after="0"/>
              <w:rPr>
                <w:rFonts w:ascii="Times New Roman" w:hAnsi="Times New Roman"/>
                <w:sz w:val="24"/>
              </w:rPr>
            </w:pPr>
            <w:r w:rsidRPr="00AA1421">
              <w:rPr>
                <w:rFonts w:ascii="Times New Roman" w:hAnsi="Times New Roman"/>
                <w:sz w:val="24"/>
              </w:rPr>
              <w:t>W przypadku programów sekurytyzacyjnych z wieloma zbywającymi zgłasza się tylko kwotę odpowiadającą lub przypisywaną instytucji sprawozdającej.</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0230-0252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POZYCJE BILANSOWE</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W tym zestawieniu sześciu kolumn gromadzone są informacje na temat pozycji bilansowych z podziałem na transze (uprzywilejowane/typu </w:t>
            </w:r>
            <w:proofErr w:type="spellStart"/>
            <w:r w:rsidRPr="00AA1421">
              <w:rPr>
                <w:rFonts w:ascii="Times New Roman" w:hAnsi="Times New Roman"/>
                <w:sz w:val="24"/>
              </w:rPr>
              <w:t>mezzanine</w:t>
            </w:r>
            <w:proofErr w:type="spellEnd"/>
            <w:r w:rsidRPr="00AA1421">
              <w:rPr>
                <w:rFonts w:ascii="Times New Roman" w:hAnsi="Times New Roman"/>
                <w:sz w:val="24"/>
              </w:rPr>
              <w:t>/pierwszej straty).</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0230-0232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UPRZYWILEJOWANE</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0230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KWOTA</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Kwota uprzywilejowanych pozycji sekurytyzacyjnych zdefiniowana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0231</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PUNKT INICJUJĄCY (%)</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Punkt inicjujący (%),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0232 i 0252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CQS (Stopień jakości kredytowej)</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sz w:val="24"/>
              </w:rPr>
              <w:t xml:space="preserve">Stopnie jakości kredytowej przewidziane dla instytucji stosujących metodę SEC-ERBA (tabela 1 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63 oraz tabele 3 i 4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64 CRR). Kolumny te zgłasza się w odniesieniu do wszystkich ocenianych transakcji, niezależnie od zastosowanej metody.</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0240-0242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TYPU MEZZANINE</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0240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KWOTA</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Zgłaszana kwota obejmuje:</w:t>
            </w:r>
          </w:p>
          <w:p w:rsidR="00C55547" w:rsidRPr="00AA1421"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pozycje sekurytyzacyjne typu </w:t>
            </w:r>
            <w:proofErr w:type="spellStart"/>
            <w:r w:rsidRPr="00AA1421">
              <w:rPr>
                <w:rFonts w:ascii="Times New Roman" w:hAnsi="Times New Roman"/>
                <w:sz w:val="24"/>
              </w:rPr>
              <w:t>mezzanine</w:t>
            </w:r>
            <w:proofErr w:type="spellEnd"/>
            <w:r w:rsidRPr="00AA1421">
              <w:rPr>
                <w:rFonts w:ascii="Times New Roman" w:hAnsi="Times New Roman"/>
                <w:sz w:val="24"/>
              </w:rPr>
              <w:t xml:space="preserve"> zdefiniowane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8 CRR;</w:t>
            </w:r>
          </w:p>
          <w:p w:rsidR="00C55547" w:rsidRPr="00AA1421"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dodatkowe pozycje sekurytyzacyjne, które nie stanowią pozycji określonych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17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8 CRR.</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0241</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LICZBA TRANSZ</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Liczba transz typu </w:t>
            </w:r>
            <w:proofErr w:type="spellStart"/>
            <w:r w:rsidRPr="00AA1421">
              <w:rPr>
                <w:rFonts w:ascii="Times New Roman" w:hAnsi="Times New Roman"/>
                <w:sz w:val="24"/>
              </w:rPr>
              <w:t>mezzanine</w:t>
            </w:r>
            <w:proofErr w:type="spellEnd"/>
            <w:r w:rsidRPr="00AA1421">
              <w:rPr>
                <w:rFonts w:ascii="Times New Roman" w:hAnsi="Times New Roman"/>
                <w:sz w:val="24"/>
              </w:rPr>
              <w:t>.</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0242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CQS NAJBARDZIEJ PODPORZĄDKOWANEJ TRANSZY</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Stopień jakości kredytowej, określony zgodnie z tabelą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63 i tabelą 3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64 CRR, najbardziej podporządkowanej transzy typu </w:t>
            </w:r>
            <w:proofErr w:type="spellStart"/>
            <w:r w:rsidRPr="00AA1421">
              <w:rPr>
                <w:rFonts w:ascii="Times New Roman" w:hAnsi="Times New Roman"/>
                <w:sz w:val="24"/>
              </w:rPr>
              <w:t>mezzanine</w:t>
            </w:r>
            <w:proofErr w:type="spellEnd"/>
            <w:r w:rsidRPr="00AA1421">
              <w:rPr>
                <w:rFonts w:ascii="Times New Roman" w:hAnsi="Times New Roman"/>
                <w:sz w:val="24"/>
              </w:rPr>
              <w:t xml:space="preserve">. </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0250-0252</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PIERWSZEJ STRATY</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0250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KWOTA</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sz w:val="24"/>
              </w:rPr>
              <w:t xml:space="preserve">Kwota transzy pierwszej straty zdefiniowana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7 CRR.</w:t>
            </w:r>
          </w:p>
          <w:p w:rsidR="00C55547" w:rsidRPr="00AA1421" w:rsidRDefault="00C55547" w:rsidP="00E10B85">
            <w:pPr>
              <w:autoSpaceDE w:val="0"/>
              <w:autoSpaceDN w:val="0"/>
              <w:adjustRightInd w:val="0"/>
              <w:spacing w:before="0" w:after="0"/>
              <w:jc w:val="left"/>
              <w:rPr>
                <w:rFonts w:ascii="Times New Roman" w:hAnsi="Times New Roman"/>
                <w:sz w:val="24"/>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0251</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PUNKT KOŃCZĄCY (%)</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Punkt kończący (%),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56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0260-0280</w:t>
            </w:r>
          </w:p>
        </w:tc>
        <w:tc>
          <w:tcPr>
            <w:tcW w:w="7903" w:type="dxa"/>
          </w:tcPr>
          <w:p w:rsidR="00C55547" w:rsidRPr="00AA1421" w:rsidRDefault="00C55547"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POZYCJE POZABILANSOWE I INSTRUMENTY POCHODNE</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p w:rsidR="00C55547" w:rsidRPr="00AA1421" w:rsidRDefault="00C55547"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W tym zestawieniu sześciu kolumn gromadzone są informacje na temat pozycji pozabilansowych i instrumentów pochodnych z podziałem na transze (uprzywilejowane/typu </w:t>
            </w:r>
            <w:proofErr w:type="spellStart"/>
            <w:r w:rsidRPr="00AA1421">
              <w:rPr>
                <w:rFonts w:ascii="Times New Roman" w:hAnsi="Times New Roman"/>
                <w:sz w:val="24"/>
              </w:rPr>
              <w:t>mezzanine</w:t>
            </w:r>
            <w:proofErr w:type="spellEnd"/>
            <w:r w:rsidRPr="00AA1421">
              <w:rPr>
                <w:rFonts w:ascii="Times New Roman" w:hAnsi="Times New Roman"/>
                <w:sz w:val="24"/>
              </w:rPr>
              <w:t>/pierwszej straty).</w:t>
            </w: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Stosuje się te same kryteria klasyfikacji transz co w przypadku pozycji bilansowych.</w:t>
            </w:r>
          </w:p>
          <w:p w:rsidR="00C55547" w:rsidRPr="00AA1421" w:rsidRDefault="00C55547" w:rsidP="00E10B85">
            <w:pPr>
              <w:autoSpaceDE w:val="0"/>
              <w:autoSpaceDN w:val="0"/>
              <w:adjustRightInd w:val="0"/>
              <w:spacing w:before="0" w:after="0"/>
              <w:jc w:val="left"/>
              <w:rPr>
                <w:rFonts w:ascii="Times New Roman" w:hAnsi="Times New Roman"/>
                <w:b/>
                <w:sz w:val="24"/>
                <w:u w:val="single"/>
              </w:rPr>
            </w:pPr>
          </w:p>
        </w:tc>
      </w:tr>
      <w:tr w:rsidR="00C55547" w:rsidRPr="00AA1421" w:rsidTr="00E10B85">
        <w:tc>
          <w:tcPr>
            <w:tcW w:w="1101" w:type="dxa"/>
            <w:shd w:val="clear" w:color="auto" w:fill="auto"/>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0290-0300</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TERMIN ZAPADALNOŚCI</w:t>
            </w:r>
          </w:p>
        </w:tc>
      </w:tr>
      <w:tr w:rsidR="00C55547" w:rsidRPr="00AA1421" w:rsidTr="00E10B85">
        <w:tc>
          <w:tcPr>
            <w:tcW w:w="1101" w:type="dxa"/>
            <w:shd w:val="clear" w:color="auto" w:fill="auto"/>
          </w:tcPr>
          <w:p w:rsidR="00C55547" w:rsidRPr="00AA1421" w:rsidDel="00304CB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0290</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PIERWSZY PRZEWIDYWALNY TERMIN ROZWIĄZANIA UMOWY</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 xml:space="preserve">Prawdopodobny termin rozwiązania umowy w odniesieniu do całej sekurytyzacji w świetle klauzul umownych i aktualnie przewidywanych warunków finansowych. Zwykle będzie to najwcześniejsza z następujących dat: </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(i)</w:t>
            </w:r>
            <w:r w:rsidRPr="00AA1421">
              <w:tab/>
            </w:r>
            <w:r w:rsidRPr="00AA1421">
              <w:rPr>
                <w:rFonts w:ascii="Times New Roman" w:hAnsi="Times New Roman"/>
                <w:sz w:val="24"/>
              </w:rPr>
              <w:t xml:space="preserve">termin, w którym można po raz pierwszy skorzystać z opcji odkupu końcowego (określonej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biorąc pod uwagę termin zapadalności ekspozycji bazowej oraz oczekiwany współczynnik wcześniejszej spłaty lub potencjalne działania </w:t>
            </w:r>
            <w:proofErr w:type="spellStart"/>
            <w:r w:rsidRPr="00AA1421">
              <w:rPr>
                <w:rFonts w:ascii="Times New Roman" w:hAnsi="Times New Roman"/>
                <w:sz w:val="24"/>
              </w:rPr>
              <w:t>renegocjacyjne</w:t>
            </w:r>
            <w:proofErr w:type="spellEnd"/>
            <w:r w:rsidRPr="00AA1421">
              <w:rPr>
                <w:rFonts w:ascii="Times New Roman" w:hAnsi="Times New Roman"/>
                <w:sz w:val="24"/>
              </w:rPr>
              <w:t>;</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(ii)</w:t>
            </w:r>
            <w:r w:rsidRPr="00AA1421">
              <w:tab/>
            </w:r>
            <w:r w:rsidRPr="00AA1421">
              <w:rPr>
                <w:rFonts w:ascii="Times New Roman" w:hAnsi="Times New Roman"/>
                <w:sz w:val="24"/>
              </w:rPr>
              <w:t>termin, w którym jednostka inicjująca może po raz pierwszy skorzystać z jakiejkolwiek innej opcji kupna przewidzianej w klauzulach umownych sekurytyzacji, co spowodowałoby całkowity wykup sekurytyzacji.</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Zgłasza się dzień, miesiąc i rok pierwszego oczekiwanego terminu rozwiązania umowy sekurytyzacji.</w:t>
            </w:r>
            <w:r w:rsidRPr="00AA1421">
              <w:rPr>
                <w:rFonts w:ascii="Times New Roman" w:hAnsi="Times New Roman"/>
                <w:szCs w:val="20"/>
              </w:rPr>
              <w:t xml:space="preserve"> </w:t>
            </w:r>
            <w:r w:rsidRPr="00AA1421">
              <w:rPr>
                <w:rFonts w:ascii="Times New Roman" w:hAnsi="Times New Roman"/>
                <w:sz w:val="24"/>
              </w:rPr>
              <w:t>Konkretny dzień zgłasza się, gdy te informacje są dostępne, w przeciwnym razie zgłasza się pierwszy dzień miesiąca.</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shd w:val="clear" w:color="auto" w:fill="auto"/>
          </w:tcPr>
          <w:p w:rsidR="00C55547"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bCs/>
                <w:sz w:val="24"/>
              </w:rPr>
              <w:t>0291</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ZAWARTE W TRANSAKCJI OPCJE KUPNA PRZYSŁUGUJĄCE JEDNOSTCE INICJUJĄCEJ</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Rodzaj opcji kupna stosownej dla pierwszego oczekiwanego terminu rozwiązania umowy sekurytyzacji:</w:t>
            </w:r>
          </w:p>
          <w:p w:rsidR="00C55547" w:rsidRPr="00AA1421" w:rsidRDefault="00C55547" w:rsidP="0002267E">
            <w:pPr>
              <w:pStyle w:val="ListParagraph"/>
              <w:numPr>
                <w:ilvl w:val="0"/>
                <w:numId w:val="29"/>
              </w:numPr>
              <w:spacing w:before="0" w:after="0"/>
              <w:jc w:val="left"/>
              <w:rPr>
                <w:rFonts w:ascii="Times New Roman" w:hAnsi="Times New Roman"/>
                <w:sz w:val="24"/>
              </w:rPr>
            </w:pPr>
            <w:r w:rsidRPr="00AA1421">
              <w:rPr>
                <w:rFonts w:ascii="Times New Roman" w:hAnsi="Times New Roman"/>
                <w:sz w:val="24"/>
              </w:rPr>
              <w:t xml:space="preserve">opcja odkupu końcowego spełniająca wymogi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g)</w:t>
            </w:r>
            <w:r w:rsidRPr="00AA1421">
              <w:rPr>
                <w:rFonts w:ascii="Times New Roman" w:hAnsi="Times New Roman"/>
                <w:sz w:val="24"/>
              </w:rPr>
              <w:t>;</w:t>
            </w:r>
          </w:p>
          <w:p w:rsidR="00C55547" w:rsidRPr="00AA1421" w:rsidRDefault="00C55547" w:rsidP="0002267E">
            <w:pPr>
              <w:pStyle w:val="ListParagraph"/>
              <w:numPr>
                <w:ilvl w:val="0"/>
                <w:numId w:val="29"/>
              </w:numPr>
              <w:spacing w:before="0" w:after="0"/>
              <w:jc w:val="left"/>
              <w:rPr>
                <w:rFonts w:ascii="Times New Roman" w:hAnsi="Times New Roman"/>
                <w:sz w:val="24"/>
              </w:rPr>
            </w:pPr>
            <w:r w:rsidRPr="00AA1421">
              <w:rPr>
                <w:rFonts w:ascii="Times New Roman" w:hAnsi="Times New Roman"/>
                <w:sz w:val="24"/>
              </w:rPr>
              <w:t>inna opcja odkupu końcowego;</w:t>
            </w:r>
          </w:p>
          <w:p w:rsidR="00C55547" w:rsidRPr="00AA1421" w:rsidRDefault="00C55547" w:rsidP="0002267E">
            <w:pPr>
              <w:pStyle w:val="ListParagraph"/>
              <w:numPr>
                <w:ilvl w:val="0"/>
                <w:numId w:val="29"/>
              </w:numPr>
              <w:spacing w:before="0" w:after="0"/>
              <w:jc w:val="left"/>
              <w:rPr>
                <w:rFonts w:ascii="Times New Roman" w:hAnsi="Times New Roman"/>
                <w:sz w:val="24"/>
              </w:rPr>
            </w:pPr>
            <w:r w:rsidRPr="00AA1421">
              <w:rPr>
                <w:rFonts w:ascii="Times New Roman" w:hAnsi="Times New Roman"/>
                <w:sz w:val="24"/>
              </w:rPr>
              <w:t>inny rodzaj opcji kupna.</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shd w:val="clear" w:color="auto" w:fill="auto"/>
          </w:tcPr>
          <w:p w:rsidR="00C55547" w:rsidRPr="00AA1421" w:rsidDel="00304CB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0300</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USTAWOWY OSTATECZNY TERMIN ZAPADALNOŚCI</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Termin, w którym zgodnie z prawem należy spłacić całość kwoty głównej sekurytyzacji oraz odsetki (na podstawie dokumentacji transakcji).</w:t>
            </w:r>
          </w:p>
          <w:p w:rsidR="00C55547" w:rsidRPr="00AA1421" w:rsidRDefault="00C55547" w:rsidP="00E10B85">
            <w:pPr>
              <w:spacing w:before="0" w:after="0"/>
              <w:jc w:val="left"/>
              <w:rPr>
                <w:rFonts w:ascii="Times New Roman" w:hAnsi="Times New Roman"/>
                <w:sz w:val="24"/>
              </w:rPr>
            </w:pPr>
          </w:p>
          <w:p w:rsidR="00C55547" w:rsidRPr="00AA1421" w:rsidRDefault="00C55547"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Zgłasza się dzień, miesiąc i rok ustawowego ostatecznego terminu zapadalności.</w:t>
            </w:r>
            <w:r w:rsidRPr="00AA1421">
              <w:rPr>
                <w:rFonts w:ascii="Times New Roman" w:hAnsi="Times New Roman"/>
                <w:szCs w:val="20"/>
              </w:rPr>
              <w:t xml:space="preserve"> </w:t>
            </w:r>
            <w:r w:rsidRPr="00AA1421">
              <w:rPr>
                <w:rFonts w:ascii="Times New Roman" w:hAnsi="Times New Roman"/>
                <w:sz w:val="24"/>
              </w:rPr>
              <w:t>Konkretny dzień zgłasza się, gdy te informacje są dostępne, w przeciwnym razie zgłasza się pierwszy dzień miesiąca.</w:t>
            </w:r>
          </w:p>
          <w:p w:rsidR="00C55547" w:rsidRPr="00AA1421" w:rsidRDefault="00C55547" w:rsidP="00E10B85">
            <w:pPr>
              <w:spacing w:before="0" w:after="0"/>
              <w:jc w:val="left"/>
              <w:rPr>
                <w:rFonts w:ascii="Times New Roman" w:hAnsi="Times New Roman"/>
                <w:sz w:val="24"/>
              </w:rPr>
            </w:pPr>
          </w:p>
        </w:tc>
      </w:tr>
      <w:tr w:rsidR="00C55547" w:rsidRPr="00AA1421" w:rsidTr="00E10B85">
        <w:tc>
          <w:tcPr>
            <w:tcW w:w="1101" w:type="dxa"/>
            <w:shd w:val="clear" w:color="auto" w:fill="auto"/>
          </w:tcPr>
          <w:p w:rsidR="00C55547" w:rsidRPr="00AA1421" w:rsidRDefault="00973973" w:rsidP="00BF37A9">
            <w:pPr>
              <w:autoSpaceDE w:val="0"/>
              <w:autoSpaceDN w:val="0"/>
              <w:adjustRightInd w:val="0"/>
              <w:spacing w:before="0" w:after="0"/>
              <w:rPr>
                <w:rFonts w:ascii="Times New Roman" w:hAnsi="Times New Roman"/>
                <w:bCs/>
                <w:sz w:val="24"/>
              </w:rPr>
            </w:pPr>
            <w:r w:rsidRPr="00AA1421">
              <w:rPr>
                <w:rFonts w:ascii="Times New Roman" w:hAnsi="Times New Roman"/>
                <w:bCs/>
                <w:sz w:val="24"/>
              </w:rPr>
              <w:t>0302-0304</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POZYCJE UZUPEŁNIAJĄCE </w:t>
            </w:r>
          </w:p>
        </w:tc>
      </w:tr>
      <w:tr w:rsidR="00C55547" w:rsidRPr="00AA1421" w:rsidTr="00E10B85">
        <w:tc>
          <w:tcPr>
            <w:tcW w:w="1101" w:type="dxa"/>
            <w:shd w:val="clear" w:color="auto" w:fill="auto"/>
          </w:tcPr>
          <w:p w:rsidR="00C55547" w:rsidRPr="00AA1421" w:rsidRDefault="00973973" w:rsidP="00BF37A9">
            <w:pPr>
              <w:autoSpaceDE w:val="0"/>
              <w:autoSpaceDN w:val="0"/>
              <w:adjustRightInd w:val="0"/>
              <w:spacing w:before="0" w:after="0"/>
              <w:rPr>
                <w:rFonts w:ascii="Times New Roman" w:hAnsi="Times New Roman"/>
                <w:sz w:val="24"/>
              </w:rPr>
            </w:pPr>
            <w:r w:rsidRPr="00AA1421">
              <w:rPr>
                <w:rFonts w:ascii="Times New Roman" w:hAnsi="Times New Roman"/>
                <w:bCs/>
                <w:sz w:val="24"/>
              </w:rPr>
              <w:t>0302</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PUNKT INICJUJĄCY SPRZEDANEGO RYZYKA (%)</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sz w:val="24"/>
              </w:rPr>
              <w:t>Jednostki inicjujące zgłaszają wyłącznie punkt inicjujący najbardziej podporządkowanej transzy sprzedanej na rzecz tradycyjnych sekurytyzacji lub chronionej przez osoby trzecie w przypadku sekurytyzacji syntetycznych.</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shd w:val="clear" w:color="auto" w:fill="auto"/>
          </w:tcPr>
          <w:p w:rsidR="00C55547" w:rsidRPr="00AA1421" w:rsidRDefault="00973973" w:rsidP="00BF37A9">
            <w:pPr>
              <w:autoSpaceDE w:val="0"/>
              <w:autoSpaceDN w:val="0"/>
              <w:adjustRightInd w:val="0"/>
              <w:spacing w:before="0" w:after="0"/>
              <w:rPr>
                <w:rFonts w:ascii="Times New Roman" w:hAnsi="Times New Roman"/>
                <w:sz w:val="24"/>
              </w:rPr>
            </w:pPr>
            <w:r w:rsidRPr="00AA1421">
              <w:rPr>
                <w:rFonts w:ascii="Times New Roman" w:hAnsi="Times New Roman"/>
                <w:bCs/>
                <w:sz w:val="24"/>
              </w:rPr>
              <w:lastRenderedPageBreak/>
              <w:t>0303</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PUNKT KOŃCZĄCY SPRZEDANEGO RYZYKA (%)</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Jednostki inicjujące zgłaszają wyłącznie punkt kończący najstarszej transzy sprzedanej na rzecz tradycyjnych sekurytyzacji lub chronionej przez osoby trzecie w przypadku sekurytyzacji syntetycznych.</w:t>
            </w:r>
          </w:p>
          <w:p w:rsidR="00C55547" w:rsidRPr="00AA1421" w:rsidRDefault="00C55547" w:rsidP="00E10B85">
            <w:pPr>
              <w:spacing w:before="0" w:after="0"/>
              <w:jc w:val="left"/>
              <w:rPr>
                <w:rFonts w:ascii="Times New Roman" w:hAnsi="Times New Roman"/>
                <w:b/>
                <w:sz w:val="24"/>
                <w:u w:val="single"/>
              </w:rPr>
            </w:pPr>
          </w:p>
        </w:tc>
      </w:tr>
      <w:tr w:rsidR="00C55547" w:rsidRPr="00AA1421" w:rsidTr="00E10B85">
        <w:tc>
          <w:tcPr>
            <w:tcW w:w="1101" w:type="dxa"/>
            <w:shd w:val="clear" w:color="auto" w:fill="auto"/>
          </w:tcPr>
          <w:p w:rsidR="00C55547" w:rsidRPr="00AA1421" w:rsidRDefault="00973973" w:rsidP="00BF37A9">
            <w:pPr>
              <w:autoSpaceDE w:val="0"/>
              <w:autoSpaceDN w:val="0"/>
              <w:adjustRightInd w:val="0"/>
              <w:spacing w:before="0" w:after="0"/>
              <w:rPr>
                <w:rFonts w:ascii="Times New Roman" w:hAnsi="Times New Roman"/>
                <w:sz w:val="24"/>
              </w:rPr>
            </w:pPr>
            <w:r w:rsidRPr="00AA1421">
              <w:rPr>
                <w:rFonts w:ascii="Times New Roman" w:hAnsi="Times New Roman"/>
                <w:bCs/>
                <w:sz w:val="24"/>
              </w:rPr>
              <w:t>0304</w:t>
            </w:r>
          </w:p>
        </w:tc>
        <w:tc>
          <w:tcPr>
            <w:tcW w:w="7903" w:type="dxa"/>
            <w:shd w:val="clear" w:color="auto" w:fill="auto"/>
          </w:tcPr>
          <w:p w:rsidR="00C55547" w:rsidRPr="00AA1421" w:rsidRDefault="00C55547" w:rsidP="00E10B85">
            <w:pPr>
              <w:spacing w:before="0" w:after="0"/>
              <w:jc w:val="left"/>
              <w:rPr>
                <w:rFonts w:ascii="Times New Roman" w:hAnsi="Times New Roman"/>
                <w:b/>
                <w:sz w:val="24"/>
                <w:u w:val="single"/>
              </w:rPr>
            </w:pPr>
            <w:r w:rsidRPr="00AA1421">
              <w:rPr>
                <w:rFonts w:ascii="Times New Roman" w:hAnsi="Times New Roman"/>
                <w:b/>
                <w:sz w:val="24"/>
                <w:u w:val="single"/>
              </w:rPr>
              <w:t>TRANSFER RYZYKA DEKLAROWANY PRZEZ INSTYTUCJĘ INICJUJĄCĄ (%)</w:t>
            </w:r>
          </w:p>
          <w:p w:rsidR="00C55547" w:rsidRPr="00AA1421" w:rsidRDefault="00C55547" w:rsidP="00E10B85">
            <w:pPr>
              <w:spacing w:before="0" w:after="0"/>
              <w:jc w:val="left"/>
              <w:rPr>
                <w:rFonts w:ascii="Times New Roman" w:hAnsi="Times New Roman"/>
                <w:b/>
                <w:sz w:val="24"/>
                <w:u w:val="single"/>
              </w:rPr>
            </w:pPr>
          </w:p>
          <w:p w:rsidR="00C55547" w:rsidRPr="00AA1421" w:rsidRDefault="00C55547" w:rsidP="00E10B85">
            <w:pPr>
              <w:spacing w:before="0" w:after="0"/>
              <w:jc w:val="left"/>
              <w:rPr>
                <w:rFonts w:ascii="Times New Roman" w:hAnsi="Times New Roman"/>
                <w:sz w:val="24"/>
              </w:rPr>
            </w:pPr>
            <w:r w:rsidRPr="00AA1421">
              <w:rPr>
                <w:rFonts w:ascii="Times New Roman" w:hAnsi="Times New Roman"/>
                <w:sz w:val="24"/>
              </w:rPr>
              <w:t xml:space="preserve">Jednostki inicjujące zgłaszają wyłącznie oczekiwaną stratę (EL) plus nieoczekiwaną stratę (UL)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przekazanych stronom trzecim jako odsetek całkowitej EL plus UL. Zgłasza się EL I UL ekspozycji bazowych, które następnie przypisuje się poprzez sekurytyzację kaskadową do odpowiednich transz sekurytyzacyjnych. W odniesieniu do banków SA EL stanowi konkretną korektę ryzyka kredytowego aktywów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a UL stanowi wymóg kapitałowy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w:t>
            </w:r>
          </w:p>
          <w:p w:rsidR="00C55547" w:rsidRPr="00AA1421" w:rsidRDefault="00C55547" w:rsidP="00E10B85">
            <w:pPr>
              <w:spacing w:before="0" w:after="0"/>
              <w:jc w:val="left"/>
              <w:rPr>
                <w:rFonts w:ascii="Times New Roman" w:hAnsi="Times New Roman"/>
                <w:b/>
                <w:sz w:val="24"/>
                <w:u w:val="single"/>
              </w:rPr>
            </w:pPr>
          </w:p>
        </w:tc>
      </w:tr>
    </w:tbl>
    <w:p w:rsidR="00612780" w:rsidRPr="00AA1421" w:rsidRDefault="00612780">
      <w:pPr>
        <w:spacing w:before="0" w:after="0"/>
        <w:jc w:val="left"/>
        <w:rPr>
          <w:rStyle w:val="InstructionsTabelleText"/>
          <w:rFonts w:ascii="Times New Roman" w:hAnsi="Times New Roman"/>
          <w:sz w:val="24"/>
        </w:rPr>
      </w:pPr>
    </w:p>
    <w:p w:rsidR="00FC6275" w:rsidRPr="00AA1421"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403675"/>
      <w:r w:rsidRPr="00AA1421">
        <w:rPr>
          <w:rFonts w:ascii="Times New Roman" w:hAnsi="Times New Roman"/>
          <w:sz w:val="24"/>
          <w:u w:val="none"/>
        </w:rPr>
        <w:t>3.8.4.</w:t>
      </w:r>
      <w:r w:rsidR="00D712CF" w:rsidRPr="00AA1421">
        <w:rPr>
          <w:u w:val="none"/>
        </w:rPr>
        <w:tab/>
      </w:r>
      <w:r w:rsidRPr="00AA1421">
        <w:rPr>
          <w:rFonts w:ascii="Times New Roman" w:hAnsi="Times New Roman"/>
          <w:sz w:val="24"/>
        </w:rPr>
        <w:t>C 14.01 – Szczegółowe informacje na temat sekurytyzacji według metody (SEC Szczegóły 2)</w:t>
      </w:r>
      <w:bookmarkEnd w:id="434"/>
      <w:bookmarkEnd w:id="435"/>
    </w:p>
    <w:bookmarkStart w:id="436" w:name="_Toc522019896"/>
    <w:p w:rsidR="00CA4EB2" w:rsidRPr="00AA1421" w:rsidRDefault="00771068"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118</w:t>
      </w:r>
      <w:r w:rsidRPr="00AA1421">
        <w:fldChar w:fldCharType="end"/>
      </w:r>
      <w:r w:rsidRPr="00AA1421">
        <w:t>. Wzór SEC Szczegóły 2 zgłasza się osobno w odniesieniu do następujących metod:</w:t>
      </w:r>
    </w:p>
    <w:p w:rsidR="00CA4EB2" w:rsidRPr="00AA1421" w:rsidRDefault="00CA4EB2" w:rsidP="00487A02">
      <w:pPr>
        <w:pStyle w:val="InstructionsText2"/>
        <w:numPr>
          <w:ilvl w:val="0"/>
          <w:numId w:val="0"/>
        </w:numPr>
        <w:ind w:left="1353" w:hanging="360"/>
      </w:pPr>
      <w:r w:rsidRPr="00AA1421">
        <w:t>1) SEC-IRBA;</w:t>
      </w:r>
    </w:p>
    <w:p w:rsidR="00CA4EB2" w:rsidRPr="00AA1421" w:rsidRDefault="00CA4EB2" w:rsidP="00487A02">
      <w:pPr>
        <w:pStyle w:val="InstructionsText2"/>
        <w:numPr>
          <w:ilvl w:val="0"/>
          <w:numId w:val="0"/>
        </w:numPr>
        <w:ind w:left="1353" w:hanging="360"/>
      </w:pPr>
      <w:r w:rsidRPr="00AA1421">
        <w:t>2) SEC-SA;</w:t>
      </w:r>
    </w:p>
    <w:p w:rsidR="00CA4EB2" w:rsidRPr="00AA1421" w:rsidRDefault="00CA4EB2" w:rsidP="00487A02">
      <w:pPr>
        <w:pStyle w:val="InstructionsText2"/>
        <w:numPr>
          <w:ilvl w:val="0"/>
          <w:numId w:val="0"/>
        </w:numPr>
        <w:ind w:left="1353" w:hanging="360"/>
      </w:pPr>
      <w:r w:rsidRPr="00AA1421">
        <w:t>3) SEC-ERBA;</w:t>
      </w:r>
    </w:p>
    <w:p w:rsidR="00CA4EB2" w:rsidRPr="00AA1421" w:rsidRDefault="00CA4EB2" w:rsidP="00487A02">
      <w:pPr>
        <w:pStyle w:val="InstructionsText2"/>
        <w:numPr>
          <w:ilvl w:val="0"/>
          <w:numId w:val="0"/>
        </w:numPr>
        <w:ind w:left="1353" w:hanging="360"/>
      </w:pPr>
      <w:r w:rsidRPr="00AA1421">
        <w:t>4) 1 25</w:t>
      </w:r>
      <w:r w:rsidRPr="00084F66">
        <w:t>0</w:t>
      </w:r>
      <w:r w:rsidR="00084F66" w:rsidRPr="00084F66">
        <w:t> </w:t>
      </w:r>
      <w:r w:rsidRPr="00084F66">
        <w:t>%</w:t>
      </w:r>
      <w:r w:rsidRPr="00AA1421">
        <w:t>.</w:t>
      </w:r>
    </w:p>
    <w:p w:rsidR="000B73C4" w:rsidRPr="00AA1421"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AA1421" w:rsidTr="00E10B85">
        <w:tc>
          <w:tcPr>
            <w:tcW w:w="9004" w:type="dxa"/>
            <w:gridSpan w:val="2"/>
            <w:shd w:val="clear" w:color="auto" w:fill="CCCCCC"/>
          </w:tcPr>
          <w:p w:rsidR="00FC6275" w:rsidRPr="00AA1421" w:rsidRDefault="00FC6275" w:rsidP="00E10B85">
            <w:pPr>
              <w:autoSpaceDE w:val="0"/>
              <w:autoSpaceDN w:val="0"/>
              <w:adjustRightInd w:val="0"/>
              <w:spacing w:before="0" w:after="0"/>
              <w:rPr>
                <w:rFonts w:ascii="Times New Roman" w:hAnsi="Times New Roman"/>
                <w:bCs/>
                <w:sz w:val="24"/>
                <w:lang w:eastAsia="nl-BE"/>
              </w:rPr>
            </w:pPr>
          </w:p>
          <w:p w:rsidR="00FC6275" w:rsidRPr="00AA1421" w:rsidRDefault="00FC6275" w:rsidP="00E10B85">
            <w:pPr>
              <w:autoSpaceDE w:val="0"/>
              <w:autoSpaceDN w:val="0"/>
              <w:adjustRightInd w:val="0"/>
              <w:spacing w:before="0" w:after="0"/>
              <w:rPr>
                <w:rFonts w:ascii="Times New Roman" w:hAnsi="Times New Roman"/>
                <w:b/>
                <w:bCs/>
                <w:sz w:val="24"/>
              </w:rPr>
            </w:pPr>
            <w:r w:rsidRPr="00AA1421">
              <w:rPr>
                <w:rFonts w:ascii="Times New Roman" w:hAnsi="Times New Roman"/>
                <w:b/>
                <w:sz w:val="24"/>
              </w:rPr>
              <w:t>Kolumny</w:t>
            </w:r>
          </w:p>
          <w:p w:rsidR="00FC6275" w:rsidRPr="00AA1421" w:rsidRDefault="00FC6275" w:rsidP="00E10B85">
            <w:pPr>
              <w:autoSpaceDE w:val="0"/>
              <w:autoSpaceDN w:val="0"/>
              <w:adjustRightInd w:val="0"/>
              <w:spacing w:before="0" w:after="0"/>
              <w:rPr>
                <w:rFonts w:ascii="Times New Roman" w:hAnsi="Times New Roman"/>
                <w:bCs/>
                <w:sz w:val="24"/>
                <w:lang w:eastAsia="nl-BE"/>
              </w:rPr>
            </w:pPr>
          </w:p>
        </w:tc>
      </w:tr>
      <w:tr w:rsidR="00FC6275" w:rsidRPr="00AA1421" w:rsidTr="00E10B85">
        <w:tc>
          <w:tcPr>
            <w:tcW w:w="1101" w:type="dxa"/>
          </w:tcPr>
          <w:p w:rsidR="00FC6275" w:rsidRPr="00AA1421" w:rsidRDefault="00FC6275"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0010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KOD WEWNĘTRZNY</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Wewnętrzny (alfanumeryczny) kod stosowany przez instytucję w celu identyfikacji sekurytyzacji. Kod wewnętrzny związany jest z identyfikatorem transakcji sekurytyzacji.</w:t>
            </w:r>
          </w:p>
          <w:p w:rsidR="00FC6275" w:rsidRPr="00AA1421"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0020</w:t>
            </w:r>
          </w:p>
        </w:tc>
        <w:tc>
          <w:tcPr>
            <w:tcW w:w="7903" w:type="dxa"/>
          </w:tcPr>
          <w:p w:rsidR="00FC6275" w:rsidRPr="00AA1421" w:rsidRDefault="00FC6275"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IDENTYFIKATOR SEKURYTYZACJI</w:t>
            </w:r>
            <w:r w:rsidRPr="00AA1421">
              <w:rPr>
                <w:rFonts w:ascii="Times New Roman" w:hAnsi="Times New Roman"/>
                <w:b/>
                <w:sz w:val="24"/>
              </w:rPr>
              <w:t xml:space="preserve"> (kod/nazwa)</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Kod używany do celów prawnej rejestracji pozycji sekurytyzacyjnych lub transakcji sekurytyzacji w przypadku gdy w tym samym wierszu można zgłosić kilka pozycji lub, jeśli taki kod nie jest dostępny, nazwa, pod którą dana pozycja sekurytyzacyjna lub transakcja sekurytyzacji jest znana na rynku lub w ramach instytucji w przypadku sekurytyzacji wewnętrznej lub prywatnej. W przypadku </w:t>
            </w:r>
            <w:r w:rsidRPr="00AA1421">
              <w:rPr>
                <w:rFonts w:ascii="Times New Roman" w:hAnsi="Times New Roman"/>
                <w:sz w:val="24"/>
              </w:rPr>
              <w:lastRenderedPageBreak/>
              <w:t>gdy dostępny jest Międzynarodowy Numer Identyfikacyjny Papierów Wartościowych (ISIN; np. w odniesieniu do transakcji publicznych), w kolumnie tej zgłasza się znaki wspólne dla wszystkich transz sekurytyzacyjnych.</w:t>
            </w:r>
          </w:p>
          <w:p w:rsidR="00FC6275" w:rsidRPr="00AA1421"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lastRenderedPageBreak/>
              <w:t>0310-0400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POZYCJE SEKURYTYZACYJNE: PIERWOTNA EKSPOZYCJA PRZED UWZGLĘDNIENIEM WSPÓŁCZYNNIKÓW KONWERSJI</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 xml:space="preserve">W tym zestawieniu kolumn gromadzone są informacje na temat pozycji sekurytyzacyjnych podzielone według pozycji bilansowych/pozabilansowych oraz transz (uprzywilejowane/typu </w:t>
            </w:r>
            <w:proofErr w:type="spellStart"/>
            <w:r w:rsidRPr="00AA1421">
              <w:rPr>
                <w:rFonts w:ascii="Times New Roman" w:hAnsi="Times New Roman"/>
                <w:sz w:val="24"/>
              </w:rPr>
              <w:t>mezzanine</w:t>
            </w:r>
            <w:proofErr w:type="spellEnd"/>
            <w:r w:rsidRPr="00AA1421">
              <w:rPr>
                <w:rFonts w:ascii="Times New Roman" w:hAnsi="Times New Roman"/>
                <w:sz w:val="24"/>
              </w:rPr>
              <w:t xml:space="preserve">/pierwszej straty) na dzień sprawozdawczy. </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t>0310-0330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POZYCJE BILANSOWE </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Stosuje się te same kryteria klasyfikacji transz jak zastosowane w przypadku kolumn 0230, 0240 i 0250.</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0340-0361</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POZYCJE POZABILANSOWE I INSTRUMENTY POCHODNE</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Stosuje się te same kryteria klasyfikacji transz jak zastosowane w przypadku kolumn 0260–0280.</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0351 i 0361</w:t>
            </w:r>
          </w:p>
        </w:tc>
        <w:tc>
          <w:tcPr>
            <w:tcW w:w="7903" w:type="dxa"/>
          </w:tcPr>
          <w:p w:rsidR="00FC6275" w:rsidRPr="00AA1421" w:rsidRDefault="00FC6275"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RW odpowiadająca dostawcy ochrony kredytowej / instrumentowi</w:t>
            </w:r>
          </w:p>
          <w:p w:rsidR="00FC6275" w:rsidRPr="00AA1421" w:rsidRDefault="00FC6275" w:rsidP="00E10B85">
            <w:pPr>
              <w:autoSpaceDE w:val="0"/>
              <w:autoSpaceDN w:val="0"/>
              <w:adjustRightInd w:val="0"/>
              <w:spacing w:before="0" w:after="0"/>
              <w:jc w:val="left"/>
              <w:rPr>
                <w:rFonts w:ascii="Times New Roman" w:hAnsi="Times New Roman"/>
                <w:b/>
                <w:sz w:val="24"/>
                <w:u w:val="single"/>
              </w:rPr>
            </w:pPr>
          </w:p>
          <w:p w:rsidR="00FC6275" w:rsidRPr="00AA1421" w:rsidRDefault="00FC6275" w:rsidP="00E10B85">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 RW kwalifikowalnego gwaranta lub % RW odpowiadającego instrumentu, który zapewnia ochronę kredytową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49 CRR.</w:t>
            </w:r>
          </w:p>
          <w:p w:rsidR="00FC6275" w:rsidRPr="00AA1421" w:rsidRDefault="00FC6275" w:rsidP="00E10B85">
            <w:pPr>
              <w:autoSpaceDE w:val="0"/>
              <w:autoSpaceDN w:val="0"/>
              <w:adjustRightInd w:val="0"/>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0370-0400</w:t>
            </w:r>
          </w:p>
        </w:tc>
        <w:tc>
          <w:tcPr>
            <w:tcW w:w="7903" w:type="dxa"/>
          </w:tcPr>
          <w:p w:rsidR="00FC6275" w:rsidRPr="00AA1421" w:rsidRDefault="00FC6275"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POZYCJE UZUPEŁNIAJĄCE: POZYCJE POZABILANSOWE I INSTRUMENTY POCHODNE PRZED UWZGLĘDNIENIEM WSPÓŁCZYNNIKÓW KONWERSJI</w:t>
            </w:r>
          </w:p>
          <w:p w:rsidR="00FC6275" w:rsidRPr="00AA1421" w:rsidRDefault="00FC6275" w:rsidP="00E10B85">
            <w:pPr>
              <w:autoSpaceDE w:val="0"/>
              <w:autoSpaceDN w:val="0"/>
              <w:adjustRightInd w:val="0"/>
              <w:spacing w:before="0" w:after="0"/>
              <w:jc w:val="left"/>
              <w:rPr>
                <w:rFonts w:ascii="Times New Roman" w:hAnsi="Times New Roman"/>
                <w:b/>
                <w:sz w:val="24"/>
                <w:u w:val="single"/>
              </w:rPr>
            </w:pPr>
          </w:p>
          <w:p w:rsidR="00FC6275" w:rsidRPr="00AA1421" w:rsidRDefault="00FC627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W tym zestawieniu kolumn gromadzone są dodatkowe informacje na temat sumy pozycji pozabilansowych i instrumentów pochodnych (które są już zgłoszone w ramach innego podziału w kolumnach 0340-0361).</w:t>
            </w:r>
          </w:p>
          <w:p w:rsidR="00FC6275" w:rsidRPr="00AA1421" w:rsidRDefault="00FC6275" w:rsidP="00E10B85">
            <w:pPr>
              <w:autoSpaceDE w:val="0"/>
              <w:autoSpaceDN w:val="0"/>
              <w:adjustRightInd w:val="0"/>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0370</w:t>
            </w:r>
          </w:p>
        </w:tc>
        <w:tc>
          <w:tcPr>
            <w:tcW w:w="7903" w:type="dxa"/>
          </w:tcPr>
          <w:p w:rsidR="00FC6275" w:rsidRPr="00AA1421" w:rsidRDefault="00FC6275" w:rsidP="00E10B85">
            <w:pPr>
              <w:autoSpaceDE w:val="0"/>
              <w:autoSpaceDN w:val="0"/>
              <w:adjustRightInd w:val="0"/>
              <w:spacing w:before="0" w:after="0"/>
              <w:jc w:val="left"/>
              <w:rPr>
                <w:rFonts w:ascii="Times New Roman" w:hAnsi="Times New Roman"/>
                <w:b/>
                <w:sz w:val="24"/>
                <w:u w:val="single"/>
              </w:rPr>
            </w:pPr>
            <w:r w:rsidRPr="00AA1421">
              <w:rPr>
                <w:rFonts w:ascii="Times New Roman" w:hAnsi="Times New Roman"/>
                <w:b/>
                <w:sz w:val="24"/>
                <w:u w:val="single"/>
              </w:rPr>
              <w:t>BEZPOŚREDNIE SUBSTYTUTY KREDYTU</w:t>
            </w:r>
          </w:p>
          <w:p w:rsidR="00FC6275" w:rsidRPr="00AA1421" w:rsidRDefault="00FC6275" w:rsidP="00E10B85">
            <w:pPr>
              <w:autoSpaceDE w:val="0"/>
              <w:autoSpaceDN w:val="0"/>
              <w:adjustRightInd w:val="0"/>
              <w:spacing w:before="0" w:after="0"/>
              <w:jc w:val="left"/>
              <w:rPr>
                <w:rFonts w:ascii="Times New Roman" w:hAnsi="Times New Roman"/>
                <w:b/>
                <w:sz w:val="24"/>
                <w:u w:val="single"/>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Kolumna ta ma zastosowanie do pozycji sekurytyzacyjnych posiadanych przez jednostkę inicjującą i gwarantowanych bezpośrednimi substytutami kredytu.</w:t>
            </w:r>
          </w:p>
          <w:p w:rsidR="00FC6275" w:rsidRPr="00AA1421" w:rsidRDefault="00FC6275" w:rsidP="00E10B85">
            <w:pPr>
              <w:spacing w:before="0" w:after="0"/>
              <w:rPr>
                <w:rFonts w:ascii="Times New Roman" w:hAnsi="Times New Roman"/>
                <w:sz w:val="24"/>
              </w:rPr>
            </w:pPr>
          </w:p>
          <w:p w:rsidR="00FC6275" w:rsidRPr="00AA1421" w:rsidRDefault="00BB22D4" w:rsidP="00E10B85">
            <w:pPr>
              <w:spacing w:before="0" w:after="0"/>
              <w:rPr>
                <w:rFonts w:ascii="Times New Roman" w:hAnsi="Times New Roman"/>
                <w:sz w:val="24"/>
              </w:rPr>
            </w:pPr>
            <w:r w:rsidRPr="00AA1421">
              <w:rPr>
                <w:rFonts w:ascii="Times New Roman" w:hAnsi="Times New Roman"/>
                <w:sz w:val="24"/>
              </w:rPr>
              <w:t>Zgodnie z załącznikiem I do CRR następujące pozycje pozabilansowe pełnego ryzyka traktuje się jak bezpośrednie substytuty kredytu:</w:t>
            </w:r>
          </w:p>
          <w:p w:rsidR="00FC6275" w:rsidRPr="00AA1421" w:rsidRDefault="00FC6275" w:rsidP="00E10B85">
            <w:pPr>
              <w:spacing w:before="0" w:after="0"/>
              <w:rPr>
                <w:rFonts w:ascii="Times New Roman" w:hAnsi="Times New Roman"/>
                <w:sz w:val="24"/>
              </w:rPr>
            </w:pPr>
          </w:p>
          <w:p w:rsidR="00FC6275" w:rsidRPr="00AA1421" w:rsidRDefault="00FC6275" w:rsidP="00E10B85">
            <w:pPr>
              <w:spacing w:before="0" w:after="0"/>
              <w:rPr>
                <w:rFonts w:ascii="Times New Roman" w:hAnsi="Times New Roman"/>
                <w:i/>
                <w:sz w:val="24"/>
              </w:rPr>
            </w:pPr>
            <w:r w:rsidRPr="00AA1421">
              <w:rPr>
                <w:rFonts w:ascii="Times New Roman" w:hAnsi="Times New Roman"/>
                <w:i/>
                <w:sz w:val="24"/>
              </w:rPr>
              <w:t>- gwarancje mające charakter substytutu kredytu;</w:t>
            </w:r>
          </w:p>
          <w:p w:rsidR="00FC6275" w:rsidRPr="00AA1421" w:rsidRDefault="00FC6275" w:rsidP="00E10B85">
            <w:pPr>
              <w:spacing w:before="0" w:after="0"/>
              <w:rPr>
                <w:rFonts w:ascii="Times New Roman" w:hAnsi="Times New Roman"/>
                <w:i/>
                <w:sz w:val="24"/>
              </w:rPr>
            </w:pPr>
            <w:r w:rsidRPr="00AA1421">
              <w:rPr>
                <w:rFonts w:ascii="Times New Roman" w:hAnsi="Times New Roman"/>
                <w:i/>
                <w:sz w:val="24"/>
              </w:rPr>
              <w:t>- nieodwołalne akredytywy „</w:t>
            </w:r>
            <w:proofErr w:type="spellStart"/>
            <w:r w:rsidRPr="00AA1421">
              <w:rPr>
                <w:rFonts w:ascii="Times New Roman" w:hAnsi="Times New Roman"/>
                <w:i/>
                <w:sz w:val="24"/>
              </w:rPr>
              <w:t>standby</w:t>
            </w:r>
            <w:proofErr w:type="spellEnd"/>
            <w:r w:rsidRPr="00AA1421">
              <w:rPr>
                <w:rFonts w:ascii="Times New Roman" w:hAnsi="Times New Roman"/>
                <w:i/>
                <w:sz w:val="24"/>
              </w:rPr>
              <w:t>” mające charakter substytutu kredytu.</w:t>
            </w:r>
          </w:p>
          <w:p w:rsidR="00FC6275" w:rsidRPr="00AA1421" w:rsidRDefault="00FC6275" w:rsidP="00E10B85">
            <w:pPr>
              <w:autoSpaceDE w:val="0"/>
              <w:autoSpaceDN w:val="0"/>
              <w:adjustRightInd w:val="0"/>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0380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IRS / CRS</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lastRenderedPageBreak/>
              <w:t xml:space="preserve">Skrót IRS oznacza </w:t>
            </w:r>
            <w:proofErr w:type="spellStart"/>
            <w:r w:rsidRPr="00AA1421">
              <w:rPr>
                <w:rFonts w:ascii="Times New Roman" w:hAnsi="Times New Roman"/>
                <w:sz w:val="24"/>
              </w:rPr>
              <w:t>swapy</w:t>
            </w:r>
            <w:proofErr w:type="spellEnd"/>
            <w:r w:rsidRPr="00AA1421">
              <w:rPr>
                <w:rFonts w:ascii="Times New Roman" w:hAnsi="Times New Roman"/>
                <w:sz w:val="24"/>
              </w:rPr>
              <w:t xml:space="preserve"> stopy procentowej, natomiast skrót CRS oznacza </w:t>
            </w:r>
            <w:proofErr w:type="spellStart"/>
            <w:r w:rsidRPr="00AA1421">
              <w:rPr>
                <w:rFonts w:ascii="Times New Roman" w:hAnsi="Times New Roman"/>
                <w:sz w:val="24"/>
              </w:rPr>
              <w:t>swapy</w:t>
            </w:r>
            <w:proofErr w:type="spellEnd"/>
            <w:r w:rsidRPr="00AA1421">
              <w:rPr>
                <w:rFonts w:ascii="Times New Roman" w:hAnsi="Times New Roman"/>
                <w:sz w:val="24"/>
              </w:rPr>
              <w:t xml:space="preserve"> walutowe. Te instrumenty pochodne wymieniono w załączniku II do CRR.</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0390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INSTRUMENTY WSPARCIA PŁYNNOŚCI</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 xml:space="preserve">Instrumenty wsparcia płynności zdefiniowano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42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w:t>
            </w:r>
          </w:p>
          <w:p w:rsidR="00FC6275" w:rsidRPr="00AA1421" w:rsidRDefault="00FC6275" w:rsidP="00E10B85">
            <w:pPr>
              <w:spacing w:before="0" w:after="0"/>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0400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 xml:space="preserve">INNE </w:t>
            </w:r>
          </w:p>
          <w:p w:rsidR="00FC6275" w:rsidRPr="00AA1421" w:rsidRDefault="00FC6275" w:rsidP="00E10B85">
            <w:pPr>
              <w:spacing w:before="0" w:after="0"/>
              <w:jc w:val="left"/>
              <w:rPr>
                <w:rFonts w:ascii="Times New Roman" w:hAnsi="Times New Roman"/>
                <w:sz w:val="24"/>
              </w:rPr>
            </w:pPr>
          </w:p>
          <w:p w:rsidR="00FC6275" w:rsidRPr="00AA1421" w:rsidRDefault="001C3443" w:rsidP="00E10B85">
            <w:pPr>
              <w:spacing w:before="0" w:after="0"/>
              <w:rPr>
                <w:rFonts w:ascii="Times New Roman" w:hAnsi="Times New Roman"/>
                <w:sz w:val="24"/>
              </w:rPr>
            </w:pPr>
            <w:r w:rsidRPr="00AA1421">
              <w:rPr>
                <w:rFonts w:ascii="Times New Roman" w:hAnsi="Times New Roman"/>
                <w:sz w:val="24"/>
              </w:rPr>
              <w:t>Pozostające pozycje pozabilansowe.</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0411</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WARTOŚĆ EKSPOZYCJI</w:t>
            </w:r>
          </w:p>
          <w:p w:rsidR="00FC6275" w:rsidRPr="00AA1421" w:rsidRDefault="00FC6275" w:rsidP="00E10B85">
            <w:pPr>
              <w:spacing w:before="0" w:after="0"/>
              <w:jc w:val="left"/>
              <w:rPr>
                <w:rFonts w:ascii="Times New Roman" w:hAnsi="Times New Roman"/>
                <w:b/>
                <w:sz w:val="24"/>
                <w:u w:val="single"/>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Informacje te są ściśle związane z kolumną 0180 we wzorze CR SEC.</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0420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 WARTOŚĆ EKSPOZYCJI POMNIEJSZAJĄCA FUNDUSZE WŁASNE</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Informacje te są ściśle związane z kolumną 0190 we wzorze CR SEC.</w:t>
            </w:r>
          </w:p>
          <w:p w:rsidR="00FC6275" w:rsidRPr="00AA1421" w:rsidRDefault="00FC6275" w:rsidP="00E10B85">
            <w:pPr>
              <w:spacing w:before="0" w:after="0"/>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W kolumnie tej zgłasza się wartość ujemną.</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Del="00304CB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0430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CAŁKOWITA KWOTA EKSPOZYCJI WAŻONEJ RYZYKIEM PRZED UWZGLĘDNIENIEM PUŁAPU</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 xml:space="preserve">W kolumnie tej gromadzone są informacje na temat kwoty ekspozycji ważonej ryzykiem przed uwzględnieniem pułapu mającego zastosowanie do pozycji sekurytyzacyjnych (tj. do programów sekurytyzacyjnych z przeniesieniem istotnej części ryzyka). W przypadku programów sekurytyzacyjnych bez przeniesienia istotnej części ryzyka (tj. gdy kwota ekspozycji ważonej ryzykiem wyznaczana jest na podstawie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w kolumnie tej nie zgłasza się żadnych danych.</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 xml:space="preserve">Kolumny tej nie zgłasza się w przypadku sekurytyzacji zobowiązań. </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 xml:space="preserve">W przypadku sekurytyzacji w portfelu handlowym, zgłasza się kwotę ekspozycji ważonej ryzykiem dotyczącą konkretnego ryzyka. Zob. odpowiednio kolumna 0570 we wzorze MKR SA SEC lub kolumna 0410 i 0420 (stosowna dla wymogu dotyczącego funduszy własnych) we wzorze MKR SA CTP. </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0431</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 ZMNIEJSZENIE ZE WZGLĘDU NA PUŁAP WAGI RYZYKA</w:t>
            </w:r>
          </w:p>
          <w:p w:rsidR="00FC6275" w:rsidRPr="00AA1421" w:rsidRDefault="00FC6275" w:rsidP="00E10B85">
            <w:pPr>
              <w:spacing w:before="0" w:after="0"/>
              <w:jc w:val="left"/>
              <w:rPr>
                <w:rFonts w:ascii="Times New Roman" w:hAnsi="Times New Roman"/>
                <w:b/>
                <w:sz w:val="24"/>
                <w:u w:val="single"/>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Art. 267 CRR</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0432</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 ZMNIEJSZENIE ZE WZGLĘDU NA OGÓLNY PUŁAP</w:t>
            </w:r>
          </w:p>
          <w:p w:rsidR="00FC6275" w:rsidRPr="00AA1421" w:rsidRDefault="00FC6275" w:rsidP="00E10B85">
            <w:pPr>
              <w:spacing w:before="0" w:after="0"/>
              <w:jc w:val="left"/>
              <w:rPr>
                <w:rFonts w:ascii="Times New Roman" w:hAnsi="Times New Roman"/>
                <w:b/>
                <w:sz w:val="24"/>
                <w:u w:val="single"/>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Art. 268 CRR</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bCs/>
                <w:sz w:val="24"/>
              </w:rPr>
            </w:pPr>
            <w:r w:rsidRPr="00AA1421">
              <w:rPr>
                <w:rFonts w:ascii="Times New Roman" w:hAnsi="Times New Roman"/>
                <w:sz w:val="24"/>
              </w:rPr>
              <w:lastRenderedPageBreak/>
              <w:t>0440</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CAŁKOWITA KWOTA EKSPOZYCJI WAŻONEJ RYZYKIEM PO UWZGLĘDNIENIU PUŁAPU</w:t>
            </w:r>
          </w:p>
          <w:p w:rsidR="00FC6275" w:rsidRPr="00AA1421" w:rsidRDefault="00FC6275" w:rsidP="00E10B85">
            <w:pPr>
              <w:spacing w:before="0" w:after="0"/>
              <w:jc w:val="left"/>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 xml:space="preserve">W kolumnie tej gromadzone są informacje na temat kwoty ekspozycji ważonej ryzykiem po uwzględnieniu pułapu mającego zastosowanie do pozycji sekurytyzacyjnych (tj. do programów sekurytyzacyjnych z przeniesieniem istotnej części ryzyka). W przypadku programów sekurytyzacyjnych bez przeniesienia istotnej części ryzyka (tj. gdy wymogi w zakresie funduszy własnych wyznaczane są na podstawie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ekspozycji), w kolumnie tej nie zgłasza się żadnych danych.</w:t>
            </w:r>
          </w:p>
          <w:p w:rsidR="00FC6275" w:rsidRPr="00AA1421" w:rsidRDefault="00FC6275" w:rsidP="00E10B85">
            <w:pPr>
              <w:spacing w:before="0" w:after="0"/>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 xml:space="preserve">Kolumny tej nie zgłasza się w przypadku sekurytyzacji zobowiązań. </w:t>
            </w:r>
          </w:p>
          <w:p w:rsidR="00FC6275" w:rsidRPr="00AA1421" w:rsidRDefault="00FC6275" w:rsidP="00E10B85">
            <w:pPr>
              <w:spacing w:before="0" w:after="0"/>
              <w:rPr>
                <w:rFonts w:ascii="Times New Roman" w:hAnsi="Times New Roman"/>
                <w:sz w:val="24"/>
              </w:rPr>
            </w:pPr>
          </w:p>
          <w:p w:rsidR="00FC6275" w:rsidRPr="00AA1421" w:rsidRDefault="00FC6275" w:rsidP="00E10B85">
            <w:pPr>
              <w:spacing w:before="0" w:after="0"/>
              <w:rPr>
                <w:rFonts w:ascii="Times New Roman" w:hAnsi="Times New Roman"/>
                <w:sz w:val="24"/>
              </w:rPr>
            </w:pPr>
            <w:r w:rsidRPr="00AA1421">
              <w:rPr>
                <w:rFonts w:ascii="Times New Roman" w:hAnsi="Times New Roman"/>
                <w:sz w:val="24"/>
              </w:rPr>
              <w:t>W przypadku sekurytyzacji w portfelu handlowym, zgłasza się kwotę ekspozycji ważonej ryzykiem dotyczącą konkretnego ryzyka. Zob. odpowiednio kolumna 0600 we wzorze MKR SA SEC lub kolumna 0450 we wzorze MKR SA CTP.</w:t>
            </w:r>
          </w:p>
          <w:p w:rsidR="00FC6275" w:rsidRPr="00AA1421" w:rsidRDefault="00FC6275" w:rsidP="00E10B85">
            <w:pPr>
              <w:spacing w:before="0" w:after="0"/>
              <w:jc w:val="left"/>
              <w:rPr>
                <w:rFonts w:ascii="Times New Roman" w:hAnsi="Times New Roman"/>
                <w:sz w:val="24"/>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0447-0448</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POZYCJE UZUPEŁNIAJĄCE</w:t>
            </w: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0447</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KWOTA EKSPOZYCJI WAŻONEJ RYZYKIEM WEDŁUG SEC-ERBA</w:t>
            </w:r>
          </w:p>
          <w:p w:rsidR="00FC6275" w:rsidRPr="00AA1421" w:rsidRDefault="00FC6275" w:rsidP="00E10B85">
            <w:pPr>
              <w:spacing w:before="0" w:after="0"/>
              <w:jc w:val="left"/>
              <w:rPr>
                <w:rFonts w:ascii="Times New Roman" w:hAnsi="Times New Roman"/>
                <w:b/>
                <w:sz w:val="24"/>
                <w:u w:val="single"/>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 xml:space="preserve">Art. 263 i 264 CRR. Niniejszą kolumnę zgłasza się wyłącznie w odniesieniu do ocenianych transakcji przed zastosowaniem ograniczenia i nie zgłasza się jej w odniesieniu do transakcji w ramach SEC-ERBA. </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Pr>
          <w:p w:rsidR="00FC6275" w:rsidRPr="00AA142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0448</w:t>
            </w:r>
          </w:p>
        </w:tc>
        <w:tc>
          <w:tcPr>
            <w:tcW w:w="7903" w:type="dxa"/>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KWOTA EKSPOZYCJI WAŻONEJ RYZYKIEM WEDŁUG SEC-SA</w:t>
            </w:r>
          </w:p>
          <w:p w:rsidR="00FC6275" w:rsidRPr="00AA1421" w:rsidRDefault="00FC6275" w:rsidP="00E10B85">
            <w:pPr>
              <w:spacing w:before="0" w:after="0"/>
              <w:jc w:val="left"/>
              <w:rPr>
                <w:rFonts w:ascii="Times New Roman" w:hAnsi="Times New Roman"/>
                <w:b/>
                <w:sz w:val="24"/>
                <w:u w:val="single"/>
              </w:rPr>
            </w:pPr>
          </w:p>
          <w:p w:rsidR="00FC6275" w:rsidRPr="00AA1421" w:rsidRDefault="00FC6275" w:rsidP="00E10B85">
            <w:pPr>
              <w:spacing w:before="0" w:after="0"/>
              <w:jc w:val="left"/>
              <w:rPr>
                <w:rFonts w:ascii="Times New Roman" w:hAnsi="Times New Roman"/>
                <w:sz w:val="24"/>
              </w:rPr>
            </w:pPr>
            <w:r w:rsidRPr="00AA1421">
              <w:rPr>
                <w:rFonts w:ascii="Times New Roman" w:hAnsi="Times New Roman"/>
                <w:sz w:val="24"/>
              </w:rPr>
              <w:t>Art. 261 i 262 CRR. Niniejszą kolumnę zgłasza się przed zastosowaniem ograniczenia i nie zgłasza się jej w odniesieniu do transakcji w ramach SEC-SA.</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shd w:val="clear" w:color="auto" w:fill="auto"/>
          </w:tcPr>
          <w:p w:rsidR="00FC6275" w:rsidRPr="00AA1421" w:rsidRDefault="00973973" w:rsidP="00677A91">
            <w:pPr>
              <w:autoSpaceDE w:val="0"/>
              <w:autoSpaceDN w:val="0"/>
              <w:adjustRightInd w:val="0"/>
              <w:spacing w:before="0" w:after="0"/>
              <w:rPr>
                <w:rFonts w:ascii="Times New Roman" w:hAnsi="Times New Roman"/>
                <w:sz w:val="24"/>
              </w:rPr>
            </w:pPr>
            <w:r w:rsidRPr="00AA1421">
              <w:rPr>
                <w:rFonts w:ascii="Times New Roman" w:hAnsi="Times New Roman"/>
                <w:sz w:val="24"/>
              </w:rPr>
              <w:t>0450-0470</w:t>
            </w:r>
          </w:p>
        </w:tc>
        <w:tc>
          <w:tcPr>
            <w:tcW w:w="7903" w:type="dxa"/>
            <w:shd w:val="clear" w:color="auto" w:fill="auto"/>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POZYCJE SEKURYTYZACYJNE – PORTFEL HANDLOWY</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AA1421" w:rsidDel="00304CB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AA1421" w:rsidRDefault="00FC6275" w:rsidP="00E10B85">
            <w:pPr>
              <w:spacing w:before="0" w:after="0"/>
              <w:jc w:val="left"/>
              <w:rPr>
                <w:rFonts w:ascii="Times New Roman" w:hAnsi="Times New Roman"/>
                <w:b/>
                <w:sz w:val="24"/>
                <w:u w:val="single"/>
              </w:rPr>
            </w:pPr>
            <w:r w:rsidRPr="00AA1421">
              <w:rPr>
                <w:rFonts w:ascii="Times New Roman" w:hAnsi="Times New Roman"/>
                <w:b/>
                <w:sz w:val="24"/>
                <w:u w:val="single"/>
              </w:rPr>
              <w:t>UJĘTE W KORELACYJNYM PORTFELU HANDLOWYM CZY NIEUJĘTE W KORELACYJNYM PORTFELU HANDLOWYM?</w:t>
            </w:r>
          </w:p>
          <w:p w:rsidR="00FC6275" w:rsidRPr="00AA1421" w:rsidRDefault="00FC6275" w:rsidP="00E10B85">
            <w:pPr>
              <w:spacing w:before="0" w:after="0"/>
              <w:jc w:val="left"/>
              <w:rPr>
                <w:rStyle w:val="InstructionsTabelleText"/>
                <w:rFonts w:ascii="Times New Roman" w:hAnsi="Times New Roman"/>
                <w:sz w:val="24"/>
              </w:rPr>
            </w:pPr>
          </w:p>
          <w:p w:rsidR="00FC6275" w:rsidRPr="00AA1421" w:rsidRDefault="00037FCC" w:rsidP="00E10B85">
            <w:pPr>
              <w:spacing w:before="0" w:after="0"/>
              <w:jc w:val="left"/>
              <w:rPr>
                <w:rStyle w:val="InstructionsTabelleText"/>
                <w:rFonts w:ascii="Times New Roman" w:hAnsi="Times New Roman"/>
                <w:sz w:val="24"/>
              </w:rPr>
            </w:pPr>
            <w:r w:rsidRPr="00AA1421">
              <w:rPr>
                <w:rStyle w:val="InstructionsTabelleText"/>
                <w:rFonts w:ascii="Times New Roman" w:hAnsi="Times New Roman"/>
                <w:sz w:val="24"/>
              </w:rPr>
              <w:t>Instytucje zgłaszają następujące skróty:</w:t>
            </w:r>
          </w:p>
          <w:p w:rsidR="00FC6275" w:rsidRPr="00AA1421" w:rsidRDefault="00FC6275" w:rsidP="00E10B85">
            <w:pPr>
              <w:spacing w:before="0" w:after="0"/>
              <w:jc w:val="left"/>
              <w:rPr>
                <w:rStyle w:val="InstructionsTabelleText"/>
                <w:rFonts w:ascii="Times New Roman" w:hAnsi="Times New Roman"/>
                <w:sz w:val="24"/>
              </w:rPr>
            </w:pPr>
            <w:r w:rsidRPr="00AA1421">
              <w:rPr>
                <w:rStyle w:val="InstructionsTabelleText"/>
                <w:rFonts w:ascii="Times New Roman" w:hAnsi="Times New Roman"/>
                <w:sz w:val="24"/>
              </w:rPr>
              <w:t>C – ujęte w korelacyjnym portfelu handlowym;</w:t>
            </w:r>
          </w:p>
          <w:p w:rsidR="00FC6275" w:rsidRPr="00AA1421" w:rsidRDefault="00FC6275" w:rsidP="00E10B85">
            <w:pPr>
              <w:spacing w:before="0" w:after="0"/>
              <w:jc w:val="left"/>
              <w:rPr>
                <w:rStyle w:val="InstructionsTabelleText"/>
                <w:rFonts w:ascii="Times New Roman" w:hAnsi="Times New Roman"/>
                <w:sz w:val="24"/>
              </w:rPr>
            </w:pPr>
            <w:r w:rsidRPr="00AA1421">
              <w:rPr>
                <w:rStyle w:val="InstructionsTabelleText"/>
                <w:rFonts w:ascii="Times New Roman" w:hAnsi="Times New Roman"/>
                <w:sz w:val="24"/>
              </w:rPr>
              <w:t>N – nieujęte w korelacyjnym portfelu handlowym.</w:t>
            </w:r>
          </w:p>
          <w:p w:rsidR="00FC6275" w:rsidRPr="00AA1421" w:rsidRDefault="00FC6275" w:rsidP="00E10B85">
            <w:pPr>
              <w:spacing w:before="0" w:after="0"/>
              <w:jc w:val="left"/>
              <w:rPr>
                <w:rFonts w:ascii="Times New Roman" w:hAnsi="Times New Roman"/>
                <w:b/>
                <w:sz w:val="24"/>
                <w:u w:val="single"/>
              </w:rPr>
            </w:pPr>
          </w:p>
        </w:tc>
      </w:tr>
      <w:tr w:rsidR="00FC6275" w:rsidRPr="00AA1421"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AA1421" w:rsidDel="00304CB1" w:rsidRDefault="00973973"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AA1421" w:rsidRDefault="00FC6275" w:rsidP="00E10B85">
            <w:pPr>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POZYCJE NETTO – DŁUGIE/KRÓTKIE</w:t>
            </w:r>
          </w:p>
          <w:p w:rsidR="00FC6275" w:rsidRPr="00AA1421" w:rsidRDefault="00FC6275" w:rsidP="00E10B85">
            <w:pPr>
              <w:spacing w:before="0" w:after="0"/>
              <w:jc w:val="left"/>
              <w:rPr>
                <w:rFonts w:ascii="Times New Roman" w:hAnsi="Times New Roman"/>
                <w:b/>
                <w:sz w:val="24"/>
                <w:u w:val="single"/>
              </w:rPr>
            </w:pPr>
          </w:p>
          <w:p w:rsidR="00FC6275" w:rsidRPr="00AA1421" w:rsidRDefault="00FC6275" w:rsidP="00E10B85">
            <w:pPr>
              <w:spacing w:before="0" w:after="0"/>
              <w:jc w:val="left"/>
              <w:rPr>
                <w:rStyle w:val="InstructionsTabelleText"/>
                <w:rFonts w:ascii="Times New Roman" w:hAnsi="Times New Roman"/>
                <w:sz w:val="24"/>
              </w:rPr>
            </w:pPr>
            <w:r w:rsidRPr="00AA1421">
              <w:rPr>
                <w:rStyle w:val="InstructionsTabelleText"/>
                <w:rFonts w:ascii="Times New Roman" w:hAnsi="Times New Roman"/>
                <w:sz w:val="24"/>
              </w:rPr>
              <w:t xml:space="preserve">Zob. kolumny 0050/0060 odpowiednio we wzorze MKR SA SEC lub MKR SA CTP. </w:t>
            </w:r>
          </w:p>
          <w:p w:rsidR="00FC6275" w:rsidRPr="00AA1421" w:rsidRDefault="00FC6275" w:rsidP="00E10B85">
            <w:pPr>
              <w:spacing w:before="0" w:after="0"/>
              <w:jc w:val="left"/>
              <w:rPr>
                <w:rFonts w:ascii="Times New Roman" w:hAnsi="Times New Roman"/>
                <w:b/>
                <w:sz w:val="24"/>
                <w:u w:val="single"/>
              </w:rPr>
            </w:pPr>
          </w:p>
        </w:tc>
      </w:tr>
    </w:tbl>
    <w:p w:rsidR="00595FAD" w:rsidRPr="00AA1421"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403676"/>
      <w:r w:rsidRPr="00AA1421">
        <w:rPr>
          <w:rFonts w:ascii="Times New Roman" w:hAnsi="Times New Roman"/>
          <w:sz w:val="24"/>
        </w:rPr>
        <w:lastRenderedPageBreak/>
        <w:t>Ryzyko kredytowe kontrahenta</w:t>
      </w:r>
      <w:bookmarkEnd w:id="437"/>
      <w:bookmarkEnd w:id="438"/>
    </w:p>
    <w:p w:rsidR="00595FAD" w:rsidRPr="00AA1421"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403677"/>
      <w:bookmarkEnd w:id="439"/>
      <w:bookmarkEnd w:id="440"/>
      <w:bookmarkEnd w:id="441"/>
      <w:bookmarkEnd w:id="442"/>
      <w:bookmarkEnd w:id="443"/>
      <w:bookmarkEnd w:id="444"/>
      <w:r w:rsidRPr="00AA1421">
        <w:rPr>
          <w:rFonts w:ascii="Times New Roman" w:hAnsi="Times New Roman"/>
          <w:sz w:val="24"/>
        </w:rPr>
        <w:t>Zakres stosowania wzorów dotyczących ryzyka kredytowego kontrahenta</w:t>
      </w:r>
      <w:bookmarkEnd w:id="445"/>
      <w:bookmarkEnd w:id="446"/>
      <w:bookmarkEnd w:id="447"/>
    </w:p>
    <w:p w:rsidR="00595FAD" w:rsidRPr="00AA1421" w:rsidRDefault="00AA1421" w:rsidP="00487A02">
      <w:pPr>
        <w:pStyle w:val="InstructionsText2"/>
        <w:numPr>
          <w:ilvl w:val="0"/>
          <w:numId w:val="0"/>
        </w:numPr>
        <w:ind w:left="1353" w:hanging="360"/>
      </w:pPr>
      <w:fldSimple w:instr=" seq paragraphs ">
        <w:r w:rsidR="00D11E4C" w:rsidRPr="00AA1421">
          <w:rPr>
            <w:noProof/>
          </w:rPr>
          <w:t>119</w:t>
        </w:r>
      </w:fldSimple>
      <w:r w:rsidR="00D11E4C" w:rsidRPr="00AA1421">
        <w:t>. Wzory dotyczące ryzyka kredytowego kontrahenta obejmują informacje na temat ekspozycji obciążonych ryzykiem kredytowym kontrahenta na podstawie części trzeciej tytuł II rozdziały 4 i 6 CRR.</w:t>
      </w:r>
    </w:p>
    <w:p w:rsidR="00595FAD" w:rsidRPr="00AA1421" w:rsidRDefault="00AA1421" w:rsidP="00487A02">
      <w:pPr>
        <w:pStyle w:val="InstructionsText2"/>
        <w:numPr>
          <w:ilvl w:val="0"/>
          <w:numId w:val="0"/>
        </w:numPr>
        <w:ind w:left="1353" w:hanging="360"/>
      </w:pPr>
      <w:fldSimple w:instr=" seq paragraphs ">
        <w:r w:rsidR="00D11E4C" w:rsidRPr="00AA1421">
          <w:rPr>
            <w:noProof/>
          </w:rPr>
          <w:t>120</w:t>
        </w:r>
      </w:fldSimple>
      <w:r w:rsidR="00D11E4C" w:rsidRPr="00AA1421">
        <w:t>. Wzory te nie obejmują wymogów w zakresie funduszy własnych w odniesieniu do ryzyka korekty wyceny kredytowej (</w:t>
      </w:r>
      <w:r w:rsidR="00D11E4C" w:rsidRPr="00084F66">
        <w:t>art.</w:t>
      </w:r>
      <w:r w:rsidR="00084F66" w:rsidRPr="00084F66">
        <w:t> </w:t>
      </w:r>
      <w:r w:rsidR="00D11E4C" w:rsidRPr="00084F66">
        <w:t>9</w:t>
      </w:r>
      <w:r w:rsidR="00D11E4C" w:rsidRPr="00AA1421">
        <w:t xml:space="preserve">2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d)</w:t>
      </w:r>
      <w:r w:rsidR="00D11E4C" w:rsidRPr="00AA1421">
        <w:t xml:space="preserve"> oraz część trzecia tytuł VI CRR), które zgłasza się we wzorze ryzyka korekty wyceny kredytowej. </w:t>
      </w:r>
    </w:p>
    <w:p w:rsidR="00595FAD" w:rsidRPr="00AA1421" w:rsidRDefault="00AA1421" w:rsidP="00487A02">
      <w:pPr>
        <w:pStyle w:val="InstructionsText2"/>
        <w:numPr>
          <w:ilvl w:val="0"/>
          <w:numId w:val="0"/>
        </w:numPr>
        <w:ind w:left="1353" w:hanging="360"/>
      </w:pPr>
      <w:fldSimple w:instr=" seq paragraphs ">
        <w:r w:rsidR="00D11E4C" w:rsidRPr="00AA1421">
          <w:rPr>
            <w:noProof/>
          </w:rPr>
          <w:t>121</w:t>
        </w:r>
      </w:fldSimple>
      <w:r w:rsidR="00D11E4C" w:rsidRPr="00AA1421">
        <w:t xml:space="preserve">. Ekspozycje na ryzyko kredytowe kontrahenta wobec kontrahentów centralnych (rozdział 4 CRR i część trzecia tytuł II rozdział 9 sekcja 6 CRR) należy uwzględnić w danych liczbowych dotyczących CCR, chyba że określono inaczej. Składek na rzecz funduszu na wypadek niewykonania zobowiązania obliczonych zgodnie z </w:t>
      </w:r>
      <w:r w:rsidR="00D11E4C" w:rsidRPr="00084F66">
        <w:t>art.</w:t>
      </w:r>
      <w:r w:rsidR="00084F66" w:rsidRPr="00084F66">
        <w:t> </w:t>
      </w:r>
      <w:r w:rsidR="00D11E4C" w:rsidRPr="00084F66">
        <w:t>3</w:t>
      </w:r>
      <w:r w:rsidR="00D11E4C" w:rsidRPr="00AA1421">
        <w:t>07–310 CRR nie ujmuje się jednak we wzorach dotyczących ryzyka kredytowego kontrahenta, z wyjątkiem wzoru C 34.10, w szczególności w odpowiednich wierszach. Ogólnie rzecz biorąc, kwoty ekspozycji ważonych ryzykiem w przypadku składek na rzecz funduszu na wypadek niewykonania zobowiązania zgłasza się bezpośrednio w wierszu 0460 we wzorze C 02.00.</w:t>
      </w:r>
    </w:p>
    <w:p w:rsidR="00595FAD" w:rsidRPr="00AA1421"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8403678"/>
      <w:bookmarkStart w:id="450" w:name="_Toc516210659"/>
      <w:r w:rsidRPr="00AA1421">
        <w:rPr>
          <w:rFonts w:ascii="Times New Roman" w:hAnsi="Times New Roman"/>
          <w:sz w:val="24"/>
        </w:rPr>
        <w:t>C 34.01 – Wielkość działalności dotyczącej instrumentów pochodnych</w:t>
      </w:r>
      <w:bookmarkEnd w:id="448"/>
      <w:bookmarkEnd w:id="449"/>
    </w:p>
    <w:p w:rsidR="00595FAD" w:rsidRPr="00AA1421"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403679"/>
      <w:r w:rsidRPr="00AA1421">
        <w:rPr>
          <w:rFonts w:ascii="Times New Roman" w:hAnsi="Times New Roman"/>
          <w:sz w:val="24"/>
        </w:rPr>
        <w:t>Uwagi ogólne</w:t>
      </w:r>
      <w:bookmarkEnd w:id="450"/>
      <w:bookmarkEnd w:id="451"/>
      <w:bookmarkEnd w:id="452"/>
    </w:p>
    <w:p w:rsidR="00595FAD" w:rsidRPr="00AA1421" w:rsidRDefault="00AA1421" w:rsidP="00487A02">
      <w:pPr>
        <w:pStyle w:val="InstructionsText2"/>
        <w:numPr>
          <w:ilvl w:val="0"/>
          <w:numId w:val="0"/>
        </w:numPr>
        <w:ind w:left="1353" w:hanging="360"/>
      </w:pPr>
      <w:fldSimple w:instr=" seq paragraphs ">
        <w:r w:rsidR="00D11E4C" w:rsidRPr="00AA1421">
          <w:rPr>
            <w:noProof/>
          </w:rPr>
          <w:t>122</w:t>
        </w:r>
      </w:fldSimple>
      <w:r w:rsidR="00D11E4C" w:rsidRPr="00AA1421">
        <w:t xml:space="preserve">. Zgodnie z </w:t>
      </w:r>
      <w:r w:rsidR="00D11E4C" w:rsidRPr="00084F66">
        <w:t>art.</w:t>
      </w:r>
      <w:r w:rsidR="00084F66" w:rsidRPr="00084F66">
        <w:t> </w:t>
      </w:r>
      <w:r w:rsidR="00D11E4C" w:rsidRPr="00084F66">
        <w:t>2</w:t>
      </w:r>
      <w:r w:rsidR="00D11E4C" w:rsidRPr="00AA1421">
        <w:t xml:space="preserve">73a CRR instytucja może obliczyć wartość ekspozycji dla swoich pozycji w instrumentach pochodnych zgodnie z metodą określoną w części trzeciej tytuł II rozdział 6 sekcje 4 </w:t>
      </w:r>
      <w:r w:rsidR="00D11E4C" w:rsidRPr="00084F66">
        <w:t>lub</w:t>
      </w:r>
      <w:r w:rsidR="00084F66" w:rsidRPr="00084F66">
        <w:t> </w:t>
      </w:r>
      <w:r w:rsidR="00D11E4C" w:rsidRPr="00084F66">
        <w:t>5</w:t>
      </w:r>
      <w:r w:rsidR="00D11E4C" w:rsidRPr="00AA1421">
        <w:t xml:space="preserve"> CRR, pod warunkiem że wielkość prowadzonej przez nią działalności dotyczącej, odpowiednio, bilansowych i pozabilansowych instrumentów pochodnych nie przekracza zdefiniowanych wcześniej progów. Odpowiednią ocenę przeprowadza się co miesiąc na podstawie danych z ostatniego dnia miesiąca. Wzór ten zawiera informacje na temat przestrzegania tych progów oraz, bardziej ogólnie, ważne informacje na temat wielkości działalności dotyczącej instrumentów pochodnych.</w:t>
      </w:r>
    </w:p>
    <w:p w:rsidR="00595FAD" w:rsidRPr="00AA1421" w:rsidRDefault="00AA1421" w:rsidP="00487A02">
      <w:pPr>
        <w:pStyle w:val="InstructionsText2"/>
        <w:numPr>
          <w:ilvl w:val="0"/>
          <w:numId w:val="0"/>
        </w:numPr>
        <w:ind w:left="1353" w:hanging="360"/>
      </w:pPr>
      <w:fldSimple w:instr=" seq paragraphs ">
        <w:r w:rsidR="00D11E4C" w:rsidRPr="00AA1421">
          <w:rPr>
            <w:noProof/>
          </w:rPr>
          <w:t>123</w:t>
        </w:r>
      </w:fldSimple>
      <w:r w:rsidR="00D11E4C" w:rsidRPr="00AA1421">
        <w:t>. Miesiąc 1, miesiąc 2 i miesiąc 3 odnoszą się odpowiednio do pierwszego, drugiego i ostatniego miesiąca kwartału, którego dotyczy sprawozdanie. Informacje zgłasza się wyłącznie według stanu na koniec miesiąca po dniu 28 czerwca 20</w:t>
      </w:r>
      <w:r w:rsidR="00D11E4C" w:rsidRPr="00084F66">
        <w:t>21</w:t>
      </w:r>
      <w:r w:rsidR="00084F66" w:rsidRPr="00084F66">
        <w:t> </w:t>
      </w:r>
      <w:r w:rsidR="00D11E4C" w:rsidRPr="00084F66">
        <w:t>r.</w:t>
      </w:r>
    </w:p>
    <w:p w:rsidR="00595FAD" w:rsidRPr="00AA1421"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403680"/>
      <w:r w:rsidRPr="00AA1421">
        <w:rPr>
          <w:rFonts w:ascii="Times New Roman" w:hAnsi="Times New Roman"/>
          <w:sz w:val="24"/>
        </w:rPr>
        <w:t>Instrukcje dotyczące poszczególnych pozycji</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7711"/>
      </w:tblGrid>
      <w:tr w:rsidR="00595FAD" w:rsidRPr="00AA1421" w:rsidTr="00FF15C6">
        <w:tc>
          <w:tcPr>
            <w:tcW w:w="851" w:type="dxa"/>
            <w:gridSpan w:val="2"/>
            <w:shd w:val="clear" w:color="auto" w:fill="CCCCCC"/>
          </w:tcPr>
          <w:p w:rsidR="00595FAD" w:rsidRPr="00AA1421" w:rsidRDefault="00595FAD" w:rsidP="00FF15C6">
            <w:pPr>
              <w:spacing w:beforeLines="60" w:before="144" w:afterLines="60" w:after="144"/>
              <w:rPr>
                <w:rFonts w:ascii="Times New Roman" w:hAnsi="Times New Roman"/>
                <w:b/>
                <w:sz w:val="24"/>
              </w:rPr>
            </w:pPr>
            <w:r w:rsidRPr="00AA1421">
              <w:rPr>
                <w:rFonts w:ascii="Times New Roman" w:hAnsi="Times New Roman"/>
                <w:b/>
                <w:sz w:val="24"/>
              </w:rPr>
              <w:t>Kolumny</w:t>
            </w:r>
          </w:p>
        </w:tc>
      </w:tr>
      <w:tr w:rsidR="00595FAD" w:rsidRPr="00AA1421" w:rsidTr="00FF15C6">
        <w:tc>
          <w:tcPr>
            <w:tcW w:w="851"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0010,0040, 0070</w:t>
            </w:r>
          </w:p>
        </w:tc>
        <w:tc>
          <w:tcPr>
            <w:tcW w:w="8108"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POZYCJE DŁUGIE W INSTRUMENTACH POCHODNYCH</w:t>
            </w:r>
          </w:p>
          <w:p w:rsidR="00595FAD" w:rsidRPr="00AA1421" w:rsidRDefault="00595FAD" w:rsidP="00FF15C6">
            <w:pPr>
              <w:spacing w:beforeLines="60" w:before="144" w:afterLines="60" w:after="144"/>
              <w:rPr>
                <w:rStyle w:val="InstructionsTabelleberschrift"/>
                <w:rFonts w:ascii="Times New Roman" w:hAnsi="Times New Roman"/>
                <w:b w:val="0"/>
                <w:sz w:val="24"/>
              </w:rPr>
            </w:pPr>
            <w:r w:rsidRPr="00AA1421">
              <w:rPr>
                <w:rStyle w:val="InstructionsTabelleberschrift"/>
                <w:rFonts w:ascii="Times New Roman" w:hAnsi="Times New Roman"/>
                <w:sz w:val="24"/>
              </w:rPr>
              <w:t xml:space="preserve">Art. 273a </w:t>
            </w:r>
            <w:r w:rsidRPr="00084F66">
              <w:rPr>
                <w:rStyle w:val="InstructionsTabelleberschrift"/>
                <w:rFonts w:ascii="Times New Roman" w:hAnsi="Times New Roman"/>
                <w:sz w:val="24"/>
              </w:rPr>
              <w:t>ust.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 CRR</w:t>
            </w:r>
          </w:p>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Należy podać sumę bezwzględnych wartości rynkowych pozycji długich w instrumentach pochodnych na ostatni dzień miesiąca.</w:t>
            </w:r>
          </w:p>
        </w:tc>
      </w:tr>
      <w:tr w:rsidR="00595FAD" w:rsidRPr="00AA1421" w:rsidTr="00FF15C6">
        <w:tc>
          <w:tcPr>
            <w:tcW w:w="851"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lastRenderedPageBreak/>
              <w:t>0,020,0050,</w:t>
            </w:r>
          </w:p>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0080</w:t>
            </w:r>
          </w:p>
        </w:tc>
        <w:tc>
          <w:tcPr>
            <w:tcW w:w="8108"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POZYCJE KRÓTKIE W INSTRUMENTACH POCHODNYCH</w:t>
            </w:r>
          </w:p>
          <w:p w:rsidR="00595FAD" w:rsidRPr="00AA1421" w:rsidRDefault="00595FAD" w:rsidP="00FF15C6">
            <w:pPr>
              <w:spacing w:beforeLines="60" w:before="144" w:afterLines="60" w:after="144"/>
              <w:rPr>
                <w:rStyle w:val="InstructionsTabelleberschrift"/>
                <w:rFonts w:ascii="Times New Roman" w:hAnsi="Times New Roman"/>
                <w:b w:val="0"/>
                <w:sz w:val="24"/>
              </w:rPr>
            </w:pPr>
            <w:r w:rsidRPr="00AA1421">
              <w:rPr>
                <w:rStyle w:val="InstructionsTabelleberschrift"/>
                <w:rFonts w:ascii="Times New Roman" w:hAnsi="Times New Roman"/>
                <w:sz w:val="24"/>
              </w:rPr>
              <w:t xml:space="preserve">Art. 273a </w:t>
            </w:r>
            <w:r w:rsidRPr="00084F66">
              <w:rPr>
                <w:rStyle w:val="InstructionsTabelleberschrift"/>
                <w:rFonts w:ascii="Times New Roman" w:hAnsi="Times New Roman"/>
                <w:sz w:val="24"/>
              </w:rPr>
              <w:t>ust.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3</w:t>
            </w:r>
            <w:r w:rsidRPr="00AA1421">
              <w:rPr>
                <w:rStyle w:val="InstructionsTabelleberschrift"/>
                <w:rFonts w:ascii="Times New Roman" w:hAnsi="Times New Roman"/>
                <w:sz w:val="24"/>
              </w:rPr>
              <w:t xml:space="preserve"> CRR</w:t>
            </w:r>
          </w:p>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Należy podać sumę bezwzględnych wartości rynkowych pozycji krótkich w instrumentach pochodnych na ostatni dzień miesiąca.</w:t>
            </w:r>
          </w:p>
        </w:tc>
      </w:tr>
      <w:tr w:rsidR="00595FAD" w:rsidRPr="00AA1421" w:rsidTr="00FF15C6">
        <w:tc>
          <w:tcPr>
            <w:tcW w:w="851"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0,030,0060,</w:t>
            </w:r>
          </w:p>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0090</w:t>
            </w:r>
          </w:p>
        </w:tc>
        <w:tc>
          <w:tcPr>
            <w:tcW w:w="8108"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RAZEM</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273a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CRR</w:t>
            </w:r>
          </w:p>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Suma wartości bezwzględnej pozycji długich w instrumentach pochodnych i wartości bezwzględnej pozycji krótkich w instrumentach pochodnych.</w:t>
            </w:r>
          </w:p>
        </w:tc>
      </w:tr>
    </w:tbl>
    <w:p w:rsidR="00595FAD" w:rsidRPr="00AA1421"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AA1421" w:rsidTr="00FF15C6">
        <w:tc>
          <w:tcPr>
            <w:tcW w:w="9039" w:type="dxa"/>
            <w:gridSpan w:val="2"/>
            <w:shd w:val="clear" w:color="auto" w:fill="CCCCCC"/>
          </w:tcPr>
          <w:p w:rsidR="00595FAD" w:rsidRPr="00AA1421" w:rsidRDefault="00595FAD" w:rsidP="00FF15C6">
            <w:pPr>
              <w:spacing w:beforeLines="60" w:before="144" w:afterLines="60" w:after="144"/>
              <w:rPr>
                <w:rFonts w:ascii="Times New Roman" w:hAnsi="Times New Roman"/>
                <w:b/>
                <w:sz w:val="24"/>
              </w:rPr>
            </w:pPr>
            <w:r w:rsidRPr="00AA1421">
              <w:rPr>
                <w:rFonts w:ascii="Times New Roman" w:hAnsi="Times New Roman"/>
                <w:b/>
                <w:sz w:val="24"/>
              </w:rPr>
              <w:t>Wiersze</w:t>
            </w:r>
          </w:p>
        </w:tc>
      </w:tr>
      <w:tr w:rsidR="00595FAD" w:rsidRPr="00AA1421" w:rsidTr="00FF15C6">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0010</w:t>
            </w:r>
          </w:p>
        </w:tc>
        <w:tc>
          <w:tcPr>
            <w:tcW w:w="8187"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Wielkość działalności dotyczącej instrumentów pochodnych</w:t>
            </w:r>
          </w:p>
          <w:p w:rsidR="00595FAD" w:rsidRPr="00AA1421" w:rsidRDefault="00595FAD" w:rsidP="00FF15C6">
            <w:pPr>
              <w:spacing w:beforeLines="60" w:before="144" w:afterLines="60" w:after="144"/>
              <w:rPr>
                <w:rFonts w:ascii="Times New Roman" w:hAnsi="Times New Roman"/>
                <w:bCs/>
                <w:sz w:val="24"/>
              </w:rPr>
            </w:pPr>
            <w:r w:rsidRPr="00AA1421">
              <w:rPr>
                <w:rStyle w:val="InstructionsTabelleberschrift"/>
                <w:rFonts w:ascii="Times New Roman" w:hAnsi="Times New Roman"/>
                <w:b w:val="0"/>
                <w:sz w:val="24"/>
                <w:u w:val="none"/>
              </w:rPr>
              <w:t xml:space="preserve">Art. 273a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CRR</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Uwzględnia się wszystkie bilansowe i pozabilansowe instrumenty pochodne oprócz kredytowych instrumentów pochodnych, które uznaje się za wewnętrzne instrumenty zabezpieczające przed ekspozycjami na ryzyko kredytowe zaliczonymi do portfela bankowego.</w:t>
            </w:r>
          </w:p>
        </w:tc>
      </w:tr>
      <w:tr w:rsidR="00595FAD" w:rsidRPr="00AA1421" w:rsidTr="00FF15C6">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 xml:space="preserve">0020 </w:t>
            </w:r>
          </w:p>
        </w:tc>
        <w:tc>
          <w:tcPr>
            <w:tcW w:w="8187"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Bilansowe i pozabilansowe instrumenty pochodne</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273a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a)</w:t>
            </w:r>
            <w:r w:rsidRPr="00AA1421">
              <w:rPr>
                <w:rStyle w:val="InstructionsTabelleberschrift"/>
                <w:rFonts w:ascii="Times New Roman" w:hAnsi="Times New Roman"/>
                <w:b w:val="0"/>
                <w:sz w:val="24"/>
                <w:u w:val="none"/>
              </w:rPr>
              <w:t xml:space="preserve"> i b) CRR</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Należy podać łączną wartość rynkową bilansowych i pozabilansowych pozycji w instrumentach pochodnych na ostatni dzień miesiąca.</w:t>
            </w:r>
            <w:r w:rsidRPr="00AA1421">
              <w:rPr>
                <w:rFonts w:ascii="Times New Roman" w:hAnsi="Times New Roman"/>
                <w:sz w:val="24"/>
              </w:rPr>
              <w:t xml:space="preserve"> Jeżeli wartość rynkowa pozycji nie jest dostępna w tym dniu, instytucje stosują wartość godziwą dla tej pozycji w danym dniu; w przypadku gdy wartość rynkowa i wartość godziwa pozycji nie są dostępne w tym dniu, instytucje stosują ostatnią dostępną wartość rynkową lub ostatnią dostępną wartość godziwą dla tej pozycji.</w:t>
            </w:r>
          </w:p>
        </w:tc>
      </w:tr>
      <w:tr w:rsidR="00595FAD" w:rsidRPr="00AA1421" w:rsidTr="00FF15C6">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 xml:space="preserve">0030 </w:t>
            </w:r>
          </w:p>
        </w:tc>
        <w:tc>
          <w:tcPr>
            <w:tcW w:w="8187" w:type="dxa"/>
          </w:tcPr>
          <w:p w:rsidR="00595FAD" w:rsidRPr="00AA1421" w:rsidRDefault="00595FAD" w:rsidP="00FF15C6">
            <w:pPr>
              <w:spacing w:beforeLines="60" w:before="144" w:afterLines="60" w:after="144"/>
              <w:rPr>
                <w:rFonts w:ascii="Times New Roman" w:hAnsi="Times New Roman"/>
                <w:b/>
                <w:sz w:val="24"/>
                <w:u w:val="single"/>
              </w:rPr>
            </w:pPr>
            <w:r w:rsidRPr="00AA1421">
              <w:rPr>
                <w:rFonts w:ascii="Times New Roman" w:hAnsi="Times New Roman"/>
                <w:b/>
                <w:sz w:val="24"/>
                <w:u w:val="single"/>
              </w:rPr>
              <w:t>(-) Kredytowe instrumenty pochodne, które uznaje się za wewnętrzne instrumenty zabezpieczające przed ekspozycjami na ryzyko kredytowe zaliczonymi do portfela bankowego</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273a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c)</w:t>
            </w:r>
            <w:r w:rsidRPr="00AA1421">
              <w:rPr>
                <w:rStyle w:val="InstructionsTabelleberschrift"/>
                <w:rFonts w:ascii="Times New Roman" w:hAnsi="Times New Roman"/>
                <w:b w:val="0"/>
                <w:sz w:val="24"/>
                <w:u w:val="none"/>
              </w:rPr>
              <w:t xml:space="preserve"> CRR</w:t>
            </w:r>
          </w:p>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Łączna wartość rynkowa kredytowych instrumentów pochodnych uznawanych za wewnętrzne instrumenty zabezpieczające przed ekspozycjami na ryzyko kredytowe zaliczonymi portfela bankowego.</w:t>
            </w:r>
          </w:p>
        </w:tc>
      </w:tr>
      <w:tr w:rsidR="00595FAD" w:rsidRPr="00AA1421" w:rsidTr="00FF15C6">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0040</w:t>
            </w:r>
          </w:p>
        </w:tc>
        <w:tc>
          <w:tcPr>
            <w:tcW w:w="8187"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Całkowite aktywa</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Całkowite aktywa zgodnie z mającymi zastosowanie standardami rachunkowości.</w:t>
            </w:r>
          </w:p>
          <w:p w:rsidR="00595FAD" w:rsidRPr="00AA1421" w:rsidRDefault="00595FAD" w:rsidP="00FF15C6">
            <w:pPr>
              <w:spacing w:beforeLines="60" w:before="144" w:afterLines="60" w:after="144"/>
              <w:rPr>
                <w:rStyle w:val="InstructionsTabelleberschrift"/>
                <w:rFonts w:ascii="Times New Roman" w:hAnsi="Times New Roman"/>
                <w:b w:val="0"/>
                <w:sz w:val="24"/>
              </w:rPr>
            </w:pPr>
            <w:r w:rsidRPr="00AA1421">
              <w:rPr>
                <w:rStyle w:val="InstructionsTabelleberschrift"/>
                <w:rFonts w:ascii="Times New Roman" w:hAnsi="Times New Roman"/>
                <w:b w:val="0"/>
                <w:sz w:val="24"/>
                <w:u w:val="none"/>
              </w:rPr>
              <w:lastRenderedPageBreak/>
              <w:t>W przypadku sprawozdawczości skonsolidowanej instytucja zgłasza całkowite aktywa z zastosowaniem zakresu konsolidacji ostrożnościowej zgodnie z częścią pierwszą tytuł II rozdział 2 sekcja 2 CRR.</w:t>
            </w:r>
          </w:p>
        </w:tc>
      </w:tr>
      <w:tr w:rsidR="00595FAD" w:rsidRPr="00AA1421" w:rsidTr="00FF15C6">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lastRenderedPageBreak/>
              <w:t>0050</w:t>
            </w:r>
          </w:p>
        </w:tc>
        <w:tc>
          <w:tcPr>
            <w:tcW w:w="8187"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Procent całkowitych aktywów</w:t>
            </w:r>
          </w:p>
          <w:p w:rsidR="00595FAD" w:rsidRPr="00AA1421" w:rsidRDefault="00595FAD" w:rsidP="00FF15C6">
            <w:pPr>
              <w:spacing w:beforeLines="60" w:before="144" w:afterLines="60" w:after="144"/>
              <w:rPr>
                <w:rFonts w:ascii="Times New Roman" w:hAnsi="Times New Roman"/>
                <w:b/>
                <w:sz w:val="24"/>
              </w:rPr>
            </w:pPr>
            <w:r w:rsidRPr="00AA1421">
              <w:rPr>
                <w:rStyle w:val="InstructionsTabelleberschrift"/>
                <w:rFonts w:ascii="Times New Roman" w:hAnsi="Times New Roman"/>
                <w:b w:val="0"/>
                <w:sz w:val="24"/>
                <w:u w:val="none"/>
              </w:rPr>
              <w:t xml:space="preserve">Stosunek, który oblicza się dzieląc wielkość działalności dotyczącej instrumentów pochodnych (wiersz 0010) przez całkowite aktywa (wiersz 0040). </w:t>
            </w:r>
          </w:p>
        </w:tc>
      </w:tr>
      <w:tr w:rsidR="00595FAD" w:rsidRPr="00AA1421" w:rsidTr="00FF15C6">
        <w:tc>
          <w:tcPr>
            <w:tcW w:w="9039" w:type="dxa"/>
            <w:gridSpan w:val="2"/>
            <w:shd w:val="clear" w:color="auto" w:fill="A6A6A6" w:themeFill="background1" w:themeFillShade="A6"/>
          </w:tcPr>
          <w:p w:rsidR="00595FAD" w:rsidRPr="00AA1421" w:rsidRDefault="00595FAD" w:rsidP="00FF15C6">
            <w:pPr>
              <w:spacing w:beforeLines="60" w:before="144" w:afterLines="60" w:after="144"/>
              <w:rPr>
                <w:rFonts w:ascii="Times New Roman" w:hAnsi="Times New Roman"/>
                <w:b/>
                <w:sz w:val="24"/>
              </w:rPr>
            </w:pPr>
            <w:r w:rsidRPr="00AA1421">
              <w:rPr>
                <w:rFonts w:ascii="Times New Roman" w:hAnsi="Times New Roman"/>
                <w:b/>
                <w:sz w:val="24"/>
              </w:rPr>
              <w:t>ODSTĘPSTWO ZGODNIE Z ART. 273a UST. 4 CRR</w:t>
            </w:r>
          </w:p>
        </w:tc>
      </w:tr>
      <w:tr w:rsidR="00595FAD" w:rsidRPr="00AA1421" w:rsidTr="007063EE">
        <w:trPr>
          <w:trHeight w:val="3003"/>
        </w:trPr>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0060</w:t>
            </w:r>
          </w:p>
        </w:tc>
        <w:tc>
          <w:tcPr>
            <w:tcW w:w="8187"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Czy spełniono warunki określone w </w:t>
            </w:r>
            <w:r w:rsidRPr="00084F66">
              <w:rPr>
                <w:rStyle w:val="InstructionsTabelleberschrift"/>
                <w:rFonts w:ascii="Times New Roman" w:hAnsi="Times New Roman"/>
                <w:sz w:val="24"/>
              </w:rPr>
              <w:t>art.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2</w:t>
            </w:r>
            <w:r w:rsidRPr="00AA1421">
              <w:rPr>
                <w:rStyle w:val="InstructionsTabelleberschrift"/>
                <w:rFonts w:ascii="Times New Roman" w:hAnsi="Times New Roman"/>
                <w:sz w:val="24"/>
              </w:rPr>
              <w:t xml:space="preserve">73a </w:t>
            </w:r>
            <w:r w:rsidRPr="00084F66">
              <w:rPr>
                <w:rStyle w:val="InstructionsTabelleberschrift"/>
                <w:rFonts w:ascii="Times New Roman" w:hAnsi="Times New Roman"/>
                <w:sz w:val="24"/>
              </w:rPr>
              <w:t>ust.</w:t>
            </w:r>
            <w:r w:rsidR="00084F66" w:rsidRPr="00084F66">
              <w:rPr>
                <w:rStyle w:val="InstructionsTabelleberschrift"/>
                <w:rFonts w:ascii="Times New Roman" w:hAnsi="Times New Roman"/>
                <w:sz w:val="24"/>
              </w:rPr>
              <w:t> </w:t>
            </w:r>
            <w:r w:rsidRPr="00084F66">
              <w:rPr>
                <w:rStyle w:val="InstructionsTabelleberschrift"/>
                <w:rFonts w:ascii="Times New Roman" w:hAnsi="Times New Roman"/>
                <w:sz w:val="24"/>
              </w:rPr>
              <w:t>4</w:t>
            </w:r>
            <w:r w:rsidRPr="00AA1421">
              <w:rPr>
                <w:rStyle w:val="InstructionsTabelleberschrift"/>
                <w:rFonts w:ascii="Times New Roman" w:hAnsi="Times New Roman"/>
                <w:sz w:val="24"/>
              </w:rPr>
              <w:t xml:space="preserve"> CRR, włącznie z uzyskaniem zgody właściwego organu?</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273a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Instytucje, które przekraczają progi umożliwiające stosowanie uproszczonej metody w odniesieniu do ryzyka kredytowego kontrahenta, ale które nadal stosują jedną z nich na podstawie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 wskazują (zaznaczając Tak/Nie), czy spełniają wszystkie warunki zawarte w tym artykule.</w:t>
            </w:r>
          </w:p>
          <w:p w:rsidR="00595FAD" w:rsidRPr="00AA1421" w:rsidRDefault="00595FAD" w:rsidP="00FF15C6">
            <w:pPr>
              <w:spacing w:beforeLines="60" w:before="144" w:afterLines="60" w:after="144"/>
              <w:rPr>
                <w:rFonts w:ascii="Times New Roman" w:hAnsi="Times New Roman"/>
                <w:b/>
                <w:sz w:val="24"/>
              </w:rPr>
            </w:pPr>
            <w:r w:rsidRPr="00AA1421">
              <w:rPr>
                <w:rStyle w:val="InstructionsTabelleberschrift"/>
                <w:rFonts w:ascii="Times New Roman" w:hAnsi="Times New Roman"/>
                <w:b w:val="0"/>
                <w:sz w:val="24"/>
                <w:u w:val="none"/>
              </w:rPr>
              <w:t xml:space="preserve">Pozycja ta jest zgłaszana wyłącznie przez instytucje stosujące odstępstwo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w:t>
            </w:r>
          </w:p>
        </w:tc>
      </w:tr>
      <w:tr w:rsidR="00595FAD" w:rsidRPr="00AA1421" w:rsidTr="00FF15C6">
        <w:tc>
          <w:tcPr>
            <w:tcW w:w="852" w:type="dxa"/>
          </w:tcPr>
          <w:p w:rsidR="00595FAD" w:rsidRPr="00AA1421" w:rsidRDefault="00595FAD" w:rsidP="00FF15C6">
            <w:pPr>
              <w:spacing w:beforeLines="60" w:before="144" w:afterLines="60" w:after="144"/>
              <w:rPr>
                <w:rFonts w:ascii="Times New Roman" w:hAnsi="Times New Roman"/>
                <w:sz w:val="24"/>
              </w:rPr>
            </w:pPr>
            <w:r w:rsidRPr="00AA1421">
              <w:rPr>
                <w:rFonts w:ascii="Times New Roman" w:hAnsi="Times New Roman"/>
                <w:sz w:val="24"/>
              </w:rPr>
              <w:t>0070</w:t>
            </w:r>
          </w:p>
        </w:tc>
        <w:tc>
          <w:tcPr>
            <w:tcW w:w="8187" w:type="dxa"/>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Metoda obliczania wartości ekspozycji na poziomie skonsolidowanym</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273a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Metoda obliczania wartości ekspozycji dla pozycji w instrumentach pochodnych w ujęciu skonsolidowanym, którą stosuje się również na poziomie pojedynczego podmiotu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OEM: metoda wyceny pierwotnej ekspozycji</w:t>
            </w:r>
          </w:p>
          <w:p w:rsidR="00595FAD" w:rsidRPr="00AA1421" w:rsidRDefault="00595FAD" w:rsidP="00FF15C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 uproszczona metoda standardowa dotycząca CCR: uproszczona metoda standardowa dotycząca ryzyka kredytowego kontrahenta </w:t>
            </w:r>
          </w:p>
          <w:p w:rsidR="00595FAD" w:rsidRPr="00AA1421" w:rsidRDefault="00595FAD" w:rsidP="00FF15C6">
            <w:pPr>
              <w:spacing w:beforeLines="60" w:before="144" w:afterLines="60" w:after="144"/>
              <w:rPr>
                <w:rFonts w:ascii="Times New Roman" w:hAnsi="Times New Roman"/>
                <w:b/>
                <w:sz w:val="24"/>
              </w:rPr>
            </w:pPr>
            <w:r w:rsidRPr="00AA1421">
              <w:rPr>
                <w:rStyle w:val="InstructionsTabelleberschrift"/>
                <w:rFonts w:ascii="Times New Roman" w:hAnsi="Times New Roman"/>
                <w:b w:val="0"/>
                <w:sz w:val="24"/>
                <w:u w:val="none"/>
              </w:rPr>
              <w:t xml:space="preserve">Pozycja ta jest zgłaszana wyłącznie przez instytucje stosujące odstępstwo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73a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4</w:t>
            </w:r>
            <w:r w:rsidRPr="00AA1421">
              <w:rPr>
                <w:rStyle w:val="InstructionsTabelleberschrift"/>
                <w:rFonts w:ascii="Times New Roman" w:hAnsi="Times New Roman"/>
                <w:b w:val="0"/>
                <w:sz w:val="24"/>
                <w:u w:val="none"/>
              </w:rPr>
              <w:t xml:space="preserve"> CRR.</w:t>
            </w:r>
          </w:p>
        </w:tc>
      </w:tr>
    </w:tbl>
    <w:p w:rsidR="00595FAD" w:rsidRPr="00AA1421"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403681"/>
      <w:r w:rsidRPr="00AA1421">
        <w:rPr>
          <w:rFonts w:ascii="Times New Roman" w:hAnsi="Times New Roman"/>
          <w:sz w:val="24"/>
        </w:rPr>
        <w:t>C 34.02 - Ekspozycje na ryzyko kredytowe kontrahenta według metod</w:t>
      </w:r>
      <w:bookmarkEnd w:id="456"/>
      <w:bookmarkEnd w:id="457"/>
      <w:r w:rsidRPr="00AA1421">
        <w:rPr>
          <w:rFonts w:ascii="Times New Roman" w:hAnsi="Times New Roman"/>
          <w:sz w:val="24"/>
        </w:rPr>
        <w:t xml:space="preserve"> </w:t>
      </w:r>
    </w:p>
    <w:p w:rsidR="00595FAD" w:rsidRPr="00AA1421"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403682"/>
      <w:r w:rsidRPr="00AA1421">
        <w:rPr>
          <w:rFonts w:ascii="Times New Roman" w:hAnsi="Times New Roman"/>
          <w:sz w:val="24"/>
        </w:rPr>
        <w:t>Uwagi ogólne</w:t>
      </w:r>
      <w:bookmarkEnd w:id="458"/>
      <w:bookmarkEnd w:id="459"/>
    </w:p>
    <w:p w:rsidR="00595FAD" w:rsidRPr="00AA1421" w:rsidRDefault="00AA1421" w:rsidP="00487A02">
      <w:pPr>
        <w:pStyle w:val="InstructionsText2"/>
        <w:numPr>
          <w:ilvl w:val="0"/>
          <w:numId w:val="0"/>
        </w:numPr>
        <w:ind w:left="1353" w:hanging="360"/>
      </w:pPr>
      <w:fldSimple w:instr=" seq paragraphs ">
        <w:r w:rsidR="00D11E4C" w:rsidRPr="00AA1421">
          <w:rPr>
            <w:noProof/>
          </w:rPr>
          <w:t>124</w:t>
        </w:r>
      </w:fldSimple>
      <w:r w:rsidR="00D11E4C" w:rsidRPr="00AA1421">
        <w:t>. Instytucje zgłaszają wzór oddzielnie dla wszystkich ekspozycja na ryzyko kredytowe kontrahenta i dla wszystkich ekspozycji na ryzyko kredytowe kontrahenta z wyłączeniem ekspozycji wobec kontrahentów centralnych (CCP), zdefiniowanych na potrzeby wzoru C 34.10.</w:t>
      </w:r>
    </w:p>
    <w:p w:rsidR="00595FAD" w:rsidRPr="00AA1421"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403683"/>
      <w:r w:rsidRPr="00AA1421">
        <w:rPr>
          <w:rFonts w:ascii="Times New Roman" w:hAnsi="Times New Roman"/>
          <w:sz w:val="24"/>
        </w:rPr>
        <w:t>Instrukcje dotyczące poszczególnych pozycji</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751FBE">
        <w:trPr>
          <w:trHeight w:val="616"/>
        </w:trPr>
        <w:tc>
          <w:tcPr>
            <w:tcW w:w="9039" w:type="dxa"/>
            <w:gridSpan w:val="2"/>
            <w:tcBorders>
              <w:right w:val="single" w:sz="4" w:space="0" w:color="auto"/>
            </w:tcBorders>
            <w:shd w:val="clear" w:color="auto" w:fill="D9D9D9" w:themeFill="background1" w:themeFillShade="D9"/>
          </w:tcPr>
          <w:p w:rsidR="00595FAD" w:rsidRPr="00AA1421" w:rsidRDefault="00595FAD" w:rsidP="00751FBE">
            <w:pPr>
              <w:autoSpaceDE w:val="0"/>
              <w:autoSpaceDN w:val="0"/>
              <w:adjustRightInd w:val="0"/>
              <w:rPr>
                <w:rFonts w:ascii="Times New Roman" w:hAnsi="Times New Roman"/>
                <w:b/>
                <w:sz w:val="24"/>
              </w:rPr>
            </w:pPr>
            <w:r w:rsidRPr="00AA1421">
              <w:rPr>
                <w:rFonts w:ascii="Times New Roman" w:hAnsi="Times New Roman"/>
                <w:b/>
                <w:sz w:val="24"/>
              </w:rPr>
              <w:t>Kolumny</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0010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LICZBA KONTRAHENTÓW</w:t>
            </w:r>
          </w:p>
          <w:p w:rsidR="00595FAD" w:rsidRPr="00AA1421" w:rsidRDefault="00595FAD" w:rsidP="00FF15C6">
            <w:pPr>
              <w:autoSpaceDE w:val="0"/>
              <w:autoSpaceDN w:val="0"/>
              <w:adjustRightInd w:val="0"/>
              <w:spacing w:before="60"/>
              <w:rPr>
                <w:rFonts w:ascii="Times New Roman" w:hAnsi="Times New Roman"/>
                <w:i/>
                <w:sz w:val="24"/>
              </w:rPr>
            </w:pPr>
            <w:r w:rsidRPr="00AA1421">
              <w:rPr>
                <w:rFonts w:ascii="Times New Roman" w:hAnsi="Times New Roman"/>
                <w:sz w:val="24"/>
              </w:rPr>
              <w:t>Liczba pojedynczych kontrahentów, wobec których instytucja posiada ekspozycje na ryzyko kredytowe kontrahenta.</w:t>
            </w:r>
          </w:p>
        </w:tc>
      </w:tr>
      <w:tr w:rsidR="00595FAD" w:rsidRPr="00AA1421" w:rsidTr="00FF15C6">
        <w:trPr>
          <w:trHeight w:val="416"/>
        </w:trPr>
        <w:tc>
          <w:tcPr>
            <w:tcW w:w="1384" w:type="dxa"/>
          </w:tcPr>
          <w:p w:rsidR="00595FAD" w:rsidRPr="00AA1421" w:rsidRDefault="00595FAD" w:rsidP="00FF15C6">
            <w:pPr>
              <w:pStyle w:val="Applicationdirecte"/>
              <w:spacing w:before="0" w:after="0"/>
            </w:pPr>
            <w:r w:rsidRPr="00AA1421">
              <w:t>0020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LICZBA TRANSAKCJI</w:t>
            </w:r>
          </w:p>
          <w:p w:rsidR="00595FAD" w:rsidRPr="00AA1421" w:rsidRDefault="00595FAD" w:rsidP="00FF15C6">
            <w:pPr>
              <w:autoSpaceDE w:val="0"/>
              <w:autoSpaceDN w:val="0"/>
              <w:adjustRightInd w:val="0"/>
              <w:spacing w:before="60"/>
              <w:rPr>
                <w:rFonts w:ascii="Times New Roman" w:hAnsi="Times New Roman"/>
                <w:sz w:val="24"/>
              </w:rPr>
            </w:pPr>
            <w:r w:rsidRPr="00AA1421">
              <w:rPr>
                <w:rFonts w:ascii="Times New Roman" w:hAnsi="Times New Roman"/>
                <w:sz w:val="24"/>
              </w:rPr>
              <w:t>Liczba transakcji podlegających ryzyku kredytowemu kontrahenta na dzień sprawozdawczy. Należy zwrócić uwagę, że w przypadku transakcji z kontrahentami centralnymi liczba transakcji nie powinna uwzględniać wpływów ani wypływów, lecz całość pozycji w portfelu ekspozycji na ryzyko kredytowe kontrahenta na dzień sprawozdawczy. Ponadto instrument pochodny lub transakcję finansowaną z użyciem papierów wartościowych, które do celów związanych z modelowaniem podzielono na co najmniej dwa składniki, nadal uznaje się za jedną transakcję.</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0030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KWOTY REFERENCYJNE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Suma kwot referencyjnych dla instrumentów pochodnych i transakcji finansowanych z użyciem papierów wartościowych przed kompensowaniem i bez żadnych korekt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79b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0040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DODATNIA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Art. 272 pkt 12 CRR</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Suma bieżących wartości rynkowych wszystkich pakietów kompensowania z dodatnią bieżącą wartością rynkową w rozumieniu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CRR.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0050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UJEMNA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Art. 272 pkt 12 CRR</w:t>
            </w:r>
          </w:p>
          <w:p w:rsidR="00595FAD" w:rsidRPr="00AA1421" w:rsidRDefault="00595FAD" w:rsidP="00FF15C6">
            <w:pPr>
              <w:keepNext/>
              <w:spacing w:before="60"/>
              <w:rPr>
                <w:rStyle w:val="InstructionsTabelleberschrift"/>
                <w:rFonts w:ascii="Times New Roman" w:hAnsi="Times New Roman"/>
                <w:sz w:val="24"/>
              </w:rPr>
            </w:pPr>
            <w:r w:rsidRPr="00AA1421">
              <w:rPr>
                <w:rFonts w:ascii="Times New Roman" w:hAnsi="Times New Roman"/>
                <w:sz w:val="24"/>
              </w:rPr>
              <w:t xml:space="preserve">Suma bezwzględnych bieżących wartości rynkowych wszystkich pakietów kompensowania z ujemną bieżącą wartością rynkową w rozumieniu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2 CRR.</w:t>
            </w:r>
          </w:p>
        </w:tc>
      </w:tr>
      <w:tr w:rsidR="00595FAD" w:rsidRPr="00AA1421" w:rsidTr="00FF15C6">
        <w:trPr>
          <w:trHeight w:val="680"/>
        </w:trPr>
        <w:tc>
          <w:tcPr>
            <w:tcW w:w="1384" w:type="dxa"/>
          </w:tcPr>
          <w:p w:rsidR="00595FAD" w:rsidRPr="00AA1421" w:rsidRDefault="00595FAD" w:rsidP="00FF15C6">
            <w:pPr>
              <w:pStyle w:val="Fait"/>
            </w:pPr>
            <w:r w:rsidRPr="00AA1421">
              <w:t>0060</w:t>
            </w:r>
          </w:p>
        </w:tc>
        <w:tc>
          <w:tcPr>
            <w:tcW w:w="7655" w:type="dxa"/>
            <w:vAlign w:val="center"/>
          </w:tcPr>
          <w:p w:rsidR="00595FAD" w:rsidRPr="00AA1421" w:rsidRDefault="00595FAD" w:rsidP="00FF15C6">
            <w:pPr>
              <w:keepNext/>
              <w:spacing w:before="60"/>
              <w:rPr>
                <w:rStyle w:val="InstructionsTabelleberschrift"/>
                <w:rFonts w:ascii="Times New Roman" w:hAnsi="Times New Roman"/>
                <w:b w:val="0"/>
                <w:bCs w:val="0"/>
                <w:sz w:val="24"/>
              </w:rPr>
            </w:pPr>
            <w:r w:rsidRPr="00AA1421">
              <w:rPr>
                <w:rStyle w:val="InstructionsTabelleberschrift"/>
                <w:rFonts w:ascii="Times New Roman" w:hAnsi="Times New Roman"/>
                <w:sz w:val="24"/>
              </w:rPr>
              <w:t>OTRZYMANY ZMIENNY DEPOZYT ZABEZPIECZAJĄCY (VM)</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Art. 275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Suma kwot zmiennego depozytu zabezpieczającego (VM) dla wszystkich umów o dostarczeniu zabezpieczenia, dla których otrzymuje się VM,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tc>
      </w:tr>
      <w:tr w:rsidR="00595FAD" w:rsidRPr="00AA1421" w:rsidTr="00FF15C6">
        <w:trPr>
          <w:trHeight w:val="680"/>
        </w:trPr>
        <w:tc>
          <w:tcPr>
            <w:tcW w:w="1384" w:type="dxa"/>
          </w:tcPr>
          <w:p w:rsidR="00595FAD" w:rsidRPr="00AA1421" w:rsidRDefault="00595FAD" w:rsidP="00FF15C6">
            <w:pPr>
              <w:pStyle w:val="Fait"/>
            </w:pPr>
            <w:r w:rsidRPr="00AA1421">
              <w:t>0070</w:t>
            </w:r>
          </w:p>
        </w:tc>
        <w:tc>
          <w:tcPr>
            <w:tcW w:w="7655" w:type="dxa"/>
            <w:vAlign w:val="center"/>
          </w:tcPr>
          <w:p w:rsidR="00595FAD" w:rsidRPr="00AA1421" w:rsidRDefault="00595FAD" w:rsidP="00FF15C6">
            <w:pPr>
              <w:keepNext/>
              <w:spacing w:before="60"/>
              <w:rPr>
                <w:rStyle w:val="InstructionsTabelleberschrift"/>
                <w:rFonts w:ascii="Times New Roman" w:hAnsi="Times New Roman"/>
                <w:b w:val="0"/>
                <w:bCs w:val="0"/>
                <w:sz w:val="24"/>
              </w:rPr>
            </w:pPr>
            <w:r w:rsidRPr="00AA1421">
              <w:rPr>
                <w:rStyle w:val="InstructionsTabelleberschrift"/>
                <w:rFonts w:ascii="Times New Roman" w:hAnsi="Times New Roman"/>
                <w:sz w:val="24"/>
              </w:rPr>
              <w:t>WNIESIONY ZMIENNY DEPOZYT ZABEZPIECZAJĄCY (VM)</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Art. 275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p w:rsidR="00595FAD" w:rsidRPr="00AA1421" w:rsidRDefault="00595FAD" w:rsidP="007063EE">
            <w:pPr>
              <w:keepNext/>
              <w:spacing w:before="60"/>
              <w:rPr>
                <w:rStyle w:val="InstructionsTabelleberschrift"/>
                <w:rFonts w:ascii="Times New Roman" w:hAnsi="Times New Roman"/>
                <w:sz w:val="24"/>
              </w:rPr>
            </w:pPr>
            <w:r w:rsidRPr="00AA1421">
              <w:rPr>
                <w:rFonts w:ascii="Times New Roman" w:hAnsi="Times New Roman"/>
                <w:sz w:val="24"/>
              </w:rPr>
              <w:t xml:space="preserve">Suma kwot zmiennego depozytu zabezpieczającego (VM) dla wszystkich umów o dostarczeniu zabezpieczenia, dla których wnosi się VM,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0080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OTRZYMANA WARTOŚĆ NIEZALEŻNEGO ZABEZPIECZENIA NETTO (NICA) </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lastRenderedPageBreak/>
              <w:t xml:space="preserve">Art. 272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Suma wartości niezależnego zabezpieczenia netto (NICA) dla wszystkich umów o dostarczeniu zabezpieczenia, dla których otrzymuje się NICA,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0090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WNIESIONA WARTOŚĆ NIEZALEŻNEGO ZABEZPIECZENIA NETTO (NICA) </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Art. 272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2a,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p w:rsidR="00595FAD" w:rsidRPr="00AA1421" w:rsidRDefault="00595FAD" w:rsidP="00FF15C6">
            <w:pPr>
              <w:spacing w:before="60"/>
              <w:rPr>
                <w:rStyle w:val="InstructionsTabelleberschrift"/>
                <w:rFonts w:ascii="Times New Roman" w:hAnsi="Times New Roman"/>
                <w:sz w:val="24"/>
              </w:rPr>
            </w:pPr>
            <w:r w:rsidRPr="00AA1421">
              <w:rPr>
                <w:rFonts w:ascii="Times New Roman" w:hAnsi="Times New Roman"/>
                <w:sz w:val="24"/>
              </w:rPr>
              <w:t xml:space="preserve">Suma wartości niezależnego zabezpieczenia netto (NICA) dla wszystkich umów o dostarczeniu zabezpieczenia, dla których wnosi się NICA,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76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0100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KOSZT ODTWORZENIA (RC) </w:t>
            </w:r>
          </w:p>
          <w:p w:rsidR="00595FAD" w:rsidRPr="00AA1421" w:rsidRDefault="00595FAD" w:rsidP="00FF15C6">
            <w:pPr>
              <w:spacing w:before="60"/>
              <w:rPr>
                <w:rFonts w:ascii="Times New Roman" w:eastAsia="Calibri" w:hAnsi="Times New Roman"/>
                <w:sz w:val="24"/>
              </w:rPr>
            </w:pPr>
            <w:r w:rsidRPr="00AA1421">
              <w:rPr>
                <w:rFonts w:ascii="Times New Roman" w:hAnsi="Times New Roman"/>
                <w:sz w:val="24"/>
              </w:rPr>
              <w:t>Art. 275, 281 i 282 CRR</w:t>
            </w:r>
          </w:p>
          <w:p w:rsidR="00595FAD" w:rsidRPr="00AA1421" w:rsidRDefault="00595FAD" w:rsidP="00FF15C6">
            <w:pPr>
              <w:pStyle w:val="TableMainHeading"/>
              <w:spacing w:before="0" w:after="0"/>
              <w:jc w:val="both"/>
              <w:rPr>
                <w:rFonts w:ascii="Times New Roman" w:hAnsi="Times New Roman"/>
                <w:sz w:val="24"/>
                <w:szCs w:val="24"/>
              </w:rPr>
            </w:pPr>
            <w:r w:rsidRPr="00AA1421">
              <w:rPr>
                <w:rFonts w:ascii="Times New Roman" w:hAnsi="Times New Roman"/>
                <w:sz w:val="24"/>
                <w:szCs w:val="24"/>
              </w:rPr>
              <w:t xml:space="preserve">Koszt odtworzenia (RC) pakietu kompensowania oblicza się zgodnie z następującymi wymogami: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 przypadku metody wyceny pierwotnej ekspozycji,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81 CRR w przypadku uproszczonej metody standardowej dotyczącej ryzyka kredytowego kontrahenta,</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75 CRR w przypadku metody standardowej dotyczącej ryzyka kredytowego kontrahenta.</w:t>
            </w:r>
          </w:p>
          <w:p w:rsidR="00595FAD" w:rsidRPr="00AA1421" w:rsidRDefault="00595FAD" w:rsidP="00FF15C6">
            <w:pPr>
              <w:spacing w:before="60"/>
              <w:rPr>
                <w:rFonts w:ascii="Times New Roman" w:hAnsi="Times New Roman"/>
                <w:sz w:val="24"/>
              </w:rPr>
            </w:pPr>
            <w:r w:rsidRPr="00AA1421">
              <w:rPr>
                <w:rFonts w:ascii="Times New Roman" w:hAnsi="Times New Roman"/>
                <w:sz w:val="24"/>
              </w:rPr>
              <w:t>Instytucja zgłasza sumę wszystkich kosztów odtworzenia pakietów kompensowania w odpowiednim wierszu.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0110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POTENCJALNA PRZYSZŁA EKSPOZYCJA (PFE)</w:t>
            </w:r>
          </w:p>
          <w:p w:rsidR="00595FAD" w:rsidRPr="00AA1421" w:rsidRDefault="00595FAD" w:rsidP="00FF15C6">
            <w:pPr>
              <w:spacing w:before="60"/>
              <w:rPr>
                <w:rFonts w:ascii="Times New Roman" w:eastAsia="Calibri" w:hAnsi="Times New Roman"/>
                <w:sz w:val="24"/>
              </w:rPr>
            </w:pPr>
            <w:r w:rsidRPr="00AA1421">
              <w:rPr>
                <w:rFonts w:ascii="Times New Roman" w:hAnsi="Times New Roman"/>
                <w:sz w:val="24"/>
              </w:rPr>
              <w:t>Art. 278, 281 i 282 CRR</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Potencjalną przyszłą ekspozycję (PFE) pakietu kompensowania oblicza się zgodnie z następującymi wymogami: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w przypadku metody wyceny pierwotnej ekspozycji,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81 CRR w przypadku uproszczonej metody standardowej dotyczącej ryzyka kredytowego kontrahenta,</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78 CRR w przypadku metody standardowej dotyczącej ryzyka kredytowego kontrahenta.</w:t>
            </w:r>
          </w:p>
          <w:p w:rsidR="00595FAD" w:rsidRPr="00AA1421" w:rsidRDefault="00595FAD" w:rsidP="00FF15C6">
            <w:pPr>
              <w:spacing w:before="60"/>
              <w:rPr>
                <w:rFonts w:ascii="Times New Roman" w:hAnsi="Times New Roman"/>
                <w:i/>
                <w:sz w:val="24"/>
              </w:rPr>
            </w:pPr>
            <w:r w:rsidRPr="00AA1421">
              <w:rPr>
                <w:rFonts w:ascii="Times New Roman" w:hAnsi="Times New Roman"/>
                <w:sz w:val="24"/>
              </w:rPr>
              <w:t>Instytucja zgłasza sumę wszystkich potencjalnych przyszłych ekspozycji pakietów kompensowania w odpowiednim wierszu.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0120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EKSPOZYCJA</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Art. 272 pkt 17 CRR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Bieżąca ekspozycja z tytułu każdego pakietu kompensowania jest wartością określoną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7 CRR.</w:t>
            </w:r>
          </w:p>
          <w:p w:rsidR="00595FAD" w:rsidRPr="00AA1421" w:rsidRDefault="00595FAD" w:rsidP="00FF15C6">
            <w:pPr>
              <w:spacing w:before="60"/>
              <w:rPr>
                <w:rFonts w:ascii="Times New Roman" w:hAnsi="Times New Roman"/>
                <w:sz w:val="24"/>
              </w:rPr>
            </w:pPr>
            <w:r w:rsidRPr="00AA1421">
              <w:rPr>
                <w:rFonts w:ascii="Times New Roman" w:hAnsi="Times New Roman"/>
                <w:sz w:val="24"/>
              </w:rPr>
              <w:t>Instytucja zgłasza sumę wszystkich bieżących ekspozycji pakietów kompensowania w odpowiednim wierszu.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0130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EFEKTYWNA DODATNIA EKSPOZYCJA OCZEKIWANA (EFEKTYWNA EPE)</w:t>
            </w:r>
          </w:p>
          <w:p w:rsidR="00595FAD" w:rsidRPr="00AA1421" w:rsidRDefault="00595FAD" w:rsidP="00FF15C6">
            <w:pPr>
              <w:spacing w:before="60"/>
              <w:rPr>
                <w:rFonts w:ascii="Times New Roman" w:eastAsia="Calibri" w:hAnsi="Times New Roman"/>
                <w:sz w:val="24"/>
              </w:rPr>
            </w:pPr>
            <w:r w:rsidRPr="00AA1421">
              <w:rPr>
                <w:rFonts w:ascii="Times New Roman" w:hAnsi="Times New Roman"/>
                <w:sz w:val="24"/>
              </w:rPr>
              <w:t xml:space="preserve">Art. 272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595FAD" w:rsidRPr="00AA1421" w:rsidRDefault="00595FAD" w:rsidP="00FF15C6">
            <w:pPr>
              <w:pStyle w:val="Default"/>
              <w:spacing w:after="120"/>
              <w:jc w:val="both"/>
              <w:rPr>
                <w:rFonts w:ascii="Times New Roman" w:hAnsi="Times New Roman" w:cs="Times New Roman"/>
                <w:color w:val="auto"/>
              </w:rPr>
            </w:pPr>
            <w:r w:rsidRPr="00AA1421">
              <w:rPr>
                <w:rFonts w:ascii="Times New Roman" w:hAnsi="Times New Roman"/>
                <w:color w:val="auto"/>
              </w:rPr>
              <w:t xml:space="preserve">Efektywną EPE pakietu kompensowania zdefiniowano w </w:t>
            </w:r>
            <w:r w:rsidRPr="00084F66">
              <w:rPr>
                <w:rFonts w:ascii="Times New Roman" w:hAnsi="Times New Roman"/>
                <w:color w:val="auto"/>
              </w:rPr>
              <w:t>art.</w:t>
            </w:r>
            <w:r w:rsidR="00084F66" w:rsidRPr="00084F66">
              <w:rPr>
                <w:rFonts w:ascii="Times New Roman" w:hAnsi="Times New Roman"/>
                <w:color w:val="auto"/>
              </w:rPr>
              <w:t> </w:t>
            </w:r>
            <w:r w:rsidRPr="00084F66">
              <w:rPr>
                <w:rFonts w:ascii="Times New Roman" w:hAnsi="Times New Roman"/>
                <w:color w:val="auto"/>
              </w:rPr>
              <w:t>2</w:t>
            </w:r>
            <w:r w:rsidRPr="00AA1421">
              <w:rPr>
                <w:rFonts w:ascii="Times New Roman" w:hAnsi="Times New Roman"/>
                <w:color w:val="auto"/>
              </w:rPr>
              <w:t xml:space="preserve">72 </w:t>
            </w:r>
            <w:r w:rsidRPr="00084F66">
              <w:rPr>
                <w:rFonts w:ascii="Times New Roman" w:hAnsi="Times New Roman"/>
                <w:color w:val="auto"/>
              </w:rPr>
              <w:t>pkt</w:t>
            </w:r>
            <w:r w:rsidR="00084F66" w:rsidRPr="00084F66">
              <w:rPr>
                <w:rFonts w:ascii="Times New Roman" w:hAnsi="Times New Roman"/>
                <w:color w:val="auto"/>
              </w:rPr>
              <w:t> </w:t>
            </w:r>
            <w:r w:rsidRPr="00084F66">
              <w:rPr>
                <w:rFonts w:ascii="Times New Roman" w:hAnsi="Times New Roman"/>
                <w:color w:val="auto"/>
              </w:rPr>
              <w:t>2</w:t>
            </w:r>
            <w:r w:rsidRPr="00AA1421">
              <w:rPr>
                <w:rFonts w:ascii="Times New Roman" w:hAnsi="Times New Roman"/>
                <w:color w:val="auto"/>
              </w:rPr>
              <w:t xml:space="preserve">2 CRR i oblicza się ją zgodnie z </w:t>
            </w:r>
            <w:r w:rsidRPr="00084F66">
              <w:rPr>
                <w:rFonts w:ascii="Times New Roman" w:hAnsi="Times New Roman"/>
                <w:color w:val="auto"/>
              </w:rPr>
              <w:t>art.</w:t>
            </w:r>
            <w:r w:rsidR="00084F66" w:rsidRPr="00084F66">
              <w:rPr>
                <w:rFonts w:ascii="Times New Roman" w:hAnsi="Times New Roman"/>
                <w:color w:val="auto"/>
              </w:rPr>
              <w:t> </w:t>
            </w:r>
            <w:r w:rsidRPr="00084F66">
              <w:rPr>
                <w:rFonts w:ascii="Times New Roman" w:hAnsi="Times New Roman"/>
                <w:color w:val="auto"/>
              </w:rPr>
              <w:t>2</w:t>
            </w:r>
            <w:r w:rsidRPr="00AA1421">
              <w:rPr>
                <w:rFonts w:ascii="Times New Roman" w:hAnsi="Times New Roman"/>
                <w:color w:val="auto"/>
              </w:rPr>
              <w:t xml:space="preserve">84 </w:t>
            </w:r>
            <w:r w:rsidRPr="00084F66">
              <w:rPr>
                <w:rFonts w:ascii="Times New Roman" w:hAnsi="Times New Roman"/>
                <w:color w:val="auto"/>
              </w:rPr>
              <w:t>ust.</w:t>
            </w:r>
            <w:r w:rsidR="00084F66" w:rsidRPr="00084F66">
              <w:rPr>
                <w:rFonts w:ascii="Times New Roman" w:hAnsi="Times New Roman"/>
                <w:color w:val="auto"/>
              </w:rPr>
              <w:t> </w:t>
            </w:r>
            <w:r w:rsidRPr="00084F66">
              <w:rPr>
                <w:rFonts w:ascii="Times New Roman" w:hAnsi="Times New Roman"/>
                <w:color w:val="auto"/>
              </w:rPr>
              <w:t>6</w:t>
            </w:r>
            <w:r w:rsidRPr="00AA1421">
              <w:rPr>
                <w:rFonts w:ascii="Times New Roman" w:hAnsi="Times New Roman"/>
                <w:color w:val="auto"/>
              </w:rPr>
              <w:t xml:space="preserve"> CRR.</w:t>
            </w:r>
          </w:p>
          <w:p w:rsidR="00595FAD" w:rsidRPr="00AA1421" w:rsidRDefault="00595FAD" w:rsidP="00BC3A29">
            <w:pPr>
              <w:spacing w:before="60"/>
              <w:rPr>
                <w:rFonts w:ascii="Times New Roman" w:eastAsia="Calibri" w:hAnsi="Times New Roman"/>
                <w:sz w:val="24"/>
              </w:rPr>
            </w:pPr>
            <w:r w:rsidRPr="00AA1421">
              <w:rPr>
                <w:rFonts w:ascii="Times New Roman" w:hAnsi="Times New Roman"/>
                <w:sz w:val="24"/>
              </w:rPr>
              <w:t xml:space="preserve">Instytucja zgłasza sumę wszystkich efektywnych EPE zastosowanych w celu określenia wymogów w zakresie funduszy własnych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tj. albo efektywną EPE obliczoną na podstawie bieżących danych rynkowych, albo efektywną EPE obliczoną przy zastosowaniu kalibracji dla warunków skrajnych, w zależności od tego, która z tych wartości prowadzi do wyższego wymogu w zakresie funduszy własnych.</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0140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WARTOŚĆ ALFA STOSOWANA DO OBLICZANIA REGULACYJNEJ WARTOŚCI EKSPOZYCJI </w:t>
            </w:r>
          </w:p>
          <w:p w:rsidR="00595FAD" w:rsidRPr="00AA1421" w:rsidRDefault="00595FAD" w:rsidP="00FF15C6">
            <w:pPr>
              <w:spacing w:before="60"/>
              <w:rPr>
                <w:rFonts w:ascii="Times New Roman" w:hAnsi="Times New Roman"/>
                <w:i/>
                <w:sz w:val="24"/>
              </w:rPr>
            </w:pPr>
            <w:r w:rsidRPr="00AA1421">
              <w:rPr>
                <w:rFonts w:ascii="Times New Roman" w:hAnsi="Times New Roman"/>
                <w:sz w:val="24"/>
              </w:rPr>
              <w:t xml:space="preserve">Art. 274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i 9 CRR</w:t>
            </w:r>
          </w:p>
          <w:p w:rsidR="00595FAD" w:rsidRPr="00AA1421" w:rsidRDefault="00595FAD" w:rsidP="00FF15C6">
            <w:pPr>
              <w:spacing w:before="60"/>
              <w:rPr>
                <w:rFonts w:ascii="Times New Roman" w:eastAsia="Calibri" w:hAnsi="Times New Roman"/>
                <w:i/>
                <w:sz w:val="24"/>
              </w:rPr>
            </w:pPr>
            <w:r w:rsidRPr="00AA1421">
              <w:rPr>
                <w:rFonts w:ascii="Times New Roman" w:hAnsi="Times New Roman"/>
                <w:sz w:val="24"/>
              </w:rPr>
              <w:t xml:space="preserve">Jako wartość α przyjmuje </w:t>
            </w:r>
            <w:r w:rsidRPr="00084F66">
              <w:rPr>
                <w:rFonts w:ascii="Times New Roman" w:hAnsi="Times New Roman"/>
                <w:sz w:val="24"/>
              </w:rPr>
              <w:t>się</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 w wierszach dotyczących metody wyceny pierwotnej ekspozycji, uproszczonej metody standardowej dotyczącej ryzyka kredytowego kontrahenta i metody standardowej dotyczącej ryzyka kredytowego kontrahenta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r w:rsidRPr="00084F66">
              <w:rPr>
                <w:rFonts w:ascii="Times New Roman" w:hAnsi="Times New Roman"/>
                <w:sz w:val="24"/>
              </w:rPr>
              <w:t>.</w:t>
            </w:r>
            <w:r w:rsidR="00084F66" w:rsidRPr="00084F66">
              <w:rPr>
                <w:rFonts w:ascii="Times New Roman" w:hAnsi="Times New Roman"/>
                <w:sz w:val="24"/>
              </w:rPr>
              <w:t xml:space="preserve"> </w:t>
            </w:r>
            <w:r w:rsidRPr="00084F66">
              <w:rPr>
                <w:rFonts w:ascii="Times New Roman" w:hAnsi="Times New Roman"/>
                <w:sz w:val="24"/>
              </w:rPr>
              <w:t>D</w:t>
            </w:r>
            <w:r w:rsidRPr="00AA1421">
              <w:rPr>
                <w:rFonts w:ascii="Times New Roman" w:hAnsi="Times New Roman"/>
                <w:sz w:val="24"/>
              </w:rPr>
              <w:t xml:space="preserve">o celów IMM wartość α może być wartością domyślną wynoszącą 1,4 albo inną wartością, gdy właściwe organy wymagają wyższej wartości α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lub zezwalają instytucjom na stosowanie własnych oszacowań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0150</w:t>
            </w:r>
          </w:p>
        </w:tc>
        <w:tc>
          <w:tcPr>
            <w:tcW w:w="7655" w:type="dxa"/>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 xml:space="preserve">WARTOŚĆ EKSPOZYCJI PRZED OGRANICZENIEM RYZYKA KREDYTOWEGO </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Wartość ekspozycji przed ograniczeniem ryzyka kredytowego dla pakietów kompensowania ryzyka kredytowego kontrahenta oblicza się zgodnie z metodami określonymi w części trzeciej tytuł II rozdziały 4 i 6 CRR, biorąc pod uwagę skutki kompensowania, lecz pomijając wszelkie inne techniki ograniczania ryzyka kredytowego (np. zabezpieczenie w postaci depozytu zabezpieczającego). </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W przypadku transakcji finansowanych z użyciem papierów wartościowych część transakcji obejmująca papiery wartościowe nie jest brana pod uwagę przy ustalaniu wartości ekspozycji przed ograniczeniem ryzyka kredytowego, w przypadku gdy otrzymywane jest zabezpieczenie, i dlatego nie może zmniejszać wartości ekspozycji. Część transakcji obejmującą papiery wartościowe wykorzystywane w ramach transakcji finansowanej z użyciem papierów wartościowych należy natomiast w normalny sposób brać pod uwagę przy ustalaniu wartości ekspozycji przed ograniczeniem ryzyka kredytowego, w przypadku gdy wnoszone jest zabezpieczenie. </w:t>
            </w:r>
          </w:p>
          <w:p w:rsidR="00595FAD" w:rsidRPr="00084F66"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Ponadto zabezpieczoną działalność należy traktować jako niezabezpieczoną, tzn. nie mają zastosowania skutki uzupełniania zabezpieczenia</w:t>
            </w:r>
            <w:r w:rsidRPr="00084F66">
              <w:rPr>
                <w:rFonts w:ascii="Times New Roman" w:hAnsi="Times New Roman"/>
                <w:sz w:val="24"/>
                <w:szCs w:val="24"/>
              </w:rPr>
              <w:t>.</w:t>
            </w:r>
            <w:r w:rsidR="00084F66" w:rsidRPr="00084F66">
              <w:rPr>
                <w:rFonts w:ascii="Times New Roman" w:hAnsi="Times New Roman"/>
                <w:sz w:val="24"/>
                <w:szCs w:val="24"/>
              </w:rPr>
              <w:t xml:space="preserve">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Wartość ekspozycji przed ograniczeniem ryzyka kredytowego dla transakcji, w których stwierdzono szczególne ryzyko korelacji, należy określić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91 CRR. </w:t>
            </w:r>
          </w:p>
          <w:p w:rsidR="00595FAD" w:rsidRPr="00AA1421" w:rsidRDefault="00595FAD" w:rsidP="00FF15C6">
            <w:pPr>
              <w:spacing w:before="60"/>
              <w:rPr>
                <w:rFonts w:ascii="Times New Roman" w:hAnsi="Times New Roman"/>
                <w:sz w:val="24"/>
              </w:rPr>
            </w:pPr>
            <w:r w:rsidRPr="00AA1421">
              <w:rPr>
                <w:rFonts w:ascii="Times New Roman" w:hAnsi="Times New Roman"/>
                <w:sz w:val="24"/>
              </w:rPr>
              <w:lastRenderedPageBreak/>
              <w:t xml:space="preserve">W wartości ekspozycji przed ograniczeniem ryzyka kredytowego nie uwzględnia się odliczenia poniesionej straty z tytułu korekty wyceny kredytowej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w:t>
            </w:r>
          </w:p>
          <w:p w:rsidR="00595FAD" w:rsidRPr="00AA1421" w:rsidRDefault="00595FAD" w:rsidP="00FF15C6">
            <w:pPr>
              <w:spacing w:before="60"/>
              <w:rPr>
                <w:rFonts w:ascii="Times New Roman" w:hAnsi="Times New Roman"/>
                <w:i/>
                <w:sz w:val="24"/>
              </w:rPr>
            </w:pPr>
            <w:r w:rsidRPr="00AA1421">
              <w:rPr>
                <w:rFonts w:ascii="Times New Roman" w:hAnsi="Times New Roman"/>
                <w:sz w:val="24"/>
              </w:rPr>
              <w:t>Instytucja zgłasza sumę wszystkich wartości ekspozycji sprzed ograniczenia ryzyka kredytowego w odpowiednim wierszu.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0160</w:t>
            </w:r>
          </w:p>
        </w:tc>
        <w:tc>
          <w:tcPr>
            <w:tcW w:w="7655" w:type="dxa"/>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 xml:space="preserve">WARTOŚĆ EKSPOZYCJI PO OGRANICZENIU RYZYKA KREDYTOWEGO </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Wartość ekspozycji po ograniczeniu ryzyka kredytowego dla pakietów kompensowania ryzyka kredytowego kontrahenta oblicza się zgodnie z metodami określonymi w części trzeciej tytuł II rozdziały 4 i 6 CRR, po zastosowaniu technik ograniczenia ryzyka kredytowego stosowanych zgodnie z częścią trzecią tytuł II rozdziały 4 i 6 CRR.</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Wartość ekspozycji po ograniczeniu ryzyka kredytowego dla transakcji, w których stwierdzono szczególne ryzyko korelacji, należy określić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91 CRR.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W wartości ekspozycji po ograniczeniu ryzyka kredytowego nie uwzględnia się odliczenia poniesionej straty z tytułu korekty wyceny kredytowej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595FAD" w:rsidRPr="00AA1421" w:rsidRDefault="00595FAD" w:rsidP="00FF15C6">
            <w:pPr>
              <w:spacing w:before="60"/>
              <w:rPr>
                <w:rFonts w:ascii="Times New Roman" w:hAnsi="Times New Roman"/>
                <w:i/>
                <w:sz w:val="24"/>
              </w:rPr>
            </w:pPr>
            <w:r w:rsidRPr="00AA1421">
              <w:rPr>
                <w:rFonts w:ascii="Times New Roman" w:hAnsi="Times New Roman"/>
                <w:sz w:val="24"/>
              </w:rPr>
              <w:t>Instytucja zgłasza sumę wszystkich wartości ekspozycji po ograniczeniu ryzyka kredytowego w odpowiednim wierszu.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0170</w:t>
            </w:r>
          </w:p>
        </w:tc>
        <w:tc>
          <w:tcPr>
            <w:tcW w:w="7655" w:type="dxa"/>
            <w:vAlign w:val="center"/>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WARTOŚĆ EKSPOZYCJI</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Wartość ekspozycji dla pakietów kompensowania ryzyka kredytowego kontrahenta obliczona zgodnie z metodami określonymi w części trzeciej tytuł II rozdziały 4 i 6 CRR, która jest kwotą istotną dla obliczenia kwot ekspozycji ważonych ryzykiem, tj. po zastosowaniu technik ograniczenia ryzyka kredytowego stosowanych zgodnie z częścią trzecią tytuł II rozdziały 4 i 6 CRR oraz uwzględniając odliczenie poniesionej straty z tytułu korekty wyceny kredytowej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73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6</w:t>
            </w:r>
            <w:r w:rsidRPr="00AA1421">
              <w:rPr>
                <w:rFonts w:ascii="Times New Roman" w:hAnsi="Times New Roman"/>
                <w:sz w:val="24"/>
                <w:szCs w:val="24"/>
              </w:rPr>
              <w:t xml:space="preserve"> CRR. </w:t>
            </w:r>
          </w:p>
          <w:p w:rsidR="00595FAD" w:rsidRPr="00AA1421" w:rsidRDefault="00595FAD" w:rsidP="00FF15C6">
            <w:pPr>
              <w:rPr>
                <w:rFonts w:ascii="Times New Roman" w:hAnsi="Times New Roman"/>
                <w:sz w:val="24"/>
              </w:rPr>
            </w:pPr>
            <w:r w:rsidRPr="00AA1421">
              <w:rPr>
                <w:rFonts w:ascii="Times New Roman" w:hAnsi="Times New Roman"/>
                <w:sz w:val="24"/>
              </w:rPr>
              <w:t xml:space="preserve">Wartość ekspozycji dla transakcji, w których stwierdzono szczególne ryzyko korelacji, należy określić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91 CRR.</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W przypadkach, w których stosuje się więcej niż jedną metodę obliczania ryzyka kredytowego kontrahenta w odniesieniu do jednego kontrahenta, poniesioną stratę z tytułu korekty wyceny kredytowej, którą odlicza się na poziomie kontrahenta, przypisuje się do wartości ekspozycji poszczególnych pakietów kompensowania w każdej metodzie obliczania ryzyka kredytowego kontrahenta, odzwierciedlając stosunek wartości ekspozycji po ograniczeniu ryzyka kredytowego odpowiednich pakietów kompensowania do całkowitej wartości ekspozycji po ograniczeniu ryzyka kredytowego kontrahenta.</w:t>
            </w:r>
          </w:p>
          <w:p w:rsidR="00595FAD" w:rsidRPr="00AA1421" w:rsidRDefault="00595FAD" w:rsidP="00FF15C6">
            <w:r w:rsidRPr="00AA1421">
              <w:rPr>
                <w:rFonts w:ascii="Times New Roman" w:hAnsi="Times New Roman"/>
                <w:sz w:val="24"/>
              </w:rPr>
              <w:t>Instytucja zgłasza sumę wszystkich wartości ekspozycji w odpowiednim wierszu.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0180</w:t>
            </w:r>
          </w:p>
        </w:tc>
        <w:tc>
          <w:tcPr>
            <w:tcW w:w="7655" w:type="dxa"/>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Pozycje traktowane zgodnie z metodą standardową dotyczącą ryzyka kredytowego</w:t>
            </w:r>
          </w:p>
          <w:p w:rsidR="00595FAD" w:rsidRPr="00AA1421" w:rsidRDefault="00595FAD" w:rsidP="00FF15C6">
            <w:pPr>
              <w:spacing w:before="60"/>
              <w:rPr>
                <w:rFonts w:ascii="Times New Roman" w:hAnsi="Times New Roman"/>
                <w:i/>
                <w:sz w:val="24"/>
              </w:rPr>
            </w:pPr>
            <w:r w:rsidRPr="00AA1421">
              <w:rPr>
                <w:rFonts w:ascii="Times New Roman" w:hAnsi="Times New Roman"/>
                <w:sz w:val="24"/>
              </w:rPr>
              <w:lastRenderedPageBreak/>
              <w:t>Wartość ekspozycji dla ryzyka kredytowego kontrahenta dla pozycji, które są traktowane zgodnie z metodą standardową dotyczącą ryzyka kredytowego zgodnie z częścią trzecią tytuł II rozdział 2 CRR.</w:t>
            </w:r>
          </w:p>
        </w:tc>
      </w:tr>
      <w:tr w:rsidR="00595FAD" w:rsidRPr="00AA1421" w:rsidTr="00FF15C6">
        <w:trPr>
          <w:trHeight w:val="557"/>
        </w:trPr>
        <w:tc>
          <w:tcPr>
            <w:tcW w:w="1384" w:type="dxa"/>
          </w:tcPr>
          <w:p w:rsidR="00595FAD" w:rsidRPr="00AA1421" w:rsidRDefault="00595FAD" w:rsidP="00FF15C6">
            <w:pPr>
              <w:pStyle w:val="Applicationdirecte"/>
              <w:spacing w:before="0" w:after="0"/>
            </w:pPr>
            <w:r w:rsidRPr="00AA1421">
              <w:lastRenderedPageBreak/>
              <w:t>0190</w:t>
            </w:r>
          </w:p>
        </w:tc>
        <w:tc>
          <w:tcPr>
            <w:tcW w:w="7655" w:type="dxa"/>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Pozycje traktowane zgodnie z metodą IRB dotyczącą ryzyka kredytowego</w:t>
            </w:r>
          </w:p>
          <w:p w:rsidR="00595FAD" w:rsidRPr="00AA1421" w:rsidRDefault="00595FAD" w:rsidP="00FF15C6">
            <w:pPr>
              <w:rPr>
                <w:rFonts w:ascii="Times New Roman" w:hAnsi="Times New Roman"/>
                <w:sz w:val="24"/>
              </w:rPr>
            </w:pPr>
            <w:r w:rsidRPr="00AA1421">
              <w:rPr>
                <w:rFonts w:ascii="Times New Roman" w:hAnsi="Times New Roman"/>
                <w:sz w:val="24"/>
              </w:rPr>
              <w:t>Wartość ekspozycji dla ryzyka kredytowego kontrahenta dla pozycji, które są traktowane zgodnie z metodą IRB dotyczącą ryzyka kredytowego zgodnie z częścią trzecią tytuł II rozdział 3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0200</w:t>
            </w:r>
          </w:p>
        </w:tc>
        <w:tc>
          <w:tcPr>
            <w:tcW w:w="7655" w:type="dxa"/>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KWOTY EKSPOZYCJI WAŻONEJ RYZYKIEM</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Kwoty ekspozycji ważonych ryzykiem dla ryzyka kredytowego kontrahenta określone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9</w:t>
            </w:r>
            <w:r w:rsidRPr="00AA1421">
              <w:rPr>
                <w:rFonts w:ascii="Times New Roman" w:hAnsi="Times New Roman"/>
                <w:sz w:val="24"/>
                <w:szCs w:val="24"/>
              </w:rPr>
              <w:t xml:space="preserve">2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 xml:space="preserve"> i 4 CRR, obliczane zgodnie z metodami określonymi w części trzeciej tytuł II rozdziały 2 i 3.</w:t>
            </w:r>
          </w:p>
          <w:p w:rsidR="00595FAD" w:rsidRPr="00AA1421" w:rsidRDefault="00595FAD" w:rsidP="003F19BA">
            <w:pPr>
              <w:rPr>
                <w:rFonts w:ascii="Times New Roman" w:hAnsi="Times New Roman"/>
                <w:sz w:val="24"/>
              </w:rPr>
            </w:pPr>
            <w:r w:rsidRPr="00AA1421">
              <w:rPr>
                <w:rFonts w:ascii="Times New Roman" w:hAnsi="Times New Roman"/>
                <w:sz w:val="24"/>
              </w:rPr>
              <w:t xml:space="preserve">Bierze się pod uwagę współczynniki wsparcia MŚP oraz infrastruktury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01 i 501a CRR. </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pStyle w:val="Applicationdirecte"/>
              <w:spacing w:before="0"/>
              <w:jc w:val="left"/>
            </w:pPr>
            <w:r w:rsidRPr="00AA1421">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Pozycje traktowane zgodnie z metodą standardową dotyczącą ryzyka kredytowego</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Kwoty ekspozycji ważonych ryzykiem dla ekspozycji na ryzyko kredytowe kontrahenta, które są traktowane zgodnie z metodą standardową dotyczącą ryzyka kredytowego zgodnie z częścią trzecią tytuł II rozdział 2 CRR. </w:t>
            </w:r>
          </w:p>
          <w:p w:rsidR="00595FAD" w:rsidRPr="00AA1421" w:rsidRDefault="00595FAD" w:rsidP="00FF15C6">
            <w:pPr>
              <w:rPr>
                <w:rFonts w:ascii="Times New Roman" w:hAnsi="Times New Roman"/>
                <w:sz w:val="24"/>
              </w:rPr>
            </w:pPr>
            <w:r w:rsidRPr="00AA1421">
              <w:rPr>
                <w:rFonts w:ascii="Times New Roman" w:hAnsi="Times New Roman"/>
                <w:sz w:val="24"/>
              </w:rPr>
              <w:t>Kwota ta odpowiada kwocie, którą należy uwzględnić w kolumnie 0220 wzoru C 07.00 dla pozycji ryzyka kredytowego kontrahenta.</w:t>
            </w:r>
          </w:p>
        </w:tc>
      </w:tr>
      <w:tr w:rsidR="00595FAD" w:rsidRPr="00AA1421"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pStyle w:val="Applicationdirecte"/>
              <w:spacing w:before="0"/>
              <w:jc w:val="left"/>
            </w:pPr>
            <w:r w:rsidRPr="00AA1421">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Pozycje traktowane zgodnie z metodą IRB dotyczącą ryzyka kredytowego</w:t>
            </w:r>
          </w:p>
          <w:p w:rsidR="00595FAD" w:rsidRPr="00AA1421" w:rsidRDefault="00595FAD" w:rsidP="00FF15C6">
            <w:pPr>
              <w:pStyle w:val="TableMainHeading"/>
              <w:spacing w:before="60"/>
              <w:jc w:val="both"/>
              <w:rPr>
                <w:rFonts w:ascii="Times New Roman" w:hAnsi="Times New Roman"/>
                <w:sz w:val="24"/>
              </w:rPr>
            </w:pPr>
            <w:r w:rsidRPr="00AA1421">
              <w:rPr>
                <w:rFonts w:ascii="Times New Roman" w:hAnsi="Times New Roman"/>
                <w:sz w:val="24"/>
                <w:szCs w:val="24"/>
              </w:rPr>
              <w:t>Kwoty ekspozycji ważonych ryzykiem dla ekspozycji na ryzyko kredytowe kontrahenta, które są traktowane zgodnie z metodą IRB dotyczącą ryzyka kredytowego</w:t>
            </w:r>
            <w:r w:rsidRPr="00AA1421">
              <w:rPr>
                <w:rFonts w:ascii="Times New Roman" w:hAnsi="Times New Roman"/>
                <w:sz w:val="24"/>
              </w:rPr>
              <w:t xml:space="preserve"> zgodnie z częścią trzecią tytuł II rozdział 3 CRR</w:t>
            </w:r>
            <w:r w:rsidRPr="00AA1421">
              <w:rPr>
                <w:rFonts w:ascii="Times New Roman" w:hAnsi="Times New Roman"/>
                <w:sz w:val="24"/>
                <w:szCs w:val="24"/>
              </w:rPr>
              <w:t>.</w:t>
            </w:r>
          </w:p>
          <w:p w:rsidR="00595FAD" w:rsidRPr="00AA1421" w:rsidRDefault="00595FAD" w:rsidP="00FF15C6">
            <w:pPr>
              <w:rPr>
                <w:rFonts w:ascii="Times New Roman" w:hAnsi="Times New Roman"/>
                <w:sz w:val="24"/>
              </w:rPr>
            </w:pPr>
            <w:r w:rsidRPr="00AA1421">
              <w:rPr>
                <w:rFonts w:ascii="Times New Roman" w:hAnsi="Times New Roman"/>
                <w:sz w:val="24"/>
              </w:rPr>
              <w:t>Kwota ta odpowiada kwocie, którą należy uwzględnić w kolumnie 0260 wzoru C 08.01 dla pozycji ryzyka kredytowego kontrahenta.</w:t>
            </w:r>
          </w:p>
        </w:tc>
      </w:tr>
      <w:tr w:rsidR="00595FAD" w:rsidRPr="00AA1421"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AA1421" w:rsidRDefault="00595FAD" w:rsidP="00FF15C6">
            <w:pPr>
              <w:pStyle w:val="TableMainHeading"/>
              <w:spacing w:before="60"/>
              <w:rPr>
                <w:rFonts w:ascii="Times New Roman" w:hAnsi="Times New Roman"/>
                <w:i/>
                <w:sz w:val="24"/>
                <w:szCs w:val="24"/>
              </w:rPr>
            </w:pPr>
          </w:p>
        </w:tc>
      </w:tr>
      <w:tr w:rsidR="00595FAD" w:rsidRPr="00AA1421"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pStyle w:val="TableMainHeading"/>
              <w:spacing w:before="60"/>
              <w:rPr>
                <w:rFonts w:ascii="Times New Roman" w:hAnsi="Times New Roman"/>
                <w:b/>
                <w:sz w:val="24"/>
                <w:szCs w:val="24"/>
              </w:rPr>
            </w:pPr>
            <w:r w:rsidRPr="00AA1421">
              <w:rPr>
                <w:rFonts w:ascii="Times New Roman" w:hAnsi="Times New Roman"/>
                <w:b/>
                <w:sz w:val="24"/>
                <w:szCs w:val="24"/>
              </w:rPr>
              <w:t xml:space="preserve">Wiersz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0010</w:t>
            </w:r>
          </w:p>
        </w:tc>
        <w:tc>
          <w:tcPr>
            <w:tcW w:w="7655" w:type="dxa"/>
          </w:tcPr>
          <w:p w:rsidR="00595FAD" w:rsidRPr="00AA1421" w:rsidRDefault="00595FAD" w:rsidP="00FF15C6">
            <w:pPr>
              <w:pStyle w:val="TableMainHeading"/>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 xml:space="preserve">METODA WYCENY PIERWOTNEJ EKSPOZYCJI (W ODNIESIENIU DO INSTRUMENTÓW POCHODNYCH) </w:t>
            </w:r>
          </w:p>
          <w:p w:rsidR="00595FAD" w:rsidRPr="00AA1421" w:rsidRDefault="00595FAD" w:rsidP="00FF15C6">
            <w:pPr>
              <w:pStyle w:val="TableMainHeading"/>
              <w:spacing w:before="60"/>
              <w:rPr>
                <w:rFonts w:ascii="Times New Roman" w:hAnsi="Times New Roman"/>
                <w:i/>
                <w:sz w:val="24"/>
                <w:szCs w:val="24"/>
              </w:rPr>
            </w:pPr>
            <w:r w:rsidRPr="00AA1421">
              <w:rPr>
                <w:rFonts w:ascii="Times New Roman" w:hAnsi="Times New Roman"/>
                <w:sz w:val="24"/>
                <w:szCs w:val="24"/>
              </w:rPr>
              <w:t xml:space="preserve">Instrumenty pochodne i transakcje z długim terminem rozliczenia, dla których instytucja oblicza wartość ekspozycji zgodnie z częścią trzecią tytuł II rozdział 6 sekcja 5 CRR. Tę uproszczoną metodę obliczania wartości ekspozycji mogą stosować wyłącznie instytucje spełniające warunki określone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73a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 lub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73a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4</w:t>
            </w:r>
            <w:r w:rsidRPr="00AA1421">
              <w:rPr>
                <w:rFonts w:ascii="Times New Roman" w:hAnsi="Times New Roman"/>
                <w:sz w:val="24"/>
                <w:szCs w:val="24"/>
              </w:rPr>
              <w:t xml:space="preserve"> CRR.</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0020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TableMainHeading"/>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UPROSZCZONA METODA STANDARDOWA DOTYCZĄCA RYZYKA KREDYTOWEGO KONTRAHENTA (W ODNIESIENIU DO INSTRUMENTÓW POCHODNYCH)</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lastRenderedPageBreak/>
              <w:t xml:space="preserve">Instrumenty pochodne i transakcje z długim terminem rozliczenia, dla których instytucja oblicza wartość ekspozycji zgodnie z częścią trzecią tytuł II rozdział 6 sekcja 4 CRR. Tę uproszczoną metodę standardową obliczania wartości ekspozycji mogą stosować wyłącznie instytucje spełniające warunki określone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73a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1</w:t>
            </w:r>
            <w:r w:rsidRPr="00AA1421">
              <w:rPr>
                <w:rFonts w:ascii="Times New Roman" w:hAnsi="Times New Roman"/>
                <w:sz w:val="24"/>
                <w:szCs w:val="24"/>
              </w:rPr>
              <w:t xml:space="preserve"> lub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73a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4</w:t>
            </w:r>
            <w:r w:rsidRPr="00AA1421">
              <w:rPr>
                <w:rFonts w:ascii="Times New Roman" w:hAnsi="Times New Roman"/>
                <w:sz w:val="24"/>
                <w:szCs w:val="24"/>
              </w:rPr>
              <w:t xml:space="preserve"> CRR. </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lastRenderedPageBreak/>
              <w:t>0030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TableMainHeading"/>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METODA STANDARDOWA DOTYCZĄCA RYZYKA KREDYTOWEGO KONTRAHENTA (W ODNIESIENIU DO INSTRUMENTÓW POCHODNYCH)</w:t>
            </w:r>
          </w:p>
          <w:p w:rsidR="00595FAD" w:rsidRPr="00AA1421" w:rsidRDefault="00595FAD" w:rsidP="00FF15C6">
            <w:pPr>
              <w:pStyle w:val="TableMainHeading"/>
              <w:spacing w:before="60"/>
              <w:rPr>
                <w:rFonts w:ascii="Times New Roman" w:hAnsi="Times New Roman"/>
                <w:sz w:val="24"/>
                <w:szCs w:val="24"/>
              </w:rPr>
            </w:pPr>
            <w:r w:rsidRPr="00AA1421">
              <w:rPr>
                <w:rFonts w:ascii="Times New Roman" w:hAnsi="Times New Roman"/>
                <w:sz w:val="24"/>
                <w:szCs w:val="24"/>
              </w:rPr>
              <w:t>Instrumenty pochodne i transakcje z długim terminem rozliczenia, dla których instytucja oblicza wartość ekspozycji zgodnie z częścią trzecią tytuł II rozdział 6 sekcja 3 CRR.</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0040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TableMainHeading"/>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METODA MODELI WEWNĘTRZNYCH (W ODNIESIENIU DO INSTRUMENTÓW POCHODNYCH I TRANSAKCJI FINANSOWANYCH Z UŻYCIEM PAPIERÓW WARTOŚCIOWYCH)</w:t>
            </w:r>
          </w:p>
          <w:p w:rsidR="00595FAD" w:rsidRPr="00AA1421" w:rsidRDefault="00595FAD" w:rsidP="00FF15C6">
            <w:pPr>
              <w:pStyle w:val="TableMainHeading"/>
              <w:spacing w:before="60"/>
              <w:rPr>
                <w:rFonts w:ascii="Times New Roman" w:hAnsi="Times New Roman"/>
                <w:sz w:val="24"/>
                <w:szCs w:val="24"/>
              </w:rPr>
            </w:pPr>
            <w:r w:rsidRPr="00AA1421">
              <w:rPr>
                <w:rFonts w:ascii="Times New Roman" w:hAnsi="Times New Roman"/>
                <w:sz w:val="24"/>
                <w:szCs w:val="24"/>
              </w:rPr>
              <w:t>Instrumenty pochodne, transakcje z długim terminem rozliczenia i transakcje finansowane z użyciem papierów wartościowych, dla których instytucji pozwolono na obliczenie wartość ekspozycji z użyciem metody modeli wewnętrznych (IMM) zgodnie z częścią trzecią tytuł II rozdział 6 sekcja 6 CRR.</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0050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Pakiety kompensowania transakcji finansowanych z użyciem papierów wartościowych</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Pakiety kompensowania zawierające wyłącznie transakcje finansowane z użyciem papierów wartościowych zdefiniowane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4</w:t>
            </w:r>
            <w:r w:rsidRPr="00AA1421">
              <w:rPr>
                <w:rFonts w:ascii="Times New Roman" w:hAnsi="Times New Roman"/>
                <w:sz w:val="24"/>
                <w:szCs w:val="24"/>
              </w:rPr>
              <w:t xml:space="preserve">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1</w:t>
            </w:r>
            <w:r w:rsidRPr="00AA1421">
              <w:rPr>
                <w:rFonts w:ascii="Times New Roman" w:hAnsi="Times New Roman"/>
                <w:sz w:val="24"/>
                <w:szCs w:val="24"/>
              </w:rPr>
              <w:t xml:space="preserve"> </w:t>
            </w:r>
            <w:r w:rsidRPr="00084F66">
              <w:rPr>
                <w:rFonts w:ascii="Times New Roman" w:hAnsi="Times New Roman"/>
                <w:sz w:val="24"/>
                <w:szCs w:val="24"/>
              </w:rPr>
              <w:t>pkt</w:t>
            </w:r>
            <w:r w:rsidR="00084F66" w:rsidRPr="00084F66">
              <w:rPr>
                <w:rFonts w:ascii="Times New Roman" w:hAnsi="Times New Roman"/>
                <w:sz w:val="24"/>
                <w:szCs w:val="24"/>
              </w:rPr>
              <w:t> </w:t>
            </w:r>
            <w:r w:rsidRPr="00084F66">
              <w:rPr>
                <w:rFonts w:ascii="Times New Roman" w:hAnsi="Times New Roman"/>
                <w:sz w:val="24"/>
                <w:szCs w:val="24"/>
              </w:rPr>
              <w:t>1</w:t>
            </w:r>
            <w:r w:rsidRPr="00AA1421">
              <w:rPr>
                <w:rFonts w:ascii="Times New Roman" w:hAnsi="Times New Roman"/>
                <w:sz w:val="24"/>
                <w:szCs w:val="24"/>
              </w:rPr>
              <w:t>39 CRR, dla których instytucji pozwolono na obliczanie wartość ekspozycji z użyciem IMM.</w:t>
            </w:r>
          </w:p>
          <w:p w:rsidR="00B3602B" w:rsidRPr="00AA1421" w:rsidRDefault="00B3602B" w:rsidP="00B3602B">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W wierszu tym nie zgłasza się transakcji finansowanych z użyciem papierów wartościowych, które uwzględniono w pakiecie kompensowania, dla którego istnieje umowa o kompensowaniu </w:t>
            </w:r>
            <w:proofErr w:type="spellStart"/>
            <w:r w:rsidRPr="00AA1421">
              <w:rPr>
                <w:rFonts w:ascii="Times New Roman" w:hAnsi="Times New Roman"/>
                <w:sz w:val="24"/>
                <w:szCs w:val="24"/>
              </w:rPr>
              <w:t>międzyproduktowym</w:t>
            </w:r>
            <w:proofErr w:type="spellEnd"/>
            <w:r w:rsidRPr="00AA1421">
              <w:rPr>
                <w:rFonts w:ascii="Times New Roman" w:hAnsi="Times New Roman"/>
                <w:sz w:val="24"/>
                <w:szCs w:val="24"/>
              </w:rPr>
              <w:t>, i dlatego zgłoszono je w wierszu 0070.</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0060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Pakiety kompensowania instrumentów pochodnych i transakcji z długim terminem rozliczenia</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Pakiety kompensowania zawierające wyłącznie instrumenty pochodne wymienione w załączniku II do CRR oraz transakcje z długim terminem rozliczenia zdefiniowane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72 </w:t>
            </w:r>
            <w:r w:rsidRPr="00084F66">
              <w:rPr>
                <w:rFonts w:ascii="Times New Roman" w:hAnsi="Times New Roman"/>
                <w:sz w:val="24"/>
                <w:szCs w:val="24"/>
              </w:rPr>
              <w:t>pkt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 CRR, dla których instytucji pozwolono na obliczenie wartość ekspozycji z użyciem IMM.</w:t>
            </w:r>
          </w:p>
          <w:p w:rsidR="00B3602B" w:rsidRPr="00AA1421" w:rsidRDefault="00B3602B" w:rsidP="00B3602B">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W wierszu tym nie zgłasza się instrumentów pochodnych oraz transakcji z długim terminem rozliczenia, które uwzględniono w pakiecie kompensowania, dla którego istnieje umowa o kompensowaniu </w:t>
            </w:r>
            <w:proofErr w:type="spellStart"/>
            <w:r w:rsidRPr="00AA1421">
              <w:rPr>
                <w:rFonts w:ascii="Times New Roman" w:hAnsi="Times New Roman"/>
                <w:sz w:val="24"/>
                <w:szCs w:val="24"/>
              </w:rPr>
              <w:t>międzyproduktowym</w:t>
            </w:r>
            <w:proofErr w:type="spellEnd"/>
            <w:r w:rsidRPr="00AA1421">
              <w:rPr>
                <w:rFonts w:ascii="Times New Roman" w:hAnsi="Times New Roman"/>
                <w:sz w:val="24"/>
                <w:szCs w:val="24"/>
              </w:rPr>
              <w:t>, i dlatego zgłoszono je w wierszu 0070.</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0070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TableMainHeading"/>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 xml:space="preserve">Pakiety kompensowania, dla których istnieją umowy o kompensowaniu </w:t>
            </w:r>
            <w:proofErr w:type="spellStart"/>
            <w:r w:rsidRPr="00AA1421">
              <w:rPr>
                <w:rStyle w:val="InstructionsTabelleberschrift"/>
                <w:rFonts w:ascii="Times New Roman" w:hAnsi="Times New Roman"/>
                <w:sz w:val="24"/>
                <w:szCs w:val="24"/>
              </w:rPr>
              <w:t>międzyproduktowym</w:t>
            </w:r>
            <w:proofErr w:type="spellEnd"/>
          </w:p>
          <w:p w:rsidR="00595FAD" w:rsidRPr="00AA1421" w:rsidRDefault="00595FAD" w:rsidP="00FF15C6">
            <w:pPr>
              <w:rPr>
                <w:rFonts w:ascii="Times New Roman" w:hAnsi="Times New Roman"/>
                <w:sz w:val="24"/>
              </w:rPr>
            </w:pPr>
            <w:r w:rsidRPr="00AA1421">
              <w:rPr>
                <w:rFonts w:ascii="Times New Roman" w:hAnsi="Times New Roman"/>
                <w:sz w:val="24"/>
              </w:rPr>
              <w:t xml:space="preserve">Art. 272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1 i 25 CRR</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lastRenderedPageBreak/>
              <w:t>Pakiety kompensowania zawierające transakcje dotyczące różnych kategorii produktów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72 </w:t>
            </w:r>
            <w:r w:rsidRPr="00084F66">
              <w:rPr>
                <w:rFonts w:ascii="Times New Roman" w:hAnsi="Times New Roman"/>
                <w:sz w:val="24"/>
                <w:szCs w:val="24"/>
              </w:rPr>
              <w:t>pkt</w:t>
            </w:r>
            <w:r w:rsidR="00084F66" w:rsidRPr="00084F66">
              <w:rPr>
                <w:rFonts w:ascii="Times New Roman" w:hAnsi="Times New Roman"/>
                <w:sz w:val="24"/>
                <w:szCs w:val="24"/>
              </w:rPr>
              <w:t> </w:t>
            </w:r>
            <w:r w:rsidRPr="00084F66">
              <w:rPr>
                <w:rFonts w:ascii="Times New Roman" w:hAnsi="Times New Roman"/>
                <w:sz w:val="24"/>
                <w:szCs w:val="24"/>
              </w:rPr>
              <w:t>1</w:t>
            </w:r>
            <w:r w:rsidRPr="00AA1421">
              <w:rPr>
                <w:rFonts w:ascii="Times New Roman" w:hAnsi="Times New Roman"/>
                <w:sz w:val="24"/>
                <w:szCs w:val="24"/>
              </w:rPr>
              <w:t xml:space="preserve">1 CRR), tj. instrumenty pochodne i transakcje finansowane z użyciem papierów wartościowych, dla których istnieje umowa o kompensowaniu </w:t>
            </w:r>
            <w:proofErr w:type="spellStart"/>
            <w:r w:rsidRPr="00AA1421">
              <w:rPr>
                <w:rFonts w:ascii="Times New Roman" w:hAnsi="Times New Roman"/>
                <w:sz w:val="24"/>
                <w:szCs w:val="24"/>
              </w:rPr>
              <w:t>międzyproduktowym</w:t>
            </w:r>
            <w:proofErr w:type="spellEnd"/>
            <w:r w:rsidRPr="00AA1421">
              <w:rPr>
                <w:rFonts w:ascii="Times New Roman" w:hAnsi="Times New Roman"/>
                <w:sz w:val="24"/>
                <w:szCs w:val="24"/>
              </w:rPr>
              <w:t xml:space="preserve"> zdefiniowana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72 </w:t>
            </w:r>
            <w:r w:rsidRPr="00084F66">
              <w:rPr>
                <w:rFonts w:ascii="Times New Roman" w:hAnsi="Times New Roman"/>
                <w:sz w:val="24"/>
                <w:szCs w:val="24"/>
              </w:rPr>
              <w:t>pkt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5 CRR i dla których instytucji pozwolono na obliczanie wartość ekspozycji z użyciem IMM.</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lastRenderedPageBreak/>
              <w:t>0080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UPROSZCZONA METODA UJMOWANIA ZABEZPIECZEŃ FINANSOWYCH (W ODNIESIENIU DO TRANSAKCJI FINANSOWANYCH Z UŻYCIEM PAPIERÓW WARTOŚCIOWYCH) </w:t>
            </w:r>
          </w:p>
          <w:p w:rsidR="00595FAD" w:rsidRPr="00AA1421" w:rsidRDefault="00595FAD" w:rsidP="00FF15C6">
            <w:pPr>
              <w:rPr>
                <w:rFonts w:ascii="Times New Roman" w:hAnsi="Times New Roman"/>
                <w:sz w:val="24"/>
              </w:rPr>
            </w:pPr>
            <w:r w:rsidRPr="00AA1421">
              <w:rPr>
                <w:rFonts w:ascii="Times New Roman" w:hAnsi="Times New Roman"/>
                <w:sz w:val="24"/>
              </w:rPr>
              <w:t>Art. 222 CRR</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Transakcje odkupu, transakcje udzielania lub zaciągania pożyczek papierów wartościowych lub towarów, transakcje z długim terminem rozliczenia i transakcje z obowiązkiem uzupełnienia zabezpieczenia kredytowego, dla których instytucja postanowiła określić wartość ekspozycji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22 CRR, zamiast częścią trzecią tytuł II rozdział 6 CRR,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71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 tego rozporządzenia.</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0090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KOMPLEKSOWA METODA UJMOWANIA ZABEZPIECZEŃ FINANSOWYCH (W ODNIESIENIU DO TRANSAKCJI FINANSOWANYCH Z UŻYCIEM PAPIERÓW WARTOŚCIOWYCH)</w:t>
            </w:r>
          </w:p>
          <w:p w:rsidR="00595FAD" w:rsidRPr="00AA1421" w:rsidRDefault="00595FAD" w:rsidP="00FF15C6">
            <w:pPr>
              <w:rPr>
                <w:rFonts w:ascii="Times New Roman" w:hAnsi="Times New Roman"/>
                <w:sz w:val="24"/>
              </w:rPr>
            </w:pPr>
            <w:r w:rsidRPr="00AA1421">
              <w:rPr>
                <w:rFonts w:ascii="Times New Roman" w:hAnsi="Times New Roman"/>
                <w:sz w:val="24"/>
              </w:rPr>
              <w:t>Art. 220 i 223 CRR</w:t>
            </w:r>
          </w:p>
          <w:p w:rsidR="00595FAD" w:rsidRPr="00AA1421" w:rsidRDefault="00595FAD" w:rsidP="00FF15C6">
            <w:pPr>
              <w:pStyle w:val="TableMainHeading"/>
              <w:spacing w:before="60"/>
              <w:jc w:val="both"/>
              <w:rPr>
                <w:rFonts w:ascii="Times New Roman" w:hAnsi="Times New Roman"/>
                <w:i/>
                <w:sz w:val="24"/>
                <w:szCs w:val="24"/>
              </w:rPr>
            </w:pPr>
            <w:r w:rsidRPr="00AA1421">
              <w:rPr>
                <w:rFonts w:ascii="Times New Roman" w:hAnsi="Times New Roman"/>
                <w:sz w:val="24"/>
                <w:szCs w:val="24"/>
              </w:rPr>
              <w:t xml:space="preserve">Transakcje odkupu, transakcje udzielania lub zaciągania pożyczek papierów wartościowych lub towarów, transakcje z długim terminem rozliczenia i transakcje z obowiązkiem uzupełnienia zabezpieczenia kredytowego, dla których instytucja postanowiła określić wartość ekspozycji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23 CRR, zamiast częścią trzecią tytuł II rozdział 6 CRR,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71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 tego rozporządzenia.</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0100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WARTOŚĆ ZAGROŻONA W PRZYPADKU TRANSAKCJI FINANSOWANYCH Z UŻYCIEM PAPIERÓW WARTOŚCIOWYCH</w:t>
            </w:r>
          </w:p>
          <w:p w:rsidR="00595FAD" w:rsidRPr="00AA1421" w:rsidRDefault="00595FAD" w:rsidP="00FF15C6">
            <w:pPr>
              <w:rPr>
                <w:rFonts w:ascii="Times New Roman" w:hAnsi="Times New Roman"/>
                <w:sz w:val="24"/>
              </w:rPr>
            </w:pPr>
            <w:r w:rsidRPr="00AA1421">
              <w:rPr>
                <w:rFonts w:ascii="Times New Roman" w:hAnsi="Times New Roman"/>
                <w:sz w:val="24"/>
              </w:rPr>
              <w:t>Art. 221 CRR</w:t>
            </w:r>
          </w:p>
          <w:p w:rsidR="00595FAD" w:rsidRPr="00AA1421" w:rsidRDefault="00595FAD" w:rsidP="00BC3A29">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Transakcje odkupu, transakcje udzielania lub zaciągania pożyczek papierów wartościowych lub towarów lub transakcje z obowiązkiem uzupełnienia zabezpieczenia kredytowego bądź inne transakcje oparte na rynku kapitałowym inne niż transakcje na instrumentach pochodnych, dla których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21 CRR i pod warunkiem uzyskania zgody właściwego organu wartość ekspozycji oblicza się przy zastosowaniu metody modeli wewnętrznej uwzględniającej skutki korelacji pomiędzy pozycjami sekurytyzacyjnymi objętymi umową ramową o kompensowaniu zobowiązań oraz płynność danych instrumentów. </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0110</w:t>
            </w:r>
          </w:p>
        </w:tc>
        <w:tc>
          <w:tcPr>
            <w:tcW w:w="7655"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RAZEM</w:t>
            </w:r>
          </w:p>
          <w:p w:rsidR="00595FAD" w:rsidRPr="00AA1421" w:rsidRDefault="00595FAD" w:rsidP="00FF15C6">
            <w:pPr>
              <w:keepNext/>
              <w:spacing w:before="60"/>
              <w:rPr>
                <w:rStyle w:val="InstructionsTabelleberschrift"/>
                <w:rFonts w:ascii="Times New Roman" w:hAnsi="Times New Roman"/>
                <w:sz w:val="24"/>
              </w:rPr>
            </w:pPr>
          </w:p>
        </w:tc>
      </w:tr>
      <w:tr w:rsidR="00595FAD" w:rsidRPr="00AA1421" w:rsidTr="00FF15C6">
        <w:trPr>
          <w:trHeight w:val="1502"/>
        </w:trPr>
        <w:tc>
          <w:tcPr>
            <w:tcW w:w="1384" w:type="dxa"/>
          </w:tcPr>
          <w:p w:rsidR="00595FAD" w:rsidRPr="00AA1421" w:rsidDel="003E0C6A" w:rsidRDefault="00595FAD" w:rsidP="00FF15C6">
            <w:pPr>
              <w:pStyle w:val="Applicationdirecte"/>
              <w:spacing w:before="60" w:after="0"/>
              <w:jc w:val="left"/>
            </w:pPr>
            <w:r w:rsidRPr="00AA1421">
              <w:lastRenderedPageBreak/>
              <w:t>0120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W tym: pozycje charakteryzujące się szczególnym ryzykiem korelacji</w:t>
            </w:r>
          </w:p>
          <w:p w:rsidR="00595FAD" w:rsidRPr="00AA1421" w:rsidRDefault="00595FAD" w:rsidP="00FF15C6">
            <w:pPr>
              <w:keepNext/>
              <w:spacing w:before="6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291 CRR</w:t>
            </w:r>
          </w:p>
          <w:p w:rsidR="00595FAD" w:rsidRPr="00AA1421" w:rsidDel="003E0C6A" w:rsidRDefault="00595FAD" w:rsidP="00FF15C6">
            <w:pPr>
              <w:keepNext/>
              <w:spacing w:before="60"/>
              <w:rPr>
                <w:rFonts w:ascii="Times New Roman" w:hAnsi="Times New Roman"/>
                <w:bCs/>
                <w:sz w:val="24"/>
              </w:rPr>
            </w:pPr>
            <w:r w:rsidRPr="00AA1421">
              <w:rPr>
                <w:rStyle w:val="InstructionsTabelleberschrift"/>
                <w:rFonts w:ascii="Times New Roman" w:hAnsi="Times New Roman"/>
                <w:b w:val="0"/>
                <w:sz w:val="24"/>
                <w:u w:val="none"/>
              </w:rPr>
              <w:t xml:space="preserve">Ekspozycje na ryzyko kredytowe kontrahenta, w przypadku których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91 CRR zidentyfikowano szczególne ryzyko korelacji.</w:t>
            </w:r>
          </w:p>
        </w:tc>
      </w:tr>
      <w:tr w:rsidR="00595FAD" w:rsidRPr="00AA1421" w:rsidTr="00FF15C6">
        <w:trPr>
          <w:trHeight w:val="426"/>
        </w:trPr>
        <w:tc>
          <w:tcPr>
            <w:tcW w:w="1384" w:type="dxa"/>
          </w:tcPr>
          <w:p w:rsidR="00595FAD" w:rsidRPr="00AA1421" w:rsidDel="003E0C6A" w:rsidRDefault="00595FAD" w:rsidP="00FF15C6">
            <w:pPr>
              <w:pStyle w:val="Applicationdirecte"/>
              <w:spacing w:before="60" w:after="0"/>
              <w:jc w:val="left"/>
            </w:pPr>
            <w:r w:rsidRPr="00AA1421">
              <w:t>0130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Działalność podlegająca dostarczeniu zabezpieczenia</w:t>
            </w:r>
          </w:p>
          <w:p w:rsidR="00595FAD" w:rsidRPr="00AA1421" w:rsidRDefault="00595FAD" w:rsidP="00FF15C6">
            <w:pPr>
              <w:keepNext/>
              <w:spacing w:before="6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Art. 272 pkt 7 CRR</w:t>
            </w:r>
          </w:p>
          <w:p w:rsidR="00595FAD" w:rsidRPr="00AA1421" w:rsidDel="003E0C6A" w:rsidRDefault="00595FAD" w:rsidP="00FF15C6">
            <w:pPr>
              <w:keepNext/>
              <w:spacing w:before="60"/>
              <w:rPr>
                <w:rFonts w:ascii="Times New Roman" w:hAnsi="Times New Roman"/>
                <w:sz w:val="24"/>
              </w:rPr>
            </w:pPr>
            <w:r w:rsidRPr="00AA1421">
              <w:rPr>
                <w:rStyle w:val="InstructionsTabelleberschrift"/>
                <w:rFonts w:ascii="Times New Roman" w:hAnsi="Times New Roman"/>
                <w:b w:val="0"/>
                <w:sz w:val="24"/>
                <w:u w:val="none"/>
              </w:rPr>
              <w:t xml:space="preserve">Ekspozycje na ryzyko kredytowe kontrahenta podlegające dostarczeniu zabezpieczenia, tj. pakiety kompensowania objęte umową o dostarczeniu zabezpieczenia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72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7</w:t>
            </w:r>
            <w:r w:rsidRPr="00AA1421">
              <w:rPr>
                <w:rStyle w:val="InstructionsTabelleberschrift"/>
                <w:rFonts w:ascii="Times New Roman" w:hAnsi="Times New Roman"/>
                <w:b w:val="0"/>
                <w:sz w:val="24"/>
                <w:u w:val="none"/>
              </w:rPr>
              <w:t xml:space="preserve"> CRR.</w:t>
            </w:r>
          </w:p>
        </w:tc>
      </w:tr>
      <w:tr w:rsidR="00595FAD" w:rsidRPr="00AA1421" w:rsidTr="00FF15C6">
        <w:trPr>
          <w:trHeight w:val="829"/>
        </w:trPr>
        <w:tc>
          <w:tcPr>
            <w:tcW w:w="1384" w:type="dxa"/>
          </w:tcPr>
          <w:p w:rsidR="00595FAD" w:rsidRPr="00AA1421" w:rsidDel="003E0C6A" w:rsidRDefault="00595FAD" w:rsidP="00FF15C6">
            <w:pPr>
              <w:pStyle w:val="Applicationdirecte"/>
              <w:spacing w:before="60" w:after="0"/>
              <w:jc w:val="left"/>
            </w:pPr>
            <w:r w:rsidRPr="00AA1421">
              <w:t>0140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Działalność niepodlegająca dostarczeniu zabezpieczenia</w:t>
            </w:r>
          </w:p>
          <w:p w:rsidR="00595FAD" w:rsidRPr="00AA1421" w:rsidDel="003E0C6A" w:rsidRDefault="00595FAD" w:rsidP="00FF15C6">
            <w:pPr>
              <w:rPr>
                <w:rFonts w:ascii="Times New Roman" w:hAnsi="Times New Roman"/>
                <w:sz w:val="24"/>
              </w:rPr>
            </w:pPr>
            <w:r w:rsidRPr="00AA1421">
              <w:rPr>
                <w:rFonts w:ascii="Times New Roman" w:hAnsi="Times New Roman"/>
                <w:sz w:val="24"/>
              </w:rPr>
              <w:t>Ekspozycje na ryzyko kredytowe kontrahenta nieujęte w 0130.</w:t>
            </w:r>
          </w:p>
        </w:tc>
      </w:tr>
    </w:tbl>
    <w:p w:rsidR="00595FAD" w:rsidRPr="00AA1421" w:rsidRDefault="00595FAD" w:rsidP="00595FAD">
      <w:pPr>
        <w:rPr>
          <w:rFonts w:ascii="Times New Roman" w:hAnsi="Times New Roman"/>
          <w:noProof/>
          <w:sz w:val="24"/>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403684"/>
      <w:r w:rsidRPr="00AA1421">
        <w:rPr>
          <w:rFonts w:ascii="Times New Roman" w:hAnsi="Times New Roman"/>
          <w:sz w:val="24"/>
        </w:rPr>
        <w:t>C 34.03 – Ekspozycje na ryzyko kredytowe kontrahenta, w odniesieniu do których zastosowano metody standardowe: metoda standardowa dotycząca ryzyka kredytowego kontrahenta i uproszczona metoda standardowa dotycząca ryzyka kredytowego kontrahenta</w:t>
      </w:r>
      <w:bookmarkEnd w:id="462"/>
      <w:bookmarkEnd w:id="463"/>
    </w:p>
    <w:p w:rsidR="00595FAD" w:rsidRPr="00AA1421"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403685"/>
      <w:r w:rsidRPr="00AA1421">
        <w:rPr>
          <w:rFonts w:ascii="Times New Roman" w:hAnsi="Times New Roman"/>
          <w:sz w:val="24"/>
        </w:rPr>
        <w:t>Uwagi ogólne</w:t>
      </w:r>
      <w:bookmarkEnd w:id="464"/>
      <w:bookmarkEnd w:id="465"/>
    </w:p>
    <w:p w:rsidR="00595FAD" w:rsidRPr="00AA1421" w:rsidRDefault="00AA1421" w:rsidP="00487A02">
      <w:pPr>
        <w:pStyle w:val="InstructionsText2"/>
        <w:numPr>
          <w:ilvl w:val="0"/>
          <w:numId w:val="0"/>
        </w:numPr>
        <w:ind w:left="1353" w:hanging="360"/>
      </w:pPr>
      <w:fldSimple w:instr=" seq paragraphs ">
        <w:r w:rsidR="00D11E4C" w:rsidRPr="00AA1421">
          <w:rPr>
            <w:noProof/>
          </w:rPr>
          <w:t>125</w:t>
        </w:r>
      </w:fldSimple>
      <w:r w:rsidR="00D11E4C" w:rsidRPr="00AA1421">
        <w:t>. Wzór ten stosuje się oddzielnie do zgłaszania ekspozycji na ryzyko kredytowe kontrahenta obliczonych odpowiednio z zastosowaniem metody standardowej dotyczącej ryzyka kredytowego kontrahenta lub uproszczonej metody standardowej dotyczącej ryzyka kredytowego kontrahenta.</w:t>
      </w:r>
    </w:p>
    <w:p w:rsidR="00595FAD" w:rsidRPr="00AA1421"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403686"/>
      <w:r w:rsidRPr="00AA1421">
        <w:rPr>
          <w:rFonts w:ascii="Times New Roman" w:hAnsi="Times New Roman"/>
          <w:sz w:val="24"/>
        </w:rPr>
        <w:t>Instrukcje dotyczące poszczególnych pozycji</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751FBE">
        <w:trPr>
          <w:trHeight w:val="717"/>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b/>
                <w:sz w:val="24"/>
              </w:rPr>
            </w:pPr>
            <w:r w:rsidRPr="00AA1421">
              <w:rPr>
                <w:rFonts w:ascii="Times New Roman" w:hAnsi="Times New Roman"/>
                <w:b/>
                <w:sz w:val="24"/>
              </w:rPr>
              <w:t>Kolumny</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0010</w:t>
            </w:r>
          </w:p>
        </w:tc>
        <w:tc>
          <w:tcPr>
            <w:tcW w:w="7655" w:type="dxa"/>
            <w:vAlign w:val="center"/>
          </w:tcPr>
          <w:p w:rsidR="00595FAD" w:rsidRPr="00AA1421" w:rsidRDefault="00595FAD" w:rsidP="00FF15C6">
            <w:pPr>
              <w:keepNext/>
              <w:spacing w:before="60"/>
              <w:rPr>
                <w:rFonts w:ascii="Times New Roman" w:hAnsi="Times New Roman"/>
                <w:sz w:val="24"/>
              </w:rPr>
            </w:pPr>
            <w:r w:rsidRPr="00AA1421">
              <w:rPr>
                <w:rStyle w:val="InstructionsTabelleberschrift"/>
                <w:rFonts w:ascii="Times New Roman" w:hAnsi="Times New Roman"/>
                <w:sz w:val="24"/>
              </w:rPr>
              <w:t>WALUTA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W przypadku transakcji przyporządkowanych do kategorii ryzyka stopy procentowej podaje się walutę, w której jest denominowana transakcja.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W przypadku transakcji przyporządkowanych do kategorii ryzyka walutowego podaje się walutę, w której jest denominowana jedna z dwóch części transakcji. Instytucje podają waluty z pary walutowej w porządku alfabetycznym, np. w przypadku pary dolar amerykański/euro należy w tej kolumnie wpisać EUR, a w kolumnie 0020 USD. </w:t>
            </w:r>
          </w:p>
          <w:p w:rsidR="00595FAD" w:rsidRPr="00AA1421" w:rsidRDefault="00595FAD" w:rsidP="00FF15C6">
            <w:pPr>
              <w:keepNext/>
              <w:spacing w:before="60"/>
              <w:rPr>
                <w:rFonts w:ascii="Times New Roman" w:hAnsi="Times New Roman"/>
                <w:i/>
                <w:sz w:val="24"/>
              </w:rPr>
            </w:pPr>
            <w:r w:rsidRPr="00AA1421">
              <w:rPr>
                <w:rFonts w:ascii="Times New Roman" w:hAnsi="Times New Roman"/>
                <w:sz w:val="24"/>
              </w:rPr>
              <w:t xml:space="preserve">Stosuje się </w:t>
            </w:r>
            <w:hyperlink r:id="rId16" w:history="1">
              <w:r w:rsidRPr="00AA1421">
                <w:rPr>
                  <w:rFonts w:ascii="Times New Roman" w:hAnsi="Times New Roman"/>
                  <w:sz w:val="24"/>
                </w:rPr>
                <w:t>kody ISO</w:t>
              </w:r>
            </w:hyperlink>
            <w:r w:rsidRPr="00AA1421">
              <w:rPr>
                <w:rFonts w:ascii="Times New Roman" w:hAnsi="Times New Roman"/>
                <w:sz w:val="24"/>
              </w:rPr>
              <w:t xml:space="preserve"> walut.</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0020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DRUGA WALUTA W PARZE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W przypadku transakcji przyporządkowanych do kategorii ryzyka walutowego podaje się walutę, w której jest denominowana druga części transakcji (z uwzględnieniem tej rozważanej w kolumnie 0010). Instytucje podają waluty z pary walutowej w porządku alfabetycznym, np. w przypadku pary dolar </w:t>
            </w:r>
            <w:r w:rsidRPr="00AA1421">
              <w:rPr>
                <w:rFonts w:ascii="Times New Roman" w:hAnsi="Times New Roman"/>
                <w:sz w:val="24"/>
              </w:rPr>
              <w:lastRenderedPageBreak/>
              <w:t>amerykański/euro należy w tej kolumnie wpisać USD, a w kolumnie 0010 EUR.</w:t>
            </w:r>
          </w:p>
          <w:p w:rsidR="00595FAD" w:rsidRPr="00AA1421" w:rsidRDefault="00595FAD" w:rsidP="00FF15C6">
            <w:pPr>
              <w:keepNext/>
              <w:spacing w:before="60"/>
              <w:rPr>
                <w:rFonts w:ascii="Times New Roman" w:hAnsi="Times New Roman"/>
                <w:i/>
                <w:sz w:val="24"/>
              </w:rPr>
            </w:pPr>
            <w:r w:rsidRPr="00AA1421">
              <w:rPr>
                <w:rFonts w:ascii="Times New Roman" w:hAnsi="Times New Roman"/>
                <w:sz w:val="24"/>
              </w:rPr>
              <w:t xml:space="preserve">Należy zastosować </w:t>
            </w:r>
            <w:hyperlink r:id="rId17" w:history="1">
              <w:r w:rsidRPr="00AA1421">
                <w:rPr>
                  <w:rFonts w:ascii="Times New Roman" w:hAnsi="Times New Roman"/>
                  <w:sz w:val="24"/>
                </w:rPr>
                <w:t>kody ISO</w:t>
              </w:r>
            </w:hyperlink>
            <w:r w:rsidRPr="00AA1421">
              <w:rPr>
                <w:rFonts w:ascii="Times New Roman" w:hAnsi="Times New Roman"/>
                <w:sz w:val="24"/>
              </w:rPr>
              <w:t xml:space="preserve"> walut.</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0030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LICZBA TRANSAKCJI</w:t>
            </w:r>
          </w:p>
          <w:p w:rsidR="00595FAD" w:rsidRPr="00AA1421" w:rsidRDefault="00595FAD" w:rsidP="00FF15C6">
            <w:pPr>
              <w:keepNext/>
              <w:spacing w:before="60"/>
              <w:rPr>
                <w:rFonts w:ascii="Times New Roman" w:hAnsi="Times New Roman"/>
                <w:i/>
                <w:sz w:val="24"/>
              </w:rPr>
            </w:pPr>
            <w:r w:rsidRPr="00AA1421">
              <w:rPr>
                <w:rFonts w:ascii="Times New Roman" w:hAnsi="Times New Roman"/>
                <w:sz w:val="24"/>
              </w:rPr>
              <w:t>Zob. instrukcje dla kolumny 0020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0040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KWOTY REFERENCYJNE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Zob. instrukcje dla kolumny 0030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0050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DODATNIA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Suma bieżących wartości rynkowych wszystkich pakietów zabezpieczających z dodatnią bieżącą wartością rynkową w danej kategorii ryzyka.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Bieżącą wartość rynkową na poziomie pakietu zabezpieczającego ustala się poprzez kompensowanie dodatnich i ujemnych wartości rynkowych transakcji w ramach jednego pakietu zabezpieczającego brutto z wszelkimi posiadanymi lub wniesionymi zabezpieczeniami.</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0060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UJEMNA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Suma bezwzględnych bieżących wartości rynkowych wszystkich pakietów zabezpieczających z negatywną bieżącą wartością rynkową w danej kategorii ryzyka.</w:t>
            </w:r>
          </w:p>
          <w:p w:rsidR="00595FAD" w:rsidRPr="00AA1421" w:rsidRDefault="00595FAD" w:rsidP="00FF15C6">
            <w:pPr>
              <w:keepNext/>
              <w:spacing w:before="60"/>
              <w:rPr>
                <w:rStyle w:val="InstructionsTabelleberschrift"/>
                <w:rFonts w:ascii="Times New Roman" w:hAnsi="Times New Roman"/>
                <w:sz w:val="24"/>
              </w:rPr>
            </w:pPr>
            <w:r w:rsidRPr="00AA1421">
              <w:rPr>
                <w:rFonts w:ascii="Times New Roman" w:hAnsi="Times New Roman"/>
                <w:sz w:val="24"/>
              </w:rPr>
              <w:t>Bieżącą wartość rynkową na poziomie pakietu zabezpieczającego ustala się poprzez kompensowanie dodatnich i ujemnych wartości rynkowych transakcji w ramach jednego pakietu zabezpieczającego brutto z wszelkimi posiadanymi lub wniesionymi zabezpieczeniami.</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0070</w:t>
            </w:r>
          </w:p>
        </w:tc>
        <w:tc>
          <w:tcPr>
            <w:tcW w:w="7655" w:type="dxa"/>
            <w:vAlign w:val="center"/>
          </w:tcPr>
          <w:p w:rsidR="00595FAD" w:rsidRPr="00AA1421" w:rsidRDefault="00595FAD" w:rsidP="00FF15C6">
            <w:pPr>
              <w:keepNext/>
              <w:spacing w:before="60"/>
              <w:rPr>
                <w:rFonts w:ascii="Times New Roman" w:hAnsi="Times New Roman"/>
                <w:sz w:val="24"/>
              </w:rPr>
            </w:pPr>
            <w:r w:rsidRPr="00AA1421">
              <w:rPr>
                <w:rStyle w:val="InstructionsTabelleberschrift"/>
                <w:rFonts w:ascii="Times New Roman" w:hAnsi="Times New Roman"/>
                <w:sz w:val="24"/>
              </w:rPr>
              <w:t>NARZUT</w:t>
            </w:r>
            <w:r w:rsidRPr="00AA1421">
              <w:rPr>
                <w:rFonts w:ascii="Times New Roman" w:hAnsi="Times New Roman"/>
                <w:sz w:val="24"/>
              </w:rPr>
              <w:t xml:space="preserve"> </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Art. 280a–280f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Instytucja zgłasza sumę wszystkich narzutów w odpowiednim pakiecie zabezpieczającym/odpowiedniej kategorii ryzyka. </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Narzut na kategorię ryzyka stosowany do określenia potencjalnej przyszłej ekspozycji pakietu kompensowania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f)</w:t>
            </w:r>
            <w:r w:rsidRPr="00AA1421">
              <w:rPr>
                <w:rFonts w:ascii="Times New Roman" w:hAnsi="Times New Roman"/>
                <w:sz w:val="24"/>
              </w:rPr>
              <w:t xml:space="preserve"> CRR oblicza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80a–280f CRR. W przypadku metody standardowej dotyczącej ryzyka kredytowego kontrahenta zastosowanie mają przepisy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595FAD" w:rsidRPr="00AA1421" w:rsidTr="00FF15C6">
        <w:trPr>
          <w:trHeight w:val="680"/>
        </w:trPr>
        <w:tc>
          <w:tcPr>
            <w:tcW w:w="9039" w:type="dxa"/>
            <w:gridSpan w:val="2"/>
            <w:tcBorders>
              <w:left w:val="nil"/>
              <w:right w:val="nil"/>
            </w:tcBorders>
          </w:tcPr>
          <w:p w:rsidR="00595FAD" w:rsidRPr="00AA1421" w:rsidDel="00DF07F8" w:rsidRDefault="00595FAD" w:rsidP="00FF15C6">
            <w:pPr>
              <w:keepNext/>
              <w:spacing w:before="60"/>
              <w:rPr>
                <w:rFonts w:ascii="Times New Roman" w:hAnsi="Times New Roman"/>
                <w:i/>
                <w:szCs w:val="22"/>
                <w:lang w:eastAsia="en-CA"/>
              </w:rPr>
            </w:pPr>
          </w:p>
        </w:tc>
      </w:tr>
      <w:tr w:rsidR="00595FAD" w:rsidRPr="00AA1421"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751FBE">
            <w:pPr>
              <w:pStyle w:val="Applicationdirecte"/>
              <w:spacing w:before="0"/>
              <w:jc w:val="left"/>
              <w:rPr>
                <w:b/>
              </w:rPr>
            </w:pPr>
            <w:r w:rsidRPr="00AA1421">
              <w:rPr>
                <w:b/>
              </w:rPr>
              <w:t xml:space="preserve">Wiersze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0050,0120, 0190, 0230, 0270, 0340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KATEGORIE RYZYKA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Art. 277 i 277a CRR</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Transakcje klasyfikuje się według kategorii ryzyka, do której należą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77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1</w:t>
            </w:r>
            <w:r w:rsidRPr="00AA1421">
              <w:rPr>
                <w:rFonts w:ascii="Times New Roman" w:hAnsi="Times New Roman"/>
                <w:sz w:val="24"/>
                <w:szCs w:val="24"/>
              </w:rPr>
              <w:t>–4 CRR.</w:t>
            </w:r>
          </w:p>
          <w:p w:rsidR="00595FAD" w:rsidRPr="00AA1421" w:rsidRDefault="00595FAD" w:rsidP="00FF15C6">
            <w:pPr>
              <w:pStyle w:val="TableMainHeading"/>
              <w:spacing w:before="60"/>
              <w:jc w:val="both"/>
              <w:rPr>
                <w:rFonts w:ascii="Times New Roman" w:hAnsi="Times New Roman"/>
                <w:sz w:val="24"/>
              </w:rPr>
            </w:pPr>
            <w:r w:rsidRPr="00AA1421">
              <w:rPr>
                <w:rFonts w:ascii="Times New Roman" w:hAnsi="Times New Roman"/>
                <w:sz w:val="24"/>
              </w:rPr>
              <w:lastRenderedPageBreak/>
              <w:t xml:space="preserve">Przypisanie do pakietu zabezpieczającego według kategorii ryzyka odbywa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77a CRR.</w:t>
            </w:r>
          </w:p>
          <w:p w:rsidR="00595FAD" w:rsidRPr="00AA1421" w:rsidRDefault="00595FAD" w:rsidP="00FF15C6">
            <w:pPr>
              <w:pStyle w:val="TableMainHeading"/>
              <w:spacing w:before="60"/>
              <w:jc w:val="both"/>
              <w:rPr>
                <w:rFonts w:ascii="Times New Roman" w:hAnsi="Times New Roman"/>
                <w:sz w:val="24"/>
              </w:rPr>
            </w:pPr>
            <w:r w:rsidRPr="00AA1421">
              <w:rPr>
                <w:rFonts w:ascii="Times New Roman" w:hAnsi="Times New Roman"/>
                <w:sz w:val="24"/>
                <w:szCs w:val="24"/>
              </w:rPr>
              <w:t xml:space="preserve">W przypadku metody standardowej dotyczącej ryzyka kredytowego kontrahenta zastosowanie mają przepisy określone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81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0020-0040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W tym przyporządkowane do więcej niż jednej kategorii ryzyka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Art. 277 ust. 3 CRR</w:t>
            </w:r>
          </w:p>
          <w:p w:rsidR="00595FAD" w:rsidRPr="00AA1421" w:rsidRDefault="00595FAD" w:rsidP="00FF15C6">
            <w:pPr>
              <w:pStyle w:val="TableMainHeading"/>
              <w:spacing w:before="60"/>
              <w:jc w:val="both"/>
              <w:rPr>
                <w:rFonts w:ascii="Times New Roman" w:hAnsi="Times New Roman"/>
                <w:i/>
                <w:sz w:val="24"/>
                <w:szCs w:val="24"/>
              </w:rPr>
            </w:pPr>
            <w:r w:rsidRPr="00AA1421">
              <w:rPr>
                <w:rFonts w:ascii="Times New Roman" w:hAnsi="Times New Roman"/>
                <w:sz w:val="24"/>
                <w:szCs w:val="24"/>
              </w:rPr>
              <w:t xml:space="preserve">Transakcje na instrumentach pochodnych z więcej niż jednym istotnym czynnikiem ryzyka przyporządkowane do dwóch (0020), trzech (0030) lub więcej niż trzech (0040) kategorii ryzyka na podstawie najbardziej istotnego czynnika ryzyka w każdej kategorii ryzyka,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77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 xml:space="preserve"> CRR i regulacyjnymi standardami technicznymi EUNB, o których mowa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77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5</w:t>
            </w:r>
            <w:r w:rsidRPr="00AA1421">
              <w:rPr>
                <w:rFonts w:ascii="Times New Roman" w:hAnsi="Times New Roman"/>
                <w:sz w:val="24"/>
                <w:szCs w:val="24"/>
              </w:rPr>
              <w:t xml:space="preserve"> CRR.</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0070-0110 i 0140-0180</w:t>
            </w:r>
          </w:p>
        </w:tc>
        <w:tc>
          <w:tcPr>
            <w:tcW w:w="7655" w:type="dxa"/>
          </w:tcPr>
          <w:p w:rsidR="00595FAD" w:rsidRPr="00AA1421" w:rsidRDefault="00595FAD" w:rsidP="00FF15C6">
            <w:pPr>
              <w:pStyle w:val="TableMainHeading"/>
              <w:spacing w:before="60"/>
              <w:jc w:val="both"/>
              <w:rPr>
                <w:rStyle w:val="InstructionsTabelleberschrift"/>
                <w:rFonts w:ascii="Times New Roman" w:eastAsiaTheme="minorEastAsia" w:hAnsi="Times New Roman"/>
                <w:sz w:val="24"/>
                <w:szCs w:val="24"/>
              </w:rPr>
            </w:pPr>
            <w:r w:rsidRPr="00AA1421">
              <w:rPr>
                <w:rStyle w:val="InstructionsTabelleberschrift"/>
                <w:rFonts w:ascii="Times New Roman" w:hAnsi="Times New Roman"/>
                <w:sz w:val="24"/>
                <w:szCs w:val="24"/>
              </w:rPr>
              <w:t>Najwyższa waluta i para walutowa</w:t>
            </w:r>
          </w:p>
          <w:p w:rsidR="00595FAD" w:rsidRPr="00AA1421" w:rsidRDefault="00595FAD" w:rsidP="00FF15C6">
            <w:pPr>
              <w:rPr>
                <w:rFonts w:ascii="Times New Roman" w:hAnsi="Times New Roman"/>
                <w:sz w:val="24"/>
              </w:rPr>
            </w:pPr>
            <w:r w:rsidRPr="00AA1421">
              <w:rPr>
                <w:rFonts w:ascii="Times New Roman" w:hAnsi="Times New Roman"/>
                <w:sz w:val="24"/>
              </w:rPr>
              <w:t xml:space="preserve">Klasyfikacji tej dokonuje się na podstawie bieżącej wartości rynkowej portfela instytucji odpowiednio w ramach metody standardowej dotyczącej ryzyka kredytowego kontrahenta lub uproszczonej metody standardowej dotyczącej ryzyka kredytowego kontrahenta dla transakcji przyporządkowanych odpowiednio do kategorii ryzyka stopy procentowej i ryzyka walutowego. </w:t>
            </w:r>
          </w:p>
          <w:p w:rsidR="00595FAD" w:rsidRPr="00AA1421" w:rsidRDefault="00595FAD" w:rsidP="00FF15C6">
            <w:pPr>
              <w:rPr>
                <w:rFonts w:ascii="Times New Roman" w:hAnsi="Times New Roman"/>
                <w:i/>
                <w:sz w:val="24"/>
              </w:rPr>
            </w:pPr>
            <w:r w:rsidRPr="00AA1421">
              <w:rPr>
                <w:rFonts w:ascii="Times New Roman" w:hAnsi="Times New Roman"/>
                <w:sz w:val="24"/>
              </w:rPr>
              <w:t>Do celów tej klasyfikacji</w:t>
            </w:r>
            <w:r w:rsidRPr="00AA1421">
              <w:rPr>
                <w:rFonts w:ascii="inherit" w:hAnsi="inherit"/>
                <w:sz w:val="24"/>
              </w:rPr>
              <w:t xml:space="preserve"> sumuje się wartość bezwzględną bieżącej wartości rynkowej pozycji.</w:t>
            </w:r>
          </w:p>
        </w:tc>
      </w:tr>
      <w:tr w:rsidR="00595FAD" w:rsidRPr="00AA1421" w:rsidTr="00FF15C6">
        <w:trPr>
          <w:trHeight w:val="2279"/>
        </w:trPr>
        <w:tc>
          <w:tcPr>
            <w:tcW w:w="1384" w:type="dxa"/>
          </w:tcPr>
          <w:p w:rsidR="00595FAD" w:rsidRPr="00AA1421" w:rsidRDefault="00595FAD" w:rsidP="00FF15C6">
            <w:pPr>
              <w:pStyle w:val="Applicationdirecte"/>
              <w:spacing w:before="0" w:after="0"/>
            </w:pPr>
            <w:r w:rsidRPr="00AA1421">
              <w:t>0060,0130, 0200,0240, 0280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Przyporządkowywanie wyłączne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Art. 277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CRR</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Transakcje na instrumentach pochodnych przyporządkowane wyłącznie do jednej kategorii ryzyka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77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1</w:t>
            </w:r>
            <w:r w:rsidRPr="00AA1421">
              <w:rPr>
                <w:rFonts w:ascii="Times New Roman" w:hAnsi="Times New Roman"/>
                <w:sz w:val="24"/>
                <w:szCs w:val="24"/>
              </w:rPr>
              <w:t xml:space="preserve"> i 2 CRR. </w:t>
            </w:r>
          </w:p>
          <w:p w:rsidR="00595FAD" w:rsidRPr="00AA1421" w:rsidRDefault="00595FAD" w:rsidP="00FF15C6">
            <w:pPr>
              <w:pStyle w:val="TableMainHeading"/>
              <w:spacing w:before="60"/>
              <w:jc w:val="both"/>
              <w:rPr>
                <w:rFonts w:ascii="Times New Roman" w:hAnsi="Times New Roman"/>
                <w:sz w:val="24"/>
                <w:szCs w:val="24"/>
              </w:rPr>
            </w:pPr>
            <w:r w:rsidRPr="00AA1421">
              <w:rPr>
                <w:rFonts w:ascii="Times New Roman" w:hAnsi="Times New Roman"/>
                <w:sz w:val="24"/>
                <w:szCs w:val="24"/>
              </w:rPr>
              <w:t xml:space="preserve">Nie uwzględnia się transakcji przyporządkowanych do różnych kategorii ryzyka zgodnie z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2</w:t>
            </w:r>
            <w:r w:rsidRPr="00AA1421">
              <w:rPr>
                <w:rFonts w:ascii="Times New Roman" w:hAnsi="Times New Roman"/>
                <w:sz w:val="24"/>
                <w:szCs w:val="24"/>
              </w:rPr>
              <w:t xml:space="preserve">77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 xml:space="preserve">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 xml:space="preserve">0210, 0250 </w:t>
            </w:r>
          </w:p>
        </w:tc>
        <w:tc>
          <w:tcPr>
            <w:tcW w:w="7655" w:type="dxa"/>
          </w:tcPr>
          <w:p w:rsidR="00595FAD" w:rsidRPr="00AA1421" w:rsidRDefault="00595FAD" w:rsidP="00FF15C6">
            <w:pPr>
              <w:pStyle w:val="TableMainHeading"/>
              <w:spacing w:before="60"/>
              <w:jc w:val="both"/>
              <w:rPr>
                <w:rStyle w:val="InstructionsTabelleberschrift"/>
                <w:rFonts w:ascii="Times New Roman" w:hAnsi="Times New Roman"/>
                <w:sz w:val="24"/>
              </w:rPr>
            </w:pPr>
            <w:r w:rsidRPr="00AA1421">
              <w:rPr>
                <w:rStyle w:val="InstructionsTabelleberschrift"/>
                <w:rFonts w:ascii="Times New Roman" w:hAnsi="Times New Roman"/>
                <w:sz w:val="24"/>
              </w:rPr>
              <w:t xml:space="preserve">Transakcje jednopodmiotowe </w:t>
            </w:r>
          </w:p>
          <w:p w:rsidR="00595FAD" w:rsidRPr="00AA1421" w:rsidRDefault="00595FAD" w:rsidP="00FF15C6">
            <w:pPr>
              <w:pStyle w:val="TableMainHeading"/>
              <w:spacing w:before="60"/>
              <w:jc w:val="both"/>
              <w:rPr>
                <w:rStyle w:val="InstructionsTabelleberschrift"/>
                <w:rFonts w:ascii="Times New Roman" w:hAnsi="Times New Roman"/>
                <w:sz w:val="24"/>
              </w:rPr>
            </w:pPr>
            <w:r w:rsidRPr="00AA1421">
              <w:rPr>
                <w:rFonts w:ascii="Times New Roman" w:hAnsi="Times New Roman"/>
                <w:sz w:val="24"/>
                <w:szCs w:val="24"/>
              </w:rPr>
              <w:t xml:space="preserve">Transakcje jednopodmiotowe </w:t>
            </w:r>
            <w:r w:rsidRPr="00AA1421">
              <w:rPr>
                <w:rFonts w:ascii="Times New Roman" w:hAnsi="Times New Roman"/>
                <w:sz w:val="24"/>
              </w:rPr>
              <w:t>przyporządkowane</w:t>
            </w:r>
            <w:r w:rsidRPr="00AA1421">
              <w:rPr>
                <w:rFonts w:ascii="Times New Roman" w:hAnsi="Times New Roman"/>
                <w:sz w:val="24"/>
                <w:szCs w:val="24"/>
              </w:rPr>
              <w:t xml:space="preserve"> odpowiednio do kategorii ryzyka kredytowego i ryzyka cen akcji.</w:t>
            </w:r>
            <w:r w:rsidRPr="00AA1421">
              <w:rPr>
                <w:rStyle w:val="InstructionsTabelleberschrift"/>
                <w:rFonts w:ascii="Times New Roman" w:hAnsi="Times New Roman"/>
                <w:sz w:val="24"/>
              </w:rPr>
              <w:t xml:space="preserve">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0220, 0260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Transakcje wielopodmiotowe</w:t>
            </w:r>
          </w:p>
          <w:p w:rsidR="00595FAD" w:rsidRPr="00AA1421" w:rsidRDefault="00595FAD" w:rsidP="00FF15C6">
            <w:pPr>
              <w:keepNext/>
              <w:spacing w:before="60"/>
              <w:rPr>
                <w:rStyle w:val="InstructionsTabelleberschrift"/>
                <w:rFonts w:ascii="Times New Roman" w:hAnsi="Times New Roman"/>
                <w:sz w:val="24"/>
              </w:rPr>
            </w:pPr>
            <w:r w:rsidRPr="00AA1421">
              <w:rPr>
                <w:rFonts w:ascii="Times New Roman" w:hAnsi="Times New Roman"/>
                <w:sz w:val="24"/>
              </w:rPr>
              <w:t xml:space="preserve">Transakcje wielopodmiotowe przyporządkowane odpowiednio do kategorii ryzyka kredytowego i ryzyka cen akcji.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0290-0330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Pakiet zabezpieczający z tytułu kategorii ryzyka cen towarów</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Transakcje na instrumentach pochodnych przypisane do pakietów zabezpieczających z tytułu kategorii ryzyka cen towarów wymienionych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CRR.</w:t>
            </w:r>
          </w:p>
        </w:tc>
      </w:tr>
    </w:tbl>
    <w:p w:rsidR="00595FAD" w:rsidRPr="00AA1421" w:rsidRDefault="00595FAD" w:rsidP="00595FAD">
      <w:pPr>
        <w:tabs>
          <w:tab w:val="left" w:pos="1430"/>
        </w:tabs>
        <w:rPr>
          <w:rFonts w:ascii="Times New Roman" w:hAnsi="Times New Roman"/>
        </w:rPr>
      </w:pPr>
    </w:p>
    <w:p w:rsidR="00595FAD" w:rsidRPr="00AA1421" w:rsidRDefault="00595FAD" w:rsidP="00595FAD">
      <w:pPr>
        <w:tabs>
          <w:tab w:val="left" w:pos="1430"/>
        </w:tabs>
        <w:rPr>
          <w:rFonts w:ascii="Times New Roman" w:hAnsi="Times New Roman"/>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403687"/>
      <w:r w:rsidRPr="00AA1421">
        <w:rPr>
          <w:rFonts w:ascii="Times New Roman" w:hAnsi="Times New Roman"/>
          <w:sz w:val="24"/>
        </w:rPr>
        <w:lastRenderedPageBreak/>
        <w:t>C 34.04 – Ekspozycje na ryzyko kredytowe kontrahenta, w odniesieniu do których zastosowano metodę wyceny pierwotnej ekspozycji</w:t>
      </w:r>
      <w:bookmarkEnd w:id="468"/>
      <w:bookmarkEnd w:id="469"/>
    </w:p>
    <w:p w:rsidR="00595FAD" w:rsidRPr="00AA1421"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403688"/>
      <w:r w:rsidRPr="00AA1421">
        <w:rPr>
          <w:rFonts w:ascii="Times New Roman" w:hAnsi="Times New Roman"/>
          <w:sz w:val="24"/>
        </w:rPr>
        <w:t>Instrukcje dotyczące poszczególnych pozycji</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238"/>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b/>
                <w:sz w:val="24"/>
              </w:rPr>
            </w:pPr>
            <w:r w:rsidRPr="00AA1421">
              <w:rPr>
                <w:rFonts w:ascii="Times New Roman" w:hAnsi="Times New Roman"/>
                <w:b/>
                <w:sz w:val="24"/>
              </w:rPr>
              <w:t>Kolumny</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0010 - 0020</w:t>
            </w:r>
          </w:p>
        </w:tc>
        <w:tc>
          <w:tcPr>
            <w:tcW w:w="7655" w:type="dxa"/>
            <w:vAlign w:val="center"/>
          </w:tcPr>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Instrukcje dla kolumn 0010 i 0020 są takie same jak te, które podano dla wzoru C 34.02.</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0030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DODATNIA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Suma bieżących wartości rynkowych wszystkich transakcji z dodatnią bieżącą wartością rynkową w danej kategorii ryzyka.</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0040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UJEMNA</w:t>
            </w:r>
          </w:p>
          <w:p w:rsidR="00595FAD" w:rsidRPr="00AA1421" w:rsidRDefault="00595FAD" w:rsidP="00FF15C6">
            <w:pPr>
              <w:keepNext/>
              <w:spacing w:before="60"/>
              <w:rPr>
                <w:rStyle w:val="InstructionsTabelleberschrift"/>
                <w:rFonts w:ascii="Times New Roman" w:hAnsi="Times New Roman"/>
                <w:b w:val="0"/>
                <w:bCs w:val="0"/>
                <w:sz w:val="24"/>
                <w:u w:val="none"/>
              </w:rPr>
            </w:pPr>
            <w:r w:rsidRPr="00AA1421">
              <w:rPr>
                <w:rFonts w:ascii="Times New Roman" w:hAnsi="Times New Roman"/>
                <w:sz w:val="24"/>
              </w:rPr>
              <w:t>Suma bezwzględnych bieżących wartości rynkowych wszystkich transakcji z negatywną bieżącą wartością rynkową w danej kategorii ryzyka.</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0050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POTENCJALNA PRZYSZŁA EKSPOZYCJA (PFE)</w:t>
            </w:r>
          </w:p>
          <w:p w:rsidR="00595FAD" w:rsidRPr="00AA1421" w:rsidRDefault="00595FAD" w:rsidP="00FF15C6">
            <w:pPr>
              <w:keepNext/>
              <w:spacing w:before="60"/>
              <w:rPr>
                <w:rStyle w:val="InstructionsTabelleberschrift"/>
                <w:rFonts w:ascii="Times New Roman" w:hAnsi="Times New Roman"/>
                <w:sz w:val="24"/>
              </w:rPr>
            </w:pPr>
            <w:r w:rsidRPr="00AA1421">
              <w:rPr>
                <w:rFonts w:ascii="Times New Roman" w:hAnsi="Times New Roman"/>
                <w:sz w:val="24"/>
              </w:rPr>
              <w:t>Instytucja zgłasza sumę potencjalnych przyszłych ekspozycji dla wszystkich transakcji należących do tej samej kategorii ryzyka.</w:t>
            </w:r>
          </w:p>
        </w:tc>
      </w:tr>
      <w:tr w:rsidR="00595FAD" w:rsidRPr="00AA1421" w:rsidTr="00FF15C6">
        <w:trPr>
          <w:trHeight w:val="238"/>
        </w:trPr>
        <w:tc>
          <w:tcPr>
            <w:tcW w:w="9039" w:type="dxa"/>
            <w:gridSpan w:val="2"/>
            <w:tcBorders>
              <w:right w:val="single" w:sz="4" w:space="0" w:color="auto"/>
            </w:tcBorders>
            <w:shd w:val="clear" w:color="auto" w:fill="D9D9D9" w:themeFill="background1" w:themeFillShade="D9"/>
          </w:tcPr>
          <w:p w:rsidR="00595FAD" w:rsidRPr="00AA1421" w:rsidRDefault="00595FAD" w:rsidP="00751FBE">
            <w:pPr>
              <w:autoSpaceDE w:val="0"/>
              <w:autoSpaceDN w:val="0"/>
              <w:adjustRightInd w:val="0"/>
              <w:rPr>
                <w:rFonts w:ascii="Times New Roman" w:hAnsi="Times New Roman"/>
                <w:b/>
                <w:sz w:val="24"/>
              </w:rPr>
            </w:pPr>
            <w:r w:rsidRPr="00AA1421">
              <w:rPr>
                <w:rFonts w:ascii="Times New Roman" w:hAnsi="Times New Roman"/>
                <w:b/>
                <w:sz w:val="24"/>
              </w:rPr>
              <w:t>Wiersze</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0020 - 0070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KATEGORIE RYZYKA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Transakcje na instrumentach pochodnych przyporządkowane do kategorii ryzyka wymienionych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tc>
      </w:tr>
    </w:tbl>
    <w:p w:rsidR="00595FAD" w:rsidRPr="00AA1421" w:rsidRDefault="00595FAD" w:rsidP="00595FAD">
      <w:pPr>
        <w:tabs>
          <w:tab w:val="left" w:pos="1430"/>
        </w:tabs>
        <w:rPr>
          <w:rFonts w:ascii="Times New Roman" w:hAnsi="Times New Roman"/>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403689"/>
      <w:r w:rsidRPr="00AA1421">
        <w:rPr>
          <w:rFonts w:ascii="Times New Roman" w:hAnsi="Times New Roman"/>
          <w:sz w:val="24"/>
        </w:rPr>
        <w:t>C 34.05 – Ekspozycje na ryzyko kredytowe kontrahenta, w odniesieniu do których zastosowano metodę modeli wewnętrznych (IMM)</w:t>
      </w:r>
      <w:bookmarkEnd w:id="472"/>
      <w:bookmarkEnd w:id="473"/>
    </w:p>
    <w:p w:rsidR="00595FAD" w:rsidRPr="00AA1421"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403690"/>
      <w:r w:rsidRPr="00AA1421">
        <w:rPr>
          <w:rFonts w:ascii="Times New Roman" w:hAnsi="Times New Roman"/>
          <w:sz w:val="24"/>
        </w:rPr>
        <w:t>Instrukcje dotyczące poszczególnych pozycji</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238"/>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b/>
                <w:sz w:val="24"/>
              </w:rPr>
            </w:pPr>
            <w:r w:rsidRPr="00AA1421">
              <w:rPr>
                <w:rFonts w:ascii="Times New Roman" w:hAnsi="Times New Roman"/>
                <w:b/>
                <w:sz w:val="24"/>
              </w:rPr>
              <w:t>Kolumny</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00010 - 0080</w:t>
            </w:r>
          </w:p>
        </w:tc>
        <w:tc>
          <w:tcPr>
            <w:tcW w:w="7655" w:type="dxa"/>
            <w:vAlign w:val="center"/>
          </w:tcPr>
          <w:p w:rsidR="00595FAD" w:rsidRPr="00AA1421" w:rsidRDefault="00595FAD" w:rsidP="00FF15C6">
            <w:pPr>
              <w:keepNext/>
              <w:spacing w:before="60"/>
              <w:rPr>
                <w:rFonts w:ascii="Times New Roman" w:hAnsi="Times New Roman"/>
                <w:strike/>
                <w:sz w:val="24"/>
              </w:rPr>
            </w:pPr>
            <w:r w:rsidRPr="00AA1421">
              <w:rPr>
                <w:rStyle w:val="InstructionsTabelleberschrift"/>
                <w:rFonts w:ascii="Times New Roman" w:hAnsi="Times New Roman"/>
                <w:sz w:val="24"/>
              </w:rPr>
              <w:t xml:space="preserve">PODLEGAJĄCE OBOWIĄZKOWI DOSTARCZENIA ZABEZPIECZENIA </w:t>
            </w:r>
          </w:p>
          <w:p w:rsidR="00595FAD" w:rsidRPr="00AA1421" w:rsidRDefault="00595FAD" w:rsidP="00FF15C6">
            <w:pPr>
              <w:keepNext/>
              <w:spacing w:before="60"/>
              <w:rPr>
                <w:rFonts w:ascii="Times New Roman" w:hAnsi="Times New Roman"/>
                <w:strike/>
                <w:sz w:val="24"/>
              </w:rPr>
            </w:pPr>
            <w:r w:rsidRPr="00AA1421">
              <w:rPr>
                <w:rFonts w:ascii="Times New Roman" w:hAnsi="Times New Roman"/>
                <w:sz w:val="24"/>
              </w:rPr>
              <w:t>Zob. instrukcje dla wiersza 0130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0090 - 0160</w:t>
            </w:r>
          </w:p>
        </w:tc>
        <w:tc>
          <w:tcPr>
            <w:tcW w:w="7655" w:type="dxa"/>
            <w:vAlign w:val="center"/>
          </w:tcPr>
          <w:p w:rsidR="00595FAD" w:rsidRPr="00AA1421" w:rsidRDefault="00595FAD" w:rsidP="00FF15C6">
            <w:pPr>
              <w:keepNext/>
              <w:spacing w:before="60"/>
              <w:rPr>
                <w:rStyle w:val="InstructionsTabelleberschrift"/>
                <w:rFonts w:ascii="Times New Roman" w:hAnsi="Times New Roman"/>
                <w:b w:val="0"/>
                <w:bCs w:val="0"/>
                <w:sz w:val="24"/>
              </w:rPr>
            </w:pPr>
            <w:r w:rsidRPr="00AA1421">
              <w:rPr>
                <w:rStyle w:val="InstructionsTabelleberschrift"/>
                <w:rFonts w:ascii="Times New Roman" w:hAnsi="Times New Roman"/>
                <w:sz w:val="24"/>
              </w:rPr>
              <w:t xml:space="preserve">NIEPODLEGAJĄCE OBOWIĄZKOWI DOSTARCZENIA ZABEZPIECZENIA </w:t>
            </w:r>
          </w:p>
          <w:p w:rsidR="00595FAD" w:rsidRPr="00AA1421" w:rsidRDefault="00595FAD" w:rsidP="00FF15C6">
            <w:pPr>
              <w:keepNext/>
              <w:spacing w:before="60"/>
              <w:rPr>
                <w:rFonts w:ascii="Times New Roman" w:hAnsi="Times New Roman"/>
                <w:strike/>
                <w:sz w:val="24"/>
              </w:rPr>
            </w:pPr>
            <w:r w:rsidRPr="00AA1421">
              <w:rPr>
                <w:rFonts w:ascii="Times New Roman" w:hAnsi="Times New Roman"/>
                <w:sz w:val="24"/>
              </w:rPr>
              <w:t>Zob. instrukcje dla wiersza 0140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0010,0090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LICZBA TRANSAKCJI </w:t>
            </w:r>
          </w:p>
          <w:p w:rsidR="00595FAD" w:rsidRPr="00AA1421" w:rsidRDefault="00595FAD" w:rsidP="00FF15C6">
            <w:pPr>
              <w:keepNext/>
              <w:spacing w:before="60"/>
              <w:rPr>
                <w:rFonts w:ascii="Times New Roman" w:hAnsi="Times New Roman"/>
                <w:strike/>
                <w:sz w:val="24"/>
              </w:rPr>
            </w:pPr>
            <w:r w:rsidRPr="00AA1421">
              <w:rPr>
                <w:rFonts w:ascii="Times New Roman" w:hAnsi="Times New Roman"/>
                <w:sz w:val="24"/>
              </w:rPr>
              <w:t>Zob. instrukcje dla kolumny 0020 we wzorze C 34.02.</w:t>
            </w:r>
          </w:p>
        </w:tc>
      </w:tr>
      <w:tr w:rsidR="00595FAD" w:rsidRPr="00AA1421" w:rsidTr="00FF15C6">
        <w:trPr>
          <w:trHeight w:val="680"/>
        </w:trPr>
        <w:tc>
          <w:tcPr>
            <w:tcW w:w="1384" w:type="dxa"/>
          </w:tcPr>
          <w:p w:rsidR="00595FAD" w:rsidRPr="00AA1421" w:rsidRDefault="00595FAD" w:rsidP="00FF15C6">
            <w:pPr>
              <w:pStyle w:val="Fait"/>
              <w:jc w:val="left"/>
            </w:pPr>
            <w:r w:rsidRPr="00AA1421">
              <w:lastRenderedPageBreak/>
              <w:t>0020,0100</w:t>
            </w:r>
          </w:p>
        </w:tc>
        <w:tc>
          <w:tcPr>
            <w:tcW w:w="7655" w:type="dxa"/>
            <w:vAlign w:val="center"/>
          </w:tcPr>
          <w:p w:rsidR="00595FAD" w:rsidRPr="00AA1421" w:rsidRDefault="00595FAD" w:rsidP="00FF15C6">
            <w:pPr>
              <w:keepNext/>
              <w:spacing w:before="60"/>
              <w:rPr>
                <w:rStyle w:val="InstructionsTabelleberschrift"/>
                <w:rFonts w:ascii="Times New Roman" w:hAnsi="Times New Roman"/>
                <w:b w:val="0"/>
                <w:bCs w:val="0"/>
                <w:sz w:val="24"/>
              </w:rPr>
            </w:pPr>
            <w:r w:rsidRPr="00AA1421">
              <w:rPr>
                <w:rStyle w:val="InstructionsTabelleberschrift"/>
                <w:rFonts w:ascii="Times New Roman" w:hAnsi="Times New Roman"/>
                <w:sz w:val="24"/>
              </w:rPr>
              <w:t xml:space="preserve">KWOTY REFERENCYJNE </w:t>
            </w:r>
          </w:p>
          <w:p w:rsidR="00595FAD" w:rsidRPr="00AA1421" w:rsidRDefault="00595FAD" w:rsidP="00FF15C6">
            <w:pPr>
              <w:keepNext/>
              <w:spacing w:before="60"/>
              <w:rPr>
                <w:rFonts w:ascii="Times New Roman" w:hAnsi="Times New Roman"/>
                <w:i/>
                <w:strike/>
                <w:sz w:val="24"/>
              </w:rPr>
            </w:pPr>
            <w:r w:rsidRPr="00AA1421">
              <w:rPr>
                <w:rFonts w:ascii="Times New Roman" w:hAnsi="Times New Roman"/>
                <w:sz w:val="24"/>
              </w:rPr>
              <w:t>Zob. instrukcje dla kolumny 0030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0030,0110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DODATNIA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Suma bieżących wartości rynkowych wszystkich transakcji z dodatnią bieżącą wartością rynkową należących do tej samej klasy aktywów.</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0040,0120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WARTOŚĆ RYNKOWA (CMV), UJEMNA</w:t>
            </w:r>
          </w:p>
          <w:p w:rsidR="00595FAD" w:rsidRPr="00AA1421" w:rsidRDefault="00595FAD" w:rsidP="00FF15C6">
            <w:pPr>
              <w:keepNext/>
              <w:spacing w:before="60"/>
              <w:rPr>
                <w:rStyle w:val="InstructionsTabelleberschrift"/>
                <w:rFonts w:ascii="Times New Roman" w:hAnsi="Times New Roman"/>
                <w:sz w:val="24"/>
              </w:rPr>
            </w:pPr>
            <w:r w:rsidRPr="00AA1421">
              <w:rPr>
                <w:rFonts w:ascii="Times New Roman" w:hAnsi="Times New Roman"/>
                <w:sz w:val="24"/>
              </w:rPr>
              <w:t>Suma bezwzględnych bieżących wartości rynkowych wszystkich transakcji z ujemną bieżącą wartością rynkową należących do tej samej klasy aktywów.</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0050,0130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BIEŻĄCA EKSPOZYCJA</w:t>
            </w:r>
          </w:p>
          <w:p w:rsidR="00595FAD" w:rsidRPr="00AA1421" w:rsidRDefault="00595FAD" w:rsidP="00FF15C6">
            <w:pPr>
              <w:keepNext/>
              <w:spacing w:before="60"/>
              <w:rPr>
                <w:rFonts w:ascii="Times New Roman" w:hAnsi="Times New Roman"/>
                <w:strike/>
                <w:sz w:val="24"/>
              </w:rPr>
            </w:pPr>
            <w:r w:rsidRPr="00AA1421">
              <w:rPr>
                <w:rFonts w:ascii="Times New Roman" w:hAnsi="Times New Roman"/>
                <w:sz w:val="24"/>
              </w:rPr>
              <w:t>Zob. instrukcje dla kolumny 0120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0060,0140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EFEKTYWNA DODATNIA EKSPOZYCJA OCZEKIWANA (EFEKTYWNA EPE)</w:t>
            </w:r>
          </w:p>
          <w:p w:rsidR="00595FAD" w:rsidRPr="00AA1421" w:rsidRDefault="00595FAD" w:rsidP="00FF15C6">
            <w:pPr>
              <w:pStyle w:val="Default"/>
              <w:spacing w:after="120"/>
              <w:jc w:val="both"/>
              <w:rPr>
                <w:rFonts w:ascii="Times New Roman" w:hAnsi="Times New Roman" w:cs="Times New Roman"/>
                <w:strike/>
                <w:color w:val="auto"/>
              </w:rPr>
            </w:pPr>
            <w:r w:rsidRPr="00AA1421">
              <w:rPr>
                <w:rFonts w:ascii="Times New Roman" w:hAnsi="Times New Roman"/>
                <w:color w:val="auto"/>
              </w:rPr>
              <w:t>Zob. instrukcje dla kolumny 0130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0070,0150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EFEKTYWNA EPE W WARUNKACH SKRAJNYCH</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Art. 284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Efektywną EPE w warunkach skrajnych oblicza się analogicznie do efektywnej EPE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84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ale z zastosowaniem kalibracji dla warunków skrajnych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595FAD" w:rsidRPr="00AA1421" w:rsidTr="00FF15C6">
        <w:trPr>
          <w:trHeight w:val="680"/>
        </w:trPr>
        <w:tc>
          <w:tcPr>
            <w:tcW w:w="1384" w:type="dxa"/>
          </w:tcPr>
          <w:p w:rsidR="00595FAD" w:rsidRPr="00AA1421" w:rsidRDefault="00595FAD" w:rsidP="00FF15C6">
            <w:pPr>
              <w:pStyle w:val="Applicationdirecte"/>
              <w:spacing w:before="0" w:after="0"/>
              <w:jc w:val="left"/>
            </w:pPr>
            <w:r w:rsidRPr="00AA1421">
              <w:t>0080, 0160,0170</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WARTOŚĆ EKSPOZYCJI</w:t>
            </w:r>
          </w:p>
          <w:p w:rsidR="00595FAD" w:rsidRPr="00AA1421" w:rsidRDefault="00595FAD" w:rsidP="00FF15C6">
            <w:pPr>
              <w:keepNext/>
              <w:spacing w:before="60"/>
              <w:rPr>
                <w:rStyle w:val="InstructionsTabelleberschrift"/>
                <w:rFonts w:ascii="Times New Roman" w:hAnsi="Times New Roman"/>
                <w:sz w:val="24"/>
              </w:rPr>
            </w:pPr>
            <w:r w:rsidRPr="00AA1421">
              <w:rPr>
                <w:rFonts w:ascii="Times New Roman" w:hAnsi="Times New Roman"/>
                <w:sz w:val="24"/>
              </w:rPr>
              <w:t>Zob. instrukcje dla kolumny 0170 we wzorze C 34.02.</w:t>
            </w:r>
          </w:p>
        </w:tc>
      </w:tr>
      <w:tr w:rsidR="00595FAD" w:rsidRPr="00AA1421" w:rsidTr="00FF15C6">
        <w:trPr>
          <w:trHeight w:val="680"/>
        </w:trPr>
        <w:tc>
          <w:tcPr>
            <w:tcW w:w="9039" w:type="dxa"/>
            <w:gridSpan w:val="2"/>
            <w:tcBorders>
              <w:left w:val="nil"/>
              <w:right w:val="nil"/>
            </w:tcBorders>
          </w:tcPr>
          <w:p w:rsidR="00595FAD" w:rsidRPr="00AA1421" w:rsidDel="00291448" w:rsidRDefault="00595FAD" w:rsidP="00FF15C6">
            <w:pPr>
              <w:keepNext/>
              <w:spacing w:before="60"/>
              <w:rPr>
                <w:rFonts w:ascii="Times New Roman" w:hAnsi="Times New Roman"/>
                <w:i/>
                <w:szCs w:val="22"/>
                <w:lang w:eastAsia="en-CA"/>
              </w:rPr>
            </w:pP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pStyle w:val="Applicationdirecte"/>
              <w:spacing w:before="0"/>
              <w:jc w:val="left"/>
              <w:rPr>
                <w:b/>
              </w:rPr>
            </w:pPr>
            <w:r w:rsidRPr="00AA1421">
              <w:rPr>
                <w:b/>
              </w:rPr>
              <w:t xml:space="preserve">Wiersz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pStyle w:val="TableMainHeading"/>
              <w:spacing w:before="60"/>
              <w:rPr>
                <w:rFonts w:ascii="Times New Roman" w:hAnsi="Times New Roman"/>
                <w:b/>
                <w:sz w:val="24"/>
                <w:szCs w:val="24"/>
              </w:rPr>
            </w:pPr>
            <w:r w:rsidRPr="00AA1421">
              <w:rPr>
                <w:rFonts w:ascii="Times New Roman" w:hAnsi="Times New Roman"/>
                <w:b/>
                <w:sz w:val="24"/>
                <w:szCs w:val="24"/>
              </w:rPr>
              <w:t xml:space="preserve">Wyjaśnienie </w:t>
            </w:r>
          </w:p>
        </w:tc>
      </w:tr>
      <w:tr w:rsidR="00595FAD" w:rsidRPr="00AA1421" w:rsidTr="00FF15C6">
        <w:trPr>
          <w:trHeight w:val="426"/>
        </w:trPr>
        <w:tc>
          <w:tcPr>
            <w:tcW w:w="1384" w:type="dxa"/>
          </w:tcPr>
          <w:p w:rsidR="00595FAD" w:rsidRPr="00AA1421" w:rsidRDefault="00595FAD" w:rsidP="00FF15C6">
            <w:pPr>
              <w:pStyle w:val="Applicationdirecte"/>
              <w:spacing w:before="0" w:after="0"/>
            </w:pPr>
            <w:r w:rsidRPr="00AA1421">
              <w:t>0010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RAZEM </w:t>
            </w:r>
          </w:p>
          <w:p w:rsidR="00595FAD" w:rsidRPr="00AA1421" w:rsidRDefault="00595FAD" w:rsidP="00FF15C6">
            <w:pPr>
              <w:keepNext/>
              <w:spacing w:before="60"/>
              <w:rPr>
                <w:sz w:val="24"/>
              </w:rPr>
            </w:pPr>
            <w:r w:rsidRPr="00AA1421">
              <w:rPr>
                <w:rFonts w:ascii="Times New Roman" w:hAnsi="Times New Roman"/>
                <w:sz w:val="24"/>
              </w:rPr>
              <w:t>Art. 283 CRR</w:t>
            </w:r>
          </w:p>
          <w:p w:rsidR="00595FAD" w:rsidRPr="00AA1421" w:rsidRDefault="00595FAD" w:rsidP="00FF15C6">
            <w:pPr>
              <w:rPr>
                <w:sz w:val="24"/>
              </w:rPr>
            </w:pPr>
            <w:r w:rsidRPr="00AA1421">
              <w:rPr>
                <w:rFonts w:ascii="Times New Roman" w:hAnsi="Times New Roman"/>
                <w:sz w:val="24"/>
              </w:rPr>
              <w:t xml:space="preserve">Instytucja zgłasza istotne informacje dotyczące instrumentów pochodnych, transakcji z długim terminem rozliczenia i transakcji finansowanych z użyciem papierów wartościowych, dla których pozwolono jej na określenie wartości ekspozycji z użyciem metody modeli wewnętrznych (IMM)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83 CRR.</w:t>
            </w:r>
          </w:p>
        </w:tc>
      </w:tr>
      <w:tr w:rsidR="00595FAD" w:rsidRPr="00AA1421" w:rsidTr="00FF15C6">
        <w:trPr>
          <w:trHeight w:val="829"/>
        </w:trPr>
        <w:tc>
          <w:tcPr>
            <w:tcW w:w="1384" w:type="dxa"/>
          </w:tcPr>
          <w:p w:rsidR="00595FAD" w:rsidRPr="00AA1421" w:rsidRDefault="00595FAD" w:rsidP="00FF15C6">
            <w:pPr>
              <w:pStyle w:val="Applicationdirecte"/>
              <w:spacing w:before="0" w:after="0"/>
            </w:pPr>
            <w:r w:rsidRPr="00AA1421">
              <w:t>0020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W tym: pozycje charakteryzujące się szczególnym ryzykiem korelacji</w:t>
            </w:r>
          </w:p>
          <w:p w:rsidR="00595FAD" w:rsidRPr="00AA1421" w:rsidRDefault="00595FAD" w:rsidP="00FF15C6">
            <w:pPr>
              <w:rPr>
                <w:rFonts w:ascii="Times New Roman" w:hAnsi="Times New Roman"/>
                <w:sz w:val="24"/>
              </w:rPr>
            </w:pPr>
            <w:r w:rsidRPr="00AA1421">
              <w:rPr>
                <w:rFonts w:ascii="Times New Roman" w:hAnsi="Times New Roman"/>
                <w:sz w:val="24"/>
              </w:rPr>
              <w:t>Zob. instrukcje dla wiersza 0120 we wzorze C 34.02.</w:t>
            </w:r>
          </w:p>
        </w:tc>
      </w:tr>
      <w:tr w:rsidR="00595FAD" w:rsidRPr="00AA1421" w:rsidTr="00FF15C6">
        <w:trPr>
          <w:trHeight w:val="842"/>
        </w:trPr>
        <w:tc>
          <w:tcPr>
            <w:tcW w:w="1384" w:type="dxa"/>
          </w:tcPr>
          <w:p w:rsidR="00595FAD" w:rsidRPr="00AA1421" w:rsidRDefault="00595FAD" w:rsidP="00FF15C6">
            <w:pPr>
              <w:pStyle w:val="Applicationdirecte"/>
              <w:spacing w:before="0" w:after="0"/>
              <w:jc w:val="left"/>
            </w:pPr>
            <w:r w:rsidRPr="00AA1421">
              <w:t>0030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Pakiety kompensowania traktowane zgodnie z metodą standardową dotyczącą ryzyka kredytowego</w:t>
            </w:r>
          </w:p>
          <w:p w:rsidR="00595FAD" w:rsidRPr="00AA1421" w:rsidRDefault="00595FAD" w:rsidP="00FF15C6">
            <w:pPr>
              <w:rPr>
                <w:rStyle w:val="InstructionsTabelleberschrift"/>
                <w:rFonts w:ascii="Times New Roman" w:hAnsi="Times New Roman" w:cstheme="minorBidi"/>
                <w:b w:val="0"/>
                <w:bCs w:val="0"/>
                <w:sz w:val="24"/>
              </w:rPr>
            </w:pPr>
            <w:r w:rsidRPr="00AA1421">
              <w:rPr>
                <w:rFonts w:ascii="Times New Roman" w:hAnsi="Times New Roman"/>
                <w:sz w:val="24"/>
              </w:rPr>
              <w:t>Zob. instrukcje dla kolumny 0180 we wzorze C 34.02.</w:t>
            </w:r>
          </w:p>
        </w:tc>
      </w:tr>
      <w:tr w:rsidR="00595FAD" w:rsidRPr="00AA1421" w:rsidTr="00FF15C6">
        <w:trPr>
          <w:trHeight w:val="839"/>
        </w:trPr>
        <w:tc>
          <w:tcPr>
            <w:tcW w:w="1384" w:type="dxa"/>
          </w:tcPr>
          <w:p w:rsidR="00595FAD" w:rsidRPr="00AA1421" w:rsidRDefault="00595FAD" w:rsidP="00FF15C6">
            <w:pPr>
              <w:pStyle w:val="Applicationdirecte"/>
              <w:spacing w:before="0" w:after="0"/>
              <w:jc w:val="left"/>
            </w:pPr>
            <w:r w:rsidRPr="00AA1421">
              <w:lastRenderedPageBreak/>
              <w:t>0040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Pakiety kompensowania traktowane zgodnie z metodą IRB dotyczącą ryzyka kredytowego</w:t>
            </w:r>
          </w:p>
          <w:p w:rsidR="00595FAD" w:rsidRPr="00AA1421" w:rsidRDefault="00595FAD" w:rsidP="00FF15C6">
            <w:pPr>
              <w:rPr>
                <w:rStyle w:val="InstructionsTabelleberschrift"/>
                <w:rFonts w:ascii="Times New Roman" w:hAnsi="Times New Roman" w:cstheme="minorBidi"/>
                <w:b w:val="0"/>
                <w:bCs w:val="0"/>
                <w:sz w:val="24"/>
              </w:rPr>
            </w:pPr>
            <w:r w:rsidRPr="00AA1421">
              <w:rPr>
                <w:rFonts w:ascii="Times New Roman" w:hAnsi="Times New Roman"/>
                <w:sz w:val="24"/>
              </w:rPr>
              <w:t>Zob. instrukcje dla kolumny 0190 we wzorze C 34.02.</w:t>
            </w:r>
          </w:p>
        </w:tc>
      </w:tr>
      <w:tr w:rsidR="00595FAD" w:rsidRPr="00AA1421" w:rsidTr="00FF15C6">
        <w:trPr>
          <w:trHeight w:val="1971"/>
        </w:trPr>
        <w:tc>
          <w:tcPr>
            <w:tcW w:w="1384" w:type="dxa"/>
          </w:tcPr>
          <w:p w:rsidR="00595FAD" w:rsidRPr="00AA1421" w:rsidRDefault="00595FAD" w:rsidP="00FF15C6">
            <w:pPr>
              <w:pStyle w:val="Applicationdirecte"/>
              <w:spacing w:before="0" w:after="0"/>
              <w:jc w:val="left"/>
            </w:pPr>
            <w:r w:rsidRPr="00AA1421">
              <w:t>0050 - 0110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INSTRUMENTY POCHODNE BĘDĄCE PRZEDMIOTEM OBROTU POZA RYNKIEM REGULOWANYM</w:t>
            </w:r>
          </w:p>
          <w:p w:rsidR="00595FAD" w:rsidRPr="00AA1421" w:rsidRDefault="00595FAD" w:rsidP="00FF15C6">
            <w:pPr>
              <w:rPr>
                <w:rFonts w:ascii="Times New Roman" w:hAnsi="Times New Roman"/>
                <w:sz w:val="24"/>
              </w:rPr>
            </w:pPr>
            <w:r w:rsidRPr="00AA1421">
              <w:rPr>
                <w:rFonts w:ascii="Times New Roman" w:hAnsi="Times New Roman"/>
                <w:sz w:val="24"/>
              </w:rPr>
              <w:t>Instytucja zgłasza istotne informacje dotyczące pakietów kompensowania zawierających wyłącznie instrumenty pochodne będące przedmiotem obrotu poza rynkiem regulowanym lub transakcje z długim terminem rozliczenia, dla których zezwolono jej na określenie wartości ekspozycji za pomocą IMM w podziale na poszczególne klasy aktywów w odniesieniu do instrumentu bazowego (stopa procentowa, kurs walutowy, kredyty, akcje, towary lub inne).</w:t>
            </w:r>
          </w:p>
        </w:tc>
      </w:tr>
      <w:tr w:rsidR="00595FAD" w:rsidRPr="00AA1421" w:rsidTr="00FF15C6">
        <w:trPr>
          <w:trHeight w:val="1970"/>
        </w:trPr>
        <w:tc>
          <w:tcPr>
            <w:tcW w:w="1384" w:type="dxa"/>
          </w:tcPr>
          <w:p w:rsidR="00595FAD" w:rsidRPr="00AA1421" w:rsidRDefault="00595FAD" w:rsidP="00FF15C6">
            <w:pPr>
              <w:pStyle w:val="Applicationdirecte"/>
              <w:spacing w:before="0" w:after="0"/>
            </w:pPr>
            <w:r w:rsidRPr="00AA1421">
              <w:t>0120 - 0180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GIEŁDOWE INSTRUMENTY POCHODNE</w:t>
            </w:r>
          </w:p>
          <w:p w:rsidR="00595FAD" w:rsidRPr="00AA1421" w:rsidRDefault="00595FAD" w:rsidP="00FF15C6">
            <w:pPr>
              <w:rPr>
                <w:rFonts w:ascii="Times New Roman" w:hAnsi="Times New Roman"/>
                <w:sz w:val="24"/>
              </w:rPr>
            </w:pPr>
            <w:r w:rsidRPr="00AA1421">
              <w:rPr>
                <w:rFonts w:ascii="Times New Roman" w:hAnsi="Times New Roman"/>
                <w:sz w:val="24"/>
              </w:rPr>
              <w:t>Instytucja zgłasza istotne informacje dotyczące pakietów kompensowania zawierających wyłącznie giełdowe instrumenty pochodne lub transakcje z długim terminem rozliczenia, dla których zezwolono jej na określenie wartości ekspozycji za pomocą IMM w podziale na poszczególne klasy aktywów w odniesieniu do instrumentu bazowego (stopa procentowa, kurs walutowy, kredyty, akcje, towary lub inne).</w:t>
            </w:r>
          </w:p>
        </w:tc>
      </w:tr>
      <w:tr w:rsidR="00595FAD" w:rsidRPr="00AA1421" w:rsidTr="00FF15C6">
        <w:trPr>
          <w:trHeight w:val="1701"/>
        </w:trPr>
        <w:tc>
          <w:tcPr>
            <w:tcW w:w="1384" w:type="dxa"/>
          </w:tcPr>
          <w:p w:rsidR="00595FAD" w:rsidRPr="00AA1421" w:rsidRDefault="00595FAD" w:rsidP="00FF15C6">
            <w:pPr>
              <w:pStyle w:val="Applicationdirecte"/>
              <w:spacing w:before="0" w:after="0"/>
            </w:pPr>
            <w:r w:rsidRPr="00AA1421">
              <w:t>0190 - 0220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TRANSAKCJE FINANSOWANE Z UŻYCIEM PAPIERÓW WARTOŚCIOWYCH</w:t>
            </w:r>
          </w:p>
          <w:p w:rsidR="00595FAD" w:rsidRPr="00AA1421" w:rsidRDefault="00595FAD" w:rsidP="00FF15C6">
            <w:pPr>
              <w:rPr>
                <w:rFonts w:ascii="Times New Roman" w:hAnsi="Times New Roman"/>
                <w:sz w:val="24"/>
              </w:rPr>
            </w:pPr>
            <w:r w:rsidRPr="00AA1421">
              <w:rPr>
                <w:rFonts w:ascii="Times New Roman" w:hAnsi="Times New Roman"/>
                <w:sz w:val="24"/>
              </w:rPr>
              <w:t>Instytucja zgłasza istotne informacje dotyczące pakietów kompensowania zawierających wyłącznie transakcje finansowane z użyciem papierów wartościowych, dla których zezwolono jej na określenie wartości ekspozycji za pomocą IMM w podziale na rodzaj instrumentu bazowego w części transakcji obejmującej papiery wartościowe wykorzystywane w ramach transakcji finansowanej z użyciem papierów wartościowych (obligacje, akcje lub inne).</w:t>
            </w:r>
          </w:p>
        </w:tc>
      </w:tr>
      <w:tr w:rsidR="00595FAD" w:rsidRPr="00AA1421" w:rsidTr="00FF15C6">
        <w:trPr>
          <w:trHeight w:val="833"/>
        </w:trPr>
        <w:tc>
          <w:tcPr>
            <w:tcW w:w="1384" w:type="dxa"/>
          </w:tcPr>
          <w:p w:rsidR="00595FAD" w:rsidRPr="00AA1421" w:rsidRDefault="00595FAD" w:rsidP="00FF15C6">
            <w:pPr>
              <w:pStyle w:val="Applicationdirecte"/>
              <w:spacing w:before="0" w:after="0"/>
            </w:pPr>
            <w:r w:rsidRPr="00AA1421">
              <w:t>0230</w:t>
            </w:r>
          </w:p>
        </w:tc>
        <w:tc>
          <w:tcPr>
            <w:tcW w:w="7655" w:type="dxa"/>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PAKIETY KOMPENSOWANIA, DLA KTÓRYCH ISTNIEJĄ UMOWY O KOMPENSOWANIU MIĘDZYPRODUKTOWYM</w:t>
            </w:r>
          </w:p>
          <w:p w:rsidR="00595FAD" w:rsidRPr="00AA1421" w:rsidRDefault="00595FAD" w:rsidP="00FF15C6">
            <w:pPr>
              <w:rPr>
                <w:rFonts w:ascii="Times New Roman" w:hAnsi="Times New Roman"/>
                <w:sz w:val="24"/>
              </w:rPr>
            </w:pPr>
            <w:r w:rsidRPr="00AA1421">
              <w:rPr>
                <w:rFonts w:ascii="Times New Roman" w:hAnsi="Times New Roman"/>
                <w:sz w:val="24"/>
              </w:rPr>
              <w:t>Zob. instrukcje dla wiersza 0070 we wzorze C 34.02.</w:t>
            </w:r>
          </w:p>
        </w:tc>
      </w:tr>
    </w:tbl>
    <w:p w:rsidR="00595FAD" w:rsidRPr="00AA1421" w:rsidRDefault="00595FAD" w:rsidP="00595FAD">
      <w:pPr>
        <w:tabs>
          <w:tab w:val="left" w:pos="1430"/>
        </w:tabs>
        <w:rPr>
          <w:rFonts w:ascii="Times New Roman" w:hAnsi="Times New Roman"/>
        </w:rPr>
      </w:pPr>
    </w:p>
    <w:p w:rsidR="00595FAD" w:rsidRPr="00AA1421" w:rsidRDefault="00595FAD" w:rsidP="00595FAD">
      <w:pPr>
        <w:tabs>
          <w:tab w:val="left" w:pos="1430"/>
        </w:tabs>
        <w:rPr>
          <w:rFonts w:ascii="Times New Roman" w:hAnsi="Times New Roman"/>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403691"/>
      <w:r w:rsidRPr="00AA1421">
        <w:rPr>
          <w:rFonts w:ascii="Times New Roman" w:hAnsi="Times New Roman"/>
          <w:sz w:val="24"/>
        </w:rPr>
        <w:t>C 34.06 – Dwudziestu największych kontrahentów</w:t>
      </w:r>
      <w:bookmarkEnd w:id="476"/>
      <w:bookmarkEnd w:id="477"/>
    </w:p>
    <w:p w:rsidR="00595FAD" w:rsidRPr="00AA1421"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403692"/>
      <w:r w:rsidRPr="00AA1421">
        <w:rPr>
          <w:rFonts w:ascii="Times New Roman" w:hAnsi="Times New Roman"/>
          <w:sz w:val="24"/>
        </w:rPr>
        <w:t>Uwagi ogólne</w:t>
      </w:r>
      <w:bookmarkEnd w:id="478"/>
      <w:bookmarkEnd w:id="479"/>
    </w:p>
    <w:p w:rsidR="00595FAD" w:rsidRPr="00AA1421" w:rsidRDefault="00AA1421" w:rsidP="00487A02">
      <w:pPr>
        <w:pStyle w:val="InstructionsText2"/>
        <w:numPr>
          <w:ilvl w:val="0"/>
          <w:numId w:val="0"/>
        </w:numPr>
        <w:ind w:left="1353" w:hanging="360"/>
      </w:pPr>
      <w:fldSimple w:instr=" seq paragraphs ">
        <w:r w:rsidR="00D11E4C" w:rsidRPr="00AA1421">
          <w:rPr>
            <w:noProof/>
          </w:rPr>
          <w:t>126</w:t>
        </w:r>
      </w:fldSimple>
      <w:r w:rsidR="00D11E4C" w:rsidRPr="00AA1421">
        <w:t xml:space="preserve">. Instytucje zgłaszają informacje dotyczące 20 największych kontrahentów, wobec których posiadają najwyższe ekspozycje na ryzyko kredytowe kontrahenta. Ranking sporządza się z wykorzystaniem podanych w kolumnie 0120 tego wzoru wartości ekspozycji na ryzyko kredytowe kontrahenta dla wszystkich pakietów kompensowania z odpowiednimi kontrahentami. Ekspozycje wewnątrzgrupowe lub inne ekspozycje, które generują ryzyko kredytowe kontrahenta, ale którym </w:t>
      </w:r>
      <w:r w:rsidR="00D11E4C" w:rsidRPr="00AA1421">
        <w:lastRenderedPageBreak/>
        <w:t xml:space="preserve">instytucje przypisują wagę ryzyka równą zero przy obliczaniu wymogów w zakresie funduszy własnych, zgodnie z </w:t>
      </w:r>
      <w:r w:rsidR="00D11E4C" w:rsidRPr="00084F66">
        <w:t>art.</w:t>
      </w:r>
      <w:r w:rsidR="00084F66" w:rsidRPr="00084F66">
        <w:t> </w:t>
      </w:r>
      <w:r w:rsidR="00D11E4C" w:rsidRPr="00084F66">
        <w:t>1</w:t>
      </w:r>
      <w:r w:rsidR="00D11E4C" w:rsidRPr="00AA1421">
        <w:t xml:space="preserve">13 </w:t>
      </w:r>
      <w:r w:rsidR="00D11E4C" w:rsidRPr="00084F66">
        <w:t>ust.</w:t>
      </w:r>
      <w:r w:rsidR="00084F66" w:rsidRPr="00084F66">
        <w:t> </w:t>
      </w:r>
      <w:r w:rsidR="00D11E4C" w:rsidRPr="00084F66">
        <w:t>6</w:t>
      </w:r>
      <w:r w:rsidR="00D11E4C" w:rsidRPr="00AA1421">
        <w:t xml:space="preserve"> i 7 CRR, nadal uwzględnia się przy ustalaniu listy dwudziestu największych kontrahentów.</w:t>
      </w:r>
    </w:p>
    <w:p w:rsidR="00595FAD" w:rsidRPr="00AA1421" w:rsidRDefault="00AA1421" w:rsidP="00487A02">
      <w:pPr>
        <w:pStyle w:val="InstructionsText2"/>
        <w:numPr>
          <w:ilvl w:val="0"/>
          <w:numId w:val="0"/>
        </w:numPr>
        <w:ind w:left="1353" w:hanging="360"/>
      </w:pPr>
      <w:fldSimple w:instr=" seq paragraphs ">
        <w:r w:rsidR="00D11E4C" w:rsidRPr="00AA1421">
          <w:rPr>
            <w:noProof/>
          </w:rPr>
          <w:t>127</w:t>
        </w:r>
      </w:fldSimple>
      <w:r w:rsidR="00D11E4C" w:rsidRPr="00AA1421">
        <w:t xml:space="preserve">. Instytucje stosujące metodę standardową (metoda standardowa dotycząca ryzyka kredytowego kontrahenta) lub metodę modeli wewnętrznych (IMM) do obliczania ekspozycji na ryzyko kredytowe kontrahenta zgodnie z częścią trzecią tytuł II rozdział 6 sekcje 3 i 6 CRR wypełniają ten wzór co kwartał. Instytucje stosujące uproszczoną metodę standardową lub metodę wyceny pierwotnej ekspozycji do obliczania ekspozycji na ryzyko kredytowe kontrahenta zgodnie z częścią trzecią tytuł II rozdział 6 sekcje 4 i 5 CRR wypełniają ten wzór co pół roku. </w:t>
      </w:r>
      <w:bookmarkStart w:id="480" w:name="_Toc19715818"/>
      <w:r w:rsidR="00D11E4C" w:rsidRPr="00AA1421">
        <w:t>Instrukcje dotyczące poszczególnych pozycji</w:t>
      </w:r>
      <w:bookmarkEnd w:id="480"/>
      <w:r w:rsidR="00D11E4C" w:rsidRPr="00AA1421">
        <w:t>.</w:t>
      </w:r>
    </w:p>
    <w:p w:rsidR="00595FAD" w:rsidRPr="00AA1421" w:rsidRDefault="00595FAD" w:rsidP="002F29AF">
      <w:pPr>
        <w:pStyle w:val="Instructionsberschrift2"/>
        <w:numPr>
          <w:ilvl w:val="3"/>
          <w:numId w:val="48"/>
        </w:numPr>
        <w:rPr>
          <w:rFonts w:ascii="Times New Roman" w:hAnsi="Times New Roman" w:cs="Times New Roman"/>
          <w:sz w:val="24"/>
        </w:rPr>
      </w:pPr>
      <w:bookmarkStart w:id="481" w:name="_Toc58403693"/>
      <w:r w:rsidRPr="00AA1421">
        <w:rPr>
          <w:rFonts w:ascii="Times New Roman" w:hAnsi="Times New Roman"/>
          <w:sz w:val="24"/>
        </w:rPr>
        <w:t>Instrukcje dotyczące poszczególnych pozycji</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238"/>
        </w:trPr>
        <w:tc>
          <w:tcPr>
            <w:tcW w:w="9039" w:type="dxa"/>
            <w:gridSpan w:val="2"/>
            <w:tcBorders>
              <w:right w:val="single" w:sz="4" w:space="0" w:color="auto"/>
            </w:tcBorders>
            <w:shd w:val="clear" w:color="auto" w:fill="D9D9D9" w:themeFill="background1" w:themeFillShade="D9"/>
          </w:tcPr>
          <w:p w:rsidR="00595FAD" w:rsidRPr="00AA1421" w:rsidRDefault="00595FAD" w:rsidP="00751FBE">
            <w:pPr>
              <w:autoSpaceDE w:val="0"/>
              <w:autoSpaceDN w:val="0"/>
              <w:adjustRightInd w:val="0"/>
              <w:rPr>
                <w:rFonts w:ascii="Times New Roman" w:hAnsi="Times New Roman"/>
                <w:b/>
                <w:sz w:val="24"/>
              </w:rPr>
            </w:pPr>
            <w:r w:rsidRPr="00AA1421">
              <w:rPr>
                <w:rFonts w:ascii="Times New Roman" w:hAnsi="Times New Roman"/>
                <w:b/>
                <w:sz w:val="24"/>
              </w:rPr>
              <w:t>Kolumny</w:t>
            </w:r>
          </w:p>
        </w:tc>
      </w:tr>
      <w:tr w:rsidR="00595FAD" w:rsidRPr="00AA1421" w:rsidTr="00FF15C6">
        <w:trPr>
          <w:trHeight w:val="680"/>
        </w:trPr>
        <w:tc>
          <w:tcPr>
            <w:tcW w:w="1384" w:type="dxa"/>
          </w:tcPr>
          <w:p w:rsidR="00595FAD" w:rsidRPr="00AA1421" w:rsidRDefault="001C2A41" w:rsidP="00FF15C6">
            <w:pPr>
              <w:pStyle w:val="Applicationdirecte"/>
              <w:spacing w:before="0" w:after="0"/>
            </w:pPr>
            <w:r w:rsidRPr="00AA1421">
              <w:t>0011</w:t>
            </w:r>
          </w:p>
        </w:tc>
        <w:tc>
          <w:tcPr>
            <w:tcW w:w="7655" w:type="dxa"/>
            <w:vAlign w:val="center"/>
          </w:tcPr>
          <w:p w:rsidR="00595FAD" w:rsidRPr="00AA1421" w:rsidRDefault="00595FAD" w:rsidP="00FF15C6">
            <w:pPr>
              <w:keepNext/>
              <w:spacing w:before="60"/>
              <w:rPr>
                <w:rStyle w:val="InstructionsTabelleberschrift"/>
                <w:rFonts w:ascii="Times New Roman" w:hAnsi="Times New Roman"/>
                <w:sz w:val="24"/>
              </w:rPr>
            </w:pPr>
            <w:r w:rsidRPr="00AA1421">
              <w:rPr>
                <w:rStyle w:val="InstructionsTabelleberschrift"/>
                <w:rFonts w:ascii="Times New Roman" w:hAnsi="Times New Roman"/>
                <w:sz w:val="24"/>
              </w:rPr>
              <w:t>NAZWA</w:t>
            </w:r>
          </w:p>
          <w:p w:rsidR="00595FAD" w:rsidRPr="00AA1421" w:rsidRDefault="00595FAD" w:rsidP="00FF15C6">
            <w:pPr>
              <w:keepNext/>
              <w:spacing w:before="60"/>
              <w:rPr>
                <w:rFonts w:ascii="Times New Roman" w:hAnsi="Times New Roman"/>
                <w:szCs w:val="22"/>
              </w:rPr>
            </w:pPr>
            <w:r w:rsidRPr="00AA1421">
              <w:rPr>
                <w:rFonts w:ascii="Times New Roman" w:hAnsi="Times New Roman"/>
                <w:sz w:val="24"/>
                <w:szCs w:val="22"/>
              </w:rPr>
              <w:t>Nazwa kontrahenta</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0020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KOD</w:t>
            </w:r>
          </w:p>
          <w:p w:rsidR="00595FAD" w:rsidRPr="00AA1421" w:rsidRDefault="00595FAD" w:rsidP="00A707F3">
            <w:pPr>
              <w:keepNext/>
              <w:spacing w:before="60"/>
              <w:rPr>
                <w:rFonts w:ascii="Times New Roman" w:hAnsi="Times New Roman"/>
                <w:sz w:val="24"/>
                <w:u w:val="single"/>
              </w:rPr>
            </w:pPr>
            <w:r w:rsidRPr="00AA1421">
              <w:rPr>
                <w:rFonts w:ascii="Times New Roman" w:hAnsi="Times New Roman"/>
                <w:iCs/>
                <w:sz w:val="24"/>
              </w:rPr>
              <w:t>Kod ten jako część identyfikatora wiersza musi być niepowtarzalny dla każdego zgłaszanego podmiotu. W przypadku instytucji i zakładów ubezpieczeń kodem jest kod LEI. W przypadku innych podmiotów kodem jest kod LEI lub – jeżeli kod taki jest niedostępny – kod inny niż kod LEI. Kod jest niepowtarzalny i stosuje się go jednolicie we wszystkich wzorach i na przestrzeni czasu. Kod musi zawsze posiadać wartość</w:t>
            </w:r>
            <w:r w:rsidRPr="00AA1421">
              <w:rPr>
                <w:i/>
                <w:iCs/>
              </w:rPr>
              <w:t>.</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0030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RODZAJ KODU</w:t>
            </w:r>
          </w:p>
          <w:p w:rsidR="00595FAD" w:rsidRPr="00AA1421" w:rsidRDefault="00595FAD" w:rsidP="00FF15C6">
            <w:pPr>
              <w:rPr>
                <w:rStyle w:val="FormatvorlageInstructionsTabelleText"/>
                <w:rFonts w:ascii="Calibri" w:hAnsi="Calibri" w:cs="Calibri"/>
              </w:rPr>
            </w:pPr>
            <w:r w:rsidRPr="00AA1421">
              <w:rPr>
                <w:rFonts w:ascii="Times New Roman" w:hAnsi="Times New Roman"/>
                <w:sz w:val="24"/>
              </w:rPr>
              <w:t xml:space="preserve">Instytucja określa rodzaj kodu podany w </w:t>
            </w:r>
            <w:r w:rsidRPr="00AA1421">
              <w:rPr>
                <w:rStyle w:val="FormatvorlageInstructionsTabelleText"/>
                <w:rFonts w:ascii="Times New Roman" w:hAnsi="Times New Roman"/>
                <w:sz w:val="24"/>
              </w:rPr>
              <w:t>kolumnie 0020 jako „kod LEI” lub „kod krajowy”.</w:t>
            </w:r>
          </w:p>
          <w:p w:rsidR="00595FAD" w:rsidRPr="00AA1421" w:rsidRDefault="00595FAD" w:rsidP="00FF15C6">
            <w:pPr>
              <w:rPr>
                <w:rFonts w:ascii="Times New Roman" w:hAnsi="Times New Roman"/>
                <w:bCs/>
                <w:sz w:val="24"/>
              </w:rPr>
            </w:pPr>
            <w:r w:rsidRPr="00AA1421">
              <w:rPr>
                <w:rFonts w:ascii="Times New Roman" w:hAnsi="Times New Roman"/>
                <w:bCs/>
                <w:sz w:val="24"/>
              </w:rPr>
              <w:t>Należy zawsze wskazać rodzaj kodu.</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0035</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KOD KRAJOWY</w:t>
            </w:r>
          </w:p>
          <w:p w:rsidR="00595FAD" w:rsidRPr="00AA1421" w:rsidRDefault="00595FAD" w:rsidP="00FF15C6">
            <w:pPr>
              <w:pStyle w:val="ListParagraph"/>
              <w:ind w:left="65"/>
              <w:rPr>
                <w:rFonts w:ascii="Times New Roman" w:hAnsi="Times New Roman"/>
                <w:b/>
                <w:sz w:val="24"/>
                <w:u w:val="single"/>
              </w:rPr>
            </w:pPr>
            <w:r w:rsidRPr="00AA1421">
              <w:rPr>
                <w:rFonts w:ascii="Times New Roman" w:hAnsi="Times New Roman"/>
                <w:sz w:val="24"/>
              </w:rPr>
              <w:t>Instytucja może dodatkowo zgłosić kod krajowy, jeżeli zgłosi kod LEI jako identyfikator w kolumnie 0020 „Kod”.</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0040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SEKTOR KONTRAHENTA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Każdemu kontrahentowi przydziela się jeden sektor na podstawie następujących klas sektora gospodarki FINREP (zob. załącznik V część 3 do niniejszego rozporządzenia wykonawczego):</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(i) banki centralne;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(ii)</w:t>
            </w:r>
            <w:r w:rsidRPr="00AA1421">
              <w:tab/>
            </w:r>
            <w:r w:rsidRPr="00AA1421">
              <w:rPr>
                <w:rFonts w:ascii="Times New Roman" w:hAnsi="Times New Roman"/>
                <w:sz w:val="24"/>
              </w:rPr>
              <w:t>sektor instytucji rządowych i samorządowych;</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(iii)</w:t>
            </w:r>
            <w:r w:rsidRPr="00AA1421">
              <w:tab/>
            </w:r>
            <w:r w:rsidRPr="00AA1421">
              <w:rPr>
                <w:rFonts w:ascii="Times New Roman" w:hAnsi="Times New Roman"/>
                <w:sz w:val="24"/>
              </w:rPr>
              <w:t>instytucje kredytowe;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(iv)</w:t>
            </w:r>
            <w:r w:rsidRPr="00AA1421">
              <w:tab/>
            </w:r>
            <w:r w:rsidRPr="00AA1421">
              <w:rPr>
                <w:rFonts w:ascii="Times New Roman" w:hAnsi="Times New Roman"/>
                <w:sz w:val="24"/>
              </w:rPr>
              <w:t xml:space="preserve">firmy inwestycyjne zdefiniowane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(v)</w:t>
            </w:r>
            <w:r w:rsidRPr="00AA1421">
              <w:tab/>
            </w:r>
            <w:r w:rsidRPr="00AA1421">
              <w:rPr>
                <w:rFonts w:ascii="Times New Roman" w:hAnsi="Times New Roman"/>
                <w:sz w:val="24"/>
              </w:rPr>
              <w:t>inne instytucje finansowe (z wyłączeniem firm inwestycyjnych);</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(vi)</w:t>
            </w:r>
            <w:r w:rsidRPr="00AA1421">
              <w:tab/>
            </w:r>
            <w:r w:rsidRPr="00AA1421">
              <w:rPr>
                <w:rFonts w:ascii="Times New Roman" w:hAnsi="Times New Roman"/>
                <w:sz w:val="24"/>
              </w:rPr>
              <w:t>przedsiębiorstwa niefinansowe.</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0050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RODZAJ KONTRAHENTA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Instytucja wskazuje rodzaj kontrahenta, którym może być:</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kwalifikujący się kontrahent centralny: gdy kontrahentem jest kwalifikujący się CCP;</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niekwalifikujący się kontrahent centralny: gdy kontrahentem jest niekwalifikujący się CCP;</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 kontrahent inny niż centralny: gdy kontrahentem nie jest CCP.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0060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SIEDZIBA KONTRAHENTA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Stosuje się kod kraju założenia kontrahenta określony w normie ISO 3166-1-alfa-2 (w tym pseudokody ISO przeznaczone dla organizacji międzynarodowych dostępne w „Vademecum bilansu płatności” publikowanym przez Eurostat, ze zm.).</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0070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LICZBA TRANSAKCJI</w:t>
            </w:r>
          </w:p>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sz w:val="24"/>
              </w:rPr>
              <w:t>Zob. instrukcje dla kolumny 0020 we wzorze C 34.02.</w:t>
            </w:r>
          </w:p>
        </w:tc>
      </w:tr>
      <w:tr w:rsidR="00595FAD" w:rsidRPr="00AA1421" w:rsidTr="00FF15C6">
        <w:trPr>
          <w:trHeight w:val="426"/>
        </w:trPr>
        <w:tc>
          <w:tcPr>
            <w:tcW w:w="1384" w:type="dxa"/>
          </w:tcPr>
          <w:p w:rsidR="00595FAD" w:rsidRPr="00AA1421" w:rsidRDefault="00595FAD" w:rsidP="00FF15C6">
            <w:pPr>
              <w:pStyle w:val="Applicationdirecte"/>
              <w:spacing w:before="0" w:after="0"/>
            </w:pPr>
            <w:r w:rsidRPr="00AA1421">
              <w:t>0080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KWOTY REFERENCYJNE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Zob. instrukcje dla kolumny 0030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0090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BIEŻĄCA WARTOŚĆ RYNKOWA (CMV), dodatnia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Zob. instrukcje dla kolumny 0040 we wzorze C 34.02.</w:t>
            </w:r>
          </w:p>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sz w:val="24"/>
              </w:rPr>
              <w:t>Instytucja zgłasza sumę pakietów kompensowania o dodatniej bieżącej wartości rynkowej, jeżeli istnieje kilka pakietów kompensowania dla tego samego kontrahenta.</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0100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BIEŻĄCA WARTOŚĆ RYNKOWA (CMV), ujemna</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Zob. instrukcje dla kolumny 0040 we wzorze C 34.02.</w:t>
            </w:r>
          </w:p>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sz w:val="24"/>
              </w:rPr>
              <w:t>Instytucja zgłasza bezwzględną sumę pakietów kompensowania o ujemnej bieżącej wartości rynkowej, jeżeli istnieje kilka pakietów kompensowania dla tego samego kontrahenta.</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0110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WARTOŚĆ EKSPOZYCJI PO OGRANICZENIU RYZYKA KREDYTOWEGO</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Zob. instrukcje dla kolumny 0160 we wzorze C 34.02. </w:t>
            </w:r>
          </w:p>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sz w:val="24"/>
              </w:rPr>
              <w:t>Instytucja zgłasza sumę wartości ekspozycji po ograniczeniu ryzyka kredytowego dla pakietów kompensowania, jeżeli istnieje kilka pakietów kompensowania dla tego samego kontrahenta.</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0120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WARTOŚĆ EKSPOZYCJI</w:t>
            </w:r>
          </w:p>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sz w:val="24"/>
              </w:rPr>
              <w:t>Zob. instrukcje dla kolumny 0170 we wzorze C 34.02.</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0130</w:t>
            </w:r>
          </w:p>
        </w:tc>
        <w:tc>
          <w:tcPr>
            <w:tcW w:w="7655" w:type="dxa"/>
            <w:vAlign w:val="center"/>
          </w:tcPr>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b/>
                <w:sz w:val="24"/>
                <w:u w:val="single"/>
              </w:rPr>
              <w:t>KWOTY EKSPOZYCJI WAŻONEJ RYZYKIEM</w:t>
            </w:r>
          </w:p>
          <w:p w:rsidR="00595FAD" w:rsidRPr="00AA1421" w:rsidRDefault="00595FAD" w:rsidP="00FF15C6">
            <w:pPr>
              <w:keepNext/>
              <w:spacing w:before="60"/>
              <w:rPr>
                <w:rFonts w:ascii="Times New Roman" w:hAnsi="Times New Roman"/>
                <w:b/>
                <w:sz w:val="24"/>
                <w:u w:val="single"/>
              </w:rPr>
            </w:pPr>
            <w:r w:rsidRPr="00AA1421">
              <w:rPr>
                <w:rFonts w:ascii="Times New Roman" w:hAnsi="Times New Roman"/>
                <w:sz w:val="24"/>
              </w:rPr>
              <w:t>Zob. instrukcje dla kolumny 0200 we wzorze C 34.02.</w:t>
            </w:r>
          </w:p>
        </w:tc>
      </w:tr>
    </w:tbl>
    <w:p w:rsidR="00595FAD" w:rsidRPr="00AA1421" w:rsidRDefault="00595FAD" w:rsidP="00595FAD">
      <w:pPr>
        <w:pStyle w:val="Titlelevel2"/>
        <w:spacing w:before="120" w:after="120"/>
        <w:jc w:val="both"/>
        <w:rPr>
          <w:rFonts w:ascii="Times New Roman" w:hAnsi="Times New Roman" w:cs="Times New Roman"/>
          <w:color w:val="auto"/>
          <w:sz w:val="24"/>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403694"/>
      <w:r w:rsidRPr="00AA1421">
        <w:rPr>
          <w:rFonts w:ascii="Times New Roman" w:hAnsi="Times New Roman"/>
          <w:sz w:val="24"/>
        </w:rPr>
        <w:t>C 34.07 – Metoda IRB – ekspozycje na ryzyko kredytowe kontrahenta według kategorii ekspozycji i skali PD</w:t>
      </w:r>
      <w:bookmarkEnd w:id="482"/>
      <w:bookmarkEnd w:id="483"/>
      <w:r w:rsidRPr="00AA1421">
        <w:rPr>
          <w:rFonts w:ascii="Times New Roman" w:hAnsi="Times New Roman"/>
          <w:sz w:val="24"/>
        </w:rPr>
        <w:t xml:space="preserve"> </w:t>
      </w:r>
    </w:p>
    <w:p w:rsidR="00595FAD" w:rsidRPr="00AA1421"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403695"/>
      <w:r w:rsidRPr="00AA1421">
        <w:rPr>
          <w:rFonts w:ascii="Times New Roman" w:hAnsi="Times New Roman"/>
          <w:sz w:val="24"/>
        </w:rPr>
        <w:t>Uwagi ogólne</w:t>
      </w:r>
      <w:bookmarkEnd w:id="484"/>
      <w:bookmarkEnd w:id="485"/>
    </w:p>
    <w:p w:rsidR="00595FAD" w:rsidRPr="00AA1421" w:rsidRDefault="00AA1421" w:rsidP="00487A02">
      <w:pPr>
        <w:pStyle w:val="InstructionsText2"/>
        <w:numPr>
          <w:ilvl w:val="0"/>
          <w:numId w:val="0"/>
        </w:numPr>
        <w:ind w:left="1353" w:hanging="360"/>
      </w:pPr>
      <w:fldSimple w:instr=" seq paragraphs ">
        <w:r w:rsidR="00D11E4C" w:rsidRPr="00AA1421">
          <w:rPr>
            <w:noProof/>
          </w:rPr>
          <w:t>128</w:t>
        </w:r>
      </w:fldSimple>
      <w:r w:rsidR="00D11E4C" w:rsidRPr="00AA1421">
        <w:t xml:space="preserve">. Wzór ten wypełniają instytucje stosujące zaawansowaną albo podstawową metodę IRB do obliczania kwot ekspozycji ważonych ryzykiem dla wszystkich lub części ich ekspozycji na ryzyko kredytowe kontrahenta zgodnie z </w:t>
      </w:r>
      <w:r w:rsidR="00D11E4C" w:rsidRPr="00084F66">
        <w:t>art.</w:t>
      </w:r>
      <w:r w:rsidR="00084F66" w:rsidRPr="00084F66">
        <w:t> </w:t>
      </w:r>
      <w:r w:rsidR="00D11E4C" w:rsidRPr="00084F66">
        <w:t>1</w:t>
      </w:r>
      <w:r w:rsidR="00D11E4C" w:rsidRPr="00AA1421">
        <w:t xml:space="preserve">07 CRR, niezależnie od metody dotyczącej ryzyka kredytowego kontrahenta stosowanej do określania wartości ekspozycji zgodnie z częścią trzecią tytuł II rozdziały 4 i 6 CRR. </w:t>
      </w:r>
    </w:p>
    <w:p w:rsidR="00595FAD" w:rsidRPr="00AA1421" w:rsidRDefault="00AA1421" w:rsidP="00487A02">
      <w:pPr>
        <w:pStyle w:val="InstructionsText2"/>
        <w:numPr>
          <w:ilvl w:val="0"/>
          <w:numId w:val="0"/>
        </w:numPr>
        <w:ind w:left="1353" w:hanging="360"/>
      </w:pPr>
      <w:fldSimple w:instr=" seq paragraphs ">
        <w:r w:rsidR="00D11E4C" w:rsidRPr="00AA1421">
          <w:rPr>
            <w:noProof/>
          </w:rPr>
          <w:t>129</w:t>
        </w:r>
      </w:fldSimple>
      <w:r w:rsidR="00D11E4C" w:rsidRPr="00AA1421">
        <w:t xml:space="preserve">. Wzór ten wypełnia się oddzielnie dla sumy wszystkich kategorii ekspozycji, jak również oddzielnie dla każdej z kategorii ekspozycji wymienionych w </w:t>
      </w:r>
      <w:r w:rsidR="00D11E4C" w:rsidRPr="00084F66">
        <w:t>art.</w:t>
      </w:r>
      <w:r w:rsidR="00084F66" w:rsidRPr="00084F66">
        <w:t> </w:t>
      </w:r>
      <w:r w:rsidR="00D11E4C" w:rsidRPr="00084F66">
        <w:t>1</w:t>
      </w:r>
      <w:r w:rsidR="00D11E4C" w:rsidRPr="00AA1421">
        <w:t xml:space="preserve">47 CRR. Wzór nie obejmuje ekspozycji rozliczanych przez kontrahenta centralnego. </w:t>
      </w:r>
    </w:p>
    <w:p w:rsidR="00595FAD" w:rsidRPr="00AA1421" w:rsidRDefault="00AA1421" w:rsidP="00487A02">
      <w:pPr>
        <w:pStyle w:val="InstructionsText2"/>
        <w:numPr>
          <w:ilvl w:val="0"/>
          <w:numId w:val="0"/>
        </w:numPr>
        <w:ind w:left="1353" w:hanging="360"/>
      </w:pPr>
      <w:fldSimple w:instr=" seq paragraphs ">
        <w:r w:rsidR="00D11E4C" w:rsidRPr="00AA1421">
          <w:rPr>
            <w:noProof/>
          </w:rPr>
          <w:t>130</w:t>
        </w:r>
      </w:fldSimple>
      <w:r w:rsidR="00D11E4C" w:rsidRPr="00AA1421">
        <w:t>. Aby wyjaśnić, czy instytucja korzysta ze swoich własnych oszacowań LGD lub współczynników konwersji kredytowej, w odniesieniu do każdej kategorii ekspozycji podaje się następujące informacje:</w:t>
      </w:r>
    </w:p>
    <w:p w:rsidR="00595FAD" w:rsidRPr="00AA1421" w:rsidRDefault="00595FAD" w:rsidP="00595FAD">
      <w:pPr>
        <w:autoSpaceDE w:val="0"/>
        <w:autoSpaceDN w:val="0"/>
        <w:adjustRightInd w:val="0"/>
        <w:spacing w:after="240"/>
        <w:ind w:left="709"/>
        <w:rPr>
          <w:rFonts w:ascii="Times New Roman" w:hAnsi="Times New Roman"/>
          <w:sz w:val="24"/>
        </w:rPr>
      </w:pPr>
      <w:r w:rsidRPr="00AA1421">
        <w:rPr>
          <w:rFonts w:ascii="Times New Roman" w:hAnsi="Times New Roman"/>
          <w:sz w:val="24"/>
        </w:rPr>
        <w:t>„NIE” = w przypadku stosowania oszacowań LGD według metody nadzorczej oraz współczynników konwersji kredytowej (podstawowa metoda IRB)</w:t>
      </w:r>
    </w:p>
    <w:p w:rsidR="00595FAD" w:rsidRPr="00AA1421" w:rsidRDefault="00595FAD" w:rsidP="00595FAD">
      <w:pPr>
        <w:autoSpaceDE w:val="0"/>
        <w:autoSpaceDN w:val="0"/>
        <w:adjustRightInd w:val="0"/>
        <w:spacing w:after="240"/>
        <w:ind w:left="709"/>
        <w:rPr>
          <w:rFonts w:ascii="Times New Roman" w:hAnsi="Times New Roman"/>
          <w:sz w:val="24"/>
        </w:rPr>
      </w:pPr>
      <w:r w:rsidRPr="00AA1421">
        <w:rPr>
          <w:rFonts w:ascii="Times New Roman" w:hAnsi="Times New Roman"/>
          <w:sz w:val="24"/>
        </w:rPr>
        <w:t xml:space="preserve">„TAK” = w przypadku niestosowania oszacowań LGD według metody nadzorczej oraz współczynników konwersji kredytowej (zaawansowana metoda IRB) </w:t>
      </w:r>
    </w:p>
    <w:p w:rsidR="00595FAD" w:rsidRPr="00AA1421"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403696"/>
      <w:r w:rsidRPr="00AA1421">
        <w:rPr>
          <w:rFonts w:ascii="Times New Roman" w:hAnsi="Times New Roman"/>
          <w:sz w:val="24"/>
        </w:rPr>
        <w:t>Instrukcje dotyczące poszczególnych pozycji</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AA1421" w:rsidTr="00FF15C6">
        <w:trPr>
          <w:trHeight w:val="238"/>
        </w:trPr>
        <w:tc>
          <w:tcPr>
            <w:tcW w:w="9067" w:type="dxa"/>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b/>
                <w:sz w:val="24"/>
              </w:rPr>
            </w:pPr>
            <w:r w:rsidRPr="00AA1421">
              <w:rPr>
                <w:rFonts w:ascii="Times New Roman" w:hAnsi="Times New Roman"/>
                <w:b/>
                <w:sz w:val="24"/>
              </w:rPr>
              <w:t>Kolumny</w:t>
            </w:r>
          </w:p>
        </w:tc>
      </w:tr>
    </w:tbl>
    <w:tbl>
      <w:tblPr>
        <w:tblStyle w:val="TableGrid"/>
        <w:tblW w:w="9067" w:type="dxa"/>
        <w:tblLook w:val="04A0" w:firstRow="1" w:lastRow="0" w:firstColumn="1" w:lastColumn="0" w:noHBand="0" w:noVBand="1"/>
      </w:tblPr>
      <w:tblGrid>
        <w:gridCol w:w="1413"/>
        <w:gridCol w:w="7654"/>
      </w:tblGrid>
      <w:tr w:rsidR="00595FAD" w:rsidRPr="00AA1421" w:rsidTr="00FF15C6">
        <w:tc>
          <w:tcPr>
            <w:tcW w:w="1413" w:type="dxa"/>
          </w:tcPr>
          <w:p w:rsidR="00595FAD" w:rsidRPr="00AA1421" w:rsidRDefault="00595FAD" w:rsidP="00FF15C6">
            <w:pPr>
              <w:spacing w:before="60" w:after="240"/>
              <w:rPr>
                <w:rFonts w:ascii="Times New Roman" w:hAnsi="Times New Roman"/>
                <w:sz w:val="24"/>
                <w:szCs w:val="22"/>
              </w:rPr>
            </w:pPr>
            <w:r w:rsidRPr="00AA1421">
              <w:rPr>
                <w:rFonts w:ascii="Times New Roman" w:hAnsi="Times New Roman"/>
                <w:sz w:val="24"/>
                <w:szCs w:val="22"/>
              </w:rPr>
              <w:t>0010</w:t>
            </w:r>
          </w:p>
        </w:tc>
        <w:tc>
          <w:tcPr>
            <w:tcW w:w="7654" w:type="dxa"/>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Wartość ekspozycji </w:t>
            </w:r>
          </w:p>
          <w:p w:rsidR="00595FAD" w:rsidRPr="00AA1421" w:rsidRDefault="00595FAD" w:rsidP="00FF15C6">
            <w:pPr>
              <w:spacing w:before="60" w:after="240"/>
              <w:rPr>
                <w:rFonts w:ascii="Times New Roman" w:hAnsi="Times New Roman"/>
                <w:sz w:val="24"/>
              </w:rPr>
            </w:pPr>
            <w:r w:rsidRPr="00AA1421">
              <w:rPr>
                <w:rFonts w:ascii="Times New Roman" w:hAnsi="Times New Roman"/>
                <w:sz w:val="24"/>
              </w:rPr>
              <w:t>Wartość ekspozycji (zob. instrukcje do kolumny 0170 we wzorze C 34.02), w podziale według podanej skali PD</w:t>
            </w:r>
          </w:p>
        </w:tc>
      </w:tr>
      <w:tr w:rsidR="00595FAD" w:rsidRPr="00AA1421" w:rsidTr="00FF15C6">
        <w:tc>
          <w:tcPr>
            <w:tcW w:w="1413" w:type="dxa"/>
          </w:tcPr>
          <w:p w:rsidR="00595FAD" w:rsidRPr="00AA1421" w:rsidRDefault="00595FAD" w:rsidP="00FF15C6">
            <w:pPr>
              <w:spacing w:before="60" w:after="240"/>
              <w:rPr>
                <w:rFonts w:ascii="Times New Roman" w:hAnsi="Times New Roman"/>
                <w:sz w:val="24"/>
                <w:szCs w:val="22"/>
              </w:rPr>
            </w:pPr>
            <w:r w:rsidRPr="00AA1421">
              <w:rPr>
                <w:rFonts w:ascii="Times New Roman" w:hAnsi="Times New Roman"/>
                <w:sz w:val="24"/>
                <w:szCs w:val="22"/>
              </w:rPr>
              <w:lastRenderedPageBreak/>
              <w:t>0020</w:t>
            </w:r>
          </w:p>
        </w:tc>
        <w:tc>
          <w:tcPr>
            <w:tcW w:w="7654" w:type="dxa"/>
          </w:tcPr>
          <w:p w:rsidR="00595FAD" w:rsidRPr="00AA1421" w:rsidRDefault="00595FAD" w:rsidP="00FF15C6">
            <w:pPr>
              <w:spacing w:before="60" w:after="240"/>
              <w:rPr>
                <w:rStyle w:val="InstructionsTabelleberschrift"/>
                <w:rFonts w:ascii="Times New Roman" w:hAnsi="Times New Roman"/>
                <w:sz w:val="24"/>
              </w:rPr>
            </w:pPr>
            <w:r w:rsidRPr="00AA1421">
              <w:rPr>
                <w:rStyle w:val="InstructionsTabelleberschrift"/>
                <w:rFonts w:ascii="Times New Roman" w:hAnsi="Times New Roman"/>
                <w:sz w:val="24"/>
              </w:rPr>
              <w:t>Średnia wartość PD ważona ekspozycją (%)</w:t>
            </w:r>
          </w:p>
          <w:p w:rsidR="00595FAD" w:rsidRPr="00AA1421" w:rsidRDefault="00595FAD" w:rsidP="00FF15C6">
            <w:pPr>
              <w:spacing w:before="60" w:after="240"/>
              <w:rPr>
                <w:rFonts w:ascii="Times New Roman" w:hAnsi="Times New Roman"/>
                <w:sz w:val="24"/>
              </w:rPr>
            </w:pPr>
            <w:r w:rsidRPr="00AA1421">
              <w:rPr>
                <w:rFonts w:ascii="Times New Roman" w:hAnsi="Times New Roman"/>
                <w:sz w:val="24"/>
              </w:rPr>
              <w:t>Średnia wartości PD poszczególnych klas jakości dłużników ważona odpowiadającą im wartością ekspozycji określoną dla kolumny 0010</w:t>
            </w:r>
          </w:p>
        </w:tc>
      </w:tr>
      <w:tr w:rsidR="00595FAD" w:rsidRPr="00AA1421" w:rsidTr="00FF15C6">
        <w:tc>
          <w:tcPr>
            <w:tcW w:w="1413" w:type="dxa"/>
          </w:tcPr>
          <w:p w:rsidR="00595FAD" w:rsidRPr="00AA1421" w:rsidRDefault="00595FAD" w:rsidP="00FF15C6">
            <w:pPr>
              <w:spacing w:before="60" w:after="240"/>
              <w:rPr>
                <w:rFonts w:ascii="Times New Roman" w:hAnsi="Times New Roman"/>
                <w:sz w:val="24"/>
                <w:szCs w:val="22"/>
              </w:rPr>
            </w:pPr>
            <w:r w:rsidRPr="00AA1421">
              <w:rPr>
                <w:rFonts w:ascii="Times New Roman" w:hAnsi="Times New Roman"/>
                <w:sz w:val="24"/>
                <w:szCs w:val="22"/>
              </w:rPr>
              <w:t>0030</w:t>
            </w:r>
          </w:p>
        </w:tc>
        <w:tc>
          <w:tcPr>
            <w:tcW w:w="7654" w:type="dxa"/>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Liczba dłużników </w:t>
            </w:r>
          </w:p>
          <w:p w:rsidR="00595FAD" w:rsidRPr="00AA1421" w:rsidRDefault="00595FAD" w:rsidP="00FF15C6">
            <w:pPr>
              <w:rPr>
                <w:rFonts w:ascii="Times New Roman" w:hAnsi="Times New Roman"/>
                <w:sz w:val="24"/>
              </w:rPr>
            </w:pPr>
            <w:r w:rsidRPr="00AA1421">
              <w:rPr>
                <w:rFonts w:ascii="Times New Roman" w:hAnsi="Times New Roman"/>
                <w:sz w:val="24"/>
              </w:rPr>
              <w:t>Liczba podmiotów prawnych lub dłużników przypisanych do każdego koszyka na stałej skali PD, których oceniono oddzielnie, niezależnie od liczby różnych przyznanych pożyczek lub ekspozycji.</w:t>
            </w:r>
          </w:p>
          <w:p w:rsidR="00595FAD" w:rsidRPr="00AA1421" w:rsidRDefault="00595FAD" w:rsidP="00FF15C6">
            <w:pPr>
              <w:rPr>
                <w:rFonts w:ascii="Times New Roman" w:hAnsi="Times New Roman"/>
                <w:sz w:val="24"/>
              </w:rPr>
            </w:pPr>
            <w:r w:rsidRPr="00AA1421">
              <w:rPr>
                <w:rFonts w:ascii="Times New Roman" w:hAnsi="Times New Roman"/>
                <w:sz w:val="24"/>
              </w:rPr>
              <w:t xml:space="preserve">Jeżeli różne ekspozycje wobec tego samego dłużnika ocenia się oddzielnie, należy je liczyć oddzielnie. Taka sytuacja może mieć miejsce, jeżeli odrębne ekspozycje wobec tego samego dłużnika są przypisane do różnych klas jakości dłużników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zdanie drugie CRR.</w:t>
            </w:r>
          </w:p>
        </w:tc>
      </w:tr>
      <w:tr w:rsidR="00595FAD" w:rsidRPr="00AA1421" w:rsidTr="00FF15C6">
        <w:tc>
          <w:tcPr>
            <w:tcW w:w="1413" w:type="dxa"/>
          </w:tcPr>
          <w:p w:rsidR="00595FAD" w:rsidRPr="00AA1421" w:rsidRDefault="00595FAD" w:rsidP="00FF15C6">
            <w:pPr>
              <w:spacing w:before="60" w:after="240"/>
              <w:rPr>
                <w:rFonts w:ascii="Times New Roman" w:hAnsi="Times New Roman"/>
                <w:sz w:val="24"/>
                <w:szCs w:val="22"/>
              </w:rPr>
            </w:pPr>
            <w:r w:rsidRPr="00AA1421">
              <w:rPr>
                <w:rFonts w:ascii="Times New Roman" w:hAnsi="Times New Roman"/>
                <w:sz w:val="24"/>
                <w:szCs w:val="22"/>
              </w:rPr>
              <w:t>0040</w:t>
            </w:r>
          </w:p>
        </w:tc>
        <w:tc>
          <w:tcPr>
            <w:tcW w:w="7654" w:type="dxa"/>
          </w:tcPr>
          <w:p w:rsidR="00595FAD" w:rsidRPr="00AA1421" w:rsidRDefault="00595FAD" w:rsidP="00FF15C6">
            <w:pPr>
              <w:spacing w:before="60" w:after="240"/>
              <w:rPr>
                <w:rStyle w:val="InstructionsTabelleberschrift"/>
                <w:rFonts w:ascii="Times New Roman" w:hAnsi="Times New Roman"/>
                <w:sz w:val="24"/>
              </w:rPr>
            </w:pPr>
            <w:r w:rsidRPr="00AA1421">
              <w:rPr>
                <w:rStyle w:val="InstructionsTabelleberschrift"/>
                <w:rFonts w:ascii="Times New Roman" w:hAnsi="Times New Roman"/>
                <w:sz w:val="24"/>
              </w:rPr>
              <w:t>Średnia wartość LGD ważona ekspozycją (%)</w:t>
            </w:r>
          </w:p>
          <w:p w:rsidR="00595FAD" w:rsidRPr="00AA1421" w:rsidRDefault="00595FAD" w:rsidP="00FF15C6">
            <w:pPr>
              <w:spacing w:before="60" w:after="240"/>
              <w:rPr>
                <w:rFonts w:ascii="Times New Roman" w:hAnsi="Times New Roman"/>
                <w:sz w:val="24"/>
              </w:rPr>
            </w:pPr>
            <w:r w:rsidRPr="00AA1421">
              <w:rPr>
                <w:rFonts w:ascii="Times New Roman" w:hAnsi="Times New Roman"/>
                <w:sz w:val="24"/>
              </w:rPr>
              <w:t>Średnia wartości LGD klas dłużników ważona odpowiadającą im wartością ekspozycji określoną dla kolumny 0010</w:t>
            </w:r>
          </w:p>
          <w:p w:rsidR="00595FAD" w:rsidRPr="00AA1421" w:rsidRDefault="00595FAD" w:rsidP="00FF15C6">
            <w:pPr>
              <w:rPr>
                <w:rFonts w:ascii="Times New Roman" w:hAnsi="Times New Roman"/>
                <w:sz w:val="24"/>
              </w:rPr>
            </w:pPr>
            <w:r w:rsidRPr="00AA1421">
              <w:rPr>
                <w:rFonts w:ascii="Times New Roman" w:hAnsi="Times New Roman"/>
                <w:sz w:val="24"/>
              </w:rPr>
              <w:t xml:space="preserve">Zgłoszona LGD odpowiada ostatecznemu szacunkowi LGD wykorzystanemu do obliczenia kwot ekspozycji ważonych ryzykiem, otrzymanemu po uwzględnieniu, stosownie do przypadku, wszelkich skutków ograniczenia ryzyka kredytowego i warunków pogorszenia koniunktury, jak określono w części trzeciej tytuł II rozdziały 3 i 4 CRR. W szczególności w przypadku instytucji stosujących metodę IRB, ale niestosujących własnych oszacowań LGD, skutki technik ograniczania ryzyka wynikające z zabezpieczenia finansowego są odzwierciedlone w E* – w pełni skorygowanej wartości ekspozycji – a następnie odzwierciedlane w LGD*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W przypadku stosowania własnych oszacowań LGD uwzględnia się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75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2 CRR.</w:t>
            </w:r>
          </w:p>
          <w:p w:rsidR="00595FAD" w:rsidRPr="00AA1421" w:rsidRDefault="00595FAD" w:rsidP="00FF15C6">
            <w:pPr>
              <w:rPr>
                <w:rFonts w:ascii="Times New Roman" w:hAnsi="Times New Roman"/>
                <w:sz w:val="24"/>
              </w:rPr>
            </w:pPr>
            <w:r w:rsidRPr="00AA1421">
              <w:rPr>
                <w:rFonts w:ascii="Times New Roman" w:hAnsi="Times New Roman"/>
                <w:sz w:val="24"/>
              </w:rPr>
              <w:t xml:space="preserve">W przypadku ekspozycji z uwzględnieniem ujęcia podwójnego niewykonania zobowiązania LGD, które należy zgłosić, odpowiada temu wybranemu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595FAD" w:rsidRPr="00AA1421" w:rsidRDefault="00595FAD" w:rsidP="00FF15C6">
            <w:pPr>
              <w:spacing w:before="60" w:after="240"/>
              <w:rPr>
                <w:rFonts w:ascii="Times New Roman" w:hAnsi="Times New Roman"/>
                <w:strike/>
                <w:sz w:val="24"/>
              </w:rPr>
            </w:pPr>
            <w:r w:rsidRPr="00AA1421">
              <w:rPr>
                <w:rFonts w:ascii="Times New Roman" w:hAnsi="Times New Roman"/>
                <w:sz w:val="24"/>
              </w:rPr>
              <w:t xml:space="preserve">W odniesieniu do ekspozycji objętych metodą IRB-A, których dotyczy niewykonanie zobowiązania, uwzględnia się przepisy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h)</w:t>
            </w:r>
            <w:r w:rsidRPr="00AA1421">
              <w:rPr>
                <w:rFonts w:ascii="Times New Roman" w:hAnsi="Times New Roman"/>
                <w:sz w:val="24"/>
              </w:rPr>
              <w:t xml:space="preserve"> CRR. Zgłoszona LGD odpowiada szacunkowej LGD, której dotyczy niewykonanie zobowiązania. </w:t>
            </w:r>
          </w:p>
        </w:tc>
      </w:tr>
      <w:tr w:rsidR="00595FAD" w:rsidRPr="00AA1421" w:rsidTr="00FF15C6">
        <w:tc>
          <w:tcPr>
            <w:tcW w:w="1413" w:type="dxa"/>
          </w:tcPr>
          <w:p w:rsidR="00595FAD" w:rsidRPr="00AA1421" w:rsidRDefault="00595FAD" w:rsidP="00FF15C6">
            <w:pPr>
              <w:spacing w:before="60" w:after="240"/>
              <w:rPr>
                <w:rFonts w:ascii="Times New Roman" w:hAnsi="Times New Roman"/>
                <w:sz w:val="24"/>
              </w:rPr>
            </w:pPr>
            <w:r w:rsidRPr="00AA1421">
              <w:rPr>
                <w:rFonts w:ascii="Times New Roman" w:hAnsi="Times New Roman"/>
                <w:sz w:val="24"/>
              </w:rPr>
              <w:t>0050</w:t>
            </w:r>
          </w:p>
        </w:tc>
        <w:tc>
          <w:tcPr>
            <w:tcW w:w="7654" w:type="dxa"/>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Średni termin zapadalności ważony ekspozycją (lata)</w:t>
            </w:r>
          </w:p>
          <w:p w:rsidR="00595FAD" w:rsidRPr="00AA1421" w:rsidRDefault="00595FAD" w:rsidP="00FF15C6">
            <w:pPr>
              <w:spacing w:before="60"/>
              <w:rPr>
                <w:rFonts w:ascii="Times New Roman" w:hAnsi="Times New Roman"/>
                <w:sz w:val="24"/>
              </w:rPr>
            </w:pPr>
            <w:r w:rsidRPr="00AA1421">
              <w:rPr>
                <w:rStyle w:val="InstructionsTabelleberschrift"/>
                <w:rFonts w:ascii="Times New Roman" w:hAnsi="Times New Roman"/>
                <w:b w:val="0"/>
                <w:sz w:val="24"/>
                <w:u w:val="none"/>
              </w:rPr>
              <w:t>Średnia wartość</w:t>
            </w:r>
            <w:r w:rsidRPr="00AA1421">
              <w:rPr>
                <w:rFonts w:ascii="Times New Roman" w:hAnsi="Times New Roman"/>
                <w:sz w:val="24"/>
              </w:rPr>
              <w:t xml:space="preserve"> terminów zapadalności dla dłużników w latach ważona odpowiadającą im wartością ekspozycji określoną dla kolumny 0010.</w:t>
            </w:r>
          </w:p>
          <w:p w:rsidR="00595FAD" w:rsidRPr="00AA1421" w:rsidRDefault="00595FAD" w:rsidP="00837612">
            <w:pPr>
              <w:rPr>
                <w:rFonts w:ascii="Times New Roman" w:hAnsi="Times New Roman"/>
                <w:sz w:val="24"/>
              </w:rPr>
            </w:pPr>
            <w:r w:rsidRPr="00AA1421">
              <w:rPr>
                <w:rFonts w:ascii="Times New Roman" w:hAnsi="Times New Roman"/>
                <w:sz w:val="24"/>
              </w:rPr>
              <w:t xml:space="preserve">Termin zapadalności określa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62 CRR. </w:t>
            </w:r>
          </w:p>
        </w:tc>
      </w:tr>
      <w:tr w:rsidR="00595FAD" w:rsidRPr="00AA1421" w:rsidTr="00FF15C6">
        <w:tc>
          <w:tcPr>
            <w:tcW w:w="1413" w:type="dxa"/>
          </w:tcPr>
          <w:p w:rsidR="00595FAD" w:rsidRPr="00AA1421" w:rsidRDefault="00595FAD" w:rsidP="00FF15C6">
            <w:pPr>
              <w:spacing w:before="60" w:after="240"/>
              <w:rPr>
                <w:sz w:val="24"/>
              </w:rPr>
            </w:pPr>
            <w:r w:rsidRPr="00AA1421">
              <w:rPr>
                <w:rFonts w:ascii="Times New Roman" w:hAnsi="Times New Roman"/>
                <w:sz w:val="24"/>
              </w:rPr>
              <w:t>0060</w:t>
            </w:r>
          </w:p>
        </w:tc>
        <w:tc>
          <w:tcPr>
            <w:tcW w:w="7654" w:type="dxa"/>
          </w:tcPr>
          <w:p w:rsidR="00595FAD" w:rsidRPr="00AA1421" w:rsidRDefault="00595FAD" w:rsidP="00FF15C6">
            <w:pPr>
              <w:spacing w:before="60"/>
              <w:rPr>
                <w:rFonts w:ascii="Times New Roman" w:hAnsi="Times New Roman"/>
                <w:sz w:val="24"/>
              </w:rPr>
            </w:pPr>
            <w:r w:rsidRPr="00AA1421">
              <w:rPr>
                <w:rStyle w:val="InstructionsTabelleberschrift"/>
                <w:rFonts w:ascii="Times New Roman" w:hAnsi="Times New Roman"/>
                <w:sz w:val="24"/>
              </w:rPr>
              <w:t>Kwoty ekspozycji ważonej ryzykiem</w:t>
            </w:r>
            <w:r w:rsidRPr="00AA1421">
              <w:rPr>
                <w:rFonts w:ascii="Times New Roman" w:hAnsi="Times New Roman"/>
                <w:i/>
                <w:sz w:val="24"/>
              </w:rPr>
              <w:t xml:space="preserve"> </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Kwoty ekspozycji ważone ryzykiem,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4 CRR, dla pozycji, których wagi ryzyka szacuje się na podstawie wymogów określonych w części trzeciej tytuł II rozdział 3 CRR i dla których wartość ekspozycji dla </w:t>
            </w:r>
            <w:r w:rsidRPr="00AA1421">
              <w:rPr>
                <w:rFonts w:ascii="Times New Roman" w:hAnsi="Times New Roman"/>
                <w:sz w:val="24"/>
              </w:rPr>
              <w:lastRenderedPageBreak/>
              <w:t>działalności związanej z ryzykiem kredytowym kontrahenta oblicza się zgodnie z częścią trzecią tytuł II rozdziały 4 i 6 CRR.</w:t>
            </w:r>
          </w:p>
          <w:p w:rsidR="00595FAD" w:rsidRPr="00AA1421" w:rsidRDefault="00595FAD" w:rsidP="003F19BA">
            <w:pPr>
              <w:spacing w:before="60" w:after="240"/>
              <w:rPr>
                <w:rFonts w:ascii="Times New Roman" w:hAnsi="Times New Roman"/>
                <w:i/>
                <w:sz w:val="24"/>
              </w:rPr>
            </w:pPr>
            <w:r w:rsidRPr="00AA1421">
              <w:rPr>
                <w:rFonts w:ascii="Times New Roman" w:hAnsi="Times New Roman"/>
                <w:sz w:val="24"/>
              </w:rPr>
              <w:t xml:space="preserve">Bierze się pod uwagę współczynniki wsparcia MŚP oraz infrastruktury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01 i 501a CRR. </w:t>
            </w:r>
          </w:p>
        </w:tc>
      </w:tr>
      <w:tr w:rsidR="00595FAD" w:rsidRPr="00AA1421" w:rsidTr="00FF15C6">
        <w:tc>
          <w:tcPr>
            <w:tcW w:w="1413" w:type="dxa"/>
          </w:tcPr>
          <w:p w:rsidR="00595FAD" w:rsidRPr="00AA1421" w:rsidRDefault="00595FAD" w:rsidP="00FF15C6">
            <w:pPr>
              <w:spacing w:before="60" w:after="240"/>
              <w:rPr>
                <w:sz w:val="24"/>
              </w:rPr>
            </w:pPr>
            <w:r w:rsidRPr="00AA1421">
              <w:rPr>
                <w:rFonts w:ascii="Times New Roman" w:hAnsi="Times New Roman"/>
                <w:sz w:val="24"/>
              </w:rPr>
              <w:lastRenderedPageBreak/>
              <w:t>0070</w:t>
            </w:r>
          </w:p>
        </w:tc>
        <w:tc>
          <w:tcPr>
            <w:tcW w:w="7654" w:type="dxa"/>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Stosunek kwot ekspozycji ważonych ryzykiem do wartości ekspozycji </w:t>
            </w:r>
          </w:p>
          <w:p w:rsidR="00595FAD" w:rsidRPr="00AA1421" w:rsidDel="00291448" w:rsidRDefault="00595FAD" w:rsidP="00FF15C6">
            <w:pPr>
              <w:spacing w:before="60"/>
              <w:rPr>
                <w:rFonts w:ascii="Times New Roman" w:hAnsi="Times New Roman"/>
                <w:sz w:val="24"/>
              </w:rPr>
            </w:pPr>
            <w:r w:rsidRPr="00AA1421">
              <w:rPr>
                <w:rFonts w:ascii="Times New Roman" w:hAnsi="Times New Roman"/>
                <w:sz w:val="24"/>
              </w:rPr>
              <w:t>Stosunek łącznych kwot ekspozycji ważonych ryzykiem (podanych w kolumnie 0060) do wartości ekspozycji (podanej w kolumnie 0010)</w:t>
            </w:r>
          </w:p>
        </w:tc>
      </w:tr>
    </w:tbl>
    <w:p w:rsidR="00595FAD" w:rsidRPr="00AA1421"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720"/>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b/>
                <w:sz w:val="24"/>
              </w:rPr>
              <w:t xml:space="preserve">Wiersze </w:t>
            </w:r>
          </w:p>
        </w:tc>
      </w:tr>
      <w:tr w:rsidR="00595FAD" w:rsidRPr="00AA1421" w:rsidTr="00FF15C6">
        <w:trPr>
          <w:trHeight w:val="680"/>
        </w:trPr>
        <w:tc>
          <w:tcPr>
            <w:tcW w:w="1384" w:type="dxa"/>
          </w:tcPr>
          <w:p w:rsidR="00595FAD" w:rsidRPr="00AA1421" w:rsidRDefault="00595FAD" w:rsidP="00FF15C6">
            <w:pPr>
              <w:pStyle w:val="Applicationdirecte"/>
              <w:spacing w:before="60" w:after="0"/>
              <w:jc w:val="center"/>
            </w:pPr>
            <w:r w:rsidRPr="00AA1421">
              <w:t>0010 - 0170</w:t>
            </w:r>
          </w:p>
        </w:tc>
        <w:tc>
          <w:tcPr>
            <w:tcW w:w="7655" w:type="dxa"/>
            <w:vAlign w:val="center"/>
          </w:tcPr>
          <w:p w:rsidR="00595FAD" w:rsidRPr="00AA1421" w:rsidRDefault="00595FAD" w:rsidP="00FF15C6">
            <w:pPr>
              <w:spacing w:before="60"/>
              <w:rPr>
                <w:rFonts w:ascii="Times New Roman" w:hAnsi="Times New Roman"/>
                <w:b/>
                <w:bCs/>
                <w:sz w:val="24"/>
                <w:u w:val="single"/>
              </w:rPr>
            </w:pPr>
            <w:r w:rsidRPr="00AA1421">
              <w:rPr>
                <w:rStyle w:val="InstructionsTabelleberschrift"/>
                <w:rFonts w:ascii="Times New Roman" w:hAnsi="Times New Roman"/>
                <w:sz w:val="24"/>
              </w:rPr>
              <w:t>Skala PD</w:t>
            </w:r>
          </w:p>
          <w:p w:rsidR="00595FAD" w:rsidRPr="00AA1421" w:rsidRDefault="00595FAD" w:rsidP="00FF15C6">
            <w:pPr>
              <w:spacing w:before="60"/>
              <w:rPr>
                <w:rFonts w:ascii="Times New Roman" w:hAnsi="Times New Roman"/>
                <w:sz w:val="24"/>
              </w:rPr>
            </w:pPr>
            <w:r w:rsidRPr="00AA1421">
              <w:rPr>
                <w:rFonts w:ascii="Times New Roman" w:hAnsi="Times New Roman"/>
                <w:sz w:val="24"/>
              </w:rPr>
              <w:t>Ekspozycje na ryzyko kredytowe kontrahenta (określone na poziomie kontrahenta) przypisuje się do odpowiedniego koszyka na stałej skali PD na podstawie PD oszacowanego dla każdego dłużnika przyporządkowanego do danej kategorii ekspozycji (bez uwzględniania jakiejkolwiek substytucji ze względu na istnienie gwarancji lub kredytowego instrumentu pochodnego). Instytucje przyporządkowują każdą ekspozycję do skali PD podanej w niniejszym wzorze, uwzględniając również skale ciągłe. Wszystkie ekspozycje, których dotyczy niewykonanie zobowiązania, ujmuje się w koszyku odpowiadającym PD w wysokości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w:t>
            </w:r>
          </w:p>
        </w:tc>
      </w:tr>
    </w:tbl>
    <w:p w:rsidR="00595FAD" w:rsidRPr="00AA1421"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403697"/>
      <w:r w:rsidRPr="00AA1421">
        <w:rPr>
          <w:rFonts w:ascii="Times New Roman" w:hAnsi="Times New Roman"/>
          <w:sz w:val="24"/>
        </w:rPr>
        <w:t>C 34.08 – Skład zabezpieczeń ekspozycji na ryzyko kredytowe kontrahenta</w:t>
      </w:r>
      <w:bookmarkEnd w:id="488"/>
      <w:bookmarkEnd w:id="489"/>
    </w:p>
    <w:p w:rsidR="00595FAD" w:rsidRPr="00AA1421"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403698"/>
      <w:r w:rsidRPr="00AA1421">
        <w:rPr>
          <w:rFonts w:ascii="Times New Roman" w:hAnsi="Times New Roman"/>
          <w:sz w:val="24"/>
        </w:rPr>
        <w:t>Uwagi ogólne</w:t>
      </w:r>
      <w:bookmarkEnd w:id="490"/>
      <w:bookmarkEnd w:id="491"/>
    </w:p>
    <w:p w:rsidR="00595FAD" w:rsidRPr="00AA1421" w:rsidRDefault="00AA1421" w:rsidP="00487A02">
      <w:pPr>
        <w:pStyle w:val="InstructionsText2"/>
        <w:numPr>
          <w:ilvl w:val="0"/>
          <w:numId w:val="0"/>
        </w:numPr>
        <w:ind w:left="1353" w:hanging="360"/>
      </w:pPr>
      <w:fldSimple w:instr=" seq paragraphs ">
        <w:r w:rsidR="00D11E4C" w:rsidRPr="00AA1421">
          <w:rPr>
            <w:noProof/>
          </w:rPr>
          <w:t>131</w:t>
        </w:r>
      </w:fldSimple>
      <w:r w:rsidR="00D11E4C" w:rsidRPr="00AA1421">
        <w:t xml:space="preserve">. W przedmiotowym wzorze podaje się wartości godziwe zabezpieczenia (wniesionego lub otrzymanego) zastosowane do obliczenia ekspozycji na ryzyko kredytowe kontrahenta związanych z transakcjami na instrumentach pochodnych, transakcją z długim terminem rozliczenia lub transakcjami finansowanymi z użyciem papierów wartościowych, niezależnie od tego, czy zostały one rozliczone za pośrednictwem kontrahenta centralnego oraz czy wniesiono zabezpieczenie na rzecz kontrahenta centralnego. </w:t>
      </w:r>
    </w:p>
    <w:p w:rsidR="00595FAD" w:rsidRPr="00AA1421"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403699"/>
      <w:r w:rsidRPr="00AA1421">
        <w:rPr>
          <w:rFonts w:ascii="Times New Roman" w:hAnsi="Times New Roman"/>
          <w:sz w:val="24"/>
        </w:rPr>
        <w:t>Instrukcje dotyczące poszczególnych pozycji</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pStyle w:val="TableMainHeading"/>
              <w:spacing w:before="60"/>
              <w:rPr>
                <w:rFonts w:ascii="Times New Roman" w:hAnsi="Times New Roman"/>
                <w:b/>
                <w:sz w:val="24"/>
                <w:szCs w:val="24"/>
              </w:rPr>
            </w:pPr>
            <w:r w:rsidRPr="00AA1421">
              <w:rPr>
                <w:rFonts w:ascii="Times New Roman" w:hAnsi="Times New Roman"/>
                <w:b/>
                <w:sz w:val="24"/>
                <w:szCs w:val="24"/>
              </w:rPr>
              <w:t xml:space="preserve">Kolumny </w:t>
            </w:r>
          </w:p>
        </w:tc>
      </w:tr>
      <w:tr w:rsidR="00595FAD" w:rsidRPr="00AA1421" w:rsidTr="00FF15C6">
        <w:trPr>
          <w:trHeight w:val="680"/>
        </w:trPr>
        <w:tc>
          <w:tcPr>
            <w:tcW w:w="1384" w:type="dxa"/>
          </w:tcPr>
          <w:p w:rsidR="00595FAD" w:rsidRPr="00AA1421" w:rsidRDefault="00595FAD" w:rsidP="00FF15C6">
            <w:pPr>
              <w:pStyle w:val="Applicationdirecte"/>
              <w:spacing w:before="60" w:after="0"/>
            </w:pPr>
            <w:r w:rsidRPr="00AA1421">
              <w:t>0010 - 0080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Zabezpieczenie stosowane w transakcjach na instrumentach pochodnych </w:t>
            </w:r>
          </w:p>
          <w:p w:rsidR="00595FAD" w:rsidRPr="00AA1421" w:rsidRDefault="00595FAD" w:rsidP="00096876">
            <w:pPr>
              <w:pStyle w:val="numberedparagraph"/>
              <w:numPr>
                <w:ilvl w:val="0"/>
                <w:numId w:val="0"/>
              </w:numPr>
              <w:spacing w:before="60" w:line="240" w:lineRule="auto"/>
              <w:rPr>
                <w:rFonts w:ascii="Times New Roman" w:hAnsi="Times New Roman" w:cs="Times New Roman"/>
                <w:sz w:val="24"/>
              </w:rPr>
            </w:pPr>
            <w:r w:rsidRPr="00AA1421">
              <w:rPr>
                <w:rFonts w:ascii="Times New Roman" w:hAnsi="Times New Roman"/>
                <w:sz w:val="24"/>
              </w:rPr>
              <w:t xml:space="preserve">Instytucje zgłaszają zabezpieczenie (uwzględniając zabezpieczenie w postaci początkowego depozytu zabezpieczającego i zabezpieczenie w postaci zmiennego depozytu zabezpieczającego) stosowane do obliczenia ekspozycji na ryzyko kredytowe kontrahenta związanych z dowolnym instrumentem pochodnym wymienionym w załączniku II do CRR lub z transakcją z długim terminem rozliczenia w rozumieniu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72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tego samego rozporządzenia, </w:t>
            </w:r>
            <w:r w:rsidRPr="00AA1421">
              <w:rPr>
                <w:rFonts w:ascii="Times New Roman" w:hAnsi="Times New Roman"/>
                <w:sz w:val="24"/>
              </w:rPr>
              <w:lastRenderedPageBreak/>
              <w:t xml:space="preserve">która nie kwalifikuje się do uznania jej za transakcję finansowaną z użyciem papierów wartościowych. </w:t>
            </w:r>
          </w:p>
        </w:tc>
      </w:tr>
      <w:tr w:rsidR="00595FAD" w:rsidRPr="00AA1421" w:rsidTr="00FF15C6">
        <w:trPr>
          <w:trHeight w:val="680"/>
        </w:trPr>
        <w:tc>
          <w:tcPr>
            <w:tcW w:w="1384" w:type="dxa"/>
          </w:tcPr>
          <w:p w:rsidR="00595FAD" w:rsidRPr="00AA1421" w:rsidRDefault="00595FAD" w:rsidP="00FF15C6">
            <w:pPr>
              <w:pStyle w:val="Applicationdirecte"/>
              <w:spacing w:before="60" w:after="0"/>
            </w:pPr>
            <w:r w:rsidRPr="00AA1421">
              <w:lastRenderedPageBreak/>
              <w:t>0090 - 0180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Zabezpieczenie stosowane w transakcjach finansowanych z użyciem papierów wartościowych </w:t>
            </w:r>
          </w:p>
          <w:p w:rsidR="00595FAD" w:rsidRPr="00AA1421" w:rsidRDefault="00595FAD" w:rsidP="00FF15C6">
            <w:pPr>
              <w:pStyle w:val="numberedparagraph"/>
              <w:numPr>
                <w:ilvl w:val="0"/>
                <w:numId w:val="0"/>
              </w:numPr>
              <w:spacing w:before="60" w:line="240" w:lineRule="auto"/>
              <w:rPr>
                <w:rFonts w:ascii="Times New Roman" w:hAnsi="Times New Roman" w:cs="Times New Roman"/>
                <w:sz w:val="24"/>
              </w:rPr>
            </w:pPr>
            <w:r w:rsidRPr="00AA1421">
              <w:rPr>
                <w:rFonts w:ascii="Times New Roman" w:hAnsi="Times New Roman"/>
                <w:sz w:val="24"/>
              </w:rPr>
              <w:t xml:space="preserve">Instytucje zgłaszają zabezpieczenie (uwzględniając zabezpieczenie w postaci początkowego depozytu zabezpieczającego i zabezpieczenie w postaci zmiennego depozytu zabezpieczającego, jak również zabezpieczenie w postaci papieru wartościowego wykorzystywanego jako zabezpieczenie w transakcji finansowanej z użyciem papierów wartościowych) stosowane do obliczenia ekspozycji na ryzyko kredytowe kontrahenta związanych z dowolną transakcją finansowaną z użyciem papierów wartościowych lub transakcją z długim terminem rozliczenia, która nie kwalifikuje się do uznania jej za instrument pochodny. </w:t>
            </w:r>
          </w:p>
        </w:tc>
      </w:tr>
      <w:tr w:rsidR="00595FAD" w:rsidRPr="00AA1421" w:rsidTr="00FF15C6">
        <w:trPr>
          <w:trHeight w:val="416"/>
        </w:trPr>
        <w:tc>
          <w:tcPr>
            <w:tcW w:w="1384" w:type="dxa"/>
          </w:tcPr>
          <w:p w:rsidR="00595FAD" w:rsidRPr="00AA1421" w:rsidRDefault="00595FAD" w:rsidP="00FF15C6">
            <w:pPr>
              <w:pStyle w:val="Fait"/>
            </w:pPr>
            <w:r w:rsidRPr="00AA1421">
              <w:t>0010, 0020, 0050, 0060, 0090, 0100, 0140, 0150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Wyodrębnione</w:t>
            </w:r>
          </w:p>
          <w:p w:rsidR="00595FAD" w:rsidRPr="00AA1421" w:rsidRDefault="00595FAD" w:rsidP="00FF15C6">
            <w:pPr>
              <w:spacing w:before="60"/>
              <w:rPr>
                <w:rStyle w:val="InstructionsTabelleberschrift"/>
                <w:rFonts w:ascii="Times New Roman" w:hAnsi="Times New Roman"/>
                <w:sz w:val="24"/>
              </w:rPr>
            </w:pPr>
            <w:r w:rsidRPr="00AA1421">
              <w:rPr>
                <w:rFonts w:ascii="Times New Roman" w:hAnsi="Times New Roman"/>
                <w:sz w:val="24"/>
              </w:rPr>
              <w:t>Art. 300 pkt 1 CRR</w:t>
            </w:r>
          </w:p>
          <w:p w:rsidR="00595FAD" w:rsidRPr="00AA1421" w:rsidRDefault="00CF4C30" w:rsidP="00FF15C6">
            <w:pPr>
              <w:spacing w:before="60"/>
              <w:rPr>
                <w:rFonts w:ascii="Times New Roman" w:hAnsi="Times New Roman"/>
                <w:sz w:val="24"/>
              </w:rPr>
            </w:pPr>
            <w:r w:rsidRPr="00AA1421">
              <w:rPr>
                <w:rFonts w:ascii="Times New Roman" w:hAnsi="Times New Roman"/>
                <w:sz w:val="24"/>
              </w:rPr>
              <w:t xml:space="preserve">Instytucje zgłaszają zabezpieczenie utrzymywane na zasadzie wyłączenia z masy upadłościowej zgodnie z definicją ustanowioną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00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które dzieli się następnie na zabezpieczenie w postaci początkowego lub zmiennego depozytu zabezpieczającego.</w:t>
            </w:r>
          </w:p>
        </w:tc>
      </w:tr>
      <w:tr w:rsidR="00595FAD" w:rsidRPr="00AA1421" w:rsidTr="00FF15C6">
        <w:trPr>
          <w:trHeight w:val="680"/>
        </w:trPr>
        <w:tc>
          <w:tcPr>
            <w:tcW w:w="1384" w:type="dxa"/>
          </w:tcPr>
          <w:p w:rsidR="00595FAD" w:rsidRPr="00AA1421" w:rsidRDefault="00595FAD" w:rsidP="00FF15C6">
            <w:pPr>
              <w:pStyle w:val="Applicationdirecte"/>
              <w:spacing w:before="60" w:after="0"/>
            </w:pPr>
            <w:r w:rsidRPr="00AA1421">
              <w:t xml:space="preserve">0030, 0040, 0070, 0080, 0110, 0120, 0130, 0160, 0170, 0180 </w:t>
            </w:r>
          </w:p>
        </w:tc>
        <w:tc>
          <w:tcPr>
            <w:tcW w:w="7655" w:type="dxa"/>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Niewyodrębnione </w:t>
            </w:r>
          </w:p>
          <w:p w:rsidR="00595FAD" w:rsidRPr="00AA1421" w:rsidRDefault="00595FAD" w:rsidP="00FF15C6">
            <w:pPr>
              <w:spacing w:before="60"/>
              <w:rPr>
                <w:rStyle w:val="InstructionsTabelleberschrift"/>
                <w:rFonts w:ascii="Times New Roman" w:hAnsi="Times New Roman"/>
                <w:sz w:val="24"/>
              </w:rPr>
            </w:pPr>
            <w:r w:rsidRPr="00AA1421">
              <w:rPr>
                <w:rFonts w:ascii="Times New Roman" w:hAnsi="Times New Roman"/>
                <w:sz w:val="24"/>
              </w:rPr>
              <w:t>Art. 300 pkt 1 CRR</w:t>
            </w:r>
          </w:p>
          <w:p w:rsidR="00595FAD" w:rsidRPr="00AA1421" w:rsidRDefault="00CF4C30" w:rsidP="00CF4C30">
            <w:pPr>
              <w:rPr>
                <w:rFonts w:ascii="Times New Roman" w:hAnsi="Times New Roman"/>
                <w:sz w:val="24"/>
              </w:rPr>
            </w:pPr>
            <w:r w:rsidRPr="00AA1421">
              <w:rPr>
                <w:rFonts w:ascii="Times New Roman" w:hAnsi="Times New Roman"/>
                <w:sz w:val="24"/>
              </w:rPr>
              <w:t xml:space="preserve">Instytucje zgłaszają zabezpieczenie, które nie jest utrzymywane na zasadzie wyłączenia z masy upadłościowej zgodnie z definicją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00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i które dalej dzieli się na zabezpieczenie w postaci początkowego depozytu zabezpieczającego, zabezpieczenie w postaci zmiennego depozytu zabezpieczającego oraz zabezpieczenie w postaci papieru wartościowego wykorzystywanego w ramach transakcji finansowanej z użyciem papierów wartościowych.</w:t>
            </w:r>
          </w:p>
        </w:tc>
      </w:tr>
      <w:tr w:rsidR="00595FAD" w:rsidRPr="00AA1421" w:rsidTr="00FF15C6">
        <w:trPr>
          <w:trHeight w:val="680"/>
        </w:trPr>
        <w:tc>
          <w:tcPr>
            <w:tcW w:w="1384" w:type="dxa"/>
          </w:tcPr>
          <w:p w:rsidR="00595FAD" w:rsidRPr="00AA1421" w:rsidRDefault="00595FAD" w:rsidP="00FF15C6">
            <w:pPr>
              <w:pStyle w:val="Applicationdirecte"/>
              <w:spacing w:before="60" w:after="0"/>
            </w:pPr>
            <w:r w:rsidRPr="00AA1421">
              <w:t>0010, 0030, 0050, 0070, 0090, 0110, 0140, 0160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Początkowy depozyt zabezpieczający</w:t>
            </w:r>
          </w:p>
          <w:p w:rsidR="00595FAD" w:rsidRPr="00AA1421" w:rsidRDefault="004134E6" w:rsidP="00FF15C6">
            <w:pPr>
              <w:spacing w:before="60"/>
              <w:rPr>
                <w:rFonts w:ascii="Times New Roman" w:hAnsi="Times New Roman"/>
                <w:sz w:val="24"/>
              </w:rPr>
            </w:pPr>
            <w:r w:rsidRPr="00AA1421">
              <w:rPr>
                <w:rFonts w:ascii="Times New Roman" w:hAnsi="Times New Roman"/>
                <w:sz w:val="24"/>
              </w:rPr>
              <w:t xml:space="preserve">Art. 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40 CRR</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Instytucje zgłaszają wartości godziwe zabezpieczenia otrzymanego lub wniesionego w postaci początkowego depozytu zabezpieczającego (zgodnie z definicją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40 CRR).</w:t>
            </w:r>
          </w:p>
        </w:tc>
      </w:tr>
      <w:tr w:rsidR="00595FAD" w:rsidRPr="00AA1421" w:rsidTr="00FF15C6">
        <w:trPr>
          <w:trHeight w:val="680"/>
        </w:trPr>
        <w:tc>
          <w:tcPr>
            <w:tcW w:w="1384" w:type="dxa"/>
          </w:tcPr>
          <w:p w:rsidR="00595FAD" w:rsidRPr="00AA1421" w:rsidRDefault="00595FAD" w:rsidP="00FF15C6">
            <w:pPr>
              <w:pStyle w:val="Applicationdirecte"/>
              <w:spacing w:before="60" w:after="0"/>
            </w:pPr>
            <w:r w:rsidRPr="00AA1421">
              <w:t>0020, 0040, 0060, 0080, 0100, 0120, 0150, 0170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Zmienny depozyt zabezpieczający</w:t>
            </w:r>
          </w:p>
          <w:p w:rsidR="00595FAD" w:rsidRPr="00AA1421" w:rsidRDefault="00595FAD" w:rsidP="00FF15C6">
            <w:pPr>
              <w:spacing w:before="60"/>
              <w:rPr>
                <w:rFonts w:ascii="Times New Roman" w:eastAsia="Calibri" w:hAnsi="Times New Roman"/>
                <w:sz w:val="24"/>
              </w:rPr>
            </w:pPr>
            <w:r w:rsidRPr="00AA1421">
              <w:rPr>
                <w:rFonts w:ascii="Times New Roman" w:hAnsi="Times New Roman"/>
                <w:sz w:val="24"/>
              </w:rPr>
              <w:t>Instytucje zgłaszają wartości godziwe zabezpieczenia otrzymanego lub wniesionego w postaci zmiennego depozytu zabezpieczającego.</w:t>
            </w:r>
          </w:p>
        </w:tc>
      </w:tr>
      <w:tr w:rsidR="00595FAD" w:rsidRPr="00AA1421" w:rsidTr="00FF15C6">
        <w:trPr>
          <w:trHeight w:val="680"/>
        </w:trPr>
        <w:tc>
          <w:tcPr>
            <w:tcW w:w="1384" w:type="dxa"/>
          </w:tcPr>
          <w:p w:rsidR="00595FAD" w:rsidRPr="00AA1421" w:rsidRDefault="00595FAD" w:rsidP="00FF15C6">
            <w:pPr>
              <w:pStyle w:val="Applicationdirecte"/>
              <w:spacing w:before="60" w:after="0"/>
            </w:pPr>
            <w:r w:rsidRPr="00AA1421">
              <w:t>0130, 0180</w:t>
            </w:r>
          </w:p>
        </w:tc>
        <w:tc>
          <w:tcPr>
            <w:tcW w:w="7655" w:type="dxa"/>
            <w:vAlign w:val="center"/>
          </w:tcPr>
          <w:p w:rsidR="00595FAD" w:rsidRPr="00AA1421" w:rsidRDefault="00595FAD" w:rsidP="00FF15C6">
            <w:pPr>
              <w:spacing w:before="60"/>
              <w:rPr>
                <w:rStyle w:val="InstructionsTabelleberschrift"/>
                <w:rFonts w:ascii="Times New Roman" w:hAnsi="Times New Roman"/>
                <w:sz w:val="24"/>
              </w:rPr>
            </w:pPr>
            <w:r w:rsidRPr="00AA1421">
              <w:rPr>
                <w:rStyle w:val="InstructionsTabelleberschrift"/>
                <w:rFonts w:ascii="Times New Roman" w:hAnsi="Times New Roman"/>
                <w:sz w:val="24"/>
              </w:rPr>
              <w:t xml:space="preserve">Papier wartościowy wykorzystywany jako zabezpieczenie w transakcji finansowanej z użyciem papierów wartościowych </w:t>
            </w:r>
          </w:p>
          <w:p w:rsidR="00595FAD" w:rsidRPr="00AA1421" w:rsidRDefault="00595FAD" w:rsidP="00FF15C6">
            <w:pPr>
              <w:spacing w:before="60"/>
              <w:rPr>
                <w:rFonts w:ascii="Times New Roman" w:eastAsia="Calibri" w:hAnsi="Times New Roman"/>
                <w:i/>
                <w:sz w:val="24"/>
              </w:rPr>
            </w:pPr>
            <w:r w:rsidRPr="00AA1421">
              <w:rPr>
                <w:rFonts w:ascii="Times New Roman" w:hAnsi="Times New Roman"/>
                <w:sz w:val="24"/>
              </w:rPr>
              <w:t>Instytucje zgłaszają wartości godziwe zabezpieczenia w postaci papieru wartościowego wykorzystywanego jako zabezpieczenie w ramach transakcji finansowanych z użyciem papierów wartościowych (np. część transakcji obej</w:t>
            </w:r>
            <w:r w:rsidRPr="00AA1421">
              <w:rPr>
                <w:rFonts w:ascii="Times New Roman" w:hAnsi="Times New Roman"/>
                <w:sz w:val="24"/>
              </w:rPr>
              <w:lastRenderedPageBreak/>
              <w:t>mująca papiery wartościowe wykorzystywane w ramach transakcji finansowanej z użyciem papierów wartościowych, które otrzymano na potrzeby kolumny 0130 lub które wniesiono na potrzeby kolumny 0180).</w:t>
            </w:r>
          </w:p>
        </w:tc>
      </w:tr>
    </w:tbl>
    <w:p w:rsidR="00595FAD" w:rsidRPr="00AA1421"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238"/>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b/>
                <w:sz w:val="24"/>
              </w:rPr>
              <w:t xml:space="preserve">Wiersze </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Style w:val="InstructionsTabelleberschrift"/>
                <w:rFonts w:ascii="Times New Roman" w:hAnsi="Times New Roman"/>
                <w:sz w:val="24"/>
              </w:rPr>
            </w:pPr>
            <w:r w:rsidRPr="00AA1421">
              <w:rPr>
                <w:rStyle w:val="InstructionsTabelleberschrift"/>
                <w:rFonts w:ascii="Times New Roman" w:hAnsi="Times New Roman"/>
                <w:sz w:val="24"/>
              </w:rPr>
              <w:t>Rodzaj zabezpieczenia</w:t>
            </w:r>
          </w:p>
          <w:p w:rsidR="00595FAD" w:rsidRPr="00AA1421" w:rsidRDefault="00595FAD" w:rsidP="00CF4C30">
            <w:pPr>
              <w:autoSpaceDE w:val="0"/>
              <w:autoSpaceDN w:val="0"/>
              <w:adjustRightInd w:val="0"/>
              <w:rPr>
                <w:rFonts w:ascii="Times New Roman" w:hAnsi="Times New Roman"/>
                <w:sz w:val="24"/>
              </w:rPr>
            </w:pPr>
            <w:r w:rsidRPr="00AA1421">
              <w:rPr>
                <w:rFonts w:ascii="Times New Roman" w:hAnsi="Times New Roman"/>
                <w:sz w:val="24"/>
              </w:rPr>
              <w:t>Podział według różnych rodzajów zabezpieczenia</w:t>
            </w:r>
          </w:p>
        </w:tc>
      </w:tr>
    </w:tbl>
    <w:p w:rsidR="00595FAD" w:rsidRPr="00AA1421" w:rsidRDefault="00595FAD" w:rsidP="00595FAD">
      <w:pPr>
        <w:pStyle w:val="Titlelevel2"/>
        <w:spacing w:before="120" w:after="120"/>
        <w:rPr>
          <w:rFonts w:ascii="Times New Roman" w:hAnsi="Times New Roman" w:cs="Times New Roman"/>
          <w:color w:val="auto"/>
          <w:sz w:val="24"/>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403700"/>
      <w:r w:rsidRPr="00AA1421">
        <w:rPr>
          <w:rFonts w:ascii="Times New Roman" w:hAnsi="Times New Roman"/>
          <w:sz w:val="24"/>
        </w:rPr>
        <w:t>C 34.09 – Ekspozycje kredytowe z tytułu instrumentów pochodnych</w:t>
      </w:r>
      <w:bookmarkEnd w:id="494"/>
      <w:bookmarkEnd w:id="495"/>
    </w:p>
    <w:p w:rsidR="00595FAD" w:rsidRPr="00AA1421"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403701"/>
      <w:r w:rsidRPr="00AA1421">
        <w:rPr>
          <w:rFonts w:ascii="Times New Roman" w:hAnsi="Times New Roman"/>
          <w:sz w:val="24"/>
        </w:rPr>
        <w:t>Instrukcje dotyczące poszczególnych pozycji</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b/>
                <w:sz w:val="24"/>
              </w:rPr>
            </w:pPr>
            <w:r w:rsidRPr="00AA1421">
              <w:rPr>
                <w:rFonts w:ascii="Times New Roman" w:hAnsi="Times New Roman"/>
                <w:b/>
                <w:sz w:val="24"/>
              </w:rPr>
              <w:t xml:space="preserve">Kolumny </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Style w:val="InstructionsTabelleberschrift"/>
                <w:rFonts w:ascii="Times New Roman" w:hAnsi="Times New Roman"/>
                <w:sz w:val="24"/>
              </w:rPr>
            </w:pPr>
            <w:r w:rsidRPr="00AA1421">
              <w:rPr>
                <w:rStyle w:val="InstructionsTabelleberschrift"/>
                <w:rFonts w:ascii="Times New Roman" w:hAnsi="Times New Roman"/>
                <w:sz w:val="24"/>
              </w:rPr>
              <w:t>OCHRONA W POSTACI KREDYTOWEGO INSTRUMENTU POCHODNEGO</w:t>
            </w:r>
          </w:p>
          <w:p w:rsidR="00595FAD" w:rsidRPr="00AA1421" w:rsidRDefault="00595FAD" w:rsidP="00CF4C30">
            <w:pPr>
              <w:autoSpaceDE w:val="0"/>
              <w:autoSpaceDN w:val="0"/>
              <w:adjustRightInd w:val="0"/>
              <w:spacing w:before="60"/>
              <w:rPr>
                <w:rFonts w:ascii="Times New Roman" w:hAnsi="Times New Roman"/>
                <w:b/>
                <w:sz w:val="24"/>
              </w:rPr>
            </w:pPr>
            <w:r w:rsidRPr="00AA1421">
              <w:rPr>
                <w:rFonts w:ascii="Times New Roman" w:hAnsi="Times New Roman"/>
                <w:sz w:val="24"/>
              </w:rPr>
              <w:t>Zakupiona lub sprzedana ochrona w postaci kredytowego instrumentu pochodnego</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Style w:val="InstructionsTabelleberschrift"/>
                <w:rFonts w:ascii="Times New Roman" w:hAnsi="Times New Roman"/>
                <w:sz w:val="24"/>
              </w:rPr>
            </w:pPr>
            <w:r w:rsidRPr="00AA1421">
              <w:rPr>
                <w:rStyle w:val="InstructionsTabelleberschrift"/>
                <w:rFonts w:ascii="Times New Roman" w:hAnsi="Times New Roman"/>
                <w:sz w:val="24"/>
              </w:rPr>
              <w:t xml:space="preserve">KWOTY REFERENCYJNE </w:t>
            </w:r>
          </w:p>
          <w:p w:rsidR="00595FAD" w:rsidRPr="00AA1421" w:rsidRDefault="00595FAD" w:rsidP="00CF4C30">
            <w:pPr>
              <w:autoSpaceDE w:val="0"/>
              <w:autoSpaceDN w:val="0"/>
              <w:adjustRightInd w:val="0"/>
              <w:spacing w:before="60"/>
              <w:rPr>
                <w:rFonts w:ascii="Times New Roman" w:hAnsi="Times New Roman"/>
                <w:i/>
                <w:sz w:val="24"/>
              </w:rPr>
            </w:pPr>
            <w:r w:rsidRPr="00AA1421">
              <w:rPr>
                <w:rFonts w:ascii="Times New Roman" w:hAnsi="Times New Roman"/>
                <w:sz w:val="24"/>
              </w:rPr>
              <w:t>Suma kwot referencyjnych instrumentu pochodnego przed jakimkolwiek kompensowaniem, w podziale na rodzaj produktu</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spacing w:before="60"/>
              <w:rPr>
                <w:rStyle w:val="InstructionsTabelleberschrift"/>
                <w:rFonts w:ascii="Times New Roman" w:hAnsi="Times New Roman"/>
                <w:sz w:val="24"/>
              </w:rPr>
            </w:pPr>
            <w:r w:rsidRPr="00AA1421">
              <w:rPr>
                <w:rStyle w:val="InstructionsTabelleberschrift"/>
                <w:rFonts w:ascii="Times New Roman" w:hAnsi="Times New Roman"/>
                <w:sz w:val="24"/>
              </w:rPr>
              <w:t>WARTOŚCI GODZIWE</w:t>
            </w:r>
          </w:p>
          <w:p w:rsidR="00595FAD" w:rsidRPr="00AA1421" w:rsidRDefault="00595FAD" w:rsidP="00CF4C30">
            <w:pPr>
              <w:autoSpaceDE w:val="0"/>
              <w:autoSpaceDN w:val="0"/>
              <w:adjustRightInd w:val="0"/>
              <w:spacing w:before="60"/>
              <w:rPr>
                <w:rFonts w:ascii="Times New Roman" w:hAnsi="Times New Roman"/>
                <w:i/>
                <w:sz w:val="24"/>
              </w:rPr>
            </w:pPr>
            <w:r w:rsidRPr="00AA1421">
              <w:rPr>
                <w:rFonts w:ascii="Times New Roman" w:hAnsi="Times New Roman"/>
                <w:sz w:val="24"/>
              </w:rPr>
              <w:t xml:space="preserve">Suma wartości godziwych w podziale na zakupioną i sprzedaną ochronę </w:t>
            </w:r>
          </w:p>
        </w:tc>
      </w:tr>
    </w:tbl>
    <w:p w:rsidR="00595FAD" w:rsidRPr="00AA1421"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238"/>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b/>
                <w:sz w:val="24"/>
              </w:rPr>
              <w:t xml:space="preserve">Wiersze </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Style w:val="InstructionsTabelleberschrift"/>
                <w:rFonts w:ascii="Times New Roman" w:hAnsi="Times New Roman"/>
                <w:sz w:val="24"/>
              </w:rPr>
            </w:pPr>
            <w:r w:rsidRPr="00AA1421">
              <w:rPr>
                <w:rStyle w:val="InstructionsTabelleberschrift"/>
                <w:rFonts w:ascii="Times New Roman" w:hAnsi="Times New Roman"/>
                <w:sz w:val="24"/>
              </w:rPr>
              <w:t>Rodzaj produktu</w:t>
            </w:r>
          </w:p>
          <w:p w:rsidR="00595FAD" w:rsidRPr="00AA1421" w:rsidRDefault="00595FAD" w:rsidP="00CF4C30">
            <w:pPr>
              <w:autoSpaceDE w:val="0"/>
              <w:autoSpaceDN w:val="0"/>
              <w:adjustRightInd w:val="0"/>
              <w:rPr>
                <w:rFonts w:ascii="Times New Roman" w:hAnsi="Times New Roman"/>
                <w:sz w:val="24"/>
              </w:rPr>
            </w:pPr>
            <w:r w:rsidRPr="00AA1421">
              <w:rPr>
                <w:rFonts w:ascii="Times New Roman" w:hAnsi="Times New Roman"/>
                <w:sz w:val="24"/>
              </w:rPr>
              <w:t>Podział według rodzajów produktów – kredytowe instrumenty pochodne</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Style w:val="InstructionsTabelleberschrift"/>
                <w:rFonts w:ascii="Times New Roman" w:hAnsi="Times New Roman"/>
                <w:sz w:val="24"/>
              </w:rPr>
            </w:pPr>
            <w:r w:rsidRPr="00AA1421">
              <w:rPr>
                <w:rStyle w:val="InstructionsTabelleberschrift"/>
                <w:rFonts w:ascii="Times New Roman" w:hAnsi="Times New Roman"/>
                <w:sz w:val="24"/>
              </w:rPr>
              <w:t>Ogółem</w:t>
            </w:r>
          </w:p>
          <w:p w:rsidR="00595FAD" w:rsidRPr="00AA1421" w:rsidRDefault="00595FAD" w:rsidP="00CF4C30">
            <w:pPr>
              <w:autoSpaceDE w:val="0"/>
              <w:autoSpaceDN w:val="0"/>
              <w:adjustRightInd w:val="0"/>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Suma wszystkich rodzajów produktów</w:t>
            </w:r>
          </w:p>
        </w:tc>
      </w:tr>
      <w:tr w:rsidR="00595FAD" w:rsidRPr="00AA1421"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autoSpaceDE w:val="0"/>
              <w:autoSpaceDN w:val="0"/>
              <w:adjustRightInd w:val="0"/>
              <w:rPr>
                <w:rStyle w:val="InstructionsTabelleberschrift"/>
                <w:rFonts w:ascii="Times New Roman" w:hAnsi="Times New Roman"/>
                <w:sz w:val="24"/>
              </w:rPr>
            </w:pPr>
            <w:r w:rsidRPr="00AA1421">
              <w:rPr>
                <w:rStyle w:val="InstructionsTabelleberschrift"/>
                <w:rFonts w:ascii="Times New Roman" w:hAnsi="Times New Roman"/>
                <w:sz w:val="24"/>
              </w:rPr>
              <w:t>Wartości godziwe</w:t>
            </w:r>
          </w:p>
          <w:p w:rsidR="00595FAD" w:rsidRPr="00AA1421" w:rsidRDefault="00595FAD" w:rsidP="00CF4C30">
            <w:pPr>
              <w:autoSpaceDE w:val="0"/>
              <w:autoSpaceDN w:val="0"/>
              <w:adjustRightInd w:val="0"/>
              <w:rPr>
                <w:rFonts w:ascii="Times New Roman" w:hAnsi="Times New Roman"/>
                <w:bCs/>
                <w:sz w:val="24"/>
              </w:rPr>
            </w:pPr>
            <w:r w:rsidRPr="00AA1421">
              <w:rPr>
                <w:rFonts w:ascii="Times New Roman" w:hAnsi="Times New Roman"/>
                <w:bCs/>
                <w:sz w:val="24"/>
              </w:rPr>
              <w:t>Wartości godziwe w podziale na rodzaje produktów, a także aktywa (dodatnie wartości godziwe) i zobowiązania (ujemne wartości godziwe)</w:t>
            </w:r>
          </w:p>
        </w:tc>
      </w:tr>
    </w:tbl>
    <w:p w:rsidR="00595FAD" w:rsidRPr="00AA1421" w:rsidRDefault="00595FAD" w:rsidP="00595FAD">
      <w:pPr>
        <w:pStyle w:val="Titlelevel2"/>
        <w:spacing w:before="120" w:after="120"/>
        <w:rPr>
          <w:rFonts w:ascii="Times New Roman" w:hAnsi="Times New Roman" w:cs="Times New Roman"/>
          <w:b/>
          <w:color w:val="auto"/>
          <w:sz w:val="24"/>
        </w:rPr>
      </w:pPr>
    </w:p>
    <w:p w:rsidR="00595FAD" w:rsidRPr="00AA1421"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403702"/>
      <w:r w:rsidRPr="00AA1421">
        <w:rPr>
          <w:rFonts w:ascii="Times New Roman" w:hAnsi="Times New Roman"/>
          <w:sz w:val="24"/>
        </w:rPr>
        <w:lastRenderedPageBreak/>
        <w:t>C 34.10 – Ekspozycje wobec CCP</w:t>
      </w:r>
      <w:bookmarkEnd w:id="498"/>
      <w:bookmarkEnd w:id="499"/>
    </w:p>
    <w:p w:rsidR="00595FAD" w:rsidRPr="00AA1421"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403703"/>
      <w:r w:rsidRPr="00AA1421">
        <w:rPr>
          <w:rFonts w:ascii="Times New Roman" w:hAnsi="Times New Roman"/>
          <w:sz w:val="24"/>
        </w:rPr>
        <w:t>Uwagi ogólne</w:t>
      </w:r>
      <w:bookmarkEnd w:id="500"/>
      <w:bookmarkEnd w:id="501"/>
    </w:p>
    <w:p w:rsidR="00595FAD" w:rsidRPr="00AA1421" w:rsidRDefault="00AA1421" w:rsidP="00487A02">
      <w:pPr>
        <w:pStyle w:val="InstructionsText2"/>
        <w:numPr>
          <w:ilvl w:val="0"/>
          <w:numId w:val="0"/>
        </w:numPr>
        <w:ind w:left="1353" w:hanging="360"/>
      </w:pPr>
      <w:fldSimple w:instr=" seq paragraphs ">
        <w:r w:rsidR="00D11E4C" w:rsidRPr="00AA1421">
          <w:rPr>
            <w:noProof/>
          </w:rPr>
          <w:t>132</w:t>
        </w:r>
      </w:fldSimple>
      <w:r w:rsidR="00D11E4C" w:rsidRPr="00AA1421">
        <w:t xml:space="preserve">. Instytucje zgłaszają informacje na temat ekspozycji wobec CCP, tj. z tytułu umów i transakcji wymienionych w </w:t>
      </w:r>
      <w:r w:rsidR="00D11E4C" w:rsidRPr="00084F66">
        <w:t>art.</w:t>
      </w:r>
      <w:r w:rsidR="00084F66" w:rsidRPr="00084F66">
        <w:t> </w:t>
      </w:r>
      <w:r w:rsidR="00D11E4C" w:rsidRPr="00084F66">
        <w:t>3</w:t>
      </w:r>
      <w:r w:rsidR="00D11E4C" w:rsidRPr="00AA1421">
        <w:t xml:space="preserve">01 </w:t>
      </w:r>
      <w:r w:rsidR="00D11E4C" w:rsidRPr="00084F66">
        <w:t>ust.</w:t>
      </w:r>
      <w:r w:rsidR="00084F66" w:rsidRPr="00084F66">
        <w:t> </w:t>
      </w:r>
      <w:r w:rsidR="00D11E4C" w:rsidRPr="00084F66">
        <w:t>1</w:t>
      </w:r>
      <w:r w:rsidR="00D11E4C" w:rsidRPr="00AA1421">
        <w:t xml:space="preserve"> CRR przez cały okres, gdy pozostają one nierozliczone z CCP, i ekspozycji z tytułu transakcji związanych z kontrahentami centralnymi w rozumieniu </w:t>
      </w:r>
      <w:r w:rsidR="00D11E4C" w:rsidRPr="00084F66">
        <w:t>art.</w:t>
      </w:r>
      <w:r w:rsidR="00084F66" w:rsidRPr="00084F66">
        <w:t> </w:t>
      </w:r>
      <w:r w:rsidR="00D11E4C" w:rsidRPr="00084F66">
        <w:t>3</w:t>
      </w:r>
      <w:r w:rsidR="00D11E4C" w:rsidRPr="00AA1421">
        <w:t xml:space="preserve">00 </w:t>
      </w:r>
      <w:r w:rsidR="00D11E4C" w:rsidRPr="00084F66">
        <w:t>pkt</w:t>
      </w:r>
      <w:r w:rsidR="00084F66" w:rsidRPr="00084F66">
        <w:t> </w:t>
      </w:r>
      <w:r w:rsidR="00D11E4C" w:rsidRPr="00084F66">
        <w:t>2</w:t>
      </w:r>
      <w:r w:rsidR="00D11E4C" w:rsidRPr="00AA1421">
        <w:t xml:space="preserve"> CRR, w przypadku których wymogi w zakresie funduszy własnych oblicza się zgodnie z częścią trzecią tytuł II rozdział 6 sekcja 9 CRR. </w:t>
      </w:r>
    </w:p>
    <w:p w:rsidR="00595FAD" w:rsidRPr="00AA1421"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403704"/>
      <w:r w:rsidRPr="00AA1421">
        <w:rPr>
          <w:rFonts w:ascii="Times New Roman" w:hAnsi="Times New Roman"/>
          <w:sz w:val="24"/>
        </w:rPr>
        <w:t>Instrukcje dotyczące poszczególnych pozycji</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b/>
                <w:sz w:val="24"/>
              </w:rPr>
            </w:pPr>
            <w:r w:rsidRPr="00AA1421">
              <w:rPr>
                <w:rFonts w:ascii="Times New Roman" w:hAnsi="Times New Roman"/>
                <w:b/>
                <w:sz w:val="24"/>
              </w:rPr>
              <w:t xml:space="preserve">Kolumny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0010</w:t>
            </w:r>
          </w:p>
        </w:tc>
        <w:tc>
          <w:tcPr>
            <w:tcW w:w="7655" w:type="dxa"/>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WARTOŚĆ EKSPOZYCJI </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Wartość ekspozycji dla transakcji wchodzących w zakres części trzeciej tytuł II rozdział 6 sekcja 9 CRR oblicza się zgodnie z odpowiednimi metodami opisanymi w tym rozdziale, w szczególności w jego sekcji 9.</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Zgłoszona wartość ekspozycji odpowiada kwocie istotnej z punktu widzenia obliczeń wymogów w zakresie funduszy własnych przeprowadzanych zgodnie z częścią trzecią tytuł II rozdział 6 sekcja 9 CRR, biorąc pod uwagę wymogi ustanowione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97 tego rozporządzenia obowiązujące w okresie przejściowym wskazanym w tym artykule.</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 xml:space="preserve">Ekspozycja może być ekspozycją z tytułu transakcji zdefiniowaną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1 CRR.</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0020</w:t>
            </w:r>
          </w:p>
        </w:tc>
        <w:tc>
          <w:tcPr>
            <w:tcW w:w="7655" w:type="dxa"/>
            <w:vAlign w:val="center"/>
          </w:tcPr>
          <w:p w:rsidR="00595FAD" w:rsidRPr="00AA1421" w:rsidRDefault="00595FAD" w:rsidP="00FF15C6">
            <w:pPr>
              <w:keepNext/>
              <w:tabs>
                <w:tab w:val="left" w:pos="6983"/>
              </w:tabs>
              <w:spacing w:before="60"/>
              <w:rPr>
                <w:rStyle w:val="InstructionsTabelleberschrift"/>
                <w:rFonts w:ascii="Times New Roman" w:hAnsi="Times New Roman"/>
                <w:sz w:val="24"/>
              </w:rPr>
            </w:pPr>
            <w:r w:rsidRPr="00AA1421">
              <w:rPr>
                <w:rStyle w:val="InstructionsTabelleberschrift"/>
                <w:rFonts w:ascii="Times New Roman" w:hAnsi="Times New Roman"/>
                <w:sz w:val="24"/>
              </w:rPr>
              <w:t>KWOTY EKSPOZYCJI WAŻONEJ RYZYKIEM</w:t>
            </w:r>
          </w:p>
          <w:p w:rsidR="00595FAD" w:rsidRPr="00AA1421" w:rsidRDefault="00595FAD" w:rsidP="00FF15C6">
            <w:pPr>
              <w:keepNext/>
              <w:spacing w:before="60"/>
              <w:rPr>
                <w:rFonts w:ascii="Times New Roman" w:hAnsi="Times New Roman"/>
                <w:strike/>
                <w:sz w:val="24"/>
              </w:rPr>
            </w:pPr>
            <w:r w:rsidRPr="00AA1421">
              <w:rPr>
                <w:rFonts w:ascii="Times New Roman" w:hAnsi="Times New Roman"/>
                <w:sz w:val="24"/>
              </w:rPr>
              <w:t xml:space="preserve">Kwoty ekspozycji ważonej ryzykiem ustalone zgodnie z częścią trzecią tytuł II rozdział 6 sekcja 9 CRR, biorąc pod uwagę wymogi ustanowione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97 tego rozporządzenia obowiązujące w okresie przejściowym wskazanym w tym artykule.</w:t>
            </w:r>
          </w:p>
        </w:tc>
      </w:tr>
    </w:tbl>
    <w:p w:rsidR="00595FAD" w:rsidRPr="00AA1421"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238"/>
        </w:trPr>
        <w:tc>
          <w:tcPr>
            <w:tcW w:w="9039" w:type="dxa"/>
            <w:gridSpan w:val="2"/>
            <w:shd w:val="clear" w:color="auto" w:fill="D9D9D9" w:themeFill="background1" w:themeFillShade="D9"/>
          </w:tcPr>
          <w:p w:rsidR="00595FAD" w:rsidRPr="00AA1421" w:rsidRDefault="00595FAD" w:rsidP="00FF15C6">
            <w:pPr>
              <w:autoSpaceDE w:val="0"/>
              <w:autoSpaceDN w:val="0"/>
              <w:adjustRightInd w:val="0"/>
              <w:rPr>
                <w:rFonts w:ascii="Times New Roman" w:hAnsi="Times New Roman"/>
                <w:sz w:val="24"/>
              </w:rPr>
            </w:pPr>
            <w:r w:rsidRPr="00AA1421">
              <w:rPr>
                <w:rFonts w:ascii="Times New Roman" w:hAnsi="Times New Roman"/>
                <w:b/>
                <w:sz w:val="24"/>
              </w:rPr>
              <w:t xml:space="preserve">Wiersze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0010-0100</w:t>
            </w:r>
          </w:p>
        </w:tc>
        <w:tc>
          <w:tcPr>
            <w:tcW w:w="7655" w:type="dxa"/>
            <w:vAlign w:val="center"/>
          </w:tcPr>
          <w:p w:rsidR="00595FAD" w:rsidRPr="00AA1421" w:rsidRDefault="00595FAD" w:rsidP="00FF15C6">
            <w:pPr>
              <w:spacing w:beforeLines="60" w:before="144" w:afterLines="60" w:after="144"/>
              <w:rPr>
                <w:rFonts w:ascii="Times New Roman" w:hAnsi="Times New Roman"/>
                <w:sz w:val="24"/>
              </w:rPr>
            </w:pPr>
            <w:r w:rsidRPr="00AA1421">
              <w:rPr>
                <w:rStyle w:val="InstructionsTabelleberschrift"/>
                <w:rFonts w:ascii="Times New Roman" w:hAnsi="Times New Roman"/>
                <w:sz w:val="24"/>
              </w:rPr>
              <w:t>Kwalifikujący się kontrahent centralny (kwalifikujący się CCP)</w:t>
            </w:r>
            <w:r w:rsidRPr="00AA1421">
              <w:rPr>
                <w:rFonts w:ascii="Times New Roman" w:hAnsi="Times New Roman"/>
                <w:sz w:val="24"/>
              </w:rPr>
              <w:t xml:space="preserve"> </w:t>
            </w:r>
          </w:p>
          <w:p w:rsidR="00595FAD" w:rsidRPr="00AA1421" w:rsidRDefault="006418A0" w:rsidP="006418A0">
            <w:pPr>
              <w:spacing w:beforeLines="60" w:before="144" w:afterLines="60" w:after="144"/>
              <w:rPr>
                <w:rFonts w:ascii="Times New Roman" w:hAnsi="Times New Roman"/>
                <w:sz w:val="24"/>
              </w:rPr>
            </w:pPr>
            <w:r w:rsidRPr="00AA1421">
              <w:rPr>
                <w:rFonts w:ascii="Times New Roman" w:hAnsi="Times New Roman"/>
                <w:sz w:val="24"/>
              </w:rPr>
              <w:t xml:space="preserve">Kwalifikujący się kontrahent centralny lub „kwalifikujący się CCP” zdefiniowany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8 CRR.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0070, 0080</w:t>
            </w:r>
          </w:p>
          <w:p w:rsidR="00595FAD" w:rsidRPr="00AA1421" w:rsidRDefault="00595FAD" w:rsidP="00FF15C6">
            <w:pPr>
              <w:pStyle w:val="Fait"/>
            </w:pPr>
            <w:r w:rsidRPr="00AA1421">
              <w:t>0170, 0180</w:t>
            </w:r>
          </w:p>
        </w:tc>
        <w:tc>
          <w:tcPr>
            <w:tcW w:w="7655" w:type="dxa"/>
            <w:vAlign w:val="center"/>
          </w:tcPr>
          <w:p w:rsidR="00595FAD" w:rsidRPr="00AA1421" w:rsidRDefault="00595FAD" w:rsidP="00FF15C6">
            <w:pPr>
              <w:keepNext/>
              <w:spacing w:before="60"/>
              <w:rPr>
                <w:rStyle w:val="InstructionsTabelleberschrift"/>
                <w:rFonts w:ascii="Times New Roman" w:hAnsi="Times New Roman"/>
                <w:b w:val="0"/>
                <w:sz w:val="24"/>
              </w:rPr>
            </w:pPr>
            <w:r w:rsidRPr="00AA1421">
              <w:rPr>
                <w:rStyle w:val="InstructionsTabelleberschrift"/>
                <w:rFonts w:ascii="Times New Roman" w:hAnsi="Times New Roman"/>
                <w:sz w:val="24"/>
              </w:rPr>
              <w:t>Początkowy depozyt zabezpieczający</w:t>
            </w:r>
          </w:p>
          <w:p w:rsidR="00595FAD" w:rsidRPr="00AA1421" w:rsidRDefault="00595FAD" w:rsidP="00FF15C6">
            <w:pPr>
              <w:keepNext/>
              <w:spacing w:before="60"/>
              <w:rPr>
                <w:rFonts w:ascii="Times New Roman" w:hAnsi="Times New Roman"/>
                <w:sz w:val="24"/>
              </w:rPr>
            </w:pPr>
            <w:r w:rsidRPr="00AA1421">
              <w:rPr>
                <w:rFonts w:ascii="Times New Roman" w:hAnsi="Times New Roman"/>
                <w:sz w:val="24"/>
              </w:rPr>
              <w:t>Zob. instrukcje dla wzoru C 34.08.</w:t>
            </w:r>
          </w:p>
          <w:p w:rsidR="00595FAD" w:rsidRPr="00AA1421" w:rsidRDefault="00595FAD" w:rsidP="00C76804">
            <w:pPr>
              <w:keepNext/>
              <w:spacing w:before="60"/>
              <w:rPr>
                <w:rFonts w:ascii="Times New Roman" w:hAnsi="Times New Roman"/>
                <w:i/>
                <w:sz w:val="24"/>
              </w:rPr>
            </w:pPr>
            <w:r w:rsidRPr="00AA1421">
              <w:rPr>
                <w:rFonts w:ascii="Times New Roman" w:hAnsi="Times New Roman"/>
                <w:sz w:val="24"/>
              </w:rPr>
              <w:t>Do celów tego wzoru początkowy depozyt zabezpieczający nie obejmuje wkładów na rzecz CCP wnoszonych na potrzeby uzgodnień dotyczących wzajemnego podziału strat (tj. w przypadkach, gdy CCP wykorzystuje począt</w:t>
            </w:r>
            <w:r w:rsidRPr="00AA1421">
              <w:rPr>
                <w:rFonts w:ascii="Times New Roman" w:hAnsi="Times New Roman"/>
                <w:sz w:val="24"/>
              </w:rPr>
              <w:lastRenderedPageBreak/>
              <w:t xml:space="preserve">kowy depozyt zabezpieczający do wzajemnego podziału strat między uczestnikami rozliczającym, taki wkład traktuje się jako ekspozycję wobec funduszu na wypadek niewykonania zobowiązania). </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lastRenderedPageBreak/>
              <w:t>0090, 0190</w:t>
            </w:r>
          </w:p>
        </w:tc>
        <w:tc>
          <w:tcPr>
            <w:tcW w:w="7655" w:type="dxa"/>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Wniesione z góry wkłady do funduszu na wypadek niewykonania zobowiązania</w:t>
            </w:r>
          </w:p>
          <w:p w:rsidR="00595FAD" w:rsidRPr="00AA1421" w:rsidRDefault="00C85EAB" w:rsidP="006418A0">
            <w:pPr>
              <w:keepNext/>
              <w:spacing w:before="60"/>
              <w:rPr>
                <w:rFonts w:ascii="Times New Roman" w:hAnsi="Times New Roman"/>
                <w:sz w:val="24"/>
              </w:rPr>
            </w:pPr>
            <w:r w:rsidRPr="00AA1421">
              <w:rPr>
                <w:rFonts w:ascii="Times New Roman" w:hAnsi="Times New Roman"/>
                <w:sz w:val="24"/>
              </w:rPr>
              <w:t xml:space="preserve">Art. 308 i 309 CRR; fundusz na wypadek niewykonania zobowiązania zdefiniowany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9 CRR; wkład do funduszu CCP na wypadek niewykonania zobowiązania wnoszony przez instytucję.</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0100, 0200</w:t>
            </w:r>
          </w:p>
        </w:tc>
        <w:tc>
          <w:tcPr>
            <w:tcW w:w="7655" w:type="dxa"/>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Niewniesione wkłady do funduszu na wypadek niewykonania zobowiązania</w:t>
            </w:r>
          </w:p>
          <w:p w:rsidR="00595FAD" w:rsidRPr="00AA1421" w:rsidRDefault="00C85EAB" w:rsidP="00FF15C6">
            <w:pPr>
              <w:keepNext/>
              <w:spacing w:before="60"/>
              <w:rPr>
                <w:rStyle w:val="InstructionsTabelleberschrift"/>
                <w:rFonts w:ascii="Times New Roman" w:hAnsi="Times New Roman"/>
                <w:b w:val="0"/>
                <w:bCs w:val="0"/>
                <w:sz w:val="24"/>
              </w:rPr>
            </w:pPr>
            <w:r w:rsidRPr="00AA1421">
              <w:rPr>
                <w:rFonts w:ascii="Times New Roman" w:hAnsi="Times New Roman"/>
                <w:sz w:val="24"/>
              </w:rPr>
              <w:t xml:space="preserve">Art. 309 i 310 CRR; fundusz na wypadek niewykonania zobowiązania zdefiniowany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9 CRR.</w:t>
            </w:r>
          </w:p>
          <w:p w:rsidR="00595FAD" w:rsidRPr="00AA1421" w:rsidRDefault="0014210E" w:rsidP="006418A0">
            <w:pPr>
              <w:keepNext/>
              <w:spacing w:before="60"/>
              <w:rPr>
                <w:rFonts w:ascii="Times New Roman" w:hAnsi="Times New Roman"/>
                <w:sz w:val="24"/>
              </w:rPr>
            </w:pPr>
            <w:r w:rsidRPr="00AA1421">
              <w:rPr>
                <w:rFonts w:ascii="Times New Roman" w:hAnsi="Times New Roman"/>
                <w:sz w:val="24"/>
              </w:rPr>
              <w:t>Instytucje zgłaszają wkłady, które instytucja pełniąca rolę uczestnika rozliczającego na mocy umowy zobowiązała się przekazać na rzecz CCP po wyczerpaniu przez CCP swojego funduszu na wypadek niewykonania zobowiązania w celu pokrycia strat, które CCP poniósł w wyniku niewykonania zobowiązania przez jednego ze swoich uczestników rozliczających lub przez większą liczbę swoich uczestników rozliczających.</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0070, 0170</w:t>
            </w:r>
          </w:p>
        </w:tc>
        <w:tc>
          <w:tcPr>
            <w:tcW w:w="7655" w:type="dxa"/>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Wyodrębnione</w:t>
            </w:r>
          </w:p>
          <w:p w:rsidR="00595FAD" w:rsidRPr="00AA1421" w:rsidRDefault="00595FAD" w:rsidP="00FF15C6">
            <w:pPr>
              <w:spacing w:before="60"/>
              <w:rPr>
                <w:rFonts w:ascii="Times New Roman" w:eastAsia="Calibri" w:hAnsi="Times New Roman"/>
                <w:sz w:val="24"/>
              </w:rPr>
            </w:pPr>
            <w:r w:rsidRPr="00AA1421">
              <w:rPr>
                <w:rFonts w:ascii="Times New Roman" w:hAnsi="Times New Roman"/>
                <w:sz w:val="24"/>
              </w:rPr>
              <w:t>Zob. instrukcje dla wzoru C 34.08.</w:t>
            </w:r>
          </w:p>
        </w:tc>
      </w:tr>
      <w:tr w:rsidR="00595FAD" w:rsidRPr="00AA1421" w:rsidTr="00FF15C6">
        <w:trPr>
          <w:trHeight w:val="680"/>
        </w:trPr>
        <w:tc>
          <w:tcPr>
            <w:tcW w:w="1384" w:type="dxa"/>
          </w:tcPr>
          <w:p w:rsidR="00595FAD" w:rsidRPr="00AA1421" w:rsidRDefault="00595FAD" w:rsidP="00FF15C6">
            <w:pPr>
              <w:pStyle w:val="Applicationdirecte"/>
              <w:spacing w:before="0" w:after="0"/>
            </w:pPr>
            <w:r w:rsidRPr="00AA1421">
              <w:t>0080,0180</w:t>
            </w:r>
          </w:p>
        </w:tc>
        <w:tc>
          <w:tcPr>
            <w:tcW w:w="7655" w:type="dxa"/>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Niewyodrębnione</w:t>
            </w:r>
          </w:p>
          <w:p w:rsidR="00595FAD" w:rsidRPr="00AA1421" w:rsidRDefault="00595FAD" w:rsidP="00FF15C6">
            <w:pPr>
              <w:spacing w:before="60"/>
              <w:rPr>
                <w:rFonts w:ascii="Times New Roman" w:eastAsia="Calibri" w:hAnsi="Times New Roman"/>
                <w:sz w:val="24"/>
              </w:rPr>
            </w:pPr>
            <w:r w:rsidRPr="00AA1421">
              <w:rPr>
                <w:rFonts w:ascii="Times New Roman" w:hAnsi="Times New Roman"/>
                <w:sz w:val="24"/>
              </w:rPr>
              <w:t>Zob. instrukcje dla wzoru C 34.08.</w:t>
            </w:r>
          </w:p>
        </w:tc>
      </w:tr>
    </w:tbl>
    <w:p w:rsidR="00595FAD" w:rsidRPr="00AA1421"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403705"/>
      <w:r w:rsidRPr="00AA1421">
        <w:rPr>
          <w:rFonts w:ascii="Times New Roman" w:hAnsi="Times New Roman"/>
          <w:sz w:val="24"/>
        </w:rPr>
        <w:t>C 34.11 – Rachunki przepływów kwot ekspozycji ważonych ryzykiem (RWEA) dla ekspozycji na ryzyko kredytowe kontrahenta obliczonych zgodnie z IMM</w:t>
      </w:r>
      <w:bookmarkEnd w:id="504"/>
      <w:bookmarkEnd w:id="505"/>
    </w:p>
    <w:p w:rsidR="00595FAD" w:rsidRPr="00AA1421"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403706"/>
      <w:r w:rsidRPr="00AA1421">
        <w:rPr>
          <w:rFonts w:ascii="Times New Roman" w:hAnsi="Times New Roman"/>
          <w:sz w:val="24"/>
        </w:rPr>
        <w:t>Uwagi ogólne</w:t>
      </w:r>
      <w:bookmarkEnd w:id="506"/>
      <w:bookmarkEnd w:id="507"/>
    </w:p>
    <w:p w:rsidR="00595FAD" w:rsidRPr="00AA1421" w:rsidRDefault="00AA1421" w:rsidP="00487A02">
      <w:pPr>
        <w:pStyle w:val="InstructionsText2"/>
        <w:numPr>
          <w:ilvl w:val="0"/>
          <w:numId w:val="0"/>
        </w:numPr>
        <w:ind w:left="1353" w:hanging="360"/>
      </w:pPr>
      <w:fldSimple w:instr=" seq paragraphs ">
        <w:r w:rsidR="00D11E4C" w:rsidRPr="00AA1421">
          <w:rPr>
            <w:noProof/>
          </w:rPr>
          <w:t>133</w:t>
        </w:r>
      </w:fldSimple>
      <w:r w:rsidR="00D11E4C" w:rsidRPr="00AA1421">
        <w:t>. Instytucje stosujące IMM do obliczania kwot ekspozycji ważonych ryzykiem dla wszystkich swoich ekspozycji na ryzyko kredytowe kontrahenta lub dla części tych ekspozycji zgodnie z częścią trzecią tytuł II rozdział 6 CRR, niezależnie od podejścia do ryzyka kredytowego zastosowanego w celu ustalenia odpowiednich wag ryzyka, zgłaszają ten wzór wraz z rachunkiem przepływów wyjaśniającym zmiany wysokości kwot ekspozycji ważonych ryzykiem dla instrumentów pochodnych i transakcji finansowanych z użyciem papierów wartościowych wchodzących w zakres IMM zróżnicowanych na podstawie kluczowych czynników w oparciu o wiarygodne szacunki.</w:t>
      </w:r>
    </w:p>
    <w:p w:rsidR="00595FAD" w:rsidRPr="00AA1421" w:rsidRDefault="00AA1421" w:rsidP="00487A02">
      <w:pPr>
        <w:pStyle w:val="InstructionsText2"/>
        <w:numPr>
          <w:ilvl w:val="0"/>
          <w:numId w:val="0"/>
        </w:numPr>
        <w:ind w:left="1353" w:hanging="360"/>
      </w:pPr>
      <w:fldSimple w:instr=" seq paragraphs ">
        <w:r w:rsidR="00D11E4C" w:rsidRPr="00AA1421">
          <w:rPr>
            <w:noProof/>
          </w:rPr>
          <w:t>134</w:t>
        </w:r>
      </w:fldSimple>
      <w:r w:rsidR="00D11E4C" w:rsidRPr="00AA1421">
        <w:t xml:space="preserve">. Instytucje zgłaszające ten wzór z częstotliwością kwartalną wypełniają wyłącznie kolumnę 0010. Instytucje zgłaszające ten wzór z częstotliwością roczną wypełniają wyłącznie kolumnę 0020. </w:t>
      </w:r>
    </w:p>
    <w:p w:rsidR="00595FAD" w:rsidRPr="00AA1421" w:rsidRDefault="00AA1421" w:rsidP="00487A02">
      <w:pPr>
        <w:pStyle w:val="InstructionsText2"/>
        <w:numPr>
          <w:ilvl w:val="0"/>
          <w:numId w:val="0"/>
        </w:numPr>
        <w:ind w:left="1353" w:hanging="360"/>
      </w:pPr>
      <w:fldSimple w:instr=" seq paragraphs ">
        <w:r w:rsidR="00D11E4C" w:rsidRPr="00AA1421">
          <w:rPr>
            <w:noProof/>
          </w:rPr>
          <w:t>135</w:t>
        </w:r>
      </w:fldSimple>
      <w:r w:rsidR="00D11E4C" w:rsidRPr="00AA1421">
        <w:t>. We wzorze tym nie uwzględnia się kwot ekspozycji ważonych ryzykiem dla ekspozycji wobec kontrahenta centralnego (część trzecia tytuł II rozdział 6 sekcja 9 CRR).</w:t>
      </w:r>
    </w:p>
    <w:p w:rsidR="00595FAD" w:rsidRPr="00AA1421"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403707"/>
      <w:r w:rsidRPr="00AA1421">
        <w:rPr>
          <w:rFonts w:ascii="Times New Roman" w:hAnsi="Times New Roman"/>
          <w:sz w:val="24"/>
        </w:rPr>
        <w:t>Instrukcje dotyczące poszczególnych pozycji</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rPr>
                <w:rFonts w:ascii="Times New Roman" w:hAnsi="Times New Roman"/>
                <w:b/>
                <w:sz w:val="24"/>
              </w:rPr>
            </w:pPr>
            <w:r w:rsidRPr="00AA1421">
              <w:rPr>
                <w:rFonts w:ascii="Times New Roman" w:hAnsi="Times New Roman"/>
                <w:b/>
                <w:sz w:val="24"/>
              </w:rPr>
              <w:t>Kolumny</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AA1421" w:rsidRDefault="00595FAD" w:rsidP="00FF15C6">
            <w:pPr>
              <w:pStyle w:val="Applicationdirecte"/>
              <w:spacing w:before="0" w:after="0"/>
            </w:pPr>
            <w:r w:rsidRPr="00AA1421">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KWOTY EKSPOZYCJI WAŻONEJ RYZYKIEM</w:t>
            </w:r>
          </w:p>
          <w:p w:rsidR="00595FAD" w:rsidRPr="00AA1421" w:rsidRDefault="00595FAD" w:rsidP="00FF15C6">
            <w:pPr>
              <w:rPr>
                <w:rFonts w:ascii="Times New Roman" w:hAnsi="Times New Roman"/>
                <w:sz w:val="24"/>
              </w:rPr>
            </w:pPr>
            <w:r w:rsidRPr="00AA1421">
              <w:rPr>
                <w:rFonts w:ascii="Times New Roman" w:hAnsi="Times New Roman"/>
                <w:sz w:val="24"/>
              </w:rPr>
              <w:t xml:space="preserve">Kwoty ekspozycji ważonych ryzykiem,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4, dla pozycji, w przypadku których wagi ryzyka szacuje się na podstawie wymogów określonych w części trzeciej tytuł II rozdziały 2 i 3 CRR i w odniesieniu do których instytucji udzielono zgodę na obliczanie wartości ekspozycji przy zastosowaniu IMM zgodnie z częścią trzecią tytuł II rozdział 6 sekcja 6 CRR.</w:t>
            </w:r>
          </w:p>
          <w:p w:rsidR="00595FAD" w:rsidRPr="00AA1421" w:rsidRDefault="00595FAD" w:rsidP="003F19BA">
            <w:pPr>
              <w:spacing w:before="60"/>
              <w:rPr>
                <w:rFonts w:ascii="Times New Roman" w:hAnsi="Times New Roman"/>
                <w:i/>
                <w:sz w:val="24"/>
              </w:rPr>
            </w:pPr>
            <w:r w:rsidRPr="00AA1421">
              <w:rPr>
                <w:rFonts w:ascii="Times New Roman" w:hAnsi="Times New Roman"/>
                <w:sz w:val="24"/>
              </w:rPr>
              <w:t xml:space="preserve">Bierze się pod uwagę współczynniki wsparcia MŚP oraz infrastruktury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01 i 501a CRR.</w:t>
            </w:r>
          </w:p>
        </w:tc>
      </w:tr>
    </w:tbl>
    <w:p w:rsidR="00595FAD" w:rsidRPr="00AA1421"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AA1421"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AA1421" w:rsidRDefault="00595FAD" w:rsidP="00FF15C6">
            <w:pPr>
              <w:rPr>
                <w:rFonts w:ascii="Times New Roman" w:hAnsi="Times New Roman"/>
                <w:b/>
                <w:sz w:val="24"/>
              </w:rPr>
            </w:pPr>
            <w:r w:rsidRPr="00AA1421">
              <w:rPr>
                <w:rFonts w:ascii="Times New Roman" w:hAnsi="Times New Roman"/>
                <w:b/>
                <w:sz w:val="24"/>
              </w:rPr>
              <w:t>Wiersze</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Kwoty ekspozycji ważonych ryzykiem na koniec poprzedniego okresu sprawozdawczego</w:t>
            </w:r>
          </w:p>
          <w:p w:rsidR="00595FAD" w:rsidRPr="00AA1421" w:rsidRDefault="00595FAD" w:rsidP="00FF15C6">
            <w:pPr>
              <w:spacing w:before="60"/>
              <w:rPr>
                <w:rFonts w:ascii="Times New Roman" w:hAnsi="Times New Roman"/>
                <w:sz w:val="24"/>
              </w:rPr>
            </w:pPr>
            <w:r w:rsidRPr="00AA1421">
              <w:rPr>
                <w:rFonts w:ascii="Times New Roman" w:hAnsi="Times New Roman"/>
                <w:sz w:val="24"/>
              </w:rPr>
              <w:t>Kwoty ekspozycji ważonych ryzykiem dla ekspozycji na ryzyko kredytowe kontrahenta obliczanych zgodnie z IMM na koniec poprzedniego okresu sprawozdawczego</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Wielkość aktywów</w:t>
            </w:r>
          </w:p>
          <w:p w:rsidR="00595FAD" w:rsidRPr="00AA1421" w:rsidRDefault="00595FAD" w:rsidP="00181AC7">
            <w:pPr>
              <w:spacing w:before="60"/>
              <w:rPr>
                <w:rFonts w:ascii="Times New Roman" w:hAnsi="Times New Roman"/>
                <w:sz w:val="24"/>
              </w:rPr>
            </w:pPr>
            <w:r w:rsidRPr="00AA1421">
              <w:rPr>
                <w:rFonts w:ascii="Times New Roman" w:hAnsi="Times New Roman"/>
                <w:sz w:val="24"/>
              </w:rPr>
              <w:t>Zmiany (dodatnie lub ujemne) wysokości kwoty ekspozycji ważonej ryzykiem spowodowane zmianami wielkości i składu portfela wynikającymi z normalnej działalności gospodarczej (m.in. wskutek powstawania nowych przedsiębiorstw i upływu terminów zapadalności ekspozycji), z wyłączeniem zmian wielkości portfela wynikających z nabywania i zbywania podmiotów</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Jakość kredytowa kontrahentów </w:t>
            </w:r>
          </w:p>
          <w:p w:rsidR="00595FAD" w:rsidRPr="00AA1421" w:rsidRDefault="00595FAD" w:rsidP="00FF15C6">
            <w:pPr>
              <w:spacing w:before="60"/>
              <w:rPr>
                <w:rFonts w:ascii="Times New Roman" w:hAnsi="Times New Roman"/>
                <w:sz w:val="24"/>
              </w:rPr>
            </w:pPr>
            <w:r w:rsidRPr="00AA1421">
              <w:rPr>
                <w:rFonts w:ascii="Times New Roman" w:hAnsi="Times New Roman"/>
                <w:sz w:val="24"/>
              </w:rPr>
              <w:t>Zmiany (dodatnie lub ujemne) wysokości kwoty ekspozycji ważonej ryzykiem spowodowane zmianami wynikającej z oceny jakości kredytowej kontrahentów instytucji mierzonej zgodnie z ramami ryzyka kredytowego, niezależnie od podejścia stosowanego przez instytucję. W tym wierszu zamieszcza się również informacje o potencjalnych zmianach kwoty ekspozycji ważonej ryzykiem wynikających ze stosowania modeli IRB, jeżeli instytucja stosuje metodę IRB.</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Aktualizacje modeli (wyłącznie metoda modeli wewnętrznych)</w:t>
            </w:r>
          </w:p>
          <w:p w:rsidR="0014210E" w:rsidRPr="00AA1421" w:rsidRDefault="00595FAD" w:rsidP="00FF15C6">
            <w:pPr>
              <w:spacing w:before="60"/>
              <w:rPr>
                <w:rFonts w:ascii="Times New Roman" w:hAnsi="Times New Roman"/>
                <w:sz w:val="24"/>
              </w:rPr>
            </w:pPr>
            <w:r w:rsidRPr="00AA1421">
              <w:rPr>
                <w:rFonts w:ascii="Times New Roman" w:hAnsi="Times New Roman"/>
                <w:sz w:val="24"/>
              </w:rPr>
              <w:lastRenderedPageBreak/>
              <w:t>Zmiany (dodatnie lub ujemne) wysokości kwoty ekspozycji ważonej ryzykiem spowodowane wdrożeniem modelu, zmianami w zakresie modelu lub wszelkimi zmianami służącymi wyeliminowaniu słabych punktów modelu.</w:t>
            </w:r>
          </w:p>
          <w:p w:rsidR="00595FAD" w:rsidRPr="00AA1421" w:rsidRDefault="00595FAD" w:rsidP="00FF15C6">
            <w:pPr>
              <w:spacing w:before="60"/>
              <w:rPr>
                <w:rFonts w:ascii="Times New Roman" w:hAnsi="Times New Roman"/>
                <w:sz w:val="24"/>
              </w:rPr>
            </w:pPr>
            <w:r w:rsidRPr="00AA1421">
              <w:rPr>
                <w:rFonts w:ascii="Times New Roman" w:hAnsi="Times New Roman"/>
                <w:sz w:val="24"/>
              </w:rPr>
              <w:t>Ten wiersz odnosi się wyłącznie do zmian modelu IMM.</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Metodyka i polityka (wyłącznie metoda modeli wewnętrznych)</w:t>
            </w:r>
          </w:p>
          <w:p w:rsidR="00595FAD" w:rsidRPr="00AA1421" w:rsidRDefault="00595FAD" w:rsidP="00FF15C6">
            <w:pPr>
              <w:spacing w:before="60"/>
              <w:rPr>
                <w:rFonts w:ascii="Times New Roman" w:hAnsi="Times New Roman"/>
                <w:sz w:val="24"/>
              </w:rPr>
            </w:pPr>
            <w:r w:rsidRPr="00AA1421">
              <w:rPr>
                <w:rFonts w:ascii="Times New Roman" w:hAnsi="Times New Roman"/>
                <w:sz w:val="24"/>
              </w:rPr>
              <w:t>Zmiany (dodatnie lub ujemne) wysokości kwoty ekspozycji ważonej ryzykiem spowodowane zmianami metody dokonywania obliczeń w wyniku zmian polityki regulacyjnej, np. wskutek przyjęcia nowych przepisów (wyłącznie w odniesieniu do modelu IMM).</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Nabycia i zbycia</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Zmiany (dodatnie lub ujemne) wysokości kwoty ekspozycji ważonej ryzykiem spowodowane organicznymi zmianami wielkości portfela spowodowanymi </w:t>
            </w:r>
            <w:proofErr w:type="spellStart"/>
            <w:r w:rsidRPr="00AA1421">
              <w:rPr>
                <w:rFonts w:ascii="Times New Roman" w:hAnsi="Times New Roman"/>
                <w:sz w:val="24"/>
              </w:rPr>
              <w:t>nabyciami</w:t>
            </w:r>
            <w:proofErr w:type="spellEnd"/>
            <w:r w:rsidRPr="00AA1421">
              <w:rPr>
                <w:rFonts w:ascii="Times New Roman" w:hAnsi="Times New Roman"/>
                <w:sz w:val="24"/>
              </w:rPr>
              <w:t xml:space="preserve"> i </w:t>
            </w:r>
            <w:proofErr w:type="spellStart"/>
            <w:r w:rsidRPr="00AA1421">
              <w:rPr>
                <w:rFonts w:ascii="Times New Roman" w:hAnsi="Times New Roman"/>
                <w:sz w:val="24"/>
              </w:rPr>
              <w:t>zbyciami</w:t>
            </w:r>
            <w:proofErr w:type="spellEnd"/>
            <w:r w:rsidRPr="00AA1421">
              <w:rPr>
                <w:rFonts w:ascii="Times New Roman" w:hAnsi="Times New Roman"/>
                <w:sz w:val="24"/>
              </w:rPr>
              <w:t xml:space="preserve"> podmiotów.</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Wahania kursów wymiany walut</w:t>
            </w:r>
          </w:p>
          <w:p w:rsidR="00595FAD" w:rsidRPr="00AA1421" w:rsidRDefault="00595FAD" w:rsidP="00FF15C6">
            <w:pPr>
              <w:spacing w:before="60"/>
              <w:rPr>
                <w:rFonts w:ascii="Times New Roman" w:hAnsi="Times New Roman"/>
                <w:sz w:val="24"/>
              </w:rPr>
            </w:pPr>
            <w:r w:rsidRPr="00AA1421">
              <w:rPr>
                <w:rFonts w:ascii="Times New Roman" w:hAnsi="Times New Roman"/>
                <w:sz w:val="24"/>
              </w:rPr>
              <w:t xml:space="preserve">Zmiany (dodatnie lub ujemne) wysokości kwoty ekspozycji ważonej ryzykiem spowodowane zmianami wynikającymi z wahań związanych z przeliczaniem waluty obcej. </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Inne</w:t>
            </w:r>
          </w:p>
          <w:p w:rsidR="00595FAD" w:rsidRPr="00AA1421" w:rsidRDefault="00595FAD" w:rsidP="00C26C3A">
            <w:pPr>
              <w:spacing w:before="60"/>
              <w:rPr>
                <w:rFonts w:ascii="Times New Roman" w:hAnsi="Times New Roman"/>
                <w:sz w:val="24"/>
              </w:rPr>
            </w:pPr>
            <w:r w:rsidRPr="00AA1421">
              <w:rPr>
                <w:rFonts w:ascii="Times New Roman" w:hAnsi="Times New Roman"/>
                <w:sz w:val="24"/>
              </w:rPr>
              <w:t xml:space="preserve">Tę kategorię wykorzystuje się do ujmowania zmian (dodatnich lub ujemnych) wysokości kwoty ekspozycji ważonej ryzykiem, których nie można przypisać do żadnej z powyższych kategorii. </w:t>
            </w:r>
          </w:p>
        </w:tc>
      </w:tr>
      <w:tr w:rsidR="00595FAD" w:rsidRPr="00AA1421"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AA1421" w:rsidRDefault="00595FAD" w:rsidP="00FF15C6">
            <w:pPr>
              <w:pStyle w:val="Applicationdirecte"/>
              <w:spacing w:before="0" w:after="0"/>
            </w:pPr>
            <w:r w:rsidRPr="00AA1421">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AA1421" w:rsidRDefault="00595FAD" w:rsidP="00FF15C6">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Kwoty ekspozycji ważonych ryzykiem na koniec bieżącego okresu sprawozdawczego</w:t>
            </w:r>
          </w:p>
          <w:p w:rsidR="00595FAD" w:rsidRPr="00AA1421" w:rsidRDefault="00595FAD" w:rsidP="00FF15C6">
            <w:pPr>
              <w:spacing w:before="60"/>
              <w:rPr>
                <w:rFonts w:ascii="Times New Roman" w:hAnsi="Times New Roman"/>
                <w:i/>
                <w:sz w:val="24"/>
              </w:rPr>
            </w:pPr>
            <w:r w:rsidRPr="00AA1421">
              <w:rPr>
                <w:rFonts w:ascii="Times New Roman" w:hAnsi="Times New Roman"/>
                <w:sz w:val="24"/>
              </w:rPr>
              <w:t>Kwoty ekspozycji ważonych ryzykiem dla ekspozycji na ryzyko kredytowe kontrahenta obliczanych zgodnie z IMM na koniec bieżącego okresu sprawozdawczego.</w:t>
            </w:r>
          </w:p>
        </w:tc>
      </w:tr>
    </w:tbl>
    <w:p w:rsidR="00FC6275" w:rsidRPr="00AA1421" w:rsidRDefault="00FC6275">
      <w:pPr>
        <w:spacing w:before="0" w:after="0"/>
        <w:jc w:val="left"/>
        <w:rPr>
          <w:rStyle w:val="InstructionsTabelleText"/>
          <w:rFonts w:ascii="Times New Roman" w:hAnsi="Times New Roman"/>
          <w:b/>
          <w:sz w:val="24"/>
        </w:rPr>
      </w:pPr>
    </w:p>
    <w:p w:rsidR="00AC6255" w:rsidRPr="00AA1421"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403708"/>
      <w:bookmarkStart w:id="517" w:name="_Toc260157223"/>
      <w:bookmarkStart w:id="518" w:name="_Toc262566417"/>
      <w:bookmarkStart w:id="519" w:name="_Toc264038462"/>
      <w:bookmarkStart w:id="520" w:name="_Toc295829988"/>
      <w:bookmarkStart w:id="521" w:name="_Toc310415050"/>
      <w:r w:rsidRPr="00AA1421">
        <w:rPr>
          <w:rFonts w:ascii="Times New Roman" w:hAnsi="Times New Roman"/>
          <w:sz w:val="24"/>
        </w:rPr>
        <w:t>4.</w:t>
      </w:r>
      <w:r w:rsidRPr="00AA1421">
        <w:tab/>
      </w:r>
      <w:r w:rsidRPr="00AA1421">
        <w:rPr>
          <w:rFonts w:ascii="Times New Roman" w:hAnsi="Times New Roman"/>
          <w:sz w:val="24"/>
        </w:rPr>
        <w:t>Wzory dotyczące ryzyka operacyjnego</w:t>
      </w:r>
      <w:bookmarkEnd w:id="510"/>
      <w:bookmarkEnd w:id="511"/>
      <w:bookmarkEnd w:id="512"/>
      <w:bookmarkEnd w:id="513"/>
      <w:bookmarkEnd w:id="514"/>
      <w:bookmarkEnd w:id="515"/>
      <w:bookmarkEnd w:id="516"/>
    </w:p>
    <w:p w:rsidR="00AC6255" w:rsidRPr="00AA1421"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403709"/>
      <w:r w:rsidRPr="00AA1421">
        <w:rPr>
          <w:rFonts w:ascii="Times New Roman" w:hAnsi="Times New Roman"/>
          <w:sz w:val="24"/>
        </w:rPr>
        <w:t>4,1</w:t>
      </w:r>
      <w:r w:rsidRPr="00AA1421">
        <w:tab/>
      </w:r>
      <w:r w:rsidRPr="00AA1421">
        <w:tab/>
      </w:r>
      <w:bookmarkStart w:id="524" w:name="_Toc360188385"/>
      <w:r w:rsidRPr="00AA1421">
        <w:rPr>
          <w:rFonts w:ascii="Times New Roman" w:hAnsi="Times New Roman"/>
          <w:sz w:val="24"/>
        </w:rPr>
        <w:t>C 16.00 – Ryzyko operacyjne</w:t>
      </w:r>
      <w:bookmarkEnd w:id="517"/>
      <w:bookmarkEnd w:id="518"/>
      <w:bookmarkEnd w:id="519"/>
      <w:bookmarkEnd w:id="520"/>
      <w:bookmarkEnd w:id="521"/>
      <w:bookmarkEnd w:id="524"/>
      <w:r w:rsidRPr="00AA1421">
        <w:rPr>
          <w:rFonts w:ascii="Times New Roman" w:hAnsi="Times New Roman"/>
          <w:sz w:val="24"/>
        </w:rPr>
        <w:t xml:space="preserve"> (OPR)</w:t>
      </w:r>
      <w:bookmarkEnd w:id="522"/>
      <w:bookmarkEnd w:id="523"/>
    </w:p>
    <w:p w:rsidR="00AC6255" w:rsidRPr="00AA1421"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403710"/>
      <w:r w:rsidRPr="00AA1421">
        <w:rPr>
          <w:rFonts w:ascii="Times New Roman" w:hAnsi="Times New Roman"/>
          <w:sz w:val="24"/>
          <w:u w:val="none"/>
        </w:rPr>
        <w:t>4.1.1</w:t>
      </w:r>
      <w:r w:rsidR="00D712CF" w:rsidRPr="00AA1421">
        <w:rPr>
          <w:u w:val="none"/>
        </w:rPr>
        <w:tab/>
      </w:r>
      <w:bookmarkStart w:id="532" w:name="_Toc260157224"/>
      <w:r w:rsidRPr="00AA1421">
        <w:rPr>
          <w:rFonts w:ascii="Times New Roman" w:hAnsi="Times New Roman"/>
          <w:sz w:val="24"/>
          <w:u w:val="none"/>
        </w:rPr>
        <w:t>Uwagi</w:t>
      </w:r>
      <w:bookmarkEnd w:id="532"/>
      <w:r w:rsidRPr="00AA1421">
        <w:rPr>
          <w:rFonts w:ascii="Times New Roman" w:hAnsi="Times New Roman"/>
          <w:sz w:val="24"/>
          <w:u w:val="none"/>
        </w:rPr>
        <w:t xml:space="preserve"> ogólne</w:t>
      </w:r>
      <w:bookmarkEnd w:id="525"/>
      <w:bookmarkEnd w:id="526"/>
      <w:bookmarkEnd w:id="527"/>
      <w:bookmarkEnd w:id="528"/>
      <w:bookmarkEnd w:id="529"/>
      <w:bookmarkEnd w:id="530"/>
      <w:bookmarkEnd w:id="531"/>
      <w:r w:rsidRPr="00AA1421">
        <w:rPr>
          <w:rFonts w:ascii="Times New Roman" w:hAnsi="Times New Roman"/>
          <w:sz w:val="24"/>
          <w:u w:val="none"/>
        </w:rPr>
        <w:t xml:space="preserve"> </w:t>
      </w:r>
    </w:p>
    <w:p w:rsidR="00AC6255" w:rsidRPr="00AA1421" w:rsidRDefault="00AA1421" w:rsidP="00487A02">
      <w:pPr>
        <w:pStyle w:val="InstructionsText2"/>
        <w:numPr>
          <w:ilvl w:val="0"/>
          <w:numId w:val="0"/>
        </w:numPr>
        <w:ind w:left="1353" w:hanging="360"/>
      </w:pPr>
      <w:fldSimple w:instr=" seq paragraphs ">
        <w:r w:rsidR="00D11E4C" w:rsidRPr="00AA1421">
          <w:rPr>
            <w:noProof/>
          </w:rPr>
          <w:t>136</w:t>
        </w:r>
      </w:fldSimple>
      <w:r w:rsidR="00D11E4C" w:rsidRPr="00AA1421">
        <w:t>.</w:t>
      </w:r>
      <w:r w:rsidR="00D11E4C" w:rsidRPr="00AA1421">
        <w:tab/>
        <w:t xml:space="preserve"> Niniejszy wzór zawiera informacje na temat obliczania wymogów w zakresie funduszy własnych zgodnie z </w:t>
      </w:r>
      <w:r w:rsidR="00D11E4C" w:rsidRPr="00084F66">
        <w:t>art.</w:t>
      </w:r>
      <w:r w:rsidR="00084F66" w:rsidRPr="00084F66">
        <w:t> </w:t>
      </w:r>
      <w:r w:rsidR="00D11E4C" w:rsidRPr="00084F66">
        <w:t>3</w:t>
      </w:r>
      <w:r w:rsidR="00D11E4C" w:rsidRPr="00AA1421">
        <w:t>12–324 CRR z tytułu ryzyka operacyjnego według metody wskaźnika bazowego, metody standardowej, alternatywnej metody standardowej i metod zaawansowanego pomiaru. Instytucja nie może stosować metody standardowej i alternatywnej metody standardowej dla linii biznesowych „bankowość detaliczna” i „bankowość komercyjna” w tym samym czasie na poziomie jednostkowym.</w:t>
      </w:r>
    </w:p>
    <w:p w:rsidR="00AC6255" w:rsidRPr="00AA1421" w:rsidRDefault="00AA1421" w:rsidP="00487A02">
      <w:pPr>
        <w:pStyle w:val="InstructionsText2"/>
        <w:numPr>
          <w:ilvl w:val="0"/>
          <w:numId w:val="0"/>
        </w:numPr>
        <w:ind w:left="1353" w:hanging="360"/>
      </w:pPr>
      <w:fldSimple w:instr=" seq paragraphs ">
        <w:r w:rsidR="00D11E4C" w:rsidRPr="00AA1421">
          <w:rPr>
            <w:noProof/>
          </w:rPr>
          <w:t>137</w:t>
        </w:r>
      </w:fldSimple>
      <w:r w:rsidR="00D11E4C" w:rsidRPr="00AA1421">
        <w:t xml:space="preserve">. Instytucje korzystające z metody wskaźnika bazowego, metody standardowej lub alternatywnej metody standardowej obliczają swoje wymogi w zakresie funduszy własnych w oparciu o informacje przedstawione na koniec roku obrotowego. Jeżeli dane zweryfikowane przez biegłego rewidenta nie są dostępne, instytucja może wykorzystać dane szacunkowe. Jeśli wykorzystywane są dane zweryfikowane przez biegłego rewidenta, instytucje zgłaszają te dane, przy czym powinny one pozostać niezmienione. Odstępstwa od tej zasady niezmieniania danych są możliwe, na przykład jeżeli w danym okresie zaistnieją wyjątkowe okoliczności, takie jak niedawne nabycie lub zbycie podmiotów lub działalności. </w:t>
      </w:r>
    </w:p>
    <w:p w:rsidR="00AC6255" w:rsidRPr="00AA1421" w:rsidRDefault="00AA1421" w:rsidP="00487A02">
      <w:pPr>
        <w:pStyle w:val="InstructionsText2"/>
        <w:numPr>
          <w:ilvl w:val="0"/>
          <w:numId w:val="0"/>
        </w:numPr>
        <w:ind w:left="1353" w:hanging="360"/>
      </w:pPr>
      <w:fldSimple w:instr=" seq paragraphs ">
        <w:r w:rsidR="00D11E4C" w:rsidRPr="00AA1421">
          <w:rPr>
            <w:noProof/>
          </w:rPr>
          <w:t>138</w:t>
        </w:r>
      </w:fldSimple>
      <w:r w:rsidR="00D11E4C" w:rsidRPr="00AA1421">
        <w:t>.</w:t>
      </w:r>
      <w:r w:rsidR="00D11E4C" w:rsidRPr="00AA1421">
        <w:tab/>
        <w:t xml:space="preserve"> Jeżeli instytucja może udowodnić swojemu właściwemu organowi, że ze względu na wyjątkowe okoliczności, takie jako połączenie, nabycie lub zbycie podmiotów lub działalności, wykorzystanie średniej z trzech lat do obliczenia odpowiedniego wskaźnika prowadziłoby do błędnego oszacowania wymogu w zakresie funduszy własnych z tytułu ryzyka operacyjnego, właściwy organ może zezwolić instytucji na zmianę sposobu obliczania, tak aby uwzględnić takie sytuacje. Właściwy organ może z własnej inicjatywy nałożyć również na instytucję wymóg zmiany sposobu obliczenia. W przypadku gdy instytucja prowadzi działalność przez okres krótszy niż trzy lata, może do obliczania odpowiedniego wskaźnika wykorzystać prognozowane dane szacunkowe, pod warunkiem że zacznie stosować dane historyczne, gdy tylko dane te będą dostępne.</w:t>
      </w:r>
    </w:p>
    <w:p w:rsidR="00AC6255" w:rsidRPr="00AA1421" w:rsidRDefault="00AA1421" w:rsidP="00487A02">
      <w:pPr>
        <w:pStyle w:val="InstructionsText2"/>
        <w:numPr>
          <w:ilvl w:val="0"/>
          <w:numId w:val="0"/>
        </w:numPr>
        <w:ind w:left="1353" w:hanging="360"/>
      </w:pPr>
      <w:fldSimple w:instr=" seq paragraphs ">
        <w:r w:rsidR="00D11E4C" w:rsidRPr="00AA1421">
          <w:rPr>
            <w:noProof/>
          </w:rPr>
          <w:t>139</w:t>
        </w:r>
      </w:fldSimple>
      <w:r w:rsidR="00D11E4C" w:rsidRPr="00AA1421">
        <w:t>.</w:t>
      </w:r>
      <w:r w:rsidR="00D11E4C" w:rsidRPr="00AA1421">
        <w:tab/>
        <w:t xml:space="preserve"> W kolumnach tego wzoru przedstawia się informacje dotyczące wysokości odpowiedniego wskaźnika działalności bankowej objętej ryzykiem operacyjnym oraz kwoty kredytów i zaliczek (tych ostatnich tylko w przypadku stosowania alternatywnej metody standardowej) w ciągu trzech ostatnich lat. Następnie zgłasza się informację na temat kwoty wymogów w zakresie funduszy własnych z tytułu ryzyka operacyjnego. W stosownych przypadkach należy wyszczególnić, która część tej kwoty wynika z mechanizmu alokacji. Jeśli chodzi o metody zaawansowanego pomiaru, dodaje się pozycje uzupełniające, aby przedstawić szczegółowe dane dotyczące efektu oczekiwanej straty, dywersyfikacji i technik ograniczania ryzyka dla wymogu w zakresie funduszy własnych z tytułu ryzyka operacyjnego.</w:t>
      </w:r>
    </w:p>
    <w:p w:rsidR="00AC6255" w:rsidRPr="00AA1421" w:rsidRDefault="00AA1421" w:rsidP="00487A02">
      <w:pPr>
        <w:pStyle w:val="InstructionsText2"/>
        <w:numPr>
          <w:ilvl w:val="0"/>
          <w:numId w:val="0"/>
        </w:numPr>
        <w:ind w:left="1353" w:hanging="360"/>
      </w:pPr>
      <w:fldSimple w:instr=" seq paragraphs ">
        <w:r w:rsidR="00D11E4C" w:rsidRPr="00AA1421">
          <w:rPr>
            <w:noProof/>
          </w:rPr>
          <w:t>140</w:t>
        </w:r>
      </w:fldSimple>
      <w:r w:rsidR="00D11E4C" w:rsidRPr="00AA1421">
        <w:t>.</w:t>
      </w:r>
      <w:r w:rsidR="00D11E4C" w:rsidRPr="00AA1421">
        <w:tab/>
        <w:t xml:space="preserve"> W wierszach przedstawia się informacje według metody obliczania wymogu w zakresie funduszy własnych z tytułu ryzyka operacyjnego wraz z wyszczególnieniem linii biznesowych na potrzeby metody standardowej i alternatywnej metody standardowej.</w:t>
      </w:r>
    </w:p>
    <w:p w:rsidR="00AC6255" w:rsidRPr="00AA1421" w:rsidRDefault="00AA1421" w:rsidP="00487A02">
      <w:pPr>
        <w:pStyle w:val="InstructionsText2"/>
        <w:numPr>
          <w:ilvl w:val="0"/>
          <w:numId w:val="0"/>
        </w:numPr>
        <w:ind w:left="1353" w:hanging="360"/>
      </w:pPr>
      <w:fldSimple w:instr=" seq paragraphs ">
        <w:r w:rsidR="00D11E4C" w:rsidRPr="00AA1421">
          <w:rPr>
            <w:noProof/>
          </w:rPr>
          <w:t>141</w:t>
        </w:r>
      </w:fldSimple>
      <w:r w:rsidR="00D11E4C" w:rsidRPr="00AA1421">
        <w:t>.</w:t>
      </w:r>
      <w:r w:rsidR="00D11E4C" w:rsidRPr="00AA1421">
        <w:tab/>
        <w:t xml:space="preserve"> Wzór ten przedstawiają wszystkie instytucje objęte wymogiem w zakresie funduszy własnych z tytułu ryzyka operacyjnego.</w:t>
      </w:r>
    </w:p>
    <w:p w:rsidR="00AC6255" w:rsidRPr="00AA1421"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403711"/>
      <w:r w:rsidRPr="00AA1421">
        <w:rPr>
          <w:rFonts w:ascii="Times New Roman" w:hAnsi="Times New Roman"/>
          <w:sz w:val="24"/>
          <w:u w:val="none"/>
        </w:rPr>
        <w:t>4.1.2.</w:t>
      </w:r>
      <w:r w:rsidR="00D712CF" w:rsidRPr="00AA1421">
        <w:rPr>
          <w:u w:val="none"/>
        </w:rPr>
        <w:tab/>
      </w:r>
      <w:r w:rsidRPr="00AA1421">
        <w:rPr>
          <w:rFonts w:ascii="Times New Roman" w:hAnsi="Times New Roman"/>
          <w:sz w:val="24"/>
        </w:rPr>
        <w:t>Instrukcje dotyczące poszczególnych pozycji</w:t>
      </w:r>
      <w:bookmarkEnd w:id="533"/>
      <w:bookmarkEnd w:id="534"/>
      <w:bookmarkEnd w:id="535"/>
      <w:bookmarkEnd w:id="536"/>
      <w:bookmarkEnd w:id="537"/>
      <w:bookmarkEnd w:id="538"/>
      <w:bookmarkEnd w:id="539"/>
      <w:bookmarkEnd w:id="540"/>
    </w:p>
    <w:p w:rsidR="00AC6255" w:rsidRPr="00AA1421"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A1421" w:rsidTr="00672D2A">
        <w:trPr>
          <w:trHeight w:val="553"/>
        </w:trPr>
        <w:tc>
          <w:tcPr>
            <w:tcW w:w="8862" w:type="dxa"/>
            <w:gridSpan w:val="2"/>
            <w:shd w:val="clear" w:color="auto" w:fill="CCCCCC"/>
          </w:tcPr>
          <w:p w:rsidR="00AC6255" w:rsidRPr="00AA1421" w:rsidRDefault="00AC6255" w:rsidP="000B0B09">
            <w:pPr>
              <w:autoSpaceDE w:val="0"/>
              <w:autoSpaceDN w:val="0"/>
              <w:adjustRightInd w:val="0"/>
              <w:spacing w:after="0"/>
              <w:rPr>
                <w:rFonts w:ascii="Times New Roman" w:hAnsi="Times New Roman"/>
                <w:b/>
                <w:bCs/>
                <w:sz w:val="24"/>
              </w:rPr>
            </w:pPr>
            <w:r w:rsidRPr="00AA1421">
              <w:rPr>
                <w:rFonts w:ascii="Times New Roman" w:hAnsi="Times New Roman"/>
                <w:b/>
                <w:bCs/>
                <w:sz w:val="24"/>
              </w:rPr>
              <w:t>Kolumny</w:t>
            </w:r>
          </w:p>
        </w:tc>
      </w:tr>
      <w:tr w:rsidR="00AC6255" w:rsidRPr="00AA1421" w:rsidTr="00672D2A">
        <w:tc>
          <w:tcPr>
            <w:tcW w:w="985" w:type="dxa"/>
          </w:tcPr>
          <w:p w:rsidR="00AC6255" w:rsidRPr="00AA1421" w:rsidRDefault="00F20C33"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t>0010-0030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ODPOWIEDNI WSKAŹNIK</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Instytucje korzystające z odpowiedniego wskaźnika do obliczenia wymogu w zakresie funduszy własnych z tytułu ryzyka operacyjnego (według metody </w:t>
            </w:r>
            <w:r w:rsidRPr="00AA1421">
              <w:rPr>
                <w:rFonts w:ascii="Times New Roman" w:hAnsi="Times New Roman"/>
                <w:sz w:val="24"/>
              </w:rPr>
              <w:lastRenderedPageBreak/>
              <w:t xml:space="preserve">wskaźnika bazowego, metody standardowej i alternatywnej metody standardowej) zgłaszają odpowiedni wskaźnik dla poszczególnych lat w kolumnach 0010–0030. Ponadto w przypadku łącznego stosowania różnych metod,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14 CRR, instytucje zgłaszają również – w celach informacyjnych – odpowiedni wskaźnik dla działalności objętych metodami zaawansowanego pomiaru. Dotyczy to także wszystkich innych banków objętych metodami zaawansowanego pomiaru.</w:t>
            </w:r>
          </w:p>
          <w:p w:rsidR="00AC6255" w:rsidRPr="00AA1421" w:rsidRDefault="00AC6255" w:rsidP="000B0B09">
            <w:pPr>
              <w:autoSpaceDE w:val="0"/>
              <w:autoSpaceDN w:val="0"/>
              <w:adjustRightInd w:val="0"/>
              <w:spacing w:before="0" w:after="0"/>
              <w:rPr>
                <w:rFonts w:ascii="Times New Roman" w:hAnsi="Times New Roman"/>
                <w:bCs/>
                <w:strike/>
                <w:sz w:val="24"/>
                <w:lang w:eastAsia="nl-BE"/>
              </w:rPr>
            </w:pPr>
          </w:p>
          <w:p w:rsidR="00AC6255" w:rsidRPr="00AA1421" w:rsidRDefault="00AC6255" w:rsidP="000B0B09">
            <w:pPr>
              <w:autoSpaceDE w:val="0"/>
              <w:autoSpaceDN w:val="0"/>
              <w:adjustRightInd w:val="0"/>
              <w:spacing w:before="0" w:after="0"/>
              <w:rPr>
                <w:rFonts w:ascii="Times New Roman" w:hAnsi="Times New Roman"/>
                <w:bCs/>
                <w:sz w:val="24"/>
              </w:rPr>
            </w:pPr>
            <w:r w:rsidRPr="00AA1421">
              <w:rPr>
                <w:rFonts w:ascii="Times New Roman" w:hAnsi="Times New Roman"/>
                <w:sz w:val="24"/>
              </w:rPr>
              <w:t xml:space="preserve">Dalej termin „odpowiedni wskaźnik” odnosi się do „sumy elementów” na koniec roku obrotowego, o których mowa w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tabeli 1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16 CRR. </w:t>
            </w:r>
          </w:p>
          <w:p w:rsidR="00AC6255" w:rsidRPr="00AA1421" w:rsidRDefault="00AC6255" w:rsidP="000B0B09">
            <w:pPr>
              <w:autoSpaceDE w:val="0"/>
              <w:autoSpaceDN w:val="0"/>
              <w:adjustRightInd w:val="0"/>
              <w:spacing w:before="0" w:after="0"/>
              <w:rPr>
                <w:rFonts w:ascii="Times New Roman" w:hAnsi="Times New Roman"/>
                <w:sz w:val="24"/>
                <w:lang w:eastAsia="de-DE"/>
              </w:rPr>
            </w:pPr>
          </w:p>
          <w:p w:rsidR="00AC6255" w:rsidRPr="00AA1421" w:rsidRDefault="001C344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Jeśli instytucja posiada dane dotyczące „odpowiedniego wskaźnika” za okres krótszy niż 3 lata, dostępne dane historyczne (dane zweryfikowane przez biegłego rewidenta) przypisywane są według pierwszeństwa do odpowiednich kolumn we wzorze. Jeśli na przykład dostępne są dane historyczne tylko za jeden rok, dane te zgłasza się w kolumnie 0030. W stosownych przypadkach prognozowane dane szacunkowe ujmuje się następnie w kolumnie 0020 (oszacowania dla przyszłego roku) oraz w kolumnie 0010 (oszacowania dla roku +2).</w:t>
            </w:r>
          </w:p>
          <w:p w:rsidR="00AC6255" w:rsidRPr="00AA1421" w:rsidRDefault="00AC6255" w:rsidP="000B0B09">
            <w:pPr>
              <w:autoSpaceDE w:val="0"/>
              <w:autoSpaceDN w:val="0"/>
              <w:adjustRightInd w:val="0"/>
              <w:spacing w:before="0" w:after="0"/>
              <w:rPr>
                <w:rFonts w:ascii="Times New Roman" w:hAnsi="Times New Roman"/>
                <w:i/>
                <w:sz w:val="24"/>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Ponadto jeśli niedostępne są żadne dane historyczne dotyczące „odpowiedniego wskaźnika”, instytucja może wykorzystać prognozowane dane szacunkowe.</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A1421" w:rsidTr="00672D2A">
        <w:tc>
          <w:tcPr>
            <w:tcW w:w="985" w:type="dxa"/>
          </w:tcPr>
          <w:p w:rsidR="00AC6255" w:rsidRPr="00AA1421" w:rsidRDefault="00F20C33"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0040-0060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KREDYTY I ZALICZKI (W PRZYPADKU STOSOWANIA ALTERNATYWNEJ METODY STANDARDOWEJ)</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Kolumny te wykorzystuje się do zgłaszania kwot kredytów i zaliczek,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dla linii biznesowych „bankowość detaliczna” i „bankowość komercyjna”. Kwoty te są wykorzystywane do obliczenia alternatywnego odpowiedniego wskaźnika, który prowadzi do obliczenia wymogów w zakresie funduszy własnych odpowiadających działalności objętej alternatywną metodą standardową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 </w:t>
            </w:r>
          </w:p>
          <w:p w:rsidR="00AC6255" w:rsidRPr="00AA1421" w:rsidRDefault="00AC6255" w:rsidP="000B0B09">
            <w:pPr>
              <w:autoSpaceDE w:val="0"/>
              <w:autoSpaceDN w:val="0"/>
              <w:adjustRightInd w:val="0"/>
              <w:spacing w:before="0" w:after="0"/>
              <w:rPr>
                <w:rFonts w:ascii="Times New Roman" w:hAnsi="Times New Roman"/>
                <w:sz w:val="24"/>
              </w:rPr>
            </w:pPr>
          </w:p>
          <w:p w:rsidR="00AC6255" w:rsidRPr="00AA1421" w:rsidRDefault="00AC6255" w:rsidP="000B0B09">
            <w:pPr>
              <w:autoSpaceDE w:val="0"/>
              <w:autoSpaceDN w:val="0"/>
              <w:adjustRightInd w:val="0"/>
              <w:spacing w:before="0" w:after="0"/>
              <w:rPr>
                <w:rFonts w:ascii="Times New Roman" w:hAnsi="Times New Roman"/>
                <w:bCs/>
                <w:sz w:val="24"/>
              </w:rPr>
            </w:pPr>
            <w:r w:rsidRPr="00AA1421">
              <w:rPr>
                <w:rFonts w:ascii="Times New Roman" w:hAnsi="Times New Roman"/>
                <w:sz w:val="24"/>
              </w:rPr>
              <w:t>W przypadku linii biznesowej „bankowość komercyjna” uwzględnia się również papiery wartościowe z portfela bankowego.</w:t>
            </w: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0070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WYMÓG W ZAKRESIE FUNDUSZY WŁASNYCH</w:t>
            </w:r>
          </w:p>
          <w:p w:rsidR="00AC6255" w:rsidRPr="00AA1421" w:rsidRDefault="00AC6255" w:rsidP="000B0B09">
            <w:pPr>
              <w:autoSpaceDE w:val="0"/>
              <w:autoSpaceDN w:val="0"/>
              <w:adjustRightInd w:val="0"/>
              <w:spacing w:before="0" w:after="0"/>
              <w:jc w:val="left"/>
              <w:rPr>
                <w:rFonts w:ascii="Times New Roman" w:hAnsi="Times New Roman"/>
                <w:sz w:val="24"/>
                <w:lang w:eastAsia="de-DE"/>
              </w:rPr>
            </w:pPr>
          </w:p>
          <w:p w:rsidR="00AC6255" w:rsidRPr="00AA1421" w:rsidRDefault="00AC6255" w:rsidP="00454CFC">
            <w:pPr>
              <w:autoSpaceDE w:val="0"/>
              <w:autoSpaceDN w:val="0"/>
              <w:adjustRightInd w:val="0"/>
              <w:spacing w:before="0" w:after="0"/>
              <w:jc w:val="left"/>
              <w:rPr>
                <w:rFonts w:ascii="Times New Roman" w:hAnsi="Times New Roman"/>
                <w:bCs/>
                <w:sz w:val="24"/>
              </w:rPr>
            </w:pPr>
            <w:r w:rsidRPr="00AA1421">
              <w:rPr>
                <w:rFonts w:ascii="Times New Roman" w:hAnsi="Times New Roman"/>
                <w:sz w:val="24"/>
              </w:rPr>
              <w:t xml:space="preserve">Wymóg w zakresie funduszy własnych oblicza się za pomocą stosowanych metod oraz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12–324 CRR. Obliczoną kwotę zgłasza się w kolumnie 0070.</w:t>
            </w: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0071</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CAŁKOWITA KWOTA EKSPOZYCJI NA RYZYKO OPERACYJNE</w:t>
            </w:r>
          </w:p>
          <w:p w:rsidR="00454CFC" w:rsidRPr="00AA1421" w:rsidRDefault="00AC6255" w:rsidP="0002267E">
            <w:pPr>
              <w:rPr>
                <w:rFonts w:ascii="Times New Roman" w:hAnsi="Times New Roman"/>
                <w:sz w:val="24"/>
              </w:rPr>
            </w:pPr>
            <w:r w:rsidRPr="00AA1421">
              <w:t xml:space="preserve">Art. 92 ust. 4 CRR </w:t>
            </w:r>
          </w:p>
          <w:p w:rsidR="00AC6255" w:rsidRPr="00AA1421" w:rsidRDefault="00AC6255" w:rsidP="0002267E">
            <w:pPr>
              <w:rPr>
                <w:rStyle w:val="InstructionsTabelleberschrift"/>
                <w:rFonts w:ascii="Times New Roman" w:hAnsi="Times New Roman"/>
                <w:b w:val="0"/>
                <w:sz w:val="24"/>
              </w:rPr>
            </w:pPr>
            <w:r w:rsidRPr="00AA1421">
              <w:rPr>
                <w:rFonts w:ascii="Times New Roman" w:hAnsi="Times New Roman"/>
                <w:sz w:val="24"/>
              </w:rPr>
              <w:t>Wymogi w zakresie funduszy własnych w kolumnie 0070 pomnożone przez 12,5.</w:t>
            </w: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0080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W TYM: WYNIKAJĄCE Z MECHANIZMU ALOKACJI</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p w:rsidR="00AC6255" w:rsidRPr="00AA1421" w:rsidRDefault="003E7AEC" w:rsidP="000B0B09">
            <w:pPr>
              <w:jc w:val="left"/>
              <w:rPr>
                <w:rFonts w:ascii="Times New Roman" w:hAnsi="Times New Roman"/>
                <w:bCs/>
                <w:sz w:val="24"/>
              </w:rPr>
            </w:pPr>
            <w:r w:rsidRPr="00AA1421">
              <w:rPr>
                <w:rFonts w:ascii="Times New Roman" w:hAnsi="Times New Roman"/>
                <w:bCs/>
                <w:sz w:val="24"/>
              </w:rPr>
              <w:t>Po przyznaniu zezwolenia na stosowanie metod zaawansowanego pomiaru na poziomie skonsolidowanym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8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CRR)</w:t>
            </w:r>
            <w:r w:rsidRPr="00AA1421">
              <w:rPr>
                <w:rFonts w:ascii="Times New Roman" w:hAnsi="Times New Roman"/>
                <w:sz w:val="24"/>
              </w:rPr>
              <w:t xml:space="preserv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kapitał ryzyka operacyjnego przypisuje się pomiędzy poszczególne podmioty </w:t>
            </w:r>
            <w:r w:rsidRPr="00AA1421">
              <w:rPr>
                <w:rFonts w:ascii="Times New Roman" w:hAnsi="Times New Roman"/>
                <w:sz w:val="24"/>
              </w:rPr>
              <w:lastRenderedPageBreak/>
              <w:t xml:space="preserve">wchodzące w skład grupy na podstawie zastosowanej przez instytucje metodologii w celu uwzględnienia efektów dywersyfikacji w systemie pomiaru ryzyka stosowanym przez unijną kredytową instytucję dominującą i jej jednostki zależne lub wspólnie przez jednostki zależne unijnej dominującej finansowej spółki holdingowej lub unijnej dominującej finansowej spółki holdingowej o działalności mieszanej. W kolumnie tej zgłasza się wynik tego przypisania. </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A1421" w:rsidTr="00672D2A">
        <w:tc>
          <w:tcPr>
            <w:tcW w:w="985" w:type="dxa"/>
          </w:tcPr>
          <w:p w:rsidR="00AC6255" w:rsidRPr="00AA1421" w:rsidRDefault="00F20C33"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0090-0120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POZYCJE UZUPEŁNIAJĄCE UJĘTE WEDŁUG METODY ZAAWANSOWANEGO POMIARU, KTÓRE NALEŻY ZGŁASZAĆ W STOSOWNYCH PRZYPADKACH</w:t>
            </w: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0090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WYMÓG W ZAKRESIE FUNDUSZY WŁASNYCH PRZED ZŁAGODZENIEM W WYNIKU OCZEKIWANEJ STRATY, DYWERSYFIKACJI ORAZ TECHNIK OGRANICZANIA RYZYKA</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Wymóg w zakresie funduszy własnych przedstawiony w kolumnie 090 jest wymogiem zgłoszonym w kolumnie 070, ale obliczonym przed uwzględnieniem złagodzenia w wyniku oczekiwanej straty, dywersyfikacji oraz technik ograniczania ryzyka (zob. poniżej).</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0100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 ZŁAGODZENIE WYMOGU W ZAKRESIE FUNDUSZY WŁASNYCH WYNIKAJĄCE Z UJĘCIA WSPÓŁCZYNNIKA OCZEKIWANEJ STRATY W NORMACH PROWADZENIA DZIAŁALNOŚCI</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kolumnie 100 zgłasza się złagodzenie wymogów w zakresie funduszy własnych wynikające z ujęcia oczekiwanej straty w wewnętrznych normach prowadzenia działalności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0110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 ZŁAGODZENIE WYMOGU W ZAKRESIE FUNDUSZY WŁASNYCH W WYNIKU DYWERSYFIKACJI</w:t>
            </w:r>
          </w:p>
          <w:p w:rsidR="00AC6255" w:rsidRPr="00AA1421" w:rsidRDefault="00AC6255" w:rsidP="000B0B09">
            <w:pPr>
              <w:rPr>
                <w:rFonts w:ascii="Times New Roman" w:hAnsi="Times New Roman"/>
                <w:sz w:val="24"/>
              </w:rPr>
            </w:pPr>
            <w:r w:rsidRPr="00AA1421">
              <w:rPr>
                <w:rFonts w:ascii="Times New Roman" w:hAnsi="Times New Roman"/>
                <w:sz w:val="24"/>
              </w:rPr>
              <w:t>Efekt dywersyfikacji zgłaszany w tej kolumnie jest różnicą pomiędzy sumą wymogów w zakresie funduszy własnych obliczaną oddzielnie dla każdej klasy ryzyka operacyjnego (tj. w sytuacji „doskonałej zależności”) oraz zdywersyfikowanego wymogu w zakresie funduszy własnych obliczonego z uwzględnieniem korelacji i zależności (tj. przy założeniu niedoskonałej zależności między klasami ryzyka). Sytuacja „doskonałej zależności” występuje w „przypadku standardowym”, to jest gdy instytucja nie wykorzystuje wyraźnej struktury zależności pomiędzy klasami ryzyka, a tym samym kapitał według metod zaawansowanego pomiaru oblicza się jako sumę poszczególnych wartości ryzyka operacyjnego wybranej klasy ryzyka. W tym przypadku przyjmuje się, że korelacja między klasami ryzyka wynosi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a w kolumnie należy wstawić wartość zerową. Kiedy natomiast instytucja oblicza wyraźną strukturę korelacji pomiędzy klasami ryzyka, musi zgłosić w tej kolumnie różnicę między kapitałem według metod zaawansowanego pomiaru wynikającym z „przypadku standardowego” a kapitałem według metod zaawansowanego pomiaru uzyskanym po zastosowaniu struktury korelacji pomiędzy klasami ryzyka. Wartość ta odzwierciedla „zdolność dywersyfikacji” modelu według metod zaawansowanego pomiaru, tj. zdolność modelu do uchwycenia niejednoczesnego występowania poważnych przypadków strat wynikłych z ryzyka operacyjnego. W kolumnie 110 należy </w:t>
            </w:r>
            <w:r w:rsidRPr="00AA1421">
              <w:rPr>
                <w:rFonts w:ascii="Times New Roman" w:hAnsi="Times New Roman"/>
                <w:sz w:val="24"/>
              </w:rPr>
              <w:lastRenderedPageBreak/>
              <w:t>zgłosić kwotę, o jaką przyjęta struktura korelacji zmniejsza kapitał według metod zaawansowanego pomiaru w stosunku do założenia korelacji na poziomie 10</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A1421" w:rsidTr="00672D2A">
        <w:tc>
          <w:tcPr>
            <w:tcW w:w="985" w:type="dxa"/>
          </w:tcPr>
          <w:p w:rsidR="00AC6255" w:rsidRPr="00AA1421" w:rsidRDefault="00F20C33"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0120</w:t>
            </w:r>
          </w:p>
        </w:tc>
        <w:tc>
          <w:tcPr>
            <w:tcW w:w="7877" w:type="dxa"/>
          </w:tcPr>
          <w:p w:rsidR="00AC6255" w:rsidRPr="00AA1421" w:rsidRDefault="00AC6255" w:rsidP="000B0B09">
            <w:pPr>
              <w:autoSpaceDE w:val="0"/>
              <w:autoSpaceDN w:val="0"/>
              <w:adjustRightInd w:val="0"/>
              <w:spacing w:before="0" w:after="0"/>
              <w:jc w:val="left"/>
              <w:rPr>
                <w:rFonts w:ascii="Times New Roman" w:hAnsi="Times New Roman"/>
                <w:sz w:val="24"/>
              </w:rPr>
            </w:pPr>
            <w:r w:rsidRPr="00AA1421">
              <w:rPr>
                <w:rStyle w:val="InstructionsTabelleberschrift"/>
                <w:rFonts w:ascii="Times New Roman" w:hAnsi="Times New Roman"/>
                <w:sz w:val="24"/>
              </w:rPr>
              <w:t>(-) ZŁAGODZENIE WYMOGU W ZAKRESIE FUNDUSZY WŁASNYCH W WYNIKU STOSOWANIA TECHNIK OGRANICZANIA RYZYKA (UBEZPIECZENIE I INNE MECHANIZMY TRANSFERU RYZYKA)</w:t>
            </w:r>
          </w:p>
          <w:p w:rsidR="00AC6255" w:rsidRPr="00AA1421" w:rsidRDefault="00AC6255" w:rsidP="000B0B09">
            <w:pPr>
              <w:autoSpaceDE w:val="0"/>
              <w:autoSpaceDN w:val="0"/>
              <w:adjustRightInd w:val="0"/>
              <w:spacing w:before="0" w:after="0"/>
              <w:jc w:val="left"/>
              <w:rPr>
                <w:rFonts w:ascii="Times New Roman" w:hAnsi="Times New Roman"/>
                <w:sz w:val="24"/>
                <w:lang w:eastAsia="de-DE"/>
              </w:rPr>
            </w:pPr>
          </w:p>
          <w:p w:rsidR="00AC6255" w:rsidRPr="00AA1421" w:rsidRDefault="005E7FAD" w:rsidP="000B0B09">
            <w:pPr>
              <w:autoSpaceDE w:val="0"/>
              <w:autoSpaceDN w:val="0"/>
              <w:adjustRightInd w:val="0"/>
              <w:spacing w:before="0" w:after="0"/>
              <w:jc w:val="left"/>
              <w:rPr>
                <w:rFonts w:ascii="Times New Roman" w:hAnsi="Times New Roman"/>
                <w:sz w:val="24"/>
              </w:rPr>
            </w:pPr>
            <w:r w:rsidRPr="00AA1421">
              <w:rPr>
                <w:rFonts w:ascii="Times New Roman" w:hAnsi="Times New Roman"/>
                <w:sz w:val="24"/>
              </w:rPr>
              <w:t xml:space="preserve">W tej kolumnie zgłasza się wpływ ubezpieczenia i innych mechanizmów transferu ryzyka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23 CRR.</w:t>
            </w:r>
          </w:p>
          <w:p w:rsidR="00AC6255" w:rsidRPr="00AA1421"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AA1421" w:rsidRDefault="00AC6255" w:rsidP="00AC6255">
      <w:pPr>
        <w:autoSpaceDE w:val="0"/>
        <w:autoSpaceDN w:val="0"/>
        <w:adjustRightInd w:val="0"/>
        <w:spacing w:before="0" w:after="0"/>
        <w:rPr>
          <w:rFonts w:ascii="Times New Roman" w:hAnsi="Times New Roman"/>
          <w:sz w:val="24"/>
          <w:lang w:eastAsia="de-DE"/>
        </w:rPr>
      </w:pPr>
    </w:p>
    <w:p w:rsidR="00AC6255" w:rsidRPr="00AA1421" w:rsidRDefault="00AC6255" w:rsidP="00AC6255">
      <w:pPr>
        <w:autoSpaceDE w:val="0"/>
        <w:autoSpaceDN w:val="0"/>
        <w:adjustRightInd w:val="0"/>
        <w:spacing w:before="0" w:after="0"/>
        <w:rPr>
          <w:rFonts w:ascii="Times New Roman" w:hAnsi="Times New Roman"/>
          <w:sz w:val="24"/>
          <w:lang w:eastAsia="de-DE"/>
        </w:rPr>
      </w:pPr>
    </w:p>
    <w:p w:rsidR="00AC6255" w:rsidRPr="00AA1421"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A1421" w:rsidTr="00672D2A">
        <w:trPr>
          <w:trHeight w:val="518"/>
        </w:trPr>
        <w:tc>
          <w:tcPr>
            <w:tcW w:w="8862" w:type="dxa"/>
            <w:gridSpan w:val="2"/>
            <w:shd w:val="clear" w:color="auto" w:fill="CCCCCC"/>
          </w:tcPr>
          <w:p w:rsidR="00AC6255" w:rsidRPr="00AA1421" w:rsidRDefault="00AC6255" w:rsidP="000B0B09">
            <w:pPr>
              <w:autoSpaceDE w:val="0"/>
              <w:autoSpaceDN w:val="0"/>
              <w:adjustRightInd w:val="0"/>
              <w:spacing w:after="0"/>
              <w:rPr>
                <w:rFonts w:ascii="Times New Roman" w:hAnsi="Times New Roman"/>
                <w:b/>
                <w:bCs/>
                <w:sz w:val="24"/>
              </w:rPr>
            </w:pPr>
            <w:r w:rsidRPr="00AA1421">
              <w:rPr>
                <w:rFonts w:ascii="Times New Roman" w:hAnsi="Times New Roman"/>
                <w:b/>
                <w:bCs/>
                <w:sz w:val="24"/>
              </w:rPr>
              <w:t>Wiersze</w:t>
            </w:r>
          </w:p>
        </w:tc>
      </w:tr>
      <w:tr w:rsidR="00AC6255" w:rsidRPr="00AA1421" w:rsidTr="00672D2A">
        <w:tc>
          <w:tcPr>
            <w:tcW w:w="985" w:type="dxa"/>
          </w:tcPr>
          <w:p w:rsidR="00AC6255" w:rsidRPr="00AA1421" w:rsidRDefault="005E7FAD"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 xml:space="preserve">0010 </w:t>
            </w:r>
          </w:p>
        </w:tc>
        <w:tc>
          <w:tcPr>
            <w:tcW w:w="7877" w:type="dxa"/>
          </w:tcPr>
          <w:p w:rsidR="00AC6255" w:rsidRPr="00AA1421" w:rsidRDefault="00AC6255" w:rsidP="000B0B09">
            <w:pPr>
              <w:autoSpaceDE w:val="0"/>
              <w:autoSpaceDN w:val="0"/>
              <w:adjustRightInd w:val="0"/>
              <w:spacing w:before="0" w:after="0"/>
              <w:rPr>
                <w:rStyle w:val="InstructionsTabelleberschrift"/>
                <w:rFonts w:ascii="Times New Roman" w:hAnsi="Times New Roman"/>
                <w:sz w:val="24"/>
              </w:rPr>
            </w:pPr>
            <w:r w:rsidRPr="00AA1421">
              <w:rPr>
                <w:rStyle w:val="InstructionsTabelleberschrift"/>
                <w:rFonts w:ascii="Times New Roman" w:hAnsi="Times New Roman"/>
                <w:sz w:val="24"/>
              </w:rPr>
              <w:t>DZIAŁALNOŚĆ BANKOWA OBJĘTA METODĄ WSKAŹNIKA BAZOWEGO</w:t>
            </w:r>
          </w:p>
          <w:p w:rsidR="00AC6255" w:rsidRPr="00AA1421" w:rsidRDefault="00AC6255" w:rsidP="000B0B09">
            <w:pPr>
              <w:pStyle w:val="PlainText"/>
              <w:jc w:val="both"/>
              <w:rPr>
                <w:rFonts w:ascii="Times New Roman" w:eastAsia="Times New Roman" w:hAnsi="Times New Roman"/>
                <w:sz w:val="24"/>
                <w:szCs w:val="24"/>
                <w:lang w:eastAsia="de-DE"/>
              </w:rPr>
            </w:pPr>
          </w:p>
          <w:p w:rsidR="00AC6255" w:rsidRPr="00AA1421" w:rsidRDefault="00AC6255" w:rsidP="000B0B09">
            <w:pPr>
              <w:pStyle w:val="PlainText"/>
              <w:jc w:val="both"/>
              <w:rPr>
                <w:rFonts w:ascii="Times New Roman" w:eastAsia="Times New Roman" w:hAnsi="Times New Roman"/>
                <w:sz w:val="24"/>
                <w:szCs w:val="24"/>
              </w:rPr>
            </w:pPr>
            <w:r w:rsidRPr="00AA1421">
              <w:rPr>
                <w:rFonts w:ascii="Times New Roman" w:hAnsi="Times New Roman"/>
                <w:sz w:val="24"/>
                <w:szCs w:val="24"/>
              </w:rPr>
              <w:t>W wierszu tym przedstawia się kwoty odpowiadające działalności objętej metodą wskaźnika bazowego w celu obliczenia wymogu w zakresie funduszy własnych z tytułu ryzyka operacyjnego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15 i 316 CRR).</w:t>
            </w:r>
          </w:p>
          <w:p w:rsidR="00AC6255" w:rsidRPr="00AA1421" w:rsidRDefault="00AC6255" w:rsidP="000B0B09">
            <w:pPr>
              <w:pStyle w:val="PlainText"/>
              <w:jc w:val="both"/>
              <w:rPr>
                <w:rFonts w:ascii="Times New Roman" w:eastAsia="Times New Roman" w:hAnsi="Times New Roman"/>
                <w:bCs/>
                <w:sz w:val="24"/>
                <w:szCs w:val="24"/>
                <w:lang w:eastAsia="nl-BE"/>
              </w:rPr>
            </w:pPr>
          </w:p>
        </w:tc>
      </w:tr>
      <w:tr w:rsidR="00AC6255" w:rsidRPr="00AA1421" w:rsidTr="00672D2A">
        <w:tc>
          <w:tcPr>
            <w:tcW w:w="985" w:type="dxa"/>
          </w:tcPr>
          <w:p w:rsidR="00AC6255" w:rsidRPr="00AA1421" w:rsidRDefault="005E7FAD"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0020</w:t>
            </w:r>
          </w:p>
        </w:tc>
        <w:tc>
          <w:tcPr>
            <w:tcW w:w="7877" w:type="dxa"/>
          </w:tcPr>
          <w:p w:rsidR="00AC6255" w:rsidRPr="00AA1421" w:rsidRDefault="00AC6255" w:rsidP="000B0B09">
            <w:pPr>
              <w:autoSpaceDE w:val="0"/>
              <w:autoSpaceDN w:val="0"/>
              <w:adjustRightInd w:val="0"/>
              <w:spacing w:before="0" w:after="0"/>
              <w:rPr>
                <w:rStyle w:val="InstructionsTabelleberschrift"/>
                <w:rFonts w:ascii="Times New Roman" w:hAnsi="Times New Roman"/>
                <w:sz w:val="24"/>
              </w:rPr>
            </w:pPr>
            <w:r w:rsidRPr="00AA1421">
              <w:rPr>
                <w:rStyle w:val="InstructionsTabelleberschrift"/>
                <w:rFonts w:ascii="Times New Roman" w:hAnsi="Times New Roman"/>
                <w:sz w:val="24"/>
              </w:rPr>
              <w:t>DZIAŁALNOŚĆ BANKOWA OBJĘTA METODĄ STANDARDOWĄ / ALTERNATYWNĄ METODĄ STANDARDOWĄ</w:t>
            </w:r>
          </w:p>
          <w:p w:rsidR="00AC6255" w:rsidRPr="00AA1421" w:rsidRDefault="00AC6255" w:rsidP="000B0B09">
            <w:pPr>
              <w:autoSpaceDE w:val="0"/>
              <w:autoSpaceDN w:val="0"/>
              <w:adjustRightInd w:val="0"/>
              <w:spacing w:before="0" w:after="0"/>
              <w:rPr>
                <w:rFonts w:ascii="Times New Roman" w:hAnsi="Times New Roman"/>
                <w:sz w:val="24"/>
                <w:lang w:eastAsia="de-DE"/>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Zgłasza się wymóg w zakresie funduszy własnych obliczony według metody standardowej i alternatywnej metody standardowej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17, 318 i 319 CRR).</w:t>
            </w:r>
          </w:p>
          <w:p w:rsidR="00AC6255" w:rsidRPr="00AA1421" w:rsidRDefault="00AC6255" w:rsidP="000B0B09">
            <w:pPr>
              <w:autoSpaceDE w:val="0"/>
              <w:autoSpaceDN w:val="0"/>
              <w:adjustRightInd w:val="0"/>
              <w:spacing w:before="0" w:after="0"/>
              <w:rPr>
                <w:rFonts w:ascii="Times New Roman" w:hAnsi="Times New Roman"/>
                <w:bCs/>
                <w:sz w:val="24"/>
                <w:lang w:eastAsia="nl-BE"/>
              </w:rPr>
            </w:pPr>
          </w:p>
        </w:tc>
      </w:tr>
      <w:tr w:rsidR="00AC6255" w:rsidRPr="00AA1421" w:rsidTr="00672D2A">
        <w:trPr>
          <w:trHeight w:val="1705"/>
        </w:trPr>
        <w:tc>
          <w:tcPr>
            <w:tcW w:w="985" w:type="dxa"/>
          </w:tcPr>
          <w:p w:rsidR="00AC6255" w:rsidRPr="00AA1421" w:rsidRDefault="005E7FAD"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t>0030-0100</w:t>
            </w:r>
          </w:p>
        </w:tc>
        <w:tc>
          <w:tcPr>
            <w:tcW w:w="7877" w:type="dxa"/>
          </w:tcPr>
          <w:p w:rsidR="00AC6255" w:rsidRPr="00AA1421" w:rsidRDefault="00AC6255" w:rsidP="000B0B09">
            <w:pPr>
              <w:rPr>
                <w:rStyle w:val="InstructionsTabelleberschrift"/>
                <w:rFonts w:ascii="Times New Roman" w:hAnsi="Times New Roman"/>
                <w:sz w:val="24"/>
              </w:rPr>
            </w:pPr>
            <w:r w:rsidRPr="00AA1421">
              <w:rPr>
                <w:rStyle w:val="InstructionsTabelleberschrift"/>
                <w:rFonts w:ascii="Times New Roman" w:hAnsi="Times New Roman"/>
                <w:sz w:val="24"/>
              </w:rPr>
              <w:t>OBJĘTA METODĄ STANDARDOWA</w:t>
            </w:r>
          </w:p>
          <w:p w:rsidR="00AC6255" w:rsidRPr="00AA1421" w:rsidRDefault="001C3443" w:rsidP="00133396">
            <w:pPr>
              <w:autoSpaceDE w:val="0"/>
              <w:autoSpaceDN w:val="0"/>
              <w:adjustRightInd w:val="0"/>
              <w:spacing w:before="0" w:after="0"/>
              <w:jc w:val="left"/>
              <w:rPr>
                <w:rFonts w:ascii="Times New Roman" w:hAnsi="Times New Roman"/>
                <w:bCs/>
                <w:sz w:val="24"/>
              </w:rPr>
            </w:pPr>
            <w:r w:rsidRPr="00AA1421">
              <w:rPr>
                <w:rFonts w:ascii="Times New Roman" w:hAnsi="Times New Roman"/>
                <w:sz w:val="24"/>
              </w:rPr>
              <w:t xml:space="preserve">W przypadku korzystania z metody standardowej w wierszach 0030–0100 wprowadza się odpowiedni wskaźnik dla każdego danego roku w odniesieniu do linii biznesowych, o których mowa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CRR. Przyporządkowywanie działań do linii biznesowych jest zgodne z zasadami określonymi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18 CRR.</w:t>
            </w:r>
          </w:p>
        </w:tc>
      </w:tr>
      <w:tr w:rsidR="00AC6255" w:rsidRPr="00AA1421" w:rsidTr="00672D2A">
        <w:tc>
          <w:tcPr>
            <w:tcW w:w="985" w:type="dxa"/>
          </w:tcPr>
          <w:p w:rsidR="00AC6255" w:rsidRPr="00AA1421" w:rsidRDefault="005E7FAD"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t>0110-0120</w:t>
            </w:r>
          </w:p>
        </w:tc>
        <w:tc>
          <w:tcPr>
            <w:tcW w:w="7877" w:type="dxa"/>
          </w:tcPr>
          <w:p w:rsidR="00AC6255" w:rsidRPr="00AA1421" w:rsidRDefault="00AC6255" w:rsidP="000B0B09">
            <w:pPr>
              <w:autoSpaceDE w:val="0"/>
              <w:autoSpaceDN w:val="0"/>
              <w:adjustRightInd w:val="0"/>
              <w:spacing w:before="0" w:after="0"/>
              <w:jc w:val="left"/>
              <w:rPr>
                <w:rStyle w:val="InstructionsTabelleberschrift"/>
                <w:rFonts w:ascii="Times New Roman" w:hAnsi="Times New Roman"/>
                <w:sz w:val="24"/>
              </w:rPr>
            </w:pPr>
            <w:r w:rsidRPr="00AA1421">
              <w:rPr>
                <w:rStyle w:val="InstructionsTabelleberschrift"/>
                <w:rFonts w:ascii="Times New Roman" w:hAnsi="Times New Roman"/>
                <w:sz w:val="24"/>
              </w:rPr>
              <w:t>OBJĘTA ALTERNATYWNĄ METODĄ STANDARDOWĄ</w:t>
            </w:r>
          </w:p>
          <w:p w:rsidR="00AC6255" w:rsidRPr="00AA1421" w:rsidRDefault="00AC6255" w:rsidP="000B0B09">
            <w:pPr>
              <w:rPr>
                <w:rFonts w:ascii="Times New Roman" w:hAnsi="Times New Roman"/>
                <w:sz w:val="24"/>
              </w:rPr>
            </w:pPr>
            <w:r w:rsidRPr="00AA1421">
              <w:rPr>
                <w:rFonts w:ascii="Times New Roman" w:hAnsi="Times New Roman"/>
                <w:sz w:val="24"/>
              </w:rPr>
              <w:t>Instytucje stosujące alternatywną metodę standardową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19 CRR) zgłaszają za odpowiednie lata odpowiedni wskaźnika osobno dla każdej linii biznesowej w wierszach 0030–0050 i 0080–0100 oraz w wierszach 0110 i 0120 dla linii biznesowych „Bankowość komercyjna” i „Bankowość detaliczna”. </w:t>
            </w:r>
          </w:p>
          <w:p w:rsidR="00AC6255" w:rsidRPr="00AA1421" w:rsidRDefault="00AC6255" w:rsidP="0042594B">
            <w:pPr>
              <w:autoSpaceDE w:val="0"/>
              <w:autoSpaceDN w:val="0"/>
              <w:adjustRightInd w:val="0"/>
              <w:spacing w:before="0" w:after="0"/>
              <w:rPr>
                <w:rFonts w:ascii="Times New Roman" w:hAnsi="Times New Roman"/>
                <w:bCs/>
                <w:sz w:val="24"/>
              </w:rPr>
            </w:pPr>
            <w:r w:rsidRPr="00AA1421">
              <w:rPr>
                <w:rStyle w:val="InstructionsTabelleText"/>
                <w:rFonts w:ascii="Times New Roman" w:hAnsi="Times New Roman"/>
                <w:sz w:val="24"/>
              </w:rPr>
              <w:t xml:space="preserve">Wiersze 110 i 120 przedstawiają wartość </w:t>
            </w:r>
            <w:r w:rsidRPr="00AA1421">
              <w:rPr>
                <w:rFonts w:ascii="Times New Roman" w:hAnsi="Times New Roman"/>
                <w:sz w:val="24"/>
              </w:rPr>
              <w:t xml:space="preserve">odpowiedniego wskaźnika </w:t>
            </w:r>
            <w:r w:rsidRPr="00AA1421">
              <w:rPr>
                <w:rStyle w:val="InstructionsTabelleText"/>
                <w:rFonts w:ascii="Times New Roman" w:hAnsi="Times New Roman"/>
                <w:sz w:val="24"/>
              </w:rPr>
              <w:t>w odniesieniu do działań objętych alternatywną metodą standardową, stosując podział na wartości odpowiadające linii biznesowej „bankowość komercyjna” i wartości odpowiadające linii biznesowej „bankowość detaliczna”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19 </w:t>
            </w:r>
            <w:r w:rsidRPr="00AA1421">
              <w:rPr>
                <w:rFonts w:ascii="Times New Roman" w:hAnsi="Times New Roman"/>
                <w:sz w:val="24"/>
              </w:rPr>
              <w:t>CRR</w:t>
            </w:r>
            <w:r w:rsidRPr="00AA1421">
              <w:rPr>
                <w:rStyle w:val="InstructionsTabelleText"/>
                <w:rFonts w:ascii="Times New Roman" w:hAnsi="Times New Roman"/>
                <w:sz w:val="24"/>
              </w:rPr>
              <w:t xml:space="preserve">). Mogą istnieć kwoty, które należy zgłosić w wierszach odpowiadających „Bankowości komercyjnej” i „Bankowości detalicznej” według metody standardowej (wiersze 0060 i 0070), jak również w wierszach 0110 i 0120 w przypadku alternatywnej </w:t>
            </w:r>
            <w:r w:rsidRPr="00AA1421">
              <w:rPr>
                <w:rStyle w:val="InstructionsTabelleText"/>
                <w:rFonts w:ascii="Times New Roman" w:hAnsi="Times New Roman"/>
                <w:sz w:val="24"/>
              </w:rPr>
              <w:lastRenderedPageBreak/>
              <w:t>metody standardowej (np. gdy jednostka zależna jest objęta metodą standardową, natomiast jednostka dominująca jest objęta alternatywną metodą standardową).</w:t>
            </w:r>
          </w:p>
        </w:tc>
      </w:tr>
      <w:tr w:rsidR="00AC6255" w:rsidRPr="00AA1421" w:rsidTr="00672D2A">
        <w:tc>
          <w:tcPr>
            <w:tcW w:w="985" w:type="dxa"/>
          </w:tcPr>
          <w:p w:rsidR="00AC6255" w:rsidRPr="00AA1421" w:rsidRDefault="005E7FAD"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0130</w:t>
            </w:r>
          </w:p>
        </w:tc>
        <w:tc>
          <w:tcPr>
            <w:tcW w:w="7877" w:type="dxa"/>
          </w:tcPr>
          <w:p w:rsidR="00AC6255" w:rsidRPr="00AA1421" w:rsidRDefault="00AC6255" w:rsidP="000B0B09">
            <w:pPr>
              <w:autoSpaceDE w:val="0"/>
              <w:autoSpaceDN w:val="0"/>
              <w:adjustRightInd w:val="0"/>
              <w:spacing w:before="0" w:after="0"/>
              <w:rPr>
                <w:rStyle w:val="InstructionsTabelleberschrift"/>
                <w:rFonts w:ascii="Times New Roman" w:hAnsi="Times New Roman"/>
                <w:sz w:val="24"/>
              </w:rPr>
            </w:pPr>
            <w:r w:rsidRPr="00AA1421">
              <w:rPr>
                <w:rStyle w:val="InstructionsTabelleberschrift"/>
                <w:rFonts w:ascii="Times New Roman" w:hAnsi="Times New Roman"/>
                <w:sz w:val="24"/>
              </w:rPr>
              <w:t>DZIAŁALNOŚĆ BANKOWA OBJĘTA METODAMI ZAAWANSOWANEGO POMIARU</w:t>
            </w:r>
          </w:p>
          <w:p w:rsidR="00AC6255" w:rsidRPr="00AA1421" w:rsidRDefault="00AC6255" w:rsidP="000B0B09">
            <w:pPr>
              <w:autoSpaceDE w:val="0"/>
              <w:autoSpaceDN w:val="0"/>
              <w:adjustRightInd w:val="0"/>
              <w:spacing w:before="0" w:after="0"/>
              <w:rPr>
                <w:rFonts w:ascii="Times New Roman" w:hAnsi="Times New Roman"/>
                <w:bCs/>
                <w:sz w:val="24"/>
                <w:lang w:eastAsia="nl-BE"/>
              </w:rPr>
            </w:pPr>
          </w:p>
          <w:p w:rsidR="00AC6255" w:rsidRPr="00AA1421" w:rsidRDefault="00AC625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Zgłasza się odpowiednie dane dotyczące instytucji stosujących metody zaawansowanego pomiaru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21, 322 i 323 CRR). </w:t>
            </w:r>
          </w:p>
          <w:p w:rsidR="00AC6255" w:rsidRPr="00AA1421" w:rsidRDefault="00AC6255" w:rsidP="000B0B09">
            <w:pPr>
              <w:autoSpaceDE w:val="0"/>
              <w:autoSpaceDN w:val="0"/>
              <w:adjustRightInd w:val="0"/>
              <w:spacing w:before="0" w:after="0"/>
              <w:rPr>
                <w:rFonts w:ascii="Times New Roman" w:hAnsi="Times New Roman"/>
                <w:sz w:val="24"/>
              </w:rPr>
            </w:pPr>
          </w:p>
          <w:p w:rsidR="00AC6255" w:rsidRPr="00AA1421" w:rsidRDefault="00A369C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przypadku łącznego stosowania różnych metod,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14 CRR, zgłasza się informacje na temat odpowiedniego wskaźnika dla działalności objętych metodami zaawansowanego pomiaru. Dotyczy to także wszystkich innych banków objętych metodami zaawansowanego pomiaru.</w:t>
            </w:r>
          </w:p>
          <w:p w:rsidR="00AC6255" w:rsidRPr="00AA1421" w:rsidRDefault="00AC6255" w:rsidP="000B0B09">
            <w:pPr>
              <w:autoSpaceDE w:val="0"/>
              <w:autoSpaceDN w:val="0"/>
              <w:adjustRightInd w:val="0"/>
              <w:spacing w:before="0" w:after="0"/>
              <w:rPr>
                <w:rFonts w:ascii="Times New Roman" w:hAnsi="Times New Roman"/>
                <w:bCs/>
                <w:sz w:val="24"/>
                <w:lang w:eastAsia="nl-BE"/>
              </w:rPr>
            </w:pPr>
          </w:p>
        </w:tc>
      </w:tr>
    </w:tbl>
    <w:p w:rsidR="00AC6255" w:rsidRPr="00AA1421" w:rsidRDefault="00AC6255" w:rsidP="00AC6255">
      <w:pPr>
        <w:pStyle w:val="PlainText"/>
        <w:jc w:val="both"/>
        <w:rPr>
          <w:rFonts w:ascii="Times New Roman" w:hAnsi="Times New Roman"/>
          <w:sz w:val="24"/>
          <w:szCs w:val="24"/>
        </w:rPr>
      </w:pPr>
    </w:p>
    <w:p w:rsidR="00AC6255" w:rsidRPr="00AA1421" w:rsidRDefault="00AC6255" w:rsidP="00AC6255">
      <w:pPr>
        <w:rPr>
          <w:rFonts w:ascii="Times New Roman" w:hAnsi="Times New Roman"/>
          <w:sz w:val="24"/>
        </w:rPr>
      </w:pPr>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403712"/>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AA1421">
        <w:rPr>
          <w:rFonts w:ascii="Times New Roman" w:hAnsi="Times New Roman"/>
          <w:sz w:val="24"/>
          <w:u w:val="none"/>
        </w:rPr>
        <w:t>4.2.</w:t>
      </w:r>
      <w:r w:rsidR="00D712CF" w:rsidRPr="00AA1421">
        <w:rPr>
          <w:u w:val="none"/>
        </w:rPr>
        <w:tab/>
      </w:r>
      <w:r w:rsidRPr="00AA1421">
        <w:rPr>
          <w:rFonts w:ascii="Times New Roman" w:hAnsi="Times New Roman"/>
          <w:sz w:val="24"/>
        </w:rPr>
        <w:t>Ryzyko operacyjne: Szczegółowe informacje na temat strat w ostatnim roku (OPR SZCZEGÓŁY)</w:t>
      </w:r>
      <w:bookmarkEnd w:id="576"/>
      <w:bookmarkEnd w:id="577"/>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403713"/>
      <w:r w:rsidRPr="00AA1421">
        <w:rPr>
          <w:rFonts w:ascii="Times New Roman" w:hAnsi="Times New Roman"/>
          <w:sz w:val="24"/>
          <w:u w:val="none"/>
        </w:rPr>
        <w:t>4.2.1.</w:t>
      </w:r>
      <w:r w:rsidR="00D712CF" w:rsidRPr="00AA1421">
        <w:rPr>
          <w:u w:val="none"/>
        </w:rPr>
        <w:tab/>
      </w:r>
      <w:r w:rsidRPr="00AA1421">
        <w:rPr>
          <w:rFonts w:ascii="Times New Roman" w:hAnsi="Times New Roman"/>
          <w:sz w:val="24"/>
        </w:rPr>
        <w:t>Uwagi ogólne</w:t>
      </w:r>
      <w:bookmarkEnd w:id="578"/>
      <w:bookmarkEnd w:id="579"/>
    </w:p>
    <w:p w:rsidR="00FD54FC" w:rsidRPr="00AA1421" w:rsidRDefault="00AA1421" w:rsidP="00487A02">
      <w:pPr>
        <w:pStyle w:val="InstructionsText2"/>
        <w:numPr>
          <w:ilvl w:val="0"/>
          <w:numId w:val="0"/>
        </w:numPr>
        <w:ind w:left="1353" w:hanging="360"/>
      </w:pPr>
      <w:fldSimple w:instr=" seq paragraphs ">
        <w:r w:rsidR="00D11E4C" w:rsidRPr="00AA1421">
          <w:rPr>
            <w:noProof/>
          </w:rPr>
          <w:t>142</w:t>
        </w:r>
      </w:fldSimple>
      <w:r w:rsidR="00D11E4C" w:rsidRPr="00AA1421">
        <w:t>.</w:t>
      </w:r>
      <w:r w:rsidR="00D11E4C" w:rsidRPr="00AA1421">
        <w:tab/>
        <w:t xml:space="preserve"> Wzór C 17.01 (OPR SZCZEGÓŁY 1) zawiera streszczenie informacji dotyczących strat brutto i odzyskanych należności odnotowanych przez instytucję w ostatnim roku według rodzajów zdarzeń i linii biznesowych. Wzór C 17.02 (OPR SZCZEGÓŁY 2) zawiera szczegółowe informacje na temat największych zdarzeń straty w ostatnim roku. </w:t>
      </w:r>
    </w:p>
    <w:p w:rsidR="00FD54FC" w:rsidRPr="00AA1421" w:rsidRDefault="00AA1421" w:rsidP="00487A02">
      <w:pPr>
        <w:pStyle w:val="InstructionsText2"/>
        <w:numPr>
          <w:ilvl w:val="0"/>
          <w:numId w:val="0"/>
        </w:numPr>
        <w:ind w:left="1353" w:hanging="360"/>
      </w:pPr>
      <w:fldSimple w:instr=" seq paragraphs ">
        <w:r w:rsidR="00D11E4C" w:rsidRPr="00AA1421">
          <w:rPr>
            <w:noProof/>
          </w:rPr>
          <w:t>143</w:t>
        </w:r>
      </w:fldSimple>
      <w:r w:rsidR="00D11E4C" w:rsidRPr="00AA1421">
        <w:t>. Strat wynikłych z ryzyka operacyjnego, które są związane z ryzykiem kredytowym i podlegają wymogom w zakresie funduszy własnych z tytułu ryzyka kredytowego (graniczne zdarzenia ryzyka operacyjnego związane z kredytami), nie uwzględnia się ani we wzorze C 17.01, ani we wzorze C 17.02.</w:t>
      </w:r>
    </w:p>
    <w:p w:rsidR="00FD54FC" w:rsidRPr="00AA1421" w:rsidRDefault="00AA1421" w:rsidP="00487A02">
      <w:pPr>
        <w:pStyle w:val="InstructionsText2"/>
        <w:numPr>
          <w:ilvl w:val="0"/>
          <w:numId w:val="0"/>
        </w:numPr>
        <w:ind w:left="1353" w:hanging="360"/>
      </w:pPr>
      <w:fldSimple w:instr=" seq paragraphs ">
        <w:r w:rsidR="00D11E4C" w:rsidRPr="00AA1421">
          <w:rPr>
            <w:noProof/>
          </w:rPr>
          <w:t>144</w:t>
        </w:r>
      </w:fldSimple>
      <w:r w:rsidR="00D11E4C" w:rsidRPr="00AA1421">
        <w:t xml:space="preserve">. W przypadku łącznego stosowania różnych metod obliczania wymogów w zakresie funduszy własnych z tytułu ryzyka operacyjnego zgodnie z </w:t>
      </w:r>
      <w:r w:rsidR="00D11E4C" w:rsidRPr="00084F66">
        <w:t>art.</w:t>
      </w:r>
      <w:r w:rsidR="00084F66" w:rsidRPr="00084F66">
        <w:t> </w:t>
      </w:r>
      <w:r w:rsidR="00D11E4C" w:rsidRPr="00084F66">
        <w:t>3</w:t>
      </w:r>
      <w:r w:rsidR="00D11E4C" w:rsidRPr="00AA1421">
        <w:t>14 CRR straty i odzyskane należności odnotowane przez instytucję zgłasza się we wzorze C 17.01 i C 17.02 niezależnie od zastosowanej metody obliczenia wymogów w zakresie funduszy własnych.</w:t>
      </w:r>
    </w:p>
    <w:p w:rsidR="00FD54FC" w:rsidRPr="00AA1421" w:rsidRDefault="00AA1421" w:rsidP="00487A02">
      <w:pPr>
        <w:pStyle w:val="InstructionsText2"/>
        <w:numPr>
          <w:ilvl w:val="0"/>
          <w:numId w:val="0"/>
        </w:numPr>
        <w:ind w:left="1353" w:hanging="360"/>
      </w:pPr>
      <w:fldSimple w:instr=" seq paragraphs ">
        <w:r w:rsidR="00D11E4C" w:rsidRPr="00AA1421">
          <w:rPr>
            <w:noProof/>
          </w:rPr>
          <w:t>145</w:t>
        </w:r>
      </w:fldSimple>
      <w:r w:rsidR="00D11E4C" w:rsidRPr="00AA1421">
        <w:t xml:space="preserve">. „Straty brutto” oznaczają straty, o których mowa w </w:t>
      </w:r>
      <w:r w:rsidR="00D11E4C" w:rsidRPr="00084F66">
        <w:t>art.</w:t>
      </w:r>
      <w:r w:rsidR="00084F66" w:rsidRPr="00084F66">
        <w:t> </w:t>
      </w:r>
      <w:r w:rsidR="00D11E4C" w:rsidRPr="00084F66">
        <w:t>3</w:t>
      </w:r>
      <w:r w:rsidR="00D11E4C" w:rsidRPr="00AA1421">
        <w:t xml:space="preserve">22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b)</w:t>
      </w:r>
      <w:r w:rsidR="00D11E4C" w:rsidRPr="00AA1421">
        <w:t xml:space="preserve"> CRR, wynikłe ze zdarzenia lub rodzaju zdarzenia ryzyka operacyjnego przed odzyskaniem jakichkolwiek należności, bez uszczerbku dla „szybko odzyskanych zdarzeń straty” zdefiniowanych poniżej. </w:t>
      </w:r>
    </w:p>
    <w:p w:rsidR="00FD54FC" w:rsidRPr="00AA1421" w:rsidRDefault="00AA1421" w:rsidP="00487A02">
      <w:pPr>
        <w:pStyle w:val="InstructionsText2"/>
        <w:numPr>
          <w:ilvl w:val="0"/>
          <w:numId w:val="0"/>
        </w:numPr>
        <w:ind w:left="1353" w:hanging="360"/>
      </w:pPr>
      <w:fldSimple w:instr=" seq paragraphs ">
        <w:r w:rsidR="00D11E4C" w:rsidRPr="00AA1421">
          <w:rPr>
            <w:noProof/>
          </w:rPr>
          <w:t>146</w:t>
        </w:r>
      </w:fldSimple>
      <w:r w:rsidR="00D11E4C" w:rsidRPr="00AA1421">
        <w:t>. „Odzyskanie należności” oznacza niezależne, odrębne w czasie zdarzenie powiązane z pierwotną stratą wynikłą z ryzyka operacyjnego, w ramach którego środki lub wpływy korzyści ekonomicznych otrzymywane są od osób pierwszych lub trzecich, takich jak zakłady ubezpieczeń lub inne podmioty. Odzyskane należności dzieli się na należności odzyskane z ubezpieczenia i innych mechanizmów transferu ryzyka oraz bezpośrednio odzyskane należności.</w:t>
      </w:r>
    </w:p>
    <w:p w:rsidR="00FD54FC" w:rsidRPr="00AA1421" w:rsidRDefault="00AA1421" w:rsidP="00487A02">
      <w:pPr>
        <w:pStyle w:val="InstructionsText2"/>
        <w:numPr>
          <w:ilvl w:val="0"/>
          <w:numId w:val="0"/>
        </w:numPr>
        <w:ind w:left="1353" w:hanging="360"/>
      </w:pPr>
      <w:fldSimple w:instr=" seq paragraphs ">
        <w:r w:rsidR="00D11E4C" w:rsidRPr="00AA1421">
          <w:rPr>
            <w:noProof/>
          </w:rPr>
          <w:t>147</w:t>
        </w:r>
      </w:fldSimple>
      <w:r w:rsidR="00D11E4C" w:rsidRPr="00AA1421">
        <w:t>.</w:t>
      </w:r>
      <w:r w:rsidR="00D11E4C" w:rsidRPr="00AA1421">
        <w:tab/>
        <w:t xml:space="preserve"> „Zdarzenia szybko odzyskanej straty” oznaczają zdarzenia ryzyka operacyjnego prowadzące do powstania strat, które są częściowo lub w pełni odzyskiwane w terminie pięciu dni roboczych. W przypadku szybko odzyskanego zdarzenia straty jedynie część straty, która nie została w pełni odzyskana (tzn. strata netto po częściowym szybkim odzyskaniu należności), ujmuje się w definicji strat brutto. W związku z powyższym zdarzeń straty prowadzących do strat, które są w pełni odzyskiwane w terminie pięciu dni roboczych, nie ujmuje się w definicji strat brutto, ani nie są one objęte sprawozdawczością we wzorze OPR SZCZEGÓŁY.</w:t>
      </w:r>
    </w:p>
    <w:p w:rsidR="00FD54FC" w:rsidRPr="00AA1421" w:rsidRDefault="00AA1421" w:rsidP="00487A02">
      <w:pPr>
        <w:pStyle w:val="InstructionsText2"/>
        <w:numPr>
          <w:ilvl w:val="0"/>
          <w:numId w:val="0"/>
        </w:numPr>
        <w:ind w:left="1353" w:hanging="360"/>
      </w:pPr>
      <w:fldSimple w:instr=" seq paragraphs ">
        <w:r w:rsidR="00D11E4C" w:rsidRPr="00AA1421">
          <w:rPr>
            <w:noProof/>
          </w:rPr>
          <w:t>148</w:t>
        </w:r>
      </w:fldSimple>
      <w:r w:rsidR="00D11E4C" w:rsidRPr="00AA1421">
        <w:t>.</w:t>
      </w:r>
      <w:r w:rsidR="00D11E4C" w:rsidRPr="00AA1421">
        <w:tab/>
        <w:t xml:space="preserve"> „Data rozliczenia” oznacza datę pierwszego ujęcia straty lub rezerwy w rachunku zysków i strat w odniesieniu do straty wynikłej z ryzyka operacyjnego. Data ta jest późniejsza od „Daty zdarzenia” (tj. daty wystąpienia lub rozpoczęcia zdarzenia ryzyka operacyjnego) i „Daty wykrycia” (tj. daty, kiedy instytucja dowiedziała się o zdarzeniu ryzyka operacyjnego). </w:t>
      </w:r>
    </w:p>
    <w:p w:rsidR="00FD54FC" w:rsidRPr="00AA1421" w:rsidRDefault="00AA1421" w:rsidP="00487A02">
      <w:pPr>
        <w:pStyle w:val="InstructionsText2"/>
        <w:numPr>
          <w:ilvl w:val="0"/>
          <w:numId w:val="0"/>
        </w:numPr>
        <w:ind w:left="1353" w:hanging="360"/>
      </w:pPr>
      <w:fldSimple w:instr=" seq paragraphs ">
        <w:r w:rsidR="00D11E4C" w:rsidRPr="00AA1421">
          <w:rPr>
            <w:noProof/>
          </w:rPr>
          <w:t>149</w:t>
        </w:r>
      </w:fldSimple>
      <w:r w:rsidR="00D11E4C" w:rsidRPr="00AA1421">
        <w:t>.</w:t>
      </w:r>
      <w:r w:rsidR="00D11E4C" w:rsidRPr="00AA1421">
        <w:tab/>
        <w:t xml:space="preserve"> Straty wynikłe ze zwykłego zdarzenia ryzyka operacyjnego lub z wielu zdarzeń powiązanych z pierwotnym zdarzeniem ryzyka operacyjnego generującym zdarzenia lub straty („zdarzenie generujące”) są grupowane. Zgrupowane zdarzenia są traktowane i zgłaszane jako jedno zdarzenie, w wyniku czego sumowane są powiązane kwoty strat brutto względnie kwoty korekt strat.</w:t>
      </w:r>
    </w:p>
    <w:p w:rsidR="00FD54FC" w:rsidRPr="00AA1421" w:rsidRDefault="00AA1421" w:rsidP="00487A02">
      <w:pPr>
        <w:pStyle w:val="InstructionsText2"/>
        <w:numPr>
          <w:ilvl w:val="0"/>
          <w:numId w:val="0"/>
        </w:numPr>
        <w:ind w:left="1353" w:hanging="360"/>
      </w:pPr>
      <w:fldSimple w:instr=" seq paragraphs ">
        <w:r w:rsidR="00D11E4C" w:rsidRPr="00AA1421">
          <w:rPr>
            <w:noProof/>
          </w:rPr>
          <w:t>150</w:t>
        </w:r>
      </w:fldSimple>
      <w:r w:rsidR="00D11E4C" w:rsidRPr="00AA1421">
        <w:t>.</w:t>
      </w:r>
      <w:r w:rsidR="00D11E4C" w:rsidRPr="00AA1421">
        <w:tab/>
        <w:t xml:space="preserve"> Dane liczbowe przekazywane w czerwcu danego roku są danymi przejściowymi, podczas gdy ostateczne dane liczbowe zgłaszane są w grudniu. Dane liczbowe przekazywane w czerwcu mają zatem sześciomiesięczny okres odniesienia (tj. od dnia 1 stycznia do dnia 30 czerwca roku kalendarzowego), a dane liczbowe przekazywane w grudniu – dwunastomiesięczny okres odniesienia (tj. od dnia 1 stycznia do dnia 31 grudnia roku kalendarzowego). Zarówno w przypadku danych przekazywanych w czerwcu, jak i danych przekazywanych w grudniu „poprzednie sprawozdawcze okresy odniesienia” oznaczają wszystkie sprawozdawcze okresy odniesienia do okresu upływającego z końcem poprzedzającego roku kalendarzowego włącznie.</w:t>
      </w:r>
    </w:p>
    <w:p w:rsidR="00FD54FC" w:rsidRPr="00AA1421" w:rsidRDefault="00FD54FC" w:rsidP="00487A02">
      <w:pPr>
        <w:pStyle w:val="InstructionsText2"/>
        <w:numPr>
          <w:ilvl w:val="0"/>
          <w:numId w:val="0"/>
        </w:numPr>
        <w:ind w:left="1353" w:hanging="360"/>
      </w:pPr>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403714"/>
      <w:r w:rsidRPr="00AA1421">
        <w:rPr>
          <w:rFonts w:ascii="Times New Roman" w:hAnsi="Times New Roman"/>
          <w:sz w:val="24"/>
          <w:u w:val="none"/>
        </w:rPr>
        <w:t>4.2.2.</w:t>
      </w:r>
      <w:r w:rsidR="00D712CF" w:rsidRPr="00AA1421">
        <w:rPr>
          <w:u w:val="none"/>
        </w:rPr>
        <w:tab/>
      </w:r>
      <w:r w:rsidRPr="00AA1421">
        <w:rPr>
          <w:rFonts w:ascii="Times New Roman" w:hAnsi="Times New Roman"/>
          <w:sz w:val="24"/>
        </w:rPr>
        <w:t>C 17.01: Ryzyko operacyjne: straty i odzyskane należności według linii biznesowych i rodzajów zdarzeń straty w ostatnim roku (OPR SZCZEGÓŁY 1)</w:t>
      </w:r>
      <w:bookmarkEnd w:id="580"/>
      <w:bookmarkEnd w:id="581"/>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403715"/>
      <w:r w:rsidRPr="00AA1421">
        <w:rPr>
          <w:rFonts w:ascii="Times New Roman" w:hAnsi="Times New Roman"/>
          <w:sz w:val="24"/>
          <w:u w:val="none"/>
        </w:rPr>
        <w:t>4.2.2.1.</w:t>
      </w:r>
      <w:r w:rsidR="00D712CF" w:rsidRPr="00AA1421">
        <w:rPr>
          <w:u w:val="none"/>
        </w:rPr>
        <w:tab/>
      </w:r>
      <w:r w:rsidRPr="00AA1421">
        <w:rPr>
          <w:rFonts w:ascii="Times New Roman" w:hAnsi="Times New Roman"/>
          <w:sz w:val="24"/>
        </w:rPr>
        <w:t>Uwagi ogólne</w:t>
      </w:r>
      <w:bookmarkEnd w:id="582"/>
      <w:bookmarkEnd w:id="583"/>
    </w:p>
    <w:p w:rsidR="00FD54FC" w:rsidRPr="00AA1421" w:rsidRDefault="00AA1421" w:rsidP="00487A02">
      <w:pPr>
        <w:pStyle w:val="InstructionsText2"/>
        <w:numPr>
          <w:ilvl w:val="0"/>
          <w:numId w:val="0"/>
        </w:numPr>
        <w:ind w:left="1353" w:hanging="360"/>
      </w:pPr>
      <w:fldSimple w:instr=" seq paragraphs ">
        <w:r w:rsidR="00D11E4C" w:rsidRPr="00AA1421">
          <w:rPr>
            <w:noProof/>
          </w:rPr>
          <w:t>151</w:t>
        </w:r>
      </w:fldSimple>
      <w:r w:rsidR="00D11E4C" w:rsidRPr="00AA1421">
        <w:t xml:space="preserve">. We wzorze C 17.01 informacje przedstawia się, rozkładając straty i odzyskane należności przekraczające wewnętrzne progi na linie biznesowe (wykazane w tabeli 2 w </w:t>
      </w:r>
      <w:r w:rsidR="00D11E4C" w:rsidRPr="00084F66">
        <w:t>art.</w:t>
      </w:r>
      <w:r w:rsidR="00084F66" w:rsidRPr="00084F66">
        <w:t> </w:t>
      </w:r>
      <w:r w:rsidR="00D11E4C" w:rsidRPr="00084F66">
        <w:t>3</w:t>
      </w:r>
      <w:r w:rsidR="00D11E4C" w:rsidRPr="00AA1421">
        <w:t xml:space="preserve">17 CRR, w tym dodatkową linię biznesową „pozycje korporacyjne”, o której mowa w </w:t>
      </w:r>
      <w:r w:rsidR="00D11E4C" w:rsidRPr="00084F66">
        <w:t>art.</w:t>
      </w:r>
      <w:r w:rsidR="00084F66" w:rsidRPr="00084F66">
        <w:t> </w:t>
      </w:r>
      <w:r w:rsidR="00D11E4C" w:rsidRPr="00084F66">
        <w:t>3</w:t>
      </w:r>
      <w:r w:rsidR="00D11E4C" w:rsidRPr="00AA1421">
        <w:t xml:space="preserve">22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b)</w:t>
      </w:r>
      <w:r w:rsidR="00D11E4C" w:rsidRPr="00AA1421">
        <w:t xml:space="preserve"> CRR) i rodzaje zdarzeń straty (o których mowa w </w:t>
      </w:r>
      <w:r w:rsidR="00D11E4C" w:rsidRPr="00084F66">
        <w:t>art.</w:t>
      </w:r>
      <w:r w:rsidR="00084F66" w:rsidRPr="00084F66">
        <w:t> </w:t>
      </w:r>
      <w:r w:rsidR="00D11E4C" w:rsidRPr="00084F66">
        <w:t>3</w:t>
      </w:r>
      <w:r w:rsidR="00D11E4C" w:rsidRPr="00AA1421">
        <w:t>24 CRR). Możliwe jest rozłożenie strat odpowiadających jednemu zdarzeniu straty na kilka linii biznesowych.</w:t>
      </w:r>
    </w:p>
    <w:p w:rsidR="00FD54FC" w:rsidRPr="00AA1421" w:rsidRDefault="00AA1421" w:rsidP="00487A02">
      <w:pPr>
        <w:pStyle w:val="InstructionsText2"/>
        <w:numPr>
          <w:ilvl w:val="0"/>
          <w:numId w:val="0"/>
        </w:numPr>
        <w:ind w:left="1353" w:hanging="360"/>
      </w:pPr>
      <w:fldSimple w:instr=" seq paragraphs ">
        <w:r w:rsidR="00D11E4C" w:rsidRPr="00AA1421">
          <w:rPr>
            <w:noProof/>
          </w:rPr>
          <w:t>152</w:t>
        </w:r>
      </w:fldSimple>
      <w:r w:rsidR="00D11E4C" w:rsidRPr="00AA1421">
        <w:t>. W kolumnach przedstawiono różne rodzaje zdarzeń straty i sumy łączne w odniesieniu do każdej linii biznesowej wraz z pozycją uzupełniającą, w której wska</w:t>
      </w:r>
      <w:r w:rsidR="00D11E4C" w:rsidRPr="00AA1421">
        <w:lastRenderedPageBreak/>
        <w:t>zano najniższy wewnętrzny próg zastosowany przy gromadzeniu danych o stratach, podając w ramach każdej linii biznesowej najniższy i najwyższy próg, w przypadku gdy istnieje więcej niż jeden.</w:t>
      </w:r>
    </w:p>
    <w:p w:rsidR="00FD54FC" w:rsidRPr="00AA1421" w:rsidRDefault="00AA1421" w:rsidP="00487A02">
      <w:pPr>
        <w:pStyle w:val="InstructionsText2"/>
        <w:numPr>
          <w:ilvl w:val="0"/>
          <w:numId w:val="0"/>
        </w:numPr>
        <w:ind w:left="1353" w:hanging="360"/>
      </w:pPr>
      <w:fldSimple w:instr=" seq paragraphs ">
        <w:r w:rsidR="00D11E4C" w:rsidRPr="00AA1421">
          <w:rPr>
            <w:noProof/>
          </w:rPr>
          <w:t>153</w:t>
        </w:r>
      </w:fldSimple>
      <w:r w:rsidR="00D11E4C" w:rsidRPr="00AA1421">
        <w:t>.</w:t>
      </w:r>
      <w:r w:rsidR="00D11E4C" w:rsidRPr="00AA1421">
        <w:tab/>
        <w:t xml:space="preserve"> W wierszach przedstawia się linie biznesowe, a w ramach każdej linii biznesowej informacje dotyczące liczby zdarzeń straty (nowe zdarzenia straty), kwoty strat brutto (nowe zdarzenia), liczby zdarzeń straty objętych korektami strat, korekt strat dotyczących poprzednich okresów sprawozdawczych, maksymalnej pojedynczej straty, sumy pięciu największych strat oraz informacje dotyczące całkowitych odzyskanych należności (bezpośrednio odzyskane należności oraz należności odzyskane z ubezpieczenia i innych mechanizmów transferu ryzyka).</w:t>
      </w:r>
    </w:p>
    <w:p w:rsidR="00FD54FC" w:rsidRPr="00AA1421" w:rsidRDefault="00AA1421" w:rsidP="00487A02">
      <w:pPr>
        <w:pStyle w:val="InstructionsText2"/>
        <w:numPr>
          <w:ilvl w:val="0"/>
          <w:numId w:val="0"/>
        </w:numPr>
        <w:ind w:left="1353" w:hanging="360"/>
      </w:pPr>
      <w:fldSimple w:instr=" seq paragraphs ">
        <w:r w:rsidR="00D11E4C" w:rsidRPr="00AA1421">
          <w:rPr>
            <w:noProof/>
          </w:rPr>
          <w:t>154</w:t>
        </w:r>
      </w:fldSimple>
      <w:r w:rsidR="00D11E4C" w:rsidRPr="00AA1421">
        <w:t xml:space="preserve">. W odniesieniu do „linii biznesowych razem” dane dotyczące liczby zdarzeń straty i kwoty strat brutto zgłasza się również w odniesieniu do niektórych przedziałów ustalonych na podstawie określonych progów, </w:t>
      </w:r>
      <w:r w:rsidR="00D11E4C" w:rsidRPr="00084F66">
        <w:t>tj.</w:t>
      </w:r>
      <w:r w:rsidR="00084F66" w:rsidRPr="00084F66">
        <w:t> </w:t>
      </w:r>
      <w:r w:rsidR="00D11E4C" w:rsidRPr="00084F66">
        <w:t>1</w:t>
      </w:r>
      <w:r w:rsidR="00D11E4C" w:rsidRPr="00AA1421">
        <w:t>0 000, 20 000, 100 000 oraz 1 000 000. Progi te określone są w EUR i są uwzględnione do celów porównywalności strat zgłaszanych przez instytucje. Progi te nie są zatem koniecznie związane z progami minimalnych strat stosowanymi do celów gromadzenia wewnętrznych danych dotyczących strat, które są zgłaszane w innej sekcji wzoru.</w:t>
      </w:r>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403716"/>
      <w:r w:rsidRPr="00AA1421">
        <w:rPr>
          <w:rFonts w:ascii="Times New Roman" w:hAnsi="Times New Roman"/>
          <w:sz w:val="24"/>
          <w:u w:val="none"/>
        </w:rPr>
        <w:t>4.2.2.2.</w:t>
      </w:r>
      <w:r w:rsidR="00D712CF" w:rsidRPr="00AA1421">
        <w:rPr>
          <w:u w:val="none"/>
        </w:rPr>
        <w:tab/>
      </w:r>
      <w:r w:rsidRPr="00AA1421">
        <w:rPr>
          <w:rFonts w:ascii="Times New Roman" w:hAnsi="Times New Roman"/>
          <w:sz w:val="24"/>
        </w:rPr>
        <w:t>Instrukcje dotyczące poszczególnych pozycji</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AA1421" w:rsidTr="00672D2A">
        <w:trPr>
          <w:trHeight w:val="576"/>
        </w:trPr>
        <w:tc>
          <w:tcPr>
            <w:tcW w:w="9180" w:type="dxa"/>
            <w:gridSpan w:val="2"/>
            <w:shd w:val="clear" w:color="auto" w:fill="CCCCCC"/>
          </w:tcPr>
          <w:p w:rsidR="00FD54FC" w:rsidRPr="00AA1421" w:rsidRDefault="00FD54FC" w:rsidP="00FD54FC">
            <w:pPr>
              <w:autoSpaceDE w:val="0"/>
              <w:autoSpaceDN w:val="0"/>
              <w:adjustRightInd w:val="0"/>
              <w:spacing w:after="0"/>
              <w:rPr>
                <w:rFonts w:ascii="Times New Roman" w:hAnsi="Times New Roman"/>
                <w:b/>
                <w:bCs/>
                <w:sz w:val="24"/>
              </w:rPr>
            </w:pPr>
            <w:r w:rsidRPr="00AA1421">
              <w:rPr>
                <w:rFonts w:ascii="Times New Roman" w:hAnsi="Times New Roman"/>
                <w:b/>
                <w:bCs/>
                <w:sz w:val="24"/>
              </w:rPr>
              <w:t>Kolumny</w:t>
            </w:r>
          </w:p>
        </w:tc>
      </w:tr>
      <w:tr w:rsidR="00FD54FC" w:rsidRPr="00AA1421" w:rsidTr="00672D2A">
        <w:tc>
          <w:tcPr>
            <w:tcW w:w="985" w:type="dxa"/>
          </w:tcPr>
          <w:p w:rsidR="00FD54FC" w:rsidRPr="00AA1421" w:rsidRDefault="00C93FC2"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t>0010–0070</w:t>
            </w:r>
          </w:p>
        </w:tc>
        <w:tc>
          <w:tcPr>
            <w:tcW w:w="8195" w:type="dxa"/>
          </w:tcPr>
          <w:p w:rsidR="00FD54FC" w:rsidRPr="00AA1421" w:rsidRDefault="00FD54FC" w:rsidP="00FD54FC">
            <w:pPr>
              <w:autoSpaceDE w:val="0"/>
              <w:autoSpaceDN w:val="0"/>
              <w:adjustRightInd w:val="0"/>
              <w:spacing w:before="0" w:after="0"/>
              <w:rPr>
                <w:rStyle w:val="InstructionsTabelleberschrift"/>
                <w:rFonts w:ascii="Times New Roman" w:hAnsi="Times New Roman"/>
                <w:sz w:val="24"/>
              </w:rPr>
            </w:pPr>
            <w:r w:rsidRPr="00AA1421">
              <w:rPr>
                <w:rStyle w:val="InstructionsTabelleberschrift"/>
                <w:rFonts w:ascii="Times New Roman" w:hAnsi="Times New Roman"/>
                <w:sz w:val="24"/>
              </w:rPr>
              <w:t>RODZAJE ZDARZEŃ</w:t>
            </w:r>
          </w:p>
          <w:p w:rsidR="00FD54FC" w:rsidRPr="00AA1421" w:rsidRDefault="00FD54FC" w:rsidP="00FD54FC">
            <w:pPr>
              <w:rPr>
                <w:rFonts w:ascii="Times New Roman" w:hAnsi="Times New Roman"/>
                <w:sz w:val="24"/>
              </w:rPr>
            </w:pPr>
            <w:r w:rsidRPr="00AA1421">
              <w:rPr>
                <w:rFonts w:ascii="Times New Roman" w:hAnsi="Times New Roman"/>
                <w:sz w:val="24"/>
              </w:rPr>
              <w:t xml:space="preserve">Instytucje zgłaszają straty w odpowiednich kolumnach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010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070 według rodzajów zdarzeń straty,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24 CRR. </w:t>
            </w:r>
          </w:p>
          <w:p w:rsidR="00FD54FC" w:rsidRPr="00AA1421" w:rsidRDefault="00FD54FC" w:rsidP="00871877">
            <w:pPr>
              <w:rPr>
                <w:rFonts w:ascii="Times New Roman" w:hAnsi="Times New Roman"/>
                <w:bCs/>
                <w:sz w:val="24"/>
              </w:rPr>
            </w:pPr>
            <w:r w:rsidRPr="00AA1421">
              <w:rPr>
                <w:rFonts w:ascii="Times New Roman" w:hAnsi="Times New Roman"/>
                <w:bCs/>
                <w:sz w:val="24"/>
              </w:rPr>
              <w:t>Instytucje, które obliczają swoje wymogi w zakresie funduszy własnych zgodnie z metodą wskaźnika bazowego, mogą zgłaszać te straty, w odniesieniu do których nie zidentyfikowano rodzaju zdarzenia straty, wyłącznie w kolumnie 080.</w:t>
            </w:r>
          </w:p>
        </w:tc>
      </w:tr>
      <w:tr w:rsidR="00FD54FC" w:rsidRPr="00AA1421" w:rsidTr="00672D2A">
        <w:tc>
          <w:tcPr>
            <w:tcW w:w="985" w:type="dxa"/>
          </w:tcPr>
          <w:p w:rsidR="00FD54FC" w:rsidRPr="00AA1421" w:rsidRDefault="00C93FC2" w:rsidP="00FD54FC">
            <w:pPr>
              <w:autoSpaceDE w:val="0"/>
              <w:autoSpaceDN w:val="0"/>
              <w:adjustRightInd w:val="0"/>
              <w:spacing w:before="0" w:after="0"/>
              <w:rPr>
                <w:rFonts w:ascii="Times New Roman" w:hAnsi="Times New Roman"/>
                <w:bCs/>
                <w:sz w:val="24"/>
              </w:rPr>
            </w:pPr>
            <w:r w:rsidRPr="00AA1421">
              <w:rPr>
                <w:rFonts w:ascii="Times New Roman" w:hAnsi="Times New Roman"/>
                <w:bCs/>
                <w:sz w:val="24"/>
              </w:rPr>
              <w:t>0080</w:t>
            </w:r>
          </w:p>
        </w:tc>
        <w:tc>
          <w:tcPr>
            <w:tcW w:w="8195" w:type="dxa"/>
          </w:tcPr>
          <w:p w:rsidR="00FD54FC" w:rsidRPr="00AA1421" w:rsidRDefault="00FD54FC" w:rsidP="00FD54FC">
            <w:pPr>
              <w:autoSpaceDE w:val="0"/>
              <w:autoSpaceDN w:val="0"/>
              <w:adjustRightInd w:val="0"/>
              <w:spacing w:before="0" w:after="0"/>
              <w:rPr>
                <w:rStyle w:val="InstructionsTabelleberschrift"/>
                <w:rFonts w:ascii="Times New Roman" w:hAnsi="Times New Roman"/>
                <w:sz w:val="24"/>
              </w:rPr>
            </w:pPr>
            <w:r w:rsidRPr="00AA1421">
              <w:rPr>
                <w:rStyle w:val="InstructionsTabelleberschrift"/>
                <w:rFonts w:ascii="Times New Roman" w:hAnsi="Times New Roman"/>
                <w:sz w:val="24"/>
              </w:rPr>
              <w:t>RODZAJE ZDARZEŃ STRATY RAZEM</w:t>
            </w:r>
          </w:p>
          <w:p w:rsidR="008D30F0" w:rsidRPr="00AA1421" w:rsidRDefault="00FD54FC" w:rsidP="00FD54FC">
            <w:pPr>
              <w:rPr>
                <w:rStyle w:val="InstructionsTabelleText"/>
                <w:rFonts w:ascii="Times New Roman" w:hAnsi="Times New Roman"/>
                <w:sz w:val="24"/>
              </w:rPr>
            </w:pPr>
            <w:r w:rsidRPr="00AA1421">
              <w:rPr>
                <w:rStyle w:val="InstructionsTabelleText"/>
                <w:rFonts w:ascii="Times New Roman" w:hAnsi="Times New Roman"/>
                <w:sz w:val="24"/>
              </w:rPr>
              <w:t>W kolumnie 0080 w odniesieniu do każdej linii biznesowej instytucje zgłaszają łączną „liczbę zdarzeń straty (nowe zdarzenia straty)”, łączną „kwotę strat brutto (nowe zdarzenia straty)”, łączną „liczbę zdarzeń straty objętych korektami strat”, łączne „korekty strat dotyczących poprzednich okresów sprawozdawczych”, „maksymalną pojedynczą stratę”, „sumę pięciu największych strat”, łączne „całkowite bezpośrednio odzyskane należności” oraz łączne „całkowite należności odzyskane z ubezpieczenia i innych mechanizmów transferu ryzyka”.</w:t>
            </w:r>
          </w:p>
          <w:p w:rsidR="00FD54FC" w:rsidRPr="00AA1421" w:rsidRDefault="00FD54FC" w:rsidP="00FD54FC">
            <w:pPr>
              <w:rPr>
                <w:rStyle w:val="InstructionsTabelleText"/>
                <w:rFonts w:ascii="Times New Roman" w:hAnsi="Times New Roman"/>
                <w:sz w:val="24"/>
              </w:rPr>
            </w:pPr>
            <w:r w:rsidRPr="00AA1421">
              <w:rPr>
                <w:rStyle w:val="InstructionsTabelleText"/>
                <w:rFonts w:ascii="Times New Roman" w:hAnsi="Times New Roman"/>
                <w:sz w:val="24"/>
              </w:rPr>
              <w:t xml:space="preserve">Założywszy, że instytucja określiła rodzaje zdarzeń straty dla wszystkich strat, kolumna 080 pokazuje prostą agregację liczby zdarzeń straty, całkowitych kwot strat brutto, całkowitych kwot odzyskanych należności oraz „korekt strat dotyczących poprzednich okresów sprawozdawczych” zgłoszonych w kolumnach </w:t>
            </w:r>
            <w:r w:rsidRPr="00084F66">
              <w:rPr>
                <w:rStyle w:val="InstructionsTabelleText"/>
                <w:rFonts w:ascii="Times New Roman" w:hAnsi="Times New Roman"/>
                <w:sz w:val="24"/>
              </w:rPr>
              <w:t>od</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0</w:t>
            </w:r>
            <w:r w:rsidRPr="00AA1421">
              <w:rPr>
                <w:rStyle w:val="InstructionsTabelleText"/>
                <w:rFonts w:ascii="Times New Roman" w:hAnsi="Times New Roman"/>
                <w:sz w:val="24"/>
              </w:rPr>
              <w:t xml:space="preserve">010 </w:t>
            </w:r>
            <w:r w:rsidRPr="00084F66">
              <w:rPr>
                <w:rStyle w:val="InstructionsTabelleText"/>
                <w:rFonts w:ascii="Times New Roman" w:hAnsi="Times New Roman"/>
                <w:sz w:val="24"/>
              </w:rPr>
              <w:t>do</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0</w:t>
            </w:r>
            <w:r w:rsidRPr="00AA1421">
              <w:rPr>
                <w:rStyle w:val="InstructionsTabelleText"/>
                <w:rFonts w:ascii="Times New Roman" w:hAnsi="Times New Roman"/>
                <w:sz w:val="24"/>
              </w:rPr>
              <w:t xml:space="preserve">070. </w:t>
            </w:r>
          </w:p>
          <w:p w:rsidR="00FD54FC" w:rsidRPr="00AA1421" w:rsidRDefault="00FD54FC" w:rsidP="00FD54FC">
            <w:pPr>
              <w:rPr>
                <w:rStyle w:val="InstructionsTabelleText"/>
                <w:rFonts w:ascii="Times New Roman" w:hAnsi="Times New Roman"/>
                <w:sz w:val="24"/>
              </w:rPr>
            </w:pPr>
            <w:r w:rsidRPr="00AA1421">
              <w:rPr>
                <w:rStyle w:val="InstructionsTabelleText"/>
                <w:rFonts w:ascii="Times New Roman" w:hAnsi="Times New Roman"/>
                <w:sz w:val="24"/>
              </w:rPr>
              <w:t xml:space="preserve">„Maksymalna pojedyncza strata” zgłoszona w kolumnie 0080 oznacza maksymalną pojedynczą stratę w ramach linii biznesowej i jest identyczna z maksymalną wartością „maksymalnych pojedynczych strat” zgłoszonych w kolumnach </w:t>
            </w:r>
            <w:r w:rsidRPr="00084F66">
              <w:rPr>
                <w:rStyle w:val="InstructionsTabelleText"/>
                <w:rFonts w:ascii="Times New Roman" w:hAnsi="Times New Roman"/>
                <w:sz w:val="24"/>
              </w:rPr>
              <w:lastRenderedPageBreak/>
              <w:t>od</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0</w:t>
            </w:r>
            <w:r w:rsidRPr="00AA1421">
              <w:rPr>
                <w:rStyle w:val="InstructionsTabelleText"/>
                <w:rFonts w:ascii="Times New Roman" w:hAnsi="Times New Roman"/>
                <w:sz w:val="24"/>
              </w:rPr>
              <w:t xml:space="preserve">010 </w:t>
            </w:r>
            <w:r w:rsidRPr="00084F66">
              <w:rPr>
                <w:rStyle w:val="InstructionsTabelleText"/>
                <w:rFonts w:ascii="Times New Roman" w:hAnsi="Times New Roman"/>
                <w:sz w:val="24"/>
              </w:rPr>
              <w:t>do</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0</w:t>
            </w:r>
            <w:r w:rsidRPr="00AA1421">
              <w:rPr>
                <w:rStyle w:val="InstructionsTabelleText"/>
                <w:rFonts w:ascii="Times New Roman" w:hAnsi="Times New Roman"/>
                <w:sz w:val="24"/>
              </w:rPr>
              <w:t xml:space="preserve">070, założywszy, że instytucja określiła rodzaje zdarzeń straty dla wszystkich strat. </w:t>
            </w:r>
          </w:p>
          <w:p w:rsidR="00FD54FC" w:rsidRPr="00AA1421" w:rsidRDefault="00FD54FC" w:rsidP="00FD54FC">
            <w:pPr>
              <w:rPr>
                <w:rFonts w:ascii="Times New Roman" w:hAnsi="Times New Roman"/>
                <w:bCs/>
                <w:sz w:val="24"/>
              </w:rPr>
            </w:pPr>
            <w:r w:rsidRPr="00AA1421">
              <w:rPr>
                <w:rStyle w:val="InstructionsTabelleText"/>
                <w:rFonts w:ascii="Times New Roman" w:hAnsi="Times New Roman"/>
                <w:sz w:val="24"/>
              </w:rPr>
              <w:t>W odniesieniu do sumy pięciu największych strat w kolumnie 0080 zgłasza się sumę pięciu największych strat w ramach jednej linii biznesowej.</w:t>
            </w:r>
          </w:p>
        </w:tc>
      </w:tr>
      <w:tr w:rsidR="00FD54FC" w:rsidRPr="00AA1421" w:rsidTr="00672D2A">
        <w:tc>
          <w:tcPr>
            <w:tcW w:w="985" w:type="dxa"/>
          </w:tcPr>
          <w:p w:rsidR="00FD54FC" w:rsidRPr="00AA1421" w:rsidRDefault="00C93FC2" w:rsidP="000F70EC">
            <w:pPr>
              <w:autoSpaceDE w:val="0"/>
              <w:autoSpaceDN w:val="0"/>
              <w:adjustRightInd w:val="0"/>
              <w:spacing w:before="0" w:after="0"/>
              <w:rPr>
                <w:rFonts w:ascii="Times New Roman" w:hAnsi="Times New Roman"/>
                <w:bCs/>
                <w:sz w:val="24"/>
              </w:rPr>
            </w:pPr>
            <w:r w:rsidRPr="00AA1421">
              <w:rPr>
                <w:rFonts w:ascii="Times New Roman" w:hAnsi="Times New Roman"/>
                <w:bCs/>
                <w:sz w:val="24"/>
              </w:rPr>
              <w:lastRenderedPageBreak/>
              <w:t>0090–0100</w:t>
            </w:r>
          </w:p>
        </w:tc>
        <w:tc>
          <w:tcPr>
            <w:tcW w:w="8195" w:type="dxa"/>
          </w:tcPr>
          <w:p w:rsidR="00FD54FC" w:rsidRPr="00AA1421" w:rsidRDefault="00FD54FC" w:rsidP="00FD54FC">
            <w:pPr>
              <w:autoSpaceDE w:val="0"/>
              <w:autoSpaceDN w:val="0"/>
              <w:adjustRightInd w:val="0"/>
              <w:spacing w:before="0" w:after="0"/>
              <w:rPr>
                <w:rFonts w:ascii="Times New Roman" w:hAnsi="Times New Roman"/>
                <w:sz w:val="24"/>
              </w:rPr>
            </w:pPr>
            <w:r w:rsidRPr="00AA1421">
              <w:rPr>
                <w:rStyle w:val="InstructionsTabelleberschrift"/>
                <w:rFonts w:ascii="Times New Roman" w:hAnsi="Times New Roman"/>
                <w:sz w:val="24"/>
              </w:rPr>
              <w:t>POZYCJA UZUPEŁNIAJĄCA: PRÓG STOSOWANY NA POTRZEBY GROMADZENIA DANYCH</w:t>
            </w:r>
          </w:p>
          <w:p w:rsidR="00FD54FC" w:rsidRPr="00AA1421" w:rsidRDefault="00FD54FC" w:rsidP="00FD54FC">
            <w:pPr>
              <w:autoSpaceDE w:val="0"/>
              <w:autoSpaceDN w:val="0"/>
              <w:adjustRightInd w:val="0"/>
              <w:spacing w:before="0" w:after="0"/>
              <w:rPr>
                <w:rStyle w:val="InstructionsTabelleText"/>
                <w:rFonts w:ascii="Times New Roman" w:hAnsi="Times New Roman"/>
                <w:sz w:val="24"/>
              </w:rPr>
            </w:pPr>
            <w:r w:rsidRPr="00AA1421">
              <w:rPr>
                <w:rStyle w:val="InstructionsTabelleText"/>
                <w:rFonts w:ascii="Times New Roman" w:hAnsi="Times New Roman"/>
                <w:sz w:val="24"/>
              </w:rPr>
              <w:t xml:space="preserve">W kolumnach 0090 i 0100 instytucje zgłaszają progi minimalnych strat, które stosują do celów gromadzenia wewnętrznych danych o stratach zgodnie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22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c)</w:t>
            </w:r>
            <w:r w:rsidRPr="00AA1421">
              <w:rPr>
                <w:rStyle w:val="InstructionsTabelleText"/>
                <w:rFonts w:ascii="Times New Roman" w:hAnsi="Times New Roman"/>
                <w:sz w:val="24"/>
              </w:rPr>
              <w:t xml:space="preserve"> zdanie ostatnie CRR. </w:t>
            </w:r>
          </w:p>
          <w:p w:rsidR="00FD54FC" w:rsidRPr="00AA1421" w:rsidRDefault="001F6487" w:rsidP="00FD54FC">
            <w:pPr>
              <w:autoSpaceDE w:val="0"/>
              <w:autoSpaceDN w:val="0"/>
              <w:adjustRightInd w:val="0"/>
              <w:spacing w:before="0" w:after="0"/>
              <w:rPr>
                <w:rStyle w:val="InstructionsTabelleText"/>
                <w:rFonts w:ascii="Times New Roman" w:hAnsi="Times New Roman"/>
                <w:sz w:val="24"/>
              </w:rPr>
            </w:pPr>
            <w:r w:rsidRPr="00AA1421">
              <w:rPr>
                <w:rStyle w:val="InstructionsTabelleText"/>
                <w:rFonts w:ascii="Times New Roman" w:hAnsi="Times New Roman"/>
                <w:sz w:val="24"/>
              </w:rPr>
              <w:t xml:space="preserve">Jeżeli instytucja stosuje tylko jeden próg w odniesieniu do każdej linii biznesowej, należy wypełnić jedynie kolumnę 0090. </w:t>
            </w:r>
          </w:p>
          <w:p w:rsidR="00650B6C" w:rsidRPr="00AA1421" w:rsidRDefault="001F6487" w:rsidP="0002267E">
            <w:pPr>
              <w:rPr>
                <w:rStyle w:val="InstructionsTabelleText"/>
                <w:rFonts w:ascii="Times New Roman" w:hAnsi="Times New Roman"/>
                <w:sz w:val="24"/>
              </w:rPr>
            </w:pPr>
            <w:r w:rsidRPr="00AA1421">
              <w:rPr>
                <w:rStyle w:val="InstructionsTabelleText"/>
                <w:rFonts w:ascii="Times New Roman" w:hAnsi="Times New Roman"/>
                <w:sz w:val="24"/>
              </w:rPr>
              <w:t>W przypadku gdy istnieją różne progi stosowane w ramach tych samych regulacyjnych linii biznesowych, należy wypełnić również najwyższy obowiązujący próg (kolumna 0100).</w:t>
            </w:r>
          </w:p>
        </w:tc>
      </w:tr>
    </w:tbl>
    <w:p w:rsidR="00FD54FC" w:rsidRPr="00AA1421"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AA1421" w:rsidTr="00672D2A">
        <w:trPr>
          <w:trHeight w:val="504"/>
        </w:trPr>
        <w:tc>
          <w:tcPr>
            <w:tcW w:w="9180" w:type="dxa"/>
            <w:gridSpan w:val="2"/>
            <w:shd w:val="clear" w:color="auto" w:fill="CCCCCC"/>
          </w:tcPr>
          <w:p w:rsidR="00FD54FC" w:rsidRPr="00AA1421" w:rsidRDefault="00FD54FC" w:rsidP="00FD54FC">
            <w:pPr>
              <w:autoSpaceDE w:val="0"/>
              <w:autoSpaceDN w:val="0"/>
              <w:adjustRightInd w:val="0"/>
              <w:spacing w:after="0"/>
              <w:rPr>
                <w:rFonts w:ascii="Times New Roman" w:hAnsi="Times New Roman"/>
                <w:b/>
                <w:bCs/>
                <w:sz w:val="24"/>
              </w:rPr>
            </w:pPr>
            <w:r w:rsidRPr="00AA1421">
              <w:rPr>
                <w:rFonts w:ascii="Times New Roman" w:hAnsi="Times New Roman"/>
                <w:b/>
                <w:bCs/>
                <w:sz w:val="24"/>
              </w:rPr>
              <w:t>Wiersze</w:t>
            </w:r>
          </w:p>
        </w:tc>
      </w:tr>
      <w:tr w:rsidR="00FD54FC" w:rsidRPr="00AA1421" w:rsidTr="00672D2A">
        <w:tc>
          <w:tcPr>
            <w:tcW w:w="1101" w:type="dxa"/>
          </w:tcPr>
          <w:p w:rsidR="00FD54FC" w:rsidRPr="00AA1421" w:rsidRDefault="00C93FC2" w:rsidP="000F70EC">
            <w:pPr>
              <w:rPr>
                <w:rFonts w:ascii="Times New Roman" w:hAnsi="Times New Roman"/>
                <w:bCs/>
                <w:sz w:val="24"/>
              </w:rPr>
            </w:pPr>
            <w:r w:rsidRPr="00AA1421">
              <w:rPr>
                <w:rFonts w:ascii="Times New Roman" w:hAnsi="Times New Roman"/>
                <w:sz w:val="24"/>
              </w:rPr>
              <w:t>0010</w:t>
            </w:r>
            <w:r w:rsidRPr="00AA1421">
              <w:rPr>
                <w:rFonts w:ascii="Times New Roman" w:hAnsi="Times New Roman"/>
                <w:bCs/>
                <w:sz w:val="24"/>
              </w:rPr>
              <w:t>–0880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LINIE BIZNESOWE: FINANSOWANIE PRZEDSIĘBIORSTW, HANDEL I SPRZEDAŻ, DETALICZNA DZIAŁALNOŚĆ BROKERSKA, BANKOWOŚĆ KOMERCYJNA, BANKOWOŚĆ DETALICZNA, PŁATNOŚCI I ROZLICZENIA, USŁUGI POŚREDNICTWA, ZARZĄDZANIE AKTYWAMI, POZYCJE KORPORACYJNE</w:t>
            </w:r>
          </w:p>
          <w:p w:rsidR="00FD54FC" w:rsidRPr="00AA1421" w:rsidRDefault="00FD54FC" w:rsidP="00FD54FC">
            <w:pPr>
              <w:pStyle w:val="PlainText"/>
              <w:jc w:val="both"/>
              <w:rPr>
                <w:rFonts w:ascii="Times New Roman" w:hAnsi="Times New Roman"/>
                <w:sz w:val="24"/>
                <w:szCs w:val="24"/>
              </w:rPr>
            </w:pPr>
            <w:r w:rsidRPr="00AA1421">
              <w:rPr>
                <w:rFonts w:ascii="Times New Roman" w:hAnsi="Times New Roman"/>
                <w:sz w:val="24"/>
                <w:szCs w:val="24"/>
              </w:rPr>
              <w:t xml:space="preserve">W odniesieniu do każdej linii biznesowej, o której mowa w tabeli 2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 xml:space="preserve">17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4</w:t>
            </w:r>
            <w:r w:rsidRPr="00AA1421">
              <w:rPr>
                <w:rFonts w:ascii="Times New Roman" w:hAnsi="Times New Roman"/>
                <w:sz w:val="24"/>
                <w:szCs w:val="24"/>
              </w:rPr>
              <w:t xml:space="preserve"> CRR, w tym do dodatkowej linii biznesowej „pozycje korporacyjne”, o której mowa w </w:t>
            </w:r>
            <w:r w:rsidRPr="00084F66">
              <w:rPr>
                <w:rFonts w:ascii="Times New Roman" w:hAnsi="Times New Roman"/>
                <w:sz w:val="24"/>
                <w:szCs w:val="24"/>
              </w:rPr>
              <w:t>art.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 xml:space="preserve">22 </w:t>
            </w:r>
            <w:r w:rsidRPr="00084F66">
              <w:rPr>
                <w:rFonts w:ascii="Times New Roman" w:hAnsi="Times New Roman"/>
                <w:sz w:val="24"/>
                <w:szCs w:val="24"/>
              </w:rPr>
              <w:t>ust.</w:t>
            </w:r>
            <w:r w:rsidR="00084F66" w:rsidRPr="00084F66">
              <w:rPr>
                <w:rFonts w:ascii="Times New Roman" w:hAnsi="Times New Roman"/>
                <w:sz w:val="24"/>
                <w:szCs w:val="24"/>
              </w:rPr>
              <w:t> </w:t>
            </w:r>
            <w:r w:rsidRPr="00084F66">
              <w:rPr>
                <w:rFonts w:ascii="Times New Roman" w:hAnsi="Times New Roman"/>
                <w:sz w:val="24"/>
                <w:szCs w:val="24"/>
              </w:rPr>
              <w:t>3</w:t>
            </w:r>
            <w:r w:rsidRPr="00AA1421">
              <w:rPr>
                <w:rFonts w:ascii="Times New Roman" w:hAnsi="Times New Roman"/>
                <w:sz w:val="24"/>
                <w:szCs w:val="24"/>
              </w:rPr>
              <w:t xml:space="preserve"> </w:t>
            </w:r>
            <w:r w:rsidRPr="00084F66">
              <w:rPr>
                <w:rFonts w:ascii="Times New Roman" w:hAnsi="Times New Roman"/>
                <w:sz w:val="24"/>
                <w:szCs w:val="24"/>
              </w:rPr>
              <w:t>lit.</w:t>
            </w:r>
            <w:r w:rsidR="00084F66" w:rsidRPr="00084F66">
              <w:rPr>
                <w:rFonts w:ascii="Times New Roman" w:hAnsi="Times New Roman"/>
                <w:sz w:val="24"/>
                <w:szCs w:val="24"/>
              </w:rPr>
              <w:t> </w:t>
            </w:r>
            <w:r w:rsidRPr="00084F66">
              <w:rPr>
                <w:rFonts w:ascii="Times New Roman" w:hAnsi="Times New Roman"/>
                <w:sz w:val="24"/>
                <w:szCs w:val="24"/>
              </w:rPr>
              <w:t>b)</w:t>
            </w:r>
            <w:r w:rsidRPr="00AA1421">
              <w:rPr>
                <w:rFonts w:ascii="Times New Roman" w:hAnsi="Times New Roman"/>
                <w:sz w:val="24"/>
                <w:szCs w:val="24"/>
              </w:rPr>
              <w:t xml:space="preserve"> CRR, i w odniesieniu do każdego rodzaju zdarzenia straty instytucja zgłasza następujące informacje według progów wewnętrznych: liczbę zdarzeń straty (nowe zdarzenia straty ), kwotę strat brutto (nowe zdarzenia straty ), liczbę zdarzeń straty objętych korektami strat, korekty strat dotyczących poprzednich okresów sprawozdawczych, maksymalną pojedynczą stratę, sumę pięciu największych strat, całkowite bezpośrednio odzyskane należności oraz całkowite należności odzyskane z ubezpieczenia i innych mechanizmów transferu ryzyka.</w:t>
            </w:r>
          </w:p>
          <w:p w:rsidR="00FD54FC" w:rsidRPr="00AA1421" w:rsidRDefault="00FD54FC" w:rsidP="00FD54FC">
            <w:pPr>
              <w:rPr>
                <w:rFonts w:ascii="Times New Roman" w:hAnsi="Times New Roman"/>
                <w:sz w:val="24"/>
              </w:rPr>
            </w:pPr>
            <w:r w:rsidRPr="00AA1421">
              <w:rPr>
                <w:rFonts w:ascii="Times New Roman" w:hAnsi="Times New Roman"/>
                <w:sz w:val="24"/>
              </w:rPr>
              <w:t>W odniesieniu do zdarzenia straty, które wpływa na więcej niż jedną linię biznesową, „kwotę strat brutto” rozkłada się na linie biznesowe, na które wywarło ono wpływ.</w:t>
            </w:r>
          </w:p>
          <w:p w:rsidR="00FD54FC" w:rsidRPr="00AA1421" w:rsidRDefault="00FD54FC" w:rsidP="00FD54FC">
            <w:pPr>
              <w:rPr>
                <w:rFonts w:ascii="Times New Roman" w:hAnsi="Times New Roman"/>
                <w:bCs/>
                <w:sz w:val="24"/>
              </w:rPr>
            </w:pPr>
            <w:r w:rsidRPr="00AA1421">
              <w:rPr>
                <w:rFonts w:ascii="Times New Roman" w:hAnsi="Times New Roman"/>
                <w:sz w:val="24"/>
              </w:rPr>
              <w:t>Instytucje, które obliczają swoje wymogi w zakresie funduszy własnych zgodnie z metodą wskaźnika bazowego, mogą zgłaszać te straty, w odniesieniu do których nie zidentyfikowano linii biznesowej, wyłącznie w wierszach 0910-0980.</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t xml:space="preserve">0010, 0110, 0210, 0310, 0410, 0510, 0610, </w:t>
            </w:r>
            <w:r w:rsidRPr="00AA1421">
              <w:rPr>
                <w:rFonts w:ascii="Times New Roman" w:hAnsi="Times New Roman"/>
                <w:bCs/>
                <w:sz w:val="24"/>
              </w:rPr>
              <w:lastRenderedPageBreak/>
              <w:t>0710, 0810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lastRenderedPageBreak/>
              <w:t>Liczba zdarzeń straty (nowe zdarzenia straty)</w:t>
            </w:r>
          </w:p>
          <w:p w:rsidR="00FD54FC" w:rsidRPr="00AA1421" w:rsidRDefault="00FD54FC" w:rsidP="00FD54FC">
            <w:pPr>
              <w:rPr>
                <w:rFonts w:ascii="Times New Roman" w:hAnsi="Times New Roman"/>
                <w:sz w:val="24"/>
              </w:rPr>
            </w:pPr>
            <w:r w:rsidRPr="00AA1421">
              <w:rPr>
                <w:rFonts w:ascii="Times New Roman" w:hAnsi="Times New Roman"/>
                <w:sz w:val="24"/>
              </w:rPr>
              <w:t>Liczba zdarzeń straty jest liczbą zdarzeń straty, w odniesieniu do których w sprawozdawczym okresie odniesienia zostały ujęte straty brutto.</w:t>
            </w:r>
          </w:p>
          <w:p w:rsidR="00FD54FC" w:rsidRPr="00AA1421" w:rsidRDefault="00FD54FC" w:rsidP="00FD54FC">
            <w:pPr>
              <w:rPr>
                <w:rFonts w:ascii="Times New Roman" w:hAnsi="Times New Roman"/>
                <w:sz w:val="24"/>
              </w:rPr>
            </w:pPr>
            <w:r w:rsidRPr="00AA1421">
              <w:rPr>
                <w:rFonts w:ascii="Times New Roman" w:hAnsi="Times New Roman"/>
                <w:sz w:val="24"/>
              </w:rPr>
              <w:t>Liczba zdarzeń straty odnosi się do „nowych zdarzeń”, tj. zdarzeń ryzyka operacyjnego:</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w:t>
            </w:r>
            <w:r w:rsidRPr="00AA1421">
              <w:tab/>
            </w:r>
            <w:r w:rsidRPr="00AA1421">
              <w:rPr>
                <w:rFonts w:ascii="Times New Roman" w:hAnsi="Times New Roman"/>
                <w:sz w:val="24"/>
              </w:rPr>
              <w:t>„ujętych po raz pierwszy” w sprawozdawczym okresie odniesienia; lub</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lastRenderedPageBreak/>
              <w:t>(ii)</w:t>
            </w:r>
            <w:r w:rsidRPr="00AA1421">
              <w:tab/>
            </w:r>
            <w:r w:rsidRPr="00AA1421">
              <w:rPr>
                <w:rFonts w:ascii="Times New Roman" w:hAnsi="Times New Roman"/>
                <w:sz w:val="24"/>
              </w:rPr>
              <w:t>„ujętych po raz pierwszy” w poprzednim sprawozdawczym okresie odniesienia, jeżeli zdarzenie straty nie zostało uwzględnione w żadnym poprzednim sprawozdaniu dla organów nadzoru, np. ponieważ zostało określone jako zdarzenie straty wynikłe z ryzyka operacyjnego dopiero w bieżącym sprawozdawczym okresie odniesienia lub ponieważ skumulowana strata możliwa do przypisania temu zdarzeniu straty (tj. pierwotna strata plus/minus wszystkie korekty straty dokonane w poprzednich sprawozdawczych okresach odniesienia) przekroczyła próg gromadzenia wewnętrznych danych dopiero w bieżącym sprawozdawczym okresie odniesienia.</w:t>
            </w:r>
          </w:p>
          <w:p w:rsidR="00FD54FC" w:rsidRPr="00AA1421" w:rsidRDefault="00FD54FC" w:rsidP="005F1EB8">
            <w:pPr>
              <w:rPr>
                <w:rStyle w:val="InstructionsTabelleberschrift"/>
                <w:rFonts w:ascii="Times New Roman" w:hAnsi="Times New Roman"/>
                <w:sz w:val="24"/>
              </w:rPr>
            </w:pPr>
            <w:r w:rsidRPr="00AA1421">
              <w:rPr>
                <w:rFonts w:ascii="Times New Roman" w:hAnsi="Times New Roman"/>
                <w:sz w:val="24"/>
              </w:rPr>
              <w:t>„Nowe zdarzenia straty” nie obejmują zdarzeń straty „ujętych po raz pierwszy” w poprzednim sprawozdawczym okresie odniesienia, które zostały już uwzględnione w poprzednich sprawozdaniach dla organów nadzoru.</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lastRenderedPageBreak/>
              <w:t>0020, 0120, 0220, 0320, 0420, 0520, 0620, 0720, 0820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Kwota strat brutto (nowe zdarzenia straty)</w:t>
            </w:r>
          </w:p>
          <w:p w:rsidR="00FD54FC" w:rsidRPr="00AA1421" w:rsidRDefault="00FD54FC" w:rsidP="00FD54FC">
            <w:pPr>
              <w:rPr>
                <w:rFonts w:ascii="Times New Roman" w:hAnsi="Times New Roman"/>
                <w:sz w:val="24"/>
              </w:rPr>
            </w:pPr>
            <w:r w:rsidRPr="00AA1421">
              <w:rPr>
                <w:rFonts w:ascii="Times New Roman" w:hAnsi="Times New Roman"/>
                <w:sz w:val="24"/>
              </w:rPr>
              <w:t>Kwota strat brutto jest kwotą strat brutto dotyczących zdarzeń straty wynikłych z ryzyka operacyjnego (np. opłaty bezpośrednie, rezerwy, rozrachunki). Wszystkie straty związane z pojedynczym zdarzeniem straty, które są ujmowane w sprawozdawczym okresie odniesienia, są sumowane i traktowane jako strata brutto dla tego zdarzenia straty w danym sprawozdawczym okresie odniesienia.</w:t>
            </w:r>
          </w:p>
          <w:p w:rsidR="00FD54FC" w:rsidRPr="00AA1421" w:rsidRDefault="00FD54FC" w:rsidP="00FD54FC">
            <w:pPr>
              <w:rPr>
                <w:rFonts w:ascii="Times New Roman" w:hAnsi="Times New Roman"/>
                <w:sz w:val="24"/>
              </w:rPr>
            </w:pPr>
            <w:r w:rsidRPr="00AA1421">
              <w:rPr>
                <w:rFonts w:ascii="Times New Roman" w:hAnsi="Times New Roman"/>
                <w:sz w:val="24"/>
              </w:rPr>
              <w:t>Zgłoszona kwota straty brutto odnosi się do „nowych zdarzeń straty”, o których mowa w wierszu powyżej niniejszej tabeli. W przypadku zdarzeń straty „ujętych po raz pierwszy” w poprzednim sprawozdawczym okresie odniesienia, które nie zostały uwzględnione w żadnym poprzednim sprawozdaniu dla organów nadzoru, całkowita skumulowana strata do sprawozdawczego dnia odniesienia (tj. pierwotna strata plus/minus wszystkie korekty straty dokonane w poprzednich sprawozdawczych okresach odniesienia) jest zgłaszana jako strata brutto na sprawozdawczy dzień odniesienia.</w:t>
            </w:r>
          </w:p>
          <w:p w:rsidR="00FD54FC" w:rsidRPr="00AA1421" w:rsidRDefault="00FD54FC" w:rsidP="00F52FC6">
            <w:pPr>
              <w:rPr>
                <w:rStyle w:val="InstructionsTabelleberschrift"/>
                <w:rFonts w:ascii="Times New Roman" w:hAnsi="Times New Roman"/>
                <w:sz w:val="24"/>
              </w:rPr>
            </w:pPr>
            <w:r w:rsidRPr="00AA1421">
              <w:rPr>
                <w:rFonts w:ascii="Times New Roman" w:hAnsi="Times New Roman"/>
                <w:sz w:val="24"/>
              </w:rPr>
              <w:t>W kwotach, które należy zgłosić, nie uwzględnia się otrzymanych odzyskanych należności.</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t>0030, 0130, 0230, 0330, 0430, 0530, 0630, 0730, 0830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Liczba zdarzeń straty objętych korektami strat</w:t>
            </w:r>
          </w:p>
          <w:p w:rsidR="00FD54FC" w:rsidRPr="00AA1421" w:rsidRDefault="00FD54FC" w:rsidP="00FD54FC">
            <w:pPr>
              <w:rPr>
                <w:rFonts w:ascii="Times New Roman" w:hAnsi="Times New Roman"/>
                <w:sz w:val="24"/>
              </w:rPr>
            </w:pPr>
            <w:r w:rsidRPr="00AA1421">
              <w:rPr>
                <w:rFonts w:ascii="Times New Roman" w:hAnsi="Times New Roman"/>
                <w:sz w:val="24"/>
              </w:rPr>
              <w:t xml:space="preserve">Liczba zdarzeń straty objętych korektami strat jest to liczba zdarzeń straty wynikłych z ryzyka operacyjnego „ujętych po raz pierwszy” w poprzednich sprawozdawczych okresach odniesienia i uwzględnionych już w poprzednich sprawozdaniach, w odniesieniu do których w bieżącym sprawozdawczym okresie odniesienia dokonano korekt strat. </w:t>
            </w:r>
          </w:p>
          <w:p w:rsidR="00FD54FC" w:rsidRPr="00AA1421" w:rsidRDefault="001F6487" w:rsidP="005F1EB8">
            <w:pPr>
              <w:rPr>
                <w:b/>
                <w:sz w:val="24"/>
              </w:rPr>
            </w:pPr>
            <w:r w:rsidRPr="00AA1421">
              <w:rPr>
                <w:rFonts w:ascii="Times New Roman" w:hAnsi="Times New Roman"/>
                <w:sz w:val="24"/>
              </w:rPr>
              <w:t>Jeżeli w sprawozdawczym okresie odniesienia dokonano w odniesieniu do zdarzenia straty więcej niż jednej korekty strat, sumę tych korekt strat liczy się jako jedną korektę w tym okresie.</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t xml:space="preserve">0040, 0140, 0240, 0340, 0440, 0540, 0640, </w:t>
            </w:r>
            <w:r w:rsidRPr="00AA1421">
              <w:rPr>
                <w:rFonts w:ascii="Times New Roman" w:hAnsi="Times New Roman"/>
                <w:bCs/>
                <w:sz w:val="24"/>
              </w:rPr>
              <w:lastRenderedPageBreak/>
              <w:t>0</w:t>
            </w:r>
            <w:r w:rsidRPr="00AA1421">
              <w:rPr>
                <w:rFonts w:ascii="Times New Roman" w:hAnsi="Times New Roman"/>
                <w:sz w:val="24"/>
              </w:rPr>
              <w:t>740</w:t>
            </w:r>
            <w:r w:rsidRPr="00AA1421">
              <w:rPr>
                <w:rFonts w:ascii="Times New Roman" w:hAnsi="Times New Roman"/>
                <w:bCs/>
                <w:sz w:val="24"/>
              </w:rPr>
              <w:t>, 0840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lastRenderedPageBreak/>
              <w:t>Korekty strat dotyczące poprzednich okresów sprawozdawczych</w:t>
            </w:r>
          </w:p>
          <w:p w:rsidR="00FD54FC" w:rsidRPr="00AA1421" w:rsidRDefault="00FD54FC" w:rsidP="00FD54FC">
            <w:pPr>
              <w:rPr>
                <w:rFonts w:ascii="Times New Roman" w:hAnsi="Times New Roman"/>
                <w:sz w:val="24"/>
              </w:rPr>
            </w:pPr>
            <w:r w:rsidRPr="00AA1421">
              <w:rPr>
                <w:rFonts w:ascii="Times New Roman" w:hAnsi="Times New Roman"/>
                <w:sz w:val="24"/>
              </w:rPr>
              <w:t>Korekty strat dotyczące poprzednich sprawozdawczych okresów odniesienia stanowią sumę następujących elementów (o wartości dodatniej lub ujemnej):</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w:t>
            </w:r>
            <w:r w:rsidRPr="00AA1421">
              <w:tab/>
            </w:r>
            <w:r w:rsidRPr="00AA1421">
              <w:rPr>
                <w:rFonts w:ascii="Times New Roman" w:hAnsi="Times New Roman"/>
                <w:sz w:val="24"/>
              </w:rPr>
              <w:t xml:space="preserve">kwot strat brutto dotyczących dodatnich korekt strat dokonanych w sprawozdawczym okresie odniesienia (np. w wyniku zwiększenia rezerw, powiązanych zdarzeń straty, dodatkowych rozrachunków) w odniesieniu do zdarzeń </w:t>
            </w:r>
            <w:r w:rsidRPr="00AA1421">
              <w:rPr>
                <w:rFonts w:ascii="Times New Roman" w:hAnsi="Times New Roman"/>
                <w:sz w:val="24"/>
              </w:rPr>
              <w:lastRenderedPageBreak/>
              <w:t>ryzyka operacyjnego „ujętych po raz pierwszy” i zgłoszonych w poprzednich sprawozdawczych okresach odniesienia;</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(ii)</w:t>
            </w:r>
            <w:r w:rsidRPr="00AA1421">
              <w:tab/>
            </w:r>
            <w:r w:rsidRPr="00AA1421">
              <w:rPr>
                <w:rFonts w:ascii="Times New Roman" w:hAnsi="Times New Roman"/>
                <w:sz w:val="24"/>
              </w:rPr>
              <w:t xml:space="preserve">kwot strat brutto dotyczących ujemnych korekt strat dokonanych w sprawozdawczym okresie odniesienia (np. z powodu zmniejszenia rezerw) w odniesieniu do zdarzeń straty wynikłych z ryzyka operacyjnego „ujętych po raz pierwszy” i zgłoszonych w poprzednich sprawozdawczych okresach odniesienia. </w:t>
            </w:r>
          </w:p>
          <w:p w:rsidR="00FD54FC" w:rsidRPr="00AA1421" w:rsidRDefault="001F6487" w:rsidP="00FD54FC">
            <w:pPr>
              <w:rPr>
                <w:rFonts w:ascii="Times New Roman" w:hAnsi="Times New Roman"/>
                <w:sz w:val="24"/>
              </w:rPr>
            </w:pPr>
            <w:r w:rsidRPr="00AA1421">
              <w:rPr>
                <w:rFonts w:ascii="Times New Roman" w:hAnsi="Times New Roman"/>
                <w:sz w:val="24"/>
              </w:rPr>
              <w:t>Jeżeli w sprawozdawczym okresie odniesienia dokonano w odniesieniu do zdarzenia straty więcej niż jednej korekty strat, kwoty wszystkich tych korekt strat sumuje się, uwzględniając znak korekty (dodatnia, ujemna). Sumę tę traktuje się jako korektę strat dla tego zdarzenia straty w danym sprawozdawczym okresie odniesienia.</w:t>
            </w:r>
          </w:p>
          <w:p w:rsidR="00FD54FC" w:rsidRPr="00AA1421" w:rsidRDefault="001F6487" w:rsidP="00FD54FC">
            <w:pPr>
              <w:rPr>
                <w:rFonts w:ascii="Times New Roman" w:hAnsi="Times New Roman"/>
                <w:sz w:val="24"/>
              </w:rPr>
            </w:pPr>
            <w:r w:rsidRPr="00AA1421">
              <w:rPr>
                <w:rFonts w:ascii="Times New Roman" w:hAnsi="Times New Roman"/>
                <w:sz w:val="24"/>
              </w:rPr>
              <w:t>Jeżeli w wyniku ujemnej korekty strat skorygowana kwota straty możliwa do przypisania zdarzeniu straty jest mniejsza od progu gromadzenia wewnętrznych danych instytucji, instytucja zgłasza całkowitą kwotę straty dla tego zdarzenia straty skumulowaną do czasu ostatniego zgłoszenia zdarzenia dla grudniowej daty odniesienia (tj. pierwotną stratę plus/minus wszystkie korekty straty dokonane w poprzednich sprawozdawczych okresach odniesienia) ze znakiem ujemnym zamiast kwoty samej ujemnej korekty strat.</w:t>
            </w:r>
          </w:p>
          <w:p w:rsidR="00FD54FC" w:rsidRPr="00AA1421" w:rsidRDefault="00FD54FC" w:rsidP="00EB62C2">
            <w:pPr>
              <w:rPr>
                <w:b/>
                <w:sz w:val="24"/>
              </w:rPr>
            </w:pPr>
            <w:r w:rsidRPr="00AA1421">
              <w:rPr>
                <w:rFonts w:ascii="Times New Roman" w:hAnsi="Times New Roman"/>
                <w:sz w:val="24"/>
              </w:rPr>
              <w:t>W kwotach, które należy zgłosić, nie uwzględnia się otrzymanych odzyskanych należności.</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lastRenderedPageBreak/>
              <w:t>0050, 0150, 0250, 0350, 0450, 0550, 0650, 0750, 0850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Maksymalna pojedyncza strata</w:t>
            </w:r>
          </w:p>
          <w:p w:rsidR="00FD54FC" w:rsidRPr="00AA1421" w:rsidRDefault="00FD54FC" w:rsidP="00FD54FC">
            <w:pPr>
              <w:rPr>
                <w:rFonts w:ascii="Times New Roman" w:hAnsi="Times New Roman"/>
                <w:sz w:val="24"/>
              </w:rPr>
            </w:pPr>
            <w:r w:rsidRPr="00AA1421">
              <w:rPr>
                <w:rFonts w:ascii="Times New Roman" w:hAnsi="Times New Roman"/>
                <w:sz w:val="24"/>
              </w:rPr>
              <w:t>Maksymalna pojedyncza strata jest większą z następujących kwot:</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w:t>
            </w:r>
            <w:r w:rsidRPr="00AA1421">
              <w:tab/>
            </w:r>
            <w:r w:rsidRPr="00AA1421">
              <w:rPr>
                <w:rFonts w:ascii="Times New Roman" w:hAnsi="Times New Roman"/>
                <w:sz w:val="24"/>
              </w:rPr>
              <w:t>kwoty największej straty brutto związanej ze zdarzeniem straty zgłoszonym po raz pierwszy w sprawozdawczym okresie odniesienia; oraz</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(ii)</w:t>
            </w:r>
            <w:r w:rsidRPr="00AA1421">
              <w:tab/>
            </w:r>
            <w:r w:rsidRPr="00AA1421">
              <w:rPr>
                <w:rFonts w:ascii="Times New Roman" w:hAnsi="Times New Roman"/>
                <w:sz w:val="24"/>
              </w:rPr>
              <w:t>kwoty największej dodatniej korekty strat (zgodnie z wierszami 0040, 0140, …, 0840 powyżej) związanej ze zdarzeniem straty zgłoszonym po raz pierwszy w poprzednim sprawozdawczym okresie odniesienia.</w:t>
            </w:r>
          </w:p>
          <w:p w:rsidR="00FD54FC" w:rsidRPr="00AA1421" w:rsidRDefault="00FD54FC" w:rsidP="00F52FC6">
            <w:pPr>
              <w:rPr>
                <w:sz w:val="24"/>
              </w:rPr>
            </w:pPr>
            <w:r w:rsidRPr="00AA1421">
              <w:rPr>
                <w:rFonts w:ascii="Times New Roman" w:hAnsi="Times New Roman"/>
                <w:sz w:val="24"/>
              </w:rPr>
              <w:t>W kwotach, które należy zgłosić, nie uwzględnia się otrzymanych odzyskanych należności.</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t>0060, 0160, 0260, 0360, 0460, 0560, 0660, 0760, 0860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Suma pięciu największych strat</w:t>
            </w:r>
          </w:p>
          <w:p w:rsidR="00FD54FC" w:rsidRPr="00AA1421" w:rsidRDefault="00FD54FC" w:rsidP="00FD54FC">
            <w:pPr>
              <w:rPr>
                <w:rFonts w:ascii="Times New Roman" w:hAnsi="Times New Roman"/>
                <w:sz w:val="24"/>
              </w:rPr>
            </w:pPr>
            <w:r w:rsidRPr="00AA1421">
              <w:rPr>
                <w:rFonts w:ascii="Times New Roman" w:hAnsi="Times New Roman"/>
                <w:sz w:val="24"/>
              </w:rPr>
              <w:t>Suma pięciu największych strat jest sumą pięciu największych kwot spośród:</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w:t>
            </w:r>
            <w:r w:rsidRPr="00AA1421">
              <w:tab/>
            </w:r>
            <w:r w:rsidRPr="00AA1421">
              <w:rPr>
                <w:rFonts w:ascii="Times New Roman" w:hAnsi="Times New Roman"/>
                <w:sz w:val="24"/>
              </w:rPr>
              <w:t>kwot strat brutto związanych ze zdarzeniami straty zgłoszonymi po raz pierwszy w sprawozdawczym okresie odniesienia; oraz</w:t>
            </w:r>
          </w:p>
          <w:p w:rsidR="00FD54FC" w:rsidRPr="00AA1421" w:rsidRDefault="00FD54FC" w:rsidP="00FD54FC">
            <w:pPr>
              <w:tabs>
                <w:tab w:val="left" w:pos="459"/>
              </w:tabs>
              <w:ind w:left="459" w:hanging="459"/>
              <w:rPr>
                <w:rFonts w:ascii="Times New Roman" w:hAnsi="Times New Roman"/>
                <w:sz w:val="24"/>
              </w:rPr>
            </w:pPr>
            <w:r w:rsidRPr="00AA1421">
              <w:rPr>
                <w:rFonts w:ascii="Times New Roman" w:hAnsi="Times New Roman"/>
                <w:sz w:val="24"/>
              </w:rPr>
              <w:t>(ii)</w:t>
            </w:r>
            <w:r w:rsidRPr="00AA1421">
              <w:tab/>
            </w:r>
            <w:r w:rsidRPr="00AA1421">
              <w:rPr>
                <w:rFonts w:ascii="Times New Roman" w:hAnsi="Times New Roman"/>
                <w:sz w:val="24"/>
              </w:rPr>
              <w:t>kwot dodatnich korekt strat (zgodnie z definicją dla wierszy 0040, 0140, …, 0840 powyżej) związanych ze zdarzeniami straty zgłoszonymi po raz pierwszy w poprzednim sprawozdawczym okresie odniesienia. Kwota, którą można zakwalifikować jako jedną z pięciu największych kwot, jest kwotą samej korekty strat, a nie całkowitą stratą związaną z odpowiednim zdarzeniem straty przed korektą strat lub po takiej korekcie.</w:t>
            </w:r>
          </w:p>
          <w:p w:rsidR="00FD54FC" w:rsidRPr="00AA1421" w:rsidRDefault="00FD54FC" w:rsidP="00F52FC6">
            <w:pPr>
              <w:rPr>
                <w:sz w:val="24"/>
              </w:rPr>
            </w:pPr>
            <w:r w:rsidRPr="00AA1421">
              <w:rPr>
                <w:rFonts w:ascii="Times New Roman" w:hAnsi="Times New Roman"/>
                <w:sz w:val="24"/>
              </w:rPr>
              <w:t>W kwotach, które należy zgłosić, nie uwzględnia się otrzymanych odzyskanych należności.</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lastRenderedPageBreak/>
              <w:t>0070, 0170, 0270, 0370, 0470, 0570, 0670, 0770, 0870</w:t>
            </w:r>
          </w:p>
        </w:tc>
        <w:tc>
          <w:tcPr>
            <w:tcW w:w="8079" w:type="dxa"/>
          </w:tcPr>
          <w:p w:rsidR="00FD54FC" w:rsidRPr="00AA1421" w:rsidRDefault="00B34B0B" w:rsidP="00FD54FC">
            <w:pPr>
              <w:rPr>
                <w:sz w:val="24"/>
              </w:rPr>
            </w:pPr>
            <w:r w:rsidRPr="00AA1421">
              <w:rPr>
                <w:rStyle w:val="InstructionsTabelleberschrift"/>
                <w:rFonts w:ascii="Times New Roman" w:hAnsi="Times New Roman"/>
                <w:sz w:val="24"/>
              </w:rPr>
              <w:t>Całkowite bezpośrednio odzyskane należności</w:t>
            </w:r>
          </w:p>
          <w:p w:rsidR="00FD54FC" w:rsidRPr="00AA1421" w:rsidRDefault="00FD54FC" w:rsidP="00FD54FC">
            <w:pPr>
              <w:rPr>
                <w:rFonts w:ascii="Times New Roman" w:hAnsi="Times New Roman"/>
                <w:sz w:val="24"/>
              </w:rPr>
            </w:pPr>
            <w:r w:rsidRPr="00AA1421">
              <w:rPr>
                <w:rFonts w:ascii="Times New Roman" w:hAnsi="Times New Roman"/>
                <w:sz w:val="24"/>
              </w:rPr>
              <w:t xml:space="preserve">Bezpośrednio odzyskane należności wynikające ze straty są to wszystkie otrzymane odzyskane należności wynikające ze straty z wyjątkiem tych,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23 CRR zgodnie ze zgłoszeniem w wierszu niniejszej tabeli poniżej. </w:t>
            </w:r>
          </w:p>
          <w:p w:rsidR="00FD54FC" w:rsidRPr="00AA1421" w:rsidRDefault="00FD54FC" w:rsidP="00FD54FC">
            <w:pPr>
              <w:rPr>
                <w:b/>
                <w:sz w:val="24"/>
              </w:rPr>
            </w:pPr>
            <w:r w:rsidRPr="00AA1421">
              <w:rPr>
                <w:rFonts w:ascii="Times New Roman" w:hAnsi="Times New Roman"/>
                <w:sz w:val="24"/>
              </w:rPr>
              <w:t>Całkowite bezpośrednio odzyskane należności są sumą wszystkich bezpośrednio odzyskanych należności oraz korekt bezpośrednio odzyskanych należności ujętych w okresie sprawozdawczym i dotyczących zdarzeń straty wynikających z ryzyka operacyjnego ujętych po raz pierwszy w sprawozdawczym okresie odniesienia lub w poprzednich sprawozdawczych okresach odniesienia.</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bCs/>
                <w:sz w:val="24"/>
              </w:rPr>
              <w:t>0080, 0180, 0</w:t>
            </w:r>
            <w:r w:rsidRPr="00AA1421">
              <w:rPr>
                <w:rFonts w:ascii="Times New Roman" w:hAnsi="Times New Roman"/>
                <w:sz w:val="24"/>
              </w:rPr>
              <w:t>280</w:t>
            </w:r>
            <w:r w:rsidRPr="00AA1421">
              <w:rPr>
                <w:rFonts w:ascii="Times New Roman" w:hAnsi="Times New Roman"/>
                <w:bCs/>
                <w:sz w:val="24"/>
              </w:rPr>
              <w:t>, 0380, 0480, 0580, 0680, 0780, 0880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Całkowite należności odzyskane z ubezpieczenia i innych mechanizmów transferu ryzyka</w:t>
            </w:r>
          </w:p>
          <w:p w:rsidR="00FD54FC" w:rsidRPr="00AA1421" w:rsidRDefault="00FD54FC" w:rsidP="00FD54FC">
            <w:pPr>
              <w:rPr>
                <w:rFonts w:ascii="Times New Roman" w:hAnsi="Times New Roman"/>
                <w:sz w:val="24"/>
              </w:rPr>
            </w:pPr>
            <w:r w:rsidRPr="00AA1421">
              <w:rPr>
                <w:rFonts w:ascii="Times New Roman" w:hAnsi="Times New Roman"/>
                <w:sz w:val="24"/>
              </w:rPr>
              <w:t xml:space="preserve">Należności odzyskane z ubezpieczenia i innych mechanizmów transferu ryzyka są to te odzyskane należności,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23 CRR. </w:t>
            </w:r>
          </w:p>
          <w:p w:rsidR="00FD54FC" w:rsidRPr="00AA1421" w:rsidRDefault="00FD54FC" w:rsidP="00070AF9">
            <w:pPr>
              <w:rPr>
                <w:sz w:val="24"/>
              </w:rPr>
            </w:pPr>
            <w:r w:rsidRPr="00AA1421">
              <w:rPr>
                <w:rFonts w:ascii="Times New Roman" w:hAnsi="Times New Roman"/>
                <w:sz w:val="24"/>
              </w:rPr>
              <w:t>Całkowite należności odzyskane z ubezpieczenia i innych mechanizmów transferu ryzyka są sumą wszystkich należności odzyskanych z ubezpieczenia i innych mechanizmów transferu ryzyka oraz korekt takich odzyskanych należności ujętych w sprawozdawczym okresie odniesienia i dotyczących zdarzeń straty wynikających z ryzyka operacyjnego ujętych po raz pierwszy w sprawozdawczym okresie odniesienia lub w poprzednich sprawozdawczych okresach odniesienia.</w:t>
            </w:r>
          </w:p>
        </w:tc>
      </w:tr>
      <w:tr w:rsidR="00FD54FC" w:rsidRPr="00AA1421" w:rsidTr="00672D2A">
        <w:tc>
          <w:tcPr>
            <w:tcW w:w="1101" w:type="dxa"/>
          </w:tcPr>
          <w:p w:rsidR="00FD54FC" w:rsidRPr="00AA1421" w:rsidRDefault="00C93FC2" w:rsidP="000F70EC">
            <w:pPr>
              <w:rPr>
                <w:rFonts w:ascii="Times New Roman" w:hAnsi="Times New Roman"/>
                <w:bCs/>
                <w:sz w:val="24"/>
              </w:rPr>
            </w:pPr>
            <w:r w:rsidRPr="00AA1421">
              <w:rPr>
                <w:rFonts w:ascii="Times New Roman" w:hAnsi="Times New Roman"/>
                <w:sz w:val="24"/>
              </w:rPr>
              <w:t>0910</w:t>
            </w:r>
            <w:r w:rsidRPr="00AA1421">
              <w:rPr>
                <w:rFonts w:ascii="Times New Roman" w:hAnsi="Times New Roman"/>
                <w:bCs/>
                <w:sz w:val="24"/>
              </w:rPr>
              <w:t>–0980</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LINIE BIZNESOWE RAZEM</w:t>
            </w:r>
          </w:p>
          <w:p w:rsidR="00FD54FC" w:rsidRPr="00AA1421" w:rsidRDefault="00FD54FC" w:rsidP="00F114E6">
            <w:pPr>
              <w:rPr>
                <w:rFonts w:ascii="Times New Roman" w:hAnsi="Times New Roman"/>
                <w:sz w:val="24"/>
              </w:rPr>
            </w:pPr>
            <w:r w:rsidRPr="00AA1421">
              <w:rPr>
                <w:rFonts w:ascii="Times New Roman" w:hAnsi="Times New Roman"/>
                <w:sz w:val="24"/>
              </w:rPr>
              <w:t xml:space="preserve">W odniesieniu do każdego rodzaju zdarzenia straty (kolumny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010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080) należy zgłosić informacje dotyczące linii biznesowych razem.</w:t>
            </w:r>
          </w:p>
        </w:tc>
      </w:tr>
      <w:tr w:rsidR="00FD54FC" w:rsidRPr="00AA1421" w:rsidTr="00672D2A">
        <w:tc>
          <w:tcPr>
            <w:tcW w:w="1101" w:type="dxa"/>
          </w:tcPr>
          <w:p w:rsidR="00FD54FC" w:rsidRPr="00AA1421" w:rsidRDefault="00C93FC2" w:rsidP="000F70EC">
            <w:pPr>
              <w:rPr>
                <w:rFonts w:ascii="Times New Roman" w:hAnsi="Times New Roman"/>
                <w:bCs/>
                <w:sz w:val="24"/>
              </w:rPr>
            </w:pPr>
            <w:r w:rsidRPr="00AA1421">
              <w:rPr>
                <w:rFonts w:ascii="Times New Roman" w:hAnsi="Times New Roman"/>
                <w:bCs/>
                <w:sz w:val="24"/>
              </w:rPr>
              <w:t>0910–0914</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Liczba zdarzeń straty</w:t>
            </w:r>
          </w:p>
          <w:p w:rsidR="00FD54FC" w:rsidRPr="00AA1421" w:rsidRDefault="00FD54FC" w:rsidP="00FD54FC">
            <w:pPr>
              <w:rPr>
                <w:rFonts w:ascii="Times New Roman" w:hAnsi="Times New Roman"/>
                <w:sz w:val="24"/>
              </w:rPr>
            </w:pPr>
            <w:r w:rsidRPr="00AA1421">
              <w:rPr>
                <w:rFonts w:ascii="Times New Roman" w:hAnsi="Times New Roman"/>
                <w:sz w:val="24"/>
              </w:rPr>
              <w:t>W wierszu 0910 zgłasza się liczbę zdarzeń straty powyżej wewnętrznego progu według rodzajów zdarzeń straty w odniesieniu do linii biznesowych razem. Przedmiotowa wartość może być niższa niż agregacja liczby zdarzeń straty według linii biznesowych, ponieważ zdarzenia straty wywierające wielokrotny wpływ (wpływ w ramach różnych liniach biznesowych) uznaje się za jedno zdarzenie straty. Przedmiotowa wartość może być wyższa, jeżeli instytucja obliczająca swoje wymogi w zakresie funduszy własnych zgodnie z metodą wskaźnika bazowego nie jest w stanie w każdym przypadku zidentyfikować linii biznesowych, na które strata wywiera wpływ.</w:t>
            </w:r>
          </w:p>
          <w:p w:rsidR="00FD54FC" w:rsidRPr="00AA1421" w:rsidRDefault="00FD54FC" w:rsidP="00FD54FC">
            <w:pPr>
              <w:rPr>
                <w:rFonts w:ascii="Times New Roman" w:hAnsi="Times New Roman"/>
                <w:sz w:val="24"/>
              </w:rPr>
            </w:pPr>
            <w:r w:rsidRPr="00AA1421">
              <w:rPr>
                <w:rFonts w:ascii="Times New Roman" w:hAnsi="Times New Roman"/>
                <w:sz w:val="24"/>
              </w:rPr>
              <w:t>W wierszach 0911–0914 zgłasza się liczbę zdarzeń straty o kwocie strat brutto zawierającej się w przedziałach określonych w odpowiednich wierszach wzoru.</w:t>
            </w:r>
          </w:p>
          <w:p w:rsidR="00FD54FC" w:rsidRPr="00AA1421" w:rsidRDefault="00FD54FC" w:rsidP="00FD54FC">
            <w:pPr>
              <w:rPr>
                <w:rFonts w:ascii="Times New Roman" w:hAnsi="Times New Roman"/>
                <w:sz w:val="24"/>
              </w:rPr>
            </w:pPr>
            <w:r w:rsidRPr="00AA1421">
              <w:rPr>
                <w:rFonts w:ascii="Times New Roman" w:hAnsi="Times New Roman"/>
                <w:sz w:val="24"/>
              </w:rPr>
              <w:t xml:space="preserve">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lub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względnie pod warunkiem, że instytucja określiła rodzaje zdarzeń straty dla wszystkich strat, poniższe stosuje się w stosownych przypadkach do kolumny 0080:</w:t>
            </w:r>
          </w:p>
          <w:p w:rsidR="00FD54FC" w:rsidRPr="00AA1421" w:rsidRDefault="00125707" w:rsidP="0023700C">
            <w:pPr>
              <w:ind w:left="360" w:hanging="360"/>
              <w:rPr>
                <w:rFonts w:ascii="Times New Roman" w:hAnsi="Times New Roman"/>
                <w:sz w:val="24"/>
              </w:rPr>
            </w:pPr>
            <w:r w:rsidRPr="00AA1421">
              <w:rPr>
                <w:rFonts w:ascii="Times New Roman" w:hAnsi="Times New Roman"/>
                <w:sz w:val="24"/>
              </w:rPr>
              <w:t>-</w:t>
            </w:r>
            <w:r w:rsidRPr="00AA1421">
              <w:tab/>
            </w:r>
            <w:r w:rsidRPr="00AA1421">
              <w:rPr>
                <w:rFonts w:ascii="Times New Roman" w:hAnsi="Times New Roman"/>
                <w:sz w:val="24"/>
              </w:rPr>
              <w:t xml:space="preserve">Całkowita liczba zdarzeń straty zgłoszonych w wierszach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910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914 jest równa poziomej agregacji liczby zdarzeń straty w odpowiednim wierszu, ponieważ w przedmiotowych wartościach zdarzenia straty wywierające </w:t>
            </w:r>
            <w:r w:rsidRPr="00AA1421">
              <w:rPr>
                <w:rFonts w:ascii="Times New Roman" w:hAnsi="Times New Roman"/>
                <w:sz w:val="24"/>
              </w:rPr>
              <w:lastRenderedPageBreak/>
              <w:t>wpływ w ramach różnych linii biznesowych zostały już uznane za jedno zdarzenie straty.</w:t>
            </w:r>
          </w:p>
          <w:p w:rsidR="00FD54FC" w:rsidRPr="00AA1421" w:rsidRDefault="00125707" w:rsidP="00F41508">
            <w:pPr>
              <w:ind w:left="360" w:hanging="360"/>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bCs w:val="0"/>
                <w:sz w:val="24"/>
                <w:u w:val="none"/>
              </w:rPr>
              <w:t>-</w:t>
            </w:r>
            <w:r w:rsidRPr="00AA1421">
              <w:tab/>
            </w:r>
            <w:r w:rsidRPr="00AA1421">
              <w:rPr>
                <w:rFonts w:ascii="Times New Roman" w:hAnsi="Times New Roman"/>
                <w:sz w:val="24"/>
              </w:rPr>
              <w:t>Liczba zgłoszona w kolumnie 0080, w wierszu 0910 nie musi być równa pionowej agregacji liczby zdarzeń straty ujętych w kolumnie 0080, ponieważ jedno zdarzenie straty wywiera wpływ w ramach różnych linii biznesowych jednocześnie.</w:t>
            </w:r>
          </w:p>
        </w:tc>
      </w:tr>
      <w:tr w:rsidR="00FD54FC" w:rsidRPr="00AA1421" w:rsidTr="00672D2A">
        <w:tc>
          <w:tcPr>
            <w:tcW w:w="1101" w:type="dxa"/>
          </w:tcPr>
          <w:p w:rsidR="00FD54FC" w:rsidRPr="00AA1421" w:rsidRDefault="00C93FC2" w:rsidP="000F70EC">
            <w:pPr>
              <w:rPr>
                <w:rFonts w:ascii="Times New Roman" w:hAnsi="Times New Roman"/>
                <w:bCs/>
                <w:sz w:val="24"/>
              </w:rPr>
            </w:pPr>
            <w:r w:rsidRPr="00AA1421">
              <w:rPr>
                <w:rFonts w:ascii="Times New Roman" w:hAnsi="Times New Roman"/>
                <w:bCs/>
                <w:sz w:val="24"/>
              </w:rPr>
              <w:lastRenderedPageBreak/>
              <w:t>0920–0924</w:t>
            </w:r>
          </w:p>
        </w:tc>
        <w:tc>
          <w:tcPr>
            <w:tcW w:w="8079" w:type="dxa"/>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Kwota strat brutto (nowe zdarzenia straty)</w:t>
            </w:r>
          </w:p>
          <w:p w:rsidR="00FD54FC" w:rsidRPr="00AA1421" w:rsidRDefault="00FD54FC" w:rsidP="00FD54FC">
            <w:pPr>
              <w:rPr>
                <w:rFonts w:ascii="Times New Roman" w:hAnsi="Times New Roman"/>
                <w:sz w:val="24"/>
              </w:rPr>
            </w:pPr>
            <w:r w:rsidRPr="00AA1421">
              <w:rPr>
                <w:rFonts w:ascii="Times New Roman" w:hAnsi="Times New Roman"/>
                <w:sz w:val="24"/>
              </w:rPr>
              <w:t xml:space="preserve">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albo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kwota strat brutto (nowe zdarzenia straty) zgłoszona w wierszu 0920 stanowi prostą agregację kwot strat brutto dla nowych zdarzeń dla każdej linii biznesowej. </w:t>
            </w:r>
          </w:p>
          <w:p w:rsidR="00FD54FC" w:rsidRPr="00AA1421" w:rsidRDefault="00FD54FC" w:rsidP="00FD54FC">
            <w:pPr>
              <w:rPr>
                <w:rStyle w:val="InstructionsTabelleberschrift"/>
                <w:rFonts w:ascii="Times New Roman" w:hAnsi="Times New Roman"/>
                <w:sz w:val="24"/>
              </w:rPr>
            </w:pPr>
            <w:r w:rsidRPr="00AA1421">
              <w:rPr>
                <w:rFonts w:ascii="Times New Roman" w:hAnsi="Times New Roman"/>
                <w:sz w:val="24"/>
              </w:rPr>
              <w:t>W wierszach 0921–0924 zgłasza się kwotę strat brutto dla zdarzeń straty o kwocie strat brutto zawierającej się w przedziałach określonych w odpowiednich wierszach.</w:t>
            </w:r>
          </w:p>
        </w:tc>
      </w:tr>
      <w:tr w:rsidR="00FD54FC" w:rsidRPr="00AA1421" w:rsidTr="00672D2A">
        <w:tc>
          <w:tcPr>
            <w:tcW w:w="1101" w:type="dxa"/>
          </w:tcPr>
          <w:p w:rsidR="00FD54FC" w:rsidRPr="00AA1421" w:rsidRDefault="00C93FC2" w:rsidP="00FD54FC">
            <w:pPr>
              <w:rPr>
                <w:rFonts w:ascii="Times New Roman" w:hAnsi="Times New Roman"/>
                <w:bCs/>
                <w:sz w:val="24"/>
              </w:rPr>
            </w:pPr>
            <w:r w:rsidRPr="00AA1421">
              <w:rPr>
                <w:rFonts w:ascii="Times New Roman" w:hAnsi="Times New Roman"/>
                <w:sz w:val="24"/>
              </w:rPr>
              <w:t>0930, 0</w:t>
            </w:r>
            <w:r w:rsidRPr="00AA1421">
              <w:rPr>
                <w:rFonts w:ascii="Times New Roman" w:hAnsi="Times New Roman"/>
                <w:bCs/>
                <w:sz w:val="24"/>
              </w:rPr>
              <w:t>935, 0936</w:t>
            </w:r>
          </w:p>
        </w:tc>
        <w:tc>
          <w:tcPr>
            <w:tcW w:w="8079" w:type="dxa"/>
          </w:tcPr>
          <w:p w:rsidR="00FD54FC" w:rsidRPr="00AA1421" w:rsidRDefault="00FD54FC" w:rsidP="00FD54FC">
            <w:pPr>
              <w:rPr>
                <w:rFonts w:ascii="Times New Roman" w:hAnsi="Times New Roman"/>
                <w:sz w:val="24"/>
              </w:rPr>
            </w:pPr>
            <w:r w:rsidRPr="00AA1421">
              <w:rPr>
                <w:rStyle w:val="InstructionsTabelleberschrift"/>
                <w:rFonts w:ascii="Times New Roman" w:hAnsi="Times New Roman"/>
                <w:sz w:val="24"/>
              </w:rPr>
              <w:t>Liczba zdarzeń straty objętych korektami strat</w:t>
            </w:r>
          </w:p>
          <w:p w:rsidR="00FD54FC" w:rsidRPr="00AA1421" w:rsidRDefault="00FD54FC" w:rsidP="00FD54FC">
            <w:pPr>
              <w:rPr>
                <w:rFonts w:ascii="Times New Roman" w:hAnsi="Times New Roman"/>
                <w:sz w:val="24"/>
              </w:rPr>
            </w:pPr>
            <w:r w:rsidRPr="00AA1421">
              <w:rPr>
                <w:rFonts w:ascii="Times New Roman" w:hAnsi="Times New Roman"/>
                <w:sz w:val="24"/>
              </w:rPr>
              <w:t>W wierszu 0930 zgłasza się całkowitą liczbę zdarzeń straty objętych korektami strat, jak zgłoszono we wierszach 0030, 0130, …, 0830. Przedmiotowa wartość może być niższa niż agregacja liczby zdarzeń straty objętych korektami strat według linii biznesowych, ponieważ zdarzenia straty wywierające wielokrotny wpływ (wpływ w ramach różnych liniach biznesowych) uznaje się za jedno zdarzenie straty. Przedmiotowa wartość może być wyższa, jeżeli instytucja obliczająca swoje wymogi w zakresie funduszy własnych zgodnie z metodą wskaźnika bazowego nie jest w stanie w każdym przypadku zidentyfikować linii biznesowych, na które strata wywiera wpływ.</w:t>
            </w:r>
          </w:p>
          <w:p w:rsidR="00FD54FC" w:rsidRPr="00AA1421" w:rsidRDefault="00FD54FC" w:rsidP="00FD54FC">
            <w:pPr>
              <w:rPr>
                <w:rStyle w:val="InstructionsTabelleberschrift"/>
                <w:rFonts w:ascii="Times New Roman" w:hAnsi="Times New Roman"/>
                <w:sz w:val="24"/>
              </w:rPr>
            </w:pPr>
            <w:r w:rsidRPr="00AA1421">
              <w:rPr>
                <w:rFonts w:ascii="Times New Roman" w:hAnsi="Times New Roman"/>
                <w:sz w:val="24"/>
              </w:rPr>
              <w:t>Liczbę zdarzeń straty objętych korektami strat dzieli się na liczbę zdarzeń straty, w odniesieniu do których w sprawozdawczym okresie odniesienia dokonano dodatniej korekty strat, oraz liczbę zdarzeń straty, w odniesieniu do których w okresie sprawozdawczym dokonano ujemnej korekty strat (wszystkie zgłasza się ze znakiem dodatnim).</w:t>
            </w:r>
          </w:p>
        </w:tc>
      </w:tr>
      <w:tr w:rsidR="00FD54FC" w:rsidRPr="00AA1421" w:rsidTr="00672D2A">
        <w:tc>
          <w:tcPr>
            <w:tcW w:w="1101" w:type="dxa"/>
          </w:tcPr>
          <w:p w:rsidR="00FD54FC" w:rsidRPr="00AA1421" w:rsidRDefault="00C93FC2" w:rsidP="00FD54FC">
            <w:pPr>
              <w:rPr>
                <w:rFonts w:ascii="Times New Roman" w:hAnsi="Times New Roman"/>
                <w:sz w:val="24"/>
              </w:rPr>
            </w:pPr>
            <w:r w:rsidRPr="00AA1421">
              <w:rPr>
                <w:rFonts w:ascii="Times New Roman" w:hAnsi="Times New Roman"/>
                <w:sz w:val="24"/>
              </w:rPr>
              <w:t>0940, 0945, 0946</w:t>
            </w:r>
          </w:p>
        </w:tc>
        <w:tc>
          <w:tcPr>
            <w:tcW w:w="8079" w:type="dxa"/>
          </w:tcPr>
          <w:p w:rsidR="00FD54FC" w:rsidRPr="00AA1421" w:rsidRDefault="00FD54FC" w:rsidP="00FD54FC">
            <w:pPr>
              <w:rPr>
                <w:rFonts w:ascii="Times New Roman" w:hAnsi="Times New Roman"/>
                <w:sz w:val="24"/>
              </w:rPr>
            </w:pPr>
            <w:r w:rsidRPr="00AA1421">
              <w:rPr>
                <w:rStyle w:val="InstructionsTabelleberschrift"/>
                <w:rFonts w:ascii="Times New Roman" w:hAnsi="Times New Roman"/>
                <w:sz w:val="24"/>
              </w:rPr>
              <w:t>Korekty strat dotyczące poprzednich okresów sprawozdawczych</w:t>
            </w:r>
          </w:p>
          <w:p w:rsidR="00FD54FC" w:rsidRPr="00AA1421" w:rsidRDefault="00FD54FC" w:rsidP="00FD54FC">
            <w:pPr>
              <w:rPr>
                <w:rFonts w:ascii="Times New Roman" w:hAnsi="Times New Roman"/>
                <w:sz w:val="24"/>
              </w:rPr>
            </w:pPr>
            <w:r w:rsidRPr="00AA1421">
              <w:rPr>
                <w:rFonts w:ascii="Times New Roman" w:hAnsi="Times New Roman"/>
                <w:sz w:val="24"/>
              </w:rPr>
              <w:t xml:space="preserve">W wierszu 0940 zgłasza się sumę kwot korekty strat dotyczących poprzednich okresów sprawozdawczych według linii biznesowych (jak zgłoszono we wierszach 0040, 0140, …, 0840). 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albo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kwota zgłoszona w wierszu 0940 stanowi prostą agregację korekt strat dotyczących poprzednich okresów sprawozdawczych zgłoszonych dla poszczególnych linii biznesowych.</w:t>
            </w:r>
          </w:p>
          <w:p w:rsidR="00FD54FC" w:rsidRPr="00AA1421" w:rsidRDefault="00FD54FC" w:rsidP="00EB6FC2">
            <w:pPr>
              <w:rPr>
                <w:rFonts w:ascii="Times New Roman" w:hAnsi="Times New Roman"/>
                <w:sz w:val="24"/>
              </w:rPr>
            </w:pPr>
            <w:r w:rsidRPr="00AA1421">
              <w:rPr>
                <w:rFonts w:ascii="Times New Roman" w:hAnsi="Times New Roman"/>
                <w:sz w:val="24"/>
              </w:rPr>
              <w:t xml:space="preserve">Kwotę korekt strat dzieli się na kwotę dotyczącą zdarzeń straty, w odniesieniu do których w sprawozdawczym okresie odniesienia dokonano dodatniej korekty strat (wiersz 0945, zgłaszana jako wartość dodatnia), oraz kwotę dotyczącą zdarzeń straty, w odniesieniu do których w okresie sprawozdawczym dokonano </w:t>
            </w:r>
            <w:r w:rsidRPr="00AA1421">
              <w:rPr>
                <w:rFonts w:ascii="Times New Roman" w:hAnsi="Times New Roman"/>
                <w:sz w:val="24"/>
              </w:rPr>
              <w:lastRenderedPageBreak/>
              <w:t>ujemnej korekty strat (wiersz 0946, zgłaszana jako wartość ujemna). Jeżeli w wyniku ujemnej korekty strat skorygowana kwota straty możliwa do przypisania zdarzeniu straty jest mniejsza od progu gromadzenia wewnętrznych danych instytucji, instytucja zgłasza całkowitą kwotę straty dla tego zdarzenia straty skumulowaną do czasu ostatniego zgłoszenia zdarzenia straty dla grudniowej daty odniesienia (tj. pierwotną stratę plus/minus wszystkie korekty straty dokonane w poprzednich sprawozdawczych okresach odniesienia) ze znakiem ujemnym we wierszu 0946 zamiast kwoty samej ujemnej korekty strat.</w:t>
            </w:r>
          </w:p>
        </w:tc>
      </w:tr>
      <w:tr w:rsidR="00FD54FC" w:rsidRPr="00AA1421" w:rsidTr="00672D2A">
        <w:tc>
          <w:tcPr>
            <w:tcW w:w="1101" w:type="dxa"/>
            <w:tcBorders>
              <w:top w:val="single" w:sz="4" w:space="0" w:color="auto"/>
              <w:left w:val="single" w:sz="4" w:space="0" w:color="auto"/>
              <w:bottom w:val="single" w:sz="4" w:space="0" w:color="auto"/>
              <w:right w:val="single" w:sz="4" w:space="0" w:color="auto"/>
            </w:tcBorders>
          </w:tcPr>
          <w:p w:rsidR="00FD54FC" w:rsidRPr="00AA1421" w:rsidRDefault="00C93FC2" w:rsidP="00FD54FC">
            <w:pPr>
              <w:rPr>
                <w:rFonts w:ascii="Times New Roman" w:hAnsi="Times New Roman"/>
                <w:sz w:val="24"/>
              </w:rPr>
            </w:pPr>
            <w:r w:rsidRPr="00AA1421">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Maksymalna pojedyncza strata</w:t>
            </w:r>
          </w:p>
          <w:p w:rsidR="00FD54FC" w:rsidRPr="00AA1421" w:rsidRDefault="00FD54FC" w:rsidP="00FD54FC">
            <w:pPr>
              <w:rPr>
                <w:rFonts w:ascii="Times New Roman" w:hAnsi="Times New Roman"/>
                <w:sz w:val="24"/>
              </w:rPr>
            </w:pPr>
            <w:r w:rsidRPr="00AA1421">
              <w:rPr>
                <w:rFonts w:ascii="Times New Roman" w:hAnsi="Times New Roman"/>
                <w:sz w:val="24"/>
              </w:rPr>
              <w:t xml:space="preserve">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albo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maksymalna pojedyncza strata oznacza maksymalną stratę przekraczającą próg w odniesieniu do każdego rodzaju zdarzenia straty i we wszystkich liniach biznesowych. Przedmiotowe wartości mogą być wyższe niż najwyższa pojedyncza strata odnotowana w ramach każdej linii biznesowej, jeżeli zdarzenie straty wpływa na różne linie biznesowe.</w:t>
            </w:r>
          </w:p>
          <w:p w:rsidR="00FD54FC" w:rsidRPr="00AA1421" w:rsidRDefault="00FD54FC" w:rsidP="00FD54FC">
            <w:pPr>
              <w:rPr>
                <w:rFonts w:ascii="Times New Roman" w:hAnsi="Times New Roman"/>
                <w:sz w:val="24"/>
              </w:rPr>
            </w:pPr>
            <w:r w:rsidRPr="00AA1421">
              <w:rPr>
                <w:rFonts w:ascii="Times New Roman" w:hAnsi="Times New Roman"/>
                <w:sz w:val="24"/>
              </w:rPr>
              <w:t xml:space="preserve">Pod warunkiem, że instytucja przypisała wszystkie swoje straty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lub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względnie pod warunkiem, że instytucja określiła rodzaje zdarzeń straty dla wszystkich strat, poniższe stosuje się do kolumny 0080:</w:t>
            </w:r>
          </w:p>
          <w:p w:rsidR="00FD54FC" w:rsidRPr="00AA1421" w:rsidRDefault="00125707" w:rsidP="0023700C">
            <w:pPr>
              <w:ind w:left="360" w:hanging="360"/>
              <w:rPr>
                <w:rFonts w:ascii="Times New Roman" w:hAnsi="Times New Roman"/>
                <w:b/>
                <w:bCs/>
                <w:sz w:val="24"/>
                <w:u w:val="single"/>
              </w:rPr>
            </w:pPr>
            <w:r w:rsidRPr="00AA1421">
              <w:rPr>
                <w:rFonts w:ascii="Times New Roman" w:hAnsi="Times New Roman"/>
                <w:bCs/>
                <w:sz w:val="24"/>
              </w:rPr>
              <w:t>-</w:t>
            </w:r>
            <w:r w:rsidRPr="00AA1421">
              <w:tab/>
            </w:r>
            <w:r w:rsidRPr="00AA1421">
              <w:rPr>
                <w:rFonts w:ascii="Times New Roman" w:hAnsi="Times New Roman"/>
                <w:sz w:val="24"/>
              </w:rPr>
              <w:t>Zgłoszona maksymalna pojedyncza strata jest równa najwyższej z wartości zgłoszonych w kolumnach 0010–0070 tego wiersza.</w:t>
            </w:r>
          </w:p>
          <w:p w:rsidR="00FD54FC" w:rsidRPr="00AA1421" w:rsidRDefault="00125707" w:rsidP="0023700C">
            <w:pPr>
              <w:ind w:left="360" w:hanging="360"/>
              <w:rPr>
                <w:rStyle w:val="InstructionsTabelleberschrift"/>
                <w:rFonts w:ascii="Times New Roman" w:hAnsi="Times New Roman"/>
                <w:bCs w:val="0"/>
                <w:sz w:val="24"/>
              </w:rPr>
            </w:pPr>
            <w:r w:rsidRPr="00AA1421">
              <w:rPr>
                <w:rStyle w:val="InstructionsTabelleberschrift"/>
                <w:rFonts w:ascii="Times New Roman" w:hAnsi="Times New Roman"/>
                <w:b w:val="0"/>
                <w:bCs w:val="0"/>
                <w:sz w:val="24"/>
                <w:u w:val="none"/>
              </w:rPr>
              <w:t>-</w:t>
            </w:r>
            <w:r w:rsidRPr="00AA1421">
              <w:tab/>
            </w:r>
            <w:r w:rsidRPr="00AA1421">
              <w:rPr>
                <w:rFonts w:ascii="Times New Roman" w:hAnsi="Times New Roman"/>
                <w:sz w:val="24"/>
              </w:rPr>
              <w:t xml:space="preserve">Jeżeli istnieją zdarzenia straty wywierające wpływ w ramach różnych linii biznesowych, kwota zgłoszona w {r0950, c0080} może być wyższa niż kwoty „pojedynczej maksymalnej straty” według linii biznesowej zgłoszone w innych wierszach kolumny 0080. </w:t>
            </w:r>
          </w:p>
        </w:tc>
      </w:tr>
      <w:tr w:rsidR="00FD54FC" w:rsidRPr="00AA1421" w:rsidTr="00672D2A">
        <w:tc>
          <w:tcPr>
            <w:tcW w:w="1101" w:type="dxa"/>
            <w:tcBorders>
              <w:top w:val="single" w:sz="4" w:space="0" w:color="auto"/>
              <w:left w:val="single" w:sz="4" w:space="0" w:color="auto"/>
              <w:bottom w:val="single" w:sz="4" w:space="0" w:color="auto"/>
              <w:right w:val="single" w:sz="4" w:space="0" w:color="auto"/>
            </w:tcBorders>
          </w:tcPr>
          <w:p w:rsidR="00FD54FC" w:rsidRPr="00AA1421" w:rsidRDefault="00C93FC2" w:rsidP="00FD54FC">
            <w:pPr>
              <w:rPr>
                <w:rFonts w:ascii="Times New Roman" w:hAnsi="Times New Roman"/>
                <w:sz w:val="24"/>
              </w:rPr>
            </w:pPr>
            <w:r w:rsidRPr="00AA1421">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Suma pięciu największych strat</w:t>
            </w:r>
          </w:p>
          <w:p w:rsidR="00FD54FC" w:rsidRPr="00AA1421" w:rsidRDefault="00FD54FC" w:rsidP="00FD54FC">
            <w:pPr>
              <w:rPr>
                <w:rFonts w:ascii="Times New Roman" w:hAnsi="Times New Roman"/>
                <w:sz w:val="24"/>
              </w:rPr>
            </w:pPr>
            <w:r w:rsidRPr="00AA1421">
              <w:rPr>
                <w:rFonts w:ascii="Times New Roman" w:hAnsi="Times New Roman"/>
                <w:sz w:val="24"/>
              </w:rPr>
              <w:t xml:space="preserve">Sumę pięciu największych strat brutto zgłasza się w odniesieniu do każdego rodzaju zdarzenia straty i we wszystkich liniach biznesowych. Przedmiotowa suma może być wyższa niż najwyższa suma pięciu największych strat odnotowana w odniesieniu do każdej linii biznesowej. Przedmiotową sumę należy zgłosić niezależnie od liczby strat. </w:t>
            </w:r>
          </w:p>
          <w:p w:rsidR="00FD54FC" w:rsidRPr="00AA1421" w:rsidRDefault="00FD54FC" w:rsidP="00AB6610">
            <w:pPr>
              <w:rPr>
                <w:rStyle w:val="InstructionsTabelleberschrift"/>
                <w:rFonts w:ascii="Times New Roman" w:hAnsi="Times New Roman"/>
                <w:sz w:val="24"/>
              </w:rPr>
            </w:pPr>
            <w:r w:rsidRPr="00AA1421">
              <w:rPr>
                <w:rFonts w:ascii="Times New Roman" w:hAnsi="Times New Roman"/>
                <w:sz w:val="24"/>
              </w:rPr>
              <w:t xml:space="preserve">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albo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oraz pod warunkiem, że instytucja określiła rodzaje zdarzeń straty dla wszystkich strat, w odniesieniu do kolumny 0080 suma pięciu największych strat jest sumą pięciu największych strat w całej macierzy, co oznacza, że niekoniecznie jest równa maksymalnej wartości „sumy pięciu największych strat” w wierszu 0960 lub maksymalnej wartości „sumy pięciu największych strat” w kolumnie 0080.</w:t>
            </w:r>
          </w:p>
        </w:tc>
      </w:tr>
      <w:tr w:rsidR="00FD54FC" w:rsidRPr="00AA1421" w:rsidTr="00672D2A">
        <w:tc>
          <w:tcPr>
            <w:tcW w:w="1101" w:type="dxa"/>
            <w:tcBorders>
              <w:top w:val="single" w:sz="4" w:space="0" w:color="auto"/>
              <w:left w:val="single" w:sz="4" w:space="0" w:color="auto"/>
              <w:bottom w:val="single" w:sz="4" w:space="0" w:color="auto"/>
              <w:right w:val="single" w:sz="4" w:space="0" w:color="auto"/>
            </w:tcBorders>
          </w:tcPr>
          <w:p w:rsidR="00FD54FC" w:rsidRPr="00AA1421" w:rsidRDefault="00C93FC2" w:rsidP="00FD54FC">
            <w:pPr>
              <w:rPr>
                <w:rFonts w:ascii="Times New Roman" w:hAnsi="Times New Roman"/>
                <w:sz w:val="24"/>
              </w:rPr>
            </w:pPr>
            <w:r w:rsidRPr="00AA1421">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Całkowite bezpośrednio odzyskane należności</w:t>
            </w:r>
          </w:p>
          <w:p w:rsidR="00FD54FC" w:rsidRPr="00AA1421" w:rsidRDefault="00FD54FC" w:rsidP="00705025">
            <w:pPr>
              <w:rPr>
                <w:rStyle w:val="InstructionsTabelleberschrift"/>
                <w:rFonts w:ascii="Times New Roman" w:hAnsi="Times New Roman"/>
                <w:sz w:val="24"/>
              </w:rPr>
            </w:pPr>
            <w:r w:rsidRPr="00AA1421">
              <w:rPr>
                <w:rFonts w:ascii="Times New Roman" w:hAnsi="Times New Roman"/>
                <w:sz w:val="24"/>
              </w:rPr>
              <w:lastRenderedPageBreak/>
              <w:t xml:space="preserve">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albo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łączne całkowite bezpośrednio odzyskane należności stanowią prostą agregację łącznych całkowitych bezpośrednio odzyskanych należności dla każdej linii biznesowej.</w:t>
            </w:r>
          </w:p>
        </w:tc>
      </w:tr>
      <w:tr w:rsidR="00FD54FC" w:rsidRPr="00AA1421" w:rsidTr="00672D2A">
        <w:tc>
          <w:tcPr>
            <w:tcW w:w="1101" w:type="dxa"/>
            <w:tcBorders>
              <w:top w:val="single" w:sz="4" w:space="0" w:color="auto"/>
              <w:left w:val="single" w:sz="4" w:space="0" w:color="auto"/>
              <w:bottom w:val="single" w:sz="4" w:space="0" w:color="auto"/>
              <w:right w:val="single" w:sz="4" w:space="0" w:color="auto"/>
            </w:tcBorders>
          </w:tcPr>
          <w:p w:rsidR="00FD54FC" w:rsidRPr="00AA1421" w:rsidRDefault="00C93FC2" w:rsidP="00FD54FC">
            <w:pPr>
              <w:rPr>
                <w:rFonts w:ascii="Times New Roman" w:hAnsi="Times New Roman"/>
                <w:sz w:val="24"/>
              </w:rPr>
            </w:pPr>
            <w:r w:rsidRPr="00AA1421">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Całkowite należności odzyskane z ubezpieczenia i innych mechanizmów transferu ryzyka</w:t>
            </w:r>
          </w:p>
          <w:p w:rsidR="00FD54FC" w:rsidRPr="00AA1421" w:rsidRDefault="00FD54FC" w:rsidP="00133396">
            <w:pPr>
              <w:rPr>
                <w:rFonts w:ascii="Times New Roman" w:hAnsi="Times New Roman"/>
                <w:b/>
                <w:bCs/>
                <w:sz w:val="24"/>
                <w:u w:val="single"/>
              </w:rPr>
            </w:pPr>
            <w:r w:rsidRPr="00AA1421">
              <w:rPr>
                <w:rFonts w:ascii="Times New Roman" w:hAnsi="Times New Roman"/>
                <w:sz w:val="24"/>
              </w:rPr>
              <w:t xml:space="preserve">Pod warunkiem, że instytucja przypisała wszystkie swoje straty albo do linii biznesowej wymienionej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albo do linii biznesowej „pozycje korporacyjne”,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całkowite należności odzyskane z ubezpieczenia i innych mechanizmów transferu ryzyka stanowią prostą agregację łącznych całkowite należności odzyskane z ubezpieczenia i innych mechanizmów transferu ryzyka dla każdej linii biznesowej.</w:t>
            </w:r>
          </w:p>
        </w:tc>
      </w:tr>
    </w:tbl>
    <w:p w:rsidR="00FD54FC" w:rsidRPr="00AA1421" w:rsidRDefault="00FD54FC" w:rsidP="00FD54FC">
      <w:pPr>
        <w:spacing w:before="0" w:after="0"/>
        <w:jc w:val="left"/>
        <w:rPr>
          <w:rStyle w:val="InstructionsTabelleText"/>
          <w:rFonts w:ascii="Times New Roman" w:hAnsi="Times New Roman"/>
          <w:sz w:val="24"/>
        </w:rPr>
      </w:pPr>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403717"/>
      <w:r w:rsidRPr="00AA1421">
        <w:rPr>
          <w:rFonts w:ascii="Times New Roman" w:hAnsi="Times New Roman"/>
          <w:sz w:val="24"/>
          <w:u w:val="none"/>
        </w:rPr>
        <w:t>4.2.3.</w:t>
      </w:r>
      <w:r w:rsidR="00D712CF" w:rsidRPr="00AA1421">
        <w:rPr>
          <w:u w:val="none"/>
        </w:rPr>
        <w:tab/>
      </w:r>
      <w:r w:rsidRPr="00AA1421">
        <w:rPr>
          <w:rFonts w:ascii="Times New Roman" w:hAnsi="Times New Roman"/>
          <w:sz w:val="24"/>
        </w:rPr>
        <w:t>C 17.02: Ryzyko operacyjne: Szczegółowe informacje na temat zdarzeń największych strat w ostatnim roku (OPR SZCZEGÓŁY 2)</w:t>
      </w:r>
      <w:bookmarkEnd w:id="586"/>
      <w:bookmarkEnd w:id="587"/>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403718"/>
      <w:r w:rsidRPr="00AA1421">
        <w:rPr>
          <w:rFonts w:ascii="Times New Roman" w:hAnsi="Times New Roman"/>
          <w:sz w:val="24"/>
          <w:u w:val="none"/>
        </w:rPr>
        <w:t>4.2.3.1.</w:t>
      </w:r>
      <w:r w:rsidR="00D712CF" w:rsidRPr="00AA1421">
        <w:rPr>
          <w:u w:val="none"/>
        </w:rPr>
        <w:tab/>
      </w:r>
      <w:r w:rsidRPr="00AA1421">
        <w:rPr>
          <w:rFonts w:ascii="Times New Roman" w:hAnsi="Times New Roman"/>
          <w:sz w:val="24"/>
        </w:rPr>
        <w:t>Uwagi ogólne</w:t>
      </w:r>
      <w:bookmarkEnd w:id="588"/>
      <w:bookmarkEnd w:id="589"/>
    </w:p>
    <w:p w:rsidR="00FD54FC" w:rsidRPr="00AA1421" w:rsidRDefault="00AA1421" w:rsidP="00487A02">
      <w:pPr>
        <w:pStyle w:val="InstructionsText2"/>
        <w:numPr>
          <w:ilvl w:val="0"/>
          <w:numId w:val="0"/>
        </w:numPr>
        <w:ind w:left="1353" w:hanging="360"/>
      </w:pPr>
      <w:fldSimple w:instr=" seq paragraphs ">
        <w:r w:rsidR="00D11E4C" w:rsidRPr="00AA1421">
          <w:rPr>
            <w:noProof/>
          </w:rPr>
          <w:t>155</w:t>
        </w:r>
      </w:fldSimple>
      <w:r w:rsidR="00D11E4C" w:rsidRPr="00AA1421">
        <w:t>. We wzorze C 17.02 przedstawia się informacje dotyczące poszczególnych zdarzeń straty (jeden wiersz dla każdego zdarzenia straty).</w:t>
      </w:r>
    </w:p>
    <w:p w:rsidR="00FD54FC" w:rsidRPr="00AA1421" w:rsidRDefault="00AA1421" w:rsidP="00487A02">
      <w:pPr>
        <w:pStyle w:val="InstructionsText2"/>
        <w:numPr>
          <w:ilvl w:val="0"/>
          <w:numId w:val="0"/>
        </w:numPr>
        <w:ind w:left="1353" w:hanging="360"/>
      </w:pPr>
      <w:fldSimple w:instr=" seq paragraphs ">
        <w:r w:rsidR="00D11E4C" w:rsidRPr="00AA1421">
          <w:rPr>
            <w:noProof/>
          </w:rPr>
          <w:t>156</w:t>
        </w:r>
      </w:fldSimple>
      <w:r w:rsidR="00D11E4C" w:rsidRPr="00AA1421">
        <w:t>.</w:t>
      </w:r>
      <w:r w:rsidR="00D11E4C" w:rsidRPr="00AA1421">
        <w:tab/>
        <w:t xml:space="preserve"> Informacje zgłaszane w tym wzorze odnoszą się do „nowych zdarzeń straty”, tj. zdarzeń ryzyka operacyjnego:</w:t>
      </w:r>
    </w:p>
    <w:p w:rsidR="00FD54FC" w:rsidRPr="00AA1421" w:rsidRDefault="00125707" w:rsidP="00487A02">
      <w:pPr>
        <w:pStyle w:val="InstructionsText2"/>
        <w:numPr>
          <w:ilvl w:val="0"/>
          <w:numId w:val="0"/>
        </w:numPr>
        <w:ind w:left="1353" w:hanging="360"/>
      </w:pPr>
      <w:r w:rsidRPr="00AA1421">
        <w:t>a)</w:t>
      </w:r>
      <w:r w:rsidRPr="00AA1421">
        <w:tab/>
        <w:t>„ujętych po raz pierwszy” w sprawozdawczym okresie odniesienia; lub</w:t>
      </w:r>
    </w:p>
    <w:p w:rsidR="00FD54FC" w:rsidRPr="00AA1421" w:rsidRDefault="00125707" w:rsidP="00487A02">
      <w:pPr>
        <w:pStyle w:val="InstructionsText2"/>
        <w:numPr>
          <w:ilvl w:val="0"/>
          <w:numId w:val="0"/>
        </w:numPr>
        <w:ind w:left="1353" w:hanging="360"/>
      </w:pPr>
      <w:r w:rsidRPr="00AA1421">
        <w:t>b)</w:t>
      </w:r>
      <w:r w:rsidRPr="00AA1421">
        <w:tab/>
        <w:t>„ujętych po raz pierwszy” w poprzednim sprawozdawczym okresie odniesienia, jeżeli zdarzenie straty nie zostało uwzględnione w żadnym poprzednim sprawozdaniu dla organów nadzoru, np. ponieważ zostało określone jako zdarzenie straty wynikłe z ryzyka operacyjnego dopiero w bieżącym sprawozdawczym okresie odniesienia lub ponieważ skumulowana strata możliwa do przypisania temu zdarzeniu straty (tj. pierwotna strata plus/minus wszystkie korekty straty dokonane w poprzednich sprawozdawczych okresach odniesienia) przekroczyła próg gromadzenia wewnętrznych danych dopiero w bieżącym sprawozdawczym okresie odniesienia.</w:t>
      </w:r>
    </w:p>
    <w:p w:rsidR="00F41508" w:rsidRPr="00AA1421" w:rsidRDefault="00AA1421" w:rsidP="00487A02">
      <w:pPr>
        <w:pStyle w:val="InstructionsText2"/>
        <w:numPr>
          <w:ilvl w:val="0"/>
          <w:numId w:val="0"/>
        </w:numPr>
        <w:ind w:left="1353" w:hanging="360"/>
      </w:pPr>
      <w:fldSimple w:instr=" seq paragraphs ">
        <w:r w:rsidR="00D11E4C" w:rsidRPr="00AA1421">
          <w:rPr>
            <w:noProof/>
          </w:rPr>
          <w:t>157</w:t>
        </w:r>
      </w:fldSimple>
      <w:r w:rsidR="00D11E4C" w:rsidRPr="00AA1421">
        <w:t>. Zgłasza się jedynie zdarzenia straty prowadzące do kwoty strat brutto w wysokości 100 000 EUR lub więcej.</w:t>
      </w:r>
    </w:p>
    <w:p w:rsidR="00FD54FC" w:rsidRPr="00AA1421" w:rsidRDefault="00FD54FC" w:rsidP="00487A02">
      <w:pPr>
        <w:pStyle w:val="InstructionsText2"/>
        <w:numPr>
          <w:ilvl w:val="0"/>
          <w:numId w:val="0"/>
        </w:numPr>
        <w:ind w:left="1353" w:hanging="360"/>
      </w:pPr>
      <w:r w:rsidRPr="00AA1421">
        <w:t>Z zastrzeżeniem tego progu:</w:t>
      </w:r>
    </w:p>
    <w:p w:rsidR="00FD54FC" w:rsidRPr="00AA1421" w:rsidRDefault="00125707" w:rsidP="00487A02">
      <w:pPr>
        <w:pStyle w:val="InstructionsText2"/>
        <w:numPr>
          <w:ilvl w:val="0"/>
          <w:numId w:val="0"/>
        </w:numPr>
        <w:ind w:left="1353" w:hanging="360"/>
      </w:pPr>
      <w:r w:rsidRPr="00AA1421">
        <w:t>a)</w:t>
      </w:r>
      <w:r w:rsidRPr="00AA1421">
        <w:tab/>
        <w:t>we wzorze uwzględnia się największe zdarzenie dla każdego rodzaju zdarzenia, pod warunkiem, że instytucja określiła rodzaje zdarzeń dla strat; oraz</w:t>
      </w:r>
    </w:p>
    <w:p w:rsidR="00FD54FC" w:rsidRPr="00AA1421" w:rsidRDefault="00125707" w:rsidP="00487A02">
      <w:pPr>
        <w:pStyle w:val="InstructionsText2"/>
        <w:numPr>
          <w:ilvl w:val="0"/>
          <w:numId w:val="0"/>
        </w:numPr>
        <w:ind w:left="1353" w:hanging="360"/>
      </w:pPr>
      <w:r w:rsidRPr="00AA1421">
        <w:t>b)</w:t>
      </w:r>
      <w:r w:rsidRPr="00AA1421">
        <w:tab/>
        <w:t>co najmniej dziesięć największych z pozostałych zdarzeń ze zidentyfikowanym rodzajem zdarzenia lub bez zidentyfikowanego rodzaju zdarzenia, według kwoty strat brutto;</w:t>
      </w:r>
    </w:p>
    <w:p w:rsidR="00FD54FC" w:rsidRPr="00AA1421" w:rsidRDefault="00125707" w:rsidP="00487A02">
      <w:pPr>
        <w:pStyle w:val="InstructionsText2"/>
        <w:numPr>
          <w:ilvl w:val="0"/>
          <w:numId w:val="0"/>
        </w:numPr>
        <w:ind w:left="1353" w:hanging="360"/>
      </w:pPr>
      <w:r w:rsidRPr="00AA1421">
        <w:lastRenderedPageBreak/>
        <w:t>c)</w:t>
      </w:r>
      <w:r w:rsidRPr="00AA1421">
        <w:tab/>
        <w:t>Zdarzenia straty są uszeregowane według przypisanej im straty brutto.</w:t>
      </w:r>
    </w:p>
    <w:p w:rsidR="00FD54FC" w:rsidRPr="00AA1421" w:rsidRDefault="00125707" w:rsidP="00487A02">
      <w:pPr>
        <w:pStyle w:val="InstructionsText2"/>
        <w:numPr>
          <w:ilvl w:val="0"/>
          <w:numId w:val="0"/>
        </w:numPr>
        <w:ind w:left="1353" w:hanging="360"/>
      </w:pPr>
      <w:r w:rsidRPr="00AA1421">
        <w:t>d)</w:t>
      </w:r>
      <w:r w:rsidRPr="00AA1421">
        <w:tab/>
        <w:t>Każde zdarzenie straty jest uwzględniane tylko raz.</w:t>
      </w:r>
    </w:p>
    <w:p w:rsidR="00FD54FC" w:rsidRPr="00AA1421"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403719"/>
      <w:r w:rsidRPr="00AA1421">
        <w:rPr>
          <w:rFonts w:ascii="Times New Roman" w:hAnsi="Times New Roman"/>
          <w:sz w:val="24"/>
          <w:u w:val="none"/>
        </w:rPr>
        <w:t>4.2.3.2.</w:t>
      </w:r>
      <w:r w:rsidR="00D712CF" w:rsidRPr="00AA1421">
        <w:rPr>
          <w:u w:val="none"/>
        </w:rPr>
        <w:tab/>
      </w:r>
      <w:r w:rsidRPr="00AA1421">
        <w:rPr>
          <w:rFonts w:ascii="Times New Roman" w:hAnsi="Times New Roman"/>
          <w:sz w:val="24"/>
        </w:rPr>
        <w:t>Instrukcje dotyczące poszczególnych pozycji</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AA1421" w:rsidTr="006418A0">
        <w:tc>
          <w:tcPr>
            <w:tcW w:w="9062" w:type="dxa"/>
            <w:gridSpan w:val="2"/>
            <w:shd w:val="clear" w:color="auto" w:fill="BFBFBF"/>
          </w:tcPr>
          <w:p w:rsidR="00FD54FC" w:rsidRPr="00AA1421" w:rsidRDefault="00FD54FC" w:rsidP="00FD54FC">
            <w:pPr>
              <w:rPr>
                <w:rFonts w:ascii="Times New Roman" w:hAnsi="Times New Roman"/>
                <w:sz w:val="24"/>
              </w:rPr>
            </w:pPr>
            <w:r w:rsidRPr="00AA1421">
              <w:rPr>
                <w:rFonts w:ascii="Times New Roman" w:hAnsi="Times New Roman"/>
                <w:b/>
                <w:bCs/>
                <w:sz w:val="24"/>
              </w:rPr>
              <w:t>Kolumny</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0010</w:t>
            </w:r>
          </w:p>
        </w:tc>
        <w:tc>
          <w:tcPr>
            <w:tcW w:w="8111" w:type="dxa"/>
            <w:shd w:val="clear" w:color="auto" w:fill="auto"/>
          </w:tcPr>
          <w:p w:rsidR="00FD54FC" w:rsidRPr="00AA1421" w:rsidRDefault="00FD54FC" w:rsidP="00FD54FC">
            <w:pPr>
              <w:rPr>
                <w:rFonts w:ascii="Times New Roman" w:hAnsi="Times New Roman"/>
                <w:sz w:val="24"/>
              </w:rPr>
            </w:pPr>
            <w:r w:rsidRPr="00AA1421">
              <w:rPr>
                <w:rStyle w:val="InstructionsTabelleberschrift"/>
                <w:rFonts w:ascii="Times New Roman" w:hAnsi="Times New Roman"/>
                <w:sz w:val="24"/>
              </w:rPr>
              <w:t>ID zdarzenia</w:t>
            </w:r>
          </w:p>
          <w:p w:rsidR="00FD54FC" w:rsidRPr="00AA1421" w:rsidRDefault="00FD54FC" w:rsidP="00FD54FC">
            <w:pPr>
              <w:rPr>
                <w:rFonts w:ascii="Times New Roman" w:hAnsi="Times New Roman"/>
                <w:sz w:val="24"/>
              </w:rPr>
            </w:pPr>
            <w:r w:rsidRPr="00AA1421">
              <w:rPr>
                <w:rFonts w:ascii="Times New Roman" w:hAnsi="Times New Roman"/>
                <w:sz w:val="24"/>
              </w:rPr>
              <w:t xml:space="preserve">ID zdarzenia stanowi identyfikator wiersza i jest niepowtarzalny dla każdego wiersza we wzorze. </w:t>
            </w:r>
          </w:p>
          <w:p w:rsidR="00FD54FC" w:rsidRPr="00AA1421" w:rsidRDefault="00FD54FC" w:rsidP="00FD54FC">
            <w:pPr>
              <w:rPr>
                <w:rFonts w:ascii="Times New Roman" w:hAnsi="Times New Roman"/>
                <w:sz w:val="24"/>
              </w:rPr>
            </w:pPr>
            <w:r w:rsidRPr="00AA1421">
              <w:rPr>
                <w:rFonts w:ascii="Times New Roman" w:hAnsi="Times New Roman"/>
                <w:sz w:val="24"/>
              </w:rPr>
              <w:t>W przypadku gdy dostępny jest wewnętrzny ID, instytucje zgłaszają wewnętrzny ID. W innych przypadkach ID jest zgłaszany w kolejności numerycznej: 1, 2, 3 itd.</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0020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Data rozliczenia</w:t>
            </w:r>
          </w:p>
          <w:p w:rsidR="00FD54FC" w:rsidRPr="00AA1421" w:rsidRDefault="00FD54FC" w:rsidP="00C7103D">
            <w:pPr>
              <w:rPr>
                <w:rFonts w:ascii="Times New Roman" w:hAnsi="Times New Roman"/>
                <w:sz w:val="24"/>
              </w:rPr>
            </w:pPr>
            <w:r w:rsidRPr="00AA1421">
              <w:rPr>
                <w:rFonts w:ascii="Times New Roman" w:hAnsi="Times New Roman"/>
                <w:sz w:val="24"/>
              </w:rPr>
              <w:t xml:space="preserve">Data rozliczenia oznacza datę pierwszego ujęcia straty lub rezerwy w rachunku zysków i strat w odniesieniu do straty wynikłej z ryzyka operacyjnego. </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0030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Data zdarzenia</w:t>
            </w:r>
          </w:p>
          <w:p w:rsidR="00FD54FC" w:rsidRPr="00AA1421" w:rsidRDefault="00FD54FC" w:rsidP="00871877">
            <w:pPr>
              <w:rPr>
                <w:rFonts w:ascii="Times New Roman" w:hAnsi="Times New Roman"/>
                <w:sz w:val="24"/>
              </w:rPr>
            </w:pPr>
            <w:r w:rsidRPr="00AA1421">
              <w:rPr>
                <w:rFonts w:ascii="Times New Roman" w:hAnsi="Times New Roman"/>
                <w:sz w:val="24"/>
              </w:rPr>
              <w:t>Data zdarzenia oznacza datę wystąpienia lub rozpoczęcia zdarzenia straty wynikającego z ryzyka operacyjnego.</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0040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Data wykrycia</w:t>
            </w:r>
          </w:p>
          <w:p w:rsidR="00FD54FC" w:rsidRPr="00AA1421" w:rsidRDefault="00FD54FC" w:rsidP="00FD54FC">
            <w:pPr>
              <w:rPr>
                <w:rFonts w:ascii="Times New Roman" w:hAnsi="Times New Roman"/>
                <w:sz w:val="24"/>
              </w:rPr>
            </w:pPr>
            <w:r w:rsidRPr="00AA1421">
              <w:rPr>
                <w:rFonts w:ascii="Times New Roman" w:hAnsi="Times New Roman"/>
                <w:sz w:val="24"/>
              </w:rPr>
              <w:t>Data wykrycia oznacza datę, kiedy instytucja dowiedziała się o zdarzeniu straty wynikającym z ryzyka operacyjnego.</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0050</w:t>
            </w:r>
          </w:p>
        </w:tc>
        <w:tc>
          <w:tcPr>
            <w:tcW w:w="8111" w:type="dxa"/>
            <w:shd w:val="clear" w:color="auto" w:fill="auto"/>
          </w:tcPr>
          <w:p w:rsidR="00FD54FC" w:rsidRPr="00AA1421" w:rsidRDefault="00F41508" w:rsidP="00FD54FC">
            <w:pPr>
              <w:rPr>
                <w:rStyle w:val="InstructionsTabelleberschrift"/>
                <w:rFonts w:ascii="Times New Roman" w:hAnsi="Times New Roman"/>
                <w:sz w:val="24"/>
              </w:rPr>
            </w:pPr>
            <w:r w:rsidRPr="00AA1421">
              <w:rPr>
                <w:rStyle w:val="InstructionsTabelleberschrift"/>
                <w:rFonts w:ascii="Times New Roman" w:hAnsi="Times New Roman"/>
                <w:sz w:val="24"/>
              </w:rPr>
              <w:t>Rodzaj zdarzenia straty</w:t>
            </w:r>
          </w:p>
          <w:p w:rsidR="00FD54FC" w:rsidRPr="00AA1421" w:rsidRDefault="00F41508" w:rsidP="00EB6FC2">
            <w:pPr>
              <w:rPr>
                <w:rFonts w:ascii="Times New Roman" w:hAnsi="Times New Roman"/>
                <w:sz w:val="24"/>
              </w:rPr>
            </w:pPr>
            <w:r w:rsidRPr="00AA1421">
              <w:rPr>
                <w:rFonts w:ascii="Times New Roman" w:hAnsi="Times New Roman"/>
                <w:sz w:val="24"/>
              </w:rPr>
              <w:t xml:space="preserve">Rodzaje zdarzenia straty,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24 CRR.</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0060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Strata brutto</w:t>
            </w:r>
          </w:p>
          <w:p w:rsidR="00FD54FC" w:rsidRPr="00AA1421" w:rsidRDefault="00FD54FC" w:rsidP="0023276A">
            <w:pPr>
              <w:rPr>
                <w:rFonts w:ascii="Times New Roman" w:hAnsi="Times New Roman"/>
                <w:sz w:val="24"/>
              </w:rPr>
            </w:pPr>
            <w:r w:rsidRPr="00AA1421">
              <w:rPr>
                <w:rFonts w:ascii="Times New Roman" w:hAnsi="Times New Roman"/>
                <w:sz w:val="24"/>
              </w:rPr>
              <w:t>Strata brutto związana ze zdarzeniem straty zgłoszona we wierszach 0020, 0120 itd. we wzorze C 17.01</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0070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Strata brutto pomniejszona o bezpośrednio odzyskane należności</w:t>
            </w:r>
          </w:p>
          <w:p w:rsidR="00FD54FC" w:rsidRPr="00AA1421" w:rsidRDefault="00FD54FC" w:rsidP="0023276A">
            <w:pPr>
              <w:rPr>
                <w:rFonts w:ascii="Times New Roman" w:hAnsi="Times New Roman"/>
                <w:sz w:val="24"/>
              </w:rPr>
            </w:pPr>
            <w:r w:rsidRPr="00AA1421">
              <w:rPr>
                <w:rFonts w:ascii="Times New Roman" w:hAnsi="Times New Roman"/>
                <w:sz w:val="24"/>
              </w:rPr>
              <w:t>Strata brutto związana ze zdarzeniem straty zgłoszona we wierszach 0020, 0120 itd. we wzorze C 17.01 pomniejszona o bezpośrednio odzyskane należności związane z tym zdarzeniem straty</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0080 - 0160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Strata brutto według linii biznesowej</w:t>
            </w:r>
          </w:p>
          <w:p w:rsidR="00FD54FC" w:rsidRPr="00AA1421" w:rsidRDefault="00FD54FC" w:rsidP="00AB6610">
            <w:pPr>
              <w:rPr>
                <w:rFonts w:ascii="Times New Roman" w:hAnsi="Times New Roman"/>
                <w:sz w:val="24"/>
              </w:rPr>
            </w:pPr>
            <w:r w:rsidRPr="00AA1421">
              <w:rPr>
                <w:rFonts w:ascii="Times New Roman" w:hAnsi="Times New Roman"/>
                <w:sz w:val="24"/>
              </w:rPr>
              <w:t xml:space="preserve">Strata brutto zgłoszona w kolumnie 0060 jest przypisywana do odpowiednich linii biznesowych zgodnie z tabelą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17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0170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Nazwa podmiotu prawnego</w:t>
            </w:r>
          </w:p>
          <w:p w:rsidR="00FD54FC" w:rsidRPr="00AA1421" w:rsidRDefault="00FD54FC" w:rsidP="00FD54FC">
            <w:pPr>
              <w:rPr>
                <w:rFonts w:ascii="Times New Roman" w:hAnsi="Times New Roman"/>
                <w:sz w:val="24"/>
              </w:rPr>
            </w:pPr>
            <w:r w:rsidRPr="00AA1421">
              <w:rPr>
                <w:rFonts w:ascii="Times New Roman" w:hAnsi="Times New Roman"/>
                <w:sz w:val="24"/>
              </w:rPr>
              <w:t>Zgłoszona w kolumnie 0010 we wzorze C 06.02 nazwa podmiotu prawnego, u którego odnotowano stratę (lub największą część straty, jeżeli strata miała wpływ na większą liczbę podmiotów).</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lastRenderedPageBreak/>
              <w:t>0180</w:t>
            </w:r>
          </w:p>
        </w:tc>
        <w:tc>
          <w:tcPr>
            <w:tcW w:w="8111" w:type="dxa"/>
            <w:shd w:val="clear" w:color="auto" w:fill="auto"/>
          </w:tcPr>
          <w:p w:rsidR="00FD54FC" w:rsidRPr="00AA1421" w:rsidRDefault="00105A75" w:rsidP="00FD54FC">
            <w:pPr>
              <w:rPr>
                <w:rStyle w:val="InstructionsTabelleberschrift"/>
                <w:rFonts w:ascii="Times New Roman" w:hAnsi="Times New Roman"/>
                <w:sz w:val="24"/>
              </w:rPr>
            </w:pPr>
            <w:r w:rsidRPr="00AA1421">
              <w:rPr>
                <w:rStyle w:val="InstructionsTabelleberschrift"/>
                <w:rFonts w:ascii="Times New Roman" w:hAnsi="Times New Roman"/>
                <w:sz w:val="24"/>
              </w:rPr>
              <w:t>Kod</w:t>
            </w:r>
          </w:p>
          <w:p w:rsidR="000D0A23" w:rsidRPr="00AA1421" w:rsidRDefault="009B627A" w:rsidP="009B627A">
            <w:pPr>
              <w:rPr>
                <w:rFonts w:ascii="Times New Roman" w:hAnsi="Times New Roman"/>
                <w:sz w:val="24"/>
              </w:rPr>
            </w:pPr>
            <w:r w:rsidRPr="00AA1421">
              <w:rPr>
                <w:rFonts w:ascii="Times New Roman" w:hAnsi="Times New Roman"/>
                <w:sz w:val="24"/>
              </w:rPr>
              <w:t>Zgłoszony w kolumnie 0021 we wzorze C 06.02 kod LEI podmiotu prawnego, u którego odnotowano stratę (lub największą część straty, jeżeli strata miała wpływ na większą liczbę podmiotów).</w:t>
            </w:r>
          </w:p>
        </w:tc>
      </w:tr>
      <w:tr w:rsidR="000D0A23" w:rsidRPr="00AA1421" w:rsidTr="00127FEA">
        <w:tc>
          <w:tcPr>
            <w:tcW w:w="951" w:type="dxa"/>
            <w:shd w:val="clear" w:color="auto" w:fill="auto"/>
          </w:tcPr>
          <w:p w:rsidR="000D0A23" w:rsidRPr="00AA1421" w:rsidRDefault="000D0A23" w:rsidP="00071D95">
            <w:pPr>
              <w:rPr>
                <w:rStyle w:val="InstructionsTabelleText"/>
                <w:rFonts w:ascii="Times New Roman" w:hAnsi="Times New Roman"/>
                <w:sz w:val="24"/>
              </w:rPr>
            </w:pPr>
            <w:r w:rsidRPr="00AA1421">
              <w:rPr>
                <w:rStyle w:val="InstructionsTabelleText"/>
                <w:rFonts w:ascii="Times New Roman" w:hAnsi="Times New Roman"/>
                <w:sz w:val="24"/>
              </w:rPr>
              <w:t>0185</w:t>
            </w:r>
          </w:p>
        </w:tc>
        <w:tc>
          <w:tcPr>
            <w:tcW w:w="8111" w:type="dxa"/>
            <w:shd w:val="clear" w:color="auto" w:fill="auto"/>
          </w:tcPr>
          <w:p w:rsidR="000D0A23" w:rsidRPr="00AA1421" w:rsidRDefault="000D0A23" w:rsidP="00127FEA">
            <w:pPr>
              <w:rPr>
                <w:rStyle w:val="InstructionsTabelleberschrift"/>
                <w:rFonts w:ascii="Times New Roman" w:hAnsi="Times New Roman"/>
                <w:sz w:val="24"/>
              </w:rPr>
            </w:pPr>
            <w:r w:rsidRPr="00AA1421">
              <w:rPr>
                <w:rStyle w:val="InstructionsTabelleberschrift"/>
                <w:rFonts w:ascii="Times New Roman" w:hAnsi="Times New Roman"/>
                <w:sz w:val="24"/>
              </w:rPr>
              <w:t>RODZAJ KODU</w:t>
            </w:r>
          </w:p>
          <w:p w:rsidR="000D0A23" w:rsidRPr="00AA1421" w:rsidRDefault="000D0A23" w:rsidP="009B627A">
            <w:pPr>
              <w:rPr>
                <w:rStyle w:val="InstructionsTabelleberschrift"/>
                <w:rFonts w:ascii="Times New Roman" w:hAnsi="Times New Roman"/>
                <w:sz w:val="24"/>
              </w:rPr>
            </w:pPr>
            <w:r w:rsidRPr="00AA1421">
              <w:rPr>
                <w:rStyle w:val="InstructionsTabelleText"/>
                <w:rFonts w:ascii="Times New Roman" w:hAnsi="Times New Roman"/>
                <w:sz w:val="24"/>
              </w:rPr>
              <w:t>Instytucje określają rodzaj kodu podany w</w:t>
            </w:r>
            <w:r w:rsidRPr="00AA1421">
              <w:rPr>
                <w:rFonts w:ascii="Times New Roman" w:hAnsi="Times New Roman"/>
                <w:sz w:val="24"/>
              </w:rPr>
              <w:t xml:space="preserve"> </w:t>
            </w:r>
            <w:r w:rsidRPr="00AA1421">
              <w:rPr>
                <w:rStyle w:val="FormatvorlageInstructionsTabelleText"/>
                <w:rFonts w:ascii="Times New Roman" w:hAnsi="Times New Roman"/>
                <w:sz w:val="24"/>
              </w:rPr>
              <w:t>kolumnie 0180 jako „kod LEI”. Należy zawsze wskazać rodzaj kodu.</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0190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Jednostka gospodarcza</w:t>
            </w:r>
          </w:p>
          <w:p w:rsidR="00FD54FC" w:rsidRPr="00AA1421" w:rsidRDefault="00FD54FC" w:rsidP="00FD54FC">
            <w:pPr>
              <w:rPr>
                <w:rFonts w:ascii="Times New Roman" w:hAnsi="Times New Roman"/>
                <w:sz w:val="24"/>
              </w:rPr>
            </w:pPr>
            <w:r w:rsidRPr="00AA1421">
              <w:rPr>
                <w:rFonts w:ascii="Times New Roman" w:hAnsi="Times New Roman"/>
                <w:sz w:val="24"/>
              </w:rPr>
              <w:t>Jednostka gospodarcza lub dział korporacyjny instytucji, w której (w którym) odnotowano stratę (lub największą część straty, jeżeli strata miała wpływ na większą liczbę jednostek gospodarczych lub działów korporacyjnych).</w:t>
            </w:r>
          </w:p>
        </w:tc>
      </w:tr>
      <w:tr w:rsidR="00FD54FC" w:rsidRPr="00AA1421" w:rsidTr="006418A0">
        <w:tc>
          <w:tcPr>
            <w:tcW w:w="951" w:type="dxa"/>
            <w:shd w:val="clear" w:color="auto" w:fill="auto"/>
          </w:tcPr>
          <w:p w:rsidR="00FD54FC" w:rsidRPr="00AA1421" w:rsidRDefault="00C93FC2" w:rsidP="00FD54FC">
            <w:pPr>
              <w:rPr>
                <w:rFonts w:ascii="Times New Roman" w:hAnsi="Times New Roman"/>
                <w:sz w:val="24"/>
              </w:rPr>
            </w:pPr>
            <w:r w:rsidRPr="00AA1421">
              <w:rPr>
                <w:rFonts w:ascii="Times New Roman" w:hAnsi="Times New Roman"/>
                <w:sz w:val="24"/>
              </w:rPr>
              <w:t>0200</w:t>
            </w:r>
          </w:p>
        </w:tc>
        <w:tc>
          <w:tcPr>
            <w:tcW w:w="8111" w:type="dxa"/>
            <w:shd w:val="clear" w:color="auto" w:fill="auto"/>
          </w:tcPr>
          <w:p w:rsidR="00FD54FC" w:rsidRPr="00AA1421" w:rsidRDefault="00FD54FC" w:rsidP="00FD54FC">
            <w:pPr>
              <w:rPr>
                <w:rStyle w:val="InstructionsTabelleberschrift"/>
                <w:rFonts w:ascii="Times New Roman" w:hAnsi="Times New Roman"/>
                <w:sz w:val="24"/>
              </w:rPr>
            </w:pPr>
            <w:r w:rsidRPr="00AA1421">
              <w:rPr>
                <w:rStyle w:val="InstructionsTabelleberschrift"/>
                <w:rFonts w:ascii="Times New Roman" w:hAnsi="Times New Roman"/>
                <w:sz w:val="24"/>
              </w:rPr>
              <w:t>Opis</w:t>
            </w:r>
          </w:p>
          <w:p w:rsidR="00FD54FC" w:rsidRPr="00AA1421" w:rsidRDefault="00FD54FC" w:rsidP="00FD239F">
            <w:pPr>
              <w:rPr>
                <w:rFonts w:ascii="Times New Roman" w:hAnsi="Times New Roman"/>
                <w:sz w:val="24"/>
              </w:rPr>
            </w:pPr>
            <w:r w:rsidRPr="00AA1421">
              <w:rPr>
                <w:rFonts w:ascii="Times New Roman" w:hAnsi="Times New Roman"/>
                <w:sz w:val="24"/>
              </w:rPr>
              <w:t>Opis zdarzenia straty, w stosownych przypadkach w formie uogólnionej lub zanonimizowanej, który obejmuje co najmniej informacje na temat samego zdarzenia oraz informacje na temat przyczyn zdarzenia straty, o ile są znane.</w:t>
            </w:r>
          </w:p>
        </w:tc>
      </w:tr>
    </w:tbl>
    <w:p w:rsidR="00FD54FC" w:rsidRPr="00AA1421" w:rsidRDefault="00FD54FC" w:rsidP="00AC6255">
      <w:pPr>
        <w:spacing w:after="0"/>
        <w:rPr>
          <w:rFonts w:ascii="Times New Roman" w:hAnsi="Times New Roman"/>
          <w:sz w:val="24"/>
        </w:rPr>
      </w:pPr>
    </w:p>
    <w:p w:rsidR="00AC6255" w:rsidRPr="00AA1421" w:rsidRDefault="00AC6255">
      <w:pPr>
        <w:spacing w:before="0" w:after="0"/>
        <w:jc w:val="left"/>
        <w:rPr>
          <w:rStyle w:val="InstructionsTabelleText"/>
          <w:rFonts w:ascii="Times New Roman" w:hAnsi="Times New Roman"/>
          <w:sz w:val="24"/>
        </w:rPr>
      </w:pPr>
      <w:r w:rsidRPr="00AA1421">
        <w:br w:type="page"/>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403720"/>
      <w:r w:rsidRPr="00AA1421">
        <w:rPr>
          <w:rFonts w:ascii="Times New Roman" w:hAnsi="Times New Roman"/>
          <w:sz w:val="24"/>
          <w:u w:val="none"/>
        </w:rPr>
        <w:lastRenderedPageBreak/>
        <w:t>5.</w:t>
      </w:r>
      <w:r w:rsidR="00D712CF" w:rsidRPr="00AA1421">
        <w:rPr>
          <w:u w:val="none"/>
        </w:rPr>
        <w:tab/>
      </w:r>
      <w:r w:rsidRPr="00AA1421">
        <w:rPr>
          <w:rFonts w:ascii="Times New Roman" w:hAnsi="Times New Roman"/>
          <w:sz w:val="24"/>
        </w:rPr>
        <w:t>Wzory dotyczące ryzyka rynkowego</w:t>
      </w:r>
      <w:bookmarkEnd w:id="592"/>
      <w:bookmarkEnd w:id="593"/>
      <w:bookmarkEnd w:id="594"/>
      <w:bookmarkEnd w:id="595"/>
      <w:bookmarkEnd w:id="596"/>
      <w:bookmarkEnd w:id="597"/>
      <w:bookmarkEnd w:id="598"/>
    </w:p>
    <w:bookmarkStart w:id="599" w:name="_Toc308426672"/>
    <w:p w:rsidR="000B0B09" w:rsidRPr="00AA1421" w:rsidRDefault="00771068"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158</w:t>
      </w:r>
      <w:r w:rsidRPr="00AA1421">
        <w:fldChar w:fldCharType="end"/>
      </w:r>
      <w:r w:rsidRPr="00AA1421">
        <w:t>.</w:t>
      </w:r>
      <w:r w:rsidRPr="00AA1421">
        <w:tab/>
        <w:t xml:space="preserve"> W przedmiotowych instrukcjach odniesiono się do wzorów przedstawiania informacji dotyczących obliczania wymogów w zakresie funduszy własnych zgodnie z metodą standardową w odniesieniu do ryzyka walutowego (MKR SA FX), ryzyka cen towarów (MKR SA COM), ryzyka stopy procentowej (MKR SA TDI, MKR SA SEC, MKR SA CTP) i ryzyka związanego z inwestowaniem w akcje (MKR SA EQU). Ponadto w niniejszej części zawarto instrukcje w odniesieniu do wzoru przedstawiania informacji dotyczących obliczania wymogów w zakresie funduszy własnych zgodnie z metodą modeli wewnętrznych (MKR IM). </w:t>
      </w:r>
    </w:p>
    <w:p w:rsidR="000B0B09" w:rsidRPr="00AA1421" w:rsidRDefault="00AA1421" w:rsidP="00487A02">
      <w:pPr>
        <w:pStyle w:val="InstructionsText2"/>
        <w:numPr>
          <w:ilvl w:val="0"/>
          <w:numId w:val="0"/>
        </w:numPr>
        <w:ind w:left="1353" w:hanging="360"/>
      </w:pPr>
      <w:fldSimple w:instr=" seq paragraphs ">
        <w:r w:rsidR="00D11E4C" w:rsidRPr="00AA1421">
          <w:rPr>
            <w:noProof/>
          </w:rPr>
          <w:t>159</w:t>
        </w:r>
      </w:fldSimple>
      <w:r w:rsidR="00D11E4C" w:rsidRPr="00AA1421">
        <w:t>.</w:t>
      </w:r>
      <w:r w:rsidR="00D11E4C" w:rsidRPr="00AA1421">
        <w:tab/>
        <w:t xml:space="preserve"> Ryzyko pozycji z tytułu rynkowego instrumentu dłużnego lub kapitału własnego (instrument pochodny od rynkowego instrumentu dłużnego lub instrument pochodny na akcje) dzieli się na dwa elementy dla celów obliczenia kapitału wymaganego z tytułu ryzyka. Pierwszy element stanowi ryzyko szczególne – jest to ryzyko zmiany ceny danego instrumentu w następstwie czynników związanych z jego emitentem lub, w przypadku instrumentu pochodnego, czynników związanych z emitentem instrumentu bazowego. Drugi element obejmuje ryzyko ogólne – jest to ryzyko zmiany ceny danego instrumentu w następstwie zmiany wysokości stóp procentowych (w przypadku rynkowego instrumentu dłużnego lub instrumentu od niego pochodnego) lub (w przypadku kapitału własnego lub instrumentu od niego pochodnego) ruchu na szerokim rynku akcji niezwiązanego z żadnymi konkretnymi atrybutami poszczególnych papierów wartościowych. </w:t>
      </w:r>
      <w:bookmarkEnd w:id="599"/>
      <w:r w:rsidR="00D11E4C" w:rsidRPr="00AA1421">
        <w:t xml:space="preserve">Podejście ogólne do szczególnych instrumentów i procedury w zakresie kompensowania można znaleźć w </w:t>
      </w:r>
      <w:r w:rsidR="00D11E4C" w:rsidRPr="00084F66">
        <w:t>art.</w:t>
      </w:r>
      <w:r w:rsidR="00084F66" w:rsidRPr="00084F66">
        <w:t> </w:t>
      </w:r>
      <w:r w:rsidR="00D11E4C" w:rsidRPr="00084F66">
        <w:t>3</w:t>
      </w:r>
      <w:r w:rsidR="00D11E4C" w:rsidRPr="00AA1421">
        <w:t xml:space="preserve">26–333 CRR. </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403721"/>
      <w:r w:rsidRPr="00AA1421">
        <w:rPr>
          <w:rFonts w:ascii="Times New Roman" w:hAnsi="Times New Roman"/>
          <w:sz w:val="24"/>
          <w:u w:val="none"/>
        </w:rPr>
        <w:t>5.1.</w:t>
      </w:r>
      <w:r w:rsidR="00D712CF" w:rsidRPr="00AA1421">
        <w:rPr>
          <w:u w:val="none"/>
        </w:rPr>
        <w:tab/>
      </w:r>
      <w:r w:rsidRPr="00AA1421">
        <w:rPr>
          <w:rFonts w:ascii="Times New Roman" w:hAnsi="Times New Roman"/>
          <w:sz w:val="24"/>
        </w:rPr>
        <w:t xml:space="preserve">C 18.00 – Ryzyko rynkowe: </w:t>
      </w:r>
      <w:bookmarkStart w:id="607" w:name="_Toc239157393"/>
      <w:r w:rsidRPr="00AA1421">
        <w:rPr>
          <w:rFonts w:ascii="Times New Roman" w:hAnsi="Times New Roman"/>
          <w:sz w:val="24"/>
        </w:rPr>
        <w:t>ryzyko pozycji z tytułu rynkowych instrumentów dłużnych według metody standardowej</w:t>
      </w:r>
      <w:bookmarkEnd w:id="607"/>
      <w:bookmarkEnd w:id="600"/>
      <w:bookmarkEnd w:id="601"/>
      <w:bookmarkEnd w:id="602"/>
      <w:bookmarkEnd w:id="603"/>
      <w:bookmarkEnd w:id="604"/>
      <w:r w:rsidRPr="00AA1421">
        <w:rPr>
          <w:rFonts w:ascii="Times New Roman" w:hAnsi="Times New Roman"/>
          <w:sz w:val="24"/>
        </w:rPr>
        <w:t xml:space="preserve"> (MKR SA TDI)</w:t>
      </w:r>
      <w:bookmarkEnd w:id="605"/>
      <w:bookmarkEnd w:id="606"/>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403722"/>
      <w:r w:rsidRPr="00AA1421">
        <w:rPr>
          <w:rFonts w:ascii="Times New Roman" w:hAnsi="Times New Roman"/>
          <w:sz w:val="24"/>
          <w:u w:val="none"/>
        </w:rPr>
        <w:t>5.1.1.</w:t>
      </w:r>
      <w:r w:rsidR="00D712CF" w:rsidRPr="00AA1421">
        <w:rPr>
          <w:u w:val="none"/>
        </w:rPr>
        <w:tab/>
      </w:r>
      <w:r w:rsidRPr="00AA1421">
        <w:rPr>
          <w:rFonts w:ascii="Times New Roman" w:hAnsi="Times New Roman"/>
          <w:sz w:val="24"/>
        </w:rPr>
        <w:t>Uwagi ogólne</w:t>
      </w:r>
      <w:bookmarkEnd w:id="608"/>
      <w:bookmarkEnd w:id="609"/>
      <w:bookmarkEnd w:id="610"/>
      <w:bookmarkEnd w:id="611"/>
      <w:bookmarkEnd w:id="612"/>
      <w:bookmarkEnd w:id="613"/>
      <w:bookmarkEnd w:id="614"/>
    </w:p>
    <w:p w:rsidR="000B0B09" w:rsidRPr="00AA1421" w:rsidRDefault="00AA1421" w:rsidP="00487A02">
      <w:pPr>
        <w:pStyle w:val="InstructionsText2"/>
        <w:numPr>
          <w:ilvl w:val="0"/>
          <w:numId w:val="0"/>
        </w:numPr>
        <w:ind w:left="1353" w:hanging="360"/>
      </w:pPr>
      <w:fldSimple w:instr=" seq paragraphs ">
        <w:r w:rsidR="00D11E4C" w:rsidRPr="00AA1421">
          <w:rPr>
            <w:noProof/>
          </w:rPr>
          <w:t>160</w:t>
        </w:r>
      </w:fldSimple>
      <w:r w:rsidR="00D11E4C" w:rsidRPr="00AA1421">
        <w:t>.</w:t>
      </w:r>
      <w:r w:rsidR="00D11E4C" w:rsidRPr="00AA1421">
        <w:tab/>
        <w:t xml:space="preserve"> Przedmiotowy wzór obejmuje pozycje i powiązane wymogi w zakresie funduszy własnych dotyczące ryzyka pozycji z tytułu rynkowych instrumentów dłużnych według metody standardowej (</w:t>
      </w:r>
      <w:r w:rsidR="00D11E4C" w:rsidRPr="00084F66">
        <w:t>art.</w:t>
      </w:r>
      <w:r w:rsidR="00084F66" w:rsidRPr="00084F66">
        <w:t> </w:t>
      </w:r>
      <w:r w:rsidR="00D11E4C" w:rsidRPr="00084F66">
        <w:t>3</w:t>
      </w:r>
      <w:r w:rsidR="00D11E4C" w:rsidRPr="00AA1421">
        <w:t xml:space="preserve">25 </w:t>
      </w:r>
      <w:r w:rsidR="00D11E4C" w:rsidRPr="00084F66">
        <w:t>ust.</w:t>
      </w:r>
      <w:r w:rsidR="00084F66" w:rsidRPr="00084F66">
        <w:t> </w:t>
      </w:r>
      <w:r w:rsidR="00D11E4C" w:rsidRPr="00084F66">
        <w:t>2</w:t>
      </w:r>
      <w:r w:rsidR="00D11E4C" w:rsidRPr="00AA1421">
        <w:t xml:space="preserve"> </w:t>
      </w:r>
      <w:r w:rsidR="00D11E4C" w:rsidRPr="00084F66">
        <w:t>lit.</w:t>
      </w:r>
      <w:r w:rsidR="00084F66" w:rsidRPr="00084F66">
        <w:t> </w:t>
      </w:r>
      <w:r w:rsidR="00D11E4C" w:rsidRPr="00084F66">
        <w:t>a)</w:t>
      </w:r>
      <w:r w:rsidR="00D11E4C" w:rsidRPr="00AA1421">
        <w:t xml:space="preserve"> CRR). Różne rodzaje ryzyka i metody dostępne na podstawie CRR uznaje się według wierszy. Ryzyko szczególne związane z ekspozycjami zawartymi we wzorach MKR SA SEC i MKR SA CTP zgłasza się jedynie w pozycji „Razem” wzoru MKR SA TDI. Wymogi w zakresie funduszy własnych zgłaszane w przedmiotowych wzorach przenosi się odpowiednio do komórek {0325;0060} (sekurytyzacje) i {0330;0060} (korelacyjny portfel handlowy).</w:t>
      </w:r>
    </w:p>
    <w:p w:rsidR="000B0B09" w:rsidRPr="00AA1421" w:rsidRDefault="00AA1421" w:rsidP="00487A02">
      <w:pPr>
        <w:pStyle w:val="InstructionsText2"/>
        <w:numPr>
          <w:ilvl w:val="0"/>
          <w:numId w:val="0"/>
        </w:numPr>
        <w:ind w:left="1353" w:hanging="360"/>
      </w:pPr>
      <w:fldSimple w:instr=" seq paragraphs ">
        <w:r w:rsidR="00D11E4C" w:rsidRPr="00AA1421">
          <w:rPr>
            <w:noProof/>
          </w:rPr>
          <w:t>161</w:t>
        </w:r>
      </w:fldSimple>
      <w:r w:rsidR="00D11E4C" w:rsidRPr="00AA1421">
        <w:t>.</w:t>
      </w:r>
      <w:r w:rsidR="00D11E4C" w:rsidRPr="00AA1421">
        <w:tab/>
        <w:t xml:space="preserve"> Wzór należy wypełnić osobno w odniesieniu do pozycji „Razem”, powiększonej o wcześniej ustaloną wartość z listy następujących walut: </w:t>
      </w:r>
      <w:bookmarkStart w:id="615" w:name="OLE_LINK1"/>
      <w:r w:rsidR="00D11E4C" w:rsidRPr="00AA1421">
        <w:t>EUR, ALL, BGN, CZK, DKK, EGP, GBP, HRK, HUF, ISK, JPY, MKD, NOK, PLN, RON, RUB, RSD, SEK, CHF, TRY, UAH, USD</w:t>
      </w:r>
      <w:bookmarkEnd w:id="615"/>
      <w:r w:rsidR="00D11E4C" w:rsidRPr="00AA1421">
        <w:t xml:space="preserve"> i jeden rezydualny wzór w odniesieniu do wszystkich innych walut. </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403723"/>
      <w:r w:rsidRPr="00AA1421">
        <w:rPr>
          <w:rFonts w:ascii="Times New Roman" w:hAnsi="Times New Roman"/>
          <w:sz w:val="24"/>
          <w:u w:val="none"/>
        </w:rPr>
        <w:t>5.1.2.</w:t>
      </w:r>
      <w:r w:rsidR="00D712CF" w:rsidRPr="00AA1421">
        <w:rPr>
          <w:u w:val="none"/>
        </w:rPr>
        <w:tab/>
      </w:r>
      <w:r w:rsidRPr="00AA1421">
        <w:rPr>
          <w:rFonts w:ascii="Times New Roman" w:hAnsi="Times New Roman"/>
          <w:sz w:val="24"/>
        </w:rPr>
        <w:t>Instrukcje dotyczące poszczególnych pozycji</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A1421" w:rsidTr="00672D2A">
        <w:trPr>
          <w:trHeight w:val="569"/>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Kolumny</w:t>
            </w:r>
          </w:p>
        </w:tc>
      </w:tr>
      <w:tr w:rsidR="000B0B09" w:rsidRPr="00AA1421" w:rsidTr="00672D2A">
        <w:tc>
          <w:tcPr>
            <w:tcW w:w="988"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0010-0020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WSZYSTKIE POZYCJE (DŁUGIE I KRÓTKIE)</w:t>
            </w:r>
          </w:p>
          <w:p w:rsidR="000B0B09" w:rsidRPr="00AA1421" w:rsidRDefault="000B0B09" w:rsidP="00BD2FE7">
            <w:pPr>
              <w:rPr>
                <w:rFonts w:ascii="Times New Roman" w:hAnsi="Times New Roman"/>
                <w:sz w:val="24"/>
              </w:rPr>
            </w:pPr>
            <w:r w:rsidRPr="00AA1421">
              <w:rPr>
                <w:rFonts w:ascii="Times New Roman" w:hAnsi="Times New Roman"/>
                <w:sz w:val="24"/>
              </w:rPr>
              <w:t xml:space="preserve">Art. 102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Są to pozycje brutto nieskompensowane przez instrumenty, z wyłączeniem pozycji z tytułu gwarantowania emisji, które są subskrybowane lub </w:t>
            </w:r>
            <w:proofErr w:type="spellStart"/>
            <w:r w:rsidRPr="00AA1421">
              <w:rPr>
                <w:rFonts w:ascii="Times New Roman" w:hAnsi="Times New Roman"/>
                <w:sz w:val="24"/>
              </w:rPr>
              <w:t>regwarantowane</w:t>
            </w:r>
            <w:proofErr w:type="spellEnd"/>
            <w:r w:rsidRPr="00AA1421">
              <w:rPr>
                <w:rFonts w:ascii="Times New Roman" w:hAnsi="Times New Roman"/>
                <w:sz w:val="24"/>
              </w:rPr>
              <w:t xml:space="preserve"> przez osoby trzecie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akapit pierwszy zdanie drugie CRR). W kwestii rozróżnienia pomiędzy pozycjami długimi i krótkimi, stosowanego również w odniesieniu do pozycji brutto,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0B0B09" w:rsidRPr="00AA1421" w:rsidTr="00672D2A">
        <w:tc>
          <w:tcPr>
            <w:tcW w:w="988"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t>0030-0040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NETTO (DŁUGIE I KRÓTKIE)</w:t>
            </w:r>
          </w:p>
          <w:p w:rsidR="000B0B09" w:rsidRPr="00AA1421" w:rsidRDefault="000B0B09" w:rsidP="005B04C9">
            <w:pPr>
              <w:rPr>
                <w:rFonts w:ascii="Times New Roman" w:hAnsi="Times New Roman"/>
                <w:sz w:val="24"/>
              </w:rPr>
            </w:pPr>
            <w:r w:rsidRPr="00AA1421">
              <w:rPr>
                <w:rFonts w:ascii="Times New Roman" w:hAnsi="Times New Roman"/>
                <w:sz w:val="24"/>
              </w:rPr>
              <w:t xml:space="preserve">Art. 327–329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34 CRR W kwestii rozróżnienia pomiędzy pozycjami długimi i krótkimi,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0B0B09" w:rsidRPr="00AA1421" w:rsidTr="00672D2A">
        <w:tc>
          <w:tcPr>
            <w:tcW w:w="988" w:type="dxa"/>
          </w:tcPr>
          <w:p w:rsidR="000B0B09" w:rsidRPr="00AA1421"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0050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PODLEGAJĄCE NARZUTOWI KAPITAŁOWEMU</w:t>
            </w:r>
          </w:p>
          <w:p w:rsidR="000B0B09" w:rsidRPr="00AA1421" w:rsidRDefault="000B0B09" w:rsidP="005B04C9">
            <w:pPr>
              <w:rPr>
                <w:rFonts w:ascii="Times New Roman" w:hAnsi="Times New Roman"/>
                <w:b/>
                <w:bCs/>
                <w:sz w:val="24"/>
                <w:u w:val="single"/>
              </w:rPr>
            </w:pPr>
            <w:r w:rsidRPr="00AA1421">
              <w:rPr>
                <w:rFonts w:ascii="Times New Roman" w:hAnsi="Times New Roman"/>
                <w:sz w:val="24"/>
              </w:rPr>
              <w:t>Te pozycje netto, które zgodnie z różnymi metodami uwzględnionymi w części trzeciej tytuł IV rozdział 2 CRR otrzymują narzut kapitałowy.</w:t>
            </w:r>
          </w:p>
        </w:tc>
      </w:tr>
      <w:tr w:rsidR="000B0B09" w:rsidRPr="00AA1421" w:rsidTr="00672D2A">
        <w:tc>
          <w:tcPr>
            <w:tcW w:w="988" w:type="dxa"/>
          </w:tcPr>
          <w:p w:rsidR="000B0B09" w:rsidRPr="00AA1421"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w:t>
            </w:r>
          </w:p>
        </w:tc>
        <w:tc>
          <w:tcPr>
            <w:tcW w:w="7874" w:type="dxa"/>
          </w:tcPr>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WYMOGI W ZAKRESIE FUNDUSZY WŁASNYCH</w:t>
            </w:r>
          </w:p>
          <w:p w:rsidR="000B0B09" w:rsidRPr="00AA1421" w:rsidRDefault="000B0B09" w:rsidP="005B04C9">
            <w:pPr>
              <w:rPr>
                <w:rFonts w:ascii="Times New Roman" w:hAnsi="Times New Roman"/>
                <w:b/>
                <w:bCs/>
                <w:sz w:val="24"/>
                <w:u w:val="single"/>
              </w:rPr>
            </w:pPr>
            <w:r w:rsidRPr="00AA1421">
              <w:rPr>
                <w:rFonts w:ascii="Times New Roman" w:hAnsi="Times New Roman"/>
                <w:sz w:val="24"/>
              </w:rPr>
              <w:t>Narzut kapitałowy w odniesieniu do wszelkich stosownych pozycji, zgodnie z częścią trzecią tytuł IV rozdział 2 CRR.</w:t>
            </w:r>
          </w:p>
        </w:tc>
      </w:tr>
      <w:tr w:rsidR="000B0B09" w:rsidRPr="00AA1421" w:rsidTr="00672D2A">
        <w:tc>
          <w:tcPr>
            <w:tcW w:w="988" w:type="dxa"/>
          </w:tcPr>
          <w:p w:rsidR="000B0B09" w:rsidRPr="00AA1421"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0070</w:t>
            </w:r>
          </w:p>
        </w:tc>
        <w:tc>
          <w:tcPr>
            <w:tcW w:w="7874" w:type="dxa"/>
          </w:tcPr>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ŁĄCZNA KWOTA EKSPOZYCJI NA RYZYKO</w:t>
            </w:r>
          </w:p>
          <w:p w:rsidR="000B0B09" w:rsidRPr="00AA1421" w:rsidRDefault="00D21B29" w:rsidP="005B04C9">
            <w:pPr>
              <w:rPr>
                <w:rFonts w:ascii="Times New Roman" w:hAnsi="Times New Roman"/>
                <w:b/>
                <w:bCs/>
                <w:sz w:val="24"/>
                <w:u w:val="single"/>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Wynik pomnożenia wymogów w zakresie funduszy własnych przez 12,5. </w:t>
            </w:r>
          </w:p>
        </w:tc>
      </w:tr>
    </w:tbl>
    <w:p w:rsidR="000B0B09" w:rsidRPr="00AA1421" w:rsidRDefault="000B0B09" w:rsidP="000B0B09">
      <w:pPr>
        <w:autoSpaceDE w:val="0"/>
        <w:autoSpaceDN w:val="0"/>
        <w:adjustRightInd w:val="0"/>
        <w:spacing w:before="0" w:after="0"/>
        <w:rPr>
          <w:rFonts w:ascii="Times New Roman" w:hAnsi="Times New Roman"/>
          <w:sz w:val="24"/>
          <w:lang w:eastAsia="nl-BE"/>
        </w:rPr>
      </w:pPr>
    </w:p>
    <w:p w:rsidR="000B0B09" w:rsidRPr="00AA1421"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A1421" w:rsidTr="00672D2A">
        <w:trPr>
          <w:trHeight w:val="533"/>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Wiersze</w:t>
            </w:r>
          </w:p>
        </w:tc>
      </w:tr>
      <w:tr w:rsidR="000B0B09" w:rsidRPr="00AA1421" w:rsidTr="00672D2A">
        <w:trPr>
          <w:trHeight w:val="1168"/>
        </w:trPr>
        <w:tc>
          <w:tcPr>
            <w:tcW w:w="987" w:type="dxa"/>
          </w:tcPr>
          <w:p w:rsidR="000B0B09" w:rsidRPr="00AA1421" w:rsidRDefault="00EE2CD5" w:rsidP="00EE2CD5">
            <w:pPr>
              <w:autoSpaceDE w:val="0"/>
              <w:autoSpaceDN w:val="0"/>
              <w:adjustRightInd w:val="0"/>
              <w:spacing w:before="0" w:after="0"/>
              <w:rPr>
                <w:rFonts w:ascii="Times New Roman" w:hAnsi="Times New Roman"/>
                <w:sz w:val="24"/>
              </w:rPr>
            </w:pPr>
            <w:r w:rsidRPr="00AA1421">
              <w:rPr>
                <w:rFonts w:ascii="Times New Roman" w:hAnsi="Times New Roman"/>
                <w:sz w:val="24"/>
              </w:rPr>
              <w:t>0010-0350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RYNKOWE INSTRUMENTY DŁUŻNE W PORTFELU HANDLOWYM</w:t>
            </w:r>
          </w:p>
          <w:p w:rsidR="000B0B09" w:rsidRPr="00AA1421" w:rsidRDefault="000B0B09" w:rsidP="00BD2FE7">
            <w:pPr>
              <w:rPr>
                <w:rFonts w:ascii="Times New Roman" w:hAnsi="Times New Roman"/>
                <w:sz w:val="24"/>
              </w:rPr>
            </w:pPr>
            <w:r w:rsidRPr="00AA1421">
              <w:rPr>
                <w:rFonts w:ascii="Times New Roman" w:hAnsi="Times New Roman"/>
                <w:sz w:val="24"/>
              </w:rPr>
              <w:t xml:space="preserve">Pozycje w rynkowych instrumentach dłużnych ujętych w portfelu handlowym oraz odpowiadające im wymogi w zakresie funduszy własnych w odniesieniu do ryzyka pozycji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CRR i części trzeciej tytuł IV rozdział 2 CRR należy zgłaszać w zależności od kategorii ryzyka, terminu zapadalności i zastosowanego podejścia.</w:t>
            </w:r>
          </w:p>
        </w:tc>
      </w:tr>
      <w:tr w:rsidR="000B0B09" w:rsidRPr="00AA1421" w:rsidTr="00672D2A">
        <w:tc>
          <w:tcPr>
            <w:tcW w:w="987"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t>0011</w:t>
            </w:r>
          </w:p>
        </w:tc>
        <w:tc>
          <w:tcPr>
            <w:tcW w:w="7875" w:type="dxa"/>
          </w:tcPr>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b/>
                <w:bCs/>
                <w:sz w:val="24"/>
                <w:u w:val="single"/>
              </w:rPr>
              <w:t xml:space="preserve">RYZYKO OGÓLNE. </w:t>
            </w:r>
          </w:p>
        </w:tc>
      </w:tr>
      <w:tr w:rsidR="000B0B09" w:rsidRPr="00AA1421" w:rsidTr="00672D2A">
        <w:tc>
          <w:tcPr>
            <w:tcW w:w="987" w:type="dxa"/>
          </w:tcPr>
          <w:p w:rsidR="000B0B09" w:rsidRPr="00AA1421"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0012</w:t>
            </w:r>
          </w:p>
        </w:tc>
        <w:tc>
          <w:tcPr>
            <w:tcW w:w="7875" w:type="dxa"/>
          </w:tcPr>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b/>
                <w:bCs/>
                <w:sz w:val="24"/>
                <w:u w:val="single"/>
              </w:rPr>
              <w:t>Instrumenty pochodne</w:t>
            </w:r>
          </w:p>
          <w:p w:rsidR="000B0B09" w:rsidRPr="00AA1421" w:rsidRDefault="000B0B09" w:rsidP="00BD2FE7">
            <w:pPr>
              <w:rPr>
                <w:rFonts w:ascii="Times New Roman" w:hAnsi="Times New Roman"/>
                <w:b/>
                <w:bCs/>
                <w:sz w:val="24"/>
                <w:u w:val="single"/>
              </w:rPr>
            </w:pPr>
            <w:r w:rsidRPr="00AA1421">
              <w:rPr>
                <w:rFonts w:ascii="Times New Roman" w:hAnsi="Times New Roman"/>
                <w:sz w:val="24"/>
              </w:rPr>
              <w:t xml:space="preserve">Instrumenty pochodne uwzględnione przy obliczaniu ryzyka stopy procentowej w portfelu handlowym, uwzględniając, w stosownych przypadkach,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28–331 CRR.</w:t>
            </w:r>
          </w:p>
        </w:tc>
      </w:tr>
      <w:tr w:rsidR="000B0B09" w:rsidRPr="00AA1421" w:rsidTr="00672D2A">
        <w:tc>
          <w:tcPr>
            <w:tcW w:w="987" w:type="dxa"/>
          </w:tcPr>
          <w:p w:rsidR="000B0B09" w:rsidRPr="00AA1421"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0013</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Inne aktywa i zobowiązania</w:t>
            </w:r>
          </w:p>
          <w:p w:rsidR="000B0B09" w:rsidRPr="00AA1421" w:rsidRDefault="000B0B09" w:rsidP="00BD2FE7">
            <w:pPr>
              <w:rPr>
                <w:rFonts w:ascii="Times New Roman" w:hAnsi="Times New Roman"/>
                <w:b/>
                <w:bCs/>
                <w:sz w:val="24"/>
                <w:u w:val="single"/>
              </w:rPr>
            </w:pPr>
            <w:r w:rsidRPr="00AA1421">
              <w:rPr>
                <w:rFonts w:ascii="Times New Roman" w:hAnsi="Times New Roman"/>
                <w:sz w:val="24"/>
              </w:rPr>
              <w:t xml:space="preserve">Instrumenty inne niż instrumenty pochodne brane pod uwagę przy obliczaniu ryzyka stopy procentowej pozycji w portfelu handlowym. </w:t>
            </w:r>
          </w:p>
        </w:tc>
      </w:tr>
      <w:tr w:rsidR="000B0B09" w:rsidRPr="00AA1421" w:rsidTr="00672D2A">
        <w:tc>
          <w:tcPr>
            <w:tcW w:w="987" w:type="dxa"/>
          </w:tcPr>
          <w:p w:rsidR="000B0B09" w:rsidRPr="00AA1421"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0020-0200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METODA TERMINÓW ZAPADALNOŚCI</w:t>
            </w:r>
          </w:p>
          <w:p w:rsidR="000B0B09" w:rsidRPr="00AA1421" w:rsidRDefault="000B0B09" w:rsidP="00BD2FE7">
            <w:pPr>
              <w:rPr>
                <w:rFonts w:ascii="Times New Roman" w:hAnsi="Times New Roman"/>
                <w:b/>
                <w:bCs/>
                <w:sz w:val="24"/>
                <w:u w:val="single"/>
              </w:rPr>
            </w:pPr>
            <w:r w:rsidRPr="00AA1421">
              <w:rPr>
                <w:rFonts w:ascii="Times New Roman" w:hAnsi="Times New Roman"/>
                <w:sz w:val="24"/>
              </w:rPr>
              <w:t xml:space="preserve">Pozycje w rynkowych instrumentach dłużnych podlegające metodzie terminów zapadalności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–8 CRR oraz odpowiadające wymogi w zakresie funduszy własnych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CRR. Pozycję </w:t>
            </w:r>
            <w:r w:rsidRPr="00AA1421">
              <w:rPr>
                <w:rFonts w:ascii="Times New Roman" w:hAnsi="Times New Roman"/>
                <w:sz w:val="24"/>
              </w:rPr>
              <w:lastRenderedPageBreak/>
              <w:t>dzieli się według stref 1, 2 i 3, po czym strefy te dzieli się według terminu zapadalności instrumentów.</w:t>
            </w:r>
          </w:p>
        </w:tc>
      </w:tr>
      <w:tr w:rsidR="000B0B09" w:rsidRPr="00AA1421" w:rsidTr="00672D2A">
        <w:tc>
          <w:tcPr>
            <w:tcW w:w="987"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0210-0240</w:t>
            </w:r>
          </w:p>
        </w:tc>
        <w:tc>
          <w:tcPr>
            <w:tcW w:w="7875" w:type="dxa"/>
          </w:tcPr>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b/>
                <w:bCs/>
                <w:sz w:val="24"/>
                <w:u w:val="single"/>
              </w:rPr>
              <w:t>RYZYKO OGÓLNE. PODEJŚCIE OPARTE NA DURACJI</w:t>
            </w:r>
          </w:p>
          <w:p w:rsidR="000B0B09" w:rsidRPr="00AA1421" w:rsidRDefault="000B0B09" w:rsidP="0002267E">
            <w:pPr>
              <w:rPr>
                <w:rFonts w:ascii="Times New Roman" w:hAnsi="Times New Roman"/>
                <w:b/>
                <w:bCs/>
                <w:sz w:val="24"/>
                <w:u w:val="single"/>
              </w:rPr>
            </w:pPr>
            <w:r w:rsidRPr="00AA1421">
              <w:rPr>
                <w:rFonts w:ascii="Times New Roman" w:hAnsi="Times New Roman"/>
                <w:sz w:val="24"/>
              </w:rPr>
              <w:t xml:space="preserve">Pozycje w rynkowych instrumentach dłużnych podlegające podejściu opartemu na </w:t>
            </w:r>
            <w:proofErr w:type="spellStart"/>
            <w:r w:rsidRPr="00AA1421">
              <w:rPr>
                <w:rFonts w:ascii="Times New Roman" w:hAnsi="Times New Roman"/>
                <w:sz w:val="24"/>
              </w:rPr>
              <w:t>duracji</w:t>
            </w:r>
            <w:proofErr w:type="spellEnd"/>
            <w:r w:rsidRPr="00AA1421">
              <w:rPr>
                <w:rFonts w:ascii="Times New Roman" w:hAnsi="Times New Roman"/>
                <w:sz w:val="24"/>
              </w:rPr>
              <w:t xml:space="preserv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 CRR oraz odpowiadające wymogi w zakresie funduszy własnych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CRR. Pozycję dzieli się według stref 1, 2 i 3.</w:t>
            </w:r>
          </w:p>
        </w:tc>
      </w:tr>
      <w:tr w:rsidR="000B0B09" w:rsidRPr="00AA1421" w:rsidTr="00672D2A">
        <w:tc>
          <w:tcPr>
            <w:tcW w:w="987"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t>0250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RYZYKO SZCZEGÓLNE</w:t>
            </w:r>
          </w:p>
          <w:p w:rsidR="000B0B09" w:rsidRPr="00AA1421" w:rsidRDefault="000B0B09" w:rsidP="00BD2FE7">
            <w:pPr>
              <w:rPr>
                <w:rFonts w:ascii="Times New Roman" w:hAnsi="Times New Roman"/>
                <w:sz w:val="24"/>
              </w:rPr>
            </w:pPr>
            <w:r w:rsidRPr="00AA1421">
              <w:rPr>
                <w:rFonts w:ascii="Times New Roman" w:hAnsi="Times New Roman"/>
                <w:sz w:val="24"/>
              </w:rPr>
              <w:t xml:space="preserve">Suma kwot zgłoszonych w wierszach 0251, 0325 i 0330. </w:t>
            </w:r>
          </w:p>
          <w:p w:rsidR="000B0B09" w:rsidRPr="00AA1421" w:rsidRDefault="000B0B09" w:rsidP="00BD2FE7">
            <w:pPr>
              <w:rPr>
                <w:rFonts w:ascii="Times New Roman" w:hAnsi="Times New Roman"/>
                <w:b/>
                <w:bCs/>
                <w:sz w:val="24"/>
                <w:u w:val="single"/>
              </w:rPr>
            </w:pPr>
            <w:r w:rsidRPr="00AA1421">
              <w:rPr>
                <w:rFonts w:ascii="Times New Roman" w:hAnsi="Times New Roman"/>
                <w:sz w:val="24"/>
              </w:rPr>
              <w:t xml:space="preserve">Pozycje w rynkowych instrumentach dłużnych podlegające szczególnemu ryzyku wymogów kapitałowych oraz odpowiadające im wymogi kapitałowe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lit b)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35,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2, 3,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37 i 338 CRR. Należy również mieć na uwadze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zdanie ostatnie CRR.</w:t>
            </w:r>
          </w:p>
        </w:tc>
      </w:tr>
      <w:tr w:rsidR="000B0B09" w:rsidRPr="00AA1421" w:rsidTr="00672D2A">
        <w:tc>
          <w:tcPr>
            <w:tcW w:w="987"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t>0251-0321</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Wymóg w zakresie funduszy własnych w odniesieniu do instrumentów dłużnych niestanowiących pozycji sekurytyzacyjnych</w:t>
            </w:r>
          </w:p>
          <w:p w:rsidR="000B0B09" w:rsidRPr="00AA1421" w:rsidRDefault="000B0B09" w:rsidP="007B2F85">
            <w:pPr>
              <w:rPr>
                <w:rFonts w:ascii="Times New Roman" w:hAnsi="Times New Roman"/>
                <w:sz w:val="24"/>
              </w:rPr>
            </w:pPr>
            <w:r w:rsidRPr="00AA1421">
              <w:rPr>
                <w:rFonts w:ascii="Times New Roman" w:hAnsi="Times New Roman"/>
                <w:sz w:val="24"/>
              </w:rPr>
              <w:t>Suma kwot zgłoszonych w wierszach 260–321.</w:t>
            </w:r>
          </w:p>
          <w:p w:rsidR="000B0B09" w:rsidRPr="00AA1421" w:rsidRDefault="000B0B09" w:rsidP="00BD2FE7">
            <w:pPr>
              <w:rPr>
                <w:rFonts w:ascii="Times New Roman" w:hAnsi="Times New Roman"/>
                <w:sz w:val="24"/>
              </w:rPr>
            </w:pPr>
            <w:r w:rsidRPr="00AA1421">
              <w:rPr>
                <w:rFonts w:ascii="Times New Roman" w:hAnsi="Times New Roman"/>
                <w:sz w:val="24"/>
              </w:rPr>
              <w:t>Wymogi w zakresie kapitału własnego dotyczące kredytowych instrumentów pochodnych uruchamianych n-tym niewykonaniem zobowiązania, które nie posiadają zewnętrznej oceny ratingowej, oblicza się, sumując wagi ryzyka podmiotów referencyjnych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CRR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akapit drugi CRR – „pełny przegląd”). Kredytowe instrumenty pochodne uruchamiane n-tym niewykonaniem zobowiązania posiadające zewnętrzną ocenę ratingową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akapit trzeci CRR) zgłasza się oddzielnie w wierszu 321. </w:t>
            </w:r>
          </w:p>
          <w:p w:rsidR="000B0B09" w:rsidRPr="00AA1421" w:rsidRDefault="000B0B09" w:rsidP="00BD2FE7">
            <w:pPr>
              <w:rPr>
                <w:rFonts w:ascii="Times New Roman" w:hAnsi="Times New Roman"/>
                <w:sz w:val="24"/>
              </w:rPr>
            </w:pPr>
            <w:r w:rsidRPr="00AA1421">
              <w:rPr>
                <w:rFonts w:ascii="Times New Roman" w:hAnsi="Times New Roman"/>
                <w:sz w:val="24"/>
              </w:rPr>
              <w:t xml:space="preserve">Zgłaszanie pozycji podlegających przepisom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Obligacje kwalifikujące się do wagi ryzyka równej 1</w:t>
            </w:r>
            <w:r w:rsidRPr="00084F66">
              <w:rPr>
                <w:rFonts w:ascii="Times New Roman" w:hAnsi="Times New Roman"/>
                <w:sz w:val="24"/>
              </w:rPr>
              <w:t>0</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w portfelu bankowym wymagają specjalnego ujęcia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(obligacje zabezpieczone). Określone wymogi w zakresie funduszy własnych odpowiadają połowie odsetka drugiej kategorii w tabeli 1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36 CRR. Pozycje te muszą być przypisane do wierszy 0280-0300 odpowiednio do okresu pozostałego do ostatecznego terminu zapadalności.</w:t>
            </w:r>
          </w:p>
          <w:p w:rsidR="000B0B09" w:rsidRPr="00AA1421" w:rsidRDefault="00F41508" w:rsidP="0002267E">
            <w:pPr>
              <w:rPr>
                <w:rFonts w:ascii="Times New Roman" w:hAnsi="Times New Roman"/>
                <w:b/>
                <w:bCs/>
                <w:sz w:val="24"/>
                <w:u w:val="single"/>
              </w:rPr>
            </w:pPr>
            <w:r w:rsidRPr="00AA1421">
              <w:rPr>
                <w:rFonts w:ascii="Times New Roman" w:hAnsi="Times New Roman"/>
                <w:sz w:val="24"/>
              </w:rPr>
              <w:t xml:space="preserve">Jeżeli ryzyko ogólne pozycji ryzyka stopy procentowej jest zabezpieczone kredytowym instrumentem pochodnym, stosuje się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46 i 347 CRR. </w:t>
            </w:r>
          </w:p>
        </w:tc>
      </w:tr>
      <w:tr w:rsidR="000B0B09" w:rsidRPr="00AA1421" w:rsidTr="00672D2A">
        <w:tc>
          <w:tcPr>
            <w:tcW w:w="987" w:type="dxa"/>
          </w:tcPr>
          <w:p w:rsidR="000B0B09" w:rsidRPr="00AA1421" w:rsidDel="00F27BD6"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0325</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Wymogi w zakresie funduszy własnych w odniesieniu do instrumentów stanowiących pozycje sekurytyzacyjne</w:t>
            </w:r>
          </w:p>
          <w:p w:rsidR="00722A10" w:rsidRPr="00AA1421" w:rsidDel="00F27BD6" w:rsidRDefault="000B0B09" w:rsidP="0002267E">
            <w:pPr>
              <w:rPr>
                <w:rFonts w:ascii="Times New Roman" w:hAnsi="Times New Roman"/>
                <w:b/>
                <w:bCs/>
                <w:sz w:val="24"/>
                <w:u w:val="single"/>
              </w:rPr>
            </w:pPr>
            <w:r w:rsidRPr="00AA1421">
              <w:rPr>
                <w:rFonts w:ascii="Times New Roman" w:hAnsi="Times New Roman"/>
                <w:sz w:val="24"/>
              </w:rPr>
              <w:t>Całkowite wymogi w zakresie funduszy własnych zgłoszone w kolumnie 0601 wzoru MKR SA SEC. Te całkowite wymogi w zakresie funduszy własnych zgłasza się wyłącznie na poziomie pozycji „Razem” wzoru MKR SA TDI.</w:t>
            </w:r>
          </w:p>
        </w:tc>
      </w:tr>
      <w:tr w:rsidR="000B0B09" w:rsidRPr="00AA1421" w:rsidTr="00672D2A">
        <w:tc>
          <w:tcPr>
            <w:tcW w:w="987" w:type="dxa"/>
          </w:tcPr>
          <w:p w:rsidR="000B0B09" w:rsidRPr="00AA1421" w:rsidDel="00F27BD6" w:rsidRDefault="00EE2CD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0330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Wymóg w zakresie funduszy własnych dla korelacyjnego portfela handlowego</w:t>
            </w:r>
          </w:p>
          <w:p w:rsidR="00722A10" w:rsidRPr="00AA1421" w:rsidDel="00F27BD6" w:rsidRDefault="000B0B09" w:rsidP="0002267E">
            <w:pPr>
              <w:rPr>
                <w:rFonts w:ascii="Times New Roman" w:hAnsi="Times New Roman"/>
                <w:b/>
                <w:bCs/>
                <w:sz w:val="24"/>
                <w:u w:val="single"/>
              </w:rPr>
            </w:pPr>
            <w:r w:rsidRPr="00AA1421">
              <w:rPr>
                <w:rFonts w:ascii="Times New Roman" w:hAnsi="Times New Roman"/>
                <w:sz w:val="24"/>
              </w:rPr>
              <w:t>Całkowite wymogi w zakresie funduszy własnych zgłoszone w kolumnie 0450 wzoru MKR SA CTP. Te całkowite wymogi w zakresie funduszy własnych zgłasza się wyłącznie na poziomie pozycji „Razem” wzoru MKR SA TDI.</w:t>
            </w:r>
          </w:p>
        </w:tc>
      </w:tr>
      <w:tr w:rsidR="000B0B09" w:rsidRPr="00AA1421" w:rsidTr="00672D2A">
        <w:tc>
          <w:tcPr>
            <w:tcW w:w="987" w:type="dxa"/>
          </w:tcPr>
          <w:p w:rsidR="000B0B09" w:rsidRPr="00AA1421" w:rsidRDefault="00EE2CD5" w:rsidP="000F70EC">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0350-0390</w:t>
            </w:r>
          </w:p>
        </w:tc>
        <w:tc>
          <w:tcPr>
            <w:tcW w:w="7875" w:type="dxa"/>
          </w:tcPr>
          <w:p w:rsidR="000B0B09" w:rsidRPr="00AA1421" w:rsidRDefault="000B0B09" w:rsidP="000B0B09">
            <w:pPr>
              <w:autoSpaceDE w:val="0"/>
              <w:autoSpaceDN w:val="0"/>
              <w:adjustRightInd w:val="0"/>
              <w:spacing w:before="0" w:after="0"/>
              <w:rPr>
                <w:rStyle w:val="InstructionsTabelleberschrift"/>
                <w:rFonts w:ascii="Times New Roman" w:hAnsi="Times New Roman"/>
                <w:sz w:val="24"/>
              </w:rPr>
            </w:pPr>
            <w:r w:rsidRPr="00AA1421">
              <w:rPr>
                <w:rStyle w:val="InstructionsTabelleberschrift"/>
                <w:rFonts w:ascii="Times New Roman" w:hAnsi="Times New Roman"/>
                <w:sz w:val="24"/>
              </w:rPr>
              <w:t xml:space="preserve">DODATKOWE WYMOGI W ZAKRESIE OPCJI (RYZYKA INNE NIŻ RYZYKO DELTA) </w:t>
            </w:r>
          </w:p>
          <w:p w:rsidR="000B0B09" w:rsidRPr="00AA1421" w:rsidRDefault="000B0B09" w:rsidP="00BD2FE7">
            <w:pPr>
              <w:rPr>
                <w:rFonts w:ascii="Times New Roman" w:hAnsi="Times New Roman"/>
                <w:sz w:val="24"/>
              </w:rPr>
            </w:pPr>
            <w:r w:rsidRPr="00AA1421">
              <w:rPr>
                <w:rFonts w:ascii="Times New Roman" w:hAnsi="Times New Roman"/>
                <w:sz w:val="24"/>
              </w:rPr>
              <w:t>Art. 329 ust. 3 CRR</w:t>
            </w:r>
          </w:p>
          <w:p w:rsidR="000B0B09" w:rsidRPr="00AA1421" w:rsidRDefault="000B0B09" w:rsidP="0002267E">
            <w:pPr>
              <w:rPr>
                <w:rFonts w:ascii="Times New Roman" w:hAnsi="Times New Roman"/>
                <w:bCs/>
                <w:sz w:val="24"/>
              </w:rPr>
            </w:pPr>
            <w:r w:rsidRPr="00AA1421">
              <w:rPr>
                <w:rFonts w:ascii="Times New Roman" w:hAnsi="Times New Roman"/>
                <w:sz w:val="24"/>
              </w:rPr>
              <w:t xml:space="preserve">Dodatkowe wymogi w zakresie opcji związane z </w:t>
            </w:r>
            <w:proofErr w:type="spellStart"/>
            <w:r w:rsidRPr="00AA1421">
              <w:rPr>
                <w:rFonts w:ascii="Times New Roman" w:hAnsi="Times New Roman"/>
                <w:sz w:val="24"/>
              </w:rPr>
              <w:t>ryzykami</w:t>
            </w:r>
            <w:proofErr w:type="spellEnd"/>
            <w:r w:rsidRPr="00AA1421">
              <w:rPr>
                <w:rFonts w:ascii="Times New Roman" w:hAnsi="Times New Roman"/>
                <w:sz w:val="24"/>
              </w:rPr>
              <w:t xml:space="preserve"> innymi niż ryzyko delta zgłasza się w podziale na metodę stosowaną do ich obliczenia.</w:t>
            </w:r>
          </w:p>
        </w:tc>
      </w:tr>
    </w:tbl>
    <w:p w:rsidR="000B0B09" w:rsidRPr="00AA1421" w:rsidRDefault="000B0B09" w:rsidP="000B0B09">
      <w:pPr>
        <w:autoSpaceDE w:val="0"/>
        <w:autoSpaceDN w:val="0"/>
        <w:adjustRightInd w:val="0"/>
        <w:spacing w:before="0" w:after="0"/>
        <w:rPr>
          <w:rFonts w:ascii="Times New Roman" w:hAnsi="Times New Roman"/>
          <w:bCs/>
          <w:sz w:val="24"/>
          <w:lang w:eastAsia="nl-BE"/>
        </w:rPr>
      </w:pP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403724"/>
      <w:r w:rsidRPr="00AA1421">
        <w:rPr>
          <w:rFonts w:ascii="Times New Roman" w:hAnsi="Times New Roman"/>
          <w:sz w:val="24"/>
          <w:u w:val="none"/>
        </w:rPr>
        <w:t>5.2.</w:t>
      </w:r>
      <w:r w:rsidR="00D712CF" w:rsidRPr="00AA1421">
        <w:rPr>
          <w:u w:val="none"/>
        </w:rPr>
        <w:tab/>
      </w:r>
      <w:r w:rsidRPr="00AA1421">
        <w:rPr>
          <w:rFonts w:ascii="Times New Roman" w:hAnsi="Times New Roman"/>
          <w:sz w:val="24"/>
        </w:rPr>
        <w:t>C 19.00 – RYZYKO RYNKOWE: SZCZEGÓLNE RYZYKO Z TYTUŁU SEKURYTYZACJI WEDŁUG METODY STANDARDOWEJ (MKR SA SEC)</w:t>
      </w:r>
      <w:bookmarkEnd w:id="623"/>
      <w:bookmarkEnd w:id="624"/>
      <w:bookmarkEnd w:id="625"/>
      <w:bookmarkEnd w:id="626"/>
      <w:bookmarkEnd w:id="627"/>
      <w:bookmarkEnd w:id="628"/>
      <w:bookmarkEnd w:id="629"/>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403725"/>
      <w:r w:rsidRPr="00AA1421">
        <w:rPr>
          <w:rFonts w:ascii="Times New Roman" w:hAnsi="Times New Roman"/>
          <w:sz w:val="24"/>
          <w:u w:val="none"/>
        </w:rPr>
        <w:t>5.2.1.</w:t>
      </w:r>
      <w:r w:rsidR="00D712CF" w:rsidRPr="00AA1421">
        <w:rPr>
          <w:u w:val="none"/>
        </w:rPr>
        <w:tab/>
      </w:r>
      <w:r w:rsidRPr="00AA1421">
        <w:rPr>
          <w:rFonts w:ascii="Times New Roman" w:hAnsi="Times New Roman"/>
          <w:sz w:val="24"/>
        </w:rPr>
        <w:t>Uwagi ogólne</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AA1421" w:rsidRDefault="00771068"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162</w:t>
      </w:r>
      <w:r w:rsidRPr="00AA1421">
        <w:fldChar w:fldCharType="end"/>
      </w:r>
      <w:r w:rsidRPr="00AA1421">
        <w:t>.</w:t>
      </w:r>
      <w:r w:rsidRPr="00AA1421">
        <w:tab/>
        <w:t xml:space="preserve"> W przedmiotowym wzorze należy przedstawić informacje o pozycjach (wszystkich/netto i długich/krótkich) i powiązanych wymogach w zakresie funduszy własnych odnoszących się do elementu ryzyka szczególnego w ramach ryzyka pozycji z tytułu sekurytyzacji/</w:t>
      </w:r>
      <w:proofErr w:type="spellStart"/>
      <w:r w:rsidRPr="00AA1421">
        <w:t>resekurytyzacji</w:t>
      </w:r>
      <w:proofErr w:type="spellEnd"/>
      <w:r w:rsidRPr="00AA1421">
        <w:t xml:space="preserve"> przechowywanych w portfelu handlowym (niekwalifikujących się do ujęcia w korelacyjnym portfelu handlowym) zgodnie z metodą standardową. </w:t>
      </w:r>
    </w:p>
    <w:p w:rsidR="00FC6275" w:rsidRPr="00AA1421" w:rsidRDefault="00AA1421" w:rsidP="00487A02">
      <w:pPr>
        <w:pStyle w:val="InstructionsText2"/>
        <w:numPr>
          <w:ilvl w:val="0"/>
          <w:numId w:val="0"/>
        </w:numPr>
        <w:ind w:left="1353" w:hanging="360"/>
      </w:pPr>
      <w:fldSimple w:instr=" seq paragraphs ">
        <w:r w:rsidR="00D11E4C" w:rsidRPr="00AA1421">
          <w:rPr>
            <w:noProof/>
          </w:rPr>
          <w:t>163</w:t>
        </w:r>
      </w:fldSimple>
      <w:r w:rsidR="00D11E4C" w:rsidRPr="00AA1421">
        <w:t>.</w:t>
      </w:r>
      <w:r w:rsidR="00D11E4C" w:rsidRPr="00AA1421">
        <w:tab/>
        <w:t xml:space="preserve"> We wzorze MKR SA SEC przedstawia się wymogi w zakresie funduszy własnych wyłącznie w odniesieniu do ryzyka szczególnego w ramach ryzyka pozycji, zgodnie z </w:t>
      </w:r>
      <w:r w:rsidR="00D11E4C" w:rsidRPr="00084F66">
        <w:t>art.</w:t>
      </w:r>
      <w:r w:rsidR="00084F66" w:rsidRPr="00084F66">
        <w:t> </w:t>
      </w:r>
      <w:r w:rsidR="00D11E4C" w:rsidRPr="00084F66">
        <w:t>3</w:t>
      </w:r>
      <w:r w:rsidR="00D11E4C" w:rsidRPr="00AA1421">
        <w:t xml:space="preserve">35 w związku z </w:t>
      </w:r>
      <w:r w:rsidR="00D11E4C" w:rsidRPr="00084F66">
        <w:t>art.</w:t>
      </w:r>
      <w:r w:rsidR="00084F66" w:rsidRPr="00084F66">
        <w:t> </w:t>
      </w:r>
      <w:r w:rsidR="00D11E4C" w:rsidRPr="00084F66">
        <w:t>3</w:t>
      </w:r>
      <w:r w:rsidR="00D11E4C" w:rsidRPr="00AA1421">
        <w:t xml:space="preserve">37 CRR. Jeżeli pozycje sekurytyzacyjne w portfelu handlowym są zabezpieczone kredytowymi instrumentami pochodnymi, zastosowanie mają przepisy </w:t>
      </w:r>
      <w:r w:rsidR="00D11E4C" w:rsidRPr="00084F66">
        <w:t>art.</w:t>
      </w:r>
      <w:r w:rsidR="00084F66" w:rsidRPr="00084F66">
        <w:t> </w:t>
      </w:r>
      <w:r w:rsidR="00D11E4C" w:rsidRPr="00084F66">
        <w:t>3</w:t>
      </w:r>
      <w:r w:rsidR="00D11E4C" w:rsidRPr="00AA1421">
        <w:t>46 i 347 CRR. W odniesieniu do wszystkich pozycji w portfelu handlowym stosuje się ten sam wzór, niezależnie od metody stosowanej przez instytucje przy ustalaniu wagi ryzyka każdej pozycji zgodnie z częścią trzecią tytuł II rozdział 5 CRR. Wymogi w zakresie funduszy własnych w odniesieniu do ryzyka ogólnego tych pozycji zgłasza się przy pomocy wzoru MKR SA TDI lub wzoru MKR IM.</w:t>
      </w:r>
    </w:p>
    <w:p w:rsidR="00FC6275" w:rsidRPr="00AA1421" w:rsidRDefault="00AA1421" w:rsidP="00487A02">
      <w:pPr>
        <w:pStyle w:val="InstructionsText2"/>
        <w:numPr>
          <w:ilvl w:val="0"/>
          <w:numId w:val="0"/>
        </w:numPr>
        <w:ind w:left="1353" w:hanging="360"/>
      </w:pPr>
      <w:fldSimple w:instr=" seq paragraphs ">
        <w:r w:rsidR="00D11E4C" w:rsidRPr="00AA1421">
          <w:rPr>
            <w:noProof/>
          </w:rPr>
          <w:t>164</w:t>
        </w:r>
      </w:fldSimple>
      <w:r w:rsidR="00D11E4C" w:rsidRPr="00AA1421">
        <w:t>. Pozycje, którym przypisywana jest waga ryzyka 1 25</w:t>
      </w:r>
      <w:r w:rsidR="00D11E4C" w:rsidRPr="00084F66">
        <w:t>0</w:t>
      </w:r>
      <w:r w:rsidR="00084F66" w:rsidRPr="00084F66">
        <w:t> </w:t>
      </w:r>
      <w:r w:rsidR="00D11E4C" w:rsidRPr="00084F66">
        <w:t>%</w:t>
      </w:r>
      <w:r w:rsidR="00D11E4C" w:rsidRPr="00AA1421">
        <w:t xml:space="preserve">, mogą alternatywnie zostać odliczone od kapitału podstawowego </w:t>
      </w:r>
      <w:proofErr w:type="spellStart"/>
      <w:r w:rsidR="00D11E4C" w:rsidRPr="00AA1421">
        <w:t>Tier</w:t>
      </w:r>
      <w:proofErr w:type="spellEnd"/>
      <w:r w:rsidR="00D11E4C" w:rsidRPr="00AA1421">
        <w:t xml:space="preserve"> I (zob. </w:t>
      </w:r>
      <w:r w:rsidR="00D11E4C" w:rsidRPr="00084F66">
        <w:t>art.</w:t>
      </w:r>
      <w:r w:rsidR="00084F66" w:rsidRPr="00084F66">
        <w:t> </w:t>
      </w:r>
      <w:r w:rsidR="00D11E4C" w:rsidRPr="00084F66">
        <w:t>2</w:t>
      </w:r>
      <w:r w:rsidR="00D11E4C" w:rsidRPr="00AA1421">
        <w:t xml:space="preserve">44 </w:t>
      </w:r>
      <w:r w:rsidR="00D11E4C" w:rsidRPr="00084F66">
        <w:t>ust.</w:t>
      </w:r>
      <w:r w:rsidR="00084F66" w:rsidRPr="00084F66">
        <w:t> </w:t>
      </w:r>
      <w:r w:rsidR="00D11E4C" w:rsidRPr="00084F66">
        <w:t>1</w:t>
      </w:r>
      <w:r w:rsidR="00D11E4C" w:rsidRPr="00AA1421">
        <w:t xml:space="preserve"> </w:t>
      </w:r>
      <w:r w:rsidR="00D11E4C" w:rsidRPr="00084F66">
        <w:t>lit.</w:t>
      </w:r>
      <w:r w:rsidR="00084F66" w:rsidRPr="00084F66">
        <w:t> </w:t>
      </w:r>
      <w:r w:rsidR="00D11E4C" w:rsidRPr="00084F66">
        <w:t>b)</w:t>
      </w:r>
      <w:r w:rsidR="00D11E4C" w:rsidRPr="00AA1421">
        <w:t xml:space="preserve">, </w:t>
      </w:r>
      <w:r w:rsidR="00D11E4C" w:rsidRPr="00084F66">
        <w:t>art.</w:t>
      </w:r>
      <w:r w:rsidR="00084F66" w:rsidRPr="00084F66">
        <w:t> </w:t>
      </w:r>
      <w:r w:rsidR="00D11E4C" w:rsidRPr="00084F66">
        <w:t>2</w:t>
      </w:r>
      <w:r w:rsidR="00D11E4C" w:rsidRPr="00AA1421">
        <w:t xml:space="preserve">45 </w:t>
      </w:r>
      <w:r w:rsidR="00D11E4C" w:rsidRPr="00084F66">
        <w:t>ust.</w:t>
      </w:r>
      <w:r w:rsidR="00084F66" w:rsidRPr="00084F66">
        <w:t> </w:t>
      </w:r>
      <w:r w:rsidR="00D11E4C" w:rsidRPr="00084F66">
        <w:t>1</w:t>
      </w:r>
      <w:r w:rsidR="00D11E4C" w:rsidRPr="00AA1421">
        <w:t xml:space="preserve"> </w:t>
      </w:r>
      <w:r w:rsidR="00D11E4C" w:rsidRPr="00084F66">
        <w:t>lit.</w:t>
      </w:r>
      <w:r w:rsidR="00084F66" w:rsidRPr="00084F66">
        <w:t> </w:t>
      </w:r>
      <w:r w:rsidR="00D11E4C" w:rsidRPr="00084F66">
        <w:t>b)</w:t>
      </w:r>
      <w:r w:rsidR="00D11E4C" w:rsidRPr="00AA1421">
        <w:t xml:space="preserve"> oraz </w:t>
      </w:r>
      <w:r w:rsidR="00D11E4C" w:rsidRPr="00084F66">
        <w:t>art.</w:t>
      </w:r>
      <w:r w:rsidR="00084F66" w:rsidRPr="00084F66">
        <w:t> </w:t>
      </w:r>
      <w:r w:rsidR="00D11E4C" w:rsidRPr="00084F66">
        <w:t>2</w:t>
      </w:r>
      <w:r w:rsidR="00D11E4C" w:rsidRPr="00AA1421">
        <w:t>53 CRR). W takim przypadku pozycje te zgłasza się w wierszu 0460 we wzorze CA1.</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43" w:name="_Toc58403726"/>
      <w:r w:rsidRPr="00AA1421">
        <w:rPr>
          <w:rFonts w:ascii="Times New Roman" w:hAnsi="Times New Roman"/>
          <w:sz w:val="24"/>
          <w:u w:val="none"/>
        </w:rPr>
        <w:t>5.2.2.</w:t>
      </w:r>
      <w:r w:rsidR="00D712CF" w:rsidRPr="00AA1421">
        <w:rPr>
          <w:u w:val="none"/>
        </w:rPr>
        <w:tab/>
      </w:r>
      <w:r w:rsidRPr="00AA1421">
        <w:rPr>
          <w:rFonts w:ascii="Times New Roman" w:hAnsi="Times New Roman"/>
          <w:sz w:val="24"/>
        </w:rPr>
        <w:t>Instrukcje dotyczące poszczególnych pozycji</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AA1421" w:rsidTr="00E10B85">
        <w:trPr>
          <w:trHeight w:val="631"/>
        </w:trPr>
        <w:tc>
          <w:tcPr>
            <w:tcW w:w="9018" w:type="dxa"/>
            <w:gridSpan w:val="2"/>
            <w:shd w:val="clear" w:color="auto" w:fill="CCCCCC"/>
          </w:tcPr>
          <w:p w:rsidR="00C55547" w:rsidRPr="00AA1421" w:rsidRDefault="00C55547" w:rsidP="00E10B85">
            <w:pPr>
              <w:autoSpaceDE w:val="0"/>
              <w:autoSpaceDN w:val="0"/>
              <w:adjustRightInd w:val="0"/>
              <w:spacing w:after="0"/>
              <w:rPr>
                <w:rFonts w:ascii="Times New Roman" w:hAnsi="Times New Roman"/>
                <w:b/>
                <w:sz w:val="24"/>
              </w:rPr>
            </w:pPr>
            <w:r w:rsidRPr="00AA1421">
              <w:rPr>
                <w:rFonts w:ascii="Times New Roman" w:hAnsi="Times New Roman"/>
                <w:b/>
                <w:sz w:val="24"/>
              </w:rPr>
              <w:t>Kolumny</w:t>
            </w:r>
          </w:p>
        </w:tc>
      </w:tr>
      <w:tr w:rsidR="00C55547" w:rsidRPr="00AA1421" w:rsidTr="000911FE">
        <w:tc>
          <w:tcPr>
            <w:tcW w:w="1413" w:type="dxa"/>
          </w:tcPr>
          <w:p w:rsidR="00C55547" w:rsidRPr="00AA1421" w:rsidRDefault="00EE2CD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0010-0020</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WSZYSTKIE POZYCJE (DŁUGIE I KRÓTKIE)</w:t>
            </w:r>
          </w:p>
          <w:p w:rsidR="00C55547" w:rsidRPr="00AA1421" w:rsidRDefault="00C55547" w:rsidP="003073B2">
            <w:pPr>
              <w:rPr>
                <w:rFonts w:ascii="Times New Roman" w:hAnsi="Times New Roman"/>
                <w:sz w:val="24"/>
              </w:rPr>
            </w:pPr>
            <w:r w:rsidRPr="00AA1421">
              <w:rPr>
                <w:rFonts w:ascii="Times New Roman" w:hAnsi="Times New Roman"/>
                <w:sz w:val="24"/>
              </w:rPr>
              <w:t>Art.</w:t>
            </w:r>
            <w:r w:rsidRPr="00AA1421">
              <w:rPr>
                <w:rStyle w:val="InstructionsTabelleText"/>
                <w:rFonts w:ascii="Times New Roman" w:hAnsi="Times New Roman"/>
                <w:sz w:val="24"/>
              </w:rPr>
              <w:t xml:space="preserve"> 102 i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05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CRR w połączeniu 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37 CRR (pozycje sekurytyzacyjne). W kwestii rozróżnienia pomiędzy pozycjami długimi i krótkimi, stosowanego również w odniesieniu do pozycji brutto, zob.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28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CRR. </w:t>
            </w:r>
          </w:p>
        </w:tc>
      </w:tr>
      <w:tr w:rsidR="00C55547" w:rsidRPr="00AA1421" w:rsidTr="000911FE">
        <w:tc>
          <w:tcPr>
            <w:tcW w:w="1413" w:type="dxa"/>
          </w:tcPr>
          <w:p w:rsidR="00C55547" w:rsidRPr="00AA1421" w:rsidRDefault="00EE2CD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0030-0040</w:t>
            </w:r>
          </w:p>
        </w:tc>
        <w:tc>
          <w:tcPr>
            <w:tcW w:w="7605"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 POZYCJE ODLICZONE OD FUNDUSZY WŁASNYCH</w:t>
            </w:r>
            <w:r w:rsidRPr="00AA1421">
              <w:rPr>
                <w:rFonts w:ascii="Times New Roman" w:hAnsi="Times New Roman"/>
                <w:b/>
                <w:bCs/>
                <w:sz w:val="24"/>
                <w:u w:val="single"/>
              </w:rPr>
              <w:t xml:space="preserve"> (DŁUGIE I KRÓTKIE)</w:t>
            </w:r>
          </w:p>
          <w:p w:rsidR="00C55547" w:rsidRPr="00AA1421" w:rsidRDefault="00705025" w:rsidP="003073B2">
            <w:pPr>
              <w:rPr>
                <w:rStyle w:val="InstructionsTabelleText"/>
                <w:rFonts w:ascii="Times New Roman" w:hAnsi="Times New Roman"/>
                <w:sz w:val="24"/>
              </w:rPr>
            </w:pPr>
            <w:r w:rsidRPr="00AA1421">
              <w:rPr>
                <w:rStyle w:val="InstructionsTabelleText"/>
                <w:rFonts w:ascii="Times New Roman" w:hAnsi="Times New Roman"/>
                <w:sz w:val="24"/>
              </w:rPr>
              <w:t xml:space="preserve">Art. 244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b)</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45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lit.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b)</w:t>
            </w:r>
            <w:r w:rsidRPr="00AA1421">
              <w:rPr>
                <w:rStyle w:val="InstructionsTabelleText"/>
                <w:rFonts w:ascii="Times New Roman" w:hAnsi="Times New Roman"/>
                <w:sz w:val="24"/>
              </w:rPr>
              <w:t xml:space="preserve">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53 CRR.</w:t>
            </w:r>
          </w:p>
        </w:tc>
      </w:tr>
      <w:tr w:rsidR="00C55547" w:rsidRPr="00AA1421" w:rsidTr="000911FE">
        <w:tc>
          <w:tcPr>
            <w:tcW w:w="1413" w:type="dxa"/>
          </w:tcPr>
          <w:p w:rsidR="00C55547" w:rsidRPr="00AA1421" w:rsidRDefault="00EE2CD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0050-0060</w:t>
            </w:r>
          </w:p>
        </w:tc>
        <w:tc>
          <w:tcPr>
            <w:tcW w:w="7605"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POZYCJE NETTO</w:t>
            </w:r>
            <w:r w:rsidRPr="00AA1421">
              <w:rPr>
                <w:rFonts w:ascii="Times New Roman" w:hAnsi="Times New Roman"/>
                <w:b/>
                <w:bCs/>
                <w:sz w:val="24"/>
                <w:u w:val="single"/>
              </w:rPr>
              <w:t xml:space="preserve"> (DŁUGIE I KRÓTKIE)</w:t>
            </w:r>
          </w:p>
          <w:p w:rsidR="00C55547" w:rsidRPr="00AA1421" w:rsidRDefault="00C55547" w:rsidP="003073B2">
            <w:pPr>
              <w:rPr>
                <w:rStyle w:val="InstructionsTabelleText"/>
                <w:rFonts w:ascii="Times New Roman" w:hAnsi="Times New Roman"/>
                <w:sz w:val="24"/>
              </w:rPr>
            </w:pPr>
            <w:r w:rsidRPr="00AA1421">
              <w:rPr>
                <w:rFonts w:ascii="Times New Roman" w:hAnsi="Times New Roman"/>
                <w:sz w:val="24"/>
              </w:rPr>
              <w:t>Art.</w:t>
            </w:r>
            <w:r w:rsidRPr="00AA1421">
              <w:rPr>
                <w:rStyle w:val="InstructionsTabelleText"/>
                <w:rFonts w:ascii="Times New Roman" w:hAnsi="Times New Roman"/>
                <w:sz w:val="24"/>
              </w:rPr>
              <w:t xml:space="preserve"> 327, 328, 329 oraz 334 CRR. W kwestii rozróżnienia pomiędzy pozycjami długimi i krótkimi, zob.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3</w:t>
            </w:r>
            <w:r w:rsidRPr="00AA1421">
              <w:rPr>
                <w:rStyle w:val="InstructionsTabelleText"/>
                <w:rFonts w:ascii="Times New Roman" w:hAnsi="Times New Roman"/>
                <w:sz w:val="24"/>
              </w:rPr>
              <w:t xml:space="preserve">28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 CRR.</w:t>
            </w:r>
          </w:p>
        </w:tc>
      </w:tr>
      <w:tr w:rsidR="00C55547" w:rsidRPr="00AA1421" w:rsidTr="000911FE">
        <w:tc>
          <w:tcPr>
            <w:tcW w:w="1413" w:type="dxa"/>
          </w:tcPr>
          <w:p w:rsidR="00C55547" w:rsidRPr="00AA1421" w:rsidRDefault="00EE2CD5" w:rsidP="00543964">
            <w:pPr>
              <w:autoSpaceDE w:val="0"/>
              <w:autoSpaceDN w:val="0"/>
              <w:adjustRightInd w:val="0"/>
              <w:spacing w:before="0" w:after="0"/>
              <w:rPr>
                <w:rFonts w:ascii="Times New Roman" w:hAnsi="Times New Roman"/>
                <w:sz w:val="24"/>
              </w:rPr>
            </w:pPr>
            <w:r w:rsidRPr="00AA1421">
              <w:rPr>
                <w:rFonts w:ascii="Times New Roman" w:hAnsi="Times New Roman"/>
                <w:sz w:val="24"/>
              </w:rPr>
              <w:t>0061-0104</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PODZIAŁ POZYCJI NETTO WEDŁUG WAG RYZYKA</w:t>
            </w:r>
          </w:p>
          <w:p w:rsidR="00C3548F" w:rsidRPr="00AA1421" w:rsidRDefault="00C55547" w:rsidP="003073B2">
            <w:pPr>
              <w:rPr>
                <w:rStyle w:val="InstructionsTabelleText"/>
                <w:rFonts w:ascii="Times New Roman" w:hAnsi="Times New Roman"/>
                <w:sz w:val="24"/>
              </w:rPr>
            </w:pPr>
            <w:r w:rsidRPr="00AA1421">
              <w:rPr>
                <w:rStyle w:val="InstructionsTabelleText"/>
                <w:rFonts w:ascii="Times New Roman" w:hAnsi="Times New Roman"/>
                <w:sz w:val="24"/>
              </w:rPr>
              <w:t xml:space="preserve">Art. 259–262, tabele 1 i 2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63, tabele 3 i 4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64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66 CRR. </w:t>
            </w:r>
          </w:p>
          <w:p w:rsidR="00C55547" w:rsidRPr="00AA1421" w:rsidRDefault="00C55547" w:rsidP="003073B2">
            <w:pPr>
              <w:rPr>
                <w:rStyle w:val="InstructionsTabelleText"/>
                <w:rFonts w:ascii="Times New Roman" w:hAnsi="Times New Roman"/>
                <w:sz w:val="24"/>
              </w:rPr>
            </w:pPr>
            <w:r w:rsidRPr="00AA1421">
              <w:rPr>
                <w:rStyle w:val="InstructionsTabelleText"/>
                <w:rFonts w:ascii="Times New Roman" w:hAnsi="Times New Roman"/>
                <w:sz w:val="24"/>
              </w:rPr>
              <w:t>Podział przeprowadza się niezależnie dla pozycji długich i krótkich.</w:t>
            </w:r>
          </w:p>
        </w:tc>
      </w:tr>
      <w:tr w:rsidR="00C55547" w:rsidRPr="00AA1421" w:rsidTr="000911FE">
        <w:tc>
          <w:tcPr>
            <w:tcW w:w="1413" w:type="dxa"/>
          </w:tcPr>
          <w:p w:rsidR="00C55547" w:rsidRPr="00AA1421" w:rsidRDefault="00EE2CD5" w:rsidP="00921700">
            <w:pPr>
              <w:autoSpaceDE w:val="0"/>
              <w:autoSpaceDN w:val="0"/>
              <w:adjustRightInd w:val="0"/>
              <w:spacing w:before="0" w:after="0"/>
              <w:rPr>
                <w:rFonts w:ascii="Times New Roman" w:hAnsi="Times New Roman"/>
                <w:sz w:val="24"/>
              </w:rPr>
            </w:pPr>
            <w:r w:rsidRPr="00AA1421">
              <w:rPr>
                <w:rFonts w:ascii="Times New Roman" w:hAnsi="Times New Roman"/>
                <w:sz w:val="24"/>
              </w:rPr>
              <w:t>0402-0406</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PODZIAŁ POZYCJI NETTO WEDŁUG METOD</w:t>
            </w:r>
          </w:p>
          <w:p w:rsidR="00C55547" w:rsidRPr="00AA1421" w:rsidRDefault="00C55547" w:rsidP="003073B2">
            <w:pPr>
              <w:rPr>
                <w:rFonts w:ascii="Times New Roman" w:hAnsi="Times New Roman"/>
                <w:b/>
                <w:bCs/>
                <w:sz w:val="24"/>
                <w:u w:val="single"/>
              </w:rPr>
            </w:pPr>
            <w:r w:rsidRPr="00AA1421">
              <w:rPr>
                <w:rFonts w:ascii="Times New Roman" w:hAnsi="Times New Roman"/>
                <w:sz w:val="24"/>
              </w:rPr>
              <w:t xml:space="preserve">Art. </w:t>
            </w:r>
            <w:r w:rsidRPr="00AA1421">
              <w:rPr>
                <w:rStyle w:val="InstructionsTabelleText"/>
                <w:rFonts w:ascii="Times New Roman" w:hAnsi="Times New Roman"/>
                <w:sz w:val="24"/>
              </w:rPr>
              <w:t xml:space="preserve">254 CRR </w:t>
            </w:r>
          </w:p>
        </w:tc>
      </w:tr>
      <w:tr w:rsidR="00C55547" w:rsidRPr="00AA1421" w:rsidTr="000911FE">
        <w:tc>
          <w:tcPr>
            <w:tcW w:w="1413" w:type="dxa"/>
          </w:tcPr>
          <w:p w:rsidR="00C55547" w:rsidRPr="00AA1421" w:rsidRDefault="00EE2CD5" w:rsidP="00921700">
            <w:pPr>
              <w:autoSpaceDE w:val="0"/>
              <w:autoSpaceDN w:val="0"/>
              <w:adjustRightInd w:val="0"/>
              <w:spacing w:before="0" w:after="0"/>
              <w:rPr>
                <w:rFonts w:ascii="Times New Roman" w:hAnsi="Times New Roman"/>
                <w:sz w:val="24"/>
              </w:rPr>
            </w:pPr>
            <w:r w:rsidRPr="00AA1421">
              <w:rPr>
                <w:rFonts w:ascii="Times New Roman" w:hAnsi="Times New Roman"/>
                <w:sz w:val="24"/>
              </w:rPr>
              <w:t>0402</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SEC-IRBA</w:t>
            </w:r>
          </w:p>
          <w:p w:rsidR="00C55547" w:rsidRPr="00AA1421" w:rsidRDefault="00C55547" w:rsidP="003073B2">
            <w:pPr>
              <w:rPr>
                <w:rFonts w:ascii="Times New Roman" w:hAnsi="Times New Roman"/>
                <w:b/>
                <w:bCs/>
                <w:sz w:val="24"/>
                <w:u w:val="single"/>
              </w:rPr>
            </w:pPr>
            <w:r w:rsidRPr="00AA1421">
              <w:rPr>
                <w:rStyle w:val="InstructionsTabelleText"/>
                <w:rFonts w:ascii="Times New Roman" w:hAnsi="Times New Roman"/>
                <w:sz w:val="24"/>
              </w:rPr>
              <w:t>Art. 259 i 260 CRR</w:t>
            </w:r>
          </w:p>
        </w:tc>
      </w:tr>
      <w:tr w:rsidR="00C55547" w:rsidRPr="00AA1421" w:rsidTr="000911FE">
        <w:tc>
          <w:tcPr>
            <w:tcW w:w="1413" w:type="dxa"/>
          </w:tcPr>
          <w:p w:rsidR="00C55547" w:rsidRPr="00AA1421" w:rsidRDefault="00EE2CD5" w:rsidP="00921700">
            <w:pPr>
              <w:autoSpaceDE w:val="0"/>
              <w:autoSpaceDN w:val="0"/>
              <w:adjustRightInd w:val="0"/>
              <w:spacing w:before="0" w:after="0"/>
              <w:rPr>
                <w:rFonts w:ascii="Times New Roman" w:hAnsi="Times New Roman"/>
                <w:sz w:val="24"/>
              </w:rPr>
            </w:pPr>
            <w:r w:rsidRPr="00AA1421">
              <w:rPr>
                <w:rFonts w:ascii="Times New Roman" w:hAnsi="Times New Roman"/>
                <w:sz w:val="24"/>
              </w:rPr>
              <w:t>0403</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SEC-SA</w:t>
            </w:r>
          </w:p>
          <w:p w:rsidR="00C55547" w:rsidRPr="00AA1421" w:rsidRDefault="00C55547" w:rsidP="003073B2">
            <w:pPr>
              <w:autoSpaceDE w:val="0"/>
              <w:autoSpaceDN w:val="0"/>
              <w:adjustRightInd w:val="0"/>
              <w:jc w:val="left"/>
              <w:rPr>
                <w:rFonts w:ascii="Times New Roman" w:hAnsi="Times New Roman"/>
                <w:b/>
                <w:bCs/>
                <w:sz w:val="24"/>
                <w:u w:val="single"/>
              </w:rPr>
            </w:pPr>
            <w:r w:rsidRPr="00AA1421">
              <w:rPr>
                <w:rStyle w:val="InstructionsTabelleText"/>
                <w:rFonts w:ascii="Times New Roman" w:hAnsi="Times New Roman"/>
                <w:sz w:val="24"/>
              </w:rPr>
              <w:t>Art. 261 i 262 CRR</w:t>
            </w:r>
          </w:p>
        </w:tc>
      </w:tr>
      <w:tr w:rsidR="00C55547" w:rsidRPr="00AA1421" w:rsidTr="000911FE">
        <w:tc>
          <w:tcPr>
            <w:tcW w:w="1413" w:type="dxa"/>
          </w:tcPr>
          <w:p w:rsidR="00C55547" w:rsidRPr="00AA1421" w:rsidRDefault="00EE2CD5" w:rsidP="00921700">
            <w:pPr>
              <w:autoSpaceDE w:val="0"/>
              <w:autoSpaceDN w:val="0"/>
              <w:adjustRightInd w:val="0"/>
              <w:spacing w:before="0" w:after="0"/>
              <w:rPr>
                <w:rFonts w:ascii="Times New Roman" w:hAnsi="Times New Roman"/>
                <w:sz w:val="24"/>
              </w:rPr>
            </w:pPr>
            <w:r w:rsidRPr="00AA1421">
              <w:rPr>
                <w:rFonts w:ascii="Times New Roman" w:hAnsi="Times New Roman"/>
                <w:sz w:val="24"/>
              </w:rPr>
              <w:t>0404</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SEC-ERBA</w:t>
            </w:r>
          </w:p>
          <w:p w:rsidR="00C55547" w:rsidRPr="00AA1421" w:rsidRDefault="00C55547" w:rsidP="003073B2">
            <w:pPr>
              <w:rPr>
                <w:rFonts w:ascii="Times New Roman" w:hAnsi="Times New Roman"/>
                <w:b/>
                <w:bCs/>
                <w:sz w:val="24"/>
                <w:u w:val="single"/>
              </w:rPr>
            </w:pPr>
            <w:r w:rsidRPr="00AA1421">
              <w:rPr>
                <w:rStyle w:val="InstructionsTabelleText"/>
                <w:rFonts w:ascii="Times New Roman" w:hAnsi="Times New Roman"/>
                <w:sz w:val="24"/>
              </w:rPr>
              <w:t>Art. 263 i 264 CRR</w:t>
            </w:r>
          </w:p>
        </w:tc>
      </w:tr>
      <w:tr w:rsidR="00C55547" w:rsidRPr="00AA1421" w:rsidTr="000911FE">
        <w:tc>
          <w:tcPr>
            <w:tcW w:w="1413" w:type="dxa"/>
          </w:tcPr>
          <w:p w:rsidR="00C55547" w:rsidRPr="00AA1421" w:rsidRDefault="00EE2CD5" w:rsidP="00921700">
            <w:pPr>
              <w:autoSpaceDE w:val="0"/>
              <w:autoSpaceDN w:val="0"/>
              <w:adjustRightInd w:val="0"/>
              <w:spacing w:before="0" w:after="0"/>
              <w:rPr>
                <w:rFonts w:ascii="Times New Roman" w:hAnsi="Times New Roman"/>
                <w:sz w:val="24"/>
              </w:rPr>
            </w:pPr>
            <w:r w:rsidRPr="00AA1421">
              <w:rPr>
                <w:rFonts w:ascii="Times New Roman" w:hAnsi="Times New Roman"/>
                <w:sz w:val="24"/>
              </w:rPr>
              <w:t>0405</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METODA WEWNĘTRZNYCH OSZACOWAŃ</w:t>
            </w:r>
          </w:p>
          <w:p w:rsidR="00C55547" w:rsidRPr="00AA1421" w:rsidRDefault="00C55547" w:rsidP="003073B2">
            <w:pPr>
              <w:rPr>
                <w:rFonts w:ascii="Times New Roman" w:hAnsi="Times New Roman"/>
                <w:bCs/>
                <w:sz w:val="24"/>
                <w:u w:val="single"/>
              </w:rPr>
            </w:pPr>
            <w:r w:rsidRPr="00AA1421">
              <w:rPr>
                <w:rStyle w:val="InstructionsTabelleText"/>
                <w:rFonts w:ascii="Times New Roman" w:hAnsi="Times New Roman"/>
                <w:sz w:val="24"/>
              </w:rPr>
              <w:t xml:space="preserve">Art. 254 i 265 CRR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 xml:space="preserve"> CRR.</w:t>
            </w:r>
          </w:p>
        </w:tc>
      </w:tr>
      <w:tr w:rsidR="00C55547" w:rsidRPr="00AA1421" w:rsidTr="000911FE">
        <w:tc>
          <w:tcPr>
            <w:tcW w:w="1413" w:type="dxa"/>
          </w:tcPr>
          <w:p w:rsidR="00C55547" w:rsidRPr="00AA1421" w:rsidRDefault="00EE2CD5" w:rsidP="00921700">
            <w:pPr>
              <w:autoSpaceDE w:val="0"/>
              <w:autoSpaceDN w:val="0"/>
              <w:adjustRightInd w:val="0"/>
              <w:spacing w:before="0" w:after="0"/>
              <w:rPr>
                <w:rFonts w:ascii="Times New Roman" w:hAnsi="Times New Roman"/>
                <w:sz w:val="24"/>
              </w:rPr>
            </w:pPr>
            <w:r w:rsidRPr="00AA1421">
              <w:rPr>
                <w:rFonts w:ascii="Times New Roman" w:hAnsi="Times New Roman"/>
                <w:sz w:val="24"/>
              </w:rPr>
              <w:t>0406</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INNE (WAGA RYZYKA = 1 25</w:t>
            </w:r>
            <w:r w:rsidRPr="00084F66">
              <w:rPr>
                <w:rFonts w:ascii="Times New Roman" w:hAnsi="Times New Roman"/>
                <w:b/>
                <w:bCs/>
                <w:sz w:val="24"/>
                <w:u w:val="single"/>
              </w:rPr>
              <w:t>0</w:t>
            </w:r>
            <w:r w:rsidR="00084F66" w:rsidRPr="00084F66">
              <w:rPr>
                <w:rFonts w:ascii="Times New Roman" w:hAnsi="Times New Roman"/>
                <w:b/>
                <w:bCs/>
                <w:sz w:val="24"/>
                <w:u w:val="single"/>
              </w:rPr>
              <w:t> </w:t>
            </w:r>
            <w:r w:rsidRPr="00084F66">
              <w:rPr>
                <w:rFonts w:ascii="Times New Roman" w:hAnsi="Times New Roman"/>
                <w:b/>
                <w:bCs/>
                <w:sz w:val="24"/>
                <w:u w:val="single"/>
              </w:rPr>
              <w:t>%</w:t>
            </w:r>
            <w:r w:rsidRPr="00AA1421">
              <w:rPr>
                <w:rFonts w:ascii="Times New Roman" w:hAnsi="Times New Roman"/>
                <w:b/>
                <w:bCs/>
                <w:sz w:val="24"/>
                <w:u w:val="single"/>
              </w:rPr>
              <w:t>)</w:t>
            </w:r>
          </w:p>
          <w:p w:rsidR="00C55547" w:rsidRPr="00AA1421" w:rsidRDefault="00C55547" w:rsidP="003073B2">
            <w:pPr>
              <w:rPr>
                <w:rFonts w:ascii="Times New Roman" w:hAnsi="Times New Roman"/>
                <w:b/>
                <w:bCs/>
                <w:sz w:val="24"/>
                <w:u w:val="single"/>
              </w:rPr>
            </w:pPr>
            <w:r w:rsidRPr="00AA1421">
              <w:rPr>
                <w:rStyle w:val="InstructionsTabelleText"/>
                <w:rFonts w:ascii="Times New Roman" w:hAnsi="Times New Roman"/>
                <w:sz w:val="24"/>
              </w:rPr>
              <w:t>Art. 254 ust. 7 CRR</w:t>
            </w:r>
          </w:p>
        </w:tc>
      </w:tr>
      <w:tr w:rsidR="00C55547" w:rsidRPr="00AA1421" w:rsidTr="000911FE">
        <w:tc>
          <w:tcPr>
            <w:tcW w:w="1413" w:type="dxa"/>
          </w:tcPr>
          <w:p w:rsidR="00C55547" w:rsidRPr="00AA1421" w:rsidRDefault="00EE2CD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0530-0540</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OGÓLNY SKUTEK (KOREKTA) WYNIKAJĄCY Z NARUSZENIA PRZEPISÓW ROZDZIAŁU 2 ROZPORZĄDZENIA (UE) 2017/2402</w:t>
            </w:r>
          </w:p>
          <w:p w:rsidR="00C55547" w:rsidRPr="00AA1421" w:rsidRDefault="00C55547" w:rsidP="003073B2">
            <w:pPr>
              <w:rPr>
                <w:rFonts w:ascii="Times New Roman" w:hAnsi="Times New Roman"/>
                <w:b/>
                <w:bCs/>
                <w:sz w:val="24"/>
                <w:u w:val="single"/>
              </w:rPr>
            </w:pPr>
            <w:r w:rsidRPr="00AA1421">
              <w:rPr>
                <w:rStyle w:val="InstructionsTabelleText"/>
                <w:rFonts w:ascii="Times New Roman" w:hAnsi="Times New Roman"/>
                <w:sz w:val="24"/>
              </w:rPr>
              <w:t>Art. 270a CRR</w:t>
            </w:r>
          </w:p>
        </w:tc>
      </w:tr>
      <w:tr w:rsidR="00C55547" w:rsidRPr="00AA1421" w:rsidTr="000911FE">
        <w:tc>
          <w:tcPr>
            <w:tcW w:w="1413" w:type="dxa"/>
          </w:tcPr>
          <w:p w:rsidR="00C55547" w:rsidRPr="00AA1421" w:rsidRDefault="00EE2CD5"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0570</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 xml:space="preserve">PRZED UWZGLĘDNIENIEM PUŁAPU </w:t>
            </w:r>
          </w:p>
          <w:p w:rsidR="00C55547" w:rsidRPr="00AA1421" w:rsidRDefault="00C55547" w:rsidP="003073B2">
            <w:pPr>
              <w:rPr>
                <w:rFonts w:ascii="Times New Roman" w:hAnsi="Times New Roman"/>
                <w:bCs/>
                <w:sz w:val="24"/>
              </w:rPr>
            </w:pPr>
            <w:r w:rsidRPr="00AA1421">
              <w:rPr>
                <w:rFonts w:ascii="Times New Roman" w:hAnsi="Times New Roman"/>
                <w:bCs/>
                <w:sz w:val="24"/>
              </w:rPr>
              <w:t xml:space="preserve">Art. 337 CRR, nie uwzględniając swobody uznania przewidzianej w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35 CRR, na mocy którego instytucja może wprowadzić górne ograniczenie wyniku ważenia i pozycji netto na poziomie najwyższej potencjalnej straty powiązanej z ryzykiem niewykonania zobowiązań.</w:t>
            </w:r>
          </w:p>
        </w:tc>
      </w:tr>
      <w:tr w:rsidR="00C55547" w:rsidRPr="00AA1421" w:rsidTr="000911FE">
        <w:tc>
          <w:tcPr>
            <w:tcW w:w="1413" w:type="dxa"/>
          </w:tcPr>
          <w:p w:rsidR="00C55547" w:rsidRPr="00AA1421" w:rsidRDefault="00EE2CD5" w:rsidP="00EE079A">
            <w:pPr>
              <w:autoSpaceDE w:val="0"/>
              <w:autoSpaceDN w:val="0"/>
              <w:adjustRightInd w:val="0"/>
              <w:spacing w:before="0" w:after="0"/>
              <w:rPr>
                <w:rFonts w:ascii="Times New Roman" w:hAnsi="Times New Roman"/>
                <w:sz w:val="24"/>
              </w:rPr>
            </w:pPr>
            <w:r w:rsidRPr="00AA1421">
              <w:rPr>
                <w:rFonts w:ascii="Times New Roman" w:hAnsi="Times New Roman"/>
                <w:sz w:val="24"/>
              </w:rPr>
              <w:t>0601</w:t>
            </w:r>
          </w:p>
        </w:tc>
        <w:tc>
          <w:tcPr>
            <w:tcW w:w="7605"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 xml:space="preserve">PO UWZGLĘDNIENIU PUŁAPU / CAŁKOWITE WYMOGI W ZAKRESIE FUNDUSZY WŁASNYCH </w:t>
            </w:r>
          </w:p>
          <w:p w:rsidR="00C55547" w:rsidRPr="00AA1421" w:rsidRDefault="00C55547" w:rsidP="003073B2">
            <w:pPr>
              <w:rPr>
                <w:rFonts w:ascii="Times New Roman" w:hAnsi="Times New Roman"/>
                <w:bCs/>
                <w:sz w:val="24"/>
              </w:rPr>
            </w:pPr>
            <w:r w:rsidRPr="00AA1421">
              <w:rPr>
                <w:rFonts w:ascii="Times New Roman" w:hAnsi="Times New Roman"/>
                <w:bCs/>
                <w:sz w:val="24"/>
              </w:rPr>
              <w:t xml:space="preserve">Art. 337 CRR, </w:t>
            </w:r>
            <w:r w:rsidRPr="00AA1421">
              <w:rPr>
                <w:rStyle w:val="InstructionsTabelleText"/>
                <w:rFonts w:ascii="Times New Roman" w:hAnsi="Times New Roman"/>
                <w:sz w:val="24"/>
              </w:rPr>
              <w:t>uwzględniając swobodę uznania</w:t>
            </w:r>
            <w:r w:rsidRPr="00AA1421">
              <w:rPr>
                <w:rFonts w:ascii="Times New Roman" w:hAnsi="Times New Roman"/>
                <w:bCs/>
                <w:sz w:val="24"/>
              </w:rPr>
              <w:t xml:space="preserve"> przewidzianą w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35 CRR.</w:t>
            </w:r>
          </w:p>
        </w:tc>
      </w:tr>
    </w:tbl>
    <w:p w:rsidR="00C55547" w:rsidRPr="00AA1421"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AA1421" w:rsidTr="00E10B85">
        <w:trPr>
          <w:trHeight w:val="537"/>
        </w:trPr>
        <w:tc>
          <w:tcPr>
            <w:tcW w:w="8950" w:type="dxa"/>
            <w:gridSpan w:val="2"/>
            <w:shd w:val="clear" w:color="auto" w:fill="BFBFBF"/>
          </w:tcPr>
          <w:p w:rsidR="00C55547" w:rsidRPr="00AA1421" w:rsidRDefault="00C55547" w:rsidP="00E10B85">
            <w:pPr>
              <w:autoSpaceDE w:val="0"/>
              <w:autoSpaceDN w:val="0"/>
              <w:adjustRightInd w:val="0"/>
              <w:spacing w:after="0"/>
              <w:rPr>
                <w:rFonts w:ascii="Times New Roman" w:hAnsi="Times New Roman"/>
                <w:b/>
                <w:sz w:val="24"/>
              </w:rPr>
            </w:pPr>
            <w:r w:rsidRPr="00AA1421">
              <w:rPr>
                <w:rFonts w:ascii="Times New Roman" w:hAnsi="Times New Roman"/>
                <w:b/>
                <w:sz w:val="24"/>
              </w:rPr>
              <w:t>Wiersze</w:t>
            </w:r>
          </w:p>
        </w:tc>
      </w:tr>
      <w:tr w:rsidR="00C55547" w:rsidRPr="00AA1421" w:rsidTr="000911FE">
        <w:tc>
          <w:tcPr>
            <w:tcW w:w="1413"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0010</w:t>
            </w:r>
          </w:p>
        </w:tc>
        <w:tc>
          <w:tcPr>
            <w:tcW w:w="7537" w:type="dxa"/>
          </w:tcPr>
          <w:p w:rsidR="00C55547" w:rsidRPr="00AA1421" w:rsidRDefault="00C55547" w:rsidP="00E10B85">
            <w:pPr>
              <w:rPr>
                <w:rFonts w:ascii="Times New Roman" w:hAnsi="Times New Roman"/>
                <w:sz w:val="24"/>
              </w:rPr>
            </w:pPr>
            <w:r w:rsidRPr="00AA1421">
              <w:rPr>
                <w:rStyle w:val="InstructionsTabelleberschrift"/>
                <w:rFonts w:ascii="Times New Roman" w:hAnsi="Times New Roman"/>
                <w:sz w:val="24"/>
              </w:rPr>
              <w:t>EKSPOZYCJE CAŁKOWITE</w:t>
            </w:r>
          </w:p>
          <w:p w:rsidR="00C55547" w:rsidRPr="00AA1421" w:rsidRDefault="00C55547" w:rsidP="00C3548F">
            <w:pPr>
              <w:autoSpaceDE w:val="0"/>
              <w:autoSpaceDN w:val="0"/>
              <w:adjustRightInd w:val="0"/>
              <w:spacing w:before="0" w:after="0"/>
              <w:rPr>
                <w:rFonts w:ascii="Times New Roman" w:hAnsi="Times New Roman"/>
                <w:sz w:val="24"/>
              </w:rPr>
            </w:pPr>
            <w:r w:rsidRPr="00AA1421">
              <w:rPr>
                <w:rStyle w:val="InstructionsTabelleText"/>
                <w:rFonts w:ascii="Times New Roman" w:hAnsi="Times New Roman"/>
                <w:sz w:val="24"/>
              </w:rPr>
              <w:t xml:space="preserve">Całkowita kwota należności z tytułu sekurytyzacji i </w:t>
            </w:r>
            <w:proofErr w:type="spellStart"/>
            <w:r w:rsidRPr="00AA1421">
              <w:rPr>
                <w:rStyle w:val="InstructionsTabelleText"/>
                <w:rFonts w:ascii="Times New Roman" w:hAnsi="Times New Roman"/>
                <w:sz w:val="24"/>
              </w:rPr>
              <w:t>resekurytyzacji</w:t>
            </w:r>
            <w:proofErr w:type="spellEnd"/>
            <w:r w:rsidRPr="00AA1421">
              <w:rPr>
                <w:rStyle w:val="InstructionsTabelleText"/>
                <w:rFonts w:ascii="Times New Roman" w:hAnsi="Times New Roman"/>
                <w:sz w:val="24"/>
              </w:rPr>
              <w:t xml:space="preserve"> (przechowywanych w portfelu handlowym) zgłoszonych przez instytucję pełniącą rolę jednostki inicjującej, inwestora lub jednostki sponsorującej.</w:t>
            </w:r>
          </w:p>
        </w:tc>
      </w:tr>
      <w:tr w:rsidR="00C55547" w:rsidRPr="00AA1421" w:rsidTr="000911FE">
        <w:tc>
          <w:tcPr>
            <w:tcW w:w="1413" w:type="dxa"/>
          </w:tcPr>
          <w:p w:rsidR="00C55547" w:rsidRPr="00AA1421" w:rsidRDefault="002F79EA" w:rsidP="002F79EA">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0040, 0070 oraz 0100</w:t>
            </w:r>
          </w:p>
        </w:tc>
        <w:tc>
          <w:tcPr>
            <w:tcW w:w="7537"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POZYCJE SEKURYTYZACYJNE</w:t>
            </w:r>
          </w:p>
          <w:p w:rsidR="00C55547" w:rsidRPr="00AA1421" w:rsidRDefault="0053202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 xml:space="preserve">Art. 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6</w:t>
            </w:r>
            <w:r w:rsidRPr="00AA1421">
              <w:rPr>
                <w:rFonts w:ascii="Times New Roman" w:hAnsi="Times New Roman"/>
                <w:bCs/>
                <w:sz w:val="24"/>
              </w:rPr>
              <w:t>2 CRR.</w:t>
            </w:r>
          </w:p>
          <w:p w:rsidR="00C55547" w:rsidRPr="00AA1421" w:rsidRDefault="00C55547" w:rsidP="00E10B85">
            <w:pPr>
              <w:autoSpaceDE w:val="0"/>
              <w:autoSpaceDN w:val="0"/>
              <w:adjustRightInd w:val="0"/>
              <w:spacing w:before="0" w:after="0"/>
              <w:rPr>
                <w:rFonts w:ascii="Times New Roman" w:hAnsi="Times New Roman"/>
                <w:bCs/>
                <w:sz w:val="24"/>
                <w:lang w:eastAsia="nl-BE"/>
              </w:rPr>
            </w:pPr>
          </w:p>
        </w:tc>
      </w:tr>
      <w:tr w:rsidR="00C55547" w:rsidRPr="00AA1421" w:rsidTr="000911FE">
        <w:tc>
          <w:tcPr>
            <w:tcW w:w="1413" w:type="dxa"/>
          </w:tcPr>
          <w:p w:rsidR="00C55547" w:rsidRPr="00AA1421" w:rsidRDefault="002F79EA" w:rsidP="002F79EA">
            <w:pPr>
              <w:autoSpaceDE w:val="0"/>
              <w:autoSpaceDN w:val="0"/>
              <w:adjustRightInd w:val="0"/>
              <w:spacing w:before="0" w:after="0"/>
              <w:rPr>
                <w:rFonts w:ascii="Times New Roman" w:hAnsi="Times New Roman"/>
                <w:sz w:val="24"/>
              </w:rPr>
            </w:pPr>
            <w:r w:rsidRPr="00AA1421">
              <w:rPr>
                <w:rFonts w:ascii="Times New Roman" w:hAnsi="Times New Roman"/>
                <w:sz w:val="24"/>
              </w:rPr>
              <w:t>0020, 0050, 0080 i 0110</w:t>
            </w:r>
          </w:p>
        </w:tc>
        <w:tc>
          <w:tcPr>
            <w:tcW w:w="7537"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POZYCJE RESEKURYTYZACYJNE</w:t>
            </w:r>
          </w:p>
          <w:p w:rsidR="00C55547" w:rsidRPr="00AA1421" w:rsidRDefault="00532026"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 xml:space="preserve">Art. 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6</w:t>
            </w:r>
            <w:r w:rsidRPr="00AA1421">
              <w:rPr>
                <w:rFonts w:ascii="Times New Roman" w:hAnsi="Times New Roman"/>
                <w:bCs/>
                <w:sz w:val="24"/>
              </w:rPr>
              <w:t>4 CRR</w:t>
            </w:r>
          </w:p>
          <w:p w:rsidR="00C55547" w:rsidRPr="00AA1421" w:rsidRDefault="00C55547" w:rsidP="00E10B85">
            <w:pPr>
              <w:autoSpaceDE w:val="0"/>
              <w:autoSpaceDN w:val="0"/>
              <w:adjustRightInd w:val="0"/>
              <w:spacing w:before="0" w:after="0"/>
              <w:rPr>
                <w:rFonts w:ascii="Times New Roman" w:hAnsi="Times New Roman"/>
                <w:bCs/>
                <w:sz w:val="24"/>
                <w:lang w:eastAsia="nl-BE"/>
              </w:rPr>
            </w:pPr>
          </w:p>
        </w:tc>
      </w:tr>
      <w:tr w:rsidR="00C55547" w:rsidRPr="00AA1421" w:rsidTr="000911FE">
        <w:tc>
          <w:tcPr>
            <w:tcW w:w="1413"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0041, 0071 oraz 0101</w:t>
            </w:r>
          </w:p>
        </w:tc>
        <w:tc>
          <w:tcPr>
            <w:tcW w:w="7537"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W TYM: KWALIFIKUJĄCE SIĘ DO ZRÓŻNICOWANEGO TRAKTOWANIA KAPITAŁU</w:t>
            </w:r>
          </w:p>
          <w:p w:rsidR="00C55547" w:rsidRPr="00AA1421" w:rsidRDefault="00C55547">
            <w:pPr>
              <w:rPr>
                <w:rStyle w:val="InstructionsTabelleberschrift"/>
                <w:rFonts w:ascii="Times New Roman" w:hAnsi="Times New Roman"/>
                <w:sz w:val="24"/>
              </w:rPr>
            </w:pPr>
            <w:r w:rsidRPr="00AA1421">
              <w:rPr>
                <w:rFonts w:ascii="Times New Roman" w:hAnsi="Times New Roman"/>
                <w:bCs/>
                <w:sz w:val="24"/>
              </w:rPr>
              <w:t xml:space="preserve">Całkowita kwota pozycji sekurytyzacyjnych, które spełniają kryteria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43 CRR lub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70 CRR, a w związku z tym kwalifikują się do zróżnicowanego traktowania kapitału.</w:t>
            </w:r>
          </w:p>
        </w:tc>
      </w:tr>
      <w:tr w:rsidR="00C55547" w:rsidRPr="00AA1421" w:rsidTr="000911FE">
        <w:tc>
          <w:tcPr>
            <w:tcW w:w="1413"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0030-0050</w:t>
            </w:r>
          </w:p>
        </w:tc>
        <w:tc>
          <w:tcPr>
            <w:tcW w:w="7537"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JEDNOSTKA INICJUJĄCA</w:t>
            </w:r>
          </w:p>
          <w:p w:rsidR="00C55547" w:rsidRPr="00AA1421" w:rsidRDefault="000242CC"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 xml:space="preserve">Art. 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3 CRR</w:t>
            </w:r>
          </w:p>
          <w:p w:rsidR="00C55547" w:rsidRPr="00AA1421" w:rsidRDefault="00C55547" w:rsidP="00E10B85">
            <w:pPr>
              <w:autoSpaceDE w:val="0"/>
              <w:autoSpaceDN w:val="0"/>
              <w:adjustRightInd w:val="0"/>
              <w:spacing w:before="0" w:after="0"/>
              <w:rPr>
                <w:rFonts w:ascii="Times New Roman" w:hAnsi="Times New Roman"/>
                <w:bCs/>
                <w:sz w:val="24"/>
                <w:lang w:eastAsia="nl-BE"/>
              </w:rPr>
            </w:pPr>
          </w:p>
        </w:tc>
      </w:tr>
      <w:tr w:rsidR="00C55547" w:rsidRPr="00AA1421" w:rsidTr="000911FE">
        <w:tc>
          <w:tcPr>
            <w:tcW w:w="1413"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0060-0080</w:t>
            </w:r>
          </w:p>
        </w:tc>
        <w:tc>
          <w:tcPr>
            <w:tcW w:w="7537"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INWESTOR</w:t>
            </w:r>
          </w:p>
          <w:p w:rsidR="00C55547" w:rsidRPr="00AA1421" w:rsidRDefault="00C55547" w:rsidP="00E10B85">
            <w:pPr>
              <w:autoSpaceDE w:val="0"/>
              <w:autoSpaceDN w:val="0"/>
              <w:adjustRightInd w:val="0"/>
              <w:spacing w:before="0" w:after="0"/>
              <w:rPr>
                <w:rFonts w:ascii="Times New Roman" w:hAnsi="Times New Roman"/>
                <w:bCs/>
                <w:sz w:val="24"/>
              </w:rPr>
            </w:pPr>
            <w:r w:rsidRPr="00AA1421">
              <w:rPr>
                <w:rFonts w:ascii="Times New Roman" w:hAnsi="Times New Roman"/>
                <w:bCs/>
                <w:sz w:val="24"/>
              </w:rPr>
              <w:t>Instytucja kredytowa będąca posiadaczem pozycji sekurytyzacyjnych w ramach transakcji sekurytyzacyjnych, w odniesieniu do których nie pełni roli jednostki inicjującej, jednostki sponsorującej ani pierwotnego kredytodawcy.</w:t>
            </w:r>
          </w:p>
          <w:p w:rsidR="00C55547" w:rsidRPr="00AA1421" w:rsidRDefault="00C55547" w:rsidP="00E10B85">
            <w:pPr>
              <w:autoSpaceDE w:val="0"/>
              <w:autoSpaceDN w:val="0"/>
              <w:adjustRightInd w:val="0"/>
              <w:spacing w:before="0" w:after="0"/>
              <w:rPr>
                <w:rFonts w:ascii="Times New Roman" w:hAnsi="Times New Roman"/>
                <w:bCs/>
                <w:sz w:val="24"/>
                <w:lang w:eastAsia="nl-BE"/>
              </w:rPr>
            </w:pPr>
          </w:p>
        </w:tc>
      </w:tr>
      <w:tr w:rsidR="00C55547" w:rsidRPr="00AA1421" w:rsidTr="000911FE">
        <w:tc>
          <w:tcPr>
            <w:tcW w:w="1413"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0090-0110</w:t>
            </w:r>
          </w:p>
        </w:tc>
        <w:tc>
          <w:tcPr>
            <w:tcW w:w="7537"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JEDNOSTKA SPONSORUJĄCA</w:t>
            </w:r>
          </w:p>
          <w:p w:rsidR="000242CC" w:rsidRPr="00AA1421" w:rsidRDefault="000242CC" w:rsidP="00E10B85">
            <w:pPr>
              <w:autoSpaceDE w:val="0"/>
              <w:autoSpaceDN w:val="0"/>
              <w:adjustRightInd w:val="0"/>
              <w:spacing w:before="0" w:after="0"/>
              <w:rPr>
                <w:rStyle w:val="InstructionsTabelleText"/>
                <w:rFonts w:ascii="Times New Roman" w:hAnsi="Times New Roman"/>
                <w:sz w:val="24"/>
              </w:rPr>
            </w:pPr>
            <w:r w:rsidRPr="00AA1421">
              <w:rPr>
                <w:rStyle w:val="InstructionsTabelleText"/>
                <w:rFonts w:ascii="Times New Roman" w:hAnsi="Times New Roman"/>
                <w:sz w:val="24"/>
              </w:rPr>
              <w:t xml:space="preserve">Art. 4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 </w:t>
            </w:r>
            <w:r w:rsidRPr="00084F66">
              <w:rPr>
                <w:rStyle w:val="InstructionsTabelleText"/>
                <w:rFonts w:ascii="Times New Roman" w:hAnsi="Times New Roman"/>
                <w:sz w:val="24"/>
              </w:rPr>
              <w:t>pkt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1</w:t>
            </w:r>
            <w:r w:rsidRPr="00AA1421">
              <w:rPr>
                <w:rStyle w:val="InstructionsTabelleText"/>
                <w:rFonts w:ascii="Times New Roman" w:hAnsi="Times New Roman"/>
                <w:sz w:val="24"/>
              </w:rPr>
              <w:t xml:space="preserve">4 CRR. </w:t>
            </w:r>
          </w:p>
          <w:p w:rsidR="00C55547" w:rsidRPr="00AA1421" w:rsidRDefault="00532026" w:rsidP="00E64BFE">
            <w:pPr>
              <w:autoSpaceDE w:val="0"/>
              <w:autoSpaceDN w:val="0"/>
              <w:adjustRightInd w:val="0"/>
              <w:spacing w:before="0" w:after="0"/>
              <w:rPr>
                <w:rStyle w:val="InstructionsTabelleText"/>
                <w:rFonts w:ascii="Times New Roman" w:hAnsi="Times New Roman"/>
                <w:sz w:val="24"/>
              </w:rPr>
            </w:pPr>
            <w:r w:rsidRPr="00AA1421">
              <w:rPr>
                <w:rStyle w:val="InstructionsTabelleText"/>
                <w:rFonts w:ascii="Times New Roman" w:hAnsi="Times New Roman"/>
                <w:sz w:val="24"/>
              </w:rPr>
              <w:t xml:space="preserve">Jednostka sponsorująca, która </w:t>
            </w:r>
            <w:proofErr w:type="spellStart"/>
            <w:r w:rsidRPr="00AA1421">
              <w:rPr>
                <w:rStyle w:val="InstructionsTabelleText"/>
                <w:rFonts w:ascii="Times New Roman" w:hAnsi="Times New Roman"/>
                <w:sz w:val="24"/>
              </w:rPr>
              <w:t>sekurytyzuje</w:t>
            </w:r>
            <w:proofErr w:type="spellEnd"/>
            <w:r w:rsidRPr="00AA1421">
              <w:rPr>
                <w:rStyle w:val="InstructionsTabelleText"/>
                <w:rFonts w:ascii="Times New Roman" w:hAnsi="Times New Roman"/>
                <w:sz w:val="24"/>
              </w:rPr>
              <w:t xml:space="preserve"> również swoje aktywa własne, wypełnia wiersze przeznaczone dla jednostki inicjującej, przedstawiając informacje dotyczące </w:t>
            </w:r>
            <w:proofErr w:type="spellStart"/>
            <w:r w:rsidRPr="00AA1421">
              <w:rPr>
                <w:rStyle w:val="InstructionsTabelleText"/>
                <w:rFonts w:ascii="Times New Roman" w:hAnsi="Times New Roman"/>
                <w:sz w:val="24"/>
              </w:rPr>
              <w:t>sekurytyzowanych</w:t>
            </w:r>
            <w:proofErr w:type="spellEnd"/>
            <w:r w:rsidRPr="00AA1421">
              <w:rPr>
                <w:rStyle w:val="InstructionsTabelleText"/>
                <w:rFonts w:ascii="Times New Roman" w:hAnsi="Times New Roman"/>
                <w:sz w:val="24"/>
              </w:rPr>
              <w:t xml:space="preserve"> przez siebie aktywów własnych.</w:t>
            </w:r>
          </w:p>
        </w:tc>
      </w:tr>
    </w:tbl>
    <w:p w:rsidR="000B0B09" w:rsidRPr="00AA1421" w:rsidRDefault="000B0B09" w:rsidP="000B0B09">
      <w:pPr>
        <w:autoSpaceDE w:val="0"/>
        <w:autoSpaceDN w:val="0"/>
        <w:adjustRightInd w:val="0"/>
        <w:spacing w:before="0" w:after="0"/>
        <w:rPr>
          <w:rFonts w:ascii="Times New Roman" w:hAnsi="Times New Roman"/>
          <w:sz w:val="24"/>
          <w:lang w:eastAsia="nl-BE"/>
        </w:rPr>
      </w:pPr>
    </w:p>
    <w:p w:rsidR="000B0B09" w:rsidRPr="00AA1421" w:rsidRDefault="000B0B09" w:rsidP="000B0B09">
      <w:pPr>
        <w:autoSpaceDE w:val="0"/>
        <w:autoSpaceDN w:val="0"/>
        <w:adjustRightInd w:val="0"/>
        <w:spacing w:before="0" w:after="0"/>
        <w:rPr>
          <w:rFonts w:ascii="Times New Roman" w:hAnsi="Times New Roman"/>
          <w:sz w:val="24"/>
          <w:lang w:eastAsia="nl-BE"/>
        </w:rPr>
      </w:pP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403727"/>
      <w:r w:rsidRPr="00AA1421">
        <w:rPr>
          <w:rFonts w:ascii="Times New Roman" w:hAnsi="Times New Roman"/>
          <w:sz w:val="24"/>
          <w:u w:val="none"/>
        </w:rPr>
        <w:t>5.3.</w:t>
      </w:r>
      <w:r w:rsidR="00D712CF" w:rsidRPr="00AA1421">
        <w:rPr>
          <w:u w:val="none"/>
        </w:rPr>
        <w:tab/>
      </w:r>
      <w:r w:rsidRPr="00AA1421">
        <w:rPr>
          <w:rFonts w:ascii="Times New Roman" w:hAnsi="Times New Roman"/>
          <w:sz w:val="24"/>
        </w:rPr>
        <w:t xml:space="preserve">C 20.00 – RYZYKO RYNKOWE: </w:t>
      </w:r>
      <w:bookmarkStart w:id="650" w:name="_Toc294172373"/>
      <w:r w:rsidRPr="00AA1421">
        <w:rPr>
          <w:rFonts w:ascii="Times New Roman" w:hAnsi="Times New Roman"/>
          <w:sz w:val="24"/>
        </w:rPr>
        <w:t>SZCZEGÓLNE RYZYKO Z TYTUŁU KORELACYJNEGO PORTFELA HANDLOWEGO WEDŁUG METODY STANDARDOWEJ (MKR SA CTP</w:t>
      </w:r>
      <w:bookmarkEnd w:id="650"/>
      <w:bookmarkEnd w:id="644"/>
      <w:bookmarkEnd w:id="645"/>
      <w:bookmarkEnd w:id="646"/>
      <w:r w:rsidRPr="00AA1421">
        <w:rPr>
          <w:rFonts w:ascii="Times New Roman" w:hAnsi="Times New Roman"/>
          <w:sz w:val="24"/>
        </w:rPr>
        <w:t>)</w:t>
      </w:r>
      <w:bookmarkEnd w:id="647"/>
      <w:bookmarkEnd w:id="648"/>
      <w:bookmarkEnd w:id="649"/>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403728"/>
      <w:r w:rsidRPr="00AA1421">
        <w:rPr>
          <w:rFonts w:ascii="Times New Roman" w:hAnsi="Times New Roman"/>
          <w:sz w:val="24"/>
          <w:u w:val="none"/>
        </w:rPr>
        <w:t>5.3.1.</w:t>
      </w:r>
      <w:r w:rsidR="00D712CF" w:rsidRPr="00AA1421">
        <w:rPr>
          <w:u w:val="none"/>
        </w:rPr>
        <w:tab/>
      </w:r>
      <w:r w:rsidRPr="00AA1421">
        <w:rPr>
          <w:rFonts w:ascii="Times New Roman" w:hAnsi="Times New Roman"/>
          <w:sz w:val="24"/>
        </w:rPr>
        <w:t>Uwagi ogólne</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AA1421" w:rsidRDefault="00771068" w:rsidP="00487A02">
      <w:pPr>
        <w:pStyle w:val="InstructionsText2"/>
        <w:numPr>
          <w:ilvl w:val="0"/>
          <w:numId w:val="0"/>
        </w:numPr>
        <w:ind w:left="1353" w:hanging="360"/>
      </w:pPr>
      <w:r w:rsidRPr="00AA1421">
        <w:fldChar w:fldCharType="begin"/>
      </w:r>
      <w:r w:rsidRPr="00AA1421">
        <w:instrText xml:space="preserve"> seq paragraphs </w:instrText>
      </w:r>
      <w:r w:rsidRPr="00AA1421">
        <w:fldChar w:fldCharType="separate"/>
      </w:r>
      <w:r w:rsidRPr="00AA1421">
        <w:t>165</w:t>
      </w:r>
      <w:r w:rsidRPr="00AA1421">
        <w:fldChar w:fldCharType="end"/>
      </w:r>
      <w:r w:rsidRPr="00AA1421">
        <w:t xml:space="preserve">. W przedmiotowym wzorze należy przedstawić informacje o pozycjach ujętych w korelacyjnym portfelu handlowym (CTP) (obejmujących sekurytyzacje, kredytowe instrumenty pochodne uruchamiane n-tym niewykonaniem zobowiązania oraz pozycje ujęte w korelacyjnym portfelu handlowym zgodnie z </w:t>
      </w:r>
      <w:r w:rsidRPr="00084F66">
        <w:t>art.</w:t>
      </w:r>
      <w:r w:rsidR="00084F66" w:rsidRPr="00084F66">
        <w:t> </w:t>
      </w:r>
      <w:r w:rsidRPr="00084F66">
        <w:t>3</w:t>
      </w:r>
      <w:r w:rsidRPr="00AA1421">
        <w:t xml:space="preserve">38 </w:t>
      </w:r>
      <w:r w:rsidRPr="00084F66">
        <w:t>ust.</w:t>
      </w:r>
      <w:r w:rsidR="00084F66" w:rsidRPr="00084F66">
        <w:t> </w:t>
      </w:r>
      <w:r w:rsidRPr="00084F66">
        <w:t>3</w:t>
      </w:r>
      <w:r w:rsidRPr="00AA1421">
        <w:t>) oraz o odpowiednich wymogach w zakresie funduszy własnych ustanowionych zgodnie z metodą standardową.</w:t>
      </w:r>
    </w:p>
    <w:p w:rsidR="00C55547" w:rsidRPr="00AA1421" w:rsidRDefault="00AA1421" w:rsidP="00487A02">
      <w:pPr>
        <w:pStyle w:val="InstructionsText2"/>
        <w:numPr>
          <w:ilvl w:val="0"/>
          <w:numId w:val="0"/>
        </w:numPr>
        <w:ind w:left="1353" w:hanging="360"/>
      </w:pPr>
      <w:fldSimple w:instr=" seq paragraphs ">
        <w:r w:rsidR="00D11E4C" w:rsidRPr="00AA1421">
          <w:rPr>
            <w:noProof/>
          </w:rPr>
          <w:t>166</w:t>
        </w:r>
      </w:fldSimple>
      <w:r w:rsidR="00D11E4C" w:rsidRPr="00AA1421">
        <w:t>.</w:t>
      </w:r>
      <w:r w:rsidR="00D11E4C" w:rsidRPr="00AA1421">
        <w:tab/>
        <w:t xml:space="preserve"> We wzorze MKR SA CTP przedstawia się wymogi w zakresie funduszy własnych wyłącznie w odniesieniu do ryzyka szczególnego w ramach ryzyka pozycji ujętych w korelacyjnym portfelu handlowym, zgodnie z </w:t>
      </w:r>
      <w:r w:rsidR="00D11E4C" w:rsidRPr="00084F66">
        <w:t>art.</w:t>
      </w:r>
      <w:r w:rsidR="00084F66" w:rsidRPr="00084F66">
        <w:t> </w:t>
      </w:r>
      <w:r w:rsidR="00D11E4C" w:rsidRPr="00084F66">
        <w:t>3</w:t>
      </w:r>
      <w:r w:rsidR="00D11E4C" w:rsidRPr="00AA1421">
        <w:t xml:space="preserve">35 CRR w związku </w:t>
      </w:r>
      <w:r w:rsidR="00D11E4C" w:rsidRPr="00AA1421">
        <w:lastRenderedPageBreak/>
        <w:t xml:space="preserve">z </w:t>
      </w:r>
      <w:r w:rsidR="00D11E4C" w:rsidRPr="00084F66">
        <w:t>art.</w:t>
      </w:r>
      <w:r w:rsidR="00084F66" w:rsidRPr="00084F66">
        <w:t> </w:t>
      </w:r>
      <w:r w:rsidR="00D11E4C" w:rsidRPr="00084F66">
        <w:t>3</w:t>
      </w:r>
      <w:r w:rsidR="00D11E4C" w:rsidRPr="00AA1421">
        <w:t xml:space="preserve">38 </w:t>
      </w:r>
      <w:r w:rsidR="00D11E4C" w:rsidRPr="00084F66">
        <w:t>ust.</w:t>
      </w:r>
      <w:r w:rsidR="00084F66" w:rsidRPr="00084F66">
        <w:t> </w:t>
      </w:r>
      <w:r w:rsidR="00D11E4C" w:rsidRPr="00084F66">
        <w:t>2</w:t>
      </w:r>
      <w:r w:rsidR="00D11E4C" w:rsidRPr="00AA1421">
        <w:t xml:space="preserve"> i 3 CRR. Jeżeli pozycje ujęte w korelacyjnym portfelu handlowym są zabezpieczone kredytowymi instrumentami pochodnymi, zastosowanie mają przepisy </w:t>
      </w:r>
      <w:r w:rsidR="00D11E4C" w:rsidRPr="00084F66">
        <w:t>art.</w:t>
      </w:r>
      <w:r w:rsidR="00084F66" w:rsidRPr="00084F66">
        <w:t> </w:t>
      </w:r>
      <w:r w:rsidR="00D11E4C" w:rsidRPr="00084F66">
        <w:t>3</w:t>
      </w:r>
      <w:r w:rsidR="00D11E4C" w:rsidRPr="00AA1421">
        <w:t>46 i 347 CRR. W odniesieniu do wszystkich pozycji ujętych w korelacyjnym portfelu handlowym stosuje się ten sam wzór, niezależnie od metody stosowanej przez instytucje przy ustalaniu wagi ryzyka każdej pozycji zgodnie z częścią trzecią tytuł II rozdział 5 CRR. Informacje dotyczące wymogów w zakresie funduszy własnych w odniesieniu do ryzyka ogólnego tych pozycji zgłasza się przy pomocy wzoru MKR SA TDI lub wzoru MKR IM.</w:t>
      </w:r>
    </w:p>
    <w:p w:rsidR="00C55547" w:rsidRPr="00AA1421" w:rsidRDefault="00AA1421" w:rsidP="00487A02">
      <w:pPr>
        <w:pStyle w:val="InstructionsText2"/>
        <w:numPr>
          <w:ilvl w:val="0"/>
          <w:numId w:val="0"/>
        </w:numPr>
        <w:ind w:left="1353" w:hanging="360"/>
      </w:pPr>
      <w:fldSimple w:instr=" seq paragraphs ">
        <w:r w:rsidR="00D11E4C" w:rsidRPr="00AA1421">
          <w:rPr>
            <w:noProof/>
          </w:rPr>
          <w:t>167</w:t>
        </w:r>
      </w:fldSimple>
      <w:r w:rsidR="00D11E4C" w:rsidRPr="00AA1421">
        <w:t>.</w:t>
      </w:r>
      <w:r w:rsidR="00D11E4C" w:rsidRPr="00AA1421">
        <w:tab/>
        <w:t xml:space="preserve"> Wzór umożliwia rozdzielenie pozycji sekurytyzacyjnych, kredytowych instrumentów pochodnych uruchamianych n-tym niewykonaniem zobowiązania oraz innych pozycji ujętych w korelacyjnym portfelu handlowym. Pozycje sekurytyzacyjne zawsze zgłasza się w wierszach 0030, 0060 </w:t>
      </w:r>
      <w:r w:rsidR="00D11E4C" w:rsidRPr="00084F66">
        <w:t>lub</w:t>
      </w:r>
      <w:r w:rsidR="00084F66" w:rsidRPr="00084F66">
        <w:t> </w:t>
      </w:r>
      <w:r w:rsidR="00D11E4C" w:rsidRPr="00084F66">
        <w:t>0</w:t>
      </w:r>
      <w:r w:rsidR="00D11E4C" w:rsidRPr="00AA1421">
        <w:t xml:space="preserve">090 (w zależności od roli instytucji w procesie sekurytyzacji). Kredytowe instrumenty pochodne uruchamiane n-tym niewykonaniem zobowiązania zawsze zgłasza się w wierszu 0110. „Inne pozycje ujęte w korelacyjnym portfelu handlowym” to pozycje, które nie są pozycjami sekurytyzacyjnymi ani kredytowymi instrumentami pochodnymi uruchamianymi n-tym niewykonaniem zobowiązania (zob. definicja w </w:t>
      </w:r>
      <w:r w:rsidR="00D11E4C" w:rsidRPr="00084F66">
        <w:t>art.</w:t>
      </w:r>
      <w:r w:rsidR="00084F66" w:rsidRPr="00084F66">
        <w:t> </w:t>
      </w:r>
      <w:r w:rsidR="00D11E4C" w:rsidRPr="00084F66">
        <w:t>3</w:t>
      </w:r>
      <w:r w:rsidR="00D11E4C" w:rsidRPr="00AA1421">
        <w:t xml:space="preserve">38 </w:t>
      </w:r>
      <w:r w:rsidR="00D11E4C" w:rsidRPr="00084F66">
        <w:t>ust.</w:t>
      </w:r>
      <w:r w:rsidR="00084F66" w:rsidRPr="00084F66">
        <w:t> </w:t>
      </w:r>
      <w:r w:rsidR="00D11E4C" w:rsidRPr="00084F66">
        <w:t>3</w:t>
      </w:r>
      <w:r w:rsidR="00D11E4C" w:rsidRPr="00AA1421">
        <w:t xml:space="preserve"> CRR), ale są bezpośrednio „powiązane” z jedną z tych dwóch pozycji (z uwagi na zamiar zabezpieczenia). </w:t>
      </w:r>
    </w:p>
    <w:p w:rsidR="00C55547" w:rsidRPr="00AA1421" w:rsidRDefault="00AA1421" w:rsidP="00487A02">
      <w:pPr>
        <w:pStyle w:val="InstructionsText2"/>
        <w:numPr>
          <w:ilvl w:val="0"/>
          <w:numId w:val="0"/>
        </w:numPr>
        <w:ind w:left="1353" w:hanging="360"/>
      </w:pPr>
      <w:fldSimple w:instr=" seq paragraphs ">
        <w:r w:rsidR="00D11E4C" w:rsidRPr="00AA1421">
          <w:rPr>
            <w:noProof/>
          </w:rPr>
          <w:t>168</w:t>
        </w:r>
      </w:fldSimple>
      <w:r w:rsidR="00D11E4C" w:rsidRPr="00AA1421">
        <w:t>.</w:t>
      </w:r>
      <w:r w:rsidR="00D11E4C" w:rsidRPr="00AA1421">
        <w:tab/>
        <w:t xml:space="preserve"> Pozycje, którym przypisywana jest waga ryzyka 1 25</w:t>
      </w:r>
      <w:r w:rsidR="00D11E4C" w:rsidRPr="00084F66">
        <w:t>0</w:t>
      </w:r>
      <w:r w:rsidR="00084F66" w:rsidRPr="00084F66">
        <w:t> </w:t>
      </w:r>
      <w:r w:rsidR="00D11E4C" w:rsidRPr="00084F66">
        <w:t>%</w:t>
      </w:r>
      <w:r w:rsidR="00D11E4C" w:rsidRPr="00AA1421">
        <w:t xml:space="preserve">, mogą alternatywnie zostać odliczone od kapitału podstawowego </w:t>
      </w:r>
      <w:proofErr w:type="spellStart"/>
      <w:r w:rsidR="00D11E4C" w:rsidRPr="00AA1421">
        <w:t>Tier</w:t>
      </w:r>
      <w:proofErr w:type="spellEnd"/>
      <w:r w:rsidR="00D11E4C" w:rsidRPr="00AA1421">
        <w:t xml:space="preserve"> I (zob. </w:t>
      </w:r>
      <w:r w:rsidR="00D11E4C" w:rsidRPr="00084F66">
        <w:t>art.</w:t>
      </w:r>
      <w:r w:rsidR="00084F66" w:rsidRPr="00084F66">
        <w:t> </w:t>
      </w:r>
      <w:r w:rsidR="00D11E4C" w:rsidRPr="00084F66">
        <w:t>2</w:t>
      </w:r>
      <w:r w:rsidR="00D11E4C" w:rsidRPr="00AA1421">
        <w:t xml:space="preserve">44 </w:t>
      </w:r>
      <w:r w:rsidR="00D11E4C" w:rsidRPr="00084F66">
        <w:t>ust.</w:t>
      </w:r>
      <w:r w:rsidR="00084F66" w:rsidRPr="00084F66">
        <w:t> </w:t>
      </w:r>
      <w:r w:rsidR="00D11E4C" w:rsidRPr="00084F66">
        <w:t>1</w:t>
      </w:r>
      <w:r w:rsidR="00D11E4C" w:rsidRPr="00AA1421">
        <w:t xml:space="preserve"> </w:t>
      </w:r>
      <w:r w:rsidR="00D11E4C" w:rsidRPr="00084F66">
        <w:t>lit.</w:t>
      </w:r>
      <w:r w:rsidR="00084F66" w:rsidRPr="00084F66">
        <w:t> </w:t>
      </w:r>
      <w:r w:rsidR="00D11E4C" w:rsidRPr="00084F66">
        <w:t>b)</w:t>
      </w:r>
      <w:r w:rsidR="00D11E4C" w:rsidRPr="00AA1421">
        <w:t xml:space="preserve">, </w:t>
      </w:r>
      <w:r w:rsidR="00D11E4C" w:rsidRPr="00084F66">
        <w:t>art.</w:t>
      </w:r>
      <w:r w:rsidR="00084F66" w:rsidRPr="00084F66">
        <w:t> </w:t>
      </w:r>
      <w:r w:rsidR="00D11E4C" w:rsidRPr="00084F66">
        <w:t>2</w:t>
      </w:r>
      <w:r w:rsidR="00D11E4C" w:rsidRPr="00AA1421">
        <w:t xml:space="preserve">45 </w:t>
      </w:r>
      <w:r w:rsidR="00D11E4C" w:rsidRPr="00084F66">
        <w:t>ust.</w:t>
      </w:r>
      <w:r w:rsidR="00084F66" w:rsidRPr="00084F66">
        <w:t> </w:t>
      </w:r>
      <w:r w:rsidR="00D11E4C" w:rsidRPr="00084F66">
        <w:t>1</w:t>
      </w:r>
      <w:r w:rsidR="00D11E4C" w:rsidRPr="00AA1421">
        <w:t xml:space="preserve"> </w:t>
      </w:r>
      <w:r w:rsidR="00D11E4C" w:rsidRPr="00084F66">
        <w:t>lit.</w:t>
      </w:r>
      <w:r w:rsidR="00084F66" w:rsidRPr="00084F66">
        <w:t> </w:t>
      </w:r>
      <w:r w:rsidR="00D11E4C" w:rsidRPr="00084F66">
        <w:t>b)</w:t>
      </w:r>
      <w:r w:rsidR="00D11E4C" w:rsidRPr="00AA1421">
        <w:t xml:space="preserve"> oraz </w:t>
      </w:r>
      <w:r w:rsidR="00D11E4C" w:rsidRPr="00084F66">
        <w:t>art.</w:t>
      </w:r>
      <w:r w:rsidR="00084F66" w:rsidRPr="00084F66">
        <w:t> </w:t>
      </w:r>
      <w:r w:rsidR="00D11E4C" w:rsidRPr="00084F66">
        <w:t>2</w:t>
      </w:r>
      <w:r w:rsidR="00D11E4C" w:rsidRPr="00AA1421">
        <w:t>53 CRR). W takim przypadku pozycje te zgłasza się w wierszu 0460 we wzorze CA1.</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64" w:name="_Toc58403729"/>
      <w:r w:rsidRPr="00AA1421">
        <w:rPr>
          <w:rFonts w:ascii="Times New Roman" w:hAnsi="Times New Roman"/>
          <w:sz w:val="24"/>
          <w:u w:val="none"/>
        </w:rPr>
        <w:t>5.3.2.</w:t>
      </w:r>
      <w:r w:rsidR="00D712CF" w:rsidRPr="00AA1421">
        <w:rPr>
          <w:u w:val="none"/>
        </w:rPr>
        <w:tab/>
      </w:r>
      <w:r w:rsidRPr="00AA1421">
        <w:rPr>
          <w:rFonts w:ascii="Times New Roman" w:hAnsi="Times New Roman"/>
          <w:sz w:val="24"/>
        </w:rPr>
        <w:t>Instrukcje dotyczące poszczególnych pozycji</w:t>
      </w:r>
      <w:bookmarkEnd w:id="658"/>
      <w:bookmarkEnd w:id="659"/>
      <w:bookmarkEnd w:id="660"/>
      <w:bookmarkEnd w:id="661"/>
      <w:bookmarkEnd w:id="662"/>
      <w:bookmarkEnd w:id="663"/>
      <w:bookmarkEnd w:id="664"/>
    </w:p>
    <w:p w:rsidR="000B0B09" w:rsidRPr="00AA1421"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AA1421" w:rsidTr="00E10B85">
        <w:trPr>
          <w:trHeight w:val="602"/>
        </w:trPr>
        <w:tc>
          <w:tcPr>
            <w:tcW w:w="8890" w:type="dxa"/>
            <w:gridSpan w:val="2"/>
            <w:shd w:val="clear" w:color="auto" w:fill="CCCCCC"/>
          </w:tcPr>
          <w:p w:rsidR="00C55547" w:rsidRPr="00AA1421" w:rsidRDefault="00C55547" w:rsidP="00E10B85">
            <w:pPr>
              <w:autoSpaceDE w:val="0"/>
              <w:autoSpaceDN w:val="0"/>
              <w:adjustRightInd w:val="0"/>
              <w:spacing w:after="0"/>
              <w:rPr>
                <w:rFonts w:ascii="Times New Roman" w:hAnsi="Times New Roman"/>
                <w:b/>
                <w:sz w:val="24"/>
              </w:rPr>
            </w:pPr>
            <w:r w:rsidRPr="00AA1421">
              <w:rPr>
                <w:rFonts w:ascii="Times New Roman" w:hAnsi="Times New Roman"/>
                <w:b/>
                <w:sz w:val="24"/>
              </w:rPr>
              <w:t>Kolumny</w:t>
            </w:r>
          </w:p>
        </w:tc>
      </w:tr>
      <w:tr w:rsidR="00C55547" w:rsidRPr="00AA1421" w:rsidTr="00E10B85">
        <w:tc>
          <w:tcPr>
            <w:tcW w:w="1016"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0010-0020</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WSZYSTKIE POZYCJE (DŁUGIE I KRÓTKIE)</w:t>
            </w:r>
          </w:p>
          <w:p w:rsidR="005C14B0" w:rsidRPr="00AA1421" w:rsidRDefault="00C55547" w:rsidP="00E10B85">
            <w:pPr>
              <w:rPr>
                <w:rFonts w:ascii="Times New Roman" w:hAnsi="Times New Roman"/>
                <w:sz w:val="24"/>
              </w:rPr>
            </w:pPr>
            <w:r w:rsidRPr="00AA1421">
              <w:rPr>
                <w:rFonts w:ascii="Times New Roman" w:hAnsi="Times New Roman"/>
                <w:sz w:val="24"/>
              </w:rPr>
              <w:t xml:space="preserve">Art. 102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3 CRR (pozycje ujęte w korelacyjnym portfelu handlowym)</w:t>
            </w:r>
          </w:p>
          <w:p w:rsidR="00C55547" w:rsidRPr="00AA1421" w:rsidRDefault="00C55547" w:rsidP="0002267E">
            <w:pPr>
              <w:rPr>
                <w:rFonts w:ascii="Times New Roman" w:hAnsi="Times New Roman"/>
                <w:sz w:val="24"/>
              </w:rPr>
            </w:pPr>
            <w:r w:rsidRPr="00AA1421">
              <w:rPr>
                <w:rFonts w:ascii="Times New Roman" w:hAnsi="Times New Roman"/>
                <w:sz w:val="24"/>
              </w:rPr>
              <w:t xml:space="preserve">W kwestii rozróżnienia pomiędzy pozycjami długimi i krótkimi, stosowanego również w odniesieniu do pozycji brutto,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C55547" w:rsidRPr="00AA1421" w:rsidTr="00E10B85">
        <w:tc>
          <w:tcPr>
            <w:tcW w:w="1016"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0030-0040</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 POZYCJE ODLICZONE OD FUNDUSZY WŁASNYCH (DŁUGIE I KRÓTKIE)</w:t>
            </w:r>
          </w:p>
          <w:p w:rsidR="00C55547" w:rsidRPr="00AA1421" w:rsidRDefault="00C55547" w:rsidP="00E64BFE">
            <w:pPr>
              <w:rPr>
                <w:rFonts w:ascii="Times New Roman" w:hAnsi="Times New Roman"/>
                <w:sz w:val="24"/>
              </w:rPr>
            </w:pPr>
            <w:r w:rsidRPr="00AA1421">
              <w:rPr>
                <w:rFonts w:ascii="Times New Roman" w:hAnsi="Times New Roman"/>
                <w:sz w:val="24"/>
              </w:rPr>
              <w:t xml:space="preserve">Art. 253 CRR </w:t>
            </w:r>
          </w:p>
        </w:tc>
      </w:tr>
      <w:tr w:rsidR="00C55547" w:rsidRPr="00AA1421" w:rsidTr="00E10B85">
        <w:tc>
          <w:tcPr>
            <w:tcW w:w="1016"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0050-0060</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POZYCJE NETTO (DŁUGIE I KRÓTKIE)</w:t>
            </w:r>
          </w:p>
          <w:p w:rsidR="005C14B0" w:rsidRPr="00AA1421" w:rsidRDefault="00C55547" w:rsidP="00E10B85">
            <w:pPr>
              <w:rPr>
                <w:rFonts w:ascii="Times New Roman" w:hAnsi="Times New Roman"/>
                <w:sz w:val="24"/>
              </w:rPr>
            </w:pPr>
            <w:r w:rsidRPr="00AA1421">
              <w:rPr>
                <w:rFonts w:ascii="Times New Roman" w:hAnsi="Times New Roman"/>
                <w:sz w:val="24"/>
              </w:rPr>
              <w:t xml:space="preserve">Art. 327, 328, 329 oraz 334 CRR </w:t>
            </w:r>
          </w:p>
          <w:p w:rsidR="00C55547" w:rsidRPr="00AA1421" w:rsidRDefault="00C55547" w:rsidP="00E64BFE">
            <w:pPr>
              <w:rPr>
                <w:rFonts w:ascii="Times New Roman" w:hAnsi="Times New Roman"/>
                <w:sz w:val="24"/>
              </w:rPr>
            </w:pPr>
            <w:r w:rsidRPr="00AA1421">
              <w:rPr>
                <w:rFonts w:ascii="Times New Roman" w:hAnsi="Times New Roman"/>
                <w:sz w:val="24"/>
              </w:rPr>
              <w:t xml:space="preserve">W kwestii rozróżnienia pomiędzy pozycjami długimi i krótkimi, zob.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28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tc>
      </w:tr>
      <w:tr w:rsidR="00C55547" w:rsidRPr="00AA1421" w:rsidTr="00E10B85">
        <w:tc>
          <w:tcPr>
            <w:tcW w:w="1016" w:type="dxa"/>
          </w:tcPr>
          <w:p w:rsidR="00C55547" w:rsidRPr="00AA1421" w:rsidRDefault="002F79EA" w:rsidP="00543964">
            <w:pPr>
              <w:autoSpaceDE w:val="0"/>
              <w:autoSpaceDN w:val="0"/>
              <w:adjustRightInd w:val="0"/>
              <w:spacing w:before="0" w:after="0"/>
              <w:rPr>
                <w:rFonts w:ascii="Times New Roman" w:hAnsi="Times New Roman"/>
                <w:sz w:val="24"/>
              </w:rPr>
            </w:pPr>
            <w:r w:rsidRPr="00AA1421">
              <w:rPr>
                <w:rFonts w:ascii="Times New Roman" w:hAnsi="Times New Roman"/>
                <w:sz w:val="24"/>
              </w:rPr>
              <w:t>0071-0097</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PODZIAŁ POZYCJI NETTO WEDŁUG WAG RYZYKA</w:t>
            </w:r>
          </w:p>
          <w:p w:rsidR="00C55547" w:rsidRPr="00AA1421" w:rsidRDefault="00133396" w:rsidP="00E64BFE">
            <w:pPr>
              <w:rPr>
                <w:rFonts w:ascii="Times New Roman" w:hAnsi="Times New Roman"/>
                <w:sz w:val="24"/>
              </w:rPr>
            </w:pPr>
            <w:r w:rsidRPr="00AA1421">
              <w:rPr>
                <w:rStyle w:val="InstructionsTabelleText"/>
                <w:rFonts w:ascii="Times New Roman" w:hAnsi="Times New Roman"/>
                <w:sz w:val="24"/>
              </w:rPr>
              <w:lastRenderedPageBreak/>
              <w:t xml:space="preserve">Art. 259–262, tabele 1 i 2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63, tabele 3 i 4 w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64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66 CRR.</w:t>
            </w:r>
          </w:p>
        </w:tc>
      </w:tr>
      <w:tr w:rsidR="00C55547" w:rsidRPr="00AA1421" w:rsidTr="00E10B85">
        <w:tc>
          <w:tcPr>
            <w:tcW w:w="1016" w:type="dxa"/>
          </w:tcPr>
          <w:p w:rsidR="00C55547" w:rsidRPr="00AA1421" w:rsidRDefault="002F79EA" w:rsidP="00921700">
            <w:pPr>
              <w:rPr>
                <w:rFonts w:ascii="Times New Roman" w:hAnsi="Times New Roman"/>
                <w:sz w:val="24"/>
              </w:rPr>
            </w:pPr>
            <w:r w:rsidRPr="00AA1421">
              <w:rPr>
                <w:rFonts w:ascii="Times New Roman" w:hAnsi="Times New Roman"/>
                <w:sz w:val="24"/>
              </w:rPr>
              <w:lastRenderedPageBreak/>
              <w:t>0402-0406</w:t>
            </w:r>
          </w:p>
        </w:tc>
        <w:tc>
          <w:tcPr>
            <w:tcW w:w="7874" w:type="dxa"/>
          </w:tcPr>
          <w:p w:rsidR="00C55547" w:rsidRPr="00AA1421" w:rsidRDefault="00543964"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PODZIAŁ POZYCJI NETTO WEDŁUG METOD</w:t>
            </w:r>
          </w:p>
          <w:p w:rsidR="00C55547" w:rsidRPr="00AA1421" w:rsidRDefault="00C55547" w:rsidP="0002267E">
            <w:pPr>
              <w:autoSpaceDE w:val="0"/>
              <w:autoSpaceDN w:val="0"/>
              <w:adjustRightInd w:val="0"/>
              <w:spacing w:before="0" w:after="0"/>
              <w:rPr>
                <w:rStyle w:val="InstructionsTabelleberschrift"/>
                <w:rFonts w:ascii="Times New Roman" w:hAnsi="Times New Roman"/>
                <w:sz w:val="24"/>
              </w:rPr>
            </w:pPr>
            <w:r w:rsidRPr="00AA1421">
              <w:rPr>
                <w:rStyle w:val="InstructionsTabelleText"/>
                <w:rFonts w:ascii="Times New Roman" w:hAnsi="Times New Roman"/>
                <w:sz w:val="24"/>
              </w:rPr>
              <w:t xml:space="preserve">Art. 254 CRR </w:t>
            </w:r>
          </w:p>
        </w:tc>
      </w:tr>
      <w:tr w:rsidR="00C55547" w:rsidRPr="00AA1421" w:rsidTr="00E10B85">
        <w:tc>
          <w:tcPr>
            <w:tcW w:w="1016" w:type="dxa"/>
          </w:tcPr>
          <w:p w:rsidR="00C55547" w:rsidRPr="00AA1421" w:rsidRDefault="002F79EA" w:rsidP="00921700">
            <w:pPr>
              <w:rPr>
                <w:rFonts w:ascii="Times New Roman" w:hAnsi="Times New Roman"/>
                <w:sz w:val="24"/>
              </w:rPr>
            </w:pPr>
            <w:r w:rsidRPr="00AA1421">
              <w:rPr>
                <w:rFonts w:ascii="Times New Roman" w:hAnsi="Times New Roman"/>
                <w:sz w:val="24"/>
              </w:rPr>
              <w:t>0402</w:t>
            </w:r>
          </w:p>
        </w:tc>
        <w:tc>
          <w:tcPr>
            <w:tcW w:w="7874"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SEC-IRBA</w:t>
            </w:r>
          </w:p>
          <w:p w:rsidR="00C55547" w:rsidRPr="00AA1421" w:rsidRDefault="00C55547" w:rsidP="0002267E">
            <w:pPr>
              <w:autoSpaceDE w:val="0"/>
              <w:autoSpaceDN w:val="0"/>
              <w:adjustRightInd w:val="0"/>
              <w:jc w:val="left"/>
              <w:rPr>
                <w:rStyle w:val="InstructionsTabelleberschrift"/>
                <w:rFonts w:ascii="Times New Roman" w:hAnsi="Times New Roman"/>
                <w:sz w:val="24"/>
              </w:rPr>
            </w:pPr>
            <w:r w:rsidRPr="00AA1421">
              <w:rPr>
                <w:rStyle w:val="InstructionsTabelleText"/>
                <w:rFonts w:ascii="Times New Roman" w:hAnsi="Times New Roman"/>
                <w:sz w:val="24"/>
              </w:rPr>
              <w:t>Art. 259 i 260 CRR</w:t>
            </w:r>
          </w:p>
        </w:tc>
      </w:tr>
      <w:tr w:rsidR="00C55547" w:rsidRPr="00AA1421" w:rsidTr="00E10B85">
        <w:tc>
          <w:tcPr>
            <w:tcW w:w="1016" w:type="dxa"/>
          </w:tcPr>
          <w:p w:rsidR="00C55547" w:rsidRPr="00AA1421" w:rsidRDefault="002F79EA" w:rsidP="00921700">
            <w:pPr>
              <w:rPr>
                <w:rFonts w:ascii="Times New Roman" w:hAnsi="Times New Roman"/>
                <w:sz w:val="24"/>
              </w:rPr>
            </w:pPr>
            <w:r w:rsidRPr="00AA1421">
              <w:rPr>
                <w:rFonts w:ascii="Times New Roman" w:hAnsi="Times New Roman"/>
                <w:sz w:val="24"/>
              </w:rPr>
              <w:t>0403</w:t>
            </w:r>
          </w:p>
        </w:tc>
        <w:tc>
          <w:tcPr>
            <w:tcW w:w="7874"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SEC-SA</w:t>
            </w:r>
          </w:p>
          <w:p w:rsidR="00C55547" w:rsidRPr="00AA1421" w:rsidRDefault="00C55547" w:rsidP="0002267E">
            <w:pPr>
              <w:autoSpaceDE w:val="0"/>
              <w:autoSpaceDN w:val="0"/>
              <w:adjustRightInd w:val="0"/>
              <w:jc w:val="left"/>
              <w:rPr>
                <w:rStyle w:val="InstructionsTabelleberschrift"/>
                <w:rFonts w:ascii="Times New Roman" w:hAnsi="Times New Roman"/>
                <w:sz w:val="24"/>
              </w:rPr>
            </w:pPr>
            <w:r w:rsidRPr="00AA1421">
              <w:rPr>
                <w:rStyle w:val="InstructionsTabelleText"/>
                <w:rFonts w:ascii="Times New Roman" w:hAnsi="Times New Roman"/>
                <w:sz w:val="24"/>
              </w:rPr>
              <w:t>Art. 261 i 262 CRR</w:t>
            </w:r>
          </w:p>
        </w:tc>
      </w:tr>
      <w:tr w:rsidR="00C55547" w:rsidRPr="00AA1421" w:rsidTr="00E10B85">
        <w:tc>
          <w:tcPr>
            <w:tcW w:w="1016" w:type="dxa"/>
          </w:tcPr>
          <w:p w:rsidR="00C55547" w:rsidRPr="00AA1421" w:rsidRDefault="002F79EA" w:rsidP="00921700">
            <w:pPr>
              <w:rPr>
                <w:rFonts w:ascii="Times New Roman" w:hAnsi="Times New Roman"/>
                <w:sz w:val="24"/>
              </w:rPr>
            </w:pPr>
            <w:r w:rsidRPr="00AA1421">
              <w:rPr>
                <w:rFonts w:ascii="Times New Roman" w:hAnsi="Times New Roman"/>
                <w:sz w:val="24"/>
              </w:rPr>
              <w:t>0404</w:t>
            </w:r>
          </w:p>
        </w:tc>
        <w:tc>
          <w:tcPr>
            <w:tcW w:w="7874"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SEC-ERBA</w:t>
            </w:r>
          </w:p>
          <w:p w:rsidR="00C55547" w:rsidRPr="00AA1421" w:rsidRDefault="00C55547" w:rsidP="0002267E">
            <w:pPr>
              <w:autoSpaceDE w:val="0"/>
              <w:autoSpaceDN w:val="0"/>
              <w:adjustRightInd w:val="0"/>
              <w:jc w:val="left"/>
              <w:rPr>
                <w:rStyle w:val="InstructionsTabelleberschrift"/>
                <w:rFonts w:ascii="Times New Roman" w:hAnsi="Times New Roman"/>
                <w:sz w:val="24"/>
              </w:rPr>
            </w:pPr>
            <w:r w:rsidRPr="00AA1421">
              <w:rPr>
                <w:rStyle w:val="InstructionsTabelleText"/>
                <w:rFonts w:ascii="Times New Roman" w:hAnsi="Times New Roman"/>
                <w:sz w:val="24"/>
              </w:rPr>
              <w:t>Art. 263 i 264 CRR</w:t>
            </w:r>
          </w:p>
        </w:tc>
      </w:tr>
      <w:tr w:rsidR="00C55547" w:rsidRPr="00AA1421" w:rsidTr="00E10B85">
        <w:tc>
          <w:tcPr>
            <w:tcW w:w="1016" w:type="dxa"/>
          </w:tcPr>
          <w:p w:rsidR="00C55547" w:rsidRPr="00AA1421" w:rsidRDefault="002F79EA" w:rsidP="00921700">
            <w:pPr>
              <w:rPr>
                <w:rFonts w:ascii="Times New Roman" w:hAnsi="Times New Roman"/>
                <w:sz w:val="24"/>
              </w:rPr>
            </w:pPr>
            <w:r w:rsidRPr="00AA1421">
              <w:rPr>
                <w:rFonts w:ascii="Times New Roman" w:hAnsi="Times New Roman"/>
                <w:sz w:val="24"/>
              </w:rPr>
              <w:t>0405</w:t>
            </w:r>
          </w:p>
        </w:tc>
        <w:tc>
          <w:tcPr>
            <w:tcW w:w="7874"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METODA WEWNĘTRZNYCH OSZACOWAŃ</w:t>
            </w:r>
          </w:p>
          <w:p w:rsidR="00C55547" w:rsidRPr="00AA1421" w:rsidRDefault="00C55547" w:rsidP="0002267E">
            <w:pPr>
              <w:autoSpaceDE w:val="0"/>
              <w:autoSpaceDN w:val="0"/>
              <w:adjustRightInd w:val="0"/>
              <w:jc w:val="left"/>
              <w:rPr>
                <w:rStyle w:val="InstructionsTabelleberschrift"/>
                <w:rFonts w:ascii="Times New Roman" w:hAnsi="Times New Roman"/>
                <w:sz w:val="24"/>
              </w:rPr>
            </w:pPr>
            <w:r w:rsidRPr="00AA1421">
              <w:rPr>
                <w:rStyle w:val="InstructionsTabelleText"/>
                <w:rFonts w:ascii="Times New Roman" w:hAnsi="Times New Roman"/>
                <w:sz w:val="24"/>
              </w:rPr>
              <w:t xml:space="preserve">Art. 254 i 265 oraz </w:t>
            </w:r>
            <w:r w:rsidRPr="00084F66">
              <w:rPr>
                <w:rStyle w:val="InstructionsTabelleText"/>
                <w:rFonts w:ascii="Times New Roman" w:hAnsi="Times New Roman"/>
                <w:sz w:val="24"/>
              </w:rPr>
              <w:t>art.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2</w:t>
            </w:r>
            <w:r w:rsidRPr="00AA1421">
              <w:rPr>
                <w:rStyle w:val="InstructionsTabelleText"/>
                <w:rFonts w:ascii="Times New Roman" w:hAnsi="Times New Roman"/>
                <w:sz w:val="24"/>
              </w:rPr>
              <w:t xml:space="preserve">66 </w:t>
            </w:r>
            <w:r w:rsidRPr="00084F66">
              <w:rPr>
                <w:rStyle w:val="InstructionsTabelleText"/>
                <w:rFonts w:ascii="Times New Roman" w:hAnsi="Times New Roman"/>
                <w:sz w:val="24"/>
              </w:rPr>
              <w:t>ust.</w:t>
            </w:r>
            <w:r w:rsidR="00084F66" w:rsidRPr="00084F66">
              <w:rPr>
                <w:rStyle w:val="InstructionsTabelleText"/>
                <w:rFonts w:ascii="Times New Roman" w:hAnsi="Times New Roman"/>
                <w:sz w:val="24"/>
              </w:rPr>
              <w:t> </w:t>
            </w:r>
            <w:r w:rsidRPr="00084F66">
              <w:rPr>
                <w:rStyle w:val="InstructionsTabelleText"/>
                <w:rFonts w:ascii="Times New Roman" w:hAnsi="Times New Roman"/>
                <w:sz w:val="24"/>
              </w:rPr>
              <w:t>5</w:t>
            </w:r>
            <w:r w:rsidRPr="00AA1421">
              <w:rPr>
                <w:rStyle w:val="InstructionsTabelleText"/>
                <w:rFonts w:ascii="Times New Roman" w:hAnsi="Times New Roman"/>
                <w:sz w:val="24"/>
              </w:rPr>
              <w:t xml:space="preserve"> CRR.</w:t>
            </w:r>
          </w:p>
        </w:tc>
      </w:tr>
      <w:tr w:rsidR="00C55547" w:rsidRPr="00AA1421" w:rsidTr="00E10B85">
        <w:tc>
          <w:tcPr>
            <w:tcW w:w="1016" w:type="dxa"/>
          </w:tcPr>
          <w:p w:rsidR="00C55547" w:rsidRPr="00AA1421" w:rsidRDefault="002F79EA" w:rsidP="00921700">
            <w:pPr>
              <w:rPr>
                <w:rFonts w:ascii="Times New Roman" w:hAnsi="Times New Roman"/>
                <w:sz w:val="24"/>
              </w:rPr>
            </w:pPr>
            <w:r w:rsidRPr="00AA1421">
              <w:rPr>
                <w:rFonts w:ascii="Times New Roman" w:hAnsi="Times New Roman"/>
                <w:sz w:val="24"/>
              </w:rPr>
              <w:t>0406</w:t>
            </w:r>
          </w:p>
        </w:tc>
        <w:tc>
          <w:tcPr>
            <w:tcW w:w="7874" w:type="dxa"/>
          </w:tcPr>
          <w:p w:rsidR="00C55547" w:rsidRPr="00AA1421" w:rsidRDefault="00C55547" w:rsidP="00E10B85">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INNE (WAGA RYZYKA = 1 25</w:t>
            </w:r>
            <w:r w:rsidRPr="00084F66">
              <w:rPr>
                <w:rFonts w:ascii="Times New Roman" w:hAnsi="Times New Roman"/>
                <w:b/>
                <w:bCs/>
                <w:sz w:val="24"/>
                <w:u w:val="single"/>
              </w:rPr>
              <w:t>0</w:t>
            </w:r>
            <w:r w:rsidR="00084F66" w:rsidRPr="00084F66">
              <w:rPr>
                <w:rFonts w:ascii="Times New Roman" w:hAnsi="Times New Roman"/>
                <w:b/>
                <w:bCs/>
                <w:sz w:val="24"/>
                <w:u w:val="single"/>
              </w:rPr>
              <w:t> </w:t>
            </w:r>
            <w:r w:rsidRPr="00084F66">
              <w:rPr>
                <w:rFonts w:ascii="Times New Roman" w:hAnsi="Times New Roman"/>
                <w:b/>
                <w:bCs/>
                <w:sz w:val="24"/>
                <w:u w:val="single"/>
              </w:rPr>
              <w:t>%</w:t>
            </w:r>
            <w:r w:rsidRPr="00AA1421">
              <w:rPr>
                <w:rFonts w:ascii="Times New Roman" w:hAnsi="Times New Roman"/>
                <w:b/>
                <w:bCs/>
                <w:sz w:val="24"/>
                <w:u w:val="single"/>
              </w:rPr>
              <w:t>)</w:t>
            </w:r>
          </w:p>
          <w:p w:rsidR="00C55547" w:rsidRPr="00AA1421" w:rsidRDefault="00C55547" w:rsidP="0002267E">
            <w:pPr>
              <w:autoSpaceDE w:val="0"/>
              <w:autoSpaceDN w:val="0"/>
              <w:adjustRightInd w:val="0"/>
              <w:jc w:val="left"/>
              <w:rPr>
                <w:rStyle w:val="InstructionsTabelleberschrift"/>
                <w:rFonts w:ascii="Times New Roman" w:hAnsi="Times New Roman"/>
                <w:sz w:val="24"/>
              </w:rPr>
            </w:pPr>
            <w:r w:rsidRPr="00AA1421">
              <w:rPr>
                <w:rStyle w:val="InstructionsTabelleText"/>
                <w:rFonts w:ascii="Times New Roman" w:hAnsi="Times New Roman"/>
                <w:sz w:val="24"/>
              </w:rPr>
              <w:t>Art. 254 ust. 7 CRR</w:t>
            </w:r>
          </w:p>
        </w:tc>
      </w:tr>
      <w:tr w:rsidR="00C55547" w:rsidRPr="00AA1421" w:rsidTr="00E10B85">
        <w:tc>
          <w:tcPr>
            <w:tcW w:w="1016" w:type="dxa"/>
          </w:tcPr>
          <w:p w:rsidR="00C55547" w:rsidRPr="00AA1421" w:rsidRDefault="002F79EA" w:rsidP="0002267E">
            <w:pPr>
              <w:rPr>
                <w:rFonts w:ascii="Times New Roman" w:hAnsi="Times New Roman"/>
                <w:sz w:val="24"/>
              </w:rPr>
            </w:pPr>
            <w:r w:rsidRPr="00AA1421">
              <w:rPr>
                <w:rFonts w:ascii="Times New Roman" w:hAnsi="Times New Roman"/>
                <w:sz w:val="24"/>
              </w:rPr>
              <w:t>0410-0420</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PRZED UWZGLĘDNIENIEM PUŁAPU – WAŻONE POZYCJE DŁUGIE I KRÓTKIE NETTO</w:t>
            </w:r>
          </w:p>
          <w:p w:rsidR="00C55547" w:rsidRPr="00AA1421" w:rsidRDefault="00C55547" w:rsidP="00E64BFE">
            <w:pPr>
              <w:rPr>
                <w:rFonts w:ascii="Times New Roman" w:hAnsi="Times New Roman"/>
                <w:sz w:val="24"/>
              </w:rPr>
            </w:pPr>
            <w:r w:rsidRPr="00AA1421">
              <w:rPr>
                <w:rFonts w:ascii="Times New Roman" w:hAnsi="Times New Roman"/>
                <w:sz w:val="24"/>
              </w:rPr>
              <w:t xml:space="preserve">Art. 338 CRR, bez uwzględnienia swobody uznania przewidzianej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35 CRR.</w:t>
            </w:r>
          </w:p>
        </w:tc>
      </w:tr>
      <w:tr w:rsidR="00C55547" w:rsidRPr="00AA1421" w:rsidTr="00E10B85">
        <w:tc>
          <w:tcPr>
            <w:tcW w:w="1016" w:type="dxa"/>
          </w:tcPr>
          <w:p w:rsidR="00C55547" w:rsidRPr="00AA1421" w:rsidRDefault="002F79EA" w:rsidP="0002267E">
            <w:pPr>
              <w:rPr>
                <w:rFonts w:ascii="Times New Roman" w:hAnsi="Times New Roman"/>
                <w:sz w:val="24"/>
              </w:rPr>
            </w:pPr>
            <w:r w:rsidRPr="00AA1421">
              <w:rPr>
                <w:rFonts w:ascii="Times New Roman" w:hAnsi="Times New Roman"/>
                <w:sz w:val="24"/>
              </w:rPr>
              <w:t>0430-0440</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 UWZGLĘDNIENIU PUŁAPU – WAŻONE POZYCJE DŁUGIE I KRÓTKIE NETTO</w:t>
            </w:r>
          </w:p>
          <w:p w:rsidR="00C55547" w:rsidRPr="00AA1421" w:rsidRDefault="00C55547">
            <w:pPr>
              <w:rPr>
                <w:rFonts w:ascii="Times New Roman" w:hAnsi="Times New Roman"/>
                <w:sz w:val="24"/>
              </w:rPr>
            </w:pPr>
            <w:r w:rsidRPr="00AA1421">
              <w:rPr>
                <w:rFonts w:ascii="Times New Roman" w:hAnsi="Times New Roman"/>
                <w:sz w:val="24"/>
              </w:rPr>
              <w:t xml:space="preserve">Art. 338 CRR, uwzględniając swobodę uznania przewidzianą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35 CRR. </w:t>
            </w:r>
          </w:p>
        </w:tc>
      </w:tr>
      <w:tr w:rsidR="00C55547" w:rsidRPr="00AA1421" w:rsidTr="00E10B85">
        <w:tc>
          <w:tcPr>
            <w:tcW w:w="1016" w:type="dxa"/>
          </w:tcPr>
          <w:p w:rsidR="00C55547" w:rsidRPr="00AA1421" w:rsidRDefault="002F79EA" w:rsidP="0002267E">
            <w:pPr>
              <w:rPr>
                <w:rFonts w:ascii="Times New Roman" w:hAnsi="Times New Roman"/>
                <w:sz w:val="24"/>
              </w:rPr>
            </w:pPr>
            <w:r w:rsidRPr="00AA1421">
              <w:rPr>
                <w:rFonts w:ascii="Times New Roman" w:hAnsi="Times New Roman"/>
                <w:sz w:val="24"/>
              </w:rPr>
              <w:t>0450</w:t>
            </w:r>
          </w:p>
        </w:tc>
        <w:tc>
          <w:tcPr>
            <w:tcW w:w="787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CAŁKOWITE WYMOGI W ZAKRESIE FUNDUSZY WŁASNYCH</w:t>
            </w:r>
          </w:p>
          <w:p w:rsidR="00C55547" w:rsidRPr="00AA1421" w:rsidRDefault="00C55547" w:rsidP="00E10B85">
            <w:pPr>
              <w:rPr>
                <w:rFonts w:ascii="Times New Roman" w:hAnsi="Times New Roman"/>
                <w:sz w:val="24"/>
              </w:rPr>
            </w:pPr>
            <w:r w:rsidRPr="00AA1421">
              <w:rPr>
                <w:rFonts w:ascii="Times New Roman" w:hAnsi="Times New Roman"/>
                <w:sz w:val="24"/>
              </w:rPr>
              <w:t>Wymogi w zakresie funduszy własnych ustala się jako większą z następujących wartości: (i) narzut kapitałowy z tytułu ryzyka szczególnego, który byłby stosowany wyłącznie w odniesieniu do pozycji długich netto (kolumna 0430) lub (ii) narzut kapitałowy z tytułu ryzyka szczególnego, który byłby stosowany wyłącznie w odniesieniu do pozycji krótkich netto (kolumna 0440).</w:t>
            </w:r>
          </w:p>
        </w:tc>
      </w:tr>
    </w:tbl>
    <w:p w:rsidR="00C55547" w:rsidRPr="00AA1421" w:rsidRDefault="00C55547" w:rsidP="00C55547">
      <w:pPr>
        <w:autoSpaceDE w:val="0"/>
        <w:autoSpaceDN w:val="0"/>
        <w:adjustRightInd w:val="0"/>
        <w:spacing w:before="0" w:after="0"/>
        <w:rPr>
          <w:rFonts w:ascii="Times New Roman" w:hAnsi="Times New Roman"/>
          <w:sz w:val="24"/>
          <w:lang w:eastAsia="nl-BE"/>
        </w:rPr>
      </w:pPr>
    </w:p>
    <w:p w:rsidR="00C55547" w:rsidRPr="00AA1421"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AA1421" w:rsidTr="00E10B85">
        <w:trPr>
          <w:trHeight w:val="642"/>
        </w:trPr>
        <w:tc>
          <w:tcPr>
            <w:tcW w:w="9212" w:type="dxa"/>
            <w:gridSpan w:val="2"/>
            <w:shd w:val="clear" w:color="auto" w:fill="CCCCCC"/>
          </w:tcPr>
          <w:p w:rsidR="00C55547" w:rsidRPr="00AA1421" w:rsidRDefault="00C55547" w:rsidP="00E10B85">
            <w:pPr>
              <w:autoSpaceDE w:val="0"/>
              <w:autoSpaceDN w:val="0"/>
              <w:adjustRightInd w:val="0"/>
              <w:spacing w:after="0"/>
              <w:rPr>
                <w:rFonts w:ascii="Times New Roman" w:hAnsi="Times New Roman"/>
                <w:b/>
                <w:sz w:val="24"/>
              </w:rPr>
            </w:pPr>
            <w:r w:rsidRPr="00AA1421">
              <w:rPr>
                <w:rFonts w:ascii="Times New Roman" w:hAnsi="Times New Roman"/>
                <w:b/>
                <w:sz w:val="24"/>
              </w:rPr>
              <w:t>Wiersze</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0010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EKSPOZYCJE CAŁKOWITE</w:t>
            </w:r>
          </w:p>
          <w:p w:rsidR="00C55547" w:rsidRPr="00AA1421" w:rsidRDefault="00C55547" w:rsidP="00E10B85">
            <w:pPr>
              <w:rPr>
                <w:rFonts w:ascii="Times New Roman" w:hAnsi="Times New Roman"/>
                <w:sz w:val="24"/>
              </w:rPr>
            </w:pPr>
            <w:r w:rsidRPr="00AA1421">
              <w:rPr>
                <w:rFonts w:ascii="Times New Roman" w:hAnsi="Times New Roman"/>
                <w:sz w:val="24"/>
              </w:rPr>
              <w:t>Całkowita kwota pozycji pozostających do uregulowania (przechowywanych w korelacyjnym portfelu handlowym) zgłoszonych przez instytucję pełniącą rolę jednostki inicjującej lub sponsorującej.</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0020-0040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JEDNOSTKA INICJUJĄCA</w:t>
            </w:r>
          </w:p>
          <w:p w:rsidR="00C55547" w:rsidRPr="00AA1421" w:rsidRDefault="00E64BFE" w:rsidP="00E64BFE">
            <w:pPr>
              <w:rPr>
                <w:rFonts w:ascii="Times New Roman" w:hAnsi="Times New Roman"/>
                <w:sz w:val="24"/>
              </w:rPr>
            </w:pPr>
            <w:r w:rsidRPr="00AA1421">
              <w:rPr>
                <w:rFonts w:ascii="Times New Roman" w:hAnsi="Times New Roman"/>
                <w:sz w:val="24"/>
              </w:rPr>
              <w:t xml:space="preserve">Art. 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 CRR </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0050-0070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INWESTOR</w:t>
            </w:r>
          </w:p>
          <w:p w:rsidR="00C55547" w:rsidRPr="00AA1421" w:rsidRDefault="00C55547">
            <w:pPr>
              <w:rPr>
                <w:rFonts w:ascii="Times New Roman" w:hAnsi="Times New Roman"/>
                <w:sz w:val="24"/>
              </w:rPr>
            </w:pPr>
            <w:r w:rsidRPr="00AA1421">
              <w:rPr>
                <w:rFonts w:ascii="Times New Roman" w:hAnsi="Times New Roman"/>
                <w:sz w:val="24"/>
              </w:rPr>
              <w:t>Instytucja kredytowa będąca posiadaczem pozycji sekurytyzacyjnych w ramach transakcji sekurytyzacyjnych, w odniesieniu do których nie pełni roli jednostki inicjującej, jednostki sponsorującej ani pierwotnego kredytodawcy</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0080-0100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JEDNOSTKA SPONSORUJĄCA</w:t>
            </w:r>
          </w:p>
          <w:p w:rsidR="005C14B0" w:rsidRPr="00AA1421" w:rsidRDefault="00E64BFE" w:rsidP="001E0C80">
            <w:pPr>
              <w:rPr>
                <w:rFonts w:ascii="Times New Roman" w:hAnsi="Times New Roman"/>
                <w:sz w:val="24"/>
              </w:rPr>
            </w:pPr>
            <w:r w:rsidRPr="00AA1421">
              <w:rPr>
                <w:rFonts w:ascii="Times New Roman" w:hAnsi="Times New Roman"/>
                <w:sz w:val="24"/>
              </w:rPr>
              <w:t xml:space="preserve">Art. 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 CRR </w:t>
            </w:r>
          </w:p>
          <w:p w:rsidR="00C55547" w:rsidRPr="00AA1421" w:rsidRDefault="005F3BBE" w:rsidP="005F3BBE">
            <w:pPr>
              <w:rPr>
                <w:rFonts w:ascii="Times New Roman" w:hAnsi="Times New Roman"/>
                <w:sz w:val="24"/>
              </w:rPr>
            </w:pPr>
            <w:r w:rsidRPr="00AA1421">
              <w:rPr>
                <w:rFonts w:ascii="Times New Roman" w:hAnsi="Times New Roman"/>
                <w:sz w:val="24"/>
              </w:rPr>
              <w:t xml:space="preserve">Jednostka sponsorująca, która </w:t>
            </w:r>
            <w:proofErr w:type="spellStart"/>
            <w:r w:rsidRPr="00AA1421">
              <w:rPr>
                <w:rFonts w:ascii="Times New Roman" w:hAnsi="Times New Roman"/>
                <w:sz w:val="24"/>
              </w:rPr>
              <w:t>sekurytyzuje</w:t>
            </w:r>
            <w:proofErr w:type="spellEnd"/>
            <w:r w:rsidRPr="00AA1421">
              <w:rPr>
                <w:rFonts w:ascii="Times New Roman" w:hAnsi="Times New Roman"/>
                <w:sz w:val="24"/>
              </w:rPr>
              <w:t xml:space="preserve"> również swoje aktywa własne, wypełnia wiersze przeznaczone dla jednostki inicjującej, przedstawiając informacje dotyczące </w:t>
            </w:r>
            <w:proofErr w:type="spellStart"/>
            <w:r w:rsidRPr="00AA1421">
              <w:rPr>
                <w:rFonts w:ascii="Times New Roman" w:hAnsi="Times New Roman"/>
                <w:sz w:val="24"/>
              </w:rPr>
              <w:t>sekurytyzowanych</w:t>
            </w:r>
            <w:proofErr w:type="spellEnd"/>
            <w:r w:rsidRPr="00AA1421">
              <w:rPr>
                <w:rFonts w:ascii="Times New Roman" w:hAnsi="Times New Roman"/>
                <w:sz w:val="24"/>
              </w:rPr>
              <w:t xml:space="preserve"> przez siebie aktywów własnych.</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0030, 0060 oraz 0090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POZYCJE SEKURYTYZACYJNE</w:t>
            </w:r>
          </w:p>
          <w:p w:rsidR="00C55547" w:rsidRPr="00AA1421" w:rsidRDefault="00C55547" w:rsidP="00E10B85">
            <w:pPr>
              <w:rPr>
                <w:rFonts w:ascii="Times New Roman" w:hAnsi="Times New Roman"/>
                <w:sz w:val="24"/>
              </w:rPr>
            </w:pPr>
            <w:r w:rsidRPr="00AA1421">
              <w:rPr>
                <w:rFonts w:ascii="Times New Roman" w:hAnsi="Times New Roman"/>
                <w:sz w:val="24"/>
              </w:rPr>
              <w:t xml:space="preserve">Korelacyjny portfel handlowy obejmuje sekurytyzacje, kredytowe instrumenty pochodne uruchamiane n-tym niewykonaniem zobowiązania oraz, potencjalnie, inne zabezpieczane pozycje spełniające kryteria ustanowione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3 CRR.</w:t>
            </w:r>
          </w:p>
          <w:p w:rsidR="00C55547" w:rsidRPr="00AA1421" w:rsidRDefault="00C55547" w:rsidP="00E10B85">
            <w:pPr>
              <w:rPr>
                <w:rFonts w:ascii="Times New Roman" w:hAnsi="Times New Roman"/>
                <w:sz w:val="24"/>
              </w:rPr>
            </w:pPr>
            <w:r w:rsidRPr="00AA1421">
              <w:rPr>
                <w:rFonts w:ascii="Times New Roman" w:hAnsi="Times New Roman"/>
                <w:sz w:val="24"/>
              </w:rPr>
              <w:t>Instrumenty pochodne ekspozycji sekurytyzacyjnych, które zapewniają proporcjonalny udział, a także pozycje zabezpieczające pozycje ujmowane w korelacyjnym portfelu handlowym ujmuje się w wierszu „Inne pozycje w korelacyjnym portfelu handlowym”.</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0110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KREDYTOWE INSTRUMENTY POCHODNE URUCHAMIANE N-TYM NIEWYKONANIEM ZOBOWIĄZANIA</w:t>
            </w:r>
          </w:p>
          <w:p w:rsidR="00C55547" w:rsidRPr="00AA1421" w:rsidRDefault="00C55547" w:rsidP="00E10B85">
            <w:pPr>
              <w:rPr>
                <w:rFonts w:ascii="Times New Roman" w:hAnsi="Times New Roman"/>
                <w:sz w:val="24"/>
              </w:rPr>
            </w:pPr>
            <w:r w:rsidRPr="00AA1421">
              <w:rPr>
                <w:rFonts w:ascii="Times New Roman" w:hAnsi="Times New Roman"/>
                <w:sz w:val="24"/>
              </w:rPr>
              <w:t xml:space="preserve">Kredytowe instrumenty pochodne uruchamiane n-tym niewykonaniem zobowiązania zabezpieczane kredytowymi instrumentami pochodnymi uruchamianymi n-tym niewykonaniem zobowiązania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47 CRR zgłasza się w przedmiotowej pozycji.</w:t>
            </w:r>
          </w:p>
          <w:p w:rsidR="00C55547" w:rsidRPr="00AA1421" w:rsidRDefault="00C55547" w:rsidP="00E10B85">
            <w:pPr>
              <w:rPr>
                <w:rFonts w:ascii="Times New Roman" w:hAnsi="Times New Roman"/>
                <w:sz w:val="24"/>
              </w:rPr>
            </w:pPr>
            <w:r w:rsidRPr="00AA1421">
              <w:rPr>
                <w:rFonts w:ascii="Times New Roman" w:hAnsi="Times New Roman"/>
                <w:sz w:val="24"/>
              </w:rPr>
              <w:t>Jednostka inicjująca, inwestor lub jednostka sponsorująca w ramach danej pozycji nie jest brana pod uwagę w kontekście kredytowych instrumentów pochodnych uruchamianych n-tym niewykonaniem zobowiązania. W konsekwencji kredytowych instrumentów pochodnych uruchamianych n-tym niewykonaniem zobowiązania nie można podzielić w podobny sposób jak pozycji sekurytyzacyjnych.</w:t>
            </w:r>
          </w:p>
        </w:tc>
      </w:tr>
      <w:tr w:rsidR="00C55547" w:rsidRPr="00AA1421" w:rsidTr="00E10B85">
        <w:tc>
          <w:tcPr>
            <w:tcW w:w="1008" w:type="dxa"/>
          </w:tcPr>
          <w:p w:rsidR="00C55547" w:rsidRPr="00AA1421" w:rsidRDefault="002F79EA" w:rsidP="00E10B85">
            <w:pPr>
              <w:autoSpaceDE w:val="0"/>
              <w:autoSpaceDN w:val="0"/>
              <w:adjustRightInd w:val="0"/>
              <w:spacing w:before="0" w:after="0"/>
              <w:rPr>
                <w:rFonts w:ascii="Times New Roman" w:hAnsi="Times New Roman"/>
                <w:sz w:val="24"/>
              </w:rPr>
            </w:pPr>
            <w:r w:rsidRPr="00AA1421">
              <w:rPr>
                <w:rFonts w:ascii="Times New Roman" w:hAnsi="Times New Roman"/>
                <w:sz w:val="24"/>
              </w:rPr>
              <w:t>0040, 0070, 0100 i 0120</w:t>
            </w:r>
          </w:p>
        </w:tc>
        <w:tc>
          <w:tcPr>
            <w:tcW w:w="8204" w:type="dxa"/>
          </w:tcPr>
          <w:p w:rsidR="00C55547" w:rsidRPr="00AA1421" w:rsidRDefault="00C55547" w:rsidP="00E10B85">
            <w:pPr>
              <w:rPr>
                <w:rStyle w:val="InstructionsTabelleberschrift"/>
                <w:rFonts w:ascii="Times New Roman" w:hAnsi="Times New Roman"/>
                <w:sz w:val="24"/>
              </w:rPr>
            </w:pPr>
            <w:r w:rsidRPr="00AA1421">
              <w:rPr>
                <w:rStyle w:val="InstructionsTabelleberschrift"/>
                <w:rFonts w:ascii="Times New Roman" w:hAnsi="Times New Roman"/>
                <w:sz w:val="24"/>
              </w:rPr>
              <w:t>INNE POZYCJE UJĘTE W KORELACYJNYM PORTFELU HANDLOWYM</w:t>
            </w:r>
          </w:p>
          <w:p w:rsidR="00C55547" w:rsidRPr="00AA1421" w:rsidRDefault="00C55547" w:rsidP="00E10B85">
            <w:pPr>
              <w:rPr>
                <w:rFonts w:ascii="Times New Roman" w:hAnsi="Times New Roman"/>
                <w:sz w:val="24"/>
              </w:rPr>
            </w:pPr>
            <w:r w:rsidRPr="00AA1421">
              <w:rPr>
                <w:rFonts w:ascii="Times New Roman" w:hAnsi="Times New Roman"/>
                <w:sz w:val="24"/>
              </w:rPr>
              <w:t xml:space="preserve">Uwzględnione są następujące pozycje: </w:t>
            </w:r>
          </w:p>
          <w:p w:rsidR="00C55547" w:rsidRPr="00AA1421" w:rsidRDefault="00C55547" w:rsidP="00E10B85">
            <w:pPr>
              <w:tabs>
                <w:tab w:val="left" w:pos="720"/>
              </w:tabs>
              <w:ind w:left="720" w:hanging="360"/>
              <w:rPr>
                <w:rFonts w:ascii="Times New Roman" w:hAnsi="Times New Roman"/>
                <w:sz w:val="24"/>
              </w:rPr>
            </w:pPr>
            <w:r w:rsidRPr="00AA1421">
              <w:rPr>
                <w:rFonts w:ascii="Symbol" w:hAnsi="Symbol"/>
                <w:sz w:val="24"/>
              </w:rPr>
              <w:t></w:t>
            </w:r>
            <w:r w:rsidRPr="00AA1421">
              <w:tab/>
            </w:r>
            <w:r w:rsidRPr="00AA1421">
              <w:rPr>
                <w:rFonts w:ascii="Times New Roman" w:hAnsi="Times New Roman"/>
                <w:sz w:val="24"/>
              </w:rPr>
              <w:t>instrumenty pochodne ekspozycji sekurytyzacyjnych, które zapewniają proporcjonalny udział, a także pozycje zabezpieczające pozycje ujmowane w korelacyjnym portfelu handlowym;</w:t>
            </w:r>
          </w:p>
          <w:p w:rsidR="00C55547" w:rsidRPr="00AA1421" w:rsidRDefault="00C55547" w:rsidP="00E10B85">
            <w:pPr>
              <w:tabs>
                <w:tab w:val="left" w:pos="720"/>
              </w:tabs>
              <w:ind w:left="720" w:hanging="360"/>
              <w:rPr>
                <w:rFonts w:ascii="Times New Roman" w:hAnsi="Times New Roman"/>
                <w:sz w:val="24"/>
              </w:rPr>
            </w:pPr>
            <w:r w:rsidRPr="00AA1421">
              <w:rPr>
                <w:rFonts w:ascii="Symbol" w:hAnsi="Symbol"/>
                <w:sz w:val="24"/>
              </w:rPr>
              <w:t></w:t>
            </w:r>
            <w:r w:rsidRPr="00AA1421">
              <w:tab/>
            </w:r>
            <w:r w:rsidRPr="00AA1421">
              <w:rPr>
                <w:rFonts w:ascii="Times New Roman" w:hAnsi="Times New Roman"/>
                <w:sz w:val="24"/>
              </w:rPr>
              <w:t xml:space="preserve">pozycje ujęte w korelacyjnym portfelu handlowym zabezpieczone kredytowymi instrumentami pochodnymi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46 CRR;</w:t>
            </w:r>
          </w:p>
          <w:p w:rsidR="00C55547" w:rsidRPr="00AA1421" w:rsidRDefault="00C55547" w:rsidP="005F3BBE">
            <w:pPr>
              <w:tabs>
                <w:tab w:val="left" w:pos="720"/>
              </w:tabs>
              <w:ind w:left="720" w:hanging="360"/>
              <w:rPr>
                <w:rFonts w:ascii="Times New Roman" w:hAnsi="Times New Roman"/>
                <w:sz w:val="24"/>
              </w:rPr>
            </w:pPr>
            <w:r w:rsidRPr="00AA1421">
              <w:rPr>
                <w:rFonts w:ascii="Symbol" w:hAnsi="Symbol"/>
                <w:sz w:val="24"/>
              </w:rPr>
              <w:t></w:t>
            </w:r>
            <w:r w:rsidRPr="00AA1421">
              <w:tab/>
            </w:r>
            <w:r w:rsidRPr="00AA1421">
              <w:rPr>
                <w:rFonts w:ascii="Times New Roman" w:hAnsi="Times New Roman"/>
                <w:sz w:val="24"/>
              </w:rPr>
              <w:t xml:space="preserve">inne pozycje spełniające warunki określone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w:t>
            </w:r>
          </w:p>
        </w:tc>
      </w:tr>
    </w:tbl>
    <w:p w:rsidR="000B0B09" w:rsidRPr="00AA1421" w:rsidRDefault="000B0B09" w:rsidP="000B0B09">
      <w:pPr>
        <w:autoSpaceDE w:val="0"/>
        <w:autoSpaceDN w:val="0"/>
        <w:adjustRightInd w:val="0"/>
        <w:spacing w:before="0" w:after="0"/>
        <w:rPr>
          <w:rFonts w:ascii="Times New Roman" w:hAnsi="Times New Roman"/>
          <w:sz w:val="24"/>
          <w:lang w:eastAsia="nl-BE"/>
        </w:rPr>
      </w:pP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403730"/>
      <w:r w:rsidRPr="00AA1421">
        <w:rPr>
          <w:rFonts w:ascii="Times New Roman" w:hAnsi="Times New Roman"/>
          <w:sz w:val="24"/>
          <w:u w:val="none"/>
        </w:rPr>
        <w:lastRenderedPageBreak/>
        <w:t>5.4.</w:t>
      </w:r>
      <w:r w:rsidR="00D712CF" w:rsidRPr="00AA1421">
        <w:rPr>
          <w:u w:val="none"/>
        </w:rPr>
        <w:tab/>
      </w:r>
      <w:r w:rsidRPr="00AA1421">
        <w:rPr>
          <w:rFonts w:ascii="Times New Roman" w:hAnsi="Times New Roman"/>
          <w:sz w:val="24"/>
        </w:rPr>
        <w:t xml:space="preserve">C 21.00 – Ryzyko rynkowe: </w:t>
      </w:r>
      <w:bookmarkStart w:id="671" w:name="_Toc262566429"/>
      <w:r w:rsidRPr="00AA1421">
        <w:rPr>
          <w:rFonts w:ascii="Times New Roman" w:hAnsi="Times New Roman"/>
          <w:sz w:val="24"/>
        </w:rPr>
        <w:t>ryzyko pozycji związane z papierami kapitałowymi według metody standardowej</w:t>
      </w:r>
      <w:bookmarkEnd w:id="671"/>
      <w:bookmarkEnd w:id="665"/>
      <w:bookmarkEnd w:id="666"/>
      <w:bookmarkEnd w:id="667"/>
      <w:bookmarkEnd w:id="668"/>
      <w:r w:rsidRPr="00AA1421">
        <w:rPr>
          <w:rFonts w:ascii="Times New Roman" w:hAnsi="Times New Roman"/>
          <w:sz w:val="24"/>
        </w:rPr>
        <w:t xml:space="preserve"> (MKR SA EQU)</w:t>
      </w:r>
      <w:bookmarkEnd w:id="669"/>
      <w:bookmarkEnd w:id="670"/>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403731"/>
      <w:r w:rsidRPr="00AA1421">
        <w:rPr>
          <w:rFonts w:ascii="Times New Roman" w:hAnsi="Times New Roman"/>
          <w:sz w:val="24"/>
          <w:u w:val="none"/>
        </w:rPr>
        <w:t>5.4.1.</w:t>
      </w:r>
      <w:r w:rsidR="00D712CF" w:rsidRPr="00AA1421">
        <w:rPr>
          <w:u w:val="none"/>
        </w:rPr>
        <w:tab/>
      </w:r>
      <w:r w:rsidRPr="00AA1421">
        <w:rPr>
          <w:rFonts w:ascii="Times New Roman" w:hAnsi="Times New Roman"/>
          <w:sz w:val="24"/>
        </w:rPr>
        <w:t>Uwagi ogólne</w:t>
      </w:r>
      <w:bookmarkEnd w:id="672"/>
      <w:bookmarkEnd w:id="673"/>
      <w:bookmarkEnd w:id="674"/>
      <w:bookmarkEnd w:id="675"/>
      <w:bookmarkEnd w:id="676"/>
      <w:bookmarkEnd w:id="677"/>
      <w:bookmarkEnd w:id="678"/>
    </w:p>
    <w:p w:rsidR="000B0B09" w:rsidRPr="00AA1421" w:rsidRDefault="00AA1421" w:rsidP="00487A02">
      <w:pPr>
        <w:pStyle w:val="InstructionsText2"/>
        <w:numPr>
          <w:ilvl w:val="0"/>
          <w:numId w:val="0"/>
        </w:numPr>
        <w:ind w:left="1353" w:hanging="360"/>
      </w:pPr>
      <w:fldSimple w:instr=" seq paragraphs ">
        <w:r w:rsidR="00D11E4C" w:rsidRPr="00AA1421">
          <w:rPr>
            <w:noProof/>
          </w:rPr>
          <w:t>169</w:t>
        </w:r>
      </w:fldSimple>
      <w:r w:rsidR="00D11E4C" w:rsidRPr="00AA1421">
        <w:t>.</w:t>
      </w:r>
      <w:r w:rsidR="00D11E4C" w:rsidRPr="00AA1421">
        <w:tab/>
        <w:t xml:space="preserve"> W przedmiotowym wzorze należy przedstawić informacje o pozycjach i odpowiednich wymogach w zakresie funduszy własnych dotyczących ryzyka pozycji związanego z papierami kapitałowymi przechowywanymi w portfelu handlowym i ujmowanych zgodnie z metodą standardową.</w:t>
      </w:r>
    </w:p>
    <w:p w:rsidR="00B828CC" w:rsidRPr="00AA1421" w:rsidRDefault="00AA1421" w:rsidP="00487A02">
      <w:pPr>
        <w:pStyle w:val="InstructionsText2"/>
        <w:numPr>
          <w:ilvl w:val="0"/>
          <w:numId w:val="0"/>
        </w:numPr>
        <w:ind w:left="1353" w:hanging="360"/>
      </w:pPr>
      <w:fldSimple w:instr=" seq paragraphs ">
        <w:r w:rsidR="00D11E4C" w:rsidRPr="00AA1421">
          <w:rPr>
            <w:noProof/>
          </w:rPr>
          <w:t>170</w:t>
        </w:r>
      </w:fldSimple>
      <w:r w:rsidR="00D11E4C" w:rsidRPr="00AA1421">
        <w:t>.</w:t>
      </w:r>
      <w:r w:rsidR="00D11E4C" w:rsidRPr="00AA1421">
        <w:tab/>
        <w:t xml:space="preserve"> W odniesieniu do pozycji „Razem” należy wypełnić osobny wzór; kolejny wzór wypełnia się dla stałej, wcześniej ustalonej listy następujących rynków: Bułgaria, Chorwacja, Republika Czeska, Dania, Egipt, Węgry, Islandia, Liechtenstein, Norwegia, Polska, Rumunia, Szwecja, Zjednoczone Królestwo, Albania, Japonia, była jugosłowiańska republika Macedonii, Federacja Rosyjska, Serbia, Szwajcaria, Turcja, Ukraina, Stany Zjednoczone Ameryki, strefa euro oraz jeden wzór rezydualny dla wszystkich pozostałych rynków. Do celów niniejszego obowiązku sprawozdawczego termin „rynek” oznacza „państwo” (z wyjątkiem państw należących do strefy euro, zob. rozporządzenie delegowane Komisji (UE) </w:t>
      </w:r>
      <w:r w:rsidR="00D11E4C" w:rsidRPr="00084F66">
        <w:t>nr</w:t>
      </w:r>
      <w:r w:rsidR="00084F66" w:rsidRPr="00084F66">
        <w:t> </w:t>
      </w:r>
      <w:r w:rsidR="00D11E4C" w:rsidRPr="00084F66">
        <w:t>5</w:t>
      </w:r>
      <w:r w:rsidR="00D11E4C" w:rsidRPr="00AA1421">
        <w:t>25/2014</w:t>
      </w:r>
      <w:r w:rsidR="00D11E4C" w:rsidRPr="00AA1421">
        <w:rPr>
          <w:rStyle w:val="FootnoteReference"/>
        </w:rPr>
        <w:footnoteReference w:id="13"/>
      </w:r>
      <w:r w:rsidR="00D11E4C" w:rsidRPr="00AA1421">
        <w:t>).</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403732"/>
      <w:r w:rsidRPr="00AA1421">
        <w:rPr>
          <w:rFonts w:ascii="Times New Roman" w:hAnsi="Times New Roman"/>
          <w:sz w:val="24"/>
          <w:u w:val="none"/>
        </w:rPr>
        <w:t>5.4.2.</w:t>
      </w:r>
      <w:r w:rsidR="00D712CF" w:rsidRPr="00AA1421">
        <w:rPr>
          <w:u w:val="none"/>
        </w:rPr>
        <w:tab/>
      </w:r>
      <w:r w:rsidRPr="00AA1421">
        <w:rPr>
          <w:rFonts w:ascii="Times New Roman" w:hAnsi="Times New Roman"/>
          <w:sz w:val="24"/>
        </w:rPr>
        <w:t>Instrukcje dotyczące poszczególnych pozycji</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A1421" w:rsidTr="00672D2A">
        <w:trPr>
          <w:trHeight w:val="626"/>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Kolumny</w:t>
            </w:r>
          </w:p>
        </w:tc>
      </w:tr>
      <w:tr w:rsidR="000B0B09" w:rsidRPr="00AA1421" w:rsidTr="00672D2A">
        <w:tc>
          <w:tcPr>
            <w:tcW w:w="98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0010-0020</w:t>
            </w:r>
          </w:p>
        </w:tc>
        <w:tc>
          <w:tcPr>
            <w:tcW w:w="7874" w:type="dxa"/>
          </w:tcPr>
          <w:p w:rsidR="000B0B09" w:rsidRPr="00AA1421" w:rsidRDefault="000B0B09" w:rsidP="005F3BBE">
            <w:pPr>
              <w:autoSpaceDE w:val="0"/>
              <w:autoSpaceDN w:val="0"/>
              <w:adjustRightInd w:val="0"/>
              <w:rPr>
                <w:rFonts w:ascii="Times New Roman" w:hAnsi="Times New Roman"/>
                <w:b/>
                <w:bCs/>
                <w:sz w:val="24"/>
                <w:u w:val="single"/>
              </w:rPr>
            </w:pPr>
            <w:r w:rsidRPr="00AA1421">
              <w:rPr>
                <w:rFonts w:ascii="Times New Roman" w:hAnsi="Times New Roman"/>
                <w:b/>
                <w:bCs/>
                <w:sz w:val="24"/>
                <w:u w:val="single"/>
              </w:rPr>
              <w:t>WSZYSTKIE POZYCJE (DŁUGIE I KRÓTKIE)</w:t>
            </w:r>
          </w:p>
          <w:p w:rsidR="005C14B0" w:rsidRPr="00AA1421" w:rsidRDefault="000B0B09" w:rsidP="005F3BBE">
            <w:pPr>
              <w:autoSpaceDE w:val="0"/>
              <w:autoSpaceDN w:val="0"/>
              <w:adjustRightInd w:val="0"/>
              <w:spacing w:before="0"/>
              <w:rPr>
                <w:rFonts w:ascii="Times New Roman" w:hAnsi="Times New Roman"/>
                <w:sz w:val="24"/>
              </w:rPr>
            </w:pPr>
            <w:r w:rsidRPr="00AA1421">
              <w:rPr>
                <w:rFonts w:ascii="Times New Roman" w:hAnsi="Times New Roman"/>
                <w:sz w:val="24"/>
              </w:rPr>
              <w:t xml:space="preserve">Art. 102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t>
            </w:r>
          </w:p>
          <w:p w:rsidR="000B0B09" w:rsidRPr="00AA1421" w:rsidRDefault="000B0B09" w:rsidP="00E64BFE">
            <w:pPr>
              <w:autoSpaceDE w:val="0"/>
              <w:autoSpaceDN w:val="0"/>
              <w:adjustRightInd w:val="0"/>
              <w:spacing w:before="0"/>
              <w:rPr>
                <w:rFonts w:ascii="Times New Roman" w:hAnsi="Times New Roman"/>
                <w:sz w:val="24"/>
              </w:rPr>
            </w:pPr>
            <w:r w:rsidRPr="00AA1421">
              <w:rPr>
                <w:rFonts w:ascii="Times New Roman" w:hAnsi="Times New Roman"/>
                <w:sz w:val="24"/>
              </w:rPr>
              <w:t xml:space="preserve">Są to pozycje brutto nieskompensowane przez instrumenty, z wyłączeniem pozycji z tytułu gwarantowania emisji, które są subskrybowane lub </w:t>
            </w:r>
            <w:proofErr w:type="spellStart"/>
            <w:r w:rsidRPr="00AA1421">
              <w:rPr>
                <w:rFonts w:ascii="Times New Roman" w:hAnsi="Times New Roman"/>
                <w:sz w:val="24"/>
              </w:rPr>
              <w:t>regwarantowane</w:t>
            </w:r>
            <w:proofErr w:type="spellEnd"/>
            <w:r w:rsidRPr="00AA1421">
              <w:rPr>
                <w:rFonts w:ascii="Times New Roman" w:hAnsi="Times New Roman"/>
                <w:sz w:val="24"/>
              </w:rPr>
              <w:t xml:space="preserve"> przez osoby trzecie,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akapit pierwszy zdanie drugie CRR. </w:t>
            </w:r>
          </w:p>
        </w:tc>
      </w:tr>
      <w:tr w:rsidR="000B0B09" w:rsidRPr="00AA1421" w:rsidTr="00672D2A">
        <w:tc>
          <w:tcPr>
            <w:tcW w:w="98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0030-0040 </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NETTO (DŁUGIE I KRÓTKIE)</w:t>
            </w:r>
          </w:p>
          <w:p w:rsidR="000B0B09" w:rsidRPr="00AA1421" w:rsidRDefault="000B0B09" w:rsidP="005F3BBE">
            <w:pPr>
              <w:autoSpaceDE w:val="0"/>
              <w:autoSpaceDN w:val="0"/>
              <w:adjustRightInd w:val="0"/>
              <w:rPr>
                <w:rFonts w:ascii="Times New Roman" w:hAnsi="Times New Roman"/>
                <w:sz w:val="24"/>
              </w:rPr>
            </w:pPr>
            <w:r w:rsidRPr="00AA1421">
              <w:rPr>
                <w:rFonts w:ascii="Times New Roman" w:hAnsi="Times New Roman"/>
                <w:sz w:val="24"/>
              </w:rPr>
              <w:t xml:space="preserve">Art. 327, 329, 332, 341 i 345 CRR </w:t>
            </w: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0050</w:t>
            </w:r>
          </w:p>
        </w:tc>
        <w:tc>
          <w:tcPr>
            <w:tcW w:w="7874" w:type="dxa"/>
          </w:tcPr>
          <w:p w:rsidR="000B0B09" w:rsidRPr="00AA1421" w:rsidRDefault="000B0B09" w:rsidP="000B0B09">
            <w:pPr>
              <w:tabs>
                <w:tab w:val="left" w:pos="579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PODLEGAJĄCE NARZUTOWI KAPITAŁOWEMU</w:t>
            </w:r>
          </w:p>
          <w:p w:rsidR="000B0B09" w:rsidRPr="00AA1421" w:rsidRDefault="000B0B09" w:rsidP="005F3BBE">
            <w:pPr>
              <w:autoSpaceDE w:val="0"/>
              <w:autoSpaceDN w:val="0"/>
              <w:adjustRightInd w:val="0"/>
              <w:spacing w:after="0"/>
              <w:rPr>
                <w:rFonts w:ascii="Times New Roman" w:hAnsi="Times New Roman"/>
                <w:sz w:val="24"/>
              </w:rPr>
            </w:pPr>
            <w:r w:rsidRPr="00AA1421">
              <w:rPr>
                <w:rFonts w:ascii="Times New Roman" w:hAnsi="Times New Roman"/>
                <w:sz w:val="24"/>
              </w:rPr>
              <w:t xml:space="preserve">Te pozycje netto, które zgodnie z różnymi metodami uwzględnionymi w części trzeciej tytuł IV rozdział 2 CRR otrzymują narzut kapitałowy. Narzut kapitałowy należy obliczyć osobno dla każdego rynku krajowego. W tej kolumnie nie uwzględnia się pozycji w terminowych kontraktach na indeks giełdowy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zdanie drugie CRR.</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w:t>
            </w:r>
          </w:p>
        </w:tc>
        <w:tc>
          <w:tcPr>
            <w:tcW w:w="7874" w:type="dxa"/>
          </w:tcPr>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WYMOGI W ZAKRESIE FUNDUSZY WŁASNYCH</w:t>
            </w:r>
          </w:p>
          <w:p w:rsidR="000B0B09" w:rsidRPr="00AA1421" w:rsidRDefault="000B0B09" w:rsidP="005F3BBE">
            <w:pPr>
              <w:autoSpaceDE w:val="0"/>
              <w:autoSpaceDN w:val="0"/>
              <w:adjustRightInd w:val="0"/>
              <w:spacing w:after="0"/>
              <w:rPr>
                <w:rFonts w:ascii="Times New Roman" w:hAnsi="Times New Roman"/>
                <w:sz w:val="24"/>
              </w:rPr>
            </w:pPr>
            <w:r w:rsidRPr="00AA1421">
              <w:rPr>
                <w:rFonts w:ascii="Times New Roman" w:hAnsi="Times New Roman"/>
                <w:sz w:val="24"/>
              </w:rPr>
              <w:t>Wymóg w zakresie funduszy własnych, zgodnie z częścią trzecią tytuł IV rozdział 2 CRR w odniesieniu do każdej stosownej pozycji</w:t>
            </w:r>
          </w:p>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0070</w:t>
            </w:r>
          </w:p>
        </w:tc>
        <w:tc>
          <w:tcPr>
            <w:tcW w:w="7874" w:type="dxa"/>
          </w:tcPr>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ŁĄCZNA KWOTA EKSPOZYCJI NA RYZYKO</w:t>
            </w:r>
          </w:p>
          <w:p w:rsidR="00E64BFE" w:rsidRPr="00AA1421" w:rsidRDefault="00D21B29" w:rsidP="005F3BBE">
            <w:pPr>
              <w:tabs>
                <w:tab w:val="left" w:pos="1665"/>
              </w:tabs>
              <w:autoSpaceDE w:val="0"/>
              <w:autoSpaceDN w:val="0"/>
              <w:adjustRightInd w:val="0"/>
              <w:spacing w:after="0"/>
              <w:rPr>
                <w:rFonts w:ascii="Times New Roman" w:hAnsi="Times New Roman"/>
                <w:sz w:val="24"/>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p>
          <w:p w:rsidR="000B0B09" w:rsidRPr="00AA1421" w:rsidRDefault="000B0B09" w:rsidP="00B828CC">
            <w:pPr>
              <w:tabs>
                <w:tab w:val="left" w:pos="1665"/>
              </w:tabs>
              <w:autoSpaceDE w:val="0"/>
              <w:autoSpaceDN w:val="0"/>
              <w:adjustRightInd w:val="0"/>
              <w:rPr>
                <w:rFonts w:ascii="Times New Roman" w:hAnsi="Times New Roman"/>
                <w:b/>
                <w:bCs/>
                <w:sz w:val="24"/>
                <w:u w:val="single"/>
              </w:rPr>
            </w:pPr>
            <w:r w:rsidRPr="00AA1421">
              <w:rPr>
                <w:rFonts w:ascii="Times New Roman" w:hAnsi="Times New Roman"/>
                <w:sz w:val="24"/>
              </w:rPr>
              <w:t xml:space="preserve">Wynik pomnożenia wymogów w zakresie funduszy własnych przez 12,5. </w:t>
            </w:r>
          </w:p>
        </w:tc>
      </w:tr>
    </w:tbl>
    <w:p w:rsidR="000B0B09" w:rsidRPr="00AA1421"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AA1421" w:rsidTr="00672D2A">
        <w:trPr>
          <w:trHeight w:val="662"/>
        </w:trPr>
        <w:tc>
          <w:tcPr>
            <w:tcW w:w="921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Wiersze</w:t>
            </w:r>
          </w:p>
        </w:tc>
      </w:tr>
      <w:tr w:rsidR="000B0B09" w:rsidRPr="00AA1421" w:rsidTr="00672D2A">
        <w:tc>
          <w:tcPr>
            <w:tcW w:w="100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0010-0130</w:t>
            </w:r>
          </w:p>
        </w:tc>
        <w:tc>
          <w:tcPr>
            <w:tcW w:w="820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PAPIERY KAPITAŁOWE W PORTFELU HANDLOWYM</w:t>
            </w:r>
          </w:p>
          <w:p w:rsidR="000B0B09" w:rsidRPr="00AA1421" w:rsidRDefault="000B0B09" w:rsidP="00B828CC">
            <w:pPr>
              <w:tabs>
                <w:tab w:val="left" w:pos="1665"/>
              </w:tabs>
              <w:autoSpaceDE w:val="0"/>
              <w:autoSpaceDN w:val="0"/>
              <w:adjustRightInd w:val="0"/>
              <w:rPr>
                <w:rFonts w:ascii="Times New Roman" w:hAnsi="Times New Roman"/>
                <w:sz w:val="24"/>
              </w:rPr>
            </w:pPr>
            <w:r w:rsidRPr="00AA1421">
              <w:rPr>
                <w:rFonts w:ascii="Times New Roman" w:hAnsi="Times New Roman"/>
                <w:sz w:val="24"/>
              </w:rPr>
              <w:t xml:space="preserve">Wymogi w zakresie funduszy własnych w odniesieniu do ryzyka pozycji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CRR i części trzeciej tytuł IV rozdział 2 sekcja 3 CRR.</w:t>
            </w:r>
          </w:p>
        </w:tc>
      </w:tr>
      <w:tr w:rsidR="000B0B09" w:rsidRPr="00AA1421" w:rsidTr="00672D2A">
        <w:tc>
          <w:tcPr>
            <w:tcW w:w="100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0020-0040</w:t>
            </w:r>
          </w:p>
        </w:tc>
        <w:tc>
          <w:tcPr>
            <w:tcW w:w="820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RYZYKO OGÓLNE</w:t>
            </w:r>
          </w:p>
          <w:p w:rsidR="000B0B09" w:rsidRPr="00AA1421" w:rsidRDefault="000B0B09" w:rsidP="005F3BBE">
            <w:pPr>
              <w:autoSpaceDE w:val="0"/>
              <w:autoSpaceDN w:val="0"/>
              <w:adjustRightInd w:val="0"/>
              <w:rPr>
                <w:rFonts w:ascii="Times New Roman" w:hAnsi="Times New Roman"/>
                <w:sz w:val="24"/>
              </w:rPr>
            </w:pPr>
            <w:r w:rsidRPr="00AA1421">
              <w:rPr>
                <w:rFonts w:ascii="Times New Roman" w:hAnsi="Times New Roman"/>
                <w:sz w:val="24"/>
              </w:rPr>
              <w:t>Pozycje papierów kapitałowych podlegające ryzyku ogólnemu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43 CRR) oraz odpowiadające im wymogi w zakresie funduszy własnych zgodnie z częścią trzecią tytuł IV rozdział 2 sekcja 3 CRR</w:t>
            </w:r>
          </w:p>
          <w:p w:rsidR="001E0C80" w:rsidRPr="00AA1421" w:rsidRDefault="000B0B09" w:rsidP="005F3BBE">
            <w:pPr>
              <w:autoSpaceDE w:val="0"/>
              <w:autoSpaceDN w:val="0"/>
              <w:adjustRightInd w:val="0"/>
              <w:spacing w:before="0"/>
              <w:rPr>
                <w:rFonts w:ascii="Times New Roman" w:hAnsi="Times New Roman"/>
                <w:sz w:val="24"/>
              </w:rPr>
            </w:pPr>
            <w:r w:rsidRPr="00AA1421">
              <w:rPr>
                <w:rFonts w:ascii="Times New Roman" w:hAnsi="Times New Roman"/>
                <w:sz w:val="24"/>
              </w:rPr>
              <w:t>Obydwa podziały (wiersze 0021/0022, a także wiersze 0030/0040) są podziałami związanymi ze wszystkimi pozycjami podlegającymi ryzyku ogólnemu.</w:t>
            </w:r>
          </w:p>
          <w:p w:rsidR="004E2725" w:rsidRPr="00AA1421" w:rsidRDefault="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 wierszach 0021 i 0022 należy przedstawić informacje na temat podziału według instrumentów. </w:t>
            </w:r>
          </w:p>
          <w:p w:rsidR="000B0B09" w:rsidRPr="00AA1421" w:rsidRDefault="000B0B09" w:rsidP="00B828CC">
            <w:pPr>
              <w:tabs>
                <w:tab w:val="left" w:pos="1665"/>
              </w:tabs>
              <w:autoSpaceDE w:val="0"/>
              <w:autoSpaceDN w:val="0"/>
              <w:adjustRightInd w:val="0"/>
              <w:rPr>
                <w:rFonts w:ascii="Times New Roman" w:hAnsi="Times New Roman"/>
                <w:sz w:val="24"/>
              </w:rPr>
            </w:pPr>
            <w:r w:rsidRPr="00AA1421">
              <w:rPr>
                <w:rFonts w:ascii="Times New Roman" w:hAnsi="Times New Roman"/>
                <w:sz w:val="24"/>
              </w:rPr>
              <w:t>Jako podstawę obliczania wymogów w zakresie funduszy własnych wykorzystuje się wyłącznie podział przeprowadzony w wierszach 0030 i 0040.</w:t>
            </w:r>
          </w:p>
        </w:tc>
      </w:tr>
      <w:tr w:rsidR="000B0B09" w:rsidRPr="00AA1421" w:rsidTr="00672D2A">
        <w:tc>
          <w:tcPr>
            <w:tcW w:w="100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0021</w:t>
            </w:r>
          </w:p>
        </w:tc>
        <w:tc>
          <w:tcPr>
            <w:tcW w:w="8204" w:type="dxa"/>
          </w:tcPr>
          <w:p w:rsidR="000B0B09" w:rsidRPr="00AA1421" w:rsidRDefault="000B0B09" w:rsidP="000B0B09">
            <w:pPr>
              <w:autoSpaceDE w:val="0"/>
              <w:autoSpaceDN w:val="0"/>
              <w:adjustRightInd w:val="0"/>
              <w:spacing w:before="0" w:after="0"/>
              <w:rPr>
                <w:rFonts w:ascii="Times New Roman" w:hAnsi="Times New Roman"/>
                <w:b/>
                <w:sz w:val="24"/>
                <w:u w:val="single"/>
              </w:rPr>
            </w:pPr>
            <w:r w:rsidRPr="00AA1421">
              <w:rPr>
                <w:rFonts w:ascii="Times New Roman" w:hAnsi="Times New Roman"/>
                <w:b/>
                <w:sz w:val="24"/>
                <w:u w:val="single"/>
              </w:rPr>
              <w:t>Instrumenty pochodne</w:t>
            </w:r>
          </w:p>
          <w:p w:rsidR="000B0B09" w:rsidRPr="00AA1421" w:rsidRDefault="000B0B09" w:rsidP="005F3BBE">
            <w:pPr>
              <w:autoSpaceDE w:val="0"/>
              <w:autoSpaceDN w:val="0"/>
              <w:adjustRightInd w:val="0"/>
              <w:rPr>
                <w:rFonts w:ascii="Times New Roman" w:hAnsi="Times New Roman"/>
                <w:b/>
                <w:bCs/>
                <w:sz w:val="24"/>
                <w:u w:val="single"/>
              </w:rPr>
            </w:pPr>
            <w:r w:rsidRPr="00AA1421">
              <w:rPr>
                <w:rFonts w:ascii="Times New Roman" w:hAnsi="Times New Roman"/>
                <w:sz w:val="24"/>
              </w:rPr>
              <w:t xml:space="preserve">Instrumenty pochodne brane pod uwagę przy obliczaniu ryzyka związanego z inwestowaniem w akcje dotyczącego pozycji w portfelu handlowym, uwzględniając, w stosownych przypadkach,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29 i 332 CRR.</w:t>
            </w:r>
          </w:p>
        </w:tc>
      </w:tr>
      <w:tr w:rsidR="000B0B09" w:rsidRPr="00AA1421" w:rsidTr="00672D2A">
        <w:tc>
          <w:tcPr>
            <w:tcW w:w="100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0022</w:t>
            </w:r>
          </w:p>
        </w:tc>
        <w:tc>
          <w:tcPr>
            <w:tcW w:w="8204" w:type="dxa"/>
          </w:tcPr>
          <w:p w:rsidR="000B0B09" w:rsidRPr="00AA1421" w:rsidRDefault="000B0B09" w:rsidP="000B0B09">
            <w:pPr>
              <w:autoSpaceDE w:val="0"/>
              <w:autoSpaceDN w:val="0"/>
              <w:adjustRightInd w:val="0"/>
              <w:spacing w:before="0" w:after="0"/>
              <w:rPr>
                <w:rFonts w:ascii="Times New Roman" w:hAnsi="Times New Roman"/>
                <w:b/>
                <w:sz w:val="24"/>
                <w:u w:val="single"/>
              </w:rPr>
            </w:pPr>
            <w:r w:rsidRPr="00AA1421">
              <w:rPr>
                <w:rFonts w:ascii="Times New Roman" w:hAnsi="Times New Roman"/>
                <w:b/>
                <w:sz w:val="24"/>
                <w:u w:val="single"/>
              </w:rPr>
              <w:t>Inne aktywa i zobowiązania</w:t>
            </w:r>
          </w:p>
          <w:p w:rsidR="000B0B09" w:rsidRPr="00AA1421" w:rsidRDefault="000B0B09" w:rsidP="005F3BBE">
            <w:pPr>
              <w:autoSpaceDE w:val="0"/>
              <w:autoSpaceDN w:val="0"/>
              <w:adjustRightInd w:val="0"/>
              <w:rPr>
                <w:rFonts w:ascii="Times New Roman" w:hAnsi="Times New Roman"/>
                <w:b/>
                <w:bCs/>
                <w:sz w:val="24"/>
                <w:u w:val="single"/>
              </w:rPr>
            </w:pPr>
            <w:r w:rsidRPr="00AA1421">
              <w:rPr>
                <w:rFonts w:ascii="Times New Roman" w:hAnsi="Times New Roman"/>
                <w:sz w:val="24"/>
              </w:rPr>
              <w:t xml:space="preserve">Instrumenty inne niż instrumenty pochodne brane pod uwagę przy obliczaniu ryzyka związanego z inwestowaniem w akcje dotyczącego pozycji w portfelu handlowym. </w:t>
            </w:r>
          </w:p>
        </w:tc>
      </w:tr>
      <w:tr w:rsidR="000B0B09" w:rsidRPr="00AA1421" w:rsidTr="00672D2A">
        <w:tc>
          <w:tcPr>
            <w:tcW w:w="100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0030</w:t>
            </w:r>
          </w:p>
        </w:tc>
        <w:tc>
          <w:tcPr>
            <w:tcW w:w="820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 xml:space="preserve">Kontrakty terminowe typu </w:t>
            </w:r>
            <w:proofErr w:type="spellStart"/>
            <w:r w:rsidRPr="00AA1421">
              <w:rPr>
                <w:rFonts w:ascii="Times New Roman" w:hAnsi="Times New Roman"/>
                <w:b/>
                <w:bCs/>
                <w:sz w:val="24"/>
                <w:u w:val="single"/>
              </w:rPr>
              <w:t>future</w:t>
            </w:r>
            <w:proofErr w:type="spellEnd"/>
            <w:r w:rsidRPr="00AA1421">
              <w:rPr>
                <w:rFonts w:ascii="Times New Roman" w:hAnsi="Times New Roman"/>
                <w:b/>
                <w:bCs/>
                <w:sz w:val="24"/>
                <w:u w:val="single"/>
              </w:rPr>
              <w:t xml:space="preserve"> na indeksy giełdowe o szerokim zróżnicowaniu, wymagające zastosowania metody szczególnej</w:t>
            </w:r>
          </w:p>
          <w:p w:rsidR="005C14B0" w:rsidRPr="00AA1421" w:rsidRDefault="000B0B09" w:rsidP="00B828CC">
            <w:pPr>
              <w:tabs>
                <w:tab w:val="left" w:pos="1665"/>
              </w:tabs>
              <w:autoSpaceDE w:val="0"/>
              <w:autoSpaceDN w:val="0"/>
              <w:adjustRightInd w:val="0"/>
              <w:rPr>
                <w:rFonts w:ascii="Times New Roman" w:hAnsi="Times New Roman"/>
                <w:sz w:val="24"/>
              </w:rPr>
            </w:pPr>
            <w:r w:rsidRPr="00AA1421">
              <w:rPr>
                <w:rFonts w:ascii="Times New Roman" w:hAnsi="Times New Roman"/>
                <w:sz w:val="24"/>
              </w:rPr>
              <w:t xml:space="preserve">Kontrakty terminowe typu </w:t>
            </w:r>
            <w:proofErr w:type="spellStart"/>
            <w:r w:rsidRPr="00AA1421">
              <w:rPr>
                <w:rFonts w:ascii="Times New Roman" w:hAnsi="Times New Roman"/>
                <w:sz w:val="24"/>
              </w:rPr>
              <w:t>future</w:t>
            </w:r>
            <w:proofErr w:type="spellEnd"/>
            <w:r w:rsidRPr="00AA1421">
              <w:rPr>
                <w:rFonts w:ascii="Times New Roman" w:hAnsi="Times New Roman"/>
                <w:sz w:val="24"/>
              </w:rPr>
              <w:t xml:space="preserve"> na indeksy giełdowe o szerokim zróżnicowaniu, wymagające zastosowania metody szczególnej, zgodnie z rozporządzeniem wykonawczym Komisji (UE)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45/2014</w:t>
            </w:r>
            <w:r w:rsidRPr="00AA1421">
              <w:rPr>
                <w:rStyle w:val="FootnoteReference"/>
              </w:rPr>
              <w:footnoteReference w:id="14"/>
            </w:r>
          </w:p>
          <w:p w:rsidR="000B0B09" w:rsidRPr="00AA1421" w:rsidRDefault="000B0B09" w:rsidP="00B828CC">
            <w:pPr>
              <w:tabs>
                <w:tab w:val="left" w:pos="1665"/>
              </w:tabs>
              <w:autoSpaceDE w:val="0"/>
              <w:autoSpaceDN w:val="0"/>
              <w:adjustRightInd w:val="0"/>
              <w:rPr>
                <w:rFonts w:ascii="Times New Roman" w:hAnsi="Times New Roman"/>
                <w:b/>
                <w:bCs/>
                <w:sz w:val="24"/>
                <w:u w:val="single"/>
              </w:rPr>
            </w:pPr>
            <w:r w:rsidRPr="00AA1421">
              <w:rPr>
                <w:rFonts w:ascii="Times New Roman" w:hAnsi="Times New Roman"/>
                <w:sz w:val="24"/>
              </w:rPr>
              <w:t>Przedmiotowe pozycje są objęte wyłącznie ryzykiem ogólnym i w związku z tym nie należy ich zgłaszać w wierszu 0050.</w:t>
            </w:r>
          </w:p>
        </w:tc>
      </w:tr>
      <w:tr w:rsidR="000B0B09" w:rsidRPr="00AA1421" w:rsidTr="00672D2A">
        <w:tc>
          <w:tcPr>
            <w:tcW w:w="100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0040</w:t>
            </w:r>
          </w:p>
        </w:tc>
        <w:tc>
          <w:tcPr>
            <w:tcW w:w="820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 xml:space="preserve">Papiery kapitałowe inne niż szeroko zróżnicowane kontrakty terminowe typu </w:t>
            </w:r>
            <w:proofErr w:type="spellStart"/>
            <w:r w:rsidRPr="00AA1421">
              <w:rPr>
                <w:rFonts w:ascii="Times New Roman" w:hAnsi="Times New Roman"/>
                <w:b/>
                <w:bCs/>
                <w:sz w:val="24"/>
                <w:u w:val="single"/>
              </w:rPr>
              <w:t>future</w:t>
            </w:r>
            <w:proofErr w:type="spellEnd"/>
            <w:r w:rsidRPr="00AA1421">
              <w:rPr>
                <w:rFonts w:ascii="Times New Roman" w:hAnsi="Times New Roman"/>
                <w:b/>
                <w:bCs/>
                <w:sz w:val="24"/>
                <w:u w:val="single"/>
              </w:rPr>
              <w:t xml:space="preserve"> na indeksy giełdowe</w:t>
            </w:r>
          </w:p>
          <w:p w:rsidR="000B0B09" w:rsidRPr="00AA1421" w:rsidRDefault="000B0B09" w:rsidP="006259C7">
            <w:pPr>
              <w:autoSpaceDE w:val="0"/>
              <w:autoSpaceDN w:val="0"/>
              <w:adjustRightInd w:val="0"/>
              <w:rPr>
                <w:rFonts w:ascii="Times New Roman" w:hAnsi="Times New Roman"/>
                <w:sz w:val="24"/>
              </w:rPr>
            </w:pPr>
            <w:r w:rsidRPr="00AA1421">
              <w:rPr>
                <w:rFonts w:ascii="Times New Roman" w:hAnsi="Times New Roman"/>
                <w:sz w:val="24"/>
              </w:rPr>
              <w:lastRenderedPageBreak/>
              <w:t xml:space="preserve">Inne pozycje papierów kapitałowych podlegające ryzyku szczególnemu oraz odpowiadające im wymogi w zakresie funduszy własnych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43 CRR, w tym pozycje w indeksie giełdowym typu </w:t>
            </w:r>
            <w:proofErr w:type="spellStart"/>
            <w:r w:rsidRPr="00AA1421">
              <w:rPr>
                <w:rFonts w:ascii="Times New Roman" w:hAnsi="Times New Roman"/>
                <w:sz w:val="24"/>
              </w:rPr>
              <w:t>future</w:t>
            </w:r>
            <w:proofErr w:type="spellEnd"/>
            <w:r w:rsidRPr="00AA1421">
              <w:rPr>
                <w:rFonts w:ascii="Times New Roman" w:hAnsi="Times New Roman"/>
                <w:sz w:val="24"/>
              </w:rPr>
              <w:t xml:space="preserve">, ujmowane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t>
            </w:r>
          </w:p>
        </w:tc>
      </w:tr>
      <w:tr w:rsidR="000B0B09" w:rsidRPr="00AA1421" w:rsidTr="00672D2A">
        <w:tc>
          <w:tcPr>
            <w:tcW w:w="100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 xml:space="preserve">0050 </w:t>
            </w:r>
          </w:p>
        </w:tc>
        <w:tc>
          <w:tcPr>
            <w:tcW w:w="820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RYZYKO SZCZEGÓLNE</w:t>
            </w:r>
          </w:p>
          <w:p w:rsidR="000B0B09" w:rsidRPr="00AA1421" w:rsidRDefault="000B0B09" w:rsidP="00F2521E">
            <w:pPr>
              <w:autoSpaceDE w:val="0"/>
              <w:autoSpaceDN w:val="0"/>
              <w:adjustRightInd w:val="0"/>
              <w:rPr>
                <w:rFonts w:ascii="Times New Roman" w:hAnsi="Times New Roman"/>
                <w:sz w:val="24"/>
              </w:rPr>
            </w:pPr>
            <w:r w:rsidRPr="00AA1421">
              <w:rPr>
                <w:rFonts w:ascii="Times New Roman" w:hAnsi="Times New Roman"/>
                <w:sz w:val="24"/>
              </w:rPr>
              <w:t xml:space="preserve">Pozycje papierów kapitałowych podlegające ryzyku szczególnemu oraz odpowiadający im wymóg w zakresie funduszy własnych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42 CRR, z wyłączeniem pozycji w indeksie giełdowym typu </w:t>
            </w:r>
            <w:proofErr w:type="spellStart"/>
            <w:r w:rsidRPr="00AA1421">
              <w:rPr>
                <w:rFonts w:ascii="Times New Roman" w:hAnsi="Times New Roman"/>
                <w:sz w:val="24"/>
              </w:rPr>
              <w:t>future</w:t>
            </w:r>
            <w:proofErr w:type="spellEnd"/>
            <w:r w:rsidRPr="00AA1421">
              <w:rPr>
                <w:rFonts w:ascii="Times New Roman" w:hAnsi="Times New Roman"/>
                <w:sz w:val="24"/>
              </w:rPr>
              <w:t xml:space="preserve">, ujmowane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44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zdanie drugie CRR. </w:t>
            </w:r>
          </w:p>
        </w:tc>
      </w:tr>
      <w:tr w:rsidR="000B0B09" w:rsidRPr="00AA1421" w:rsidTr="00672D2A">
        <w:tc>
          <w:tcPr>
            <w:tcW w:w="100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0090-0130</w:t>
            </w:r>
          </w:p>
        </w:tc>
        <w:tc>
          <w:tcPr>
            <w:tcW w:w="820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Style w:val="InstructionsTabelleberschrift"/>
                <w:rFonts w:ascii="Times New Roman" w:hAnsi="Times New Roman"/>
                <w:sz w:val="24"/>
              </w:rPr>
              <w:t>DODATKOWE WYMOGI W ZAKRESIE OPCJI (RYZYKA INNE NIŻ RYZYKO DELTA)</w:t>
            </w:r>
          </w:p>
          <w:p w:rsidR="000B0B09" w:rsidRPr="00AA1421" w:rsidRDefault="00F2521E" w:rsidP="00F2521E">
            <w:pPr>
              <w:autoSpaceDE w:val="0"/>
              <w:autoSpaceDN w:val="0"/>
              <w:adjustRightInd w:val="0"/>
              <w:rPr>
                <w:rFonts w:ascii="Times New Roman" w:hAnsi="Times New Roman"/>
                <w:sz w:val="24"/>
              </w:rPr>
            </w:pPr>
            <w:r w:rsidRPr="00AA1421">
              <w:rPr>
                <w:rFonts w:ascii="Times New Roman" w:hAnsi="Times New Roman"/>
                <w:sz w:val="24"/>
              </w:rPr>
              <w:t xml:space="preserve">Art. 329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3 CRR </w:t>
            </w:r>
          </w:p>
          <w:p w:rsidR="000B0B09" w:rsidRPr="00AA1421" w:rsidRDefault="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Dodatkowe wymogi w zakresie opcji związane z </w:t>
            </w:r>
            <w:proofErr w:type="spellStart"/>
            <w:r w:rsidRPr="00AA1421">
              <w:rPr>
                <w:rFonts w:ascii="Times New Roman" w:hAnsi="Times New Roman"/>
                <w:sz w:val="24"/>
              </w:rPr>
              <w:t>ryzykami</w:t>
            </w:r>
            <w:proofErr w:type="spellEnd"/>
            <w:r w:rsidRPr="00AA1421">
              <w:rPr>
                <w:rFonts w:ascii="Times New Roman" w:hAnsi="Times New Roman"/>
                <w:sz w:val="24"/>
              </w:rPr>
              <w:t xml:space="preserve"> innymi niż ryzyko delta zgłasza się w metodzie stosowanej do obliczenia tego ryzyka.</w:t>
            </w:r>
          </w:p>
        </w:tc>
      </w:tr>
    </w:tbl>
    <w:p w:rsidR="000B0B09" w:rsidRPr="00AA1421" w:rsidRDefault="000B0B09" w:rsidP="000B0B09">
      <w:pPr>
        <w:autoSpaceDE w:val="0"/>
        <w:autoSpaceDN w:val="0"/>
        <w:adjustRightInd w:val="0"/>
        <w:spacing w:before="0" w:after="0"/>
        <w:rPr>
          <w:rFonts w:ascii="Times New Roman" w:hAnsi="Times New Roman"/>
          <w:bCs/>
          <w:sz w:val="24"/>
          <w:lang w:eastAsia="nl-BE"/>
        </w:rPr>
      </w:pP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403733"/>
      <w:r w:rsidRPr="00AA1421">
        <w:rPr>
          <w:rFonts w:ascii="Times New Roman" w:hAnsi="Times New Roman"/>
          <w:sz w:val="24"/>
          <w:u w:val="none"/>
        </w:rPr>
        <w:t>5.5.</w:t>
      </w:r>
      <w:r w:rsidR="00D712CF" w:rsidRPr="00AA1421">
        <w:rPr>
          <w:u w:val="none"/>
        </w:rPr>
        <w:tab/>
      </w:r>
      <w:r w:rsidRPr="00AA1421">
        <w:rPr>
          <w:rFonts w:ascii="Times New Roman" w:hAnsi="Times New Roman"/>
          <w:sz w:val="24"/>
        </w:rPr>
        <w:t xml:space="preserve">C 22.00 – Ryzyko rynkowe: </w:t>
      </w:r>
      <w:bookmarkStart w:id="692" w:name="_Toc262566432"/>
      <w:r w:rsidRPr="00AA1421">
        <w:rPr>
          <w:rFonts w:ascii="Times New Roman" w:hAnsi="Times New Roman"/>
          <w:sz w:val="24"/>
        </w:rPr>
        <w:t>ryzyko walutowe według metod standardowych</w:t>
      </w:r>
      <w:bookmarkEnd w:id="692"/>
      <w:bookmarkEnd w:id="686"/>
      <w:bookmarkEnd w:id="687"/>
      <w:bookmarkEnd w:id="688"/>
      <w:bookmarkEnd w:id="689"/>
      <w:r w:rsidRPr="00AA1421">
        <w:rPr>
          <w:rFonts w:ascii="Times New Roman" w:hAnsi="Times New Roman"/>
          <w:sz w:val="24"/>
        </w:rPr>
        <w:t xml:space="preserve"> (MKR SA FX)</w:t>
      </w:r>
      <w:bookmarkEnd w:id="690"/>
      <w:bookmarkEnd w:id="691"/>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403734"/>
      <w:r w:rsidRPr="00AA1421">
        <w:rPr>
          <w:rFonts w:ascii="Times New Roman" w:hAnsi="Times New Roman"/>
          <w:sz w:val="24"/>
          <w:u w:val="none"/>
        </w:rPr>
        <w:t>5.5.1.</w:t>
      </w:r>
      <w:r w:rsidR="00D712CF" w:rsidRPr="00AA1421">
        <w:rPr>
          <w:u w:val="none"/>
        </w:rPr>
        <w:tab/>
      </w:r>
      <w:r w:rsidRPr="00AA1421">
        <w:rPr>
          <w:rFonts w:ascii="Times New Roman" w:hAnsi="Times New Roman"/>
          <w:sz w:val="24"/>
        </w:rPr>
        <w:t>Uwagi ogólne</w:t>
      </w:r>
      <w:bookmarkEnd w:id="693"/>
      <w:bookmarkEnd w:id="694"/>
      <w:bookmarkEnd w:id="695"/>
      <w:bookmarkEnd w:id="696"/>
      <w:bookmarkEnd w:id="697"/>
      <w:bookmarkEnd w:id="698"/>
      <w:bookmarkEnd w:id="699"/>
    </w:p>
    <w:p w:rsidR="00F71DF2" w:rsidRPr="00AA1421" w:rsidRDefault="00AA1421" w:rsidP="00487A02">
      <w:pPr>
        <w:pStyle w:val="InstructionsText2"/>
        <w:numPr>
          <w:ilvl w:val="0"/>
          <w:numId w:val="0"/>
        </w:numPr>
        <w:ind w:left="1353" w:hanging="360"/>
      </w:pPr>
      <w:fldSimple w:instr=" seq paragraphs ">
        <w:r w:rsidR="00D11E4C" w:rsidRPr="00AA1421">
          <w:rPr>
            <w:noProof/>
          </w:rPr>
          <w:t>171</w:t>
        </w:r>
      </w:fldSimple>
      <w:r w:rsidR="00D11E4C" w:rsidRPr="00AA1421">
        <w:t>. Instytucje zgłaszają informacje na temat pozycji we wszystkich walutach (uwzględniona waluta sprawozdawcza) i odpowiednich wymogów w zakresie funduszy własnych z tytułu ryzyka walutowego traktowanych zgodnie z metodą standardową. Pozycję oblicza się w odniesieniu do wszystkich walut (w tym EUR), złota i pozycji w przedsiębiorstwach zbiorowego inwestowania.</w:t>
      </w:r>
    </w:p>
    <w:p w:rsidR="000B0B09" w:rsidRPr="00AA1421" w:rsidRDefault="00AA1421" w:rsidP="00487A02">
      <w:pPr>
        <w:pStyle w:val="InstructionsText2"/>
        <w:numPr>
          <w:ilvl w:val="0"/>
          <w:numId w:val="0"/>
        </w:numPr>
        <w:ind w:left="1353" w:hanging="360"/>
      </w:pPr>
      <w:fldSimple w:instr=" seq paragraphs ">
        <w:r w:rsidR="00D11E4C" w:rsidRPr="00AA1421">
          <w:rPr>
            <w:noProof/>
          </w:rPr>
          <w:t>172</w:t>
        </w:r>
      </w:fldSimple>
      <w:r w:rsidR="00D11E4C" w:rsidRPr="00AA1421">
        <w:t>.</w:t>
      </w:r>
      <w:r w:rsidR="00D11E4C" w:rsidRPr="00AA1421">
        <w:tab/>
        <w:t xml:space="preserve"> Wiersze 0100–0480 niniejszego wzoru podlegają zgłoszeniu nawet wówczas, gdy instytucje nie mają obowiązku obliczać wymogów w zakresie funduszy własnych z tytułu ryzyka walutowego zgodnie z </w:t>
      </w:r>
      <w:r w:rsidR="00D11E4C" w:rsidRPr="00084F66">
        <w:t>art.</w:t>
      </w:r>
      <w:r w:rsidR="00084F66" w:rsidRPr="00084F66">
        <w:t> </w:t>
      </w:r>
      <w:r w:rsidR="00D11E4C" w:rsidRPr="00084F66">
        <w:t>3</w:t>
      </w:r>
      <w:r w:rsidR="00D11E4C" w:rsidRPr="00AA1421">
        <w:t xml:space="preserve">51 CRR. W tych pozycjach uzupełniających zawarte są wszystkie pozycje w walucie sprawozdawczej, niezależnie od tego, czy są one uwzględniane do celów </w:t>
      </w:r>
      <w:r w:rsidR="00D11E4C" w:rsidRPr="00084F66">
        <w:t>art.</w:t>
      </w:r>
      <w:r w:rsidR="00084F66" w:rsidRPr="00084F66">
        <w:t> </w:t>
      </w:r>
      <w:r w:rsidR="00D11E4C" w:rsidRPr="00084F66">
        <w:t>3</w:t>
      </w:r>
      <w:r w:rsidR="00D11E4C" w:rsidRPr="00AA1421">
        <w:t>54 CRR. Wiersze 0130–0480 pozycji uzupełniających tego wzoru wypełnia się osobno w odniesieniu do wszystkich walut państw członkowskich Unii, walut: GBP, USD, CHF, JPY, RUB, TRY, AUD, CAD, RSD, ALL, UAH, MKD, EGP, ARS, BRL, MXN, HKD, ICK, TWD, NZD, NOK, SGD, KRW, CNY i wszystkich pozostałych walut.</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403735"/>
      <w:r w:rsidRPr="00AA1421">
        <w:rPr>
          <w:rFonts w:ascii="Times New Roman" w:hAnsi="Times New Roman"/>
          <w:sz w:val="24"/>
          <w:u w:val="none"/>
        </w:rPr>
        <w:t>5.5.2.</w:t>
      </w:r>
      <w:r w:rsidR="00D712CF" w:rsidRPr="00AA1421">
        <w:rPr>
          <w:u w:val="none"/>
        </w:rPr>
        <w:tab/>
      </w:r>
      <w:r w:rsidRPr="00AA1421">
        <w:rPr>
          <w:rFonts w:ascii="Times New Roman" w:hAnsi="Times New Roman"/>
          <w:sz w:val="24"/>
        </w:rPr>
        <w:t>Instrukcje dotyczące poszczególnych pozycji</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A1421" w:rsidTr="00672D2A">
        <w:trPr>
          <w:trHeight w:val="595"/>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Kolumny</w:t>
            </w: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0020-0030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WSZYSTKIE POZYCJE (DŁUGIE I KRÓTKIE)</w:t>
            </w:r>
          </w:p>
          <w:p w:rsidR="000B0B09" w:rsidRPr="00AA1421" w:rsidRDefault="000B0B09" w:rsidP="00283B5F">
            <w:pPr>
              <w:autoSpaceDE w:val="0"/>
              <w:autoSpaceDN w:val="0"/>
              <w:adjustRightInd w:val="0"/>
              <w:spacing w:before="0" w:after="0"/>
              <w:rPr>
                <w:rFonts w:ascii="Times New Roman" w:hAnsi="Times New Roman"/>
                <w:sz w:val="24"/>
                <w:lang w:eastAsia="nl-BE"/>
              </w:rPr>
            </w:pPr>
          </w:p>
          <w:p w:rsidR="005C14B0" w:rsidRPr="00AA1421" w:rsidRDefault="000B0B09" w:rsidP="00F2521E">
            <w:pPr>
              <w:autoSpaceDE w:val="0"/>
              <w:autoSpaceDN w:val="0"/>
              <w:adjustRightInd w:val="0"/>
              <w:spacing w:before="0"/>
              <w:rPr>
                <w:rFonts w:ascii="Times New Roman" w:hAnsi="Times New Roman"/>
                <w:sz w:val="24"/>
              </w:rPr>
            </w:pPr>
            <w:r w:rsidRPr="00AA1421">
              <w:rPr>
                <w:rFonts w:ascii="Times New Roman" w:hAnsi="Times New Roman"/>
                <w:sz w:val="24"/>
              </w:rPr>
              <w:t xml:space="preserve">Pozycje brutto z tytułu aktywów, kwoty do otrzymania i podobne pozycje,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0B0B09" w:rsidRPr="00AA1421" w:rsidRDefault="00BB22D4" w:rsidP="00D1690D">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 xml:space="preserve">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i z zastrzeżeniem uzyskania zezwolenia właściwych organów, nie zgłasza się utrzymywanych pozycji zabezpieczających przed niekorzystnym wpływem kursów walutowych na współczynniki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ani pozycji dotyczących kwot, które już odjęto podczas obliczania funduszy własnych.</w:t>
            </w:r>
          </w:p>
          <w:p w:rsidR="000B0B09" w:rsidRPr="00AA1421" w:rsidRDefault="000B0B09" w:rsidP="000B0B09">
            <w:pPr>
              <w:autoSpaceDE w:val="0"/>
              <w:autoSpaceDN w:val="0"/>
              <w:adjustRightInd w:val="0"/>
              <w:spacing w:before="0" w:after="0"/>
              <w:rPr>
                <w:rFonts w:ascii="Times New Roman" w:hAnsi="Times New Roman"/>
                <w:sz w:val="24"/>
                <w:lang w:eastAsia="nl-BE"/>
              </w:rPr>
            </w:pPr>
          </w:p>
        </w:tc>
      </w:tr>
      <w:tr w:rsidR="000B0B09" w:rsidRPr="00AA1421" w:rsidTr="00672D2A">
        <w:tc>
          <w:tcPr>
            <w:tcW w:w="988"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0040-0050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NETTO (DŁUGIE I KRÓTKIE)</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283B5F" w:rsidRPr="00AA1421" w:rsidRDefault="000B0B09" w:rsidP="00F2521E">
            <w:pPr>
              <w:autoSpaceDE w:val="0"/>
              <w:autoSpaceDN w:val="0"/>
              <w:adjustRightInd w:val="0"/>
              <w:spacing w:before="0"/>
              <w:rPr>
                <w:rFonts w:ascii="Times New Roman" w:hAnsi="Times New Roman"/>
                <w:sz w:val="24"/>
              </w:rPr>
            </w:pPr>
            <w:r w:rsidRPr="00AA1421">
              <w:rPr>
                <w:rFonts w:ascii="Times New Roman" w:hAnsi="Times New Roman"/>
                <w:sz w:val="24"/>
              </w:rPr>
              <w:t xml:space="preserve">Art. 352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dwa pierwsze zdania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53 CRR</w:t>
            </w: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netto oblicza się we wszystkich walutach,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 związku z tym zarówno pozycje długie, jak i krótkie można zgłaszać w tym samym czasie.</w:t>
            </w:r>
          </w:p>
          <w:p w:rsidR="000B0B09" w:rsidRPr="00AA1421" w:rsidRDefault="000B0B09" w:rsidP="000B0B09">
            <w:pPr>
              <w:autoSpaceDE w:val="0"/>
              <w:autoSpaceDN w:val="0"/>
              <w:adjustRightInd w:val="0"/>
              <w:spacing w:before="0" w:after="0"/>
              <w:rPr>
                <w:rFonts w:ascii="Times New Roman" w:hAnsi="Times New Roman"/>
                <w:sz w:val="24"/>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0060-0080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PODLEGAJĄCE NARZUTOWI KAPITAŁOWEMU</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70502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352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zdanie trzecie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53 i 354 CRR </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0060-0070</w:t>
            </w:r>
          </w:p>
        </w:tc>
        <w:tc>
          <w:tcPr>
            <w:tcW w:w="7874" w:type="dxa"/>
          </w:tcPr>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b/>
                <w:bCs/>
                <w:sz w:val="24"/>
                <w:u w:val="single"/>
              </w:rPr>
              <w:t>POZYCJE PODLEGAJĄCE NARZUTOWI KAPITAŁOWEMU (DŁUGIE I KRÓTKIE)</w:t>
            </w:r>
          </w:p>
          <w:p w:rsidR="000B0B09" w:rsidRPr="00AA1421" w:rsidRDefault="000B0B09" w:rsidP="00F2521E">
            <w:pPr>
              <w:autoSpaceDE w:val="0"/>
              <w:autoSpaceDN w:val="0"/>
              <w:adjustRightInd w:val="0"/>
              <w:spacing w:after="0"/>
              <w:rPr>
                <w:rFonts w:ascii="Times New Roman" w:hAnsi="Times New Roman"/>
                <w:sz w:val="24"/>
              </w:rPr>
            </w:pPr>
            <w:r w:rsidRPr="00AA1421">
              <w:rPr>
                <w:rFonts w:ascii="Times New Roman" w:hAnsi="Times New Roman"/>
                <w:sz w:val="24"/>
              </w:rPr>
              <w:t>Długie i krótkie pozycje netto dla każdej waluty oblicza się poprzez odjęcie sumy pozycji krótkich od sumy pozycji długich.</w:t>
            </w:r>
          </w:p>
          <w:p w:rsidR="000B0B09" w:rsidRPr="00AA1421" w:rsidRDefault="000B0B09" w:rsidP="00F2521E">
            <w:pPr>
              <w:autoSpaceDE w:val="0"/>
              <w:autoSpaceDN w:val="0"/>
              <w:adjustRightInd w:val="0"/>
              <w:spacing w:after="0"/>
              <w:rPr>
                <w:rFonts w:ascii="Times New Roman" w:hAnsi="Times New Roman"/>
                <w:sz w:val="24"/>
              </w:rPr>
            </w:pPr>
            <w:r w:rsidRPr="00AA1421">
              <w:rPr>
                <w:rFonts w:ascii="Times New Roman" w:hAnsi="Times New Roman"/>
                <w:sz w:val="24"/>
              </w:rPr>
              <w:t>Długie pozycje netto w odniesieniu do wszystkich transakcji walutowych dodaje się w celu uzyskania długiej pozycji netto w danej walucie.</w:t>
            </w:r>
          </w:p>
          <w:p w:rsidR="000B0B09" w:rsidRPr="00AA1421" w:rsidRDefault="000B0B09" w:rsidP="00F2521E">
            <w:pPr>
              <w:autoSpaceDE w:val="0"/>
              <w:autoSpaceDN w:val="0"/>
              <w:adjustRightInd w:val="0"/>
              <w:spacing w:after="0"/>
              <w:rPr>
                <w:rFonts w:ascii="Times New Roman" w:hAnsi="Times New Roman"/>
                <w:sz w:val="24"/>
              </w:rPr>
            </w:pPr>
            <w:r w:rsidRPr="00AA1421">
              <w:rPr>
                <w:rFonts w:ascii="Times New Roman" w:hAnsi="Times New Roman"/>
                <w:sz w:val="24"/>
              </w:rPr>
              <w:t>Krótkie pozycje netto w odniesieniu do wszystkich transakcji walutowych dodaje się w celu uzyskania krótkiej pozycji netto w danej walucie.</w:t>
            </w:r>
          </w:p>
          <w:p w:rsidR="000B0B09" w:rsidRPr="00AA1421" w:rsidRDefault="000B0B09" w:rsidP="00F2521E">
            <w:pPr>
              <w:autoSpaceDE w:val="0"/>
              <w:autoSpaceDN w:val="0"/>
              <w:adjustRightInd w:val="0"/>
              <w:spacing w:after="0"/>
              <w:rPr>
                <w:rFonts w:ascii="Times New Roman" w:hAnsi="Times New Roman"/>
                <w:sz w:val="24"/>
              </w:rPr>
            </w:pPr>
            <w:r w:rsidRPr="00AA1421">
              <w:rPr>
                <w:rFonts w:ascii="Times New Roman" w:hAnsi="Times New Roman"/>
                <w:sz w:val="24"/>
              </w:rPr>
              <w:t xml:space="preserve">Pozycje niedopasowane w walutach innych niż waluty sprawozdawcze dodaje się do pozycji podlegających narzutowi kapitałowemu w odniesieniu do pozostałych walut (wiersz 030) w kolumnie 060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70 w zależności od ich krótkiej lub długiej pozycji.</w:t>
            </w:r>
          </w:p>
          <w:p w:rsidR="00DE48EF" w:rsidRPr="00AA1421"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0080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PODLEGAJĄCE NARZUTOWI KAPITAŁOWEMU (DOPASOWANE)</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Pozycje dopasowane w odniesieniu do walut silnie ze sobą skorelowanych.</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0090</w:t>
            </w:r>
          </w:p>
        </w:tc>
        <w:tc>
          <w:tcPr>
            <w:tcW w:w="7874"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WYMOGI W ZAKRESIE FUNDUSZY WŁASNYCH</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Narzut kapitałowy w odniesieniu do wszelkich stosownych pozycji, zgodnie z częścią trzecią tytuł IV rozdział 3 CRR. </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8"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0100</w:t>
            </w:r>
          </w:p>
        </w:tc>
        <w:tc>
          <w:tcPr>
            <w:tcW w:w="7874" w:type="dxa"/>
          </w:tcPr>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ŁĄCZNA KWOTA EKSPOZYCJI NA RYZYKO</w:t>
            </w:r>
          </w:p>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AA1421" w:rsidRDefault="00D21B29" w:rsidP="00F2521E">
            <w:pPr>
              <w:tabs>
                <w:tab w:val="left" w:pos="1665"/>
              </w:tabs>
              <w:autoSpaceDE w:val="0"/>
              <w:autoSpaceDN w:val="0"/>
              <w:adjustRightInd w:val="0"/>
              <w:spacing w:before="0"/>
              <w:rPr>
                <w:rFonts w:ascii="Times New Roman" w:hAnsi="Times New Roman"/>
                <w:sz w:val="24"/>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0B0B09" w:rsidRPr="00AA1421" w:rsidRDefault="000B0B09" w:rsidP="000B0B09">
            <w:pPr>
              <w:tabs>
                <w:tab w:val="left" w:pos="1665"/>
              </w:tabs>
              <w:autoSpaceDE w:val="0"/>
              <w:autoSpaceDN w:val="0"/>
              <w:adjustRightInd w:val="0"/>
              <w:spacing w:before="0" w:after="0"/>
              <w:rPr>
                <w:rFonts w:ascii="Times New Roman" w:hAnsi="Times New Roman"/>
                <w:sz w:val="24"/>
              </w:rPr>
            </w:pPr>
            <w:r w:rsidRPr="00AA1421">
              <w:rPr>
                <w:rFonts w:ascii="Times New Roman" w:hAnsi="Times New Roman"/>
                <w:sz w:val="24"/>
              </w:rPr>
              <w:t xml:space="preserve">Wynik pomnożenia wymogów w zakresie funduszy własnych przez 12,5. </w:t>
            </w:r>
          </w:p>
          <w:p w:rsidR="00DE48EF" w:rsidRPr="00AA1421"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AA1421"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AA1421" w:rsidTr="00672D2A">
        <w:trPr>
          <w:trHeight w:val="497"/>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lastRenderedPageBreak/>
              <w:t>Wiersze</w:t>
            </w: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0010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RAZEM</w:t>
            </w:r>
          </w:p>
          <w:p w:rsidR="000B0B09" w:rsidRPr="00AA1421" w:rsidRDefault="000B0B09" w:rsidP="000B0B09">
            <w:pPr>
              <w:autoSpaceDE w:val="0"/>
              <w:autoSpaceDN w:val="0"/>
              <w:adjustRightInd w:val="0"/>
              <w:spacing w:before="0" w:after="0"/>
              <w:rPr>
                <w:rFonts w:ascii="Times New Roman" w:hAnsi="Times New Roman"/>
                <w:sz w:val="24"/>
                <w:lang w:eastAsia="nl-BE"/>
              </w:rPr>
            </w:pPr>
          </w:p>
          <w:p w:rsidR="000B0B09" w:rsidRPr="00AA1421" w:rsidRDefault="00491F4D"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Wszystkie pozycje w walutach innych niż waluty sprawozdawcze oraz te pozycje w walucie sprawozdawczej, które są uwzględniane do celów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54 CRR, jak również ich odpowiednie wymogi w zakresie funduszy własnych dotyczące ryzyka walutowego,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uwzględniając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4 CRR (do celów zamiany na walutę sprawozdawczą).</w:t>
            </w:r>
          </w:p>
          <w:p w:rsidR="000B0B09" w:rsidRPr="00AA1421" w:rsidRDefault="000B0B09" w:rsidP="000B0B09">
            <w:pPr>
              <w:autoSpaceDE w:val="0"/>
              <w:autoSpaceDN w:val="0"/>
              <w:adjustRightInd w:val="0"/>
              <w:spacing w:before="0" w:after="0"/>
              <w:rPr>
                <w:rFonts w:ascii="Times New Roman" w:hAnsi="Times New Roman"/>
                <w:sz w:val="24"/>
                <w:lang w:eastAsia="nl-BE"/>
              </w:rPr>
            </w:pP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0020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WALUTY SILNIE ZE SOBĄ SKORELOWANE</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i ich odpowiednie wymogi w zakresie funduszy własnych w odniesieniu do walut silnie ze sobą skorelowanych,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54 CRR.</w:t>
            </w:r>
          </w:p>
          <w:p w:rsidR="000B0B09" w:rsidRPr="00AA1421" w:rsidRDefault="000B0B09" w:rsidP="000B0B09">
            <w:pPr>
              <w:autoSpaceDE w:val="0"/>
              <w:autoSpaceDN w:val="0"/>
              <w:adjustRightInd w:val="0"/>
              <w:spacing w:before="0" w:after="0"/>
              <w:rPr>
                <w:rFonts w:ascii="Times New Roman" w:hAnsi="Times New Roman"/>
                <w:sz w:val="24"/>
                <w:lang w:eastAsia="nl-BE"/>
              </w:rPr>
            </w:pPr>
          </w:p>
        </w:tc>
      </w:tr>
      <w:tr w:rsidR="00491F4D" w:rsidRPr="00AA1421" w:rsidTr="00672D2A">
        <w:tc>
          <w:tcPr>
            <w:tcW w:w="991" w:type="dxa"/>
          </w:tcPr>
          <w:p w:rsidR="00491F4D"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0025</w:t>
            </w:r>
          </w:p>
        </w:tc>
        <w:tc>
          <w:tcPr>
            <w:tcW w:w="7871" w:type="dxa"/>
          </w:tcPr>
          <w:p w:rsidR="00491F4D" w:rsidRPr="00AA1421" w:rsidRDefault="00491F4D"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 xml:space="preserve">Waluty silnie ze sobą skorelowane </w:t>
            </w:r>
            <w:r w:rsidRPr="00AA1421">
              <w:rPr>
                <w:rFonts w:ascii="Times New Roman" w:hAnsi="Times New Roman"/>
                <w:b/>
                <w:bCs/>
                <w:i/>
                <w:sz w:val="24"/>
                <w:u w:val="single"/>
              </w:rPr>
              <w:t>W tym</w:t>
            </w:r>
            <w:r w:rsidRPr="00AA1421">
              <w:rPr>
                <w:rFonts w:ascii="Times New Roman" w:hAnsi="Times New Roman"/>
                <w:b/>
                <w:bCs/>
                <w:sz w:val="24"/>
                <w:u w:val="single"/>
              </w:rPr>
              <w:t>: waluta sprawozdawcza</w:t>
            </w:r>
          </w:p>
          <w:p w:rsidR="00491F4D" w:rsidRPr="00AA1421" w:rsidRDefault="00491F4D" w:rsidP="000B0B09">
            <w:pPr>
              <w:autoSpaceDE w:val="0"/>
              <w:autoSpaceDN w:val="0"/>
              <w:adjustRightInd w:val="0"/>
              <w:spacing w:before="0" w:after="0"/>
              <w:rPr>
                <w:rFonts w:ascii="Times New Roman" w:hAnsi="Times New Roman"/>
                <w:sz w:val="24"/>
              </w:rPr>
            </w:pPr>
          </w:p>
          <w:p w:rsidR="00491F4D" w:rsidRPr="00AA1421" w:rsidRDefault="00491F4D"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w walucie sprawozdawczej, które są uwzględniane przy obliczaniu wymogów kapitałowych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54 CRR.</w:t>
            </w:r>
          </w:p>
          <w:p w:rsidR="00491F4D" w:rsidRPr="00AA1421"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0030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WSZELKIE INNE WALUTY (w tym przedsiębiorstwa zbiorowego inwestowania traktowane jako inne waluty)</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i ich odpowiednie wymogi w zakresie funduszy własnych w odniesieniu do walut podlegających procedurze ogólnej,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51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4 CRR.</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bCs/>
                <w:sz w:val="24"/>
                <w:u w:val="single"/>
              </w:rPr>
            </w:pPr>
            <w:r w:rsidRPr="00AA1421">
              <w:rPr>
                <w:rFonts w:ascii="Times New Roman" w:hAnsi="Times New Roman"/>
                <w:bCs/>
                <w:sz w:val="24"/>
                <w:u w:val="single"/>
              </w:rPr>
              <w:t xml:space="preserve">Zgłaszanie przedsiębiorstw zbiorowego inwestowania traktowanych jako osobne waluty zgodnie z </w:t>
            </w:r>
            <w:r w:rsidRPr="00084F66">
              <w:rPr>
                <w:rFonts w:ascii="Times New Roman" w:hAnsi="Times New Roman"/>
                <w:bCs/>
                <w:sz w:val="24"/>
                <w:u w:val="single"/>
              </w:rPr>
              <w:t>art.</w:t>
            </w:r>
            <w:r w:rsidR="00084F66" w:rsidRPr="00084F66">
              <w:rPr>
                <w:rFonts w:ascii="Times New Roman" w:hAnsi="Times New Roman"/>
                <w:bCs/>
                <w:sz w:val="24"/>
                <w:u w:val="single"/>
              </w:rPr>
              <w:t> </w:t>
            </w:r>
            <w:r w:rsidRPr="00084F66">
              <w:rPr>
                <w:rFonts w:ascii="Times New Roman" w:hAnsi="Times New Roman"/>
                <w:bCs/>
                <w:sz w:val="24"/>
                <w:u w:val="single"/>
              </w:rPr>
              <w:t>3</w:t>
            </w:r>
            <w:r w:rsidRPr="00AA1421">
              <w:rPr>
                <w:rFonts w:ascii="Times New Roman" w:hAnsi="Times New Roman"/>
                <w:bCs/>
                <w:sz w:val="24"/>
                <w:u w:val="single"/>
              </w:rPr>
              <w:t>53 CRR:</w:t>
            </w:r>
          </w:p>
          <w:p w:rsidR="000B0B09" w:rsidRPr="00AA1421" w:rsidRDefault="000B0B09"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Istnieją dwa różne sposoby ujęcia przedsiębiorstw zbiorowego inwestowania traktowanych jako osobne waluty w celu obliczenia wymogów kapitałowych:</w:t>
            </w:r>
          </w:p>
          <w:p w:rsidR="000B0B09" w:rsidRPr="00AA1421" w:rsidRDefault="00125707" w:rsidP="0023700C">
            <w:pPr>
              <w:autoSpaceDE w:val="0"/>
              <w:autoSpaceDN w:val="0"/>
              <w:adjustRightInd w:val="0"/>
              <w:spacing w:before="0" w:after="0"/>
              <w:ind w:left="720" w:hanging="360"/>
              <w:rPr>
                <w:rFonts w:ascii="Times New Roman" w:hAnsi="Times New Roman"/>
                <w:bCs/>
                <w:sz w:val="24"/>
              </w:rPr>
            </w:pPr>
            <w:r w:rsidRPr="00AA1421">
              <w:rPr>
                <w:rFonts w:ascii="Times New Roman" w:hAnsi="Times New Roman"/>
                <w:bCs/>
                <w:sz w:val="24"/>
              </w:rPr>
              <w:t>1.</w:t>
            </w:r>
            <w:r w:rsidRPr="00AA1421">
              <w:tab/>
            </w:r>
            <w:r w:rsidRPr="00AA1421">
              <w:rPr>
                <w:rFonts w:ascii="Times New Roman" w:hAnsi="Times New Roman"/>
                <w:bCs/>
                <w:sz w:val="24"/>
              </w:rPr>
              <w:t>Zmieniona metoda dotycząca złota, jeżeli kierunek inwestycji przedsiębiorstwa zbiorowego inwestowania jest niedostępny (przedsiębiorstwa te dodaje się do całkowitej pozycji walutowej netto instytucji);</w:t>
            </w:r>
          </w:p>
          <w:p w:rsidR="000B0B09" w:rsidRPr="00AA1421" w:rsidRDefault="00125707" w:rsidP="0023700C">
            <w:pPr>
              <w:autoSpaceDE w:val="0"/>
              <w:autoSpaceDN w:val="0"/>
              <w:adjustRightInd w:val="0"/>
              <w:spacing w:before="0" w:after="0"/>
              <w:ind w:left="720" w:hanging="360"/>
              <w:rPr>
                <w:rFonts w:ascii="Times New Roman" w:hAnsi="Times New Roman"/>
                <w:bCs/>
                <w:sz w:val="24"/>
              </w:rPr>
            </w:pPr>
            <w:r w:rsidRPr="00AA1421">
              <w:rPr>
                <w:rFonts w:ascii="Times New Roman" w:hAnsi="Times New Roman"/>
                <w:bCs/>
                <w:sz w:val="24"/>
              </w:rPr>
              <w:t>2.</w:t>
            </w:r>
            <w:r w:rsidRPr="00AA1421">
              <w:tab/>
            </w:r>
            <w:r w:rsidRPr="00AA1421">
              <w:rPr>
                <w:rFonts w:ascii="Times New Roman" w:hAnsi="Times New Roman"/>
                <w:bCs/>
                <w:sz w:val="24"/>
              </w:rPr>
              <w:t>Jeżeli dostępny jest kierunek inwestycji przedsiębiorstw zbiorowego inwestowania, przedsiębiorstwa te dodaje się łącznej otwartej pozycji walutowej (długiej lub krótkiej, w zależności od kierunku przedsiębiorstwa zbiorowego inwestowania).</w:t>
            </w:r>
          </w:p>
          <w:p w:rsidR="000B0B09" w:rsidRPr="00AA1421" w:rsidRDefault="000B0B09" w:rsidP="000B0B09">
            <w:pPr>
              <w:autoSpaceDE w:val="0"/>
              <w:autoSpaceDN w:val="0"/>
              <w:adjustRightInd w:val="0"/>
              <w:spacing w:before="0" w:after="0"/>
              <w:rPr>
                <w:rFonts w:ascii="Times New Roman" w:hAnsi="Times New Roman"/>
                <w:bCs/>
                <w:sz w:val="24"/>
                <w:u w:val="single"/>
              </w:rPr>
            </w:pPr>
            <w:r w:rsidRPr="00AA1421">
              <w:rPr>
                <w:rFonts w:ascii="Times New Roman" w:hAnsi="Times New Roman"/>
                <w:bCs/>
                <w:sz w:val="24"/>
              </w:rPr>
              <w:t>Zgłoszenie tych przedsiębiorstw zbiorowego inwestowania następuje po obliczeniu wymogów kapitałowych.</w:t>
            </w:r>
          </w:p>
          <w:p w:rsidR="00DE48EF" w:rsidRPr="00AA1421"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0040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ZŁOTO</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i ich odpowiednie wymogi w zakresie funduszy własnych w odniesieniu do walut podlegających procedurze ogólnej,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51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4 CRR. </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0050 - 0090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Style w:val="InstructionsTabelleberschrift"/>
                <w:rFonts w:ascii="Times New Roman" w:hAnsi="Times New Roman"/>
                <w:sz w:val="24"/>
              </w:rPr>
              <w:t>DODATKOWE WYMOGI W ZAKRESIE OPCJI (RYZYKA INNE NIŻ RYZYKO DELTA)</w:t>
            </w:r>
          </w:p>
          <w:p w:rsidR="000B0B09" w:rsidRPr="00AA1421" w:rsidRDefault="001A0143" w:rsidP="001A0143">
            <w:pPr>
              <w:autoSpaceDE w:val="0"/>
              <w:autoSpaceDN w:val="0"/>
              <w:adjustRightInd w:val="0"/>
              <w:spacing w:after="0"/>
              <w:rPr>
                <w:rFonts w:ascii="Times New Roman" w:hAnsi="Times New Roman"/>
                <w:sz w:val="24"/>
              </w:rPr>
            </w:pPr>
            <w:r w:rsidRPr="00AA1421">
              <w:rPr>
                <w:rFonts w:ascii="Times New Roman" w:hAnsi="Times New Roman"/>
                <w:sz w:val="24"/>
              </w:rPr>
              <w:t xml:space="preserve">Art. 352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i 6 CRR </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Dodatkowe wymogi w zakresie opcji związane z </w:t>
            </w:r>
            <w:proofErr w:type="spellStart"/>
            <w:r w:rsidRPr="00AA1421">
              <w:rPr>
                <w:rFonts w:ascii="Times New Roman" w:hAnsi="Times New Roman"/>
                <w:sz w:val="24"/>
              </w:rPr>
              <w:t>ryzykami</w:t>
            </w:r>
            <w:proofErr w:type="spellEnd"/>
            <w:r w:rsidRPr="00AA1421">
              <w:rPr>
                <w:rFonts w:ascii="Times New Roman" w:hAnsi="Times New Roman"/>
                <w:sz w:val="24"/>
              </w:rPr>
              <w:t xml:space="preserve"> innymi niż ryzyko delta zgłasza się w podziale na metodę stosowaną do ich obliczenia. </w:t>
            </w:r>
          </w:p>
          <w:p w:rsidR="000B0B09" w:rsidRPr="00AA1421"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0100-0120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Podział pozycji razem (w tym waluty sprawozdawczej) według rodzajów ekspozycji</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Wszystkie pozycje dzieli się według instrumentów pochodnych, innych aktywów i zobowiązań oraz pozycji pozabilansowych.</w:t>
            </w:r>
          </w:p>
          <w:p w:rsidR="00DE48EF" w:rsidRPr="00AA1421"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0100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Pozostałe aktywa i zobowiązania inne niż pozycje pozabilansowe i instrumenty pochodne</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których nie uwzględniono w wierszu 0110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120, należy przedstawić tutaj. </w:t>
            </w:r>
          </w:p>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sz w:val="24"/>
              </w:rPr>
              <w:t xml:space="preserve"> </w:t>
            </w:r>
          </w:p>
        </w:tc>
      </w:tr>
      <w:tr w:rsidR="000B0B09" w:rsidRPr="00AA1421" w:rsidTr="00672D2A">
        <w:tc>
          <w:tcPr>
            <w:tcW w:w="991"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0110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pozabilansowe</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objęte zakresem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52 CRR, niezależnie od waluty, w której są denominowane, które uwzględniono w załączniku I do CRR, z wyjątkiem pozycji uwzględnionych jako transakcje finansowane z użyciem papierów wartościowych i transakcje z długim terminem rozliczenia oraz wynikające z umowy o kompensowaniu </w:t>
            </w:r>
            <w:proofErr w:type="spellStart"/>
            <w:r w:rsidRPr="00AA1421">
              <w:rPr>
                <w:rFonts w:ascii="Times New Roman" w:hAnsi="Times New Roman"/>
                <w:sz w:val="24"/>
              </w:rPr>
              <w:t>międzyproduktowym</w:t>
            </w:r>
            <w:proofErr w:type="spellEnd"/>
            <w:r w:rsidRPr="00AA1421">
              <w:rPr>
                <w:rFonts w:ascii="Times New Roman" w:hAnsi="Times New Roman"/>
                <w:sz w:val="24"/>
              </w:rPr>
              <w:t>.</w:t>
            </w:r>
          </w:p>
          <w:p w:rsidR="00DE48EF" w:rsidRPr="00AA1421"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2F79EA">
            <w:pPr>
              <w:autoSpaceDE w:val="0"/>
              <w:autoSpaceDN w:val="0"/>
              <w:adjustRightInd w:val="0"/>
              <w:spacing w:before="0" w:after="0"/>
              <w:rPr>
                <w:rFonts w:ascii="Times New Roman" w:hAnsi="Times New Roman"/>
                <w:sz w:val="24"/>
              </w:rPr>
            </w:pPr>
            <w:r w:rsidRPr="00AA1421">
              <w:rPr>
                <w:rFonts w:ascii="Times New Roman" w:hAnsi="Times New Roman"/>
                <w:sz w:val="24"/>
              </w:rPr>
              <w:t>0120</w:t>
            </w:r>
          </w:p>
        </w:tc>
        <w:tc>
          <w:tcPr>
            <w:tcW w:w="7871"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Instrumenty pochodne</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wycenia się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52 CRR.</w:t>
            </w:r>
          </w:p>
          <w:p w:rsidR="00902EFC" w:rsidRPr="00AA1421"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1" w:type="dxa"/>
          </w:tcPr>
          <w:p w:rsidR="000B0B09" w:rsidRPr="00AA1421" w:rsidRDefault="002F79EA" w:rsidP="002F79EA">
            <w:pPr>
              <w:autoSpaceDE w:val="0"/>
              <w:autoSpaceDN w:val="0"/>
              <w:adjustRightInd w:val="0"/>
              <w:spacing w:before="0" w:after="0"/>
              <w:rPr>
                <w:rFonts w:ascii="Times New Roman" w:hAnsi="Times New Roman"/>
                <w:sz w:val="24"/>
              </w:rPr>
            </w:pPr>
            <w:r w:rsidRPr="00AA1421">
              <w:rPr>
                <w:rFonts w:ascii="Times New Roman" w:hAnsi="Times New Roman"/>
                <w:sz w:val="24"/>
              </w:rPr>
              <w:t>0130-0480</w:t>
            </w:r>
          </w:p>
        </w:tc>
        <w:tc>
          <w:tcPr>
            <w:tcW w:w="7871" w:type="dxa"/>
          </w:tcPr>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b/>
                <w:bCs/>
                <w:sz w:val="24"/>
                <w:u w:val="single"/>
              </w:rPr>
              <w:t>POZYCJE UZUPEŁNIAJĄCE: POZYCJE WALUTOWE</w:t>
            </w:r>
          </w:p>
          <w:p w:rsidR="000B0B09" w:rsidRPr="00AA1421" w:rsidRDefault="000B0B09" w:rsidP="000B0B09">
            <w:pPr>
              <w:autoSpaceDE w:val="0"/>
              <w:autoSpaceDN w:val="0"/>
              <w:adjustRightInd w:val="0"/>
              <w:spacing w:before="0" w:after="0"/>
              <w:rPr>
                <w:rFonts w:ascii="Times New Roman" w:hAnsi="Times New Roman"/>
                <w:b/>
                <w:bCs/>
                <w:sz w:val="24"/>
                <w:lang w:eastAsia="de-DE"/>
              </w:rPr>
            </w:pPr>
          </w:p>
          <w:p w:rsidR="000B0B09" w:rsidRPr="00AA1421" w:rsidRDefault="000B0B09" w:rsidP="00A2757B">
            <w:pPr>
              <w:autoSpaceDE w:val="0"/>
              <w:autoSpaceDN w:val="0"/>
              <w:adjustRightInd w:val="0"/>
              <w:spacing w:before="0" w:after="0"/>
              <w:rPr>
                <w:rStyle w:val="InstructionsTabelleText"/>
                <w:rFonts w:ascii="Times New Roman" w:hAnsi="Times New Roman"/>
                <w:sz w:val="24"/>
              </w:rPr>
            </w:pPr>
            <w:r w:rsidRPr="00AA1421">
              <w:rPr>
                <w:rFonts w:ascii="Times New Roman" w:hAnsi="Times New Roman"/>
                <w:sz w:val="24"/>
              </w:rPr>
              <w:t xml:space="preserve">Pozycje uzupełniające tego wzoru należy wypełnić osobno w odniesieniu do wszystkich walut Unii, GBP, USD, CHF, JPY, RUB, TRY, AUD, CAD, RSD, ALL, UAH, MKD, EGP, ARS, BRL, MXN, HKD, ICK, TWD, NZD, NOK, SGD, KRW, CNY i wszystkich pozostałych walut. </w:t>
            </w:r>
          </w:p>
        </w:tc>
      </w:tr>
    </w:tbl>
    <w:p w:rsidR="000B0B09" w:rsidRPr="00AA1421" w:rsidRDefault="000B0B09" w:rsidP="000B0B09">
      <w:pPr>
        <w:rPr>
          <w:rFonts w:ascii="Times New Roman" w:hAnsi="Times New Roman"/>
          <w:sz w:val="24"/>
        </w:rPr>
      </w:pP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403736"/>
      <w:r w:rsidRPr="00AA1421">
        <w:rPr>
          <w:rFonts w:ascii="Times New Roman" w:hAnsi="Times New Roman"/>
          <w:sz w:val="24"/>
          <w:u w:val="none"/>
        </w:rPr>
        <w:t>5.6.</w:t>
      </w:r>
      <w:r w:rsidR="00D712CF" w:rsidRPr="00AA1421">
        <w:rPr>
          <w:u w:val="none"/>
        </w:rPr>
        <w:tab/>
      </w:r>
      <w:r w:rsidRPr="00AA1421">
        <w:rPr>
          <w:rFonts w:ascii="Times New Roman" w:hAnsi="Times New Roman"/>
          <w:sz w:val="24"/>
        </w:rPr>
        <w:t xml:space="preserve">C 23.00 – Ryzyko rynkowe: </w:t>
      </w:r>
      <w:bookmarkStart w:id="713" w:name="_Toc262566435"/>
      <w:r w:rsidRPr="00AA1421">
        <w:rPr>
          <w:rFonts w:ascii="Times New Roman" w:hAnsi="Times New Roman"/>
          <w:sz w:val="24"/>
        </w:rPr>
        <w:t>ryzyko cen towarów według metod standardowych</w:t>
      </w:r>
      <w:bookmarkEnd w:id="713"/>
      <w:bookmarkEnd w:id="707"/>
      <w:bookmarkEnd w:id="708"/>
      <w:bookmarkEnd w:id="709"/>
      <w:bookmarkEnd w:id="710"/>
      <w:r w:rsidRPr="00AA1421">
        <w:rPr>
          <w:rFonts w:ascii="Times New Roman" w:hAnsi="Times New Roman"/>
          <w:sz w:val="24"/>
        </w:rPr>
        <w:t xml:space="preserve"> (MKR SA COM)</w:t>
      </w:r>
      <w:bookmarkEnd w:id="711"/>
      <w:bookmarkEnd w:id="712"/>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403737"/>
      <w:r w:rsidRPr="00AA1421">
        <w:rPr>
          <w:rFonts w:ascii="Times New Roman" w:hAnsi="Times New Roman"/>
          <w:sz w:val="24"/>
          <w:u w:val="none"/>
        </w:rPr>
        <w:t>5.6.1.</w:t>
      </w:r>
      <w:r w:rsidR="00D712CF" w:rsidRPr="00AA1421">
        <w:rPr>
          <w:u w:val="none"/>
        </w:rPr>
        <w:tab/>
      </w:r>
      <w:r w:rsidRPr="00AA1421">
        <w:rPr>
          <w:rFonts w:ascii="Times New Roman" w:hAnsi="Times New Roman"/>
          <w:sz w:val="24"/>
        </w:rPr>
        <w:t>Uwagi ogólne</w:t>
      </w:r>
      <w:bookmarkEnd w:id="714"/>
      <w:bookmarkEnd w:id="715"/>
      <w:bookmarkEnd w:id="716"/>
      <w:bookmarkEnd w:id="717"/>
      <w:bookmarkEnd w:id="718"/>
      <w:bookmarkEnd w:id="719"/>
      <w:bookmarkEnd w:id="720"/>
    </w:p>
    <w:p w:rsidR="000B0B09" w:rsidRPr="00AA1421" w:rsidRDefault="00AA1421" w:rsidP="00487A02">
      <w:pPr>
        <w:pStyle w:val="InstructionsText2"/>
        <w:numPr>
          <w:ilvl w:val="0"/>
          <w:numId w:val="0"/>
        </w:numPr>
        <w:ind w:left="1353" w:hanging="360"/>
      </w:pPr>
      <w:fldSimple w:instr=" seq paragraphs ">
        <w:r w:rsidR="00D11E4C" w:rsidRPr="00AA1421">
          <w:rPr>
            <w:noProof/>
          </w:rPr>
          <w:t>173</w:t>
        </w:r>
      </w:fldSimple>
      <w:r w:rsidR="00D11E4C" w:rsidRPr="00AA1421">
        <w:t>.</w:t>
      </w:r>
      <w:r w:rsidR="00D11E4C" w:rsidRPr="00AA1421">
        <w:tab/>
        <w:t xml:space="preserve"> Ten wzór wymaga podania informacji na temat pozycji w towarach i odpowiednich wymogów w zakresie funduszy własnych traktowanych zgodnie z metodą standardową.</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403738"/>
      <w:r w:rsidRPr="00AA1421">
        <w:rPr>
          <w:rFonts w:ascii="Times New Roman" w:hAnsi="Times New Roman"/>
          <w:sz w:val="24"/>
          <w:u w:val="none"/>
        </w:rPr>
        <w:t>5.6.2.</w:t>
      </w:r>
      <w:r w:rsidR="00D712CF" w:rsidRPr="00AA1421">
        <w:rPr>
          <w:u w:val="none"/>
        </w:rPr>
        <w:tab/>
      </w:r>
      <w:r w:rsidRPr="00AA1421">
        <w:rPr>
          <w:rFonts w:ascii="Times New Roman" w:hAnsi="Times New Roman"/>
          <w:sz w:val="24"/>
        </w:rPr>
        <w:t>Instrukcje dotyczące poszczególnych pozycji</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AA1421" w:rsidTr="00672D2A">
        <w:trPr>
          <w:trHeight w:val="591"/>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Kolumny</w:t>
            </w:r>
          </w:p>
        </w:tc>
      </w:tr>
      <w:tr w:rsidR="000B0B09" w:rsidRPr="00AA1421" w:rsidTr="00672D2A">
        <w:tc>
          <w:tcPr>
            <w:tcW w:w="986"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0010-0020</w:t>
            </w:r>
          </w:p>
        </w:tc>
        <w:tc>
          <w:tcPr>
            <w:tcW w:w="7876"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WSZYSTKIE POZYCJE (DŁUGIE I KRÓTKIE)</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Długie/krótkie pozycje brutto uważane za pozycje w tym samym towarze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 (zob. także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 </w:t>
            </w:r>
          </w:p>
        </w:tc>
      </w:tr>
      <w:tr w:rsidR="000B0B09" w:rsidRPr="00AA1421" w:rsidTr="00672D2A">
        <w:tc>
          <w:tcPr>
            <w:tcW w:w="986"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0030-0040 </w:t>
            </w:r>
          </w:p>
        </w:tc>
        <w:tc>
          <w:tcPr>
            <w:tcW w:w="7876"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NETTO (DŁUGIE I KRÓTKIE)</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1A0143">
            <w:pPr>
              <w:autoSpaceDE w:val="0"/>
              <w:autoSpaceDN w:val="0"/>
              <w:adjustRightInd w:val="0"/>
              <w:spacing w:before="0"/>
              <w:rPr>
                <w:rFonts w:ascii="Times New Roman" w:hAnsi="Times New Roman"/>
                <w:sz w:val="24"/>
              </w:rPr>
            </w:pPr>
            <w:r w:rsidRPr="00AA1421">
              <w:rPr>
                <w:rFonts w:ascii="Times New Roman" w:hAnsi="Times New Roman"/>
                <w:sz w:val="24"/>
              </w:rPr>
              <w:t xml:space="preserve">Jak zdefiniowano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57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CRR </w:t>
            </w:r>
          </w:p>
        </w:tc>
      </w:tr>
      <w:tr w:rsidR="000B0B09" w:rsidRPr="00AA1421" w:rsidTr="00672D2A">
        <w:tc>
          <w:tcPr>
            <w:tcW w:w="986"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0050</w:t>
            </w:r>
          </w:p>
        </w:tc>
        <w:tc>
          <w:tcPr>
            <w:tcW w:w="7876"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PODLEGAJĄCE NARZUTOWI KAPITAŁOWEMU</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Te pozycje netto, które zgodnie z różnymi metodami uwzględnionymi w części trzeciej tytuł IV rozdział 4 CRR otrzymują narzut kapitałowy.</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6"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w:t>
            </w:r>
          </w:p>
        </w:tc>
        <w:tc>
          <w:tcPr>
            <w:tcW w:w="7876"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WYMOGI W ZAKRESIE FUNDUSZY WŁASNYCH</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A2757B">
            <w:pPr>
              <w:autoSpaceDE w:val="0"/>
              <w:autoSpaceDN w:val="0"/>
              <w:adjustRightInd w:val="0"/>
              <w:spacing w:before="0"/>
              <w:rPr>
                <w:rFonts w:ascii="Times New Roman" w:hAnsi="Times New Roman"/>
                <w:b/>
                <w:bCs/>
                <w:sz w:val="24"/>
                <w:u w:val="single"/>
              </w:rPr>
            </w:pPr>
            <w:r w:rsidRPr="00AA1421">
              <w:rPr>
                <w:rFonts w:ascii="Times New Roman" w:hAnsi="Times New Roman"/>
                <w:sz w:val="24"/>
              </w:rPr>
              <w:t>Wymóg w zakresie funduszy własnych obliczany zgodnie z częścią trzecią tytuł IV rozdział 4 CRR w odniesieniu do każdej stosownej pozycji</w:t>
            </w:r>
          </w:p>
        </w:tc>
      </w:tr>
      <w:tr w:rsidR="000B0B09" w:rsidRPr="00AA1421" w:rsidTr="00672D2A">
        <w:tc>
          <w:tcPr>
            <w:tcW w:w="986"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0070</w:t>
            </w:r>
          </w:p>
        </w:tc>
        <w:tc>
          <w:tcPr>
            <w:tcW w:w="7876" w:type="dxa"/>
          </w:tcPr>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ŁĄCZNA KWOTA EKSPOZYCJI NA RYZYKO</w:t>
            </w:r>
          </w:p>
          <w:p w:rsidR="000B0B09" w:rsidRPr="00AA1421"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AA1421" w:rsidRDefault="00D21B29" w:rsidP="001A0143">
            <w:pPr>
              <w:tabs>
                <w:tab w:val="left" w:pos="1665"/>
              </w:tabs>
              <w:autoSpaceDE w:val="0"/>
              <w:autoSpaceDN w:val="0"/>
              <w:adjustRightInd w:val="0"/>
              <w:spacing w:before="0"/>
              <w:rPr>
                <w:rFonts w:ascii="Times New Roman" w:hAnsi="Times New Roman"/>
                <w:sz w:val="24"/>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p>
          <w:p w:rsidR="000B0B09" w:rsidRPr="00AA1421" w:rsidRDefault="000B0B09" w:rsidP="001A0143">
            <w:pPr>
              <w:tabs>
                <w:tab w:val="left" w:pos="1665"/>
              </w:tabs>
              <w:autoSpaceDE w:val="0"/>
              <w:autoSpaceDN w:val="0"/>
              <w:adjustRightInd w:val="0"/>
              <w:spacing w:before="0"/>
              <w:rPr>
                <w:rFonts w:ascii="Times New Roman" w:hAnsi="Times New Roman"/>
                <w:b/>
                <w:bCs/>
                <w:sz w:val="24"/>
                <w:u w:val="single"/>
              </w:rPr>
            </w:pPr>
            <w:r w:rsidRPr="00AA1421">
              <w:rPr>
                <w:rFonts w:ascii="Times New Roman" w:hAnsi="Times New Roman"/>
                <w:sz w:val="24"/>
              </w:rPr>
              <w:t>Wynik pomnożenia wymogów w zakresie funduszy własnych przez 12,5</w:t>
            </w:r>
          </w:p>
        </w:tc>
      </w:tr>
    </w:tbl>
    <w:p w:rsidR="000B0B09" w:rsidRPr="00AA1421"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A1421" w:rsidTr="00672D2A">
        <w:trPr>
          <w:trHeight w:val="483"/>
        </w:trPr>
        <w:tc>
          <w:tcPr>
            <w:tcW w:w="8862"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Wiersze</w:t>
            </w:r>
          </w:p>
        </w:tc>
      </w:tr>
      <w:tr w:rsidR="000B0B09" w:rsidRPr="00AA1421" w:rsidTr="00672D2A">
        <w:tc>
          <w:tcPr>
            <w:tcW w:w="987"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0010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DOTYCZĄCE CEN TOWARÓW RAZEM</w:t>
            </w:r>
          </w:p>
          <w:p w:rsidR="000B0B09" w:rsidRPr="00AA1421" w:rsidRDefault="000B0B09" w:rsidP="000B0B09">
            <w:pPr>
              <w:autoSpaceDE w:val="0"/>
              <w:autoSpaceDN w:val="0"/>
              <w:adjustRightInd w:val="0"/>
              <w:spacing w:before="0" w:after="0"/>
              <w:rPr>
                <w:rFonts w:ascii="Times New Roman" w:hAnsi="Times New Roman"/>
                <w:sz w:val="24"/>
              </w:rPr>
            </w:pPr>
          </w:p>
          <w:p w:rsidR="000B0B09" w:rsidRPr="00AA1421" w:rsidRDefault="000B0B09" w:rsidP="00A2757B">
            <w:pPr>
              <w:autoSpaceDE w:val="0"/>
              <w:autoSpaceDN w:val="0"/>
              <w:adjustRightInd w:val="0"/>
              <w:spacing w:before="0"/>
              <w:rPr>
                <w:rFonts w:ascii="Times New Roman" w:hAnsi="Times New Roman"/>
                <w:sz w:val="24"/>
              </w:rPr>
            </w:pPr>
            <w:r w:rsidRPr="00AA1421">
              <w:rPr>
                <w:rFonts w:ascii="Times New Roman" w:hAnsi="Times New Roman"/>
                <w:sz w:val="24"/>
              </w:rPr>
              <w:t xml:space="preserve">Pozycje w towarach oraz odpowiadające im wymogi w zakresie funduszy własnych w odniesieniu do ryzyka rynkowego obliczonego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(iii) CRR i częścią trzecią tytuł IV rozdział 4 CRR </w:t>
            </w:r>
          </w:p>
        </w:tc>
      </w:tr>
      <w:tr w:rsidR="000B0B09" w:rsidRPr="00AA1421" w:rsidTr="00672D2A">
        <w:tc>
          <w:tcPr>
            <w:tcW w:w="987"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0020-0060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WEDŁUG KATEGORII TOWARU</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Na potrzeby sprawozdawczości towary dzieli się na cztery grupy towarów, o których mowa w tabeli 2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61 CRR.</w:t>
            </w: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 </w:t>
            </w:r>
          </w:p>
        </w:tc>
      </w:tr>
      <w:tr w:rsidR="000B0B09" w:rsidRPr="00AA1421" w:rsidTr="00672D2A">
        <w:tc>
          <w:tcPr>
            <w:tcW w:w="987"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0070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METODA TERMINÓW ZAPADALNOŚCI</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w towarach podlegające metodzie terminów zapadalności,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59 CRR</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7"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0080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ROZSZERZONA METODA TERMINÓW ZAPADALNOŚCI</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Pozycje w towarach podlegające rozszerzonej metodzie terminów zapadalności,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61 CRR</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7"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0090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METODA UPROSZCZONA</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 xml:space="preserve">Pozycje w towarach podlegające metodzie uproszczonej,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60 CRR </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87"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0100-0140</w:t>
            </w:r>
          </w:p>
        </w:tc>
        <w:tc>
          <w:tcPr>
            <w:tcW w:w="7875"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Style w:val="InstructionsTabelleberschrift"/>
                <w:rFonts w:ascii="Times New Roman" w:hAnsi="Times New Roman"/>
                <w:sz w:val="24"/>
              </w:rPr>
              <w:t>DODATKOWE WYMOGI W ZAKRESIE OPCJI (RYZYKA INNE NIŻ RYZYKO DELTA)</w:t>
            </w:r>
          </w:p>
          <w:p w:rsidR="000B0B09" w:rsidRPr="00AA1421" w:rsidRDefault="000B0B09" w:rsidP="001A0143">
            <w:pPr>
              <w:autoSpaceDE w:val="0"/>
              <w:autoSpaceDN w:val="0"/>
              <w:adjustRightInd w:val="0"/>
              <w:rPr>
                <w:rFonts w:ascii="Times New Roman" w:hAnsi="Times New Roman"/>
                <w:sz w:val="24"/>
              </w:rPr>
            </w:pPr>
            <w:r w:rsidRPr="00AA1421">
              <w:rPr>
                <w:rFonts w:ascii="Times New Roman" w:hAnsi="Times New Roman"/>
                <w:sz w:val="24"/>
              </w:rPr>
              <w:t xml:space="preserve">Art. 358 ust. 4 CRR </w:t>
            </w: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Dodatkowe wymogi w zakresie opcji związane z </w:t>
            </w:r>
            <w:proofErr w:type="spellStart"/>
            <w:r w:rsidRPr="00AA1421">
              <w:rPr>
                <w:rFonts w:ascii="Times New Roman" w:hAnsi="Times New Roman"/>
                <w:sz w:val="24"/>
              </w:rPr>
              <w:t>ryzykami</w:t>
            </w:r>
            <w:proofErr w:type="spellEnd"/>
            <w:r w:rsidRPr="00AA1421">
              <w:rPr>
                <w:rFonts w:ascii="Times New Roman" w:hAnsi="Times New Roman"/>
                <w:sz w:val="24"/>
              </w:rPr>
              <w:t xml:space="preserve"> innymi niż ryzyko delta zgłasza się w metodzie stosowanej do obliczenia tego ryzyka.</w:t>
            </w:r>
          </w:p>
          <w:p w:rsidR="000B0B09" w:rsidRPr="00AA1421" w:rsidRDefault="000B0B09" w:rsidP="000B0B09">
            <w:pPr>
              <w:autoSpaceDE w:val="0"/>
              <w:autoSpaceDN w:val="0"/>
              <w:adjustRightInd w:val="0"/>
              <w:spacing w:before="0" w:after="0"/>
              <w:rPr>
                <w:rFonts w:ascii="Times New Roman" w:hAnsi="Times New Roman"/>
                <w:sz w:val="24"/>
                <w:lang w:eastAsia="de-DE"/>
              </w:rPr>
            </w:pPr>
          </w:p>
        </w:tc>
      </w:tr>
    </w:tbl>
    <w:p w:rsidR="000B0B09" w:rsidRPr="00AA1421" w:rsidRDefault="000B0B09" w:rsidP="000B0B09">
      <w:pPr>
        <w:rPr>
          <w:rFonts w:ascii="Times New Roman" w:hAnsi="Times New Roman"/>
          <w:sz w:val="24"/>
        </w:rPr>
      </w:pPr>
    </w:p>
    <w:p w:rsidR="000B0B09" w:rsidRPr="00AA1421"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403739"/>
      <w:r w:rsidRPr="00AA1421">
        <w:rPr>
          <w:rFonts w:ascii="Times New Roman" w:hAnsi="Times New Roman"/>
          <w:sz w:val="24"/>
          <w:u w:val="none"/>
        </w:rPr>
        <w:t>5.7.</w:t>
      </w:r>
      <w:r w:rsidR="00D712CF" w:rsidRPr="00AA1421">
        <w:rPr>
          <w:u w:val="none"/>
        </w:rPr>
        <w:tab/>
      </w:r>
      <w:bookmarkStart w:id="734" w:name="_Toc262566438"/>
      <w:r w:rsidRPr="00AA1421">
        <w:rPr>
          <w:rFonts w:ascii="Times New Roman" w:hAnsi="Times New Roman"/>
          <w:sz w:val="24"/>
        </w:rPr>
        <w:t>C 24.00 – Modele wewnętrzne ryzyka rynkowego</w:t>
      </w:r>
      <w:bookmarkEnd w:id="734"/>
      <w:bookmarkEnd w:id="728"/>
      <w:bookmarkEnd w:id="729"/>
      <w:bookmarkEnd w:id="730"/>
      <w:bookmarkEnd w:id="731"/>
      <w:r w:rsidRPr="00AA1421">
        <w:rPr>
          <w:rFonts w:ascii="Times New Roman" w:hAnsi="Times New Roman"/>
          <w:sz w:val="24"/>
        </w:rPr>
        <w:t xml:space="preserve"> (MKR IM)</w:t>
      </w:r>
      <w:bookmarkEnd w:id="732"/>
      <w:bookmarkEnd w:id="733"/>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403740"/>
      <w:r w:rsidRPr="00AA1421">
        <w:rPr>
          <w:rFonts w:ascii="Times New Roman" w:hAnsi="Times New Roman"/>
          <w:sz w:val="24"/>
          <w:u w:val="none"/>
        </w:rPr>
        <w:t>5.7.1.</w:t>
      </w:r>
      <w:r w:rsidR="00D712CF" w:rsidRPr="00AA1421">
        <w:rPr>
          <w:u w:val="none"/>
        </w:rPr>
        <w:tab/>
      </w:r>
      <w:r w:rsidRPr="00AA1421">
        <w:rPr>
          <w:rFonts w:ascii="Times New Roman" w:hAnsi="Times New Roman"/>
          <w:sz w:val="24"/>
        </w:rPr>
        <w:t>Uwagi ogólne</w:t>
      </w:r>
      <w:bookmarkEnd w:id="735"/>
      <w:bookmarkEnd w:id="736"/>
      <w:bookmarkEnd w:id="737"/>
      <w:bookmarkEnd w:id="738"/>
      <w:bookmarkEnd w:id="739"/>
      <w:bookmarkEnd w:id="740"/>
      <w:bookmarkEnd w:id="741"/>
    </w:p>
    <w:p w:rsidR="000B0B09" w:rsidRPr="00AA1421" w:rsidRDefault="00AA1421" w:rsidP="00487A02">
      <w:pPr>
        <w:pStyle w:val="InstructionsText2"/>
        <w:numPr>
          <w:ilvl w:val="0"/>
          <w:numId w:val="0"/>
        </w:numPr>
        <w:ind w:left="1353" w:hanging="360"/>
      </w:pPr>
      <w:fldSimple w:instr=" seq paragraphs ">
        <w:r w:rsidR="00D11E4C" w:rsidRPr="00AA1421">
          <w:rPr>
            <w:noProof/>
          </w:rPr>
          <w:t>174</w:t>
        </w:r>
      </w:fldSimple>
      <w:r w:rsidR="00D11E4C" w:rsidRPr="00AA1421">
        <w:t>.</w:t>
      </w:r>
      <w:r w:rsidR="00D11E4C" w:rsidRPr="00AA1421">
        <w:tab/>
        <w:t xml:space="preserve"> Ten wzór zawiera podział danych dotyczących wartości zagrożonej (</w:t>
      </w:r>
      <w:proofErr w:type="spellStart"/>
      <w:r w:rsidR="00D11E4C" w:rsidRPr="00AA1421">
        <w:t>VaR</w:t>
      </w:r>
      <w:proofErr w:type="spellEnd"/>
      <w:r w:rsidR="00D11E4C" w:rsidRPr="00AA1421">
        <w:t>) i wartości zagrożonej w warunkach skrajnych (</w:t>
      </w:r>
      <w:proofErr w:type="spellStart"/>
      <w:r w:rsidR="00D11E4C" w:rsidRPr="00AA1421">
        <w:t>sVaR</w:t>
      </w:r>
      <w:proofErr w:type="spellEnd"/>
      <w:r w:rsidR="00D11E4C" w:rsidRPr="00AA1421">
        <w:t>) według różnych rodzajów ryzyka rynkowego (zadłużenie, kapitał własny, waluty obce, towary) i inne informacje mające istotne znaczenie przy obliczaniu wymogów w zakresie funduszy własnych.</w:t>
      </w:r>
    </w:p>
    <w:p w:rsidR="000B0B09" w:rsidRPr="00AA1421" w:rsidRDefault="00AA1421" w:rsidP="00487A02">
      <w:pPr>
        <w:pStyle w:val="InstructionsText2"/>
        <w:numPr>
          <w:ilvl w:val="0"/>
          <w:numId w:val="0"/>
        </w:numPr>
        <w:ind w:left="1353" w:hanging="360"/>
      </w:pPr>
      <w:fldSimple w:instr=" seq paragraphs ">
        <w:r w:rsidR="00D11E4C" w:rsidRPr="00AA1421">
          <w:rPr>
            <w:noProof/>
          </w:rPr>
          <w:t>175</w:t>
        </w:r>
      </w:fldSimple>
      <w:r w:rsidR="00D11E4C" w:rsidRPr="00AA1421">
        <w:t>.</w:t>
      </w:r>
      <w:r w:rsidR="00D11E4C" w:rsidRPr="00AA1421">
        <w:tab/>
        <w:t xml:space="preserve"> Ogólnie rzecz biorąc, zależy to od struktury modelu instytucji, od tego, czy można określić i zgłosić wyłącznie razem dane dotyczące ryzyka ogólnego i ryzyka szczególnego. To samo odnosi się do podziału wartości zagrożonej / wartości zagrożonej w warunkach skrajnych na kategorie ryzyka (ryzyko stopy procentowej, ryzyko związane z inwestowaniem w akcje, ryzyko cen towarów i ryzyko walutowe). Instytucja może zrezygnować ze zgłoszenia tego podziału, jeżeli udowodni, że zgłoszenie tych danych byłoby nadmiernie uciążliwe. </w:t>
      </w: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403741"/>
      <w:r w:rsidRPr="00AA1421">
        <w:rPr>
          <w:rFonts w:ascii="Times New Roman" w:hAnsi="Times New Roman"/>
          <w:sz w:val="24"/>
          <w:u w:val="none"/>
        </w:rPr>
        <w:t>5.7.2.</w:t>
      </w:r>
      <w:r w:rsidR="00D712CF" w:rsidRPr="00AA1421">
        <w:rPr>
          <w:u w:val="none"/>
        </w:rPr>
        <w:tab/>
      </w:r>
      <w:r w:rsidRPr="00AA1421">
        <w:rPr>
          <w:rFonts w:ascii="Times New Roman" w:hAnsi="Times New Roman"/>
          <w:sz w:val="24"/>
        </w:rPr>
        <w:t>Instrukcje dotyczące poszczególnych pozycji</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AA1421" w:rsidTr="00672D2A">
        <w:tc>
          <w:tcPr>
            <w:tcW w:w="8862" w:type="dxa"/>
            <w:gridSpan w:val="2"/>
            <w:shd w:val="clear" w:color="auto" w:fill="BFBFBF"/>
          </w:tcPr>
          <w:p w:rsidR="000B0B09" w:rsidRPr="00AA1421" w:rsidRDefault="0034786E"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Kolumny</w:t>
            </w: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0030-0040</w:t>
            </w:r>
          </w:p>
        </w:tc>
        <w:tc>
          <w:tcPr>
            <w:tcW w:w="7869" w:type="dxa"/>
          </w:tcPr>
          <w:p w:rsidR="000B0B09" w:rsidRPr="00AA1421" w:rsidRDefault="0016282F"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Wartość zagrożona</w:t>
            </w:r>
          </w:p>
          <w:p w:rsidR="000B0B09" w:rsidRPr="00AA1421" w:rsidRDefault="0016282F" w:rsidP="002300C6">
            <w:pPr>
              <w:autoSpaceDE w:val="0"/>
              <w:autoSpaceDN w:val="0"/>
              <w:adjustRightInd w:val="0"/>
              <w:rPr>
                <w:rFonts w:ascii="Times New Roman" w:hAnsi="Times New Roman"/>
                <w:b/>
                <w:bCs/>
                <w:sz w:val="24"/>
                <w:u w:val="single"/>
              </w:rPr>
            </w:pPr>
            <w:r w:rsidRPr="00AA1421">
              <w:rPr>
                <w:rFonts w:ascii="Times New Roman" w:hAnsi="Times New Roman"/>
                <w:sz w:val="24"/>
              </w:rPr>
              <w:t>Wartość zagrożona oznacza maksymalną potencjalną stratę, będącą wynikiem zmiany ceny z uwzględnieniem danego prawdopodobieństwa w określonym horyzoncie czasowym.</w:t>
            </w: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0030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Mnożnik (mc) x Średnia wartości zagrożonych z poprzednich 60 dni roboczych (</w:t>
            </w:r>
            <w:proofErr w:type="spellStart"/>
            <w:r w:rsidRPr="00AA1421">
              <w:rPr>
                <w:rFonts w:ascii="Times New Roman" w:hAnsi="Times New Roman"/>
                <w:b/>
                <w:bCs/>
                <w:sz w:val="24"/>
                <w:u w:val="single"/>
              </w:rPr>
              <w:t>VaRavg</w:t>
            </w:r>
            <w:proofErr w:type="spellEnd"/>
            <w:r w:rsidRPr="00AA1421">
              <w:rPr>
                <w:rFonts w:ascii="Times New Roman" w:hAnsi="Times New Roman"/>
                <w:b/>
                <w:bCs/>
                <w:sz w:val="24"/>
                <w:u w:val="single"/>
              </w:rPr>
              <w:t>)</w:t>
            </w:r>
          </w:p>
          <w:p w:rsidR="000B0B09" w:rsidRPr="00AA1421"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AA1421" w:rsidRDefault="00705025" w:rsidP="005F109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t>
            </w:r>
          </w:p>
          <w:p w:rsidR="000B0B09" w:rsidRPr="00AA1421" w:rsidRDefault="000B0B09" w:rsidP="000B0B09">
            <w:pPr>
              <w:autoSpaceDE w:val="0"/>
              <w:autoSpaceDN w:val="0"/>
              <w:adjustRightInd w:val="0"/>
              <w:spacing w:before="0" w:after="0"/>
              <w:rPr>
                <w:rFonts w:ascii="Times New Roman" w:hAnsi="Times New Roman"/>
                <w:sz w:val="24"/>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0040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Wartość zagrożona z poprzedniego dnia (VaRt-1)</w:t>
            </w:r>
          </w:p>
          <w:p w:rsidR="000B0B09" w:rsidRPr="00AA1421"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AA1421" w:rsidRDefault="0070502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t>
            </w:r>
          </w:p>
          <w:p w:rsidR="000B0B09" w:rsidRPr="00AA1421" w:rsidRDefault="000B0B09" w:rsidP="000B0B09">
            <w:pPr>
              <w:autoSpaceDE w:val="0"/>
              <w:autoSpaceDN w:val="0"/>
              <w:adjustRightInd w:val="0"/>
              <w:spacing w:before="0" w:after="0"/>
              <w:rPr>
                <w:rFonts w:ascii="Times New Roman" w:hAnsi="Times New Roman"/>
                <w:sz w:val="24"/>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0050-0060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Wartość zagrożona w warunkach skrajnych</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16282F" w:rsidP="002300C6">
            <w:pPr>
              <w:autoSpaceDE w:val="0"/>
              <w:autoSpaceDN w:val="0"/>
              <w:adjustRightInd w:val="0"/>
              <w:spacing w:before="0"/>
              <w:rPr>
                <w:rFonts w:ascii="Times New Roman" w:hAnsi="Times New Roman"/>
                <w:sz w:val="24"/>
              </w:rPr>
            </w:pPr>
            <w:r w:rsidRPr="00AA1421">
              <w:rPr>
                <w:rFonts w:ascii="Times New Roman" w:hAnsi="Times New Roman"/>
                <w:sz w:val="24"/>
              </w:rPr>
              <w:lastRenderedPageBreak/>
              <w:t>Wartość zagrożona w warunkach skrajnych oznacza maksymalną potencjalną stratę będącą wynikiem zmiany ceny z uwzględnieniem danego prawdopodobieństwa w określonym horyzoncie czasowym uzyskaną za pomocą danych skalibrowanych z danymi historycznym pochodzącymi z ciągłego 12-miesięcznego okresu występowania skrajnych warunków finansowych mających znaczenie dla portfela instytucji.</w:t>
            </w: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0050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Mnożnik (ms) x Średnia z poprzednich 60 dni roboczych (</w:t>
            </w:r>
            <w:proofErr w:type="spellStart"/>
            <w:r w:rsidRPr="00AA1421">
              <w:rPr>
                <w:rFonts w:ascii="Times New Roman" w:hAnsi="Times New Roman"/>
                <w:b/>
                <w:bCs/>
                <w:sz w:val="24"/>
                <w:u w:val="single"/>
              </w:rPr>
              <w:t>SVaRavg</w:t>
            </w:r>
            <w:proofErr w:type="spellEnd"/>
            <w:r w:rsidRPr="00AA1421">
              <w:rPr>
                <w:rFonts w:ascii="Times New Roman" w:hAnsi="Times New Roman"/>
                <w:b/>
                <w:bCs/>
                <w:sz w:val="24"/>
                <w:u w:val="single"/>
              </w:rPr>
              <w:t>)</w:t>
            </w:r>
          </w:p>
          <w:p w:rsidR="000B0B09" w:rsidRPr="00AA1421"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AA1421"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r w:rsidRPr="00AA1421">
              <w:rPr>
                <w:rStyle w:val="InstructionsTabelleberschrift"/>
                <w:rFonts w:ascii="Times New Roman" w:hAnsi="Times New Roman"/>
                <w:bCs w:val="0"/>
                <w:sz w:val="24"/>
              </w:rPr>
              <w:t xml:space="preserve"> </w:t>
            </w:r>
          </w:p>
          <w:p w:rsidR="000B0B09" w:rsidRPr="00AA1421"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Ostatnia dostępna (SVaRt-1)</w:t>
            </w:r>
          </w:p>
          <w:p w:rsidR="000B0B09" w:rsidRPr="00AA1421" w:rsidRDefault="000B0B09" w:rsidP="000B0B09">
            <w:pPr>
              <w:autoSpaceDE w:val="0"/>
              <w:autoSpaceDN w:val="0"/>
              <w:adjustRightInd w:val="0"/>
              <w:spacing w:before="0" w:after="0"/>
              <w:rPr>
                <w:rFonts w:ascii="Times New Roman" w:hAnsi="Times New Roman"/>
                <w:sz w:val="24"/>
              </w:rPr>
            </w:pPr>
          </w:p>
          <w:p w:rsidR="000B0B09" w:rsidRPr="00AA1421" w:rsidRDefault="0070502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w:t>
            </w:r>
          </w:p>
          <w:p w:rsidR="000B0B09" w:rsidRPr="00AA1421"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0070-0080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NARZUT KAPITAŁOWY Z TYTUŁU DODATKOWEGO RYZYKA NIEWYKONANIA ZOBOWIĄZAŃ I RYZYKA MIGRACJI</w:t>
            </w:r>
          </w:p>
          <w:p w:rsidR="000B0B09" w:rsidRPr="00AA1421" w:rsidRDefault="0016282F" w:rsidP="0016282F">
            <w:pPr>
              <w:rPr>
                <w:rFonts w:ascii="Times New Roman" w:hAnsi="Times New Roman"/>
                <w:b/>
                <w:bCs/>
                <w:sz w:val="24"/>
                <w:u w:val="single"/>
              </w:rPr>
            </w:pPr>
            <w:r w:rsidRPr="00AA1421">
              <w:rPr>
                <w:rFonts w:ascii="Times New Roman" w:hAnsi="Times New Roman"/>
                <w:sz w:val="24"/>
              </w:rPr>
              <w:t xml:space="preserve">Narzut kapitałowy z tytułu dodatkowego ryzyka niewykonania zobowiązań i ryzyka migracji oznacza maksymalną potencjalną stratę będącą wynikiem zmiany ceny powiązaną z ryzykiem niewykonania zobowiązań i ryzykiem migracji obliczonym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 związku z częścią trzecią tytuł IV rozdział 5 sekcja 4 CRR. </w:t>
            </w: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0070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Średnia wartość z 12 tygodni</w:t>
            </w:r>
          </w:p>
          <w:p w:rsidR="005C14B0" w:rsidRPr="00AA1421" w:rsidRDefault="005C14B0">
            <w:pPr>
              <w:autoSpaceDE w:val="0"/>
              <w:autoSpaceDN w:val="0"/>
              <w:adjustRightInd w:val="0"/>
              <w:spacing w:before="0" w:after="0"/>
              <w:rPr>
                <w:rFonts w:ascii="Times New Roman" w:hAnsi="Times New Roman"/>
                <w:sz w:val="24"/>
              </w:rPr>
            </w:pPr>
          </w:p>
          <w:p w:rsidR="005C14B0" w:rsidRPr="00AA1421" w:rsidRDefault="00705025">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w związku z częścią trzecią tytuł IV rozdział 5 sekcja 4 CRR</w:t>
            </w:r>
          </w:p>
          <w:p w:rsidR="000B0B09" w:rsidRPr="00AA1421" w:rsidRDefault="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0080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Ostatnia wartość</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AA1421" w:rsidRDefault="00705025"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w związku z częścią trzecią tytuł IV rozdział 5 sekcja 4 CRR</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0090-0110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WSZELKIE NARZUTY KAPITAŁOWE Z TYTUŁU RYZYKA ZMIANY CEN NA POTRZEBY KORELACYJNEGO PORTFELA HANDLOWEGO</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0090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DOLNA GRANICA</w:t>
            </w:r>
          </w:p>
          <w:p w:rsidR="000B0B09" w:rsidRPr="00AA1421" w:rsidRDefault="00705025" w:rsidP="000B0B09">
            <w:pPr>
              <w:rPr>
                <w:rFonts w:ascii="Times New Roman" w:hAnsi="Times New Roman"/>
                <w:sz w:val="24"/>
              </w:rPr>
            </w:pPr>
            <w:r w:rsidRPr="00AA1421">
              <w:rPr>
                <w:rFonts w:ascii="Times New Roman" w:hAnsi="Times New Roman"/>
                <w:sz w:val="24"/>
              </w:rPr>
              <w:t xml:space="preserve">Art. 364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w:t>
            </w:r>
          </w:p>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sz w:val="24"/>
              </w:rPr>
              <w:t xml:space="preserve">= </w:t>
            </w:r>
            <w:r w:rsidRPr="00084F66">
              <w:rPr>
                <w:rFonts w:ascii="Times New Roman" w:hAnsi="Times New Roman"/>
                <w:sz w:val="24"/>
              </w:rPr>
              <w:t>8</w:t>
            </w:r>
            <w:r w:rsidR="00084F66" w:rsidRPr="00084F66">
              <w:rPr>
                <w:rFonts w:ascii="Times New Roman" w:hAnsi="Times New Roman"/>
                <w:sz w:val="24"/>
              </w:rPr>
              <w:t> </w:t>
            </w:r>
            <w:r w:rsidRPr="00084F66">
              <w:rPr>
                <w:rFonts w:ascii="Times New Roman" w:hAnsi="Times New Roman"/>
                <w:sz w:val="24"/>
              </w:rPr>
              <w:t>%</w:t>
            </w:r>
            <w:r w:rsidRPr="00AA1421">
              <w:rPr>
                <w:rFonts w:ascii="Times New Roman" w:hAnsi="Times New Roman"/>
                <w:sz w:val="24"/>
              </w:rPr>
              <w:t xml:space="preserve"> narzutu kapitałowego, który obliczono by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dla wszystkich pozycji we „wszelkich narzutach kapitałowych z tytułu ryzyka zmiany cen”.</w:t>
            </w:r>
            <w:r w:rsidRPr="00AA1421">
              <w:rPr>
                <w:rFonts w:ascii="Times New Roman" w:hAnsi="Times New Roman"/>
                <w:b/>
                <w:bCs/>
                <w:sz w:val="24"/>
                <w:u w:val="single"/>
              </w:rPr>
              <w:t xml:space="preserve"> </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0100-0110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ŚREDNIA WARTOŚĆ Z 12 TYGODNI I OSTATNIA WARTOŚĆ</w:t>
            </w:r>
          </w:p>
          <w:p w:rsidR="000B0B09" w:rsidRPr="00AA1421" w:rsidRDefault="00705025" w:rsidP="0016282F">
            <w:pPr>
              <w:autoSpaceDE w:val="0"/>
              <w:autoSpaceDN w:val="0"/>
              <w:adjustRightInd w:val="0"/>
              <w:spacing w:after="0"/>
              <w:rPr>
                <w:rFonts w:ascii="Times New Roman" w:hAnsi="Times New Roman"/>
                <w:bCs/>
                <w:sz w:val="24"/>
              </w:rPr>
            </w:pPr>
            <w:r w:rsidRPr="00AA1421">
              <w:rPr>
                <w:rFonts w:ascii="Times New Roman" w:hAnsi="Times New Roman"/>
                <w:bCs/>
                <w:sz w:val="24"/>
              </w:rPr>
              <w:t xml:space="preserve">Art. 364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b)</w:t>
            </w:r>
            <w:r w:rsidRPr="00AA1421">
              <w:rPr>
                <w:rFonts w:ascii="Times New Roman" w:hAnsi="Times New Roman"/>
                <w:bCs/>
                <w:sz w:val="24"/>
              </w:rPr>
              <w:t xml:space="preserve"> CRR</w:t>
            </w:r>
          </w:p>
          <w:p w:rsidR="000B0B09" w:rsidRPr="00AA1421"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0110</w:t>
            </w:r>
          </w:p>
        </w:tc>
        <w:tc>
          <w:tcPr>
            <w:tcW w:w="7869" w:type="dxa"/>
          </w:tcPr>
          <w:p w:rsidR="000B0B09" w:rsidRPr="00AA1421" w:rsidRDefault="000B0B09" w:rsidP="0016282F">
            <w:pPr>
              <w:autoSpaceDE w:val="0"/>
              <w:autoSpaceDN w:val="0"/>
              <w:adjustRightInd w:val="0"/>
              <w:spacing w:before="0"/>
              <w:rPr>
                <w:rFonts w:ascii="Times New Roman" w:hAnsi="Times New Roman"/>
                <w:b/>
                <w:bCs/>
                <w:sz w:val="24"/>
                <w:u w:val="single"/>
              </w:rPr>
            </w:pPr>
            <w:r w:rsidRPr="00AA1421">
              <w:rPr>
                <w:rFonts w:ascii="Times New Roman" w:hAnsi="Times New Roman"/>
                <w:b/>
                <w:bCs/>
                <w:sz w:val="24"/>
                <w:u w:val="single"/>
              </w:rPr>
              <w:t>OSTATNIA WARTOŚĆ</w:t>
            </w:r>
          </w:p>
          <w:p w:rsidR="005C14B0" w:rsidRPr="00AA1421" w:rsidRDefault="00705025" w:rsidP="000B0B09">
            <w:pPr>
              <w:autoSpaceDE w:val="0"/>
              <w:autoSpaceDN w:val="0"/>
              <w:adjustRightInd w:val="0"/>
              <w:spacing w:before="0" w:after="0"/>
              <w:rPr>
                <w:rFonts w:ascii="Times New Roman" w:hAnsi="Times New Roman"/>
                <w:bCs/>
                <w:sz w:val="24"/>
              </w:rPr>
            </w:pPr>
            <w:r w:rsidRPr="00AA1421">
              <w:rPr>
                <w:rFonts w:ascii="Times New Roman" w:hAnsi="Times New Roman"/>
                <w:bCs/>
                <w:sz w:val="24"/>
              </w:rPr>
              <w:t xml:space="preserve">Art. 364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CRR</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0120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WYMOGI W ZAKRESIE FUNDUSZY WŁASNYCH</w:t>
            </w:r>
          </w:p>
          <w:p w:rsidR="000B0B09" w:rsidRPr="00AA1421" w:rsidRDefault="00BE0363" w:rsidP="0016282F">
            <w:pPr>
              <w:autoSpaceDE w:val="0"/>
              <w:autoSpaceDN w:val="0"/>
              <w:adjustRightInd w:val="0"/>
              <w:rPr>
                <w:rFonts w:ascii="Times New Roman" w:hAnsi="Times New Roman"/>
                <w:b/>
                <w:bCs/>
                <w:sz w:val="24"/>
                <w:u w:val="single"/>
              </w:rPr>
            </w:pPr>
            <w:r w:rsidRPr="00AA1421">
              <w:rPr>
                <w:rFonts w:ascii="Times New Roman" w:hAnsi="Times New Roman"/>
                <w:bCs/>
                <w:sz w:val="24"/>
              </w:rPr>
              <w:t>Wymogi w zakresie funduszy własnych</w:t>
            </w:r>
            <w:r w:rsidRPr="00AA1421">
              <w:rPr>
                <w:rFonts w:ascii="Times New Roman" w:hAnsi="Times New Roman"/>
                <w:sz w:val="24"/>
              </w:rPr>
              <w:t xml:space="preserv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64 CRR dotyczącym wszystkich czynników ryzyka uwzględniających skutki korelacji, jeżeli dotyczy, oraz dodatkowe ryzyko niewykonania zobowiązań i ryzyko migracji, a także wszelkie ryzyko zmiany cen na potrzeby korelacyjnego portfela handlowego, ale z wyjątkiem narzutów kapitałowych z tytułu sekurytyzacji w odniesieniu do sekurytyzacji i kredytowego instrumentu pochodnego uruchamianego n-tym niewykonaniem zobowiązania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 </w:t>
            </w: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0130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ŁĄCZNA KWOTA EKSPOZYCJI NA RYZYKO</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AA1421" w:rsidRDefault="00D21B2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w:t>
            </w: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Wynik pomnożenia wymogów w zakresie funduszy własnych przez 12,5</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0140</w:t>
            </w:r>
          </w:p>
        </w:tc>
        <w:tc>
          <w:tcPr>
            <w:tcW w:w="7869" w:type="dxa"/>
          </w:tcPr>
          <w:p w:rsidR="000B0B09" w:rsidRPr="00AA1421" w:rsidRDefault="000B0B09" w:rsidP="0016282F">
            <w:pPr>
              <w:autoSpaceDE w:val="0"/>
              <w:autoSpaceDN w:val="0"/>
              <w:adjustRightInd w:val="0"/>
              <w:spacing w:before="0"/>
              <w:rPr>
                <w:rFonts w:ascii="Times New Roman" w:hAnsi="Times New Roman"/>
                <w:b/>
                <w:bCs/>
                <w:sz w:val="24"/>
                <w:u w:val="single"/>
              </w:rPr>
            </w:pPr>
            <w:r w:rsidRPr="00AA1421">
              <w:rPr>
                <w:rFonts w:ascii="Times New Roman" w:hAnsi="Times New Roman"/>
                <w:b/>
                <w:bCs/>
                <w:sz w:val="24"/>
                <w:u w:val="single"/>
              </w:rPr>
              <w:t>Liczba przekroczeń w ciągu ostatnich 250 dni roboczych</w:t>
            </w:r>
          </w:p>
          <w:p w:rsidR="00A92CFF" w:rsidRPr="00AA1421" w:rsidRDefault="000B0B09" w:rsidP="0016282F">
            <w:pPr>
              <w:autoSpaceDE w:val="0"/>
              <w:autoSpaceDN w:val="0"/>
              <w:adjustRightInd w:val="0"/>
              <w:spacing w:before="0"/>
              <w:rPr>
                <w:rFonts w:ascii="Times New Roman" w:hAnsi="Times New Roman"/>
                <w:sz w:val="24"/>
              </w:rPr>
            </w:pPr>
            <w:r w:rsidRPr="00AA1421">
              <w:rPr>
                <w:rFonts w:ascii="Times New Roman" w:hAnsi="Times New Roman"/>
                <w:sz w:val="24"/>
              </w:rPr>
              <w:t xml:space="preserve">Jest o niej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66 CRR</w:t>
            </w:r>
          </w:p>
          <w:p w:rsidR="000B0B09" w:rsidRPr="00AA1421" w:rsidRDefault="00A92CFF" w:rsidP="0016282F">
            <w:pPr>
              <w:autoSpaceDE w:val="0"/>
              <w:autoSpaceDN w:val="0"/>
              <w:adjustRightInd w:val="0"/>
              <w:spacing w:before="0"/>
              <w:rPr>
                <w:rFonts w:ascii="Times New Roman" w:hAnsi="Times New Roman"/>
                <w:b/>
                <w:bCs/>
                <w:sz w:val="24"/>
                <w:u w:val="single"/>
              </w:rPr>
            </w:pPr>
            <w:r w:rsidRPr="00AA1421">
              <w:rPr>
                <w:rFonts w:ascii="Times New Roman" w:hAnsi="Times New Roman"/>
                <w:sz w:val="24"/>
              </w:rPr>
              <w:t xml:space="preserve">Zgłasza się liczbę przekroczeń, w oparciu o którą wyznacza się dodajnik. Jeżeli instytucje uzyskały zgodę na wyłączenie określonych przekroczeń z obliczeń dodajnika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00c CRR, liczba przekroczeń zgłaszanych w tej kolumnie nie powinna uwzględniać takich wyłączonych przekroczeń.</w:t>
            </w:r>
          </w:p>
        </w:tc>
      </w:tr>
      <w:tr w:rsidR="000B0B09" w:rsidRPr="00AA1421" w:rsidTr="00672D2A">
        <w:tc>
          <w:tcPr>
            <w:tcW w:w="993" w:type="dxa"/>
          </w:tcPr>
          <w:p w:rsidR="000B0B09" w:rsidRPr="00AA1421" w:rsidRDefault="002F79EA"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0150-0160</w:t>
            </w:r>
          </w:p>
        </w:tc>
        <w:tc>
          <w:tcPr>
            <w:tcW w:w="7869" w:type="dxa"/>
          </w:tcPr>
          <w:p w:rsidR="000B0B09" w:rsidRPr="00AA1421" w:rsidRDefault="000B0B09" w:rsidP="0016282F">
            <w:pPr>
              <w:autoSpaceDE w:val="0"/>
              <w:autoSpaceDN w:val="0"/>
              <w:adjustRightInd w:val="0"/>
              <w:spacing w:before="0"/>
              <w:rPr>
                <w:rFonts w:ascii="Times New Roman" w:hAnsi="Times New Roman"/>
                <w:b/>
                <w:bCs/>
                <w:sz w:val="24"/>
                <w:u w:val="single"/>
              </w:rPr>
            </w:pPr>
            <w:r w:rsidRPr="00AA1421">
              <w:rPr>
                <w:rFonts w:ascii="Times New Roman" w:hAnsi="Times New Roman"/>
                <w:b/>
                <w:bCs/>
                <w:sz w:val="24"/>
                <w:u w:val="single"/>
              </w:rPr>
              <w:t>Mnożnik wartości zagrożonej (mc) i mnożnik wartości zagrożonej w warunkach skrajnych (ms)</w:t>
            </w:r>
          </w:p>
          <w:p w:rsidR="005C14B0" w:rsidRPr="00AA1421" w:rsidRDefault="000B0B09" w:rsidP="006418A0">
            <w:pPr>
              <w:autoSpaceDE w:val="0"/>
              <w:autoSpaceDN w:val="0"/>
              <w:adjustRightInd w:val="0"/>
              <w:spacing w:before="0"/>
              <w:rPr>
                <w:rFonts w:ascii="Times New Roman" w:hAnsi="Times New Roman"/>
                <w:sz w:val="24"/>
              </w:rPr>
            </w:pPr>
            <w:r w:rsidRPr="00AA1421">
              <w:rPr>
                <w:rFonts w:ascii="Times New Roman" w:hAnsi="Times New Roman"/>
                <w:sz w:val="24"/>
              </w:rPr>
              <w:t xml:space="preserve">Jest o nich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66 CRR</w:t>
            </w:r>
          </w:p>
          <w:p w:rsidR="00011AFA" w:rsidRPr="00AA1421" w:rsidRDefault="00011AFA">
            <w:pPr>
              <w:autoSpaceDE w:val="0"/>
              <w:autoSpaceDN w:val="0"/>
              <w:adjustRightInd w:val="0"/>
              <w:spacing w:before="0" w:after="0"/>
              <w:rPr>
                <w:rStyle w:val="InstructionsTabelleberschrift"/>
              </w:rPr>
            </w:pPr>
            <w:r w:rsidRPr="00AA1421">
              <w:rPr>
                <w:rFonts w:ascii="Times New Roman" w:hAnsi="Times New Roman"/>
                <w:sz w:val="24"/>
              </w:rPr>
              <w:t xml:space="preserve">Zgłasza się mnożniki mające faktycznie zastosowanie do obliczeń wymogów w zakresie funduszy własnych; w stosownych przypadkach po zastosowaniu przepisów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00c CRR.</w:t>
            </w:r>
          </w:p>
          <w:p w:rsidR="000B0B09" w:rsidRPr="00AA1421" w:rsidRDefault="000B0B09">
            <w:pPr>
              <w:autoSpaceDE w:val="0"/>
              <w:autoSpaceDN w:val="0"/>
              <w:adjustRightInd w:val="0"/>
              <w:spacing w:before="0" w:after="0"/>
              <w:rPr>
                <w:rFonts w:ascii="Times New Roman" w:hAnsi="Times New Roman"/>
                <w:b/>
                <w:bCs/>
                <w:sz w:val="24"/>
                <w:u w:val="single"/>
                <w:lang w:eastAsia="fr-FR"/>
              </w:rPr>
            </w:pPr>
          </w:p>
        </w:tc>
      </w:tr>
      <w:tr w:rsidR="000B0B09" w:rsidRPr="00AA1421" w:rsidTr="00672D2A">
        <w:tc>
          <w:tcPr>
            <w:tcW w:w="993" w:type="dxa"/>
          </w:tcPr>
          <w:p w:rsidR="000B0B09" w:rsidRPr="00AA1421" w:rsidRDefault="002F79EA" w:rsidP="00B74792">
            <w:pPr>
              <w:autoSpaceDE w:val="0"/>
              <w:autoSpaceDN w:val="0"/>
              <w:adjustRightInd w:val="0"/>
              <w:spacing w:before="0" w:after="0"/>
              <w:rPr>
                <w:rFonts w:ascii="Times New Roman" w:hAnsi="Times New Roman"/>
                <w:sz w:val="24"/>
              </w:rPr>
            </w:pPr>
            <w:r w:rsidRPr="00AA1421">
              <w:rPr>
                <w:rFonts w:ascii="Times New Roman" w:hAnsi="Times New Roman"/>
                <w:sz w:val="24"/>
              </w:rPr>
              <w:t>0170-0180</w:t>
            </w:r>
          </w:p>
        </w:tc>
        <w:tc>
          <w:tcPr>
            <w:tcW w:w="7869"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NARZUT USTANOWIONY DLA DOLNEJ GRANICY KORELACYJNEGO PORTFELA HANDLOWEGO – WAŻONE POZYCJE DŁUGIE/KRÓTKIE NETTO PO UWZGLĘDNIENIU PUŁAPU</w:t>
            </w:r>
          </w:p>
          <w:p w:rsidR="00902EFC" w:rsidRPr="00AA1421" w:rsidRDefault="000B0B09" w:rsidP="0016282F">
            <w:pPr>
              <w:autoSpaceDE w:val="0"/>
              <w:autoSpaceDN w:val="0"/>
              <w:adjustRightInd w:val="0"/>
              <w:rPr>
                <w:rStyle w:val="InstructionsTabelleberschrift"/>
                <w:rFonts w:ascii="Times New Roman" w:hAnsi="Times New Roman"/>
                <w:sz w:val="24"/>
              </w:rPr>
            </w:pPr>
            <w:r w:rsidRPr="00AA1421">
              <w:rPr>
                <w:rFonts w:ascii="Times New Roman" w:hAnsi="Times New Roman"/>
                <w:sz w:val="24"/>
              </w:rPr>
              <w:t xml:space="preserve">Zgłoszona kwota, która służy jako podstawa do obliczenia dolnej granicy narzutu kapitałowego dla wszelkiego ryzyka zmiany cen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64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c)</w:t>
            </w:r>
            <w:r w:rsidRPr="00AA1421">
              <w:rPr>
                <w:rFonts w:ascii="Times New Roman" w:hAnsi="Times New Roman"/>
                <w:bCs/>
                <w:sz w:val="24"/>
              </w:rPr>
              <w:t xml:space="preserve"> CRR, </w:t>
            </w:r>
            <w:r w:rsidRPr="00AA1421">
              <w:rPr>
                <w:rFonts w:ascii="Times New Roman" w:hAnsi="Times New Roman"/>
                <w:sz w:val="24"/>
              </w:rPr>
              <w:t xml:space="preserve">uwzględniając swobodę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35 CRR, na mocy którego instytucja może wprowadzić produkt ważony i pozycję netto na poziomie najwyższej potencjalnej straty powiązanej z ryzykiem niewykonania zobowiązań. </w:t>
            </w:r>
          </w:p>
        </w:tc>
      </w:tr>
    </w:tbl>
    <w:p w:rsidR="000B0B09" w:rsidRPr="00AA1421"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AA1421" w:rsidTr="00672D2A">
        <w:trPr>
          <w:trHeight w:val="566"/>
        </w:trPr>
        <w:tc>
          <w:tcPr>
            <w:tcW w:w="8896" w:type="dxa"/>
            <w:gridSpan w:val="2"/>
            <w:shd w:val="clear" w:color="auto" w:fill="CCCCCC"/>
          </w:tcPr>
          <w:p w:rsidR="000B0B09" w:rsidRPr="00AA1421" w:rsidRDefault="000B0B09" w:rsidP="000B0B09">
            <w:pPr>
              <w:autoSpaceDE w:val="0"/>
              <w:autoSpaceDN w:val="0"/>
              <w:adjustRightInd w:val="0"/>
              <w:spacing w:after="0"/>
              <w:rPr>
                <w:rFonts w:ascii="Times New Roman" w:hAnsi="Times New Roman"/>
                <w:b/>
                <w:sz w:val="24"/>
              </w:rPr>
            </w:pPr>
            <w:r w:rsidRPr="00AA1421">
              <w:rPr>
                <w:rFonts w:ascii="Times New Roman" w:hAnsi="Times New Roman"/>
                <w:b/>
                <w:sz w:val="24"/>
              </w:rPr>
              <w:t>Wiersze</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0010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POZYCJE RAZEM</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AA1421" w:rsidRDefault="000B0B09" w:rsidP="0016282F">
            <w:pPr>
              <w:autoSpaceDE w:val="0"/>
              <w:autoSpaceDN w:val="0"/>
              <w:adjustRightInd w:val="0"/>
              <w:spacing w:before="0"/>
              <w:rPr>
                <w:rFonts w:ascii="Times New Roman" w:hAnsi="Times New Roman"/>
                <w:sz w:val="24"/>
              </w:rPr>
            </w:pPr>
            <w:r w:rsidRPr="00AA1421">
              <w:rPr>
                <w:rFonts w:ascii="Times New Roman" w:hAnsi="Times New Roman"/>
                <w:sz w:val="24"/>
              </w:rPr>
              <w:t xml:space="preserve">Odpowiadają części ryzyka pozycji, ryzyka walutowego i ryzyka cen towarów,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powiązanych z czynnikami ryzyka określonymi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5C14B0" w:rsidRPr="00AA1421" w:rsidRDefault="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Dotyczy kolumn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030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060 (wartość zagrożona i wartość zagrożona w warunkach skrajnych), dane zawarte w wierszu podsumowującym nie są równe </w:t>
            </w:r>
            <w:r w:rsidRPr="00AA1421">
              <w:rPr>
                <w:rFonts w:ascii="Times New Roman" w:hAnsi="Times New Roman"/>
                <w:sz w:val="24"/>
              </w:rPr>
              <w:lastRenderedPageBreak/>
              <w:t>podziałowi danych na wartość zagrożoną / wartość zagrożoną w warunkach skrajnych odpowiedniego ryzyka.</w:t>
            </w:r>
          </w:p>
          <w:p w:rsidR="000B0B09" w:rsidRPr="00AA1421" w:rsidRDefault="000B0B09">
            <w:pPr>
              <w:autoSpaceDE w:val="0"/>
              <w:autoSpaceDN w:val="0"/>
              <w:adjustRightInd w:val="0"/>
              <w:spacing w:before="0" w:after="0"/>
              <w:rPr>
                <w:rFonts w:ascii="Times New Roman" w:hAnsi="Times New Roman"/>
                <w:sz w:val="24"/>
                <w:lang w:eastAsia="fr-FR"/>
              </w:rPr>
            </w:pP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lastRenderedPageBreak/>
              <w:t>0020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RYNKOWE INSTRUMENTY DŁUŻNE</w:t>
            </w:r>
          </w:p>
          <w:p w:rsidR="000B0B09" w:rsidRPr="00AA1421" w:rsidRDefault="000B0B09" w:rsidP="00BE0363">
            <w:pPr>
              <w:autoSpaceDE w:val="0"/>
              <w:autoSpaceDN w:val="0"/>
              <w:adjustRightInd w:val="0"/>
              <w:rPr>
                <w:rFonts w:ascii="Times New Roman" w:hAnsi="Times New Roman"/>
                <w:sz w:val="24"/>
              </w:rPr>
            </w:pPr>
            <w:r w:rsidRPr="00AA1421">
              <w:rPr>
                <w:rFonts w:ascii="Times New Roman" w:hAnsi="Times New Roman"/>
                <w:sz w:val="24"/>
              </w:rPr>
              <w:t xml:space="preserve">Odpowiadają części ryzyka pozycji,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powiązanym z czynnikami ryzyka stóp procentowych określonymi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0030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RYNKOWE INSTRUMENTY DŁUŻNE – RYZYKO OGÓLNE</w:t>
            </w:r>
          </w:p>
          <w:p w:rsidR="000B0B09" w:rsidRPr="00AA1421" w:rsidRDefault="000B0B09" w:rsidP="0016282F">
            <w:pPr>
              <w:autoSpaceDE w:val="0"/>
              <w:autoSpaceDN w:val="0"/>
              <w:adjustRightInd w:val="0"/>
              <w:rPr>
                <w:rFonts w:ascii="Times New Roman" w:hAnsi="Times New Roman"/>
                <w:sz w:val="24"/>
              </w:rPr>
            </w:pPr>
            <w:r w:rsidRPr="00AA1421">
              <w:rPr>
                <w:rFonts w:ascii="Times New Roman" w:hAnsi="Times New Roman"/>
                <w:sz w:val="24"/>
              </w:rPr>
              <w:t xml:space="preserve">Składnik ryzyka ogólnego,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62 CRR </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0040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RYNKOWE INSTRUMENTY DŁUŻNE – RYZYKO SZCZEGÓLNE</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16282F">
            <w:pPr>
              <w:autoSpaceDE w:val="0"/>
              <w:autoSpaceDN w:val="0"/>
              <w:adjustRightInd w:val="0"/>
              <w:rPr>
                <w:rFonts w:ascii="Times New Roman" w:hAnsi="Times New Roman"/>
                <w:b/>
                <w:bCs/>
                <w:sz w:val="24"/>
                <w:u w:val="single"/>
              </w:rPr>
            </w:pPr>
            <w:r w:rsidRPr="00AA1421">
              <w:rPr>
                <w:rFonts w:ascii="Times New Roman" w:hAnsi="Times New Roman"/>
                <w:sz w:val="24"/>
              </w:rPr>
              <w:t xml:space="preserve">Składnik ryzyka szczególnego,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62 CRR </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0050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PAPIERY KAPITAŁOWE</w:t>
            </w:r>
          </w:p>
          <w:p w:rsidR="000B0B09" w:rsidRPr="00AA1421" w:rsidRDefault="000B0B09" w:rsidP="000B0B09">
            <w:pPr>
              <w:autoSpaceDE w:val="0"/>
              <w:autoSpaceDN w:val="0"/>
              <w:adjustRightInd w:val="0"/>
              <w:spacing w:before="0" w:after="0"/>
              <w:rPr>
                <w:rFonts w:ascii="Times New Roman" w:hAnsi="Times New Roman"/>
                <w:sz w:val="24"/>
                <w:lang w:eastAsia="de-DE"/>
              </w:rPr>
            </w:pPr>
          </w:p>
          <w:p w:rsidR="000B0B09" w:rsidRPr="00AA1421" w:rsidRDefault="000B0B09"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 xml:space="preserve">Odpowiadają części ryzyka pozycji,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 powiązanym z czynnikami ryzyka cen akcji określonymi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c)</w:t>
            </w:r>
            <w:r w:rsidRPr="00AA1421">
              <w:rPr>
                <w:rFonts w:ascii="Times New Roman" w:hAnsi="Times New Roman"/>
                <w:sz w:val="24"/>
              </w:rPr>
              <w:t xml:space="preserve"> CRR. </w:t>
            </w:r>
          </w:p>
          <w:p w:rsidR="000B0B09" w:rsidRPr="00AA14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0060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PAPIERY KAPITAŁOWE – RYZYKO OGÓLNE</w:t>
            </w:r>
          </w:p>
          <w:p w:rsidR="000B0B09" w:rsidRPr="00AA1421" w:rsidRDefault="000B0B09" w:rsidP="00BE0363">
            <w:pPr>
              <w:autoSpaceDE w:val="0"/>
              <w:autoSpaceDN w:val="0"/>
              <w:adjustRightInd w:val="0"/>
              <w:rPr>
                <w:rFonts w:ascii="Times New Roman" w:hAnsi="Times New Roman"/>
                <w:b/>
                <w:bCs/>
                <w:sz w:val="24"/>
                <w:u w:val="single"/>
              </w:rPr>
            </w:pPr>
            <w:r w:rsidRPr="00AA1421">
              <w:rPr>
                <w:rFonts w:ascii="Times New Roman" w:hAnsi="Times New Roman"/>
                <w:sz w:val="24"/>
              </w:rPr>
              <w:t xml:space="preserve">Składnik ryzyka ogólnego,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62 CRR</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0070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PAPIERY KAPITAŁOWE – RYZYKO SZCZEGÓLNE</w:t>
            </w:r>
          </w:p>
          <w:p w:rsidR="000B0B09" w:rsidRPr="00AA1421" w:rsidRDefault="000B0B09" w:rsidP="0016282F">
            <w:pPr>
              <w:autoSpaceDE w:val="0"/>
              <w:autoSpaceDN w:val="0"/>
              <w:adjustRightInd w:val="0"/>
              <w:rPr>
                <w:rFonts w:ascii="Times New Roman" w:hAnsi="Times New Roman"/>
                <w:b/>
                <w:bCs/>
                <w:sz w:val="24"/>
                <w:u w:val="single"/>
              </w:rPr>
            </w:pPr>
            <w:r w:rsidRPr="00AA1421">
              <w:rPr>
                <w:rFonts w:ascii="Times New Roman" w:hAnsi="Times New Roman"/>
                <w:sz w:val="24"/>
              </w:rPr>
              <w:t xml:space="preserve">Składnik ryzyka szczególnego,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62 CRR </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0080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RYZYKO WALUTOWE</w:t>
            </w:r>
          </w:p>
          <w:p w:rsidR="000B0B09" w:rsidRPr="00AA1421" w:rsidRDefault="000B0B09" w:rsidP="0016282F">
            <w:pPr>
              <w:autoSpaceDE w:val="0"/>
              <w:autoSpaceDN w:val="0"/>
              <w:adjustRightInd w:val="0"/>
              <w:rPr>
                <w:rFonts w:ascii="Times New Roman" w:hAnsi="Times New Roman"/>
                <w:b/>
                <w:bCs/>
                <w:sz w:val="24"/>
                <w:u w:val="single"/>
              </w:rPr>
            </w:pPr>
            <w:r w:rsidRPr="00AA1421">
              <w:rPr>
                <w:rFonts w:ascii="Times New Roman" w:hAnsi="Times New Roman"/>
                <w:sz w:val="24"/>
              </w:rPr>
              <w:t xml:space="preserve">Art. 363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0090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RYZYKO CEN TOWARÓW</w:t>
            </w:r>
          </w:p>
          <w:p w:rsidR="000B0B09" w:rsidRPr="00AA1421" w:rsidRDefault="000B0B09" w:rsidP="00BE0363">
            <w:pPr>
              <w:autoSpaceDE w:val="0"/>
              <w:autoSpaceDN w:val="0"/>
              <w:adjustRightInd w:val="0"/>
              <w:rPr>
                <w:rFonts w:ascii="Times New Roman" w:hAnsi="Times New Roman"/>
                <w:b/>
                <w:bCs/>
                <w:sz w:val="24"/>
                <w:u w:val="single"/>
              </w:rPr>
            </w:pPr>
            <w:r w:rsidRPr="00AA1421">
              <w:rPr>
                <w:rFonts w:ascii="Times New Roman" w:hAnsi="Times New Roman"/>
                <w:sz w:val="24"/>
              </w:rPr>
              <w:t xml:space="preserve">Art. 363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w:t>
            </w:r>
          </w:p>
        </w:tc>
      </w:tr>
      <w:tr w:rsidR="000B0B09" w:rsidRPr="00AA1421" w:rsidTr="00672D2A">
        <w:tc>
          <w:tcPr>
            <w:tcW w:w="993" w:type="dxa"/>
          </w:tcPr>
          <w:p w:rsidR="000B0B09" w:rsidRPr="00AA1421" w:rsidRDefault="00787733" w:rsidP="000B0B09">
            <w:pPr>
              <w:autoSpaceDE w:val="0"/>
              <w:autoSpaceDN w:val="0"/>
              <w:adjustRightInd w:val="0"/>
              <w:spacing w:before="0" w:after="0"/>
              <w:rPr>
                <w:rFonts w:ascii="Times New Roman" w:hAnsi="Times New Roman"/>
                <w:sz w:val="24"/>
              </w:rPr>
            </w:pPr>
            <w:r w:rsidRPr="00AA1421">
              <w:rPr>
                <w:rFonts w:ascii="Times New Roman" w:hAnsi="Times New Roman"/>
                <w:sz w:val="24"/>
              </w:rPr>
              <w:t>0100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CAŁKOWITA KWOTA Z TYTUŁU RYZYKA OGÓLNEGO</w:t>
            </w:r>
          </w:p>
          <w:p w:rsidR="005C14B0" w:rsidRPr="00AA1421"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084F66" w:rsidRDefault="000B0B09">
            <w:pPr>
              <w:autoSpaceDE w:val="0"/>
              <w:autoSpaceDN w:val="0"/>
              <w:adjustRightInd w:val="0"/>
              <w:spacing w:before="0" w:after="0"/>
              <w:rPr>
                <w:rFonts w:ascii="Times New Roman" w:hAnsi="Times New Roman"/>
                <w:b/>
                <w:bCs/>
                <w:sz w:val="24"/>
                <w:u w:val="single"/>
              </w:rPr>
            </w:pPr>
            <w:r w:rsidRPr="00AA1421">
              <w:rPr>
                <w:rStyle w:val="InstructionsTabelleText"/>
                <w:rFonts w:ascii="Times New Roman" w:hAnsi="Times New Roman"/>
                <w:sz w:val="24"/>
              </w:rPr>
              <w:t>Ryzyko rynkowe spowodowane ogólnymi zmianami rynkowymi w zakresie rynkowych instrumentów dłużnych, papierów kapitałowych, walut i towarów. Wartość zagrożona z tytułu ryzyka ogólnego wszystkich czynników ryzyka (z uwzględnieniem skutków korelacji, w stosownych przypadkach</w:t>
            </w:r>
            <w:r w:rsidRPr="00084F66">
              <w:rPr>
                <w:rStyle w:val="InstructionsTabelleText"/>
                <w:rFonts w:ascii="Times New Roman" w:hAnsi="Times New Roman"/>
                <w:sz w:val="24"/>
              </w:rPr>
              <w:t>)</w:t>
            </w:r>
            <w:r w:rsidR="00084F66" w:rsidRPr="00084F66">
              <w:rPr>
                <w:rStyle w:val="InstructionsTabelleText"/>
                <w:rFonts w:ascii="Times New Roman" w:hAnsi="Times New Roman"/>
                <w:sz w:val="24"/>
              </w:rPr>
              <w:t xml:space="preserve"> </w:t>
            </w:r>
          </w:p>
          <w:p w:rsidR="005C14B0" w:rsidRPr="00AA1421" w:rsidRDefault="005C14B0">
            <w:pPr>
              <w:autoSpaceDE w:val="0"/>
              <w:autoSpaceDN w:val="0"/>
              <w:adjustRightInd w:val="0"/>
              <w:spacing w:before="0" w:after="0"/>
              <w:rPr>
                <w:rFonts w:ascii="Times New Roman" w:hAnsi="Times New Roman"/>
                <w:b/>
                <w:bCs/>
                <w:sz w:val="24"/>
                <w:u w:val="single"/>
                <w:lang w:eastAsia="nl-BE"/>
              </w:rPr>
            </w:pPr>
          </w:p>
        </w:tc>
      </w:tr>
      <w:tr w:rsidR="000B0B09" w:rsidRPr="00AA1421" w:rsidTr="00672D2A">
        <w:tc>
          <w:tcPr>
            <w:tcW w:w="993" w:type="dxa"/>
          </w:tcPr>
          <w:p w:rsidR="000B0B09" w:rsidRPr="00AA1421" w:rsidRDefault="00787733" w:rsidP="000911FE">
            <w:pPr>
              <w:autoSpaceDE w:val="0"/>
              <w:autoSpaceDN w:val="0"/>
              <w:adjustRightInd w:val="0"/>
              <w:spacing w:before="0" w:after="0"/>
              <w:rPr>
                <w:rFonts w:ascii="Times New Roman" w:hAnsi="Times New Roman"/>
                <w:sz w:val="24"/>
              </w:rPr>
            </w:pPr>
            <w:r w:rsidRPr="00AA1421">
              <w:rPr>
                <w:rFonts w:ascii="Times New Roman" w:hAnsi="Times New Roman"/>
                <w:sz w:val="24"/>
              </w:rPr>
              <w:t>0110</w:t>
            </w:r>
          </w:p>
        </w:tc>
        <w:tc>
          <w:tcPr>
            <w:tcW w:w="7903" w:type="dxa"/>
          </w:tcPr>
          <w:p w:rsidR="000B0B09" w:rsidRPr="00AA1421" w:rsidRDefault="000B0B09" w:rsidP="000B0B09">
            <w:pPr>
              <w:autoSpaceDE w:val="0"/>
              <w:autoSpaceDN w:val="0"/>
              <w:adjustRightInd w:val="0"/>
              <w:spacing w:before="0" w:after="0"/>
              <w:rPr>
                <w:rFonts w:ascii="Times New Roman" w:hAnsi="Times New Roman"/>
                <w:b/>
                <w:bCs/>
                <w:sz w:val="24"/>
                <w:u w:val="single"/>
              </w:rPr>
            </w:pPr>
            <w:r w:rsidRPr="00AA1421">
              <w:rPr>
                <w:rFonts w:ascii="Times New Roman" w:hAnsi="Times New Roman"/>
                <w:b/>
                <w:bCs/>
                <w:sz w:val="24"/>
                <w:u w:val="single"/>
              </w:rPr>
              <w:t>CAŁKOWITA KWOTA Z TYTUŁU RYZYKA SZCZEGÓLNEGO</w:t>
            </w:r>
          </w:p>
          <w:p w:rsidR="000B0B09" w:rsidRPr="00AA1421" w:rsidRDefault="000B0B09" w:rsidP="0016282F">
            <w:pPr>
              <w:autoSpaceDE w:val="0"/>
              <w:autoSpaceDN w:val="0"/>
              <w:adjustRightInd w:val="0"/>
              <w:rPr>
                <w:rFonts w:ascii="Times New Roman" w:hAnsi="Times New Roman"/>
                <w:b/>
                <w:bCs/>
                <w:sz w:val="24"/>
                <w:u w:val="single"/>
              </w:rPr>
            </w:pPr>
            <w:r w:rsidRPr="00AA1421">
              <w:rPr>
                <w:rStyle w:val="InstructionsTabelleText"/>
                <w:rFonts w:ascii="Times New Roman" w:hAnsi="Times New Roman"/>
                <w:sz w:val="24"/>
              </w:rPr>
              <w:t>Ryzyko szczególne rynkowych instrumentów dłużnych i papierów kapitałowych. Wartość zagrożona z tytułu ryzyka szczególnego papierów kapitałowych i rynkowych instrumentów dłużnych portfela handlowego (z uwzględnieniem skutków korelacji w stosownych przypadkach)</w:t>
            </w:r>
          </w:p>
        </w:tc>
      </w:tr>
    </w:tbl>
    <w:p w:rsidR="000B0B09" w:rsidRPr="00AA1421" w:rsidRDefault="000B0B09">
      <w:pPr>
        <w:spacing w:before="0" w:after="0"/>
        <w:jc w:val="left"/>
        <w:rPr>
          <w:rStyle w:val="InstructionsTabelleText"/>
          <w:rFonts w:ascii="Times New Roman" w:hAnsi="Times New Roman"/>
          <w:sz w:val="24"/>
        </w:rPr>
      </w:pPr>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403742"/>
      <w:r w:rsidRPr="00AA1421">
        <w:rPr>
          <w:rFonts w:ascii="Times New Roman" w:hAnsi="Times New Roman"/>
          <w:sz w:val="24"/>
          <w:u w:val="none"/>
        </w:rPr>
        <w:lastRenderedPageBreak/>
        <w:t>5.8.</w:t>
      </w:r>
      <w:r w:rsidR="00D712CF" w:rsidRPr="00AA1421">
        <w:rPr>
          <w:u w:val="none"/>
        </w:rPr>
        <w:tab/>
      </w:r>
      <w:bookmarkStart w:id="751" w:name="_Toc360188413"/>
      <w:r w:rsidRPr="00AA1421">
        <w:rPr>
          <w:rFonts w:ascii="Times New Roman" w:hAnsi="Times New Roman"/>
          <w:sz w:val="24"/>
        </w:rPr>
        <w:t>C 25.00 – RYZYKO ZWIĄZANE Z KOREKTĄ WYCENY KREDYTOWEJ</w:t>
      </w:r>
      <w:bookmarkEnd w:id="751"/>
      <w:r w:rsidRPr="00AA1421">
        <w:rPr>
          <w:rFonts w:ascii="Times New Roman" w:hAnsi="Times New Roman"/>
          <w:sz w:val="24"/>
        </w:rPr>
        <w:t xml:space="preserve"> (CVA)</w:t>
      </w:r>
      <w:bookmarkEnd w:id="749"/>
      <w:bookmarkEnd w:id="750"/>
    </w:p>
    <w:p w:rsidR="000B0B09" w:rsidRPr="00AA1421"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403743"/>
      <w:bookmarkStart w:id="755" w:name="_Toc310008820"/>
      <w:r w:rsidRPr="00AA1421">
        <w:rPr>
          <w:rFonts w:ascii="Times New Roman" w:hAnsi="Times New Roman"/>
          <w:sz w:val="24"/>
          <w:u w:val="none"/>
        </w:rPr>
        <w:t>5.8.1.</w:t>
      </w:r>
      <w:r w:rsidR="00D712CF" w:rsidRPr="00AA1421">
        <w:rPr>
          <w:u w:val="none"/>
        </w:rPr>
        <w:tab/>
      </w:r>
      <w:r w:rsidRPr="00AA1421">
        <w:rPr>
          <w:rFonts w:ascii="Times New Roman" w:hAnsi="Times New Roman"/>
          <w:sz w:val="24"/>
        </w:rPr>
        <w:t>Instrukcje dotyczące poszczególnych pozycji</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A1421" w:rsidTr="00672D2A">
        <w:tc>
          <w:tcPr>
            <w:tcW w:w="8856" w:type="dxa"/>
            <w:gridSpan w:val="2"/>
            <w:shd w:val="clear" w:color="auto" w:fill="CCCCCC"/>
          </w:tcPr>
          <w:p w:rsidR="000B0B09" w:rsidRPr="00AA1421" w:rsidRDefault="000B0B09" w:rsidP="000B0B09">
            <w:pPr>
              <w:rPr>
                <w:rFonts w:ascii="Times New Roman" w:hAnsi="Times New Roman"/>
                <w:b/>
                <w:sz w:val="24"/>
              </w:rPr>
            </w:pPr>
            <w:r w:rsidRPr="00AA1421">
              <w:rPr>
                <w:rFonts w:ascii="Times New Roman" w:hAnsi="Times New Roman"/>
                <w:b/>
                <w:sz w:val="24"/>
              </w:rPr>
              <w:t>Kolumny</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0010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 xml:space="preserve">Wartość ekspozycji </w:t>
            </w:r>
          </w:p>
          <w:p w:rsidR="000B0B09" w:rsidRPr="00AA1421" w:rsidRDefault="000B0B09" w:rsidP="000B0B09">
            <w:pPr>
              <w:rPr>
                <w:rFonts w:ascii="Times New Roman" w:hAnsi="Times New Roman"/>
                <w:sz w:val="24"/>
              </w:rPr>
            </w:pPr>
            <w:r w:rsidRPr="00AA1421">
              <w:rPr>
                <w:rFonts w:ascii="Times New Roman" w:hAnsi="Times New Roman"/>
                <w:sz w:val="24"/>
              </w:rPr>
              <w:t xml:space="preserve">Art. 271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82 CRR.</w:t>
            </w:r>
          </w:p>
          <w:p w:rsidR="000B0B09" w:rsidRPr="00AA1421" w:rsidRDefault="000B0B09" w:rsidP="000B0B09">
            <w:pPr>
              <w:rPr>
                <w:rFonts w:ascii="Times New Roman" w:hAnsi="Times New Roman"/>
                <w:sz w:val="24"/>
              </w:rPr>
            </w:pPr>
            <w:r w:rsidRPr="00AA1421">
              <w:rPr>
                <w:rFonts w:ascii="Times New Roman" w:hAnsi="Times New Roman"/>
                <w:sz w:val="24"/>
              </w:rPr>
              <w:t>Wszystkie ekspozycje, których dotyczy niewykonanie zobowiązania ze wszystkich transakcji podlegających narzutowi z tytułu CVA.</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0020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 xml:space="preserve">W tym: z tytułu instrumentów pochodnych będących przedmiotem obrotu poza rynkiem regulowanym </w:t>
            </w:r>
          </w:p>
          <w:p w:rsidR="000B0B09" w:rsidRPr="00AA1421" w:rsidRDefault="000B0B09" w:rsidP="000B0B09">
            <w:pPr>
              <w:rPr>
                <w:rFonts w:ascii="Times New Roman" w:hAnsi="Times New Roman"/>
                <w:sz w:val="24"/>
              </w:rPr>
            </w:pPr>
            <w:r w:rsidRPr="00AA1421">
              <w:rPr>
                <w:rFonts w:ascii="Times New Roman" w:hAnsi="Times New Roman"/>
                <w:sz w:val="24"/>
              </w:rPr>
              <w:t xml:space="preserve">Art. 271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0B0B09" w:rsidRPr="00AA1421" w:rsidRDefault="000B0B09" w:rsidP="000B0B09">
            <w:pPr>
              <w:rPr>
                <w:rFonts w:ascii="Times New Roman" w:hAnsi="Times New Roman"/>
                <w:sz w:val="24"/>
              </w:rPr>
            </w:pPr>
            <w:r w:rsidRPr="00AA1421">
              <w:rPr>
                <w:rFonts w:ascii="Times New Roman" w:hAnsi="Times New Roman"/>
                <w:sz w:val="24"/>
              </w:rPr>
              <w:t>Część całkowitej wartości ekspozycji na ryzyko kredytowe kontrahenta wyłącznie z tytułu instrumentów pochodnych będących przedmiotem obrotu poza rynkiem regulowanym. Instytucje stosujące metodę modeli wewnętrznych oraz posiadające w tym samym pakiecie kompensowania instrumenty pochodne będące przedmiotem obrotu poza rynkiem regulowanym i transakcje finansowania papierów wartościowych, nie są zobowiązane do przedstawiania informacji.</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0030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 xml:space="preserve">W tym: z tytułu transakcji finansowania papierów wartościowych </w:t>
            </w:r>
          </w:p>
          <w:p w:rsidR="000B0B09" w:rsidRPr="00AA1421" w:rsidRDefault="000B0B09" w:rsidP="000B0B09">
            <w:pPr>
              <w:rPr>
                <w:rFonts w:ascii="Times New Roman" w:hAnsi="Times New Roman"/>
                <w:sz w:val="24"/>
              </w:rPr>
            </w:pPr>
            <w:r w:rsidRPr="00AA1421">
              <w:rPr>
                <w:rFonts w:ascii="Times New Roman" w:hAnsi="Times New Roman"/>
                <w:sz w:val="24"/>
              </w:rPr>
              <w:t xml:space="preserve">Art. 271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82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0B0B09" w:rsidRPr="00AA1421" w:rsidRDefault="000B0B09">
            <w:pPr>
              <w:rPr>
                <w:rFonts w:ascii="Times New Roman" w:hAnsi="Times New Roman"/>
                <w:sz w:val="24"/>
              </w:rPr>
            </w:pPr>
            <w:r w:rsidRPr="00AA1421">
              <w:rPr>
                <w:rFonts w:ascii="Times New Roman" w:hAnsi="Times New Roman"/>
                <w:sz w:val="24"/>
              </w:rPr>
              <w:t>Część całkowitej wartości ekspozycji na ryzyko kredytowe kontrahenta wyłącznie z tytułu transakcji finansowania papierów wartościowych. Instytucje stosujące metodę modeli wewnętrznych oraz posiadające w tym samym pakiecie kompensowania instrumenty pochodne będące przedmiotem obrotu poza rynkiem regulowanym i transakcje finansowania papierów wartościowych, nie są zobowiązane do przedstawiania informacji.</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0040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MNOŻNIK (mc) x ŚREDNIA Z POPRZEDNICH 60 DNI ROBOCZYCH (</w:t>
            </w:r>
            <w:proofErr w:type="spellStart"/>
            <w:r w:rsidRPr="00AA1421">
              <w:rPr>
                <w:rFonts w:ascii="Times New Roman" w:hAnsi="Times New Roman"/>
                <w:b/>
                <w:sz w:val="24"/>
                <w:u w:val="single"/>
              </w:rPr>
              <w:t>VaRavg</w:t>
            </w:r>
            <w:proofErr w:type="spellEnd"/>
            <w:r w:rsidRPr="00AA1421">
              <w:rPr>
                <w:rFonts w:ascii="Times New Roman" w:hAnsi="Times New Roman"/>
                <w:b/>
                <w:sz w:val="24"/>
                <w:u w:val="single"/>
              </w:rPr>
              <w:t>)</w:t>
            </w:r>
          </w:p>
          <w:p w:rsidR="004F6B6B" w:rsidRPr="00AA1421" w:rsidRDefault="000B0B09">
            <w:pPr>
              <w:rPr>
                <w:rFonts w:ascii="Times New Roman" w:hAnsi="Times New Roman"/>
                <w:sz w:val="24"/>
              </w:rPr>
            </w:pPr>
            <w:r w:rsidRPr="00AA1421">
              <w:rPr>
                <w:rFonts w:ascii="Times New Roman" w:hAnsi="Times New Roman"/>
                <w:sz w:val="24"/>
              </w:rPr>
              <w:t xml:space="preserve">Art. 383 CRR w związku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63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w:t>
            </w:r>
          </w:p>
          <w:p w:rsidR="000B0B09" w:rsidRPr="00AA1421" w:rsidRDefault="000B0B09">
            <w:pPr>
              <w:rPr>
                <w:rFonts w:ascii="Times New Roman" w:hAnsi="Times New Roman"/>
                <w:sz w:val="24"/>
              </w:rPr>
            </w:pPr>
            <w:r w:rsidRPr="00AA1421">
              <w:rPr>
                <w:rFonts w:ascii="Times New Roman" w:hAnsi="Times New Roman"/>
                <w:sz w:val="24"/>
              </w:rPr>
              <w:t xml:space="preserve">Obliczenia wartości zagrożonej oparte na modelach wewnętrznych dla ryzyka rynkowego. </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0050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POPRZEDNI DZIEŃ (VaRt-1)</w:t>
            </w:r>
          </w:p>
          <w:p w:rsidR="000B0B09" w:rsidRPr="00AA1421" w:rsidRDefault="000B0B09" w:rsidP="002300C6">
            <w:pPr>
              <w:rPr>
                <w:rFonts w:ascii="Times New Roman" w:hAnsi="Times New Roman"/>
                <w:sz w:val="24"/>
              </w:rPr>
            </w:pPr>
            <w:r w:rsidRPr="00AA1421">
              <w:rPr>
                <w:rFonts w:ascii="Times New Roman" w:hAnsi="Times New Roman"/>
                <w:sz w:val="24"/>
              </w:rPr>
              <w:t>Zob. instrukcje dla kolumny 0040.</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0060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MNOŻNIK (ms) x ŚREDNIA Z POPRZEDNICH 60 DNI ROBOCZYCH (</w:t>
            </w:r>
            <w:proofErr w:type="spellStart"/>
            <w:r w:rsidRPr="00AA1421">
              <w:rPr>
                <w:rFonts w:ascii="Times New Roman" w:hAnsi="Times New Roman"/>
                <w:b/>
                <w:bCs/>
                <w:sz w:val="24"/>
                <w:u w:val="single"/>
              </w:rPr>
              <w:t>SVaRavg</w:t>
            </w:r>
            <w:proofErr w:type="spellEnd"/>
            <w:r w:rsidRPr="00AA1421">
              <w:rPr>
                <w:rFonts w:ascii="Times New Roman" w:hAnsi="Times New Roman"/>
                <w:b/>
                <w:bCs/>
                <w:sz w:val="24"/>
                <w:u w:val="single"/>
              </w:rPr>
              <w:t>)</w:t>
            </w:r>
          </w:p>
          <w:p w:rsidR="000B0B09" w:rsidRPr="00AA1421" w:rsidRDefault="000B0B09" w:rsidP="002300C6">
            <w:pPr>
              <w:rPr>
                <w:rFonts w:ascii="Times New Roman" w:hAnsi="Times New Roman"/>
                <w:sz w:val="24"/>
              </w:rPr>
            </w:pPr>
            <w:r w:rsidRPr="00AA1421">
              <w:rPr>
                <w:rFonts w:ascii="Times New Roman" w:hAnsi="Times New Roman"/>
                <w:sz w:val="24"/>
              </w:rPr>
              <w:t>Zob. instrukcje dla kolumny 0040.</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0070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OSTATNIA DOSTĘPNA (SVaRt-1)</w:t>
            </w:r>
          </w:p>
          <w:p w:rsidR="000B0B09" w:rsidRPr="00AA1421" w:rsidRDefault="000B0B09" w:rsidP="002300C6">
            <w:pPr>
              <w:rPr>
                <w:rFonts w:ascii="Times New Roman" w:hAnsi="Times New Roman"/>
                <w:b/>
                <w:sz w:val="24"/>
                <w:u w:val="single"/>
              </w:rPr>
            </w:pPr>
            <w:r w:rsidRPr="00AA1421">
              <w:rPr>
                <w:rFonts w:ascii="Times New Roman" w:hAnsi="Times New Roman"/>
                <w:sz w:val="24"/>
              </w:rPr>
              <w:t>Zob. instrukcje dla kolumny 0040.</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lastRenderedPageBreak/>
              <w:t>0080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WYMOGI W ZAKRESIE FUNDUSZY WŁASNYCH</w:t>
            </w:r>
          </w:p>
          <w:p w:rsidR="004F6B6B" w:rsidRPr="00AA1421" w:rsidRDefault="001E0C80">
            <w:pPr>
              <w:rPr>
                <w:rFonts w:ascii="Times New Roman" w:hAnsi="Times New Roman"/>
                <w:sz w:val="24"/>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d)</w:t>
            </w:r>
            <w:r w:rsidRPr="00AA1421">
              <w:rPr>
                <w:rFonts w:ascii="Times New Roman" w:hAnsi="Times New Roman"/>
                <w:sz w:val="24"/>
              </w:rPr>
              <w:t xml:space="preserve"> CRR. </w:t>
            </w:r>
          </w:p>
          <w:p w:rsidR="000B0B09" w:rsidRPr="00AA1421" w:rsidRDefault="000B0B09">
            <w:pPr>
              <w:rPr>
                <w:rFonts w:ascii="Times New Roman" w:hAnsi="Times New Roman"/>
                <w:sz w:val="24"/>
              </w:rPr>
            </w:pPr>
            <w:r w:rsidRPr="00AA1421">
              <w:rPr>
                <w:rFonts w:ascii="Times New Roman" w:hAnsi="Times New Roman"/>
                <w:sz w:val="24"/>
              </w:rPr>
              <w:t>Wymogi w zakresie funduszy własnych z tytułu ryzyka CVA obliczone za pomocą wybranej metody.</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0090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ŁĄCZNA KWOTA EKSPOZYCJI NA RYZYKO</w:t>
            </w:r>
          </w:p>
          <w:p w:rsidR="004F6B6B" w:rsidRPr="00AA1421" w:rsidRDefault="001E0C80">
            <w:pPr>
              <w:rPr>
                <w:rFonts w:ascii="Times New Roman" w:hAnsi="Times New Roman"/>
                <w:sz w:val="24"/>
              </w:rPr>
            </w:pPr>
            <w:r w:rsidRPr="00AA1421">
              <w:rPr>
                <w:rFonts w:ascii="Times New Roman" w:hAnsi="Times New Roman"/>
                <w:sz w:val="24"/>
              </w:rPr>
              <w:t xml:space="preserve">Art. 92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0B0B09" w:rsidRPr="00AA1421" w:rsidRDefault="000B0B09" w:rsidP="00787733">
            <w:pPr>
              <w:rPr>
                <w:rFonts w:ascii="Times New Roman" w:hAnsi="Times New Roman"/>
                <w:sz w:val="24"/>
              </w:rPr>
            </w:pPr>
            <w:r w:rsidRPr="00AA1421">
              <w:rPr>
                <w:rFonts w:ascii="Times New Roman" w:hAnsi="Times New Roman"/>
                <w:sz w:val="24"/>
              </w:rPr>
              <w:t>Wymogi w zakresie funduszy własnych pomnożone przez 12,5.</w:t>
            </w:r>
          </w:p>
        </w:tc>
      </w:tr>
      <w:tr w:rsidR="000B0B09" w:rsidRPr="00AA1421" w:rsidTr="00672D2A">
        <w:tc>
          <w:tcPr>
            <w:tcW w:w="852" w:type="dxa"/>
          </w:tcPr>
          <w:p w:rsidR="000B0B09" w:rsidRPr="00AA1421" w:rsidRDefault="000B0B09" w:rsidP="000B0B09">
            <w:pPr>
              <w:rPr>
                <w:rFonts w:ascii="Times New Roman" w:hAnsi="Times New Roman"/>
                <w:sz w:val="24"/>
              </w:rPr>
            </w:pP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Pozycje uzupełniające</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0100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Liczba kontrahentów</w:t>
            </w:r>
          </w:p>
          <w:p w:rsidR="000B0B09" w:rsidRPr="00AA1421" w:rsidRDefault="000B0B09" w:rsidP="000B0B09">
            <w:pPr>
              <w:rPr>
                <w:rFonts w:ascii="Times New Roman" w:hAnsi="Times New Roman"/>
                <w:sz w:val="24"/>
              </w:rPr>
            </w:pPr>
            <w:r w:rsidRPr="00AA1421">
              <w:rPr>
                <w:rFonts w:ascii="Times New Roman" w:hAnsi="Times New Roman"/>
                <w:sz w:val="24"/>
              </w:rPr>
              <w:t>Art. 382 CRR</w:t>
            </w:r>
          </w:p>
          <w:p w:rsidR="000B0B09" w:rsidRPr="00AA1421" w:rsidRDefault="000B0B09" w:rsidP="000B0B09">
            <w:pPr>
              <w:rPr>
                <w:rFonts w:ascii="Times New Roman" w:hAnsi="Times New Roman"/>
                <w:sz w:val="24"/>
              </w:rPr>
            </w:pPr>
            <w:r w:rsidRPr="00AA1421">
              <w:rPr>
                <w:rFonts w:ascii="Times New Roman" w:hAnsi="Times New Roman"/>
                <w:sz w:val="24"/>
              </w:rPr>
              <w:t>Liczba kontrahentów uwzględnionych w obliczeniach funduszy własnych z tytułu ryzyka CVA.</w:t>
            </w:r>
          </w:p>
          <w:p w:rsidR="000B0B09" w:rsidRPr="00AA1421" w:rsidRDefault="000B0B09" w:rsidP="0016282F">
            <w:pPr>
              <w:rPr>
                <w:rFonts w:ascii="Times New Roman" w:hAnsi="Times New Roman"/>
                <w:sz w:val="24"/>
              </w:rPr>
            </w:pPr>
            <w:r w:rsidRPr="00AA1421">
              <w:rPr>
                <w:rFonts w:ascii="Times New Roman" w:hAnsi="Times New Roman"/>
                <w:sz w:val="24"/>
              </w:rPr>
              <w:t xml:space="preserve">Kontrahenci stanowią podzbiór złożony z dłużników. Istnieją tylko w przypadku transakcji dotyczących instrumentów pochodnych lub transakcji finansowania papierów wartościowych, gdzie stanowią drugą umawiającą się stronę. </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0110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 xml:space="preserve">W tym: wskaźnik zastępczy zastosowany w celu określenia </w:t>
            </w:r>
            <w:proofErr w:type="spellStart"/>
            <w:r w:rsidRPr="00AA1421">
              <w:rPr>
                <w:rFonts w:ascii="Times New Roman" w:hAnsi="Times New Roman"/>
                <w:b/>
                <w:sz w:val="24"/>
                <w:u w:val="single"/>
              </w:rPr>
              <w:t>spreadu</w:t>
            </w:r>
            <w:proofErr w:type="spellEnd"/>
            <w:r w:rsidRPr="00AA1421">
              <w:rPr>
                <w:rFonts w:ascii="Times New Roman" w:hAnsi="Times New Roman"/>
                <w:b/>
                <w:sz w:val="24"/>
                <w:u w:val="single"/>
              </w:rPr>
              <w:t xml:space="preserve"> kredytowego</w:t>
            </w:r>
          </w:p>
          <w:p w:rsidR="000B0B09" w:rsidRPr="00AA1421" w:rsidRDefault="005C14B0">
            <w:pPr>
              <w:rPr>
                <w:rFonts w:ascii="Times New Roman" w:hAnsi="Times New Roman"/>
                <w:b/>
                <w:sz w:val="24"/>
                <w:u w:val="single"/>
              </w:rPr>
            </w:pPr>
            <w:r w:rsidRPr="00AA1421">
              <w:rPr>
                <w:rFonts w:ascii="Times New Roman" w:hAnsi="Times New Roman"/>
                <w:sz w:val="24"/>
              </w:rPr>
              <w:t xml:space="preserve">Liczba kontrahentów, w przypadku których </w:t>
            </w:r>
            <w:proofErr w:type="spellStart"/>
            <w:r w:rsidRPr="00AA1421">
              <w:rPr>
                <w:rFonts w:ascii="Times New Roman" w:hAnsi="Times New Roman"/>
                <w:sz w:val="24"/>
              </w:rPr>
              <w:t>spread</w:t>
            </w:r>
            <w:proofErr w:type="spellEnd"/>
            <w:r w:rsidRPr="00AA1421">
              <w:rPr>
                <w:rFonts w:ascii="Times New Roman" w:hAnsi="Times New Roman"/>
                <w:sz w:val="24"/>
              </w:rPr>
              <w:t xml:space="preserve"> kredytowy został określony za pomocą wskaźnika zastępczego zamiast bezpośrednio zaobserwowanych danych rynkowych.</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0120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DOKONANE KOREKTY WYCENY KREDYTOWEJ</w:t>
            </w:r>
          </w:p>
          <w:p w:rsidR="000B0B09" w:rsidRPr="00AA1421" w:rsidRDefault="000B0B09" w:rsidP="000B0B09">
            <w:pPr>
              <w:rPr>
                <w:rFonts w:ascii="Times New Roman" w:hAnsi="Times New Roman"/>
                <w:sz w:val="24"/>
              </w:rPr>
            </w:pPr>
            <w:r w:rsidRPr="00AA1421">
              <w:rPr>
                <w:rFonts w:ascii="Times New Roman" w:hAnsi="Times New Roman"/>
                <w:sz w:val="24"/>
              </w:rPr>
              <w:t>Przepisy dotyczące rachunkowości ze względu na zmniejszoną wiarygodność kredytową kontrahentów instrumentów pochodnych.</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0130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JEDNOPODMIOTOWY SWAP RYZYKA KREDYTOWEGO</w:t>
            </w:r>
          </w:p>
          <w:p w:rsidR="000B0B09" w:rsidRPr="00AA1421" w:rsidRDefault="00D21B29" w:rsidP="000B0B09">
            <w:pPr>
              <w:rPr>
                <w:rFonts w:ascii="Times New Roman" w:hAnsi="Times New Roman"/>
                <w:sz w:val="24"/>
              </w:rPr>
            </w:pPr>
            <w:r w:rsidRPr="00AA1421">
              <w:rPr>
                <w:rFonts w:ascii="Times New Roman" w:hAnsi="Times New Roman"/>
                <w:sz w:val="24"/>
              </w:rPr>
              <w:t xml:space="preserve">Art. 386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 </w:t>
            </w:r>
          </w:p>
          <w:p w:rsidR="000B0B09" w:rsidRPr="00AA1421" w:rsidRDefault="000B0B09" w:rsidP="000B0B09">
            <w:pPr>
              <w:rPr>
                <w:rFonts w:ascii="Times New Roman" w:hAnsi="Times New Roman"/>
                <w:sz w:val="24"/>
              </w:rPr>
            </w:pPr>
            <w:r w:rsidRPr="00AA1421">
              <w:rPr>
                <w:rFonts w:ascii="Times New Roman" w:hAnsi="Times New Roman"/>
                <w:sz w:val="24"/>
              </w:rPr>
              <w:t xml:space="preserve">Łączna kwota referencyjna jednopodmiotowego </w:t>
            </w:r>
            <w:proofErr w:type="spellStart"/>
            <w:r w:rsidRPr="00AA1421">
              <w:rPr>
                <w:rFonts w:ascii="Times New Roman" w:hAnsi="Times New Roman"/>
                <w:sz w:val="24"/>
              </w:rPr>
              <w:t>swapu</w:t>
            </w:r>
            <w:proofErr w:type="spellEnd"/>
            <w:r w:rsidRPr="00AA1421">
              <w:rPr>
                <w:rFonts w:ascii="Times New Roman" w:hAnsi="Times New Roman"/>
                <w:sz w:val="24"/>
              </w:rPr>
              <w:t xml:space="preserve"> ryzyka kredytowego stosowana jako zabezpieczenie w odniesieniu do ryzyka CVA.</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0140</w:t>
            </w:r>
          </w:p>
        </w:tc>
        <w:tc>
          <w:tcPr>
            <w:tcW w:w="8004" w:type="dxa"/>
          </w:tcPr>
          <w:p w:rsidR="000B0B09" w:rsidRPr="00AA1421" w:rsidRDefault="000B0B09" w:rsidP="000B0B09">
            <w:pPr>
              <w:rPr>
                <w:rFonts w:ascii="Times New Roman" w:hAnsi="Times New Roman"/>
                <w:b/>
                <w:sz w:val="24"/>
                <w:u w:val="single"/>
              </w:rPr>
            </w:pPr>
            <w:r w:rsidRPr="00AA1421">
              <w:rPr>
                <w:rFonts w:ascii="Times New Roman" w:hAnsi="Times New Roman"/>
                <w:b/>
                <w:sz w:val="24"/>
                <w:u w:val="single"/>
              </w:rPr>
              <w:t>INDEKSOWANY SWAP RYZYKA KREDYTOWEGO</w:t>
            </w:r>
          </w:p>
          <w:p w:rsidR="000B0B09" w:rsidRPr="00AA1421" w:rsidRDefault="00D21B29" w:rsidP="000B0B09">
            <w:pPr>
              <w:rPr>
                <w:rFonts w:ascii="Times New Roman" w:hAnsi="Times New Roman"/>
                <w:sz w:val="24"/>
              </w:rPr>
            </w:pPr>
            <w:r w:rsidRPr="00AA1421">
              <w:rPr>
                <w:rFonts w:ascii="Times New Roman" w:hAnsi="Times New Roman"/>
                <w:sz w:val="24"/>
              </w:rPr>
              <w:t xml:space="preserve">Art. 386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w:t>
            </w:r>
          </w:p>
          <w:p w:rsidR="000B0B09" w:rsidRPr="00AA1421" w:rsidRDefault="000B0B09" w:rsidP="000B0B09">
            <w:pPr>
              <w:rPr>
                <w:rFonts w:ascii="Times New Roman" w:hAnsi="Times New Roman"/>
                <w:b/>
                <w:sz w:val="24"/>
                <w:u w:val="single"/>
              </w:rPr>
            </w:pPr>
            <w:r w:rsidRPr="00AA1421">
              <w:rPr>
                <w:rFonts w:ascii="Times New Roman" w:hAnsi="Times New Roman"/>
                <w:sz w:val="24"/>
              </w:rPr>
              <w:t xml:space="preserve">Łączna kwota referencyjna indeksowanego </w:t>
            </w:r>
            <w:proofErr w:type="spellStart"/>
            <w:r w:rsidRPr="00AA1421">
              <w:rPr>
                <w:rFonts w:ascii="Times New Roman" w:hAnsi="Times New Roman"/>
                <w:sz w:val="24"/>
              </w:rPr>
              <w:t>swapu</w:t>
            </w:r>
            <w:proofErr w:type="spellEnd"/>
            <w:r w:rsidRPr="00AA1421">
              <w:rPr>
                <w:rFonts w:ascii="Times New Roman" w:hAnsi="Times New Roman"/>
                <w:sz w:val="24"/>
              </w:rPr>
              <w:t xml:space="preserve"> ryzyka kredytowego stosowana jako zabezpieczenie w odniesieniu do ryzyka CVA.</w:t>
            </w:r>
          </w:p>
        </w:tc>
      </w:tr>
    </w:tbl>
    <w:p w:rsidR="000B0B09" w:rsidRPr="00AA1421"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A1421" w:rsidTr="00672D2A">
        <w:tc>
          <w:tcPr>
            <w:tcW w:w="8856" w:type="dxa"/>
            <w:gridSpan w:val="2"/>
            <w:shd w:val="clear" w:color="auto" w:fill="CCCCCC"/>
          </w:tcPr>
          <w:p w:rsidR="000B0B09" w:rsidRPr="00AA1421" w:rsidRDefault="000B0B09" w:rsidP="000B0B09">
            <w:pPr>
              <w:rPr>
                <w:rFonts w:ascii="Times New Roman" w:hAnsi="Times New Roman"/>
                <w:b/>
                <w:sz w:val="24"/>
              </w:rPr>
            </w:pPr>
            <w:r w:rsidRPr="00AA1421">
              <w:rPr>
                <w:rFonts w:ascii="Times New Roman" w:hAnsi="Times New Roman"/>
                <w:b/>
                <w:sz w:val="24"/>
              </w:rPr>
              <w:t>Wiersze</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0010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Ryzyko CVA razem</w:t>
            </w:r>
          </w:p>
          <w:p w:rsidR="000B0B09" w:rsidRPr="00AA1421" w:rsidRDefault="000B0B09" w:rsidP="002300C6">
            <w:pPr>
              <w:rPr>
                <w:rFonts w:ascii="Times New Roman" w:hAnsi="Times New Roman"/>
                <w:bCs/>
                <w:sz w:val="24"/>
              </w:rPr>
            </w:pPr>
            <w:r w:rsidRPr="00AA1421">
              <w:rPr>
                <w:rFonts w:ascii="Times New Roman" w:hAnsi="Times New Roman"/>
                <w:bCs/>
                <w:sz w:val="24"/>
              </w:rPr>
              <w:lastRenderedPageBreak/>
              <w:t>Suma wierszy 0020-0040</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lastRenderedPageBreak/>
              <w:t xml:space="preserve">0020 </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Metoda zaawansowana</w:t>
            </w:r>
          </w:p>
          <w:p w:rsidR="000B0B09" w:rsidRPr="00AA1421" w:rsidRDefault="000B0B09" w:rsidP="000B0B09">
            <w:pPr>
              <w:rPr>
                <w:rFonts w:ascii="Times New Roman" w:hAnsi="Times New Roman"/>
                <w:bCs/>
                <w:sz w:val="24"/>
              </w:rPr>
            </w:pPr>
            <w:r w:rsidRPr="00AA1421">
              <w:rPr>
                <w:rFonts w:ascii="Times New Roman" w:hAnsi="Times New Roman"/>
                <w:bCs/>
                <w:sz w:val="24"/>
              </w:rPr>
              <w:t xml:space="preserve">Zaawansowana metoda ryzyka CVA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83 CRR </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0030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Metoda standardowa</w:t>
            </w:r>
          </w:p>
          <w:p w:rsidR="000B0B09" w:rsidRPr="00AA1421" w:rsidRDefault="000B0B09" w:rsidP="000B0B09">
            <w:pPr>
              <w:rPr>
                <w:rFonts w:ascii="Times New Roman" w:hAnsi="Times New Roman"/>
                <w:bCs/>
                <w:sz w:val="24"/>
              </w:rPr>
            </w:pPr>
            <w:r w:rsidRPr="00AA1421">
              <w:rPr>
                <w:rFonts w:ascii="Times New Roman" w:hAnsi="Times New Roman"/>
                <w:bCs/>
                <w:sz w:val="24"/>
              </w:rPr>
              <w:t xml:space="preserve">Standardowa metoda ryzyka CVA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84 CRR </w:t>
            </w:r>
          </w:p>
        </w:tc>
      </w:tr>
      <w:tr w:rsidR="000B0B09" w:rsidRPr="00AA1421" w:rsidTr="00672D2A">
        <w:tc>
          <w:tcPr>
            <w:tcW w:w="852" w:type="dxa"/>
          </w:tcPr>
          <w:p w:rsidR="000B0B09" w:rsidRPr="00AA1421" w:rsidRDefault="00787733" w:rsidP="000B0B09">
            <w:pPr>
              <w:rPr>
                <w:rFonts w:ascii="Times New Roman" w:hAnsi="Times New Roman"/>
                <w:sz w:val="24"/>
              </w:rPr>
            </w:pPr>
            <w:r w:rsidRPr="00AA1421">
              <w:rPr>
                <w:rFonts w:ascii="Times New Roman" w:hAnsi="Times New Roman"/>
                <w:sz w:val="24"/>
              </w:rPr>
              <w:t>0040</w:t>
            </w:r>
          </w:p>
        </w:tc>
        <w:tc>
          <w:tcPr>
            <w:tcW w:w="8004" w:type="dxa"/>
          </w:tcPr>
          <w:p w:rsidR="000B0B09" w:rsidRPr="00AA1421" w:rsidRDefault="000B0B09" w:rsidP="000B0B09">
            <w:pPr>
              <w:rPr>
                <w:rFonts w:ascii="Times New Roman" w:hAnsi="Times New Roman"/>
                <w:b/>
                <w:bCs/>
                <w:sz w:val="24"/>
                <w:u w:val="single"/>
              </w:rPr>
            </w:pPr>
            <w:r w:rsidRPr="00AA1421">
              <w:rPr>
                <w:rFonts w:ascii="Times New Roman" w:hAnsi="Times New Roman"/>
                <w:b/>
                <w:bCs/>
                <w:sz w:val="24"/>
                <w:u w:val="single"/>
              </w:rPr>
              <w:t>Na podstawie metody wyceny pierwotnej ekspozycji</w:t>
            </w:r>
          </w:p>
          <w:p w:rsidR="000B0B09" w:rsidRPr="00AA1421" w:rsidRDefault="000B0B09" w:rsidP="00E871FE">
            <w:pPr>
              <w:rPr>
                <w:rFonts w:ascii="Times New Roman" w:hAnsi="Times New Roman"/>
                <w:bCs/>
                <w:sz w:val="24"/>
              </w:rPr>
            </w:pPr>
            <w:r w:rsidRPr="00AA1421">
              <w:rPr>
                <w:rFonts w:ascii="Times New Roman" w:hAnsi="Times New Roman"/>
                <w:bCs/>
                <w:sz w:val="24"/>
              </w:rPr>
              <w:t xml:space="preserve">Kwoty podlegające zastosowaniu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85</w:t>
            </w:r>
            <w:r w:rsidRPr="00AA1421">
              <w:rPr>
                <w:rFonts w:ascii="Times New Roman" w:hAnsi="Times New Roman"/>
                <w:sz w:val="24"/>
              </w:rPr>
              <w:t xml:space="preserve"> CRR</w:t>
            </w:r>
          </w:p>
        </w:tc>
      </w:tr>
      <w:bookmarkEnd w:id="755"/>
    </w:tbl>
    <w:p w:rsidR="00633DEB" w:rsidRPr="00AA1421" w:rsidRDefault="00633DEB" w:rsidP="00C61FF5">
      <w:pPr>
        <w:rPr>
          <w:rStyle w:val="InstructionsTabelleText"/>
          <w:rFonts w:ascii="Times New Roman" w:hAnsi="Times New Roman"/>
          <w:sz w:val="24"/>
        </w:rPr>
      </w:pPr>
    </w:p>
    <w:p w:rsidR="00995A7F" w:rsidRPr="00AA1421" w:rsidRDefault="00995A7F" w:rsidP="00995A7F">
      <w:pPr>
        <w:pStyle w:val="Instructionsberschrift2"/>
        <w:numPr>
          <w:ilvl w:val="0"/>
          <w:numId w:val="0"/>
        </w:numPr>
        <w:ind w:left="357" w:hanging="357"/>
        <w:rPr>
          <w:rFonts w:ascii="Times New Roman" w:hAnsi="Times New Roman" w:cs="Times New Roman"/>
          <w:sz w:val="24"/>
        </w:rPr>
      </w:pPr>
      <w:bookmarkStart w:id="756" w:name="_Toc58403744"/>
      <w:r w:rsidRPr="00AA1421">
        <w:rPr>
          <w:rFonts w:ascii="Times New Roman" w:hAnsi="Times New Roman"/>
          <w:sz w:val="24"/>
          <w:u w:val="none"/>
        </w:rPr>
        <w:t>6.</w:t>
      </w:r>
      <w:r w:rsidR="00D712CF" w:rsidRPr="00AA1421">
        <w:rPr>
          <w:u w:val="none"/>
        </w:rPr>
        <w:tab/>
      </w:r>
      <w:r w:rsidRPr="00AA1421">
        <w:rPr>
          <w:rFonts w:ascii="Times New Roman" w:hAnsi="Times New Roman"/>
          <w:sz w:val="24"/>
        </w:rPr>
        <w:t>Ostrożna wycena (</w:t>
      </w:r>
      <w:proofErr w:type="spellStart"/>
      <w:r w:rsidRPr="00AA1421">
        <w:rPr>
          <w:rFonts w:ascii="Times New Roman" w:hAnsi="Times New Roman"/>
          <w:sz w:val="24"/>
        </w:rPr>
        <w:t>PruVal</w:t>
      </w:r>
      <w:proofErr w:type="spellEnd"/>
      <w:r w:rsidRPr="00AA1421">
        <w:rPr>
          <w:rFonts w:ascii="Times New Roman" w:hAnsi="Times New Roman"/>
          <w:sz w:val="24"/>
        </w:rPr>
        <w:t>)</w:t>
      </w:r>
      <w:bookmarkEnd w:id="756"/>
    </w:p>
    <w:p w:rsidR="00995A7F" w:rsidRPr="00AA1421"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403745"/>
      <w:r w:rsidRPr="00AA1421">
        <w:rPr>
          <w:rFonts w:ascii="Times New Roman" w:hAnsi="Times New Roman"/>
          <w:sz w:val="24"/>
          <w:u w:val="none"/>
        </w:rPr>
        <w:t>6.1.</w:t>
      </w:r>
      <w:r w:rsidR="00D712CF" w:rsidRPr="00AA1421">
        <w:rPr>
          <w:u w:val="none"/>
        </w:rPr>
        <w:tab/>
      </w:r>
      <w:r w:rsidRPr="00AA1421">
        <w:rPr>
          <w:rFonts w:ascii="Times New Roman" w:hAnsi="Times New Roman"/>
          <w:sz w:val="24"/>
        </w:rPr>
        <w:t>C 32.01 - Ostrożna wycena: aktywa i zobowiązania wyceniane według wartości godziwej (</w:t>
      </w:r>
      <w:proofErr w:type="spellStart"/>
      <w:r w:rsidRPr="00AA1421">
        <w:rPr>
          <w:rFonts w:ascii="Times New Roman" w:hAnsi="Times New Roman"/>
          <w:sz w:val="24"/>
        </w:rPr>
        <w:t>PruVal</w:t>
      </w:r>
      <w:proofErr w:type="spellEnd"/>
      <w:r w:rsidRPr="00AA1421">
        <w:rPr>
          <w:rFonts w:ascii="Times New Roman" w:hAnsi="Times New Roman"/>
          <w:sz w:val="24"/>
        </w:rPr>
        <w:t xml:space="preserve"> 1)</w:t>
      </w:r>
      <w:bookmarkEnd w:id="757"/>
    </w:p>
    <w:p w:rsidR="00995A7F" w:rsidRPr="00AA1421"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403746"/>
      <w:r w:rsidRPr="00AA1421">
        <w:rPr>
          <w:rFonts w:ascii="Times New Roman" w:hAnsi="Times New Roman"/>
          <w:sz w:val="24"/>
          <w:u w:val="none"/>
        </w:rPr>
        <w:t>6.1.1.</w:t>
      </w:r>
      <w:r w:rsidR="00D712CF" w:rsidRPr="00AA1421">
        <w:rPr>
          <w:u w:val="none"/>
        </w:rPr>
        <w:tab/>
      </w:r>
      <w:r w:rsidRPr="00AA1421">
        <w:rPr>
          <w:rFonts w:ascii="Times New Roman" w:hAnsi="Times New Roman"/>
          <w:sz w:val="24"/>
        </w:rPr>
        <w:t>Uwagi ogólne</w:t>
      </w:r>
      <w:bookmarkEnd w:id="758"/>
      <w:r w:rsidRPr="00AA1421">
        <w:rPr>
          <w:rFonts w:ascii="Times New Roman" w:hAnsi="Times New Roman"/>
          <w:sz w:val="24"/>
          <w:u w:val="none"/>
        </w:rPr>
        <w:t xml:space="preserve"> </w:t>
      </w:r>
    </w:p>
    <w:p w:rsidR="00B828CC" w:rsidRPr="00AA1421" w:rsidRDefault="00AA1421" w:rsidP="00487A02">
      <w:pPr>
        <w:pStyle w:val="InstructionsText2"/>
        <w:numPr>
          <w:ilvl w:val="0"/>
          <w:numId w:val="0"/>
        </w:numPr>
        <w:ind w:left="1353" w:hanging="360"/>
      </w:pPr>
      <w:fldSimple w:instr=" seq paragraphs ">
        <w:r w:rsidR="00D11E4C" w:rsidRPr="00AA1421">
          <w:rPr>
            <w:noProof/>
          </w:rPr>
          <w:t>176</w:t>
        </w:r>
      </w:fldSimple>
      <w:r w:rsidR="00D11E4C" w:rsidRPr="00AA1421">
        <w:t xml:space="preserve">. Wzór ten wypełniają wszystkie instytucje, niezależnie od tego, czy przyjęły metodę uproszczoną na potrzeby wyznaczania dodatkowych korekt wyceny („AVA”). Wzór ten poświęcony jest bezwzględnej wartości aktywów i zobowiązań wycenianych według wartości godziwej stosowanej do ustalenia, czy spełniono warunki stosowania uproszczonej metody wyznaczania AVA określone w </w:t>
      </w:r>
      <w:r w:rsidR="00D11E4C" w:rsidRPr="00084F66">
        <w:t>art.</w:t>
      </w:r>
      <w:r w:rsidR="00084F66" w:rsidRPr="00084F66">
        <w:t> </w:t>
      </w:r>
      <w:r w:rsidR="00D11E4C" w:rsidRPr="00084F66">
        <w:t>4</w:t>
      </w:r>
      <w:r w:rsidR="00D11E4C" w:rsidRPr="00AA1421">
        <w:t xml:space="preserve"> rozporządzenia delegowanego Komisji (UE) 2016/101</w:t>
      </w:r>
      <w:r w:rsidR="00D11E4C" w:rsidRPr="00AA1421">
        <w:rPr>
          <w:rStyle w:val="FootnoteReference"/>
        </w:rPr>
        <w:footnoteReference w:id="15"/>
      </w:r>
      <w:r w:rsidR="00D11E4C" w:rsidRPr="00AA1421">
        <w:t>.</w:t>
      </w:r>
    </w:p>
    <w:p w:rsidR="00995A7F" w:rsidRPr="00AA1421" w:rsidRDefault="00AA1421" w:rsidP="00487A02">
      <w:pPr>
        <w:pStyle w:val="InstructionsText2"/>
        <w:numPr>
          <w:ilvl w:val="0"/>
          <w:numId w:val="0"/>
        </w:numPr>
        <w:ind w:left="1353" w:hanging="360"/>
      </w:pPr>
      <w:fldSimple w:instr=" seq paragraphs ">
        <w:r w:rsidR="00D11E4C" w:rsidRPr="00AA1421">
          <w:rPr>
            <w:noProof/>
          </w:rPr>
          <w:t>177</w:t>
        </w:r>
      </w:fldSimple>
      <w:r w:rsidR="00D11E4C" w:rsidRPr="00AA1421">
        <w:t xml:space="preserve">. W przypadku instytucji stosujących metodę uproszczoną z wzoru tego wynika całkowita AVA podlegająca odliczeniu od funduszy własnych na podstawie </w:t>
      </w:r>
      <w:r w:rsidR="00D11E4C" w:rsidRPr="00084F66">
        <w:t>art.</w:t>
      </w:r>
      <w:r w:rsidR="00084F66" w:rsidRPr="00084F66">
        <w:t> </w:t>
      </w:r>
      <w:r w:rsidR="00D11E4C" w:rsidRPr="00084F66">
        <w:t>3</w:t>
      </w:r>
      <w:r w:rsidR="00D11E4C" w:rsidRPr="00AA1421">
        <w:t xml:space="preserve">4 i 105 CRR, jak określono w </w:t>
      </w:r>
      <w:r w:rsidR="00D11E4C" w:rsidRPr="00084F66">
        <w:t>art.</w:t>
      </w:r>
      <w:r w:rsidR="00084F66" w:rsidRPr="00084F66">
        <w:t> </w:t>
      </w:r>
      <w:r w:rsidR="00D11E4C" w:rsidRPr="00084F66">
        <w:t>5</w:t>
      </w:r>
      <w:r w:rsidR="00D11E4C" w:rsidRPr="00AA1421">
        <w:t xml:space="preserve"> rozporządzenia delegowanego (UE) 2016/101, którą zgłasza się odpowiednio w wierszu 0290 wzoru C 01.00.</w:t>
      </w:r>
    </w:p>
    <w:p w:rsidR="00B93FA1" w:rsidRPr="00AA1421"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403747"/>
      <w:r w:rsidRPr="00AA1421">
        <w:rPr>
          <w:rFonts w:ascii="Times New Roman" w:hAnsi="Times New Roman"/>
          <w:sz w:val="24"/>
          <w:u w:val="none"/>
        </w:rPr>
        <w:t>6.1.2.</w:t>
      </w:r>
      <w:r w:rsidR="00D712CF" w:rsidRPr="00AA1421">
        <w:rPr>
          <w:u w:val="none"/>
        </w:rPr>
        <w:tab/>
      </w:r>
      <w:r w:rsidRPr="00AA1421">
        <w:rPr>
          <w:rFonts w:ascii="Times New Roman" w:hAnsi="Times New Roman"/>
          <w:sz w:val="24"/>
        </w:rPr>
        <w:t>Instrukcje dotyczące poszczególnych pozycji</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A1421" w:rsidTr="00672D2A">
        <w:tc>
          <w:tcPr>
            <w:tcW w:w="9291" w:type="dxa"/>
            <w:gridSpan w:val="2"/>
            <w:shd w:val="clear" w:color="auto" w:fill="CCCCCC"/>
          </w:tcPr>
          <w:p w:rsidR="00B93FA1" w:rsidRPr="00AA1421" w:rsidRDefault="00B93FA1" w:rsidP="00AF3D7A">
            <w:pPr>
              <w:spacing w:beforeLines="60" w:before="144" w:afterLines="60" w:after="144"/>
              <w:rPr>
                <w:rFonts w:ascii="Times New Roman" w:hAnsi="Times New Roman"/>
                <w:b/>
                <w:sz w:val="24"/>
              </w:rPr>
            </w:pPr>
            <w:r w:rsidRPr="00AA1421">
              <w:rPr>
                <w:rFonts w:ascii="Times New Roman" w:hAnsi="Times New Roman"/>
                <w:b/>
                <w:sz w:val="24"/>
              </w:rPr>
              <w:t>Kolumny</w:t>
            </w:r>
          </w:p>
        </w:tc>
      </w:tr>
      <w:tr w:rsidR="00B93FA1" w:rsidRPr="00AA1421" w:rsidTr="00672D2A">
        <w:tc>
          <w:tcPr>
            <w:tcW w:w="1101" w:type="dxa"/>
          </w:tcPr>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0010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AKTYWA I ZOBOWIĄZANIA WYCENIANE WEDŁUG WARTOŚCI GODZIWEJ</w:t>
            </w:r>
          </w:p>
          <w:p w:rsidR="00B93FA1" w:rsidRPr="00AA1421" w:rsidRDefault="00B93FA1" w:rsidP="0016282F">
            <w:pPr>
              <w:spacing w:beforeLines="60" w:before="144" w:afterLines="60" w:after="144"/>
              <w:rPr>
                <w:rFonts w:ascii="Times New Roman" w:hAnsi="Times New Roman"/>
                <w:sz w:val="24"/>
              </w:rPr>
            </w:pPr>
            <w:r w:rsidRPr="00AA1421">
              <w:rPr>
                <w:rFonts w:ascii="Times New Roman" w:hAnsi="Times New Roman"/>
                <w:sz w:val="24"/>
              </w:rPr>
              <w:t xml:space="preserve">Wartość bezwzględna aktywów i zobowiązań wycenianych według wartości godziwej, wykazana w sprawozdaniu finansowym zgodnie z mającymi zastosowanie standardami rachunkowości, o której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rozporządzenia delegowanego (UE) 2016/101, przed dokonaniem jakichkolwiek </w:t>
            </w:r>
            <w:proofErr w:type="spellStart"/>
            <w:r w:rsidRPr="00AA1421">
              <w:rPr>
                <w:rFonts w:ascii="Times New Roman" w:hAnsi="Times New Roman"/>
                <w:sz w:val="24"/>
              </w:rPr>
              <w:t>wyłączeń</w:t>
            </w:r>
            <w:proofErr w:type="spellEnd"/>
            <w:r w:rsidRPr="00AA1421">
              <w:rPr>
                <w:rFonts w:ascii="Times New Roman" w:hAnsi="Times New Roman"/>
                <w:sz w:val="24"/>
              </w:rPr>
              <w:t xml:space="preserve">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0020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W TYM: portfel handlowy</w:t>
            </w:r>
          </w:p>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sz w:val="24"/>
              </w:rPr>
              <w:lastRenderedPageBreak/>
              <w:t xml:space="preserve">Wartość bezwzględna aktywów i zobowiązań wycenianych według wartości godziwej, zgłoszona w kolumnie 010, odpowiadająca pozycjom utrzymywanym w portfelu handlowym. </w:t>
            </w:r>
          </w:p>
        </w:tc>
      </w:tr>
      <w:tr w:rsidR="00B93FA1" w:rsidRPr="00AA1421" w:rsidTr="00672D2A">
        <w:tc>
          <w:tcPr>
            <w:tcW w:w="1101" w:type="dxa"/>
          </w:tcPr>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lastRenderedPageBreak/>
              <w:t>0030-0070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AKTYWA I ZOBOWIĄZANIA WYCENIANE WEDŁUG WARTOŚCI GODZIWEJ WYŁĄCZONE ZE WZGLĘDU NA CZĘŚCIOWY WPŁYW NA KAPITAŁ PODSTAWOWY TIER I</w:t>
            </w:r>
          </w:p>
          <w:p w:rsidR="00B93FA1" w:rsidRPr="00AA1421" w:rsidRDefault="00B93FA1" w:rsidP="0016282F">
            <w:pPr>
              <w:spacing w:beforeLines="60" w:before="144" w:afterLines="60" w:after="144"/>
              <w:rPr>
                <w:rFonts w:ascii="Times New Roman" w:hAnsi="Times New Roman"/>
                <w:b/>
                <w:caps/>
                <w:sz w:val="24"/>
                <w:u w:val="single"/>
              </w:rPr>
            </w:pPr>
            <w:r w:rsidRPr="00AA1421">
              <w:rPr>
                <w:rFonts w:ascii="Times New Roman" w:hAnsi="Times New Roman"/>
                <w:sz w:val="24"/>
              </w:rPr>
              <w:t xml:space="preserve">Wartość bezwzględna aktywów i zobowiązań wycenianych według wartości godziwej wyłączonych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w:t>
            </w:r>
          </w:p>
        </w:tc>
      </w:tr>
      <w:tr w:rsidR="00B93FA1" w:rsidRPr="00AA1421" w:rsidTr="00672D2A">
        <w:tc>
          <w:tcPr>
            <w:tcW w:w="1101" w:type="dxa"/>
          </w:tcPr>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0030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Dokładne dopasowanie</w:t>
            </w:r>
          </w:p>
          <w:p w:rsidR="00B93FA1" w:rsidRPr="00AA1421" w:rsidRDefault="00B93FA1" w:rsidP="0016282F">
            <w:pPr>
              <w:spacing w:beforeLines="60" w:before="144" w:afterLines="60" w:after="144"/>
              <w:rPr>
                <w:rFonts w:ascii="Times New Roman" w:hAnsi="Times New Roman"/>
                <w:sz w:val="24"/>
              </w:rPr>
            </w:pPr>
            <w:r w:rsidRPr="00AA1421">
              <w:rPr>
                <w:rFonts w:ascii="Times New Roman" w:hAnsi="Times New Roman"/>
                <w:sz w:val="24"/>
              </w:rPr>
              <w:t xml:space="preserve">Dokładne dopasowanie pokrywające wartość bezwzględną aktywów i zobowiązań wycenianych według wartości godziwej wyłączonych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0040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Rachunkowość zabezpieczeń</w:t>
            </w:r>
          </w:p>
          <w:p w:rsidR="00B93FA1" w:rsidRPr="00AA1421" w:rsidRDefault="00B93FA1" w:rsidP="0016282F">
            <w:pPr>
              <w:spacing w:beforeLines="60" w:before="144" w:afterLines="60" w:after="144"/>
              <w:rPr>
                <w:rFonts w:ascii="Times New Roman" w:hAnsi="Times New Roman"/>
                <w:sz w:val="24"/>
              </w:rPr>
            </w:pPr>
            <w:r w:rsidRPr="00AA1421">
              <w:rPr>
                <w:rFonts w:ascii="Times New Roman" w:hAnsi="Times New Roman"/>
                <w:sz w:val="24"/>
              </w:rPr>
              <w:t xml:space="preserve">W odniesieniu do pozycji objętych rachunkowością zabezpieczeń zgodnie z mającymi zastosowanie standardami rachunkowości – wartość bezwzględna aktywów i zobowiązań wycenianych według wartości godziwej wyłączonych proporcjonalnie do wpływu odpowiedniej zmiany w wycenie na kapitał podstawowy </w:t>
            </w:r>
            <w:proofErr w:type="spellStart"/>
            <w:r w:rsidRPr="00AA1421">
              <w:rPr>
                <w:rFonts w:ascii="Times New Roman" w:hAnsi="Times New Roman"/>
                <w:sz w:val="24"/>
              </w:rPr>
              <w:t>Tier</w:t>
            </w:r>
            <w:proofErr w:type="spellEnd"/>
            <w:r w:rsidRPr="00AA1421">
              <w:rPr>
                <w:rFonts w:ascii="Times New Roman" w:hAnsi="Times New Roman"/>
                <w:sz w:val="24"/>
              </w:rPr>
              <w:t xml:space="preserve"> I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0050</w:t>
            </w:r>
          </w:p>
        </w:tc>
        <w:tc>
          <w:tcPr>
            <w:tcW w:w="8190" w:type="dxa"/>
          </w:tcPr>
          <w:p w:rsidR="00B93FA1" w:rsidRPr="00AA1421" w:rsidRDefault="00B93FA1" w:rsidP="00AF3D7A">
            <w:pPr>
              <w:spacing w:beforeLines="60" w:before="144" w:afterLines="60" w:after="144"/>
              <w:rPr>
                <w:rFonts w:ascii="Times New Roman" w:hAnsi="Times New Roman"/>
                <w:b/>
                <w:caps/>
                <w:sz w:val="24"/>
              </w:rPr>
            </w:pPr>
            <w:r w:rsidRPr="00AA1421">
              <w:rPr>
                <w:rFonts w:ascii="Times New Roman" w:hAnsi="Times New Roman"/>
                <w:b/>
                <w:caps/>
                <w:sz w:val="24"/>
                <w:u w:val="single"/>
              </w:rPr>
              <w:t xml:space="preserve">Filtry ostrożnościowe </w:t>
            </w:r>
          </w:p>
          <w:p w:rsidR="00B93FA1" w:rsidRPr="00AA1421" w:rsidRDefault="00B93FA1" w:rsidP="002300C6">
            <w:pPr>
              <w:spacing w:beforeLines="60" w:before="144" w:afterLines="60" w:after="144"/>
              <w:rPr>
                <w:rFonts w:ascii="Times New Roman" w:hAnsi="Times New Roman"/>
                <w:sz w:val="24"/>
              </w:rPr>
            </w:pPr>
            <w:r w:rsidRPr="00AA1421">
              <w:rPr>
                <w:rFonts w:ascii="Times New Roman" w:hAnsi="Times New Roman"/>
                <w:sz w:val="24"/>
              </w:rPr>
              <w:t xml:space="preserve">Wartość bezwzględna aktywów i zobowiązań wycenianych według wartości godziwej wyłączonych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ze względu na przejściowe filtry ostrożnościowe, o których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67 i 468 CRR.</w:t>
            </w:r>
          </w:p>
        </w:tc>
      </w:tr>
      <w:tr w:rsidR="00B93FA1" w:rsidRPr="00AA1421" w:rsidTr="00672D2A">
        <w:tc>
          <w:tcPr>
            <w:tcW w:w="1101" w:type="dxa"/>
          </w:tcPr>
          <w:p w:rsidR="00B93FA1" w:rsidRPr="00AA1421" w:rsidRDefault="001924F4" w:rsidP="00B93FA1">
            <w:pPr>
              <w:spacing w:beforeLines="60" w:before="144" w:afterLines="60" w:after="144"/>
              <w:rPr>
                <w:rFonts w:ascii="Times New Roman" w:hAnsi="Times New Roman"/>
                <w:sz w:val="24"/>
              </w:rPr>
            </w:pPr>
            <w:r w:rsidRPr="00AA1421">
              <w:rPr>
                <w:rFonts w:ascii="Times New Roman" w:hAnsi="Times New Roman"/>
                <w:sz w:val="24"/>
              </w:rPr>
              <w:t>0060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Inne</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Wszelkie inne pozycje wyłączone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ze względu na fakt, że korekta ich wartości księgowej ma jedynie proporcjonalny wpływ na kapitał podstawowy </w:t>
            </w:r>
            <w:proofErr w:type="spellStart"/>
            <w:r w:rsidRPr="00AA1421">
              <w:rPr>
                <w:rFonts w:ascii="Times New Roman" w:hAnsi="Times New Roman"/>
                <w:sz w:val="24"/>
              </w:rPr>
              <w:t>Tier</w:t>
            </w:r>
            <w:proofErr w:type="spellEnd"/>
            <w:r w:rsidRPr="00AA1421">
              <w:rPr>
                <w:rFonts w:ascii="Times New Roman" w:hAnsi="Times New Roman"/>
                <w:sz w:val="24"/>
              </w:rPr>
              <w:t xml:space="preserve"> I.</w:t>
            </w:r>
          </w:p>
          <w:p w:rsidR="00B93FA1" w:rsidRPr="00AA1421" w:rsidRDefault="00B93FA1" w:rsidP="0016282F">
            <w:pPr>
              <w:spacing w:beforeLines="60" w:before="144" w:afterLines="60" w:after="144"/>
              <w:rPr>
                <w:rFonts w:ascii="Times New Roman" w:hAnsi="Times New Roman"/>
                <w:sz w:val="24"/>
              </w:rPr>
            </w:pPr>
            <w:r w:rsidRPr="00AA1421">
              <w:rPr>
                <w:rFonts w:ascii="Times New Roman" w:hAnsi="Times New Roman"/>
                <w:sz w:val="24"/>
              </w:rPr>
              <w:t xml:space="preserve">Wiersz ten wypełnia się tylko w rzadkich przypadkach, gdy pozycji wyłączonych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nie można przypisać do kolumn 0030, 0040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050 tego wzoru.</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0070</w:t>
            </w:r>
          </w:p>
        </w:tc>
        <w:tc>
          <w:tcPr>
            <w:tcW w:w="8190" w:type="dxa"/>
          </w:tcPr>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b/>
                <w:caps/>
                <w:sz w:val="24"/>
                <w:u w:val="single"/>
              </w:rPr>
              <w:t>Uwagi dotyczące pozycji „inne”</w:t>
            </w:r>
            <w:r w:rsidRPr="00AA1421">
              <w:rPr>
                <w:rFonts w:ascii="Times New Roman" w:hAnsi="Times New Roman"/>
                <w:sz w:val="24"/>
              </w:rPr>
              <w:t xml:space="preserve"> </w:t>
            </w:r>
          </w:p>
          <w:p w:rsidR="00B93FA1" w:rsidRPr="00AA1421" w:rsidRDefault="00C11B8D" w:rsidP="00584165">
            <w:pPr>
              <w:spacing w:beforeLines="60" w:before="144" w:afterLines="60" w:after="144"/>
              <w:rPr>
                <w:rFonts w:ascii="Times New Roman" w:hAnsi="Times New Roman"/>
                <w:b/>
                <w:caps/>
                <w:sz w:val="24"/>
                <w:u w:val="single"/>
              </w:rPr>
            </w:pPr>
            <w:r w:rsidRPr="00AA1421">
              <w:rPr>
                <w:rFonts w:ascii="Times New Roman" w:hAnsi="Times New Roman"/>
                <w:sz w:val="24"/>
              </w:rPr>
              <w:t>Podaje się główne powody, dla których wyłączono pozycje zgłoszone w kolumnie 0060.</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0080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 xml:space="preserve">Aktywa i zobowiązania WYCENIANE WEDŁUG WARTOŚCI GODZIWEJ uwzględnione w progu określonym w </w:t>
            </w:r>
            <w:r w:rsidRPr="00084F66">
              <w:rPr>
                <w:rFonts w:ascii="Times New Roman" w:hAnsi="Times New Roman"/>
                <w:b/>
                <w:caps/>
                <w:sz w:val="24"/>
                <w:u w:val="single"/>
              </w:rPr>
              <w:t>art.</w:t>
            </w:r>
            <w:r w:rsidR="00084F66" w:rsidRPr="00084F66">
              <w:rPr>
                <w:rFonts w:ascii="Times New Roman" w:hAnsi="Times New Roman"/>
                <w:b/>
                <w:caps/>
                <w:sz w:val="24"/>
                <w:u w:val="single"/>
              </w:rPr>
              <w:t> </w:t>
            </w:r>
            <w:r w:rsidRPr="00084F66">
              <w:rPr>
                <w:rFonts w:ascii="Times New Roman" w:hAnsi="Times New Roman"/>
                <w:b/>
                <w:caps/>
                <w:sz w:val="24"/>
                <w:u w:val="single"/>
              </w:rPr>
              <w:t>4</w:t>
            </w:r>
            <w:r w:rsidRPr="00AA1421">
              <w:rPr>
                <w:rFonts w:ascii="Times New Roman" w:hAnsi="Times New Roman"/>
                <w:b/>
                <w:caps/>
                <w:sz w:val="24"/>
                <w:u w:val="single"/>
              </w:rPr>
              <w:t xml:space="preserve"> </w:t>
            </w:r>
            <w:r w:rsidRPr="00084F66">
              <w:rPr>
                <w:rFonts w:ascii="Times New Roman" w:hAnsi="Times New Roman"/>
                <w:b/>
                <w:caps/>
                <w:sz w:val="24"/>
                <w:u w:val="single"/>
              </w:rPr>
              <w:t>ust.</w:t>
            </w:r>
            <w:r w:rsidR="00084F66" w:rsidRPr="00084F66">
              <w:rPr>
                <w:rFonts w:ascii="Times New Roman" w:hAnsi="Times New Roman"/>
                <w:b/>
                <w:caps/>
                <w:sz w:val="24"/>
                <w:u w:val="single"/>
              </w:rPr>
              <w:t> </w:t>
            </w:r>
            <w:r w:rsidRPr="00084F66">
              <w:rPr>
                <w:rFonts w:ascii="Times New Roman" w:hAnsi="Times New Roman"/>
                <w:b/>
                <w:caps/>
                <w:sz w:val="24"/>
                <w:u w:val="single"/>
              </w:rPr>
              <w:t>1</w:t>
            </w:r>
          </w:p>
          <w:p w:rsidR="00B93FA1" w:rsidRPr="00AA1421" w:rsidRDefault="00B93FA1" w:rsidP="0016282F">
            <w:pPr>
              <w:spacing w:beforeLines="60" w:before="144" w:afterLines="60" w:after="144"/>
              <w:rPr>
                <w:rFonts w:ascii="Times New Roman" w:hAnsi="Times New Roman"/>
                <w:b/>
                <w:caps/>
                <w:sz w:val="24"/>
                <w:u w:val="single"/>
              </w:rPr>
            </w:pPr>
            <w:r w:rsidRPr="00AA1421">
              <w:rPr>
                <w:rFonts w:ascii="Times New Roman" w:hAnsi="Times New Roman"/>
                <w:sz w:val="24"/>
              </w:rPr>
              <w:lastRenderedPageBreak/>
              <w:t xml:space="preserve">Wartość bezwzględna aktywów i zobowiązań wycenianych według wartości godziwej faktycznie uwzględnionych w wyliczeniach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rozporządzenia delegowanego (UE) 2016/101.</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lastRenderedPageBreak/>
              <w:t>0090</w:t>
            </w:r>
          </w:p>
        </w:tc>
        <w:tc>
          <w:tcPr>
            <w:tcW w:w="8190" w:type="dxa"/>
          </w:tcPr>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W TYM: portfel handlowy</w:t>
            </w:r>
          </w:p>
          <w:p w:rsidR="00B93FA1" w:rsidRPr="00AA1421" w:rsidRDefault="00B93FA1" w:rsidP="00AF3D7A">
            <w:pPr>
              <w:spacing w:beforeLines="60" w:before="144" w:afterLines="60" w:after="144"/>
              <w:rPr>
                <w:rFonts w:ascii="Times New Roman" w:hAnsi="Times New Roman"/>
                <w:b/>
                <w:caps/>
                <w:sz w:val="24"/>
                <w:u w:val="single"/>
              </w:rPr>
            </w:pPr>
            <w:r w:rsidRPr="00AA1421">
              <w:rPr>
                <w:rFonts w:ascii="Times New Roman" w:hAnsi="Times New Roman"/>
                <w:sz w:val="24"/>
              </w:rPr>
              <w:t>Wartość bezwzględna aktywów i zobowiązań wycenianych według wartości godziwej, zgłoszona w kolumnie 0080, odpowiadająca pozycjom utrzymywanym w portfelu handlowym.</w:t>
            </w:r>
          </w:p>
        </w:tc>
      </w:tr>
    </w:tbl>
    <w:p w:rsidR="00E60B53" w:rsidRPr="00AA1421"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A1421" w:rsidTr="00672D2A">
        <w:tc>
          <w:tcPr>
            <w:tcW w:w="9291" w:type="dxa"/>
            <w:gridSpan w:val="2"/>
            <w:shd w:val="clear" w:color="auto" w:fill="CCCCCC"/>
          </w:tcPr>
          <w:p w:rsidR="00B93FA1" w:rsidRPr="00AA1421" w:rsidRDefault="00B93FA1" w:rsidP="00AF3D7A">
            <w:pPr>
              <w:spacing w:beforeLines="60" w:before="144" w:afterLines="60" w:after="144"/>
              <w:rPr>
                <w:rFonts w:ascii="Times New Roman" w:hAnsi="Times New Roman"/>
                <w:b/>
                <w:sz w:val="24"/>
              </w:rPr>
            </w:pPr>
            <w:r w:rsidRPr="00AA1421">
              <w:rPr>
                <w:rFonts w:ascii="Times New Roman" w:hAnsi="Times New Roman"/>
                <w:b/>
                <w:sz w:val="24"/>
              </w:rPr>
              <w:t>Wiersze</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0010–0210</w:t>
            </w:r>
          </w:p>
        </w:tc>
        <w:tc>
          <w:tcPr>
            <w:tcW w:w="8190" w:type="dxa"/>
          </w:tcPr>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Definicje tych kategorii muszą odpowiadać definicjom odpowiadających im wierszy we wzorach FINREP 1.1 i 1.2. </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0010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 AKTYWA I ZOBOWIĄZANIA WYCENIANE WEDŁUG WARTOŚCI GODZIWEJ RAZEM</w:t>
            </w:r>
          </w:p>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sz w:val="24"/>
              </w:rPr>
              <w:t>Aktywa i zobowiązania wyceniane według wartości godziwej, zgłoszone w wierszach 0020–0210, razem.</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0020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 AKTYWA WYCENIANE WEDŁUG WARTOŚCI GODZIWEJ RAZEM</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Aktywa wyceniane według wartości godziwej, zgłoszone w wierszach 0030–0140, razem. </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Odpowiednie pola wierszy 0030–0130 zgłasza się zgodnie ze wzorem FINREP F 01.01 zawartym w załącznikach III i IV do niniejszego rozporządzenia wykonawczego w zależności od standardów mających zastosowanie do instytucji:</w:t>
            </w:r>
          </w:p>
          <w:p w:rsidR="00B93FA1" w:rsidRPr="00AA1421" w:rsidRDefault="00B93FA1" w:rsidP="0002267E">
            <w:pPr>
              <w:pStyle w:val="ListParagraph"/>
              <w:numPr>
                <w:ilvl w:val="0"/>
                <w:numId w:val="30"/>
              </w:numPr>
              <w:spacing w:beforeLines="60" w:before="144" w:afterLines="60" w:after="144"/>
              <w:rPr>
                <w:rFonts w:ascii="Times New Roman" w:hAnsi="Times New Roman"/>
                <w:sz w:val="24"/>
              </w:rPr>
            </w:pPr>
            <w:r w:rsidRPr="00AA1421">
              <w:rPr>
                <w:rFonts w:ascii="Times New Roman" w:hAnsi="Times New Roman"/>
              </w:rPr>
              <w:t xml:space="preserve">MSSF zatwierdzone przez Unię w zastosowaniu rozporządzenia (WE) </w:t>
            </w:r>
            <w:r w:rsidRPr="00084F66">
              <w:rPr>
                <w:rFonts w:ascii="Times New Roman" w:hAnsi="Times New Roman"/>
              </w:rPr>
              <w:t>nr</w:t>
            </w:r>
            <w:r w:rsidR="00084F66" w:rsidRPr="00084F66">
              <w:rPr>
                <w:rFonts w:ascii="Times New Roman" w:hAnsi="Times New Roman"/>
              </w:rPr>
              <w:t> </w:t>
            </w:r>
            <w:r w:rsidRPr="00084F66">
              <w:rPr>
                <w:rFonts w:ascii="Times New Roman" w:hAnsi="Times New Roman"/>
              </w:rPr>
              <w:t>1</w:t>
            </w:r>
            <w:r w:rsidRPr="00AA1421">
              <w:rPr>
                <w:rFonts w:ascii="Times New Roman" w:hAnsi="Times New Roman"/>
              </w:rPr>
              <w:t>606/2002 Parlamentu Europejskiego i Rady („MSSF UE”)</w:t>
            </w:r>
            <w:r w:rsidRPr="00AA1421">
              <w:rPr>
                <w:rStyle w:val="FootnoteReference"/>
                <w:rFonts w:ascii="Times New Roman" w:hAnsi="Times New Roman"/>
                <w:sz w:val="20"/>
                <w:szCs w:val="20"/>
                <w:vertAlign w:val="superscript"/>
              </w:rPr>
              <w:footnoteReference w:id="16"/>
            </w:r>
            <w:r w:rsidRPr="00AA1421">
              <w:rPr>
                <w:rFonts w:ascii="Times New Roman" w:hAnsi="Times New Roman"/>
              </w:rPr>
              <w:t>;</w:t>
            </w:r>
          </w:p>
          <w:p w:rsidR="00B93FA1" w:rsidRPr="00AA1421" w:rsidRDefault="00B93FA1" w:rsidP="0002267E">
            <w:pPr>
              <w:pStyle w:val="ListParagraph"/>
              <w:numPr>
                <w:ilvl w:val="0"/>
                <w:numId w:val="30"/>
              </w:numPr>
              <w:spacing w:beforeLines="60" w:before="144" w:afterLines="60" w:after="144"/>
              <w:rPr>
                <w:rFonts w:ascii="Times New Roman" w:hAnsi="Times New Roman"/>
                <w:sz w:val="24"/>
              </w:rPr>
            </w:pPr>
            <w:r w:rsidRPr="00AA1421">
              <w:rPr>
                <w:rFonts w:ascii="Times New Roman" w:hAnsi="Times New Roman"/>
                <w:sz w:val="24"/>
              </w:rPr>
              <w:t>krajowych standardów rachunkowości zgodnych z MSSF UE („krajowe ogólnie przyjęte zasady rachunkowości zgodne z MSSF”); lub</w:t>
            </w:r>
          </w:p>
          <w:p w:rsidR="00B93FA1" w:rsidRPr="00AA1421" w:rsidRDefault="00B93FA1" w:rsidP="0002267E">
            <w:pPr>
              <w:pStyle w:val="ListParagraph"/>
              <w:numPr>
                <w:ilvl w:val="0"/>
                <w:numId w:val="30"/>
              </w:numPr>
              <w:spacing w:beforeLines="60" w:before="144" w:afterLines="60" w:after="144"/>
              <w:rPr>
                <w:rFonts w:ascii="Times New Roman" w:hAnsi="Times New Roman"/>
                <w:sz w:val="24"/>
              </w:rPr>
            </w:pPr>
            <w:r w:rsidRPr="00AA1421">
              <w:rPr>
                <w:rFonts w:ascii="Times New Roman" w:hAnsi="Times New Roman"/>
                <w:sz w:val="24"/>
              </w:rPr>
              <w:t>krajowych ogólnie przyjętych zasad rachunkowości opartych na BAD (FINREP „krajowe ogólnie przyjęte zasady rachunkowości oparte na BAD”).</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0030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 AKTYWA FINANSOWE PRZEZNACZONE DO OBROTU</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MSSF 9 załącznik A.</w:t>
            </w:r>
          </w:p>
          <w:p w:rsidR="00B93FA1" w:rsidRPr="00AA1421" w:rsidRDefault="00B93FA1" w:rsidP="0016282F">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0050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lastRenderedPageBreak/>
              <w:t>0040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1.1.2 AKTYWA FINANSOWE Z PRZEZNACZENIEM DO OBROTU</w:t>
            </w:r>
          </w:p>
          <w:p w:rsidR="00B93FA1" w:rsidRPr="00AA1421" w:rsidRDefault="002F78EA" w:rsidP="00AF3D7A">
            <w:pPr>
              <w:spacing w:beforeLines="60" w:before="144" w:afterLines="60" w:after="144"/>
              <w:rPr>
                <w:rFonts w:ascii="Times New Roman" w:hAnsi="Times New Roman"/>
                <w:sz w:val="24"/>
              </w:rPr>
            </w:pPr>
            <w:r w:rsidRPr="00AA1421">
              <w:rPr>
                <w:rFonts w:ascii="Times New Roman" w:hAnsi="Times New Roman"/>
                <w:sz w:val="24"/>
              </w:rPr>
              <w:t xml:space="preserve">Art. 32 i 33 BAD; </w:t>
            </w:r>
            <w:r w:rsidRPr="00AA1421">
              <w:rPr>
                <w:rFonts w:ascii="Times New Roman" w:hAnsi="Times New Roman"/>
                <w:bCs/>
                <w:sz w:val="24"/>
              </w:rPr>
              <w:t>część 1.17 załącznika V do niniejszego rozporządzenia wykonawczego</w:t>
            </w:r>
            <w:r w:rsidRPr="00AA1421">
              <w:rPr>
                <w:rFonts w:ascii="Times New Roman" w:hAnsi="Times New Roman"/>
                <w:sz w:val="24"/>
              </w:rPr>
              <w:t xml:space="preserve"> </w:t>
            </w:r>
          </w:p>
          <w:p w:rsidR="00DE08E6" w:rsidRPr="00AA1421" w:rsidRDefault="00B93FA1" w:rsidP="006B2333">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aktywom wycenionym według wartości godziwej, które uwzględniono w wartości zgłoszonej w wierszu 0091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0050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 xml:space="preserve">1.1.3 AKTYWA FINANSOWE NIEPRZEZNACZONE DO OBROTU WYCENIANE OBOWIĄZKOWO WEDŁUG WARTOŚCI GODZIWEJ PRZEZ WYNIK FINANSOWY </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7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.1.4 </w:t>
            </w:r>
          </w:p>
          <w:p w:rsidR="00B93FA1" w:rsidRPr="00AA1421" w:rsidRDefault="00B93FA1" w:rsidP="0016282F">
            <w:pPr>
              <w:spacing w:beforeLines="60" w:before="144" w:afterLines="60" w:after="144"/>
              <w:rPr>
                <w:rFonts w:ascii="Times New Roman" w:hAnsi="Times New Roman"/>
                <w:b/>
                <w:sz w:val="24"/>
                <w:u w:val="single"/>
              </w:rPr>
            </w:pPr>
            <w:r w:rsidRPr="00AA1421">
              <w:rPr>
                <w:rFonts w:ascii="Times New Roman" w:hAnsi="Times New Roman"/>
                <w:sz w:val="24"/>
              </w:rPr>
              <w:t>Informacje zgłaszane w tym wierszu muszą odpowiadać informacjom zawartym w wierszu 0096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0060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1.1.4 AKTYWA FINANSOWE WYCENIANE WEDŁUG WARTOŚCI GODZIWEJ PRZEZ WYNIK FINANSOWY</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7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.1.5;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AD</w:t>
            </w:r>
          </w:p>
          <w:p w:rsidR="00B93FA1" w:rsidRPr="00AA1421" w:rsidRDefault="00B93FA1" w:rsidP="001771A4">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0100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0070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w:t>
            </w:r>
            <w:r w:rsidRPr="00084F66">
              <w:rPr>
                <w:rFonts w:ascii="Times New Roman" w:hAnsi="Times New Roman"/>
                <w:b/>
                <w:sz w:val="24"/>
                <w:u w:val="single"/>
              </w:rPr>
              <w:t>5</w:t>
            </w:r>
            <w:r w:rsidR="00084F66" w:rsidRPr="00084F66">
              <w:rPr>
                <w:rFonts w:ascii="Times New Roman" w:hAnsi="Times New Roman"/>
                <w:b/>
                <w:sz w:val="24"/>
                <w:u w:val="single"/>
              </w:rPr>
              <w:t xml:space="preserve"> </w:t>
            </w:r>
            <w:r w:rsidRPr="00084F66">
              <w:rPr>
                <w:rFonts w:ascii="Times New Roman" w:hAnsi="Times New Roman"/>
                <w:b/>
                <w:sz w:val="24"/>
                <w:u w:val="single"/>
              </w:rPr>
              <w:t>A</w:t>
            </w:r>
            <w:r w:rsidRPr="00AA1421">
              <w:rPr>
                <w:rFonts w:ascii="Times New Roman" w:hAnsi="Times New Roman"/>
                <w:b/>
                <w:sz w:val="24"/>
                <w:u w:val="single"/>
              </w:rPr>
              <w:t>KTYWA FINANSOWE WYCENIANE WEDŁUG WARTOŚCI GODZIWEJ PRZEZ INNE CAŁKOWITE DOCHODY</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7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h)</w:t>
            </w:r>
            <w:r w:rsidRPr="00AA1421">
              <w:rPr>
                <w:rFonts w:ascii="Times New Roman" w:hAnsi="Times New Roman"/>
                <w:sz w:val="24"/>
              </w:rPr>
              <w:t xml:space="preserve">;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.1.2A.</w:t>
            </w:r>
          </w:p>
          <w:p w:rsidR="00B93FA1" w:rsidRPr="00AA1421" w:rsidRDefault="00B93FA1" w:rsidP="00C11B8D">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0141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0080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1.1.6 AKTYWA FINANSOWE NIEBĘDĄCE INSTRUMENTAMI POCHODNYMI NIEPRZEZNACZONE DO OBROTU WYCENIANE WEDŁUG WARTOŚCI GODZIWEJ PRZEZ WYNIK FINANSOWY</w:t>
            </w:r>
          </w:p>
          <w:p w:rsidR="00B93FA1" w:rsidRPr="00AA1421" w:rsidRDefault="002F78EA" w:rsidP="0016282F">
            <w:pPr>
              <w:spacing w:beforeLines="60" w:before="144" w:afterLines="60" w:after="144"/>
              <w:rPr>
                <w:rFonts w:ascii="Times New Roman" w:hAnsi="Times New Roman"/>
                <w:b/>
                <w:sz w:val="24"/>
                <w:u w:val="single"/>
              </w:rPr>
            </w:pPr>
            <w:r w:rsidRPr="00AA1421">
              <w:rPr>
                <w:rFonts w:ascii="Times New Roman" w:hAnsi="Times New Roman"/>
                <w:sz w:val="24"/>
              </w:rPr>
              <w:t xml:space="preserve">Art. 36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BAD Informacje zgłaszane w tym wierszu muszą odpowiadać informacjom zawartym w wierszu 0171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0090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1.1.7 AKTYWA FINANSOWE NIEBĘDĄCE INSTRUMENTAMI POCHODNYMI NIEPRZEZNACZONE DO OBROTU WYCENIANE WEDŁUG WARTOŚCI GODZIWEJ PRZEZ KAPITAŁY</w:t>
            </w:r>
          </w:p>
          <w:p w:rsidR="00B93FA1" w:rsidRPr="00AA1421" w:rsidRDefault="002F78EA" w:rsidP="00AF3D7A">
            <w:pPr>
              <w:spacing w:beforeLines="60" w:before="144" w:afterLines="60" w:after="144"/>
              <w:rPr>
                <w:rFonts w:ascii="Times New Roman" w:hAnsi="Times New Roman"/>
                <w:sz w:val="24"/>
              </w:rPr>
            </w:pPr>
            <w:r w:rsidRPr="00AA1421">
              <w:rPr>
                <w:rFonts w:ascii="Times New Roman" w:hAnsi="Times New Roman"/>
                <w:sz w:val="24"/>
              </w:rPr>
              <w:t xml:space="preserve">Art. 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AD </w:t>
            </w:r>
          </w:p>
          <w:p w:rsidR="00B93FA1" w:rsidRPr="00AA1421" w:rsidRDefault="00B93FA1" w:rsidP="0016282F">
            <w:pPr>
              <w:spacing w:beforeLines="60" w:before="144" w:afterLines="60" w:after="144"/>
              <w:rPr>
                <w:rFonts w:ascii="Times New Roman" w:hAnsi="Times New Roman"/>
                <w:b/>
                <w:sz w:val="24"/>
                <w:u w:val="single"/>
              </w:rPr>
            </w:pPr>
            <w:r w:rsidRPr="00AA1421">
              <w:rPr>
                <w:rFonts w:ascii="Times New Roman" w:hAnsi="Times New Roman"/>
                <w:sz w:val="24"/>
              </w:rPr>
              <w:lastRenderedPageBreak/>
              <w:t>Informacje zgłaszane w tym wierszu muszą odpowiadać informacjom zawartym w wierszu 0175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lastRenderedPageBreak/>
              <w:t>0100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1.1.8 INNE AKTYWA FINANSOWE NIEBĘDĄCE INSTRUMENTAMI POCHODNYMI NIEPRZEZNACZONE DO OBROTU</w:t>
            </w:r>
          </w:p>
          <w:p w:rsidR="00B93FA1" w:rsidRPr="00AA1421" w:rsidRDefault="002F78EA" w:rsidP="00AF3D7A">
            <w:pPr>
              <w:spacing w:beforeLines="60" w:before="144" w:afterLines="60" w:after="144"/>
              <w:rPr>
                <w:rFonts w:ascii="Times New Roman" w:hAnsi="Times New Roman"/>
                <w:sz w:val="24"/>
              </w:rPr>
            </w:pPr>
            <w:r w:rsidRPr="00AA1421">
              <w:rPr>
                <w:rFonts w:ascii="Times New Roman" w:hAnsi="Times New Roman"/>
                <w:sz w:val="24"/>
              </w:rPr>
              <w:t xml:space="preserve">Art. 37 BAD;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AD; </w:t>
            </w:r>
            <w:r w:rsidRPr="00AA1421">
              <w:rPr>
                <w:rFonts w:ascii="Times New Roman" w:hAnsi="Times New Roman"/>
                <w:bCs/>
                <w:sz w:val="24"/>
              </w:rPr>
              <w:t>część 1.20 załącznika V do niniejszego rozporządzenia wykonawczego</w:t>
            </w:r>
          </w:p>
          <w:p w:rsidR="00DE08E6" w:rsidRPr="00AA1421" w:rsidRDefault="00B93FA1" w:rsidP="006B2333">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aktywom wycenionym według wartości godziwej, które uwzględniono w wartości zgłoszonej w wierszu 0234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0110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1.1.9 INSTRUMENTY POCHODNE – RACHUNKOWOŚĆ ZABEZPIECZEŃ</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.2.1; </w:t>
            </w:r>
            <w:r w:rsidRPr="00AA1421">
              <w:rPr>
                <w:rFonts w:ascii="Times New Roman" w:hAnsi="Times New Roman"/>
                <w:bCs/>
                <w:sz w:val="24"/>
              </w:rPr>
              <w:t>część 1.22 załącznika V do niniejszego rozporządzenia wykonawczego</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i 8 AD; MSR 39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9</w:t>
            </w:r>
          </w:p>
          <w:p w:rsidR="00B93FA1" w:rsidRPr="00AA1421" w:rsidRDefault="00B93FA1" w:rsidP="001771A4">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0240 we wzorze F 01.01 w załącznikach III i IV do niniejszego rozporządzenia wykonawczego.</w:t>
            </w:r>
          </w:p>
        </w:tc>
      </w:tr>
      <w:tr w:rsidR="00B93FA1" w:rsidRPr="00AA1421" w:rsidTr="00672D2A">
        <w:tc>
          <w:tcPr>
            <w:tcW w:w="1101" w:type="dxa"/>
          </w:tcPr>
          <w:p w:rsidR="00B93FA1" w:rsidRPr="00AA1421" w:rsidDel="006529A1" w:rsidRDefault="001924F4" w:rsidP="00AF3D7A">
            <w:pPr>
              <w:spacing w:beforeLines="60" w:before="144" w:afterLines="60" w:after="144"/>
              <w:rPr>
                <w:rFonts w:ascii="Times New Roman" w:hAnsi="Times New Roman"/>
                <w:sz w:val="24"/>
              </w:rPr>
            </w:pPr>
            <w:r w:rsidRPr="00AA1421">
              <w:rPr>
                <w:rFonts w:ascii="Times New Roman" w:hAnsi="Times New Roman"/>
                <w:sz w:val="24"/>
              </w:rPr>
              <w:t>0120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1.1.10 ZMIANY WARTOŚCI GODZIWEJ POZYCJI ZABEZPIECZANYCH W ZABEZPIECZANIU PORTFELA PRZED RYZYKIEM STOPY PROCENTOWEJ</w:t>
            </w:r>
          </w:p>
          <w:p w:rsidR="00B93FA1" w:rsidRPr="00AA1421" w:rsidRDefault="00B93FA1" w:rsidP="008D230A">
            <w:pPr>
              <w:spacing w:beforeLines="60" w:before="144" w:afterLines="60" w:after="144"/>
              <w:rPr>
                <w:rFonts w:ascii="Times New Roman" w:hAnsi="Times New Roman"/>
                <w:b/>
                <w:sz w:val="24"/>
                <w:u w:val="single"/>
              </w:rPr>
            </w:pPr>
            <w:r w:rsidRPr="00AA1421">
              <w:rPr>
                <w:rFonts w:ascii="Times New Roman" w:hAnsi="Times New Roman"/>
                <w:sz w:val="24"/>
              </w:rPr>
              <w:t xml:space="preserve">MSR 39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9A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.5.8; Art. 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i 6 AD Informacje zgłaszane w tym wierszu muszą odpowiadać informacjom zawartym w wierszu 0250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0130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1.1.11 INWESTYCJE W JEDNOSTKACH ZALEŻNYCH, WSPÓLNYCH PRZEDSIĘWZIĘCIACH I JEDNOSTKACH STOWARZYSZONYCH</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MSR 1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4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w:t>
            </w:r>
            <w:r w:rsidRPr="00AA1421">
              <w:rPr>
                <w:rFonts w:ascii="Times New Roman" w:hAnsi="Times New Roman"/>
                <w:bCs/>
                <w:sz w:val="24"/>
              </w:rPr>
              <w:t>Części 1.21 i 2.4 załącznika V do niniejszego rozporządzenia wykonawczego</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i 8 BAD;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AD</w:t>
            </w:r>
          </w:p>
          <w:p w:rsidR="00B93FA1" w:rsidRPr="00AA1421" w:rsidRDefault="00B93FA1" w:rsidP="00F811F8">
            <w:pPr>
              <w:spacing w:beforeLines="60" w:before="144" w:afterLines="60" w:after="144"/>
              <w:rPr>
                <w:rFonts w:ascii="Times New Roman" w:hAnsi="Times New Roman"/>
                <w:b/>
                <w:sz w:val="24"/>
                <w:u w:val="single"/>
              </w:rPr>
            </w:pPr>
            <w:r w:rsidRPr="00AA1421">
              <w:rPr>
                <w:rFonts w:ascii="Times New Roman" w:hAnsi="Times New Roman"/>
                <w:sz w:val="24"/>
              </w:rPr>
              <w:t>Informacje zgłaszane w tym wierszu muszą odpowiadać informacjom zawartym w wierszu 0260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0140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1.1.12 (-) REDUKCJE WARTOŚCI W ODNIESIENIU DO AKTYWÓW Z PRZEZNACZENIEM DO OBROTU WYCENIANYCH WEDŁUG WARTOŚCI GODZIWEJ</w:t>
            </w:r>
          </w:p>
          <w:p w:rsidR="00B93FA1" w:rsidRPr="00AA1421" w:rsidRDefault="002F78EA" w:rsidP="00AF3D7A">
            <w:pPr>
              <w:spacing w:beforeLines="60" w:before="144" w:afterLines="60" w:after="144"/>
              <w:rPr>
                <w:rFonts w:ascii="Times New Roman" w:hAnsi="Times New Roman"/>
                <w:sz w:val="24"/>
              </w:rPr>
            </w:pPr>
            <w:r w:rsidRPr="00AA1421">
              <w:rPr>
                <w:rFonts w:ascii="Times New Roman" w:hAnsi="Times New Roman"/>
                <w:bCs/>
                <w:sz w:val="24"/>
              </w:rPr>
              <w:t>Część 1.29 załącznika V do niniejszego rozporządzenia wykonawczego</w:t>
            </w:r>
          </w:p>
          <w:p w:rsidR="00B93FA1" w:rsidRPr="00AA1421" w:rsidRDefault="00B93FA1" w:rsidP="001771A4">
            <w:pPr>
              <w:spacing w:beforeLines="60" w:before="144" w:afterLines="60" w:after="144"/>
              <w:rPr>
                <w:rFonts w:ascii="Times New Roman" w:hAnsi="Times New Roman"/>
                <w:b/>
                <w:sz w:val="24"/>
                <w:u w:val="single"/>
              </w:rPr>
            </w:pPr>
            <w:r w:rsidRPr="00AA1421">
              <w:rPr>
                <w:rFonts w:ascii="Times New Roman" w:hAnsi="Times New Roman"/>
                <w:sz w:val="24"/>
              </w:rPr>
              <w:t>Informacje zgłaszane w tym wierszu muszą odpowiadać informacjom zawartym w wierszu 0375 we wzorze F 01.01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lastRenderedPageBreak/>
              <w:t>0150</w:t>
            </w:r>
          </w:p>
        </w:tc>
        <w:tc>
          <w:tcPr>
            <w:tcW w:w="8190" w:type="dxa"/>
          </w:tcPr>
          <w:p w:rsidR="00B93FA1" w:rsidRPr="00084F66"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 ZOBOWIĄZANIA WYCENIANE WEDŁUG WARTOŚCI GODZIWEJ RAZE</w:t>
            </w:r>
            <w:r w:rsidRPr="00084F66">
              <w:rPr>
                <w:rFonts w:ascii="Times New Roman" w:hAnsi="Times New Roman"/>
                <w:b/>
                <w:sz w:val="24"/>
                <w:u w:val="single"/>
              </w:rPr>
              <w:t>M</w:t>
            </w:r>
            <w:r w:rsidR="00084F66" w:rsidRPr="00084F66">
              <w:rPr>
                <w:rFonts w:ascii="Times New Roman" w:hAnsi="Times New Roman"/>
                <w:b/>
                <w:sz w:val="24"/>
                <w:u w:val="single"/>
              </w:rPr>
              <w:t xml:space="preserve"> </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Zobowiązania wyceniane według wartości godziwej, zgłoszone w wierszach 0160–0210, razem.</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Odpowiednie pola wierszy 0150–0190 zgłasza się zgodnie ze wzorem FINREP F 01.02 zawartym w załącznikach III i IV do niniejszego rozporządzenia wykonawczego w zależności od standardów mających zastosowanie do instytucji: </w:t>
            </w:r>
          </w:p>
          <w:p w:rsidR="00B93FA1" w:rsidRPr="00AA1421" w:rsidRDefault="00B93FA1" w:rsidP="0002267E">
            <w:pPr>
              <w:pStyle w:val="ListParagraph"/>
              <w:numPr>
                <w:ilvl w:val="0"/>
                <w:numId w:val="30"/>
              </w:numPr>
              <w:spacing w:beforeLines="60" w:before="144" w:afterLines="60" w:after="144"/>
              <w:rPr>
                <w:rFonts w:ascii="Times New Roman" w:hAnsi="Times New Roman"/>
                <w:sz w:val="24"/>
              </w:rPr>
            </w:pPr>
            <w:r w:rsidRPr="00AA1421">
              <w:rPr>
                <w:rFonts w:ascii="Times New Roman" w:hAnsi="Times New Roman"/>
                <w:sz w:val="24"/>
              </w:rPr>
              <w:t xml:space="preserve">MSSF zatwierdzone przez Unię w zastosowaniu rozporządzenia (WE) </w:t>
            </w:r>
            <w:r w:rsidRPr="00084F66">
              <w:rPr>
                <w:rFonts w:ascii="Times New Roman" w:hAnsi="Times New Roman"/>
                <w:sz w:val="24"/>
              </w:rPr>
              <w:t>nr</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606/2002 („MSSF UE”);</w:t>
            </w:r>
          </w:p>
          <w:p w:rsidR="00B93FA1" w:rsidRPr="00AA1421" w:rsidRDefault="00B93FA1" w:rsidP="0002267E">
            <w:pPr>
              <w:pStyle w:val="ListParagraph"/>
              <w:numPr>
                <w:ilvl w:val="0"/>
                <w:numId w:val="30"/>
              </w:numPr>
              <w:spacing w:beforeLines="60" w:before="144" w:afterLines="60" w:after="144"/>
              <w:rPr>
                <w:rFonts w:ascii="Times New Roman" w:hAnsi="Times New Roman"/>
                <w:sz w:val="24"/>
              </w:rPr>
            </w:pPr>
            <w:r w:rsidRPr="00AA1421">
              <w:rPr>
                <w:rFonts w:ascii="Times New Roman" w:hAnsi="Times New Roman"/>
                <w:sz w:val="24"/>
              </w:rPr>
              <w:t xml:space="preserve">krajowych standardów rachunkowości zgodnych z MSSF UE („krajowe ogólnie przyjęte zasady rachunkowości zgodne z MSSF”) </w:t>
            </w:r>
          </w:p>
          <w:p w:rsidR="00B93FA1" w:rsidRPr="00AA1421" w:rsidRDefault="00B93FA1" w:rsidP="0002267E">
            <w:pPr>
              <w:pStyle w:val="ListParagraph"/>
              <w:numPr>
                <w:ilvl w:val="0"/>
                <w:numId w:val="30"/>
              </w:numPr>
              <w:spacing w:beforeLines="60" w:before="144" w:afterLines="60" w:after="144"/>
              <w:rPr>
                <w:rFonts w:ascii="Times New Roman" w:hAnsi="Times New Roman"/>
                <w:sz w:val="24"/>
              </w:rPr>
            </w:pPr>
            <w:r w:rsidRPr="00AA1421">
              <w:rPr>
                <w:rFonts w:ascii="Times New Roman" w:hAnsi="Times New Roman"/>
                <w:sz w:val="24"/>
              </w:rPr>
              <w:t>lub krajowych ogólnie przyjętych zasad rachunkowości opartych na BAD (FINREP „krajowe ogólnie przyjęte zasady rachunkowości oparte na BAD”).</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0160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1.2.1 ZOBOWIĄZANIA FINANSOWE PRZEZNACZONE DO OBROTU</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7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MSSF 9 pkt BA.6.</w:t>
            </w:r>
          </w:p>
          <w:p w:rsidR="00B93FA1" w:rsidRPr="00AA1421" w:rsidRDefault="00B93FA1" w:rsidP="00F811F8">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0010 we wzorze F 01.02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0170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1.2.2 ZOBOWIĄZANIA FINANSOWE Z PRZEZNACZENIEM DO OBROTU</w:t>
            </w:r>
          </w:p>
          <w:p w:rsidR="00B93FA1" w:rsidRPr="00AA1421" w:rsidRDefault="002F78EA" w:rsidP="00AF3D7A">
            <w:pPr>
              <w:spacing w:beforeLines="60" w:before="144" w:afterLines="60" w:after="144"/>
              <w:rPr>
                <w:rFonts w:ascii="Times New Roman" w:hAnsi="Times New Roman"/>
                <w:sz w:val="24"/>
              </w:rPr>
            </w:pPr>
            <w:r w:rsidRPr="00AA1421">
              <w:rPr>
                <w:rFonts w:ascii="Times New Roman" w:hAnsi="Times New Roman"/>
                <w:sz w:val="24"/>
              </w:rPr>
              <w:t xml:space="preserve">Art. 8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i 6 AD</w:t>
            </w:r>
          </w:p>
          <w:p w:rsidR="00B93FA1" w:rsidRPr="00AA1421" w:rsidRDefault="00B93FA1" w:rsidP="00F811F8">
            <w:pPr>
              <w:spacing w:beforeLines="60" w:before="144" w:afterLines="60" w:after="144"/>
              <w:rPr>
                <w:rFonts w:ascii="Times New Roman" w:hAnsi="Times New Roman"/>
                <w:b/>
                <w:sz w:val="24"/>
                <w:u w:val="single"/>
              </w:rPr>
            </w:pPr>
            <w:r w:rsidRPr="00AA1421">
              <w:rPr>
                <w:rFonts w:ascii="Times New Roman" w:hAnsi="Times New Roman"/>
                <w:sz w:val="24"/>
              </w:rPr>
              <w:t>Informacje zgłaszane w tym wierszu muszą odpowiadać informacjom zawartym w wierszu 0061 we wzorze F 01.02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0180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1.2.3 ZOBOWIĄZANIA FINANSOWE WYCENIANE WEDŁUG WARTOŚCI GODZIWEJ PRZEZ WYNIK FINANSOWY</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7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e)</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.2.2;</w:t>
            </w:r>
            <w:r w:rsidRPr="00AA1421">
              <w:rPr>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AD MSR 39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p>
          <w:p w:rsidR="00B93FA1" w:rsidRPr="00AA1421" w:rsidRDefault="00B93FA1" w:rsidP="00F811F8">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0070 we wzorze F 01.02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0190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1.2.4 INSTRUMENTY POCHODNE – RACHUNKOWOŚĆ ZABEZPIECZEŃ</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.2.1; </w:t>
            </w:r>
            <w:r w:rsidRPr="00AA1421">
              <w:rPr>
                <w:rFonts w:ascii="Times New Roman" w:hAnsi="Times New Roman"/>
                <w:bCs/>
                <w:sz w:val="24"/>
              </w:rPr>
              <w:t>Część 1.26 załącznika V do niniejszego rozporządzenia wykonawczego</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AD</w:t>
            </w:r>
          </w:p>
          <w:p w:rsidR="00B93FA1" w:rsidRPr="00AA1421" w:rsidRDefault="00B93FA1" w:rsidP="00F811F8">
            <w:pPr>
              <w:spacing w:beforeLines="60" w:before="144" w:afterLines="60" w:after="144"/>
              <w:rPr>
                <w:rFonts w:ascii="Times New Roman" w:hAnsi="Times New Roman"/>
                <w:sz w:val="24"/>
              </w:rPr>
            </w:pPr>
            <w:r w:rsidRPr="00AA1421">
              <w:rPr>
                <w:rFonts w:ascii="Times New Roman" w:hAnsi="Times New Roman"/>
                <w:sz w:val="24"/>
              </w:rPr>
              <w:t>Informacje zgłaszane w tym wierszu muszą odpowiadać informacjom zawartym w wierszu 0150 we wzorze F 01.02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lastRenderedPageBreak/>
              <w:t>0200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1.2.5 ZMIANY WARTOŚCI GODZIWEJ POZYCJI ZABEZPIECZANYCH W ZABEZPIECZANIU PORTFELA PRZED RYZYKIEM STOPY PROCENTOWEJ</w:t>
            </w:r>
          </w:p>
          <w:p w:rsidR="00B93FA1" w:rsidRPr="00AA1421" w:rsidRDefault="00B93FA1" w:rsidP="00AF3D7A">
            <w:pPr>
              <w:spacing w:beforeLines="60" w:before="144" w:afterLines="60" w:after="144"/>
              <w:rPr>
                <w:rFonts w:ascii="Times New Roman" w:hAnsi="Times New Roman"/>
                <w:sz w:val="24"/>
              </w:rPr>
            </w:pPr>
            <w:r w:rsidRPr="00AA1421">
              <w:rPr>
                <w:rFonts w:ascii="Times New Roman" w:hAnsi="Times New Roman"/>
                <w:sz w:val="24"/>
              </w:rPr>
              <w:t xml:space="preserve">MSR 39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9A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MSSF 9 </w:t>
            </w:r>
            <w:r w:rsidRPr="00084F66">
              <w:rPr>
                <w:rFonts w:ascii="Times New Roman" w:hAnsi="Times New Roman"/>
                <w:sz w:val="24"/>
              </w:rPr>
              <w:t>pkt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.5.8;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8</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i 6 AD; część 2.8 załącznika V do niniejszego rozporządzenia wykonawczego</w:t>
            </w:r>
          </w:p>
          <w:p w:rsidR="00B93FA1" w:rsidRPr="00AA1421" w:rsidRDefault="00B93FA1" w:rsidP="00EC7AB4">
            <w:pPr>
              <w:spacing w:beforeLines="60" w:before="144" w:afterLines="60" w:after="144"/>
              <w:rPr>
                <w:rFonts w:ascii="Times New Roman" w:hAnsi="Times New Roman"/>
                <w:b/>
                <w:sz w:val="24"/>
                <w:u w:val="single"/>
              </w:rPr>
            </w:pPr>
            <w:r w:rsidRPr="00AA1421">
              <w:rPr>
                <w:rFonts w:ascii="Times New Roman" w:hAnsi="Times New Roman"/>
                <w:sz w:val="24"/>
              </w:rPr>
              <w:t>Informacje zgłaszane w tym wierszu muszą odpowiadać informacjom zawartym w wierszu 0160 we wzorze F 01.02 w załącznikach III i IV do niniejszego rozporządzenia wykonawczego.</w:t>
            </w:r>
          </w:p>
        </w:tc>
      </w:tr>
      <w:tr w:rsidR="00B93FA1" w:rsidRPr="00AA1421" w:rsidTr="00672D2A">
        <w:tc>
          <w:tcPr>
            <w:tcW w:w="1101" w:type="dxa"/>
          </w:tcPr>
          <w:p w:rsidR="00B93FA1" w:rsidRPr="00AA1421" w:rsidRDefault="001924F4" w:rsidP="00AF3D7A">
            <w:pPr>
              <w:spacing w:beforeLines="60" w:before="144" w:afterLines="60" w:after="144"/>
              <w:rPr>
                <w:rFonts w:ascii="Times New Roman" w:hAnsi="Times New Roman"/>
                <w:sz w:val="24"/>
              </w:rPr>
            </w:pPr>
            <w:r w:rsidRPr="00AA1421">
              <w:rPr>
                <w:rFonts w:ascii="Times New Roman" w:hAnsi="Times New Roman"/>
                <w:sz w:val="24"/>
              </w:rPr>
              <w:t>0210</w:t>
            </w:r>
          </w:p>
        </w:tc>
        <w:tc>
          <w:tcPr>
            <w:tcW w:w="8190" w:type="dxa"/>
          </w:tcPr>
          <w:p w:rsidR="00B93FA1" w:rsidRPr="00AA1421" w:rsidRDefault="00B93FA1"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1.2.6 REDUKCJE WARTOŚCI W ODNIESIENIU DO ZOBOWIĄZAŃ Z PRZEZNACZENIEM DO OBROTU WYCENIANYCH WEDŁUG WARTOŚCI GODZIWEJ</w:t>
            </w:r>
          </w:p>
          <w:p w:rsidR="00B93FA1" w:rsidRPr="00AA1421" w:rsidRDefault="002F78EA" w:rsidP="00AF3D7A">
            <w:pPr>
              <w:spacing w:beforeLines="60" w:before="144" w:afterLines="60" w:after="144"/>
              <w:rPr>
                <w:rFonts w:ascii="Times New Roman" w:hAnsi="Times New Roman"/>
                <w:sz w:val="24"/>
              </w:rPr>
            </w:pPr>
            <w:r w:rsidRPr="00AA1421">
              <w:rPr>
                <w:rFonts w:ascii="Times New Roman" w:hAnsi="Times New Roman"/>
                <w:bCs/>
                <w:sz w:val="24"/>
              </w:rPr>
              <w:t>Część 1.29 załącznika V do niniejszego rozporządzenia wykonawczego</w:t>
            </w:r>
          </w:p>
          <w:p w:rsidR="00B93FA1" w:rsidRPr="00AA1421" w:rsidRDefault="00B93FA1" w:rsidP="00EC7AB4">
            <w:pPr>
              <w:spacing w:beforeLines="60" w:before="144" w:afterLines="60" w:after="144"/>
              <w:rPr>
                <w:rFonts w:ascii="Times New Roman" w:hAnsi="Times New Roman"/>
                <w:b/>
                <w:sz w:val="24"/>
                <w:u w:val="single"/>
              </w:rPr>
            </w:pPr>
            <w:r w:rsidRPr="00AA1421">
              <w:rPr>
                <w:rFonts w:ascii="Times New Roman" w:hAnsi="Times New Roman"/>
                <w:sz w:val="24"/>
              </w:rPr>
              <w:t>Informacje zgłaszane w tym wierszu muszą odpowiadać informacjom zawartym w wierszu 0295 we wzorze F 01.02 w załącznikach III i IV do niniejszego rozporządzenia wykonawczego.</w:t>
            </w:r>
          </w:p>
        </w:tc>
      </w:tr>
    </w:tbl>
    <w:p w:rsidR="00995A7F" w:rsidRPr="00AA1421" w:rsidRDefault="00995A7F" w:rsidP="00C61FF5">
      <w:pPr>
        <w:rPr>
          <w:rStyle w:val="InstructionsTabelleText"/>
          <w:rFonts w:ascii="Times New Roman" w:hAnsi="Times New Roman"/>
          <w:sz w:val="24"/>
        </w:rPr>
      </w:pPr>
    </w:p>
    <w:p w:rsidR="00B93FA1" w:rsidRPr="00AA1421"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403748"/>
      <w:r w:rsidRPr="00AA1421">
        <w:rPr>
          <w:rFonts w:ascii="Times New Roman" w:hAnsi="Times New Roman"/>
          <w:sz w:val="24"/>
          <w:u w:val="none"/>
        </w:rPr>
        <w:t>6.2.</w:t>
      </w:r>
      <w:r w:rsidR="00D712CF" w:rsidRPr="00AA1421">
        <w:rPr>
          <w:u w:val="none"/>
        </w:rPr>
        <w:tab/>
      </w:r>
      <w:r w:rsidRPr="00AA1421">
        <w:rPr>
          <w:rFonts w:ascii="Times New Roman" w:hAnsi="Times New Roman"/>
          <w:sz w:val="24"/>
        </w:rPr>
        <w:t>C 32.02 - Ostrożna wycena: metoda podstawowa (</w:t>
      </w:r>
      <w:proofErr w:type="spellStart"/>
      <w:r w:rsidRPr="00AA1421">
        <w:rPr>
          <w:rFonts w:ascii="Times New Roman" w:hAnsi="Times New Roman"/>
          <w:sz w:val="24"/>
        </w:rPr>
        <w:t>PruVal</w:t>
      </w:r>
      <w:proofErr w:type="spellEnd"/>
      <w:r w:rsidRPr="00AA1421">
        <w:rPr>
          <w:rFonts w:ascii="Times New Roman" w:hAnsi="Times New Roman"/>
          <w:sz w:val="24"/>
        </w:rPr>
        <w:t xml:space="preserve"> 2)</w:t>
      </w:r>
      <w:bookmarkEnd w:id="760"/>
    </w:p>
    <w:p w:rsidR="00B93FA1" w:rsidRPr="00AA1421"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403749"/>
      <w:r w:rsidRPr="00AA1421">
        <w:rPr>
          <w:rFonts w:ascii="Times New Roman" w:hAnsi="Times New Roman"/>
          <w:sz w:val="24"/>
          <w:u w:val="none"/>
        </w:rPr>
        <w:t>6.2.1.</w:t>
      </w:r>
      <w:r w:rsidR="00D712CF" w:rsidRPr="00AA1421">
        <w:rPr>
          <w:u w:val="none"/>
        </w:rPr>
        <w:tab/>
      </w:r>
      <w:r w:rsidRPr="00AA1421">
        <w:rPr>
          <w:rFonts w:ascii="Times New Roman" w:hAnsi="Times New Roman"/>
          <w:sz w:val="24"/>
        </w:rPr>
        <w:t>Uwagi ogólne</w:t>
      </w:r>
      <w:bookmarkEnd w:id="761"/>
      <w:r w:rsidRPr="00AA1421">
        <w:rPr>
          <w:rFonts w:ascii="Times New Roman" w:hAnsi="Times New Roman"/>
          <w:sz w:val="24"/>
          <w:u w:val="none"/>
        </w:rPr>
        <w:t xml:space="preserve"> </w:t>
      </w:r>
    </w:p>
    <w:p w:rsidR="00B93FA1" w:rsidRPr="00AA1421" w:rsidRDefault="00AA1421" w:rsidP="00487A02">
      <w:pPr>
        <w:pStyle w:val="InstructionsText2"/>
        <w:numPr>
          <w:ilvl w:val="0"/>
          <w:numId w:val="0"/>
        </w:numPr>
        <w:ind w:left="1353" w:hanging="360"/>
      </w:pPr>
      <w:fldSimple w:instr=" seq paragraphs ">
        <w:r w:rsidR="00D11E4C" w:rsidRPr="00AA1421">
          <w:rPr>
            <w:noProof/>
          </w:rPr>
          <w:t>178</w:t>
        </w:r>
      </w:fldSimple>
      <w:r w:rsidR="00D11E4C" w:rsidRPr="00AA1421">
        <w:t xml:space="preserve">. Wzór ten służy do przekazywania informacji na temat składu całkowitej AVA, którą odlicza się od funduszy własnych na podstawie </w:t>
      </w:r>
      <w:r w:rsidR="00D11E4C" w:rsidRPr="00084F66">
        <w:t>art.</w:t>
      </w:r>
      <w:r w:rsidR="00084F66" w:rsidRPr="00084F66">
        <w:t> </w:t>
      </w:r>
      <w:r w:rsidR="00D11E4C" w:rsidRPr="00084F66">
        <w:t>3</w:t>
      </w:r>
      <w:r w:rsidR="00D11E4C" w:rsidRPr="00AA1421">
        <w:t>4 i 105 CRR, a także informacji na temat wyceny księgowej pozycji, w stosunku do których nastąpiła konieczność wyznaczenia AVA.</w:t>
      </w:r>
    </w:p>
    <w:p w:rsidR="00B93FA1" w:rsidRPr="00AA1421" w:rsidRDefault="00AA1421" w:rsidP="00487A02">
      <w:pPr>
        <w:pStyle w:val="InstructionsText2"/>
        <w:numPr>
          <w:ilvl w:val="0"/>
          <w:numId w:val="0"/>
        </w:numPr>
        <w:ind w:left="1353" w:hanging="360"/>
      </w:pPr>
      <w:fldSimple w:instr=" seq paragraphs ">
        <w:r w:rsidR="00D11E4C" w:rsidRPr="00AA1421">
          <w:rPr>
            <w:noProof/>
          </w:rPr>
          <w:t>179</w:t>
        </w:r>
      </w:fldSimple>
      <w:r w:rsidR="00D11E4C" w:rsidRPr="00AA1421">
        <w:t xml:space="preserve">. Wzór ten wypełniają wszystkie instytucje, które: </w:t>
      </w:r>
    </w:p>
    <w:p w:rsidR="00B93FA1" w:rsidRPr="00AA1421" w:rsidRDefault="00B93FA1" w:rsidP="00487A02">
      <w:pPr>
        <w:pStyle w:val="InstructionsText2"/>
        <w:numPr>
          <w:ilvl w:val="0"/>
          <w:numId w:val="0"/>
        </w:numPr>
        <w:ind w:left="1353" w:hanging="360"/>
      </w:pPr>
      <w:r w:rsidRPr="00AA1421">
        <w:t xml:space="preserve">a) są zobowiązane stosować metodę podstawową, ponieważ przekroczyły próg, o którym mowa w </w:t>
      </w:r>
      <w:r w:rsidRPr="00084F66">
        <w:t>art.</w:t>
      </w:r>
      <w:r w:rsidR="00084F66" w:rsidRPr="00084F66">
        <w:t> </w:t>
      </w:r>
      <w:r w:rsidRPr="00084F66">
        <w:t>4</w:t>
      </w:r>
      <w:r w:rsidRPr="00AA1421">
        <w:t xml:space="preserve"> </w:t>
      </w:r>
      <w:r w:rsidRPr="00084F66">
        <w:t>ust.</w:t>
      </w:r>
      <w:r w:rsidR="00084F66" w:rsidRPr="00084F66">
        <w:t> </w:t>
      </w:r>
      <w:r w:rsidRPr="00084F66">
        <w:t>1</w:t>
      </w:r>
      <w:r w:rsidRPr="00AA1421">
        <w:t xml:space="preserve"> rozporządzenia delegowanego (UE) 2016/101, na zasadzie indywidualnej bądź skonsolidowanej, jak określono w </w:t>
      </w:r>
      <w:r w:rsidRPr="00084F66">
        <w:t>art.</w:t>
      </w:r>
      <w:r w:rsidR="00084F66" w:rsidRPr="00084F66">
        <w:t> </w:t>
      </w:r>
      <w:r w:rsidRPr="00084F66">
        <w:t>4</w:t>
      </w:r>
      <w:r w:rsidRPr="00AA1421">
        <w:t xml:space="preserve"> </w:t>
      </w:r>
      <w:r w:rsidRPr="00084F66">
        <w:t>ust.</w:t>
      </w:r>
      <w:r w:rsidR="00084F66" w:rsidRPr="00084F66">
        <w:t> </w:t>
      </w:r>
      <w:r w:rsidRPr="00084F66">
        <w:t>3</w:t>
      </w:r>
      <w:r w:rsidRPr="00AA1421">
        <w:t xml:space="preserve"> tego rozporządzenia; lub</w:t>
      </w:r>
    </w:p>
    <w:p w:rsidR="00B93FA1" w:rsidRPr="00AA1421" w:rsidRDefault="00973707" w:rsidP="00487A02">
      <w:pPr>
        <w:pStyle w:val="InstructionsText2"/>
        <w:numPr>
          <w:ilvl w:val="0"/>
          <w:numId w:val="0"/>
        </w:numPr>
        <w:ind w:left="1353" w:hanging="360"/>
      </w:pPr>
      <w:r w:rsidRPr="00AA1421">
        <w:t xml:space="preserve">b) zdecydowały się stosować metodę podstawową, mimo że nie przekroczyły wspomnianego progu. </w:t>
      </w:r>
    </w:p>
    <w:p w:rsidR="00973707" w:rsidRPr="00AA1421" w:rsidRDefault="00AA1421" w:rsidP="00487A02">
      <w:pPr>
        <w:pStyle w:val="InstructionsText2"/>
        <w:numPr>
          <w:ilvl w:val="0"/>
          <w:numId w:val="0"/>
        </w:numPr>
        <w:ind w:left="1353" w:hanging="360"/>
      </w:pPr>
      <w:fldSimple w:instr=" seq paragraphs ">
        <w:r w:rsidR="00D11E4C" w:rsidRPr="00AA1421">
          <w:rPr>
            <w:noProof/>
          </w:rPr>
          <w:t>180</w:t>
        </w:r>
      </w:fldSimple>
      <w:r w:rsidR="00D11E4C" w:rsidRPr="00AA1421">
        <w:t xml:space="preserve">. Do celów tego wzoru „wartość przy niskim poziomie ufności” (ang. </w:t>
      </w:r>
      <w:proofErr w:type="spellStart"/>
      <w:r w:rsidR="00D11E4C" w:rsidRPr="00AA1421">
        <w:t>upside</w:t>
      </w:r>
      <w:proofErr w:type="spellEnd"/>
      <w:r w:rsidR="00D11E4C" w:rsidRPr="00AA1421">
        <w:t xml:space="preserve"> </w:t>
      </w:r>
      <w:proofErr w:type="spellStart"/>
      <w:r w:rsidR="00D11E4C" w:rsidRPr="00AA1421">
        <w:t>uncertainty</w:t>
      </w:r>
      <w:proofErr w:type="spellEnd"/>
      <w:r w:rsidR="00D11E4C" w:rsidRPr="00AA1421">
        <w:t xml:space="preserve">) definiuje się następująco: jak przewidziano w </w:t>
      </w:r>
      <w:r w:rsidR="00D11E4C" w:rsidRPr="00084F66">
        <w:t>art.</w:t>
      </w:r>
      <w:r w:rsidR="00084F66" w:rsidRPr="00084F66">
        <w:t> </w:t>
      </w:r>
      <w:r w:rsidR="00D11E4C" w:rsidRPr="00084F66">
        <w:t>8</w:t>
      </w:r>
      <w:r w:rsidR="00D11E4C" w:rsidRPr="00AA1421">
        <w:t xml:space="preserve"> </w:t>
      </w:r>
      <w:r w:rsidR="00D11E4C" w:rsidRPr="00084F66">
        <w:t>ust.</w:t>
      </w:r>
      <w:r w:rsidR="00084F66" w:rsidRPr="00084F66">
        <w:t> </w:t>
      </w:r>
      <w:r w:rsidR="00D11E4C" w:rsidRPr="00084F66">
        <w:t>2</w:t>
      </w:r>
      <w:r w:rsidR="00D11E4C" w:rsidRPr="00AA1421">
        <w:t xml:space="preserve"> rozporządzenia delegowanego (UE) 2016/101, AVA oblicza się jako różnicę między wartością godziwą a wartością wynikającą z ostrożnej wyceny, którą określono z wynoszącą 9</w:t>
      </w:r>
      <w:r w:rsidR="00D11E4C" w:rsidRPr="00084F66">
        <w:t>0</w:t>
      </w:r>
      <w:r w:rsidR="00084F66" w:rsidRPr="00084F66">
        <w:t> </w:t>
      </w:r>
      <w:r w:rsidR="00D11E4C" w:rsidRPr="00084F66">
        <w:t>%</w:t>
      </w:r>
      <w:r w:rsidR="00D11E4C" w:rsidRPr="00AA1421">
        <w:t xml:space="preserve"> pewnością, że instytucje będą w stanie zamknąć daną ekspozycję przy tej lub większej wartości z nominalnego zakresu prawdopodobnych wartości. Wartością przy niskim poziomie ufności (ang. </w:t>
      </w:r>
      <w:proofErr w:type="spellStart"/>
      <w:r w:rsidR="00D11E4C" w:rsidRPr="00AA1421">
        <w:t>upside</w:t>
      </w:r>
      <w:proofErr w:type="spellEnd"/>
      <w:r w:rsidR="00D11E4C" w:rsidRPr="00AA1421">
        <w:t xml:space="preserve"> </w:t>
      </w:r>
      <w:proofErr w:type="spellStart"/>
      <w:r w:rsidR="00D11E4C" w:rsidRPr="00AA1421">
        <w:t>uncertainty</w:t>
      </w:r>
      <w:proofErr w:type="spellEnd"/>
      <w:r w:rsidR="00D11E4C" w:rsidRPr="00AA1421">
        <w:t xml:space="preserve">) jest przeciwstawna wartość z rozkładu prawdopodobnych wartości, przy której instytucje mają tylko 10-proc. pewność, że będą w stanie zamknąć daną pozycję przy tej </w:t>
      </w:r>
      <w:r w:rsidR="00D11E4C" w:rsidRPr="00AA1421">
        <w:lastRenderedPageBreak/>
        <w:t xml:space="preserve">lub większej wartości. Wartość przy niskim poziomie ufności oblicza się i agreguje na tych samych zasadach jak całkowitą AVA, z tym że 90-proc. poziom ufności stosowany przy wyznaczaniu całkowitej AVA zastępuje </w:t>
      </w:r>
      <w:r w:rsidR="00D11E4C" w:rsidRPr="00084F66">
        <w:t>się</w:t>
      </w:r>
      <w:r w:rsidR="00084F66" w:rsidRPr="00084F66">
        <w:t> </w:t>
      </w:r>
      <w:r w:rsidR="00D11E4C" w:rsidRPr="00084F66">
        <w:t>1</w:t>
      </w:r>
      <w:r w:rsidR="00D11E4C" w:rsidRPr="00AA1421">
        <w:t>0-proc. poziomem ufności.</w:t>
      </w:r>
    </w:p>
    <w:p w:rsidR="00B93FA1" w:rsidRPr="00AA1421"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403750"/>
      <w:r w:rsidRPr="00AA1421">
        <w:rPr>
          <w:rFonts w:ascii="Times New Roman" w:hAnsi="Times New Roman"/>
          <w:sz w:val="24"/>
          <w:u w:val="none"/>
        </w:rPr>
        <w:t>6.2.2.</w:t>
      </w:r>
      <w:r w:rsidR="00D712CF" w:rsidRPr="00AA1421">
        <w:rPr>
          <w:u w:val="none"/>
        </w:rPr>
        <w:tab/>
      </w:r>
      <w:r w:rsidRPr="00AA1421">
        <w:rPr>
          <w:rFonts w:ascii="Times New Roman" w:hAnsi="Times New Roman"/>
          <w:sz w:val="24"/>
          <w:u w:val="none"/>
        </w:rPr>
        <w:t>Instrukcje dotyczące poszczególnych pozycji</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AA1421" w:rsidTr="00672D2A">
        <w:tc>
          <w:tcPr>
            <w:tcW w:w="9291" w:type="dxa"/>
            <w:gridSpan w:val="2"/>
            <w:shd w:val="clear" w:color="auto" w:fill="CCCCCC"/>
          </w:tcPr>
          <w:p w:rsidR="00973707" w:rsidRPr="00AA1421" w:rsidRDefault="00973707" w:rsidP="00AF3D7A">
            <w:pPr>
              <w:spacing w:beforeLines="60" w:before="144" w:afterLines="60" w:after="144"/>
              <w:rPr>
                <w:rFonts w:ascii="Times New Roman" w:hAnsi="Times New Roman"/>
                <w:b/>
                <w:sz w:val="24"/>
              </w:rPr>
            </w:pPr>
            <w:r w:rsidRPr="00AA1421">
              <w:rPr>
                <w:rFonts w:ascii="Times New Roman" w:hAnsi="Times New Roman"/>
                <w:b/>
                <w:sz w:val="24"/>
              </w:rPr>
              <w:t>Kolumny</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0010 - 0100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AVA NA POZIOMIE KATEGORII Z TYTUŁU</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AVA na poziomie kategorii z tytułu niepewności dotyczącej cen rynkowych, kosztów zamknięcia, ryzyka modelu, pozycji o dużej koncentracji, przyszłych kosztów administracyjnych, przedterminowego rozwiązania umowy oraz ryzyka operacyjnego oblicza się w sposób opisany odpowiednio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10 i 11 oraz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4–17 rozporządzenia delegowanego (UE) 2016/101.</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 odniesieniu do kategorii: niepewność dotycząca cen rynkowych, koszty zamknięcia i ryzyko modelu, do których zastosowanie ma korzyść z dywersyfikacji, jak określono, odpowiednio,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rozporządzenia delegowanego (UE) 2016/101, AVA na poziomie kategorii zgłasza się – o ile nie wskazano inaczej – jako zwykłą sumę indywidualnych AVA przed uwzględnieniem korzyści z dywersyfikacji [ponieważ korzyści z dywersyfikacji obliczone z wykorzystaniem metody 1 lub metody 2 określonej w załączniku do rozporządzenia delegowanego (UE) 2016/101 zgłasza się w pozycjach 1.1.2, 1.1.2.1 oraz 1.1.2.2 wzoru]. </w:t>
            </w:r>
          </w:p>
          <w:p w:rsidR="00973707" w:rsidRPr="00AA1421" w:rsidRDefault="00973707" w:rsidP="001771A4">
            <w:pPr>
              <w:spacing w:beforeLines="60" w:before="144" w:afterLines="60" w:after="144"/>
              <w:rPr>
                <w:rFonts w:ascii="Times New Roman" w:hAnsi="Times New Roman"/>
                <w:sz w:val="24"/>
              </w:rPr>
            </w:pPr>
            <w:r w:rsidRPr="00AA1421">
              <w:rPr>
                <w:rFonts w:ascii="Times New Roman" w:hAnsi="Times New Roman"/>
                <w:sz w:val="24"/>
              </w:rPr>
              <w:t xml:space="preserve">W odniesieniu do kategorii: niepewność dotycząca cen rynkowych, koszty zamknięcia i ryzyko modelu kwoty obliczone przy zastosowaniu podejścia opartego na wiedzy eksperckiej, jak określono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rozporządzenia delegowanego (UE) 2016/101, zgłasza się odrębnie w kolumnach 0020, 0040 i 0060.</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0010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NIEPEWNOŚCI DOTYCZĄCEJ CEN RYNKOWYCH</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Art. 105 ust. 10 CRR </w:t>
            </w:r>
          </w:p>
          <w:p w:rsidR="00973707" w:rsidRPr="00AA1421" w:rsidRDefault="00973707" w:rsidP="00614509">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niepewności dotyczącej cen rynkowych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0020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 TYM: OBLICZONA PRZY ZASTOSOWANIU PODEJŚCIA OPARTEGO NA WIEDZY EKSPERCKIEJ</w:t>
            </w:r>
          </w:p>
          <w:p w:rsidR="00973707" w:rsidRPr="00AA1421" w:rsidRDefault="00973707" w:rsidP="00614509">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niepewności dotyczącej cen rynkowych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5</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0030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KOSZTÓW ZAMKNIĘCIA</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Art. 105 ust. 10 CRR </w:t>
            </w:r>
          </w:p>
          <w:p w:rsidR="00973707" w:rsidRPr="00AA1421" w:rsidRDefault="00973707" w:rsidP="00614509">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kosztów zamknięcia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rozporządzenia delegowanego (UE) 2016/101.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0040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 TYM: OBLICZONA PRZY ZASTOSOWANIU PODEJŚCIA OPARTEGO NA WIEDZY EKSPERCKIEJ</w:t>
            </w:r>
          </w:p>
          <w:p w:rsidR="00973707" w:rsidRPr="00AA1421" w:rsidRDefault="00973707" w:rsidP="00614509">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kosztów zamknięcia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0050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RYZYKA MODELU</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Art. 105 ust. 10 CRR</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ryzyka modelu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rozporządzenia delegowanego (UE) 2016/101.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0060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 TYM: OBLICZONA PRZY ZASTOSOWANIU PODEJŚCIA OPARTEGO NA WIEDZY EKSPERCKIEJ</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ryzyka modelu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0070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POZYCJI O DUŻEJ KONCENTRACJI</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Art. 105 ust. 11 CRR</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pozycji o dużej koncentracji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4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0080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PRZYSZŁYCH KOSZTÓW ADMINISTRACYJNYCH</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Art. 105 ust. 10 CRR</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przyszłych kosztów administracyjnych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5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0090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PRZEDTERMINOWEGO ROZWIĄZANIA UMOWY</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Art. 105 ust. 10 CRR</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przedterminowego rozwiązania umowy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6 rozporządzenia delegowanego (UE) 2016/101.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0100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RYZYKA OPERACYJNEGO</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Art. 105 ust. 10 CRR</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AVA z tytułu ryzyka operacyjnego obliczona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7 rozporządzenia delegowanego (UE) 2016/101.</w:t>
            </w:r>
          </w:p>
        </w:tc>
      </w:tr>
      <w:tr w:rsidR="00973707" w:rsidRPr="00AA1421" w:rsidTr="00672D2A">
        <w:tc>
          <w:tcPr>
            <w:tcW w:w="1101" w:type="dxa"/>
            <w:tcBorders>
              <w:bottom w:val="single" w:sz="4" w:space="0" w:color="auto"/>
            </w:tcBorders>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0110</w:t>
            </w:r>
          </w:p>
        </w:tc>
        <w:tc>
          <w:tcPr>
            <w:tcW w:w="8190" w:type="dxa"/>
            <w:tcBorders>
              <w:bottom w:val="single" w:sz="4" w:space="0" w:color="auto"/>
            </w:tcBorders>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CAŁKOWITA AVA </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Wiersz 0010: całkowita AVA podlegająca odliczeniu od funduszy własnych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3</w:t>
            </w:r>
            <w:r w:rsidRPr="00AA1421">
              <w:rPr>
                <w:rStyle w:val="InstructionsTabelleberschrift"/>
                <w:rFonts w:ascii="Times New Roman" w:hAnsi="Times New Roman"/>
                <w:b w:val="0"/>
                <w:sz w:val="24"/>
                <w:u w:val="none"/>
              </w:rPr>
              <w:t xml:space="preserve">4 i 105 CRR i podlegająca zgłoszeniu odpowiednio w wierszu 0290 wzoru C 01.00. Całkowita AVA jest sumą wierszy 0030 i 0180. </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Wiersz 0020: część całkowitej AVA zgłoszonej w wierszu 0010 wynikająca z pozycji w portfelu handlowym (wartość bezwzględna). </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 xml:space="preserve">Wiersze 0030–0160: suma kolumn 0010, 0030, 0050 oraz 0070–0100. </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Wiersze 0180–0210: całkowita AVA wynikająca z portfeli na podstawie metody rezerwowej. </w:t>
            </w:r>
          </w:p>
        </w:tc>
      </w:tr>
      <w:tr w:rsidR="00973707" w:rsidRPr="00AA1421" w:rsidTr="00672D2A">
        <w:tc>
          <w:tcPr>
            <w:tcW w:w="1101" w:type="dxa"/>
            <w:tcBorders>
              <w:bottom w:val="single" w:sz="4" w:space="0" w:color="auto"/>
            </w:tcBorders>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0120</w:t>
            </w:r>
          </w:p>
        </w:tc>
        <w:tc>
          <w:tcPr>
            <w:tcW w:w="8190" w:type="dxa"/>
            <w:tcBorders>
              <w:bottom w:val="single" w:sz="4" w:space="0" w:color="auto"/>
            </w:tcBorders>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 xml:space="preserve">WARTOŚĆ PRZY NISKIM POZIOMIE UFNOŚCI (ANG. </w:t>
            </w:r>
            <w:r w:rsidRPr="00AA1421">
              <w:rPr>
                <w:rStyle w:val="InstructionsTabelleberschrift"/>
                <w:rFonts w:ascii="Times New Roman" w:hAnsi="Times New Roman"/>
                <w:i/>
                <w:sz w:val="24"/>
              </w:rPr>
              <w:t>UPSIDE UNCERTAINTY</w:t>
            </w:r>
            <w:r w:rsidRPr="00AA1421">
              <w:rPr>
                <w:rStyle w:val="InstructionsTabelleberschrift"/>
                <w:rFonts w:ascii="Times New Roman" w:hAnsi="Times New Roman"/>
                <w:sz w:val="24"/>
              </w:rPr>
              <w:t>)</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8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2</w:t>
            </w:r>
            <w:r w:rsidRPr="00AA1421">
              <w:rPr>
                <w:rStyle w:val="InstructionsTabelleberschrift"/>
                <w:rFonts w:ascii="Times New Roman" w:hAnsi="Times New Roman"/>
                <w:b w:val="0"/>
                <w:sz w:val="24"/>
                <w:u w:val="none"/>
              </w:rPr>
              <w:t xml:space="preserve"> </w:t>
            </w:r>
            <w:r w:rsidRPr="00AA1421">
              <w:rPr>
                <w:rFonts w:ascii="Times New Roman" w:hAnsi="Times New Roman"/>
                <w:sz w:val="24"/>
              </w:rPr>
              <w:t>rozporządzenia delegowanego (UE) 2016/101.</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Wartość przy niskim poziomie ufności oblicza się i agreguje na tych samych zasadach jak całkowitą AVA obliczoną w kolumnie 0110, z tym że 90-proc. poziom ufności stosowany przy wyznaczaniu całkowitej AVA zastępuje </w:t>
            </w:r>
            <w:r w:rsidRPr="00084F66">
              <w:rPr>
                <w:rFonts w:ascii="Times New Roman" w:hAnsi="Times New Roman"/>
                <w:sz w:val="24"/>
              </w:rPr>
              <w:t>się</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0-proc. poziomem ufności.</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0130-0140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AKTYWA I ZOBOWIĄZANIA WYCENIANE WEDŁUG WARTOŚCI GODZIWEJ</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Wartość bezwzględna aktywów i zobowiązań wycenianych według wartości godziwej odpowiadająca kwotom AVA zgłoszonym w wierszach 0010–0130 oraz w wierszu 0180. W przypadku niektórych wierszy, w szczególności wierszy 0090–0130, konieczne może być określenie tych kwot w przybliżeniu lub ich przypisanie w oparciu o fachowy osąd. </w:t>
            </w:r>
          </w:p>
          <w:p w:rsidR="001771A4" w:rsidRPr="00AA1421" w:rsidRDefault="00973707" w:rsidP="0002267E">
            <w:pPr>
              <w:spacing w:beforeLines="60" w:before="144" w:afterLines="60" w:after="144"/>
              <w:jc w:val="left"/>
              <w:rPr>
                <w:rFonts w:ascii="Times New Roman" w:hAnsi="Times New Roman"/>
                <w:sz w:val="24"/>
              </w:rPr>
            </w:pPr>
            <w:r w:rsidRPr="00AA1421">
              <w:rPr>
                <w:rFonts w:ascii="Times New Roman" w:hAnsi="Times New Roman"/>
                <w:sz w:val="24"/>
              </w:rPr>
              <w:t xml:space="preserve">Wiersz 0010: Całkowita wartość bezwzględna aktywów i zobowiązań wycenianych według wartości godziwej uwzględnionych w wyliczeniach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rozporządzenia delegowanego (UE) 2016/101. Obejmuje ona wartość bezwzględną aktywów i zobowiązań wycenianych według wartości godziwej, w stosunku do których AVA oszacowano jako mającą wartość zero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rozporządzenia delegowanego (UE) 2016/101, które to AVA zgłasza się również odrębnie w wierszach 0070 i 0080. </w:t>
            </w:r>
          </w:p>
          <w:p w:rsidR="00973707" w:rsidRPr="00AA1421" w:rsidRDefault="00973707" w:rsidP="0002267E">
            <w:pPr>
              <w:spacing w:beforeLines="60" w:before="144" w:afterLines="60" w:after="144"/>
              <w:jc w:val="left"/>
              <w:rPr>
                <w:rFonts w:ascii="Times New Roman" w:hAnsi="Times New Roman"/>
                <w:sz w:val="24"/>
              </w:rPr>
            </w:pPr>
            <w:r w:rsidRPr="00AA1421">
              <w:rPr>
                <w:rFonts w:ascii="Times New Roman" w:hAnsi="Times New Roman"/>
                <w:sz w:val="24"/>
              </w:rPr>
              <w:t xml:space="preserve">Wiersz 0010 stanowi sumę wiersza 0030 i wiersza 0180.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 0020: część całkowitej wartości bezwzględnej aktywów i zobowiązań wycenianych według wartości godziwej zgłoszonej w wierszu 0010 wynikająca z pozycji w portfelu handlowym (wartość bezwzględna).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 0030: Wartość bezwzględna aktywów i zobowiązań wycenianych według wartości godziwej odpowiadająca portfelom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–17 rozporządzenia delegowanego (UE) 2016/101. Obejmuje ona wartość bezwzględną aktywów i zobowiązań wycenianych według wartości godziwej, w stosunku do których AVA oszacowano jako mającą wartość zero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rozporządzenia delegowanego (UE) 2016/101, które to AVA zgłasza się również odrębnie w wierszach 0070 i 0080. Wiersz 0030 jest sumą wierszy 0090–0130.</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 0050: wartość bezwzględna aktywów i zobowiązań wycenianych według wartości godziwej uwzględnionych w zakresie wyliczeń AVA z tytułu niezrealizowanych marż kredytowych. Do celów wyliczania tej AVA dokładnie dopasowanych kompensujących się aktywów i zobowiązań wycenianych według wartości godziwej, wyłączonych z wyliczeń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nie można już uznawać za dokładnie dopasowane, kompensujące się pozycje.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lastRenderedPageBreak/>
              <w:t xml:space="preserve">Wiersz 0060: wartość bezwzględna aktywów i zobowiązań wycenianych według wartości godziwej uwzględnionych w zakresie wyliczeń AVA z tytułu kosztów inwestycji i finansowania. Do celów wyliczania tej AVA dokładnie dopasowanych kompensujących się aktywów i zobowiązań wycenianych według wartości godziwej, wyłączonych z wyliczeń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nie można już uznawać za dokładnie dopasowane, kompensujące się pozycje.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 0070: Wartość bezwzględna aktywów i zobowiązań wycenianych według wartości godziwej odpowiadająca ekspozycjom z tytułu wyceny, w stosunku do których AVA oszacowano jako mającą wartość zero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 0080: Wartość bezwzględna aktywów i zobowiązań wycenianych według wartości godziwej odpowiadająca ekspozycjom z tytułu wyceny, w stosunku do których AVA oszacowano jako mającą wartość zero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3 rozporządzenia delegowanego (UE) 2016/101.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Wiersze 0090–0130: Wartość bezwzględna aktywów i zobowiązań wycenianych według wartości godziwej przypisanych zgodnie z poniższym opisem (zob. instrukcje dotyczące odnośnych wierszy) na podstawie następujących kategorii ryzyka: stopy procentowe, waluty obce, kredyty, papiery kapitałowe, towary. Obejmuje ona wartość bezwzględną aktywów i zobowiązań wycenianych według wartości godziwej, w stosunku do których AVA oszacowano jako mającą wartość zero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lub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rozporządzenia delegowanego (UE) 2016/101, które to AVA zgłasza się również odrębnie w wierszach 0070 i 0080.</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Wiersz 0180: wartość bezwzględna aktywów i zobowiązań wycenianych według wartości godziwej odpowiadająca portfelom na podstawie metody rezerwowej.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0130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AKTYWA WYCENIANE WEDŁUG WARTOŚCI GODZIWEJ</w:t>
            </w:r>
          </w:p>
          <w:p w:rsidR="00973707" w:rsidRPr="00AA1421" w:rsidRDefault="00973707" w:rsidP="00AF3D7A">
            <w:pPr>
              <w:spacing w:beforeLines="60" w:before="144" w:afterLines="60" w:after="144"/>
              <w:rPr>
                <w:rStyle w:val="InstructionsTabelleberschrift"/>
                <w:rFonts w:ascii="Times New Roman" w:hAnsi="Times New Roman"/>
                <w:sz w:val="24"/>
                <w:u w:val="none"/>
              </w:rPr>
            </w:pPr>
            <w:r w:rsidRPr="00AA1421">
              <w:rPr>
                <w:rFonts w:ascii="Times New Roman" w:hAnsi="Times New Roman"/>
                <w:sz w:val="24"/>
              </w:rPr>
              <w:t>Wartość bezwzględna aktywów wycenianych według wartości godziwej odpowiadająca różnym wierszom, jak wyjaśniono w instrukcjach dotyczących kolumn 0130–0140 powyżej</w:t>
            </w:r>
            <w:r w:rsidRPr="00AA1421">
              <w:rPr>
                <w:rStyle w:val="InstructionsTabelleberschrift"/>
                <w:rFonts w:ascii="Times New Roman" w:hAnsi="Times New Roman"/>
                <w:b w:val="0"/>
                <w:sz w:val="24"/>
                <w:u w:val="none"/>
              </w:rPr>
              <w:t>.</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0140</w:t>
            </w:r>
          </w:p>
        </w:tc>
        <w:tc>
          <w:tcPr>
            <w:tcW w:w="8190" w:type="dxa"/>
          </w:tcPr>
          <w:p w:rsidR="00973707" w:rsidRPr="00AA1421" w:rsidRDefault="00973707" w:rsidP="00AF3D7A">
            <w:pPr>
              <w:tabs>
                <w:tab w:val="center" w:pos="3894"/>
              </w:tabs>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ZOBOWIĄZANIA WYCENIANE WEDŁUG WARTOŚCI GODZIWEJ</w:t>
            </w:r>
          </w:p>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Wartość bezwzględna zobowiązań wycenianych według wartości godziwej odpowiadająca różnym wierszom, jak wyjaśniono w instrukcjach dotyczących kolumn 0130–0140 powyżej</w:t>
            </w:r>
            <w:r w:rsidRPr="00AA1421">
              <w:rPr>
                <w:rStyle w:val="InstructionsTabelleberschrift"/>
                <w:rFonts w:ascii="Times New Roman" w:hAnsi="Times New Roman"/>
                <w:b w:val="0"/>
                <w:sz w:val="24"/>
                <w:u w:val="none"/>
              </w:rPr>
              <w:t>.</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0150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DOCHODY QTD</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Dochody za okres od początku danego kwartału („przychody QTD”), od ostatniego dnia sprawozdawczego, przypisane do aktywów i zobowiązań wycenianych według wartości godziwej odpowiadających różnym wierszom, jak wyjaśniono w instrukcjach dotyczących kolumn 0130–0140 powyżej, w stosownych przypadkach przypisane lub oszacowane w przybliżeniu w oparciu o fachowy osąd.</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0160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RÓŻNICA Z TYTUŁU IPV</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Suma wszystkich pozycji i czynników ryzyka dla nieskorygowanych kwot różnicy („różnica z tytułu IPV”) obliczonych na ostatni dzień miesiąca przypadający jak </w:t>
            </w:r>
            <w:r w:rsidRPr="00AA1421">
              <w:rPr>
                <w:rStyle w:val="InstructionsTabelleberschrift"/>
                <w:rFonts w:ascii="Times New Roman" w:hAnsi="Times New Roman"/>
                <w:b w:val="0"/>
                <w:sz w:val="24"/>
                <w:u w:val="none"/>
              </w:rPr>
              <w:lastRenderedPageBreak/>
              <w:t xml:space="preserve">najbliżej dnia sprawozdawczego w ramach procesu niezależnej weryfikacji cen („IPV”) przeprowadzonego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05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8</w:t>
            </w:r>
            <w:r w:rsidRPr="00AA1421">
              <w:rPr>
                <w:rStyle w:val="InstructionsTabelleberschrift"/>
                <w:rFonts w:ascii="Times New Roman" w:hAnsi="Times New Roman"/>
                <w:b w:val="0"/>
                <w:sz w:val="24"/>
                <w:u w:val="none"/>
              </w:rPr>
              <w:t xml:space="preserve"> CRR w odniesieniu do najlepszych dostępnych niezależnych danych dotyczących odnośnej pozycji lub odnośnego czynnika ryzyka. </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Nieskorygowane kwoty różnicy dotyczą nieskorygowanych różnic między wycenami wygenerowanymi przez system transakcyjny a wycenami będącymi wynikiem comiesięcznego procesu IPV. </w:t>
            </w:r>
          </w:p>
          <w:p w:rsidR="00973707" w:rsidRPr="00AA1421" w:rsidRDefault="004D2753" w:rsidP="004D27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 wyliczeniach różnicy z tytułu IPV nie uwzględnia się żadnych skorygowanych kwot różnicy wykazanych w księgach i rejestrach instytucji na ostatni dzień danego miesiąca.</w:t>
            </w:r>
          </w:p>
        </w:tc>
      </w:tr>
      <w:tr w:rsidR="00973707" w:rsidRPr="00AA1421" w:rsidTr="00672D2A">
        <w:tc>
          <w:tcPr>
            <w:tcW w:w="1101" w:type="dxa"/>
          </w:tcPr>
          <w:p w:rsidR="00973707" w:rsidRPr="00AA1421" w:rsidRDefault="009A7A38" w:rsidP="009A7A38">
            <w:pPr>
              <w:spacing w:beforeLines="60" w:before="144" w:afterLines="60" w:after="144"/>
              <w:rPr>
                <w:rFonts w:ascii="Times New Roman" w:hAnsi="Times New Roman"/>
                <w:sz w:val="24"/>
              </w:rPr>
            </w:pPr>
            <w:r w:rsidRPr="00AA1421">
              <w:rPr>
                <w:rFonts w:ascii="Times New Roman" w:hAnsi="Times New Roman"/>
                <w:sz w:val="24"/>
              </w:rPr>
              <w:lastRenderedPageBreak/>
              <w:t>0170–0250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KOREKTY WARTOŚCI GODZIWEJ</w:t>
            </w:r>
          </w:p>
          <w:p w:rsidR="001B1531" w:rsidRPr="00AA1421" w:rsidRDefault="00973707" w:rsidP="001B1531">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Korekty, czasami zwane również „rezerwami”, potencjalnie stosowane do przyjętej przez instytucję księgowej wartości godziwej, które dokonywane są w oderwaniu od modelu wyceny stosowanego do uzyskania wartości bilansowej (z wyłączeniem odroczonych zysków i strat z początkowego ujęcia) i które można wskazać jako środek mający zaradzić tym samym przyczynom niepewności wyceny, z racji których zastosowano odnośną AVA. Mogą one odzwierciedlać czynniki ryzyka nieuwzględnione w technice wyceny, które mają postać premii z tytułu ryzyka lub kosztów wyjścia i są zgodne z definicją wartości godziwej. Powinny mimo wszystko być brane pod uwagę przez uczestników rynku przy ustalaniu ceny. (MSSF 13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9</w:t>
            </w:r>
            <w:r w:rsidRPr="00AA1421">
              <w:rPr>
                <w:rStyle w:val="InstructionsTabelleberschrift"/>
                <w:rFonts w:ascii="Times New Roman" w:hAnsi="Times New Roman"/>
                <w:b w:val="0"/>
                <w:sz w:val="24"/>
                <w:u w:val="none"/>
              </w:rPr>
              <w:t xml:space="preserve"> i MSSF 13 </w:t>
            </w:r>
            <w:r w:rsidRPr="00084F66">
              <w:rPr>
                <w:rStyle w:val="InstructionsTabelleberschrift"/>
                <w:rFonts w:ascii="Times New Roman" w:hAnsi="Times New Roman"/>
                <w:b w:val="0"/>
                <w:sz w:val="24"/>
                <w:u w:val="none"/>
              </w:rPr>
              <w:t>pkt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8</w:t>
            </w:r>
            <w:r w:rsidRPr="00AA1421">
              <w:rPr>
                <w:rStyle w:val="InstructionsTabelleberschrift"/>
                <w:rFonts w:ascii="Times New Roman" w:hAnsi="Times New Roman"/>
                <w:b w:val="0"/>
                <w:sz w:val="24"/>
                <w:u w:val="none"/>
              </w:rPr>
              <w:t>8)</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0170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sz w:val="24"/>
              </w:rPr>
              <w:t>Z TYTUŁU NIEPEWNOŚCI DOTYCZĄCEJ CEN RYNKOWYCH</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Korekta stosowana do przyjętej przez instytucję wartości godziwej w celu odzwierciedlenia premii z tytułu ryzyka wynikającej z istnienia szeregu zaobserwowanych cen za równoważne instrumenty lub – w odniesieniu do parametrów rynkowych stanowiących dane wejściowe dla modelu wyceny – instrumenty, w oparciu o które dokonano kalibracji danych wejściowych, a zatem korektę tę można wskazać jako środek mający zaradzić tym samym przyczynom niepewności wyceny, z racji których zastosowano AVA z tytułu niepewności dotyczącej cen rynkowych.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0180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KOSZTÓW ZAMKNIĘCIA</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Korekta stosowana do przyjętej przez instytucję wartości godziwej w celu uwzględnienia faktu, że wyceny na poziomie pozycji nie odzwierciedlają ceny wyjścia dla danej pozycji lub danego portfela, w szczególności gdy wyceny te skalibrowano względem średniej ceny rynkowej, a zatem korektę tę można wskazać jako środek mający zaradzić tym samym przyczynom niepewności wyceny, z racji których zastosowano </w:t>
            </w:r>
            <w:r w:rsidRPr="00AA1421">
              <w:rPr>
                <w:rFonts w:ascii="Times New Roman" w:hAnsi="Times New Roman"/>
                <w:sz w:val="24"/>
              </w:rPr>
              <w:t>AVA z tytułu kosztów zamknięcia</w:t>
            </w:r>
            <w:r w:rsidRPr="00AA1421">
              <w:rPr>
                <w:rStyle w:val="InstructionsTabelleberschrift"/>
                <w:rFonts w:ascii="Times New Roman" w:hAnsi="Times New Roman"/>
                <w:b w:val="0"/>
                <w:sz w:val="24"/>
                <w:u w:val="none"/>
              </w:rPr>
              <w:t>.</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0190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RYZYKA MODELU</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Korekta stosowana do przyjętej przez instytucję wartości godziwej w celu odzwierciedlenia czynników rynkowych lub produktowych, które nie zostały uwzględnione przez model stosowany do obliczania dziennych wartości pozycji i ryzyka („model wyceny”), lub w celu odzwierciedlenia odpowiedniego poziomu ostrożności ze względu na niepewność wynikającą z istnienia szeregu alternatywnych poprawnych modeli i kalibracji modelu, a zatem korektę tę można wskazać jako środek mający </w:t>
            </w:r>
            <w:r w:rsidRPr="00AA1421">
              <w:rPr>
                <w:rStyle w:val="InstructionsTabelleberschrift"/>
                <w:rFonts w:ascii="Times New Roman" w:hAnsi="Times New Roman"/>
                <w:b w:val="0"/>
                <w:sz w:val="24"/>
                <w:u w:val="none"/>
              </w:rPr>
              <w:lastRenderedPageBreak/>
              <w:t xml:space="preserve">zaradzić tym samym przyczynom niepewności wyceny, z racji których zastosowano </w:t>
            </w:r>
            <w:r w:rsidRPr="00AA1421">
              <w:rPr>
                <w:rFonts w:ascii="Times New Roman" w:hAnsi="Times New Roman"/>
                <w:sz w:val="24"/>
              </w:rPr>
              <w:t>AVA z tytułu ryzyka modelu</w:t>
            </w:r>
            <w:r w:rsidRPr="00AA1421">
              <w:rPr>
                <w:rStyle w:val="InstructionsTabelleberschrift"/>
                <w:rFonts w:ascii="Times New Roman" w:hAnsi="Times New Roman"/>
                <w:b w:val="0"/>
                <w:sz w:val="24"/>
                <w:u w:val="none"/>
              </w:rPr>
              <w:t>.</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0200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POZYCJI O DUŻEJ KONCENTRACJI</w:t>
            </w:r>
          </w:p>
          <w:p w:rsidR="00973707" w:rsidRPr="00AA1421" w:rsidRDefault="00973707" w:rsidP="00A30C4C">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Korekta stosowana do przyjętej przez instytucję wartości godziwej w celu odzwierciedlenia faktu, że zagregowana pozycja utrzymywana przez instytucję jest większa niż normalna wielkość obrotu lub większa niż wielkość pozycji stanowiącej podstawę obserwowalnych kwotowań lub transakcji, które są wykorzystywane do kalibracji ceny lub danych wejściowych stosowanych w modelu wyceny, a zatem korektę tę można wskazać jako środek mający zaradzić tym samym przyczynom niepewności wyceny, z racji których zastosowano </w:t>
            </w:r>
            <w:r w:rsidRPr="00AA1421">
              <w:rPr>
                <w:rFonts w:ascii="Times New Roman" w:hAnsi="Times New Roman"/>
                <w:sz w:val="24"/>
              </w:rPr>
              <w:t>AVA z tytułu pozycji o dużej koncentracji</w:t>
            </w:r>
            <w:r w:rsidRPr="00AA1421">
              <w:rPr>
                <w:rStyle w:val="InstructionsTabelleberschrift"/>
                <w:rFonts w:ascii="Times New Roman" w:hAnsi="Times New Roman"/>
                <w:b w:val="0"/>
                <w:sz w:val="24"/>
                <w:u w:val="none"/>
              </w:rPr>
              <w:t xml:space="preserve">.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0210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NIEZREALIZOWANYCH MARŻ KREDYTOWYCH</w:t>
            </w:r>
          </w:p>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b w:val="0"/>
                <w:sz w:val="24"/>
                <w:u w:val="none"/>
              </w:rPr>
              <w:t>Korekta stosowana do przyjętej przez instytucję wartości godziwej w celu uwzględnienia oczekiwanych strat z powodu niewykonania przez kontrahenta zobowiązania z tytułu pozycji w instrumentach pochodnych (tzn. całkowita korekta wyceny kredytowej („CVA”) na poziomie instytucji).</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0220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KOSZTÓW INWESTYCJI I FINANSOWANIA</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Korekta stosowana do przyjętej przez instytucję wartości godziwej tytułem kompensaty, w przypadku gdy modele wyceny nie odzwierciedlają w pełni kosztów finansowania, które uczestnicy rynku uwzględniliby w cenie wyjścia dla pozycji lub portfela (tzn. całkowita korekta wyceny z tytułu kosztów finansowania na poziomie instytucji, jeżeli instytucja oblicza tego rodzaju korektę, lub, alternatywnie, równorzędna korekta).</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0230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PRZYSZŁYCH KOSZTÓW ADMINISTRACYJNYCH</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Korekta stosowana do przyjętej przez instytucję wartości godziwej w celu odzwierciedlenia kosztów administracyjnych poniesionych w związku z portfelem lub pozycją, lecz nie uwzględnionych w modelu wyceny lub cenach stosowanych do kalibracji danych wejściowych tego modelu, a zatem korektę tę można wskazać jako środek mający zaradzić tym samym przyczynom niepewności wyceny, z racji których zastosowano AVA z tytułu przyszłych kosztów administracyjnych.</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0240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PRZEDTERMINOWEGO ROZWIĄZANIA UMOWY</w:t>
            </w:r>
          </w:p>
          <w:p w:rsidR="00973707"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Korekty stosowane do przyjętej przez instytucję wartości godziwej w celu odzwierciedlenia oczekiwań związanych z przewidzianym w umowie lub pozaumownym przedterminowym rozwiązaniem umowy, których nie odzwierciedlono w modelu wyceny, a zatem korekty te można wskazać jako środek mający zaradzić tym samym przyczynom niepewności wyceny, z racji których zastosowano AVA z tytułu przedterminowego rozwiązania umowy.</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0250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 TYTUŁU RYZYKA OPERACYJNEGO</w:t>
            </w:r>
          </w:p>
          <w:p w:rsidR="00973707" w:rsidRPr="00AA1421" w:rsidRDefault="00973707" w:rsidP="00A30C4C">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b w:val="0"/>
                <w:sz w:val="24"/>
                <w:u w:val="none"/>
              </w:rPr>
              <w:lastRenderedPageBreak/>
              <w:t>Korekty stosowane do przyjętej przez instytucję wartości godziwej w celu odzwierciedlenia premii z tytułu ryzyka, którą uczestnicy rynku naliczyliby, aby skompensować ryzyko operacyjne zaistniałe w związku z zabezpieczeniem kontraktów w portfelu, ich administracją i rozliczeniem, a zatem korekty te można wskazać jako środek mający zaradzić tym samym przyczynom niepewności wyceny, z racji których zastosowano AVA z tytułu ryzyka operacyjnego.</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0260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ZYSKI I STRATY Z POCZĄTKOWEGO UJĘCIA</w:t>
            </w:r>
          </w:p>
          <w:p w:rsidR="001B1531" w:rsidRPr="00AA1421" w:rsidRDefault="00973707" w:rsidP="00AF3D7A">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Korekty dokonane w celu odzwierciedlenia przypadków, w których model wyceny, jak również wszystkie inne stosowne korekty wartości godziwej zastosowane do pozycji lub portfela nie odzwierciedlają ceny zapłaconej lub otrzymanej w momencie początkowego ujęcia, tzn. odroczone zyski i straty z początkowego ujęcia (MSSF 9 pkt B5.1.2.A).</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0270</w:t>
            </w:r>
          </w:p>
        </w:tc>
        <w:tc>
          <w:tcPr>
            <w:tcW w:w="8190" w:type="dxa"/>
          </w:tcPr>
          <w:p w:rsidR="00973707" w:rsidRPr="00AA1421" w:rsidRDefault="00973707" w:rsidP="00AF3D7A">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OPIS/WYJAŚNIENIE</w:t>
            </w:r>
          </w:p>
          <w:p w:rsidR="00973707" w:rsidRPr="00AA1421" w:rsidRDefault="00973707" w:rsidP="00A30C4C">
            <w:pPr>
              <w:spacing w:beforeLines="60" w:before="144" w:afterLines="60" w:after="144"/>
              <w:rPr>
                <w:rStyle w:val="InstructionsTabelleberschrift"/>
                <w:rFonts w:ascii="Times New Roman" w:hAnsi="Times New Roman"/>
                <w:b w:val="0"/>
                <w:sz w:val="24"/>
                <w:u w:val="none"/>
              </w:rPr>
            </w:pPr>
            <w:r w:rsidRPr="00AA1421">
              <w:rPr>
                <w:rFonts w:ascii="Times New Roman" w:hAnsi="Times New Roman"/>
                <w:sz w:val="24"/>
              </w:rPr>
              <w:t xml:space="preserve">Opis pozycji traktowanych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(UE) 2016/101 oraz powody, dla których nie można zastosować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–17 tego rozporządzenia.</w:t>
            </w:r>
          </w:p>
        </w:tc>
      </w:tr>
    </w:tbl>
    <w:p w:rsidR="00B93FA1" w:rsidRPr="00AA1421"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73707" w:rsidRPr="00AA1421" w:rsidTr="00672D2A">
        <w:tc>
          <w:tcPr>
            <w:tcW w:w="9288" w:type="dxa"/>
            <w:gridSpan w:val="2"/>
            <w:shd w:val="clear" w:color="auto" w:fill="CCCCCC"/>
          </w:tcPr>
          <w:p w:rsidR="00973707" w:rsidRPr="00AA1421" w:rsidRDefault="00973707" w:rsidP="00AF3D7A">
            <w:pPr>
              <w:spacing w:beforeLines="60" w:before="144" w:afterLines="60" w:after="144"/>
              <w:rPr>
                <w:rFonts w:ascii="Times New Roman" w:hAnsi="Times New Roman"/>
                <w:b/>
                <w:sz w:val="24"/>
              </w:rPr>
            </w:pPr>
            <w:r w:rsidRPr="00AA1421">
              <w:rPr>
                <w:rFonts w:ascii="Times New Roman" w:hAnsi="Times New Roman"/>
                <w:b/>
                <w:sz w:val="24"/>
              </w:rPr>
              <w:t>Wiersze</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0010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 xml:space="preserve">1. METODA PODSTAWOWA RAZEM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Dla każdej odnośnej kategorii AVA, o których mowa w kolumnach 0010–0110 – całkowite AVA obliczone przy użyciu metody podstawowej, jak określono w rozdziale 3 rozporządzenia delegowanego (UE) 2016/101 w odniesieniu do aktywów i zobowiązań wycenianych według wartości godziwej uwzględnionych w wyliczeniach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tego rozporządzenia. Obejmuje to korzyści z dywersyfikacji zgłoszone w wierszu 0140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rozporządzenia delegowanego (UE) 2016/101.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0020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 xml:space="preserve">W TYM: PORTFEL HANDLOWY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w:t>
            </w:r>
          </w:p>
          <w:p w:rsidR="00973707" w:rsidRPr="00AA1421" w:rsidRDefault="00973707" w:rsidP="009A7A38">
            <w:pPr>
              <w:spacing w:beforeLines="60" w:before="144" w:afterLines="60" w:after="144"/>
              <w:rPr>
                <w:rFonts w:ascii="Times New Roman" w:hAnsi="Times New Roman"/>
                <w:b/>
                <w:sz w:val="24"/>
                <w:u w:val="single"/>
              </w:rPr>
            </w:pPr>
            <w:r w:rsidRPr="00AA1421">
              <w:rPr>
                <w:rFonts w:ascii="Times New Roman" w:hAnsi="Times New Roman"/>
                <w:sz w:val="24"/>
              </w:rPr>
              <w:t>Dla każdej odnośnej kategorii AVA, o których mowa w kolumnach 0010–0110 – część całkowitych AVA zgłoszonych w wierszu 0010 wynikająca z pozycji w portfelu handlowym (wartość bezwzględna).</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0030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 xml:space="preserve">1.1 PORTFELE NA PODSTAWIE ART. 9–17 ROZPORZĄDZENIA DELEGOWANEGO KOMISJI (UE) 2016/101 – RAZEM NA POZIOMIE KATEGORII PO DYWERSYFIKACJI </w:t>
            </w:r>
          </w:p>
          <w:p w:rsidR="00973707" w:rsidRPr="00AA1421" w:rsidRDefault="002B004B" w:rsidP="00AF3D7A">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rozporządzenia delegowanego (UE) 2016/101.</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Dla każdej odnośnej kategorii AVA, o których mowa w kolumnach 0010–0110 – całkowite AVA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–17 rozporządzenia delegowanego </w:t>
            </w:r>
            <w:r w:rsidRPr="00AA1421">
              <w:rPr>
                <w:rFonts w:ascii="Times New Roman" w:hAnsi="Times New Roman"/>
                <w:sz w:val="24"/>
              </w:rPr>
              <w:lastRenderedPageBreak/>
              <w:t xml:space="preserve">(UE) 2016/101 w odniesieniu do aktywów i zobowiązań wycenianych według wartości godziwej uwzględnionych w wyliczeniach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tego rozporządzenia, z wyłączeniem aktywów i zobowiązań wycenianych według wartości godziwej objętych traktowaniem opisanym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(UE) 2016/101.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Obejmuje to AVA obliczone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i 13 rozporządzenia delegowanego (UE) 2016/101, które zgłoszono w wierszach 0050 i 0060 oraz uwzględniono w AVA z tytułu niepewności dotyczącej cen rynkowych, AVA z tytułu kosztów zamknięcia i AVA z tytułu ryzyka modelu, jak określono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tego rozporządzenia.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Obejmuje to korzyści z dywersyfikacji zgłoszone w wierszu 0140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rozporządzenia delegowanego (UE) 2016/101. </w:t>
            </w:r>
          </w:p>
          <w:p w:rsidR="00973707" w:rsidRPr="00AA1421" w:rsidRDefault="00973707" w:rsidP="00127986">
            <w:pPr>
              <w:spacing w:beforeLines="60" w:before="144" w:afterLines="60" w:after="144"/>
              <w:rPr>
                <w:rFonts w:ascii="Times New Roman" w:hAnsi="Times New Roman"/>
                <w:sz w:val="24"/>
              </w:rPr>
            </w:pPr>
            <w:r w:rsidRPr="00AA1421">
              <w:rPr>
                <w:rFonts w:ascii="Times New Roman" w:hAnsi="Times New Roman"/>
                <w:sz w:val="24"/>
              </w:rPr>
              <w:t xml:space="preserve">Wiersz 0030 stanowi różnicę między wierszem 0040 a wierszem 0140.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0040–0130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 RAZEM NA POZIOMIE KATEGORII PRZED DYWERSYFIKACJĄ</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 odniesieniu do wierszy 0090–0130 instytucje dokonują przyporządkowania swoich aktywów i zobowiązań wycenianych według wartości godziwej uwzględnionych w wyliczeniach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rozporządzenia delegowanego (UE) 2016/101 (zaliczanych do portfela handlowego i portfela bankowego) zgodnie z następującymi kategoriami ryzyka: stopy procentowe, waluty obce, kredyty, papiery kapitałowe, towary.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 tym celu instytucje polegają na swoich wewnętrznych strukturach zarządzania ryzykiem i – stosując zestawienie opracowane w oparciu o fachowy osąd – przyporządkowują swoje linie biznesowe lub jednostki odpowiadające za handel do najbardziej właściwej kategorii ryzyka. AVA, korekty wartości godziwej oraz inne wymagane informacje, które odpowiadają przyporządkowanym liniom biznesowym lub jednostkom odpowiadającym za handel, przyporządkowuje się do tych samych odpowiednich kategorii ryzyka, aby zapewnić – na poziomie wiersza dla każdej kategorii ryzyka – spójny obraz korekt dokonanych zarówno w celach ostrożnościowych, jak i w celach rachunkowych, jak również wskazanie wielkości danych pozycji (pod względem aktywów i zobowiązań wycenianych według wartości godziwej). Jeżeli AVA lub inne korekty oblicza się na innym poziomie agregacji, w szczególności na poziomie przedsiębiorstwa, instytucje opracowują metodę alokacji AVA do odpowiednich zbiorów pozycji. W wyniku zastosowania metody alokacji wiersz 0040 musi stanowić sumę wierszy 0050–0130 dla kolumn 0010–0100.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Niezależnie od zastosowanej metody zgłaszane informacje muszą – w jak najszerszym zakresie – być spójne na poziomie wiersza, ponieważ podane informacje będą porównywane na tym poziomie (kwoty AVA, wartość przy niskim poziomie ufności (ang. </w:t>
            </w:r>
            <w:proofErr w:type="spellStart"/>
            <w:r w:rsidRPr="00AA1421">
              <w:rPr>
                <w:rFonts w:ascii="Times New Roman" w:hAnsi="Times New Roman"/>
                <w:sz w:val="24"/>
              </w:rPr>
              <w:t>upside</w:t>
            </w:r>
            <w:proofErr w:type="spellEnd"/>
            <w:r w:rsidRPr="00AA1421">
              <w:rPr>
                <w:rFonts w:ascii="Times New Roman" w:hAnsi="Times New Roman"/>
                <w:sz w:val="24"/>
              </w:rPr>
              <w:t xml:space="preserve"> </w:t>
            </w:r>
            <w:proofErr w:type="spellStart"/>
            <w:r w:rsidRPr="00AA1421">
              <w:rPr>
                <w:rFonts w:ascii="Times New Roman" w:hAnsi="Times New Roman"/>
                <w:sz w:val="24"/>
              </w:rPr>
              <w:t>uncertainty</w:t>
            </w:r>
            <w:proofErr w:type="spellEnd"/>
            <w:r w:rsidRPr="00AA1421">
              <w:rPr>
                <w:rFonts w:ascii="Times New Roman" w:hAnsi="Times New Roman"/>
                <w:sz w:val="24"/>
              </w:rPr>
              <w:t xml:space="preserve">), kwoty wartości godziwej i potencjalne korekty wartości godziwej).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Rozkład w wierszach 0090–0130 nie obejmuje AVA obliczonych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i 13 rozporządzenia delegowanego (UE) 2016/101, które zgłoszono w </w:t>
            </w:r>
            <w:r w:rsidRPr="00AA1421">
              <w:rPr>
                <w:rFonts w:ascii="Times New Roman" w:hAnsi="Times New Roman"/>
                <w:sz w:val="24"/>
              </w:rPr>
              <w:lastRenderedPageBreak/>
              <w:t xml:space="preserve">wierszach 0050 i 0060 oraz uwzględniono w AVA z tytułu niepewności dotyczącej cen rynkowych, AVA z tytułu kosztów zamknięcia i AVA z tytułu ryzyka modelu, jak określono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tego rozporządzenia.</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Korzyści z dywersyfikacji zgłasza się w wierszu 0140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rozporządzenia delegowanego (UE) 2016/101 i w związku z tym nie uwzględnia się ich w wierszach 0040–0130.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0050</w:t>
            </w:r>
          </w:p>
        </w:tc>
        <w:tc>
          <w:tcPr>
            <w:tcW w:w="8187" w:type="dxa"/>
            <w:shd w:val="clear" w:color="auto" w:fill="auto"/>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W TYM: AVA Z TYTUŁU NIEZREALIZOWANYCH MARŻ KREDYTOWYCH</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Art. 105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CRR,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2 rozporządzenia delegowanego (UE) 2016/101.</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Całkowita AVA obliczona w odniesieniu do niezrealizowanych marż kredytowych („AVA z tytułu CVA”) oraz jej przyporządkowanie do AVA z tytułu niepewności dotyczącej cen rynkowych, kosztów zamknięcia lub ryzyka modelu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2 rozporządzenia delegowanego (UE) 2016/101.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Kolumna 0110: całkowitą AVA podaje się tylko w celach informacyjnych, ponieważ jej podział pomiędzy AVA z tytułu niepewności dotyczącej cen rynkowych, kosztów zamknięcia lub ryzyka modelu prowadzi do jej uwzględnienia – po uwzględnieniu korzyści z dywersyfikacji – w ramach odnośnych AVA na poziomie kategorii. </w:t>
            </w:r>
          </w:p>
          <w:p w:rsidR="00973707" w:rsidRPr="00AA1421" w:rsidRDefault="00973707" w:rsidP="00127986">
            <w:pPr>
              <w:spacing w:beforeLines="60" w:before="144" w:afterLines="60" w:after="144"/>
              <w:rPr>
                <w:rFonts w:ascii="Times New Roman" w:hAnsi="Times New Roman"/>
                <w:sz w:val="24"/>
              </w:rPr>
            </w:pPr>
            <w:r w:rsidRPr="00AA1421">
              <w:rPr>
                <w:rFonts w:ascii="Times New Roman" w:hAnsi="Times New Roman"/>
                <w:sz w:val="24"/>
              </w:rPr>
              <w:t xml:space="preserve">Kolumny 0130 i 0140: wartość bezwzględna aktywów i zobowiązań wycenianych według wartości godziwej uwzględnionych w zakresie wyliczeń AVA z tytułu niezrealizowanych marż kredytowych. Do celów wyliczania tej AVA dokładnie dopasowanych kompensujących się aktywów i zobowiązań wycenianych według wartości godziwej, wyłączonych z wyliczeń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nie można już uznawać za dokładnie dopasowane, kompensujące się pozycje.</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0060</w:t>
            </w:r>
          </w:p>
        </w:tc>
        <w:tc>
          <w:tcPr>
            <w:tcW w:w="8187" w:type="dxa"/>
            <w:shd w:val="clear" w:color="auto" w:fill="auto"/>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 xml:space="preserve">W TYM: AVA Z TYTUŁU KOSZTÓW INWESTYCJI I FINANSOWANIA </w:t>
            </w:r>
          </w:p>
          <w:p w:rsidR="00973707" w:rsidRPr="00AA1421" w:rsidRDefault="00973707" w:rsidP="00AF3D7A">
            <w:pPr>
              <w:spacing w:beforeLines="60" w:before="144" w:afterLines="60" w:after="144"/>
              <w:rPr>
                <w:rFonts w:ascii="Times New Roman" w:hAnsi="Times New Roman"/>
                <w:caps/>
                <w:sz w:val="24"/>
                <w:u w:val="single"/>
              </w:rPr>
            </w:pPr>
            <w:r w:rsidRPr="00AA1421">
              <w:rPr>
                <w:rFonts w:ascii="Times New Roman" w:hAnsi="Times New Roman"/>
                <w:sz w:val="24"/>
              </w:rPr>
              <w:t xml:space="preserve">Art. 105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CRR,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7 rozporządzenia delegowanego (UE) 2016/101.</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Całkowita AVA obliczona w odniesieniu do kosztów inwestycji i finansowania oraz jej przyporządkowanie do AVA z tytułu niepewności dotyczącej cen rynkowych, kosztów zamknięcia lub ryzyka modelu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3 rozporządzenia delegowanego (UE) 2016/101. </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Kolumna 0110: całkowitą AVA podaje się tylko w celach informacyjnych, ponieważ jej podział pomiędzy AVA z tytułu niepewności dotyczącej cen rynkowych, kosztów zamknięcia lub ryzyka modelu prowadzi do jej uwzględnienia – po uwzględnieniu korzyści z dywersyfikacji – w ramach odnośnych AVA na poziomie kategorii. </w:t>
            </w:r>
          </w:p>
          <w:p w:rsidR="00973707" w:rsidRPr="00AA1421" w:rsidRDefault="00973707" w:rsidP="00127986">
            <w:pPr>
              <w:spacing w:beforeLines="60" w:before="144" w:afterLines="60" w:after="144"/>
              <w:rPr>
                <w:rFonts w:ascii="Times New Roman" w:hAnsi="Times New Roman"/>
                <w:sz w:val="24"/>
              </w:rPr>
            </w:pPr>
            <w:r w:rsidRPr="00AA1421">
              <w:rPr>
                <w:rFonts w:ascii="Times New Roman" w:hAnsi="Times New Roman"/>
                <w:sz w:val="24"/>
              </w:rPr>
              <w:t xml:space="preserve">Kolumny 0130 i 0140: wartość bezwzględna aktywów i zobowiązań wycenianych według wartości godziwej uwzględnionych w zakresie wyliczeń AVA z tytułu kosztów inwestycji i finansowania. Do celów wyliczania tej AVA dokładnie dopasowanych kompensujących się aktywów i zobowiązań wycenianych według wartości godziwej, wyłączonych z wyliczeń progu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nie można już uznawać za dokładnie dopasowane, kompensujące się pozycje.</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0070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W TYM: AVA OSZACOWANA JAKO MAJĄCA WARTOŚĆ ZERO NA PODSTAWIE ART. 9 UST. 2</w:t>
            </w:r>
            <w:r w:rsidRPr="00AA1421">
              <w:rPr>
                <w:rFonts w:ascii="Times New Roman" w:hAnsi="Times New Roman"/>
                <w:sz w:val="24"/>
              </w:rPr>
              <w:t xml:space="preserve"> </w:t>
            </w:r>
            <w:r w:rsidRPr="00AA1421">
              <w:rPr>
                <w:rFonts w:ascii="Times New Roman" w:hAnsi="Times New Roman"/>
                <w:b/>
                <w:caps/>
                <w:sz w:val="24"/>
              </w:rPr>
              <w:t>rozporządzenia delegowanego (UE) 2016/101</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Wartość bezwzględna aktywów i zobowiązań wycenianych według wartości godziwej odpowiadająca ekspozycjom z tytułu wyceny, w stosunku do których AVA oszacowano jako mającą wartość zero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rozporządzenia delegowanego (UE) 2016/101.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0080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W TYM: AVA OSZACOWANA JAKO MAJĄCA WARTOŚĆ ZERO NA PODSTAWIE ART. 10 UST. 2 i 3</w:t>
            </w:r>
            <w:r w:rsidRPr="00AA1421">
              <w:rPr>
                <w:rFonts w:ascii="Times New Roman" w:hAnsi="Times New Roman"/>
                <w:sz w:val="24"/>
              </w:rPr>
              <w:t xml:space="preserve"> </w:t>
            </w:r>
            <w:r w:rsidRPr="00AA1421">
              <w:rPr>
                <w:rFonts w:ascii="Times New Roman" w:hAnsi="Times New Roman"/>
                <w:b/>
                <w:caps/>
                <w:sz w:val="24"/>
              </w:rPr>
              <w:t>rozporządzenia delegowanego (UE) 2016/101</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Wartość bezwzględna aktywów i zobowiązań wycenianych według wartości godziwej odpowiadająca ekspozycjom z tytułu wyceny, w stosunku do których AVA oszacowano jako mającą wartość zero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lub</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0090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1.1.1.1 STOPY PROCENTOWE</w:t>
            </w:r>
          </w:p>
        </w:tc>
      </w:tr>
      <w:tr w:rsidR="00AF3D7A" w:rsidRPr="00AA1421" w:rsidTr="00672D2A">
        <w:tc>
          <w:tcPr>
            <w:tcW w:w="1101" w:type="dxa"/>
          </w:tcPr>
          <w:p w:rsidR="00AF3D7A"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0100</w:t>
            </w:r>
          </w:p>
        </w:tc>
        <w:tc>
          <w:tcPr>
            <w:tcW w:w="8187" w:type="dxa"/>
          </w:tcPr>
          <w:p w:rsidR="00AF3D7A" w:rsidRPr="00AA1421" w:rsidRDefault="00AF3D7A"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1.1.1.2 WALUTY OBCE</w:t>
            </w:r>
          </w:p>
        </w:tc>
      </w:tr>
      <w:tr w:rsidR="00AF3D7A" w:rsidRPr="00AA1421" w:rsidTr="00672D2A">
        <w:tc>
          <w:tcPr>
            <w:tcW w:w="1101" w:type="dxa"/>
          </w:tcPr>
          <w:p w:rsidR="00AF3D7A"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0110</w:t>
            </w:r>
          </w:p>
        </w:tc>
        <w:tc>
          <w:tcPr>
            <w:tcW w:w="8187" w:type="dxa"/>
          </w:tcPr>
          <w:p w:rsidR="00AF3D7A" w:rsidRPr="00AA1421" w:rsidRDefault="00AF3D7A"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1.1.1.3 KREDYTY</w:t>
            </w:r>
          </w:p>
        </w:tc>
      </w:tr>
      <w:tr w:rsidR="00AF3D7A" w:rsidRPr="00AA1421" w:rsidTr="00672D2A">
        <w:tc>
          <w:tcPr>
            <w:tcW w:w="1101" w:type="dxa"/>
          </w:tcPr>
          <w:p w:rsidR="00AF3D7A"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0120</w:t>
            </w:r>
          </w:p>
        </w:tc>
        <w:tc>
          <w:tcPr>
            <w:tcW w:w="8187" w:type="dxa"/>
          </w:tcPr>
          <w:p w:rsidR="00AF3D7A" w:rsidRPr="00AA1421" w:rsidRDefault="00AF3D7A"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1.1.1.4 PAPIERY KAPITAŁOWE</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0130</w:t>
            </w:r>
          </w:p>
        </w:tc>
        <w:tc>
          <w:tcPr>
            <w:tcW w:w="8187" w:type="dxa"/>
          </w:tcPr>
          <w:p w:rsidR="00973707" w:rsidRPr="00AA1421" w:rsidRDefault="00973707" w:rsidP="00AF3D7A">
            <w:pPr>
              <w:spacing w:beforeLines="60" w:before="144" w:afterLines="60" w:after="144"/>
              <w:rPr>
                <w:rFonts w:ascii="Times New Roman" w:hAnsi="Times New Roman"/>
                <w:b/>
                <w:sz w:val="24"/>
                <w:u w:val="single"/>
              </w:rPr>
            </w:pPr>
            <w:r w:rsidRPr="00AA1421">
              <w:rPr>
                <w:rFonts w:ascii="Times New Roman" w:hAnsi="Times New Roman"/>
                <w:b/>
                <w:sz w:val="24"/>
                <w:u w:val="single"/>
              </w:rPr>
              <w:t>1.1.1.5 TOWARY</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0140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1.1.2 (-) Korzyści z dywersyfikacji</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Całkowita korzyść z dywersyfikacji. Suma wierszy 0150 i 0160.</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0150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1.1.2.1 (-) Korzyść z dywersyfikacji obliczona przy użyciu metody 1</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Dla kategorii AVA zagregowanych przy użyciu metody 1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rozporządzenia delegowanego (UE) 2016/101 – różnica między sumą indywidualnych AVA a całkowitą AVA na poziomie kategorii po skorygowaniu o skutki agregacji.</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0160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1.1.2.2 (-) Korzyść z dywersyfikacji obliczona przy użyciu metody 2</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Dla kategorii AVA zagregowanych przy użyciu metody 2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0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rozporządzenia delegowanego (UE) 2016/101 – różnica między sumą indywidualnych AVA a całkowitą AVA na poziomie kategorii po skorygowaniu o skutki agregacji.</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0170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1.1.2.2 * Pozycja uzupełniająca: AVA przed dywersyfikacją zmniejszone o ponad 9</w:t>
            </w:r>
            <w:r w:rsidRPr="00084F66">
              <w:rPr>
                <w:rFonts w:ascii="Times New Roman" w:hAnsi="Times New Roman"/>
                <w:b/>
                <w:caps/>
                <w:sz w:val="24"/>
                <w:u w:val="single"/>
              </w:rPr>
              <w:t>0</w:t>
            </w:r>
            <w:r w:rsidR="00084F66" w:rsidRPr="00084F66">
              <w:rPr>
                <w:rFonts w:ascii="Times New Roman" w:hAnsi="Times New Roman"/>
                <w:b/>
                <w:caps/>
                <w:sz w:val="24"/>
                <w:u w:val="single"/>
              </w:rPr>
              <w:t> </w:t>
            </w:r>
            <w:r w:rsidRPr="00084F66">
              <w:rPr>
                <w:rFonts w:ascii="Times New Roman" w:hAnsi="Times New Roman"/>
                <w:b/>
                <w:caps/>
                <w:sz w:val="24"/>
                <w:u w:val="single"/>
              </w:rPr>
              <w:t>%</w:t>
            </w:r>
            <w:r w:rsidRPr="00AA1421">
              <w:rPr>
                <w:rFonts w:ascii="Times New Roman" w:hAnsi="Times New Roman"/>
                <w:b/>
                <w:caps/>
                <w:sz w:val="24"/>
                <w:u w:val="single"/>
              </w:rPr>
              <w:t xml:space="preserve"> w wyniku dywersyfikacji na podstawie metody 2</w:t>
            </w:r>
          </w:p>
          <w:p w:rsidR="00973707" w:rsidRPr="00AA1421" w:rsidRDefault="00973707" w:rsidP="00DD41BE">
            <w:pPr>
              <w:spacing w:beforeLines="60" w:before="144" w:afterLines="60" w:after="144"/>
              <w:rPr>
                <w:rFonts w:ascii="Times New Roman" w:hAnsi="Times New Roman"/>
                <w:sz w:val="24"/>
              </w:rPr>
            </w:pPr>
            <w:r w:rsidRPr="00AA1421">
              <w:rPr>
                <w:rFonts w:ascii="Times New Roman" w:hAnsi="Times New Roman"/>
                <w:sz w:val="24"/>
              </w:rPr>
              <w:lastRenderedPageBreak/>
              <w:t>Zgodnie z terminologią stosowaną w ramach metody 2 – suma FV – PV dla wszystkich ekspozycji z tytułu wyceny, dla których APVA &lt; 10 % (FV – PV).</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lastRenderedPageBreak/>
              <w:t>0180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1.2 Portfele obliczane przy użyciu metody rezerwowej</w:t>
            </w:r>
          </w:p>
          <w:p w:rsidR="00973707" w:rsidRPr="00AA1421" w:rsidRDefault="002F78EA" w:rsidP="00AF3D7A">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(UE) 2016/101.</w:t>
            </w:r>
          </w:p>
          <w:p w:rsidR="00973707" w:rsidRPr="00AA1421" w:rsidRDefault="00973707" w:rsidP="00AF3D7A">
            <w:pPr>
              <w:spacing w:beforeLines="60" w:before="144" w:afterLines="60" w:after="144"/>
              <w:rPr>
                <w:rFonts w:ascii="Times New Roman" w:hAnsi="Times New Roman"/>
                <w:sz w:val="24"/>
              </w:rPr>
            </w:pPr>
            <w:r w:rsidRPr="00AA1421">
              <w:rPr>
                <w:rFonts w:ascii="Times New Roman" w:hAnsi="Times New Roman"/>
                <w:sz w:val="24"/>
              </w:rPr>
              <w:t xml:space="preserve">W odniesieniu do portfeli podlegających metodzie rezerwowej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7</w:t>
            </w:r>
            <w:r w:rsidRPr="00AA1421">
              <w:rPr>
                <w:rFonts w:ascii="Times New Roman" w:hAnsi="Times New Roman"/>
                <w:sz w:val="24"/>
              </w:rPr>
              <w:t xml:space="preserve">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rozporządzenia delegowanego (UE) 2016/101 całkowitą AVA oblicza się jako sumę wierszy 0190, 0200 i 0210. </w:t>
            </w:r>
          </w:p>
          <w:p w:rsidR="00973707" w:rsidRPr="00AA1421" w:rsidRDefault="00973707" w:rsidP="00A30C4C">
            <w:pPr>
              <w:spacing w:beforeLines="60" w:before="144" w:afterLines="60" w:after="144"/>
              <w:rPr>
                <w:rFonts w:ascii="Times New Roman" w:hAnsi="Times New Roman"/>
                <w:sz w:val="24"/>
              </w:rPr>
            </w:pPr>
            <w:r w:rsidRPr="00AA1421">
              <w:rPr>
                <w:rFonts w:ascii="Times New Roman" w:hAnsi="Times New Roman"/>
                <w:sz w:val="24"/>
              </w:rPr>
              <w:t xml:space="preserve">Istotne informacje bilansowe oraz inne informacje kontekstowe podaje się w kolumnach 0130–0260. Opis pozycji oraz powody, dla których nie można było zastosować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9</w:t>
            </w:r>
            <w:r w:rsidRPr="00AA1421">
              <w:rPr>
                <w:rFonts w:ascii="Times New Roman" w:hAnsi="Times New Roman"/>
                <w:sz w:val="24"/>
              </w:rPr>
              <w:t xml:space="preserve">–17 rozporządzenia delegowanego (UE) 2016/101, podaje się w kolumnie 0270. </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0190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1.2.1 Metoda rezerwowa; 10</w:t>
            </w:r>
            <w:r w:rsidRPr="00084F66">
              <w:rPr>
                <w:rFonts w:ascii="Times New Roman" w:hAnsi="Times New Roman"/>
                <w:b/>
                <w:caps/>
                <w:sz w:val="24"/>
                <w:u w:val="single"/>
              </w:rPr>
              <w:t>0</w:t>
            </w:r>
            <w:r w:rsidR="00084F66" w:rsidRPr="00084F66">
              <w:rPr>
                <w:rFonts w:ascii="Times New Roman" w:hAnsi="Times New Roman"/>
                <w:b/>
                <w:caps/>
                <w:sz w:val="24"/>
                <w:u w:val="single"/>
              </w:rPr>
              <w:t> </w:t>
            </w:r>
            <w:r w:rsidRPr="00084F66">
              <w:rPr>
                <w:rFonts w:ascii="Times New Roman" w:hAnsi="Times New Roman"/>
                <w:b/>
                <w:caps/>
                <w:sz w:val="24"/>
                <w:u w:val="single"/>
              </w:rPr>
              <w:t>%</w:t>
            </w:r>
            <w:r w:rsidRPr="00AA1421">
              <w:rPr>
                <w:rFonts w:ascii="Times New Roman" w:hAnsi="Times New Roman"/>
                <w:b/>
                <w:caps/>
                <w:sz w:val="24"/>
                <w:u w:val="single"/>
              </w:rPr>
              <w:t xml:space="preserve"> niezrealizowanego zysku</w:t>
            </w:r>
          </w:p>
          <w:p w:rsidR="00973707" w:rsidRPr="00AA1421" w:rsidRDefault="002F78EA" w:rsidP="00A30C4C">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0200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1.2.2 Metoda rezerwowa; 1</w:t>
            </w:r>
            <w:r w:rsidRPr="00084F66">
              <w:rPr>
                <w:rFonts w:ascii="Times New Roman" w:hAnsi="Times New Roman"/>
                <w:b/>
                <w:caps/>
                <w:sz w:val="24"/>
                <w:u w:val="single"/>
              </w:rPr>
              <w:t>0</w:t>
            </w:r>
            <w:r w:rsidR="00084F66" w:rsidRPr="00084F66">
              <w:rPr>
                <w:rFonts w:ascii="Times New Roman" w:hAnsi="Times New Roman"/>
                <w:b/>
                <w:caps/>
                <w:sz w:val="24"/>
                <w:u w:val="single"/>
              </w:rPr>
              <w:t> </w:t>
            </w:r>
            <w:r w:rsidRPr="00084F66">
              <w:rPr>
                <w:rFonts w:ascii="Times New Roman" w:hAnsi="Times New Roman"/>
                <w:b/>
                <w:caps/>
                <w:sz w:val="24"/>
                <w:u w:val="single"/>
              </w:rPr>
              <w:t>%</w:t>
            </w:r>
            <w:r w:rsidRPr="00AA1421">
              <w:rPr>
                <w:rFonts w:ascii="Times New Roman" w:hAnsi="Times New Roman"/>
                <w:b/>
                <w:caps/>
                <w:sz w:val="24"/>
                <w:u w:val="single"/>
              </w:rPr>
              <w:t xml:space="preserve"> wartości referencyjnej</w:t>
            </w:r>
          </w:p>
          <w:p w:rsidR="00973707" w:rsidRPr="00AA1421" w:rsidRDefault="002F78EA" w:rsidP="00A30C4C">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rozporządzenia delegowanego (UE) 2016/101.</w:t>
            </w:r>
          </w:p>
        </w:tc>
      </w:tr>
      <w:tr w:rsidR="00973707" w:rsidRPr="00AA1421" w:rsidTr="00672D2A">
        <w:tc>
          <w:tcPr>
            <w:tcW w:w="1101" w:type="dxa"/>
          </w:tcPr>
          <w:p w:rsidR="00973707" w:rsidRPr="00AA1421" w:rsidRDefault="009A7A38" w:rsidP="00AF3D7A">
            <w:pPr>
              <w:spacing w:beforeLines="60" w:before="144" w:afterLines="60" w:after="144"/>
              <w:rPr>
                <w:rFonts w:ascii="Times New Roman" w:hAnsi="Times New Roman"/>
                <w:sz w:val="24"/>
              </w:rPr>
            </w:pPr>
            <w:r w:rsidRPr="00AA1421">
              <w:rPr>
                <w:rFonts w:ascii="Times New Roman" w:hAnsi="Times New Roman"/>
                <w:sz w:val="24"/>
              </w:rPr>
              <w:t>0210</w:t>
            </w:r>
          </w:p>
        </w:tc>
        <w:tc>
          <w:tcPr>
            <w:tcW w:w="8187" w:type="dxa"/>
          </w:tcPr>
          <w:p w:rsidR="00973707" w:rsidRPr="00AA1421" w:rsidRDefault="00973707" w:rsidP="00AF3D7A">
            <w:pPr>
              <w:spacing w:beforeLines="60" w:before="144" w:afterLines="60" w:after="144"/>
              <w:rPr>
                <w:rFonts w:ascii="Times New Roman" w:hAnsi="Times New Roman"/>
                <w:b/>
                <w:caps/>
                <w:sz w:val="24"/>
                <w:u w:val="single"/>
              </w:rPr>
            </w:pPr>
            <w:r w:rsidRPr="00AA1421">
              <w:rPr>
                <w:rFonts w:ascii="Times New Roman" w:hAnsi="Times New Roman"/>
                <w:b/>
                <w:caps/>
                <w:sz w:val="24"/>
                <w:u w:val="single"/>
              </w:rPr>
              <w:t>1.2.3 Metoda rezerwowa; 25 % wartości początkowej</w:t>
            </w:r>
          </w:p>
          <w:p w:rsidR="00973707" w:rsidRPr="00AA1421" w:rsidRDefault="002F78EA" w:rsidP="00A30C4C">
            <w:pPr>
              <w:spacing w:beforeLines="60" w:before="144" w:afterLines="60" w:after="144"/>
              <w:rPr>
                <w:rFonts w:ascii="Times New Roman" w:hAnsi="Times New Roman"/>
                <w:sz w:val="24"/>
              </w:rPr>
            </w:pPr>
            <w:r w:rsidRPr="00AA1421">
              <w:rPr>
                <w:rFonts w:ascii="Times New Roman" w:hAnsi="Times New Roman"/>
                <w:sz w:val="24"/>
              </w:rPr>
              <w:t xml:space="preserve">Art. 7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(iii) rozporządzenia delegowanego (UE) 2016/101.</w:t>
            </w:r>
          </w:p>
        </w:tc>
      </w:tr>
    </w:tbl>
    <w:p w:rsidR="00973707" w:rsidRPr="00AA1421" w:rsidRDefault="00973707" w:rsidP="00C61FF5">
      <w:pPr>
        <w:rPr>
          <w:rStyle w:val="InstructionsTabelleText"/>
          <w:rFonts w:ascii="Times New Roman" w:hAnsi="Times New Roman"/>
          <w:sz w:val="24"/>
        </w:rPr>
      </w:pPr>
    </w:p>
    <w:p w:rsidR="00B93FA1" w:rsidRPr="00AA1421" w:rsidRDefault="00AF3D7A" w:rsidP="00B93FA1">
      <w:pPr>
        <w:pStyle w:val="Instructionsberschrift2"/>
        <w:numPr>
          <w:ilvl w:val="0"/>
          <w:numId w:val="0"/>
        </w:numPr>
        <w:ind w:left="357" w:hanging="357"/>
        <w:rPr>
          <w:rFonts w:ascii="Times New Roman" w:hAnsi="Times New Roman"/>
          <w:sz w:val="24"/>
          <w:u w:val="none"/>
        </w:rPr>
      </w:pPr>
      <w:bookmarkStart w:id="763" w:name="_Toc58403751"/>
      <w:r w:rsidRPr="00AA1421">
        <w:rPr>
          <w:rFonts w:ascii="Times New Roman" w:hAnsi="Times New Roman"/>
          <w:sz w:val="24"/>
          <w:u w:val="none"/>
        </w:rPr>
        <w:t xml:space="preserve">6.3. </w:t>
      </w:r>
      <w:r w:rsidRPr="00AA1421">
        <w:rPr>
          <w:rFonts w:ascii="Times New Roman" w:hAnsi="Times New Roman"/>
          <w:sz w:val="24"/>
        </w:rPr>
        <w:t>C 32.03 - Ostrożna wycena: AVA z tytułu ryzyka modelu (</w:t>
      </w:r>
      <w:proofErr w:type="spellStart"/>
      <w:r w:rsidRPr="00AA1421">
        <w:rPr>
          <w:rFonts w:ascii="Times New Roman" w:hAnsi="Times New Roman"/>
          <w:sz w:val="24"/>
        </w:rPr>
        <w:t>PruVal</w:t>
      </w:r>
      <w:proofErr w:type="spellEnd"/>
      <w:r w:rsidRPr="00AA1421">
        <w:rPr>
          <w:rFonts w:ascii="Times New Roman" w:hAnsi="Times New Roman"/>
          <w:sz w:val="24"/>
        </w:rPr>
        <w:t xml:space="preserve"> 3)</w:t>
      </w:r>
      <w:bookmarkEnd w:id="763"/>
    </w:p>
    <w:p w:rsidR="00B93FA1" w:rsidRPr="00AA1421"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403752"/>
      <w:r w:rsidRPr="00AA1421">
        <w:rPr>
          <w:rFonts w:ascii="Times New Roman" w:hAnsi="Times New Roman"/>
          <w:sz w:val="24"/>
          <w:u w:val="none"/>
        </w:rPr>
        <w:t>6.3.1.</w:t>
      </w:r>
      <w:r w:rsidR="00D712CF" w:rsidRPr="00AA1421">
        <w:rPr>
          <w:u w:val="none"/>
        </w:rPr>
        <w:tab/>
      </w:r>
      <w:r w:rsidRPr="00AA1421">
        <w:rPr>
          <w:rFonts w:ascii="Times New Roman" w:hAnsi="Times New Roman"/>
          <w:sz w:val="24"/>
        </w:rPr>
        <w:t>Uwagi ogólne</w:t>
      </w:r>
      <w:bookmarkEnd w:id="764"/>
      <w:r w:rsidRPr="00AA1421">
        <w:rPr>
          <w:rFonts w:ascii="Times New Roman" w:hAnsi="Times New Roman"/>
          <w:sz w:val="24"/>
          <w:u w:val="none"/>
        </w:rPr>
        <w:t xml:space="preserve"> </w:t>
      </w:r>
    </w:p>
    <w:p w:rsidR="00AF3D7A" w:rsidRPr="00AA1421" w:rsidRDefault="00AA1421" w:rsidP="00487A02">
      <w:pPr>
        <w:pStyle w:val="InstructionsText2"/>
        <w:numPr>
          <w:ilvl w:val="0"/>
          <w:numId w:val="0"/>
        </w:numPr>
        <w:ind w:left="1353" w:hanging="360"/>
      </w:pPr>
      <w:fldSimple w:instr=" seq paragraphs ">
        <w:r w:rsidR="00D11E4C" w:rsidRPr="00AA1421">
          <w:rPr>
            <w:noProof/>
          </w:rPr>
          <w:t>181</w:t>
        </w:r>
      </w:fldSimple>
      <w:r w:rsidR="00D11E4C" w:rsidRPr="00AA1421">
        <w:t xml:space="preserve">. Wzór ten wypełniają wyłącznie instytucje, które przekraczają – na swoim poziomie – próg, o którym mowa w </w:t>
      </w:r>
      <w:r w:rsidR="00D11E4C" w:rsidRPr="00084F66">
        <w:t>art.</w:t>
      </w:r>
      <w:r w:rsidR="00084F66" w:rsidRPr="00084F66">
        <w:t> </w:t>
      </w:r>
      <w:r w:rsidR="00D11E4C" w:rsidRPr="00084F66">
        <w:t>4</w:t>
      </w:r>
      <w:r w:rsidR="00D11E4C" w:rsidRPr="00AA1421">
        <w:t xml:space="preserve"> </w:t>
      </w:r>
      <w:r w:rsidR="00D11E4C" w:rsidRPr="00084F66">
        <w:t>ust.</w:t>
      </w:r>
      <w:r w:rsidR="00084F66" w:rsidRPr="00084F66">
        <w:t> </w:t>
      </w:r>
      <w:r w:rsidR="00D11E4C" w:rsidRPr="00084F66">
        <w:t>1</w:t>
      </w:r>
      <w:r w:rsidR="00D11E4C" w:rsidRPr="00AA1421">
        <w:t xml:space="preserve"> rozporządzenia delegowanego (UE) 2016/101. Instytucje, które są częścią grupy przekraczającej próg w ujęciu skonsolidowanym, mają obowiązek wypełnić ten wzór tylko wówczas, gdy również one same na swoim poziomie przekraczają ten próg.</w:t>
      </w:r>
    </w:p>
    <w:p w:rsidR="00AF3D7A" w:rsidRPr="00AA1421" w:rsidRDefault="00AA1421" w:rsidP="00487A02">
      <w:pPr>
        <w:pStyle w:val="InstructionsText2"/>
        <w:numPr>
          <w:ilvl w:val="0"/>
          <w:numId w:val="0"/>
        </w:numPr>
        <w:ind w:left="1353" w:hanging="360"/>
      </w:pPr>
      <w:fldSimple w:instr=" seq paragraphs ">
        <w:r w:rsidR="00D11E4C" w:rsidRPr="00AA1421">
          <w:rPr>
            <w:noProof/>
          </w:rPr>
          <w:t>182</w:t>
        </w:r>
      </w:fldSimple>
      <w:r w:rsidR="00D11E4C" w:rsidRPr="00AA1421">
        <w:t xml:space="preserve">. Wzór ten stosuje się do zgłaszania szczegółowych informacji na temat pierwszych 20 (pod względem wysokości AVA) indywidualnych AVA z tytułu ryzyka modelu, które stanowią wkład do całkowitej AVA z tytułu ryzyka modelu na poziomie kategorii obliczonej zgodnie z </w:t>
      </w:r>
      <w:r w:rsidR="00D11E4C" w:rsidRPr="00084F66">
        <w:t>art.</w:t>
      </w:r>
      <w:r w:rsidR="00084F66" w:rsidRPr="00084F66">
        <w:t> </w:t>
      </w:r>
      <w:r w:rsidR="00D11E4C" w:rsidRPr="00084F66">
        <w:t>1</w:t>
      </w:r>
      <w:r w:rsidR="00D11E4C" w:rsidRPr="00AA1421">
        <w:t>1 rozporządzenia delegowanego (UE) 2016/101. Informacje te odpowiadają informacjom zgłaszanym w kolumnie 0050 we wzorze C 32.02.</w:t>
      </w:r>
    </w:p>
    <w:p w:rsidR="00AF3D7A" w:rsidRPr="00AA1421" w:rsidRDefault="00AA1421" w:rsidP="00487A02">
      <w:pPr>
        <w:pStyle w:val="InstructionsText2"/>
        <w:numPr>
          <w:ilvl w:val="0"/>
          <w:numId w:val="0"/>
        </w:numPr>
        <w:ind w:left="1353" w:hanging="360"/>
      </w:pPr>
      <w:fldSimple w:instr=" seq paragraphs ">
        <w:r w:rsidR="00D11E4C" w:rsidRPr="00AA1421">
          <w:rPr>
            <w:noProof/>
          </w:rPr>
          <w:t>183</w:t>
        </w:r>
      </w:fldSimple>
      <w:r w:rsidR="00D11E4C" w:rsidRPr="00AA1421">
        <w:t xml:space="preserve">. Pierwsze 20 indywidualne AVA z tytułu ryzyka modelu oraz odnośne informacje na temat produktu zgłasza się w porządku malejącym, począwszy od największej indywidualnej AVA z tytułu ryzyka modelu. </w:t>
      </w:r>
    </w:p>
    <w:p w:rsidR="00AF3D7A" w:rsidRPr="00AA1421" w:rsidRDefault="00AA1421" w:rsidP="00487A02">
      <w:pPr>
        <w:pStyle w:val="InstructionsText2"/>
        <w:numPr>
          <w:ilvl w:val="0"/>
          <w:numId w:val="0"/>
        </w:numPr>
        <w:ind w:left="1353" w:hanging="360"/>
      </w:pPr>
      <w:fldSimple w:instr=" seq paragraphs ">
        <w:r w:rsidR="00D11E4C" w:rsidRPr="00AA1421">
          <w:rPr>
            <w:noProof/>
          </w:rPr>
          <w:t>184</w:t>
        </w:r>
      </w:fldSimple>
      <w:r w:rsidR="00D11E4C" w:rsidRPr="00AA1421">
        <w:t xml:space="preserve">. Produkty odpowiadające tym największym indywidualnym AVA z tytułu ryzyka modelu zgłasza się przy użyciu wykazu produktów wymaganego na podstawie </w:t>
      </w:r>
      <w:r w:rsidR="00D11E4C" w:rsidRPr="00084F66">
        <w:t>art.</w:t>
      </w:r>
      <w:r w:rsidR="00084F66" w:rsidRPr="00084F66">
        <w:t> </w:t>
      </w:r>
      <w:r w:rsidR="00D11E4C" w:rsidRPr="00084F66">
        <w:t>1</w:t>
      </w:r>
      <w:r w:rsidR="00D11E4C" w:rsidRPr="00AA1421">
        <w:t xml:space="preserve">9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a)</w:t>
      </w:r>
      <w:r w:rsidR="00D11E4C" w:rsidRPr="00AA1421">
        <w:t xml:space="preserve"> rozporządzenia delegowanego (UE) 2016/101. </w:t>
      </w:r>
    </w:p>
    <w:p w:rsidR="00AF3D7A" w:rsidRPr="00AA1421" w:rsidRDefault="00AA1421" w:rsidP="00487A02">
      <w:pPr>
        <w:pStyle w:val="InstructionsText2"/>
        <w:numPr>
          <w:ilvl w:val="0"/>
          <w:numId w:val="0"/>
        </w:numPr>
        <w:ind w:left="1353" w:hanging="360"/>
      </w:pPr>
      <w:fldSimple w:instr=" seq paragraphs ">
        <w:r w:rsidR="00D11E4C" w:rsidRPr="00AA1421">
          <w:rPr>
            <w:noProof/>
          </w:rPr>
          <w:t>185</w:t>
        </w:r>
      </w:fldSimple>
      <w:r w:rsidR="00D11E4C" w:rsidRPr="00AA1421">
        <w:t>. W przypadku gdy produkty są wystarczająco jednorodne pod względem modelu wyceny i AVA z tytułu ryzyka modelu, dokonuje się ich scalenia i wykazuje się je w jednym wierszu w celu maksymalizacji zakresu tego wzoru w odniesieniu do wyliczonej dla danej instytucji całkowitej AVA z tytułu ryzyka modelu na poziomie kategorii.</w:t>
      </w:r>
    </w:p>
    <w:p w:rsidR="00B93FA1" w:rsidRPr="00AA1421" w:rsidRDefault="00B93FA1" w:rsidP="00B93FA1">
      <w:pPr>
        <w:pStyle w:val="Instructionsberschrift2"/>
        <w:numPr>
          <w:ilvl w:val="0"/>
          <w:numId w:val="0"/>
        </w:numPr>
        <w:ind w:left="357" w:hanging="357"/>
        <w:rPr>
          <w:rFonts w:ascii="Times New Roman" w:hAnsi="Times New Roman" w:cs="Times New Roman"/>
          <w:sz w:val="24"/>
        </w:rPr>
      </w:pPr>
      <w:bookmarkStart w:id="765" w:name="_Toc58403753"/>
      <w:r w:rsidRPr="00AA1421">
        <w:rPr>
          <w:rFonts w:ascii="Times New Roman" w:hAnsi="Times New Roman"/>
          <w:sz w:val="24"/>
          <w:u w:val="none"/>
        </w:rPr>
        <w:t>6.3.2.</w:t>
      </w:r>
      <w:r w:rsidR="00D712CF" w:rsidRPr="00AA1421">
        <w:rPr>
          <w:u w:val="none"/>
        </w:rPr>
        <w:tab/>
      </w:r>
      <w:r w:rsidRPr="00AA1421">
        <w:rPr>
          <w:rFonts w:ascii="Times New Roman" w:hAnsi="Times New Roman"/>
          <w:sz w:val="24"/>
        </w:rPr>
        <w:t>Instrukcje dotyczące poszczególnych pozycji</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AA1421" w:rsidTr="00672D2A">
        <w:tc>
          <w:tcPr>
            <w:tcW w:w="9322" w:type="dxa"/>
            <w:gridSpan w:val="2"/>
            <w:shd w:val="clear" w:color="auto" w:fill="CCCCCC"/>
          </w:tcPr>
          <w:p w:rsidR="00113E45" w:rsidRPr="00AA1421" w:rsidRDefault="00113E45" w:rsidP="00E60B53">
            <w:pPr>
              <w:spacing w:beforeLines="60" w:before="144" w:afterLines="60" w:after="144"/>
              <w:rPr>
                <w:rFonts w:ascii="Times New Roman" w:hAnsi="Times New Roman"/>
                <w:b/>
                <w:sz w:val="24"/>
              </w:rPr>
            </w:pPr>
            <w:r w:rsidRPr="00AA1421">
              <w:rPr>
                <w:rFonts w:ascii="Times New Roman" w:hAnsi="Times New Roman"/>
                <w:b/>
                <w:sz w:val="24"/>
              </w:rPr>
              <w:t>Kolumny</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0005</w:t>
            </w:r>
          </w:p>
        </w:tc>
        <w:tc>
          <w:tcPr>
            <w:tcW w:w="8221"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POZYCJA W RANKINGU</w:t>
            </w:r>
          </w:p>
          <w:p w:rsidR="00113E45" w:rsidRPr="00AA1421" w:rsidRDefault="00113E45" w:rsidP="00133396">
            <w:pPr>
              <w:spacing w:beforeLines="60" w:before="144" w:afterLines="60" w:after="144"/>
              <w:rPr>
                <w:rFonts w:ascii="Times New Roman" w:hAnsi="Times New Roman"/>
                <w:b/>
                <w:sz w:val="24"/>
                <w:u w:val="single"/>
              </w:rPr>
            </w:pPr>
            <w:r w:rsidRPr="00AA1421">
              <w:rPr>
                <w:rFonts w:ascii="Times New Roman" w:hAnsi="Times New Roman"/>
                <w:sz w:val="24"/>
              </w:rPr>
              <w:t>Pozycja w rankingu stanowi identyfikator wiersza i jest niepowtarzalna dla każdego wiersza we wzorze. Podaje się ją w porządku numerycznym 1, 2, 3 itd., przy czym 1 oznacza największą indywidualną AVA z tytułu ryzyka modelu, 2 – drugą największą itd.</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0010</w:t>
            </w:r>
          </w:p>
        </w:tc>
        <w:tc>
          <w:tcPr>
            <w:tcW w:w="8221"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MODEL</w:t>
            </w:r>
          </w:p>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sz w:val="24"/>
              </w:rPr>
              <w:t>Wewnętrzna nazwa (alfanumeryczna) modelu stosowana przez instytucję do identyfikacji modelu.</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0020</w:t>
            </w:r>
          </w:p>
        </w:tc>
        <w:tc>
          <w:tcPr>
            <w:tcW w:w="8221"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KATEGORIA RYZYKA</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Kategoria ryzyka (stopy procentowe, waluty obce, kredyty, papiery kapitałowe, towary), która w najbardziej odpowiedni sposób charakteryzuje produkt lub grupę produktów, w stosunku do których występuje konieczność zastosowania korekty wyceny z tytułu ryzyka modelu.</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Instytucje zgłaszają następujące kody:</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IR – stopa procentowa</w:t>
            </w:r>
          </w:p>
          <w:p w:rsidR="00A74B40" w:rsidRPr="00AA1421" w:rsidRDefault="00A74B40" w:rsidP="00E60B53">
            <w:pPr>
              <w:spacing w:beforeLines="60" w:before="144" w:afterLines="60" w:after="144"/>
              <w:rPr>
                <w:rFonts w:ascii="Times New Roman" w:hAnsi="Times New Roman"/>
                <w:sz w:val="24"/>
              </w:rPr>
            </w:pPr>
            <w:r w:rsidRPr="00AA1421">
              <w:rPr>
                <w:rFonts w:ascii="Times New Roman" w:hAnsi="Times New Roman"/>
                <w:sz w:val="24"/>
              </w:rPr>
              <w:t>FX – waluty obce</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CR – kredyty</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EQ – papiery kapitałowe</w:t>
            </w:r>
          </w:p>
          <w:p w:rsidR="00113E45" w:rsidRPr="00AA1421" w:rsidRDefault="00113E45" w:rsidP="00A74B40">
            <w:pPr>
              <w:spacing w:beforeLines="60" w:before="144" w:afterLines="60" w:after="144"/>
              <w:rPr>
                <w:rFonts w:ascii="Times New Roman" w:hAnsi="Times New Roman"/>
                <w:sz w:val="24"/>
              </w:rPr>
            </w:pPr>
            <w:r w:rsidRPr="00AA1421">
              <w:rPr>
                <w:rFonts w:ascii="Times New Roman" w:hAnsi="Times New Roman"/>
                <w:sz w:val="24"/>
              </w:rPr>
              <w:t>CO – towary</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0030</w:t>
            </w:r>
          </w:p>
        </w:tc>
        <w:tc>
          <w:tcPr>
            <w:tcW w:w="8221"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PRODUKT</w:t>
            </w:r>
          </w:p>
          <w:p w:rsidR="00113E45" w:rsidRPr="00AA1421" w:rsidRDefault="00113E45" w:rsidP="004B572C">
            <w:pPr>
              <w:spacing w:beforeLines="60" w:before="144" w:afterLines="60" w:after="144"/>
              <w:rPr>
                <w:rFonts w:ascii="Times New Roman" w:hAnsi="Times New Roman"/>
                <w:sz w:val="24"/>
              </w:rPr>
            </w:pPr>
            <w:r w:rsidRPr="00AA1421">
              <w:rPr>
                <w:rFonts w:ascii="Times New Roman" w:hAnsi="Times New Roman"/>
                <w:sz w:val="24"/>
              </w:rPr>
              <w:t xml:space="preserve">Wewnętrzna nazwa (alfanumeryczna) produktu lub grupy produktów zgodnie z wykazem produktów wymaganym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rozporządzenia delegowanego (UE) 2016/101, które wyceniono przy użyciu modelu.</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0040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OBSERWOWALNOŚĆ</w:t>
            </w:r>
          </w:p>
          <w:p w:rsidR="00113E45" w:rsidRPr="00AA1421" w:rsidRDefault="00113E45" w:rsidP="00E60B53">
            <w:pPr>
              <w:pStyle w:val="CommentText"/>
              <w:rPr>
                <w:rFonts w:ascii="Times New Roman" w:hAnsi="Times New Roman"/>
                <w:sz w:val="24"/>
                <w:szCs w:val="24"/>
              </w:rPr>
            </w:pPr>
            <w:r w:rsidRPr="00AA1421">
              <w:rPr>
                <w:rFonts w:ascii="Times New Roman" w:hAnsi="Times New Roman"/>
                <w:sz w:val="24"/>
                <w:szCs w:val="24"/>
              </w:rPr>
              <w:lastRenderedPageBreak/>
              <w:t>Liczba obserwacji cen produktu lub grupy produktów w ciągu ostatnich dwunastu miesięcy, które spełniają którekolwiek z następujących kryteriów:</w:t>
            </w:r>
          </w:p>
          <w:p w:rsidR="00113E45" w:rsidRPr="00AA1421" w:rsidRDefault="00113E45" w:rsidP="0002267E">
            <w:pPr>
              <w:pStyle w:val="CommentText"/>
              <w:numPr>
                <w:ilvl w:val="0"/>
                <w:numId w:val="31"/>
              </w:numPr>
              <w:rPr>
                <w:rFonts w:ascii="Times New Roman" w:hAnsi="Times New Roman"/>
                <w:sz w:val="24"/>
                <w:szCs w:val="24"/>
              </w:rPr>
            </w:pPr>
            <w:r w:rsidRPr="00AA1421">
              <w:rPr>
                <w:rFonts w:ascii="Times New Roman" w:hAnsi="Times New Roman"/>
                <w:sz w:val="24"/>
                <w:szCs w:val="24"/>
              </w:rPr>
              <w:t>zaobserwowana cena jest ceną, po której instytucja zawarła transakcję;</w:t>
            </w:r>
          </w:p>
          <w:p w:rsidR="00113E45" w:rsidRPr="00AA1421" w:rsidRDefault="00113E45" w:rsidP="0002267E">
            <w:pPr>
              <w:pStyle w:val="CommentText"/>
              <w:numPr>
                <w:ilvl w:val="0"/>
                <w:numId w:val="31"/>
              </w:numPr>
              <w:rPr>
                <w:rFonts w:ascii="Times New Roman" w:hAnsi="Times New Roman"/>
                <w:sz w:val="24"/>
                <w:szCs w:val="24"/>
              </w:rPr>
            </w:pPr>
            <w:r w:rsidRPr="00AA1421">
              <w:rPr>
                <w:rFonts w:ascii="Times New Roman" w:hAnsi="Times New Roman"/>
                <w:sz w:val="24"/>
                <w:szCs w:val="24"/>
              </w:rPr>
              <w:t>cenę stanowi możliwa do zweryfikowania cena, po której doszło do zawarcia faktycznej transakcji między osobami trzecimi;</w:t>
            </w:r>
          </w:p>
          <w:p w:rsidR="00113E45" w:rsidRPr="00AA1421" w:rsidRDefault="00113E45" w:rsidP="0002267E">
            <w:pPr>
              <w:pStyle w:val="CommentText"/>
              <w:numPr>
                <w:ilvl w:val="0"/>
                <w:numId w:val="31"/>
              </w:numPr>
              <w:rPr>
                <w:rFonts w:ascii="Times New Roman" w:hAnsi="Times New Roman"/>
                <w:sz w:val="24"/>
                <w:szCs w:val="24"/>
              </w:rPr>
            </w:pPr>
            <w:r w:rsidRPr="00AA1421">
              <w:rPr>
                <w:rFonts w:ascii="Times New Roman" w:hAnsi="Times New Roman"/>
                <w:sz w:val="24"/>
                <w:szCs w:val="24"/>
              </w:rPr>
              <w:t>cenę uzyskano z zatwierdzonego kwotowania.</w:t>
            </w:r>
          </w:p>
          <w:p w:rsidR="00113E45" w:rsidRPr="00AA1421" w:rsidRDefault="00113E45" w:rsidP="008136B4">
            <w:pPr>
              <w:pStyle w:val="CommentText"/>
              <w:rPr>
                <w:rStyle w:val="InstructionsTabelleberschrift"/>
                <w:rFonts w:ascii="Times New Roman" w:hAnsi="Times New Roman"/>
                <w:b w:val="0"/>
                <w:sz w:val="24"/>
                <w:szCs w:val="24"/>
                <w:u w:val="none"/>
              </w:rPr>
            </w:pPr>
            <w:r w:rsidRPr="00AA1421">
              <w:rPr>
                <w:rFonts w:ascii="Times New Roman" w:hAnsi="Times New Roman"/>
                <w:sz w:val="24"/>
                <w:szCs w:val="24"/>
              </w:rPr>
              <w:t>Instytucje zgłaszają jedną z następujących wartości: „brak”, „1–6”, „6–24”, „24–100”, „100+”.</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lastRenderedPageBreak/>
              <w:t>0050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AVA Z TYTUŁU RYZYKA MODELU</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Art. 11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AA1421">
              <w:rPr>
                <w:rFonts w:ascii="Times New Roman" w:hAnsi="Times New Roman"/>
                <w:sz w:val="24"/>
              </w:rPr>
              <w:t>rozporządzenia delegowanego (UE) 2016/101.</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Indywidualna AVA z tytułu ryzyka modelu przed uwzględnieniem korzyści z dywersyfikacji, lecz po – w stosownych przypadkach – kompensacji portfela.</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0060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 TYM: WYLICZONA Z ZASTOSOWANIEM PODEJŚCIA OPARTEGO NA WIEDZY EKSPERCKIEJ</w:t>
            </w:r>
          </w:p>
          <w:p w:rsidR="00113E45" w:rsidRPr="00AA1421" w:rsidRDefault="00113E45" w:rsidP="004B572C">
            <w:pPr>
              <w:spacing w:beforeLines="60" w:before="144" w:afterLines="60" w:after="144"/>
              <w:rPr>
                <w:rStyle w:val="InstructionsTabelleberschrift"/>
                <w:rFonts w:ascii="Times New Roman" w:hAnsi="Times New Roman"/>
                <w:sz w:val="24"/>
                <w:u w:val="none"/>
              </w:rPr>
            </w:pPr>
            <w:r w:rsidRPr="00AA1421">
              <w:rPr>
                <w:rFonts w:ascii="Times New Roman" w:hAnsi="Times New Roman"/>
                <w:sz w:val="24"/>
              </w:rPr>
              <w:t xml:space="preserve">Kwoty z kolumny 0050, które wyliczono z zastosowaniem podejścia opartego na wiedzy eksperckiej, jak określono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1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rozporządzenia delegowanego (UE) 2016/101.</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0070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 TYM: ZAGREGOWANA Z UŻYCIEM METODY 2</w:t>
            </w:r>
          </w:p>
          <w:p w:rsidR="00113E45" w:rsidRPr="00AA1421" w:rsidRDefault="00113E45" w:rsidP="00127986">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Kwoty z kolumny 0050, które zagregowano z użyciem metody 2 określonej w załączniku do rozporządzenia delegowanego (UE) 2016/101. Kwoty te odpowiadają FV – PV zgodnie z terminologią stosowaną w tym załączniku. </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0080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ZAGREGOWANA AVA OBLICZONA ZGODNIE Z METODĄ 2</w:t>
            </w:r>
          </w:p>
          <w:p w:rsidR="00113E45" w:rsidRPr="00AA1421" w:rsidRDefault="00113E45" w:rsidP="000E40DD">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Udział, jaki w całkowitej AVA z tytułu ryzyka modelu na poziomie kategorii wyliczonej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1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7</w:t>
            </w:r>
            <w:r w:rsidRPr="00AA1421">
              <w:rPr>
                <w:rStyle w:val="InstructionsTabelleberschrift"/>
                <w:rFonts w:ascii="Times New Roman" w:hAnsi="Times New Roman"/>
                <w:b w:val="0"/>
                <w:sz w:val="24"/>
                <w:u w:val="none"/>
              </w:rPr>
              <w:t xml:space="preserve"> </w:t>
            </w:r>
            <w:r w:rsidRPr="00AA1421">
              <w:rPr>
                <w:rFonts w:ascii="Times New Roman" w:hAnsi="Times New Roman"/>
                <w:sz w:val="24"/>
              </w:rPr>
              <w:t>rozporządzenia delegowanego (UE) 2016/101</w:t>
            </w:r>
            <w:r w:rsidRPr="00AA1421">
              <w:rPr>
                <w:rStyle w:val="InstructionsTabelleberschrift"/>
                <w:rFonts w:ascii="Times New Roman" w:hAnsi="Times New Roman"/>
                <w:b w:val="0"/>
                <w:sz w:val="24"/>
                <w:u w:val="none"/>
              </w:rPr>
              <w:t xml:space="preserve">, mają indywidualne AVA z tytułu ryzyka modelu, które zagregowano z użyciem metody 2 określonej w załączniku do </w:t>
            </w:r>
            <w:r w:rsidRPr="00AA1421">
              <w:rPr>
                <w:rFonts w:ascii="Times New Roman" w:hAnsi="Times New Roman"/>
                <w:sz w:val="24"/>
              </w:rPr>
              <w:t>tego rozporządzenia (UE)</w:t>
            </w:r>
            <w:r w:rsidRPr="00AA1421">
              <w:rPr>
                <w:rStyle w:val="InstructionsTabelleberschrift"/>
                <w:rFonts w:ascii="Times New Roman" w:hAnsi="Times New Roman"/>
                <w:b w:val="0"/>
                <w:sz w:val="24"/>
                <w:u w:val="none"/>
              </w:rPr>
              <w:t xml:space="preserve">. </w:t>
            </w:r>
            <w:r w:rsidRPr="00AA1421">
              <w:rPr>
                <w:rFonts w:ascii="Times New Roman" w:hAnsi="Times New Roman"/>
                <w:sz w:val="24"/>
              </w:rPr>
              <w:t>Kwota ta odpowiada APVA zgodnie z terminologią stosowaną w załączniku.</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0090-0100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AKTYWA I ZOBOWIĄZANIA WYCENIANE WEDŁUG WARTOŚCI GODZIWEJ</w:t>
            </w:r>
          </w:p>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Wartość bezwzględna aktywów i zobowiązań wycenianych według wartości godziwej, które wycenia się zgodnie z modelem zgłoszonym w kolumnie 0010, jak wykazano w sprawozdaniu finansowym sporządzonym na podstawie mających zastosowanie standardów. </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0090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AKTYWA WYCENIANE WEDŁUG WARTOŚCI GODZIWEJ</w:t>
            </w:r>
          </w:p>
          <w:p w:rsidR="00113E45" w:rsidRPr="00AA1421" w:rsidRDefault="00113E45" w:rsidP="00E60B53">
            <w:pPr>
              <w:spacing w:beforeLines="60" w:before="144" w:afterLines="60" w:after="144"/>
              <w:rPr>
                <w:rStyle w:val="InstructionsTabelleberschrift"/>
                <w:rFonts w:ascii="Times New Roman" w:hAnsi="Times New Roman"/>
                <w:b w:val="0"/>
                <w:bCs w:val="0"/>
                <w:sz w:val="24"/>
                <w:u w:val="none"/>
              </w:rPr>
            </w:pPr>
            <w:r w:rsidRPr="00AA1421">
              <w:rPr>
                <w:rFonts w:ascii="Times New Roman" w:hAnsi="Times New Roman"/>
                <w:sz w:val="24"/>
              </w:rPr>
              <w:t>Wartość bezwzględna aktywów wycenianych według wartości godziwej, które wycenia się zgodnie z modelem zgłoszonym w kolumnie 0010, jak wykazano w sprawozdaniu finansowym sporządzonym na podstawie mających zastosowanie standardów.</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lastRenderedPageBreak/>
              <w:t>0100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ZOBOWIĄZANIA WYCENIANE WEDŁUG WARTOŚCI GODZIWEJ</w:t>
            </w:r>
          </w:p>
          <w:p w:rsidR="00113E45" w:rsidRPr="00AA1421" w:rsidRDefault="00113E45" w:rsidP="00E60B53">
            <w:pPr>
              <w:spacing w:beforeLines="60" w:before="144" w:afterLines="60" w:after="144"/>
              <w:rPr>
                <w:rStyle w:val="InstructionsTabelleberschrift"/>
                <w:rFonts w:ascii="Times New Roman" w:hAnsi="Times New Roman"/>
                <w:b w:val="0"/>
                <w:bCs w:val="0"/>
                <w:sz w:val="24"/>
                <w:u w:val="none"/>
              </w:rPr>
            </w:pPr>
            <w:r w:rsidRPr="00AA1421">
              <w:rPr>
                <w:rFonts w:ascii="Times New Roman" w:hAnsi="Times New Roman"/>
                <w:sz w:val="24"/>
              </w:rPr>
              <w:t xml:space="preserve">Wartość bezwzględna zobowiązań wycenianych według wartości godziwej, które wycenia się zgodnie z modelem zgłoszonym w kolumnie 0010, jak wykazano w sprawozdaniu finansowym sporządzonym na podstawie mających zastosowanie standardów. </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0110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RÓŻNICA Z TYTUŁU IPV (BADANIE DANYCH WYJŚCIOWYCH)</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Suma nieskorygowanych kwot różnicy („różnica z tytułu IPV”) obliczonych na ostatni dzień miesiąca przypadający jak najbliżej dnia sprawozdawczego w ramach procesu niezależnej weryfikacji cen przeprowadzonego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05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8</w:t>
            </w:r>
            <w:r w:rsidRPr="00AA1421">
              <w:rPr>
                <w:rStyle w:val="InstructionsTabelleberschrift"/>
                <w:rFonts w:ascii="Times New Roman" w:hAnsi="Times New Roman"/>
                <w:b w:val="0"/>
                <w:sz w:val="24"/>
                <w:u w:val="none"/>
              </w:rPr>
              <w:t xml:space="preserve"> CRR w odniesieniu do najlepszych dostępnych niezależnych danych dotyczących odnośnego produktu lub odnośnej grupy produktów. </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Nieskorygowane kwoty różnicy dotyczą nieskorygowanych różnic między wycenami wygenerowanymi przez system transakcyjny a wycenami będącymi wynikiem comiesięcznego procesu IPV.</w:t>
            </w:r>
          </w:p>
          <w:p w:rsidR="00113E45" w:rsidRPr="00AA1421" w:rsidRDefault="004D2753"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 wyliczeniach różnicy z tytułu IPV nie uwzględnia się żadnych skorygowanych kwot różnicy wykazanych w księgach i rejestrach instytucji na ostatni dzień danego miesiąca.</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 tym miejscu uwzględnia się wyłącznie wyniki, które skalibrowano w oparciu o ceny instrumentów, które przyporządkowano by do tego samego produktu (badanie danych wyjściowych). Nie uwzględnia się wyników badania danych wejściowych przeprowadzanego w oparciu o dane rynkowe stanowiące dane wejściowe, które skalibrowano w oparciu o różne produkty.</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0120</w:t>
            </w:r>
          </w:p>
        </w:tc>
        <w:tc>
          <w:tcPr>
            <w:tcW w:w="8221" w:type="dxa"/>
          </w:tcPr>
          <w:p w:rsidR="00113E45" w:rsidRPr="00AA1421" w:rsidRDefault="00113E45" w:rsidP="00E60B53">
            <w:pPr>
              <w:spacing w:beforeLines="60" w:before="144" w:afterLines="60" w:after="144"/>
              <w:jc w:val="left"/>
              <w:rPr>
                <w:rStyle w:val="InstructionsTabelleberschrift"/>
                <w:rFonts w:ascii="Times New Roman" w:hAnsi="Times New Roman"/>
                <w:sz w:val="24"/>
              </w:rPr>
            </w:pPr>
            <w:r w:rsidRPr="00AA1421">
              <w:rPr>
                <w:rStyle w:val="InstructionsTabelleberschrift"/>
                <w:rFonts w:ascii="Times New Roman" w:hAnsi="Times New Roman"/>
                <w:sz w:val="24"/>
              </w:rPr>
              <w:t>ZAKRES IPV (BADANIE DANYCH WYJŚCIOWYCH)</w:t>
            </w:r>
          </w:p>
          <w:p w:rsidR="00113E45" w:rsidRPr="00AA1421" w:rsidRDefault="00113E45" w:rsidP="00E60B53">
            <w:pPr>
              <w:spacing w:beforeLines="60" w:before="144" w:afterLines="60" w:after="144"/>
              <w:jc w:val="left"/>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Odsetek pozycji przyporządkowanych do modelu ważonego AVA z tytułu ryzyka modelu, który pokryty jest wynikami badania danych wyjściowych IPV podanymi w kolumnie 0110.</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0130-0140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KOREKTY WARTOŚCI GODZIWEJ</w:t>
            </w:r>
          </w:p>
          <w:p w:rsidR="00113E45" w:rsidRPr="00AA1421" w:rsidRDefault="00113E45" w:rsidP="0012798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Korekty wartości godziwej określone w kolumnach 0190 i 0240 we wzorze C 32.02, które zastosowano do pozycji przyporządkowanych do </w:t>
            </w:r>
            <w:r w:rsidRPr="00AA1421">
              <w:rPr>
                <w:rFonts w:ascii="Times New Roman" w:hAnsi="Times New Roman"/>
                <w:sz w:val="24"/>
              </w:rPr>
              <w:t>modelu w kolumnie 0010</w:t>
            </w:r>
            <w:r w:rsidRPr="00AA1421">
              <w:rPr>
                <w:rStyle w:val="InstructionsTabelleberschrift"/>
                <w:rFonts w:ascii="Times New Roman" w:hAnsi="Times New Roman"/>
                <w:b w:val="0"/>
                <w:sz w:val="24"/>
                <w:u w:val="none"/>
              </w:rPr>
              <w:t>.</w:t>
            </w:r>
          </w:p>
        </w:tc>
      </w:tr>
      <w:tr w:rsidR="00113E45" w:rsidRPr="00AA1421" w:rsidTr="00672D2A">
        <w:tc>
          <w:tcPr>
            <w:tcW w:w="1101" w:type="dxa"/>
          </w:tcPr>
          <w:p w:rsidR="00113E45" w:rsidRPr="00AA1421" w:rsidRDefault="008136B4" w:rsidP="00E60B53">
            <w:pPr>
              <w:spacing w:beforeLines="60" w:before="144" w:afterLines="60" w:after="144"/>
              <w:rPr>
                <w:rFonts w:ascii="Times New Roman" w:hAnsi="Times New Roman"/>
                <w:sz w:val="24"/>
              </w:rPr>
            </w:pPr>
            <w:r w:rsidRPr="00AA1421">
              <w:rPr>
                <w:rFonts w:ascii="Times New Roman" w:hAnsi="Times New Roman"/>
                <w:sz w:val="24"/>
              </w:rPr>
              <w:t>0150</w:t>
            </w:r>
          </w:p>
        </w:tc>
        <w:tc>
          <w:tcPr>
            <w:tcW w:w="8221"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ZYSKI I STRATY Z POCZĄTKOWEGO UJĘCIA</w:t>
            </w:r>
          </w:p>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b w:val="0"/>
                <w:sz w:val="24"/>
                <w:u w:val="none"/>
              </w:rPr>
              <w:t xml:space="preserve">Korekty określone w kolumnie 0260 we wzorze C 32.02, które zastosowano do pozycji przyporządkowanych do </w:t>
            </w:r>
            <w:r w:rsidRPr="00AA1421">
              <w:rPr>
                <w:rFonts w:ascii="Times New Roman" w:hAnsi="Times New Roman"/>
                <w:sz w:val="24"/>
              </w:rPr>
              <w:t>modelu w kolumnie 0010</w:t>
            </w:r>
            <w:r w:rsidRPr="00AA1421">
              <w:rPr>
                <w:rStyle w:val="InstructionsTabelleberschrift"/>
                <w:rFonts w:ascii="Times New Roman" w:hAnsi="Times New Roman"/>
                <w:b w:val="0"/>
                <w:sz w:val="24"/>
                <w:u w:val="none"/>
              </w:rPr>
              <w:t>.</w:t>
            </w:r>
          </w:p>
        </w:tc>
      </w:tr>
    </w:tbl>
    <w:p w:rsidR="00995A7F" w:rsidRPr="00AA1421" w:rsidRDefault="00995A7F" w:rsidP="00C61FF5">
      <w:pPr>
        <w:rPr>
          <w:rStyle w:val="InstructionsTabelleText"/>
          <w:rFonts w:ascii="Times New Roman" w:hAnsi="Times New Roman"/>
          <w:sz w:val="24"/>
        </w:rPr>
      </w:pPr>
    </w:p>
    <w:p w:rsidR="00B93FA1" w:rsidRPr="00AA1421" w:rsidRDefault="00113E45" w:rsidP="00B93FA1">
      <w:pPr>
        <w:pStyle w:val="Instructionsberschrift2"/>
        <w:numPr>
          <w:ilvl w:val="0"/>
          <w:numId w:val="0"/>
        </w:numPr>
        <w:ind w:left="357" w:hanging="357"/>
        <w:rPr>
          <w:rFonts w:ascii="Times New Roman" w:hAnsi="Times New Roman"/>
          <w:sz w:val="24"/>
          <w:u w:val="none"/>
        </w:rPr>
      </w:pPr>
      <w:bookmarkStart w:id="766" w:name="_Toc58403754"/>
      <w:r w:rsidRPr="00AA1421">
        <w:rPr>
          <w:rFonts w:ascii="Times New Roman" w:hAnsi="Times New Roman"/>
          <w:sz w:val="24"/>
          <w:u w:val="none"/>
        </w:rPr>
        <w:t xml:space="preserve">6.4 </w:t>
      </w:r>
      <w:r w:rsidRPr="00AA1421">
        <w:rPr>
          <w:rFonts w:ascii="Times New Roman" w:hAnsi="Times New Roman"/>
          <w:sz w:val="24"/>
        </w:rPr>
        <w:t>C 32.04 – Ostrożna wycena: AVA z tytułu pozycji o dużej koncentracji (</w:t>
      </w:r>
      <w:proofErr w:type="spellStart"/>
      <w:r w:rsidRPr="00AA1421">
        <w:rPr>
          <w:rFonts w:ascii="Times New Roman" w:hAnsi="Times New Roman"/>
          <w:sz w:val="24"/>
        </w:rPr>
        <w:t>PruVal</w:t>
      </w:r>
      <w:proofErr w:type="spellEnd"/>
      <w:r w:rsidRPr="00AA1421">
        <w:rPr>
          <w:rFonts w:ascii="Times New Roman" w:hAnsi="Times New Roman"/>
          <w:sz w:val="24"/>
        </w:rPr>
        <w:t xml:space="preserve"> 4)</w:t>
      </w:r>
      <w:bookmarkEnd w:id="766"/>
    </w:p>
    <w:p w:rsidR="00B93FA1" w:rsidRPr="00AA1421"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403755"/>
      <w:r w:rsidRPr="00AA1421">
        <w:rPr>
          <w:rFonts w:ascii="Times New Roman" w:hAnsi="Times New Roman"/>
          <w:sz w:val="24"/>
          <w:u w:val="none"/>
        </w:rPr>
        <w:t>6.4.1.</w:t>
      </w:r>
      <w:r w:rsidR="00D712CF" w:rsidRPr="00AA1421">
        <w:rPr>
          <w:u w:val="none"/>
        </w:rPr>
        <w:tab/>
      </w:r>
      <w:r w:rsidRPr="00AA1421">
        <w:rPr>
          <w:rFonts w:ascii="Times New Roman" w:hAnsi="Times New Roman"/>
          <w:sz w:val="24"/>
        </w:rPr>
        <w:t>Uwagi ogólne</w:t>
      </w:r>
      <w:bookmarkEnd w:id="767"/>
      <w:r w:rsidRPr="00AA1421">
        <w:rPr>
          <w:rFonts w:ascii="Times New Roman" w:hAnsi="Times New Roman"/>
          <w:sz w:val="24"/>
          <w:u w:val="none"/>
        </w:rPr>
        <w:t xml:space="preserve"> </w:t>
      </w:r>
    </w:p>
    <w:p w:rsidR="00113E45" w:rsidRPr="00AA1421" w:rsidRDefault="00AA1421" w:rsidP="00487A02">
      <w:pPr>
        <w:pStyle w:val="InstructionsText2"/>
        <w:numPr>
          <w:ilvl w:val="0"/>
          <w:numId w:val="0"/>
        </w:numPr>
        <w:ind w:left="1353" w:hanging="360"/>
      </w:pPr>
      <w:fldSimple w:instr=" seq paragraphs ">
        <w:r w:rsidR="00D11E4C" w:rsidRPr="00AA1421">
          <w:rPr>
            <w:noProof/>
          </w:rPr>
          <w:t>186</w:t>
        </w:r>
      </w:fldSimple>
      <w:r w:rsidR="00D11E4C" w:rsidRPr="00AA1421">
        <w:t xml:space="preserve">. Wzór ten wypełniają wyłącznie instytucje, które przekraczają – na swoim poziomie – próg, o którym mowa w </w:t>
      </w:r>
      <w:r w:rsidR="00D11E4C" w:rsidRPr="00084F66">
        <w:t>art.</w:t>
      </w:r>
      <w:r w:rsidR="00084F66" w:rsidRPr="00084F66">
        <w:t> </w:t>
      </w:r>
      <w:r w:rsidR="00D11E4C" w:rsidRPr="00084F66">
        <w:t>4</w:t>
      </w:r>
      <w:r w:rsidR="00D11E4C" w:rsidRPr="00AA1421">
        <w:t xml:space="preserve"> </w:t>
      </w:r>
      <w:r w:rsidR="00D11E4C" w:rsidRPr="00084F66">
        <w:t>ust.</w:t>
      </w:r>
      <w:r w:rsidR="00084F66" w:rsidRPr="00084F66">
        <w:t> </w:t>
      </w:r>
      <w:r w:rsidR="00D11E4C" w:rsidRPr="00084F66">
        <w:t>1</w:t>
      </w:r>
      <w:r w:rsidR="00D11E4C" w:rsidRPr="00AA1421">
        <w:t xml:space="preserve"> rozporządzenia delegowanego (UE) </w:t>
      </w:r>
      <w:r w:rsidR="00D11E4C" w:rsidRPr="00AA1421">
        <w:lastRenderedPageBreak/>
        <w:t>2016/101. Instytucje, które są częścią grupy przekraczającej próg w ujęciu skonsolidowanym, mają obowiązek wypełnić ten wzór tylko wówczas, gdy również one same na swoim poziomie przekraczają ten próg.</w:t>
      </w:r>
    </w:p>
    <w:p w:rsidR="00113E45" w:rsidRPr="00AA1421" w:rsidRDefault="00AA1421" w:rsidP="00487A02">
      <w:pPr>
        <w:pStyle w:val="InstructionsText2"/>
        <w:numPr>
          <w:ilvl w:val="0"/>
          <w:numId w:val="0"/>
        </w:numPr>
        <w:ind w:left="1353" w:hanging="360"/>
      </w:pPr>
      <w:fldSimple w:instr=" seq paragraphs ">
        <w:r w:rsidR="00D11E4C" w:rsidRPr="00AA1421">
          <w:rPr>
            <w:noProof/>
          </w:rPr>
          <w:t>187</w:t>
        </w:r>
      </w:fldSimple>
      <w:r w:rsidR="00D11E4C" w:rsidRPr="00AA1421">
        <w:t xml:space="preserve">. Wzór ten stosuje się do zgłaszania szczegółowych informacji na temat pierwszych 20 (pod względem wysokości AVA) indywidualnych AVA z tytułu pozycji o dużej koncentracji, które stanowią wkład do całkowitej AVA z tytułu pozycji o dużej koncentracji na poziomie kategorii obliczonej zgodnie z </w:t>
      </w:r>
      <w:r w:rsidR="00D11E4C" w:rsidRPr="00084F66">
        <w:t>art.</w:t>
      </w:r>
      <w:r w:rsidR="00084F66" w:rsidRPr="00084F66">
        <w:t> </w:t>
      </w:r>
      <w:r w:rsidR="00D11E4C" w:rsidRPr="00084F66">
        <w:t>1</w:t>
      </w:r>
      <w:r w:rsidR="00D11E4C" w:rsidRPr="00AA1421">
        <w:t xml:space="preserve">4 rozporządzenia delegowanego (UE) 2016/101. Informacje te odpowiadają informacjom zgłaszanym w kolumnie 0070 we wzorze C 32.02. </w:t>
      </w:r>
    </w:p>
    <w:p w:rsidR="00113E45" w:rsidRPr="00AA1421" w:rsidRDefault="00AA1421" w:rsidP="00487A02">
      <w:pPr>
        <w:pStyle w:val="InstructionsText2"/>
        <w:numPr>
          <w:ilvl w:val="0"/>
          <w:numId w:val="0"/>
        </w:numPr>
        <w:ind w:left="1353" w:hanging="360"/>
      </w:pPr>
      <w:fldSimple w:instr=" seq paragraphs ">
        <w:r w:rsidR="00D11E4C" w:rsidRPr="00AA1421">
          <w:rPr>
            <w:noProof/>
          </w:rPr>
          <w:t>188</w:t>
        </w:r>
      </w:fldSimple>
      <w:r w:rsidR="00D11E4C" w:rsidRPr="00AA1421">
        <w:t>. Pierwsze 20 AVA z tytułu pozycji o dużej koncentracji oraz odnośne informacje na temat produktu zgłasza się w porządku malejącym, począwszy od największej indywidualnej AVA z tytułu pozycji o dużej koncentracji.</w:t>
      </w:r>
    </w:p>
    <w:p w:rsidR="00113E45" w:rsidRPr="00AA1421" w:rsidRDefault="00AA1421" w:rsidP="00487A02">
      <w:pPr>
        <w:pStyle w:val="InstructionsText2"/>
        <w:numPr>
          <w:ilvl w:val="0"/>
          <w:numId w:val="0"/>
        </w:numPr>
        <w:ind w:left="1353" w:hanging="360"/>
      </w:pPr>
      <w:fldSimple w:instr=" seq paragraphs ">
        <w:r w:rsidR="00D11E4C" w:rsidRPr="00AA1421">
          <w:rPr>
            <w:noProof/>
          </w:rPr>
          <w:t>189</w:t>
        </w:r>
      </w:fldSimple>
      <w:r w:rsidR="00D11E4C" w:rsidRPr="00AA1421">
        <w:t xml:space="preserve">. Produkty odpowiadające tym największym indywidualnym AVA z tytułu pozycji o dużej koncentracji zgłasza się przy użyciu wykazu produktów wymaganego na podstawie </w:t>
      </w:r>
      <w:r w:rsidR="00D11E4C" w:rsidRPr="00084F66">
        <w:t>art.</w:t>
      </w:r>
      <w:r w:rsidR="00084F66" w:rsidRPr="00084F66">
        <w:t> </w:t>
      </w:r>
      <w:r w:rsidR="00D11E4C" w:rsidRPr="00084F66">
        <w:t>1</w:t>
      </w:r>
      <w:r w:rsidR="00D11E4C" w:rsidRPr="00AA1421">
        <w:t xml:space="preserve">9 </w:t>
      </w:r>
      <w:r w:rsidR="00D11E4C" w:rsidRPr="00084F66">
        <w:t>ust.</w:t>
      </w:r>
      <w:r w:rsidR="00084F66" w:rsidRPr="00084F66">
        <w:t> </w:t>
      </w:r>
      <w:r w:rsidR="00D11E4C" w:rsidRPr="00084F66">
        <w:t>3</w:t>
      </w:r>
      <w:r w:rsidR="00D11E4C" w:rsidRPr="00AA1421">
        <w:t xml:space="preserve"> </w:t>
      </w:r>
      <w:r w:rsidR="00D11E4C" w:rsidRPr="00084F66">
        <w:t>lit.</w:t>
      </w:r>
      <w:r w:rsidR="00084F66" w:rsidRPr="00084F66">
        <w:t> </w:t>
      </w:r>
      <w:r w:rsidR="00D11E4C" w:rsidRPr="00084F66">
        <w:t>a)</w:t>
      </w:r>
      <w:r w:rsidR="00D11E4C" w:rsidRPr="00AA1421">
        <w:t xml:space="preserve"> rozporządzenia delegowanego (UE) 2016/101.</w:t>
      </w:r>
    </w:p>
    <w:p w:rsidR="00113E45" w:rsidRPr="00AA1421" w:rsidRDefault="00AA1421" w:rsidP="00487A02">
      <w:pPr>
        <w:pStyle w:val="InstructionsText2"/>
        <w:numPr>
          <w:ilvl w:val="0"/>
          <w:numId w:val="0"/>
        </w:numPr>
        <w:ind w:left="1353" w:hanging="360"/>
      </w:pPr>
      <w:fldSimple w:instr=" seq paragraphs ">
        <w:r w:rsidR="00D11E4C" w:rsidRPr="00AA1421">
          <w:rPr>
            <w:noProof/>
          </w:rPr>
          <w:t>190</w:t>
        </w:r>
      </w:fldSimple>
      <w:r w:rsidR="00D11E4C" w:rsidRPr="00AA1421">
        <w:t>. Pozycje, które są jednorodne pod względem metody wyliczania AVA, w miarę możliwości agreguje się, aby zmaksymalizować zakres tego wzoru.</w:t>
      </w:r>
    </w:p>
    <w:p w:rsidR="00B93FA1" w:rsidRPr="00AA1421"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403756"/>
      <w:r w:rsidRPr="00AA1421">
        <w:rPr>
          <w:rFonts w:ascii="Times New Roman" w:hAnsi="Times New Roman"/>
          <w:sz w:val="24"/>
          <w:u w:val="none"/>
        </w:rPr>
        <w:t>6.4.2.</w:t>
      </w:r>
      <w:r w:rsidR="00D712CF" w:rsidRPr="00AA1421">
        <w:rPr>
          <w:u w:val="none"/>
        </w:rPr>
        <w:tab/>
      </w:r>
      <w:r w:rsidRPr="00AA1421">
        <w:rPr>
          <w:rFonts w:ascii="Times New Roman" w:hAnsi="Times New Roman"/>
          <w:sz w:val="24"/>
        </w:rPr>
        <w:t>Instrukcje dotyczące poszczególnych pozycji</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AA1421" w:rsidTr="00672D2A">
        <w:tc>
          <w:tcPr>
            <w:tcW w:w="8856" w:type="dxa"/>
            <w:gridSpan w:val="2"/>
            <w:shd w:val="clear" w:color="auto" w:fill="CCCCCC"/>
          </w:tcPr>
          <w:p w:rsidR="00113E45" w:rsidRPr="00AA1421" w:rsidRDefault="00113E45" w:rsidP="00E60B53">
            <w:pPr>
              <w:spacing w:beforeLines="60" w:before="144" w:afterLines="60" w:after="144"/>
              <w:rPr>
                <w:rFonts w:ascii="Times New Roman" w:hAnsi="Times New Roman"/>
                <w:b/>
                <w:sz w:val="24"/>
              </w:rPr>
            </w:pPr>
            <w:r w:rsidRPr="00AA1421">
              <w:rPr>
                <w:rFonts w:ascii="Times New Roman" w:hAnsi="Times New Roman"/>
                <w:b/>
                <w:sz w:val="24"/>
              </w:rPr>
              <w:t>Kolumny</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0005</w:t>
            </w:r>
          </w:p>
        </w:tc>
        <w:tc>
          <w:tcPr>
            <w:tcW w:w="8004"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POZYCJA W RANKINGU</w:t>
            </w:r>
          </w:p>
          <w:p w:rsidR="00113E45" w:rsidRPr="00AA1421" w:rsidDel="003016B5" w:rsidRDefault="00113E45" w:rsidP="00133396">
            <w:pPr>
              <w:spacing w:beforeLines="60" w:before="144" w:afterLines="60" w:after="144"/>
              <w:rPr>
                <w:rFonts w:ascii="Times New Roman" w:hAnsi="Times New Roman"/>
                <w:b/>
                <w:sz w:val="24"/>
                <w:u w:val="single"/>
              </w:rPr>
            </w:pPr>
            <w:r w:rsidRPr="00AA1421">
              <w:rPr>
                <w:rFonts w:ascii="Times New Roman" w:hAnsi="Times New Roman"/>
                <w:sz w:val="24"/>
              </w:rPr>
              <w:t>Pozycja w rankingu stanowi identyfikator wiersza i jest niepowtarzalna dla każdego wiersza we wzorze. Podaje się ją w porządku numerycznym 1, 2, 3 itd., przy czym 1 oznacza największą AVA z tytułu pozycji o dużej koncentracji, 2 – drugą największą itd.</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0010</w:t>
            </w:r>
          </w:p>
        </w:tc>
        <w:tc>
          <w:tcPr>
            <w:tcW w:w="8004"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KATEGORIA RYZYKA</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Kategoria ryzyka (stopy procentowe, waluty obce, kredyty, papiery kapitałowe, towary), która w najbardziej odpowiedni sposób charakteryzuje pozycję.</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Instytucje zgłaszają następujące kody:</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IR – stopa procentowa</w:t>
            </w:r>
          </w:p>
          <w:p w:rsidR="0022597E"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FX – waluty obce</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CR – kredyty</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EQ – papiery kapitałowe</w:t>
            </w:r>
          </w:p>
          <w:p w:rsidR="00113E45" w:rsidRPr="00AA1421" w:rsidRDefault="00113E45" w:rsidP="0022597E">
            <w:pPr>
              <w:spacing w:beforeLines="60" w:before="144" w:afterLines="60" w:after="144"/>
              <w:rPr>
                <w:rFonts w:ascii="Times New Roman" w:hAnsi="Times New Roman"/>
                <w:sz w:val="24"/>
              </w:rPr>
            </w:pPr>
            <w:r w:rsidRPr="00AA1421">
              <w:rPr>
                <w:rFonts w:ascii="Times New Roman" w:hAnsi="Times New Roman"/>
                <w:sz w:val="24"/>
              </w:rPr>
              <w:t>CO – towary</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0020</w:t>
            </w:r>
          </w:p>
        </w:tc>
        <w:tc>
          <w:tcPr>
            <w:tcW w:w="8004"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 xml:space="preserve">PRODUKT </w:t>
            </w:r>
          </w:p>
          <w:p w:rsidR="00113E45" w:rsidRPr="00AA1421" w:rsidRDefault="00113E45" w:rsidP="00B14253">
            <w:pPr>
              <w:spacing w:beforeLines="60" w:before="144" w:afterLines="60" w:after="144"/>
              <w:rPr>
                <w:rFonts w:ascii="Times New Roman" w:hAnsi="Times New Roman"/>
                <w:sz w:val="24"/>
              </w:rPr>
            </w:pPr>
            <w:r w:rsidRPr="00AA1421">
              <w:rPr>
                <w:rFonts w:ascii="Times New Roman" w:hAnsi="Times New Roman"/>
                <w:sz w:val="24"/>
              </w:rPr>
              <w:lastRenderedPageBreak/>
              <w:t xml:space="preserve">Wewnętrzna nazwa produktu lub grupy produktów zgodnie z wykazem produktów wymaganym na podstawie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9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rozporządzenia delegowanego (UE) 2016/101.</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lastRenderedPageBreak/>
              <w:t>0030</w:t>
            </w:r>
          </w:p>
        </w:tc>
        <w:tc>
          <w:tcPr>
            <w:tcW w:w="8004"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INSTRUMENT BAZOWY</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Wewnętrzna nazwa instrumentu bazowego lub instrumentów bazowych w przypadku instrumentów pochodnych lub instrumentów w przypadku instrumentów niebędących instrumentem pochodnym.</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0040</w:t>
            </w:r>
          </w:p>
        </w:tc>
        <w:tc>
          <w:tcPr>
            <w:tcW w:w="8004"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WIELKOŚĆ POZYCJI O DUŻEJ KONCENTRACJI</w:t>
            </w:r>
          </w:p>
          <w:p w:rsidR="00113E45" w:rsidRPr="00AA1421" w:rsidRDefault="00113E45" w:rsidP="00B14253">
            <w:pPr>
              <w:spacing w:beforeLines="60" w:before="144" w:afterLines="60" w:after="144"/>
              <w:rPr>
                <w:rStyle w:val="InstructionsTabelleberschrift"/>
                <w:rFonts w:ascii="Times New Roman" w:hAnsi="Times New Roman"/>
                <w:sz w:val="24"/>
              </w:rPr>
            </w:pPr>
            <w:r w:rsidRPr="00AA1421">
              <w:rPr>
                <w:rFonts w:ascii="Times New Roman" w:hAnsi="Times New Roman"/>
                <w:sz w:val="24"/>
              </w:rPr>
              <w:t xml:space="preserve">Wielkość podlegającej wycenie indywidualnej pozycji o dużej koncentracji zidentyfikowanej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4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rozporządzenia delegowanego (UE) 2016/101, wyrażona w jednostkach określonych w kolumnie 0050. </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0050</w:t>
            </w:r>
          </w:p>
        </w:tc>
        <w:tc>
          <w:tcPr>
            <w:tcW w:w="8004" w:type="dxa"/>
          </w:tcPr>
          <w:p w:rsidR="00113E45" w:rsidRPr="00AA1421" w:rsidRDefault="00113E45" w:rsidP="00E60B53">
            <w:pPr>
              <w:spacing w:beforeLines="60" w:before="144" w:afterLines="60" w:after="144"/>
              <w:rPr>
                <w:rFonts w:ascii="Times New Roman" w:hAnsi="Times New Roman"/>
                <w:b/>
                <w:sz w:val="24"/>
                <w:u w:val="single"/>
              </w:rPr>
            </w:pPr>
            <w:r w:rsidRPr="00AA1421">
              <w:rPr>
                <w:rFonts w:ascii="Times New Roman" w:hAnsi="Times New Roman"/>
                <w:b/>
                <w:sz w:val="24"/>
                <w:u w:val="single"/>
              </w:rPr>
              <w:t>MIARA WIELKOŚCI</w:t>
            </w:r>
          </w:p>
          <w:p w:rsidR="00113E45" w:rsidRPr="00AA1421" w:rsidRDefault="00113E45" w:rsidP="00E60B53">
            <w:pPr>
              <w:spacing w:beforeLines="60" w:before="144" w:afterLines="60" w:after="144"/>
              <w:rPr>
                <w:rFonts w:ascii="Times New Roman" w:hAnsi="Times New Roman"/>
                <w:sz w:val="24"/>
              </w:rPr>
            </w:pPr>
            <w:r w:rsidRPr="00AA1421">
              <w:rPr>
                <w:rFonts w:ascii="Times New Roman" w:hAnsi="Times New Roman"/>
                <w:sz w:val="24"/>
              </w:rPr>
              <w:t xml:space="preserve">Jednostka miary wielkości stosowana wewnętrznie w ramach procesu identyfikacji podlegającej wycenie pozycji o dużej koncentracji do wyliczenia wielkości pozycji o dużej koncentracji, o której mowa w kolumnie 0040. </w:t>
            </w:r>
          </w:p>
          <w:p w:rsidR="00113E45" w:rsidRPr="00AA1421" w:rsidRDefault="00113E45" w:rsidP="00E60B53">
            <w:pPr>
              <w:spacing w:beforeLines="60" w:before="144" w:afterLines="60" w:after="144"/>
              <w:rPr>
                <w:rStyle w:val="InstructionsTabelleberschrift"/>
                <w:rFonts w:ascii="Times New Roman" w:hAnsi="Times New Roman"/>
                <w:b w:val="0"/>
                <w:bCs w:val="0"/>
                <w:sz w:val="24"/>
                <w:u w:val="none"/>
              </w:rPr>
            </w:pPr>
            <w:r w:rsidRPr="00AA1421">
              <w:rPr>
                <w:rStyle w:val="InstructionsTabelleberschrift"/>
                <w:rFonts w:ascii="Times New Roman" w:hAnsi="Times New Roman"/>
                <w:b w:val="0"/>
                <w:bCs w:val="0"/>
                <w:sz w:val="24"/>
                <w:u w:val="none"/>
              </w:rPr>
              <w:t xml:space="preserve">W przypadku pozycji w obligacjach lub papierach kapitałowych należy podać jednostkę stosowaną do </w:t>
            </w:r>
            <w:r w:rsidRPr="00AA1421">
              <w:rPr>
                <w:rFonts w:ascii="Times New Roman" w:hAnsi="Times New Roman"/>
                <w:sz w:val="24"/>
              </w:rPr>
              <w:t>celów wewnętrznego zarządzania ryzykiem</w:t>
            </w:r>
            <w:r w:rsidRPr="00AA1421">
              <w:rPr>
                <w:rStyle w:val="InstructionsTabelleberschrift"/>
                <w:rFonts w:ascii="Times New Roman" w:hAnsi="Times New Roman"/>
                <w:b w:val="0"/>
                <w:bCs w:val="0"/>
                <w:sz w:val="24"/>
                <w:u w:val="none"/>
              </w:rPr>
              <w:t xml:space="preserve">, taką jak „liczba obligacji”, „liczba akcji” lub „wartość rynkowa”. </w:t>
            </w:r>
          </w:p>
          <w:p w:rsidR="00113E45" w:rsidRPr="00AA1421" w:rsidRDefault="00113E45" w:rsidP="00E60B53">
            <w:pPr>
              <w:spacing w:beforeLines="60" w:before="144" w:afterLines="60" w:after="144"/>
              <w:rPr>
                <w:rStyle w:val="InstructionsTabelleberschrift"/>
                <w:rFonts w:ascii="Times New Roman" w:hAnsi="Times New Roman"/>
                <w:b w:val="0"/>
                <w:bCs w:val="0"/>
                <w:sz w:val="24"/>
                <w:u w:val="none"/>
              </w:rPr>
            </w:pPr>
            <w:r w:rsidRPr="00AA1421">
              <w:rPr>
                <w:rFonts w:ascii="Times New Roman" w:hAnsi="Times New Roman"/>
                <w:sz w:val="24"/>
              </w:rPr>
              <w:t xml:space="preserve">W przypadku pozycji w instrumentach pochodnych należy podać jednostkę stosowano do celów wewnętrznego zarządzania ryzykiem, taką jak „PV01; EUR za przesunięcie równoległe krzywej rentowności o 1 punkt bazowy”. </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0060</w:t>
            </w:r>
          </w:p>
        </w:tc>
        <w:tc>
          <w:tcPr>
            <w:tcW w:w="8004"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WARTOŚĆ RYNKOWA</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Wartość rynkowa pozycji.</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0070</w:t>
            </w:r>
          </w:p>
        </w:tc>
        <w:tc>
          <w:tcPr>
            <w:tcW w:w="8004"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OKRES OSTROŻNEGO WYJŚCIA</w:t>
            </w:r>
          </w:p>
          <w:p w:rsidR="00113E45" w:rsidRPr="00AA1421" w:rsidRDefault="00113E45" w:rsidP="00B142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Okres ostrożnego wyjścia wyrażony jako liczba dni oszacowana na podstawie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084F66">
              <w:rPr>
                <w:rStyle w:val="InstructionsTabelleberschrift"/>
                <w:rFonts w:ascii="Times New Roman" w:hAnsi="Times New Roman"/>
                <w:b w:val="0"/>
                <w:sz w:val="24"/>
                <w:u w:val="none"/>
              </w:rPr>
              <w:t>lit.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b)</w:t>
            </w:r>
            <w:r w:rsidRPr="00AA1421">
              <w:rPr>
                <w:rStyle w:val="InstructionsTabelleberschrift"/>
                <w:rFonts w:ascii="Times New Roman" w:hAnsi="Times New Roman"/>
                <w:b w:val="0"/>
                <w:sz w:val="24"/>
                <w:u w:val="none"/>
              </w:rPr>
              <w:t xml:space="preserve"> </w:t>
            </w:r>
            <w:r w:rsidRPr="00AA1421">
              <w:rPr>
                <w:rFonts w:ascii="Times New Roman" w:hAnsi="Times New Roman"/>
                <w:sz w:val="24"/>
              </w:rPr>
              <w:t>rozporządzenia delegowanego (UE) 2016/101</w:t>
            </w:r>
            <w:r w:rsidRPr="00AA1421">
              <w:rPr>
                <w:rStyle w:val="InstructionsTabelleberschrift"/>
                <w:rFonts w:ascii="Times New Roman" w:hAnsi="Times New Roman"/>
                <w:b w:val="0"/>
                <w:sz w:val="24"/>
                <w:u w:val="none"/>
              </w:rPr>
              <w:t>.</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0080</w:t>
            </w:r>
          </w:p>
        </w:tc>
        <w:tc>
          <w:tcPr>
            <w:tcW w:w="8004"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AVA Z TYTUŁU POZYCJI O DUŻEJ KONCENTRACJI</w:t>
            </w:r>
          </w:p>
          <w:p w:rsidR="00113E45" w:rsidRPr="00AA1421" w:rsidRDefault="00113E45" w:rsidP="00B142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Kwota AVA z tytułu pozycji o dużej koncentracji wyliczona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4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 </w:t>
            </w:r>
            <w:r w:rsidRPr="00AA1421">
              <w:rPr>
                <w:rFonts w:ascii="Times New Roman" w:hAnsi="Times New Roman"/>
                <w:sz w:val="24"/>
              </w:rPr>
              <w:t>rozporządzenia delegowanego (UE) 2016/101</w:t>
            </w:r>
            <w:r w:rsidRPr="00AA1421">
              <w:rPr>
                <w:rStyle w:val="InstructionsTabelleberschrift"/>
                <w:rFonts w:ascii="Times New Roman" w:hAnsi="Times New Roman"/>
                <w:b w:val="0"/>
                <w:sz w:val="24"/>
                <w:u w:val="none"/>
              </w:rPr>
              <w:t xml:space="preserve"> w odniesieniu do danej podlegającej wycenie indywidualnej pozycji o dużej koncentracji.</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t>0090</w:t>
            </w:r>
          </w:p>
        </w:tc>
        <w:tc>
          <w:tcPr>
            <w:tcW w:w="8004"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KOREKTA WARTOŚCI GODZIWEJ Z TYTUŁU POZYCJI O DUŻEJ KONCENTRACJI</w:t>
            </w:r>
          </w:p>
          <w:p w:rsidR="00955AA6" w:rsidRPr="00AA1421" w:rsidRDefault="00113E45" w:rsidP="00955AA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Kwota wszelkich korekt wartości godziwej dokonanych w celu odzwierciedlenia faktu, że pozycja zagregowana utrzymywana przez instytucję jest większa niż normalna wielkość obrotu lub większa niż wielkości pozycji stanowiące podstawę kwotowań lub transakcji, które są wykorzystywane do kalibracji ceny lub danych wejściowych stosowanych w modelu wyceny.</w:t>
            </w:r>
          </w:p>
          <w:p w:rsidR="00113E45" w:rsidRPr="00AA1421" w:rsidRDefault="00955AA6" w:rsidP="00955AA6">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lastRenderedPageBreak/>
              <w:t>Zgłaszana kwota musi odpowiadać kwocie, którą zastosowano do danej podlegającej wycenie indywidualnej pozycji o dużej koncentracji.</w:t>
            </w:r>
          </w:p>
        </w:tc>
      </w:tr>
      <w:tr w:rsidR="00113E45" w:rsidRPr="00AA1421" w:rsidTr="00672D2A">
        <w:tc>
          <w:tcPr>
            <w:tcW w:w="852" w:type="dxa"/>
          </w:tcPr>
          <w:p w:rsidR="00113E45" w:rsidRPr="00AA1421" w:rsidRDefault="0022597E" w:rsidP="00E60B53">
            <w:pPr>
              <w:spacing w:beforeLines="60" w:before="144" w:afterLines="60" w:after="144"/>
              <w:rPr>
                <w:rFonts w:ascii="Times New Roman" w:hAnsi="Times New Roman"/>
                <w:sz w:val="24"/>
              </w:rPr>
            </w:pPr>
            <w:r w:rsidRPr="00AA1421">
              <w:rPr>
                <w:rFonts w:ascii="Times New Roman" w:hAnsi="Times New Roman"/>
                <w:sz w:val="24"/>
              </w:rPr>
              <w:lastRenderedPageBreak/>
              <w:t>0100</w:t>
            </w:r>
          </w:p>
        </w:tc>
        <w:tc>
          <w:tcPr>
            <w:tcW w:w="8004" w:type="dxa"/>
          </w:tcPr>
          <w:p w:rsidR="00113E45" w:rsidRPr="00AA1421" w:rsidRDefault="00113E45" w:rsidP="00E60B53">
            <w:pPr>
              <w:spacing w:beforeLines="60" w:before="144" w:afterLines="60" w:after="144"/>
              <w:rPr>
                <w:rStyle w:val="InstructionsTabelleberschrift"/>
                <w:rFonts w:ascii="Times New Roman" w:hAnsi="Times New Roman"/>
                <w:sz w:val="24"/>
              </w:rPr>
            </w:pPr>
            <w:r w:rsidRPr="00AA1421">
              <w:rPr>
                <w:rStyle w:val="InstructionsTabelleberschrift"/>
                <w:rFonts w:ascii="Times New Roman" w:hAnsi="Times New Roman"/>
                <w:sz w:val="24"/>
              </w:rPr>
              <w:t>RÓŻNICA Z TYTUŁU IPV</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 xml:space="preserve">Suma nieskorygowanych kwot różnicy („różnica z tytułu IPV”) obliczonych na ostatni dzień miesiąca przypadający jak najbliżej dnia sprawozdawczego w ramach procesu niezależnej weryfikacji cen przeprowadzonego zgodnie z </w:t>
            </w:r>
            <w:r w:rsidRPr="00084F66">
              <w:rPr>
                <w:rStyle w:val="InstructionsTabelleberschrift"/>
                <w:rFonts w:ascii="Times New Roman" w:hAnsi="Times New Roman"/>
                <w:b w:val="0"/>
                <w:sz w:val="24"/>
                <w:u w:val="none"/>
              </w:rPr>
              <w:t>art.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1</w:t>
            </w:r>
            <w:r w:rsidRPr="00AA1421">
              <w:rPr>
                <w:rStyle w:val="InstructionsTabelleberschrift"/>
                <w:rFonts w:ascii="Times New Roman" w:hAnsi="Times New Roman"/>
                <w:b w:val="0"/>
                <w:sz w:val="24"/>
                <w:u w:val="none"/>
              </w:rPr>
              <w:t xml:space="preserve">05 </w:t>
            </w:r>
            <w:r w:rsidRPr="00084F66">
              <w:rPr>
                <w:rStyle w:val="InstructionsTabelleberschrift"/>
                <w:rFonts w:ascii="Times New Roman" w:hAnsi="Times New Roman"/>
                <w:b w:val="0"/>
                <w:sz w:val="24"/>
                <w:u w:val="none"/>
              </w:rPr>
              <w:t>ust.</w:t>
            </w:r>
            <w:r w:rsidR="00084F66" w:rsidRPr="00084F66">
              <w:rPr>
                <w:rStyle w:val="InstructionsTabelleberschrift"/>
                <w:rFonts w:ascii="Times New Roman" w:hAnsi="Times New Roman"/>
                <w:b w:val="0"/>
                <w:sz w:val="24"/>
                <w:u w:val="none"/>
              </w:rPr>
              <w:t> </w:t>
            </w:r>
            <w:r w:rsidRPr="00084F66">
              <w:rPr>
                <w:rStyle w:val="InstructionsTabelleberschrift"/>
                <w:rFonts w:ascii="Times New Roman" w:hAnsi="Times New Roman"/>
                <w:b w:val="0"/>
                <w:sz w:val="24"/>
                <w:u w:val="none"/>
              </w:rPr>
              <w:t>8</w:t>
            </w:r>
            <w:r w:rsidRPr="00AA1421">
              <w:rPr>
                <w:rStyle w:val="InstructionsTabelleberschrift"/>
                <w:rFonts w:ascii="Times New Roman" w:hAnsi="Times New Roman"/>
                <w:b w:val="0"/>
                <w:sz w:val="24"/>
                <w:u w:val="none"/>
              </w:rPr>
              <w:t xml:space="preserve"> CRR w odniesieniu do najlepszych dostępnych niezależnych danych dotyczących danej podlegającej wycenie indywidualnej pozycji o dużej koncentracji. </w:t>
            </w:r>
          </w:p>
          <w:p w:rsidR="00113E45" w:rsidRPr="00AA1421" w:rsidRDefault="00113E45" w:rsidP="00E60B53">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Nieskorygowane kwoty różnicy dotyczą nieskorygowanych różnic między wycenami wygenerowanymi przez system transakcyjny a wycenami będącymi wynikiem comiesięcznego procesu IPV.</w:t>
            </w:r>
          </w:p>
          <w:p w:rsidR="00113E45" w:rsidRPr="00AA1421" w:rsidRDefault="00D2428D" w:rsidP="00D2428D">
            <w:pPr>
              <w:spacing w:beforeLines="60" w:before="144" w:afterLines="60" w:after="144"/>
              <w:rPr>
                <w:rStyle w:val="InstructionsTabelleberschrift"/>
                <w:rFonts w:ascii="Times New Roman" w:hAnsi="Times New Roman"/>
                <w:b w:val="0"/>
                <w:sz w:val="24"/>
                <w:u w:val="none"/>
              </w:rPr>
            </w:pPr>
            <w:r w:rsidRPr="00AA1421">
              <w:rPr>
                <w:rStyle w:val="InstructionsTabelleberschrift"/>
                <w:rFonts w:ascii="Times New Roman" w:hAnsi="Times New Roman"/>
                <w:b w:val="0"/>
                <w:sz w:val="24"/>
                <w:u w:val="none"/>
              </w:rPr>
              <w:t>W wyliczeniach różnicy z tytułu IPV nie uwzględnia się żadnych skorygowanych kwot różnicy wykazanych w księgach i rejestrach instytucji na ostatni dzień danego miesiąca.</w:t>
            </w:r>
          </w:p>
        </w:tc>
      </w:tr>
    </w:tbl>
    <w:p w:rsidR="00995A7F" w:rsidRPr="00AA1421" w:rsidRDefault="00995A7F" w:rsidP="00C61FF5">
      <w:pPr>
        <w:rPr>
          <w:rStyle w:val="InstructionsTabelleText"/>
          <w:rFonts w:ascii="Times New Roman" w:hAnsi="Times New Roman"/>
          <w:sz w:val="24"/>
        </w:rPr>
      </w:pPr>
    </w:p>
    <w:p w:rsidR="00FD54FC" w:rsidRPr="00AA1421"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403757"/>
      <w:r w:rsidRPr="00AA1421">
        <w:rPr>
          <w:rFonts w:ascii="Times New Roman" w:hAnsi="Times New Roman"/>
          <w:sz w:val="24"/>
          <w:u w:val="none"/>
        </w:rPr>
        <w:t>7.</w:t>
      </w:r>
      <w:r w:rsidR="00D712CF" w:rsidRPr="00AA1421">
        <w:rPr>
          <w:u w:val="none"/>
        </w:rPr>
        <w:tab/>
      </w:r>
      <w:r w:rsidRPr="00AA1421">
        <w:rPr>
          <w:rFonts w:ascii="Times New Roman" w:hAnsi="Times New Roman"/>
          <w:sz w:val="24"/>
        </w:rPr>
        <w:t>C 33.00 – Ekspozycje wobec sektora instytucji rządowych i samorządowych według państwa kontrahenta (GOV)</w:t>
      </w:r>
      <w:bookmarkEnd w:id="769"/>
      <w:bookmarkEnd w:id="770"/>
    </w:p>
    <w:p w:rsidR="00FD54FC" w:rsidRPr="00AA1421"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403758"/>
      <w:r w:rsidRPr="00AA1421">
        <w:rPr>
          <w:rFonts w:ascii="Times New Roman" w:hAnsi="Times New Roman"/>
          <w:sz w:val="24"/>
          <w:u w:val="none"/>
        </w:rPr>
        <w:t>7.1.</w:t>
      </w:r>
      <w:r w:rsidR="00D712CF" w:rsidRPr="00AA1421">
        <w:rPr>
          <w:u w:val="none"/>
        </w:rPr>
        <w:tab/>
      </w:r>
      <w:r w:rsidRPr="00AA1421">
        <w:rPr>
          <w:rFonts w:ascii="Times New Roman" w:hAnsi="Times New Roman"/>
          <w:sz w:val="24"/>
        </w:rPr>
        <w:t>Uwagi ogólne</w:t>
      </w:r>
      <w:bookmarkEnd w:id="771"/>
      <w:bookmarkEnd w:id="772"/>
      <w:bookmarkEnd w:id="773"/>
      <w:r w:rsidRPr="00AA1421">
        <w:rPr>
          <w:rFonts w:ascii="Times New Roman" w:hAnsi="Times New Roman"/>
          <w:sz w:val="24"/>
        </w:rPr>
        <w:t xml:space="preserve"> </w:t>
      </w:r>
    </w:p>
    <w:p w:rsidR="00FD54FC" w:rsidRPr="00AA1421" w:rsidRDefault="00AA1421" w:rsidP="00487A02">
      <w:pPr>
        <w:pStyle w:val="InstructionsText2"/>
        <w:numPr>
          <w:ilvl w:val="0"/>
          <w:numId w:val="0"/>
        </w:numPr>
        <w:ind w:left="1353" w:hanging="360"/>
      </w:pPr>
      <w:fldSimple w:instr=" seq paragraphs ">
        <w:r w:rsidR="00D11E4C" w:rsidRPr="00AA1421">
          <w:rPr>
            <w:noProof/>
          </w:rPr>
          <w:t>191</w:t>
        </w:r>
      </w:fldSimple>
      <w:r w:rsidR="00D11E4C" w:rsidRPr="00AA1421">
        <w:t>.</w:t>
      </w:r>
      <w:r w:rsidR="00D11E4C" w:rsidRPr="00AA1421">
        <w:tab/>
        <w:t xml:space="preserve"> Informacje do celów wzoru C 33.00 obejmują wszystkie ekspozycje wobec „sektora instytucji rządowych i samorządowych” zgodnie z definicją w </w:t>
      </w:r>
      <w:r w:rsidR="00D11E4C" w:rsidRPr="00084F66">
        <w:t>pkt</w:t>
      </w:r>
      <w:r w:rsidR="00084F66" w:rsidRPr="00084F66">
        <w:t> </w:t>
      </w:r>
      <w:r w:rsidR="00D11E4C" w:rsidRPr="00084F66">
        <w:t>4</w:t>
      </w:r>
      <w:r w:rsidR="00D11E4C" w:rsidRPr="00AA1421">
        <w:t xml:space="preserve">2 </w:t>
      </w:r>
      <w:r w:rsidR="00D11E4C" w:rsidRPr="00084F66">
        <w:t>lit.</w:t>
      </w:r>
      <w:r w:rsidR="00084F66" w:rsidRPr="00084F66">
        <w:t> </w:t>
      </w:r>
      <w:r w:rsidR="00D11E4C" w:rsidRPr="00084F66">
        <w:t>b)</w:t>
      </w:r>
      <w:r w:rsidR="00D11E4C" w:rsidRPr="00AA1421">
        <w:t xml:space="preserve"> załącznika V do niniejszego rozporządzenia wykonawczego.</w:t>
      </w:r>
    </w:p>
    <w:p w:rsidR="00FD54FC" w:rsidRPr="00AA1421" w:rsidRDefault="00AA1421" w:rsidP="00487A02">
      <w:pPr>
        <w:pStyle w:val="InstructionsText2"/>
        <w:numPr>
          <w:ilvl w:val="0"/>
          <w:numId w:val="0"/>
        </w:numPr>
        <w:ind w:left="1353" w:hanging="360"/>
      </w:pPr>
      <w:fldSimple w:instr=" seq paragraphs ">
        <w:r w:rsidR="00D11E4C" w:rsidRPr="00AA1421">
          <w:rPr>
            <w:noProof/>
          </w:rPr>
          <w:t>192</w:t>
        </w:r>
      </w:fldSimple>
      <w:r w:rsidR="00D11E4C" w:rsidRPr="00AA1421">
        <w:t>.</w:t>
      </w:r>
      <w:r w:rsidR="00D11E4C" w:rsidRPr="00AA1421">
        <w:tab/>
        <w:t xml:space="preserve"> Jeżeli ekspozycje wobec „sektora instytucji rządowych i samorządowych” podlegają wymogom w zakresie funduszy własnych zgodnie z częścią trzecią tytuł II CRR, ekspozycje wobec „sektora instytucji rządowych i samorządowych” są zawarte w różnych kategoriach ekspozycji zgodnie z </w:t>
      </w:r>
      <w:r w:rsidR="00D11E4C" w:rsidRPr="00084F66">
        <w:t>art.</w:t>
      </w:r>
      <w:r w:rsidR="00084F66" w:rsidRPr="00084F66">
        <w:t> </w:t>
      </w:r>
      <w:r w:rsidR="00D11E4C" w:rsidRPr="00084F66">
        <w:t>1</w:t>
      </w:r>
      <w:r w:rsidR="00D11E4C" w:rsidRPr="00AA1421">
        <w:t xml:space="preserve">12 i 147 CRR, jak określono w instrukcjach na potrzeby wypełniania wzorów C 07.00, C 08.01 i C 08.02. </w:t>
      </w:r>
    </w:p>
    <w:p w:rsidR="00FD54FC" w:rsidRPr="00AA1421" w:rsidRDefault="00AA1421" w:rsidP="00487A02">
      <w:pPr>
        <w:pStyle w:val="InstructionsText2"/>
        <w:numPr>
          <w:ilvl w:val="0"/>
          <w:numId w:val="0"/>
        </w:numPr>
        <w:ind w:left="1353" w:hanging="360"/>
      </w:pPr>
      <w:fldSimple w:instr=" seq paragraphs ">
        <w:r w:rsidR="00D11E4C" w:rsidRPr="00AA1421">
          <w:rPr>
            <w:noProof/>
          </w:rPr>
          <w:t>193</w:t>
        </w:r>
      </w:fldSimple>
      <w:r w:rsidR="00D11E4C" w:rsidRPr="00AA1421">
        <w:t>.</w:t>
      </w:r>
      <w:r w:rsidR="00D11E4C" w:rsidRPr="00AA1421">
        <w:tab/>
        <w:t xml:space="preserve"> Na potrzeby przyporządkowania kategorii ekspozycji wykorzystywanych do obliczania wymogów kapitałowych zgodnie z CRR do sektora kontrahenta „sektor instytucji rządowych i samorządowych” przestrzega się tabeli 2 (metoda standardowa) i tabeli 3 (metoda IRB) zawartych w części 3 załącznika V do niniejszego rozporządzenia wykonawczego. </w:t>
      </w:r>
    </w:p>
    <w:p w:rsidR="00FD54FC" w:rsidRPr="00AA1421" w:rsidRDefault="00AA1421" w:rsidP="00487A02">
      <w:pPr>
        <w:pStyle w:val="InstructionsText2"/>
        <w:numPr>
          <w:ilvl w:val="0"/>
          <w:numId w:val="0"/>
        </w:numPr>
        <w:ind w:left="1353" w:hanging="360"/>
      </w:pPr>
      <w:fldSimple w:instr=" seq paragraphs ">
        <w:r w:rsidR="00D11E4C" w:rsidRPr="00AA1421">
          <w:rPr>
            <w:noProof/>
          </w:rPr>
          <w:t>194</w:t>
        </w:r>
      </w:fldSimple>
      <w:r w:rsidR="00D11E4C" w:rsidRPr="00AA1421">
        <w:t xml:space="preserve">. Informacje zgłasza się w odniesieniu do całkowitych zagregowanych ekspozycji (co oznacza sumę dla wszystkich krajów, w których bank ma ekspozycje wobec państwa) oraz w odniesieniu do każdego kraju na podstawie siedziby kontrahenta według lokalizacji bezpośredniego dłużnika. </w:t>
      </w:r>
    </w:p>
    <w:p w:rsidR="00FD54FC" w:rsidRPr="00AA1421" w:rsidRDefault="00AA1421" w:rsidP="00487A02">
      <w:pPr>
        <w:pStyle w:val="InstructionsText2"/>
        <w:numPr>
          <w:ilvl w:val="0"/>
          <w:numId w:val="0"/>
        </w:numPr>
        <w:ind w:left="1353" w:hanging="360"/>
      </w:pPr>
      <w:fldSimple w:instr=" seq paragraphs ">
        <w:r w:rsidR="00D11E4C" w:rsidRPr="00AA1421">
          <w:rPr>
            <w:noProof/>
          </w:rPr>
          <w:t>195</w:t>
        </w:r>
      </w:fldSimple>
      <w:r w:rsidR="00D11E4C" w:rsidRPr="00AA1421">
        <w:t>.</w:t>
      </w:r>
      <w:r w:rsidR="00D11E4C" w:rsidRPr="00AA1421">
        <w:tab/>
        <w:t xml:space="preserve"> Przypisania ekspozycji do kategorii ekspozycji lub do jurysdykcji dokonuje się bez uwzględniania technik ograniczania ryzyka kredytowego, a w szczególności bez uwzględniania efektów substytucyjnych. Jednakże obliczenia wartości ekspozycji i kwot ekspozycji ważonej ryzykiem dla każdej kategorii ekspozycji i </w:t>
      </w:r>
      <w:r w:rsidR="00D11E4C" w:rsidRPr="00AA1421">
        <w:lastRenderedPageBreak/>
        <w:t xml:space="preserve">każdej jurysdykcji uwzględniają wpływ technik ograniczania ryzyka kredytowego, w tym efektów substytucyjnych. </w:t>
      </w:r>
    </w:p>
    <w:p w:rsidR="00FD54FC" w:rsidRPr="00AA1421" w:rsidRDefault="00AA1421" w:rsidP="00487A02">
      <w:pPr>
        <w:pStyle w:val="InstructionsText2"/>
        <w:numPr>
          <w:ilvl w:val="0"/>
          <w:numId w:val="0"/>
        </w:numPr>
        <w:ind w:left="1353" w:hanging="360"/>
      </w:pPr>
      <w:fldSimple w:instr=" seq paragraphs ">
        <w:r w:rsidR="00D11E4C" w:rsidRPr="00AA1421">
          <w:rPr>
            <w:noProof/>
          </w:rPr>
          <w:t>196</w:t>
        </w:r>
      </w:fldSimple>
      <w:r w:rsidR="00D11E4C" w:rsidRPr="00AA1421">
        <w:t>.</w:t>
      </w:r>
      <w:r w:rsidR="00D11E4C" w:rsidRPr="00AA1421">
        <w:tab/>
        <w:t xml:space="preserve"> Zgłaszanie informacji dotyczących ekspozycji wobec „sektora instytucji rządowych i samorządowych” według jurysdykcji siedziby bezpośredniego kontrahenta innej niż krajowa jurysdykcja instytucji sprawozdającej podlega progom określonym w </w:t>
      </w:r>
      <w:r w:rsidR="00D11E4C" w:rsidRPr="00084F66">
        <w:t>art.</w:t>
      </w:r>
      <w:r w:rsidR="00084F66" w:rsidRPr="00084F66">
        <w:t> </w:t>
      </w:r>
      <w:r w:rsidR="00D11E4C" w:rsidRPr="00084F66">
        <w:t>6</w:t>
      </w:r>
      <w:r w:rsidR="00D11E4C" w:rsidRPr="00AA1421">
        <w:t xml:space="preserve"> </w:t>
      </w:r>
      <w:r w:rsidR="00D11E4C" w:rsidRPr="00084F66">
        <w:t>ust.</w:t>
      </w:r>
      <w:r w:rsidR="00084F66" w:rsidRPr="00084F66">
        <w:t> </w:t>
      </w:r>
      <w:r w:rsidR="00D11E4C" w:rsidRPr="00084F66">
        <w:t>3</w:t>
      </w:r>
      <w:r w:rsidR="00D11E4C" w:rsidRPr="00AA1421">
        <w:t xml:space="preserve"> niniejszego rozporządzenia wykonawczego.</w:t>
      </w:r>
    </w:p>
    <w:p w:rsidR="00FD54FC" w:rsidRPr="00AA1421"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403759"/>
      <w:r w:rsidRPr="00AA1421">
        <w:rPr>
          <w:rFonts w:ascii="Times New Roman" w:hAnsi="Times New Roman"/>
          <w:sz w:val="24"/>
          <w:u w:val="none"/>
        </w:rPr>
        <w:t>7.2.</w:t>
      </w:r>
      <w:r w:rsidR="00D712CF" w:rsidRPr="00AA1421">
        <w:rPr>
          <w:u w:val="none"/>
        </w:rPr>
        <w:tab/>
      </w:r>
      <w:bookmarkStart w:id="776" w:name="_Toc367202009"/>
      <w:r w:rsidRPr="00AA1421">
        <w:rPr>
          <w:rFonts w:ascii="Times New Roman" w:hAnsi="Times New Roman"/>
          <w:sz w:val="24"/>
        </w:rPr>
        <w:t>Zakres wzoru dotyczącego ekspozycji</w:t>
      </w:r>
      <w:bookmarkEnd w:id="776"/>
      <w:r w:rsidRPr="00AA1421">
        <w:rPr>
          <w:rFonts w:ascii="Times New Roman" w:hAnsi="Times New Roman"/>
          <w:sz w:val="24"/>
        </w:rPr>
        <w:t xml:space="preserve"> wobec „sektora instytucji rządowych i samorządowych”</w:t>
      </w:r>
      <w:bookmarkEnd w:id="774"/>
      <w:bookmarkEnd w:id="775"/>
    </w:p>
    <w:p w:rsidR="00FD54FC" w:rsidRPr="00AA1421" w:rsidRDefault="00AA1421" w:rsidP="00487A02">
      <w:pPr>
        <w:pStyle w:val="InstructionsText2"/>
        <w:numPr>
          <w:ilvl w:val="0"/>
          <w:numId w:val="0"/>
        </w:numPr>
        <w:ind w:left="1353" w:hanging="360"/>
      </w:pPr>
      <w:fldSimple w:instr=" seq paragraphs ">
        <w:r w:rsidR="00D11E4C" w:rsidRPr="00AA1421">
          <w:rPr>
            <w:noProof/>
          </w:rPr>
          <w:t>197</w:t>
        </w:r>
      </w:fldSimple>
      <w:r w:rsidR="00D11E4C" w:rsidRPr="00AA1421">
        <w:t>.</w:t>
      </w:r>
      <w:r w:rsidR="00D11E4C" w:rsidRPr="00AA1421">
        <w:tab/>
        <w:t xml:space="preserve"> Zakres wzoru GOV obejmuje bezpośrednie ekspozycje bilansowe, pozabilansowe oraz z tytułu instrumentów pochodnych wobec „sektora instytucji rządowych i samorządowych” w portfelach bankowym i handlowym. Ponadto wymagana jest również pozycja uzupełniająca dotycząca ekspozycji pośrednich w formie kredytowych instrumentów pochodnych sprzedanych w związku z ekspozycjami wobec sektora instytucji rządowych i samorządowych.</w:t>
      </w:r>
    </w:p>
    <w:p w:rsidR="00FD54FC" w:rsidRPr="00AA1421" w:rsidRDefault="00AA1421" w:rsidP="00487A02">
      <w:pPr>
        <w:pStyle w:val="InstructionsText2"/>
        <w:numPr>
          <w:ilvl w:val="0"/>
          <w:numId w:val="0"/>
        </w:numPr>
        <w:ind w:left="1353" w:hanging="360"/>
      </w:pPr>
      <w:fldSimple w:instr=" seq paragraphs ">
        <w:r w:rsidR="00D11E4C" w:rsidRPr="00AA1421">
          <w:rPr>
            <w:noProof/>
          </w:rPr>
          <w:t>198</w:t>
        </w:r>
      </w:fldSimple>
      <w:r w:rsidR="00D11E4C" w:rsidRPr="00AA1421">
        <w:t>.</w:t>
      </w:r>
      <w:r w:rsidR="00D11E4C" w:rsidRPr="00AA1421">
        <w:tab/>
        <w:t xml:space="preserve"> Ekspozycja jest ekspozycją bezpośrednią, jeżeli bezpośredni kontrahent jest podmiotem objętym definicją „sektora instytucji rządowych i samorządowych” przedstawioną w </w:t>
      </w:r>
      <w:r w:rsidR="00D11E4C" w:rsidRPr="00084F66">
        <w:t>pkt</w:t>
      </w:r>
      <w:r w:rsidR="00084F66" w:rsidRPr="00084F66">
        <w:t> </w:t>
      </w:r>
      <w:r w:rsidR="00D11E4C" w:rsidRPr="00084F66">
        <w:t>4</w:t>
      </w:r>
      <w:r w:rsidR="00D11E4C" w:rsidRPr="00AA1421">
        <w:t xml:space="preserve">2 </w:t>
      </w:r>
      <w:r w:rsidR="00D11E4C" w:rsidRPr="00084F66">
        <w:t>lit.</w:t>
      </w:r>
      <w:r w:rsidR="00084F66" w:rsidRPr="00084F66">
        <w:t> </w:t>
      </w:r>
      <w:r w:rsidR="00D11E4C" w:rsidRPr="00084F66">
        <w:t>b)</w:t>
      </w:r>
      <w:r w:rsidR="00D11E4C" w:rsidRPr="00AA1421">
        <w:t xml:space="preserve"> załącznika V do niniejszego rozporządzenia wykonawczego. </w:t>
      </w:r>
    </w:p>
    <w:p w:rsidR="00FD54FC" w:rsidRPr="00AA1421" w:rsidRDefault="00AA1421" w:rsidP="00487A02">
      <w:pPr>
        <w:pStyle w:val="InstructionsText2"/>
        <w:numPr>
          <w:ilvl w:val="0"/>
          <w:numId w:val="0"/>
        </w:numPr>
        <w:ind w:left="1353" w:hanging="360"/>
      </w:pPr>
      <w:fldSimple w:instr=" seq paragraphs ">
        <w:r w:rsidR="00D11E4C" w:rsidRPr="00AA1421">
          <w:rPr>
            <w:noProof/>
          </w:rPr>
          <w:t>199</w:t>
        </w:r>
      </w:fldSimple>
      <w:r w:rsidR="00D11E4C" w:rsidRPr="00AA1421">
        <w:t>.</w:t>
      </w:r>
      <w:r w:rsidR="00D11E4C" w:rsidRPr="00AA1421">
        <w:tab/>
        <w:t xml:space="preserve"> Wzór jest podzielony na dwie sekcje. Pierwsza sekcja opiera się na podziale ekspozycji według ryzyka, podejścia regulacyjnego i kategorii ekspozycji, natomiast druga sekcja opiera się na podziale według rezydualnego termin zapadalności.</w:t>
      </w:r>
    </w:p>
    <w:p w:rsidR="00FD54FC" w:rsidRPr="00AA1421"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403760"/>
      <w:r w:rsidRPr="00AA1421">
        <w:rPr>
          <w:rFonts w:ascii="Times New Roman" w:hAnsi="Times New Roman"/>
          <w:sz w:val="24"/>
          <w:u w:val="none"/>
        </w:rPr>
        <w:t>7.3.</w:t>
      </w:r>
      <w:r w:rsidR="00D712CF" w:rsidRPr="00AA1421">
        <w:rPr>
          <w:u w:val="none"/>
        </w:rPr>
        <w:tab/>
      </w:r>
      <w:r w:rsidRPr="00AA1421">
        <w:rPr>
          <w:rFonts w:ascii="Times New Roman" w:hAnsi="Times New Roman"/>
          <w:sz w:val="24"/>
        </w:rPr>
        <w:t>Instrukcje dotyczące poszczególnych pozycji</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AA1421" w:rsidTr="00672D2A">
        <w:tc>
          <w:tcPr>
            <w:tcW w:w="1188" w:type="dxa"/>
            <w:shd w:val="pct25" w:color="auto" w:fill="auto"/>
          </w:tcPr>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Kolumny</w:t>
            </w:r>
          </w:p>
          <w:p w:rsidR="00FD54FC" w:rsidRPr="00AA1421"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Instrukcje</w:t>
            </w:r>
          </w:p>
        </w:tc>
      </w:tr>
      <w:tr w:rsidR="00FD54FC" w:rsidRPr="00AA1421" w:rsidTr="00672D2A">
        <w:tc>
          <w:tcPr>
            <w:tcW w:w="1188" w:type="dxa"/>
            <w:tcBorders>
              <w:bottom w:val="single" w:sz="4" w:space="0" w:color="auto"/>
            </w:tcBorders>
          </w:tcPr>
          <w:p w:rsidR="00FD54FC" w:rsidRPr="00AA1421" w:rsidRDefault="00535792" w:rsidP="00B74792">
            <w:pPr>
              <w:spacing w:before="0" w:after="0"/>
              <w:ind w:left="33"/>
              <w:rPr>
                <w:rFonts w:ascii="Times New Roman" w:hAnsi="Times New Roman"/>
                <w:bCs/>
                <w:sz w:val="24"/>
              </w:rPr>
            </w:pPr>
            <w:r w:rsidRPr="00AA1421">
              <w:rPr>
                <w:rFonts w:ascii="Times New Roman" w:hAnsi="Times New Roman"/>
                <w:bCs/>
                <w:sz w:val="24"/>
              </w:rPr>
              <w:t>0010-0260</w:t>
            </w:r>
          </w:p>
        </w:tc>
        <w:tc>
          <w:tcPr>
            <w:tcW w:w="8640" w:type="dxa"/>
            <w:tcBorders>
              <w:bottom w:val="single" w:sz="4" w:space="0" w:color="auto"/>
            </w:tcBorders>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EKSPOZYCJE BEZPOŚREDNIE </w:t>
            </w:r>
          </w:p>
        </w:tc>
      </w:tr>
      <w:tr w:rsidR="00FD54FC" w:rsidRPr="00AA1421" w:rsidTr="00672D2A">
        <w:tc>
          <w:tcPr>
            <w:tcW w:w="1188" w:type="dxa"/>
          </w:tcPr>
          <w:p w:rsidR="00FD54FC" w:rsidRPr="00AA1421" w:rsidRDefault="00535792" w:rsidP="00B74792">
            <w:pPr>
              <w:spacing w:before="0" w:after="0"/>
              <w:ind w:left="33"/>
              <w:rPr>
                <w:rFonts w:ascii="Times New Roman" w:hAnsi="Times New Roman"/>
                <w:bCs/>
                <w:sz w:val="24"/>
              </w:rPr>
            </w:pPr>
            <w:r w:rsidRPr="00AA1421">
              <w:rPr>
                <w:rFonts w:ascii="Times New Roman" w:hAnsi="Times New Roman"/>
                <w:bCs/>
                <w:sz w:val="24"/>
              </w:rPr>
              <w:t>0010-0140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BILANSOWE</w:t>
            </w: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0010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Całkowita wartość bilansowa brutto aktywów finansowych niebędących instrumentami pochodnymi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Zagregowana wartość bilansowa brutto, określona zgodnie z częścią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4 załącznika V do niniejszego rozporządzenia wykonawczego, aktywów finansowych niebędących instrumentami pochodnymi wobec sektora instytucji rządowych i samorządowych, dla wszystkich portfeli księgowych zgodnie z MSSF lub krajowymi ogólnie przyjętymi zasadami rachunkowości opartymi na BAD zdefiniowanych w części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5–22 załącznika V do niniejszego rozporządzenia wykonawczego i wymienionych w kolumnach 0030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 xml:space="preserve">120.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Korekty z tytułu ostrożnej wyceny nie zmniejszają wartości bilansowej brutto ekspozycji w portfelu handlowym i portfelu bankowym wycenianych według wartości godziwej.</w:t>
            </w:r>
          </w:p>
          <w:p w:rsidR="00FD54FC" w:rsidRPr="00AA1421" w:rsidRDefault="00FD54FC" w:rsidP="00FD54FC">
            <w:pPr>
              <w:spacing w:before="0" w:after="0"/>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0020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Całkowita wartość bilansowa aktywów finansowych niebędących instrumentami pochodnymi (po odliczeniu pozycji krótkich)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Zagregowana wartość bilansowa, określona zgodnie z częścią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7 załącznika V do niniejszego rozporządzenia wykonawczego, aktywów finansowych niebędących instrumentami pochodnymi wobec sektora instytucji rządowych i samorządowych, dla wszystkich portfeli księgowych zgodnie z MSSF lub krajowymi ogólnie przyjętymi zasadami rachunkowości opartymi na BAD zdefiniowanych w części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5–22 załącznika V do niniejszego rozporządzenia wykonawczego i wymienionych w kolumnach 0030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120, po odliczeniu pozycji krótkich.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Jeżeli instytucja posiada pozycję krótką dla tego samego rezydualnego terminu zapadalności i względem tego samego bezpośredniego kontrahenta, która to pozycja jest denominowana w tej samej walucie, wartość bilansową pozycji krótkiej kompensuje się z wartością bilansową pozycji bezpośredniej. Jeżeli otrzymana w ten sposób kwota netto jest kwotą ujemną, przypisuje się jej wartość zero. Jeżeli instytucja posiada pozycję krótką bez odpowiadającej jej pozycji bezpośredniej, na potrzeby tej kolumny przyjmuje się, że kwota tej pozycji krótkiej jest równa zero. </w:t>
            </w:r>
          </w:p>
          <w:p w:rsidR="00FD54FC" w:rsidRPr="00AA1421" w:rsidDel="00FB1EBF" w:rsidRDefault="00FD54FC" w:rsidP="00454026">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0030-0120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NIEBĘDĄCE INSTRUMENTAMI POCHODNYMI WEDŁUG PORTFELI KSIĘGOWYCH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Zagregowana wartość bilansowa aktywów finansowych niebędących instrumentami pochodnymi, zgodnie z definicją zawartą w wierszu powyżej niniejszej tabeli, wobec sektora instytucji rządowych i samorządowych, w podziale na portfele księgowe zgodnie z mającymi zastosowanie standardami rachunkowości.</w:t>
            </w:r>
          </w:p>
          <w:p w:rsidR="00FD54FC" w:rsidRPr="00AA1421" w:rsidDel="00FB1EBF"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0030</w:t>
            </w:r>
          </w:p>
        </w:tc>
        <w:tc>
          <w:tcPr>
            <w:tcW w:w="8640" w:type="dxa"/>
          </w:tcPr>
          <w:p w:rsidR="00FD54FC" w:rsidRPr="00AA1421" w:rsidRDefault="00FD54FC" w:rsidP="00FD54FC">
            <w:pPr>
              <w:spacing w:before="0" w:after="0"/>
              <w:ind w:left="33"/>
              <w:rPr>
                <w:rFonts w:ascii="Times New Roman" w:hAnsi="Times New Roman"/>
                <w:bCs/>
                <w:sz w:val="24"/>
              </w:rPr>
            </w:pPr>
            <w:r w:rsidRPr="00AA1421">
              <w:rPr>
                <w:rFonts w:ascii="Times New Roman" w:hAnsi="Times New Roman"/>
                <w:b/>
                <w:bCs/>
                <w:sz w:val="24"/>
                <w:u w:val="single"/>
              </w:rPr>
              <w:t>Aktywa finansowe przeznaczone do obrotu</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1C79CB" w:rsidP="00FD54FC">
            <w:pPr>
              <w:spacing w:before="0" w:after="0"/>
              <w:ind w:left="33"/>
              <w:rPr>
                <w:rFonts w:ascii="Times New Roman" w:hAnsi="Times New Roman"/>
                <w:bCs/>
                <w:sz w:val="24"/>
              </w:rPr>
            </w:pPr>
            <w:r w:rsidRPr="00AA1421">
              <w:rPr>
                <w:rFonts w:ascii="Times New Roman" w:hAnsi="Times New Roman"/>
                <w:bCs/>
                <w:sz w:val="24"/>
              </w:rPr>
              <w:t xml:space="preserve">MSSF 7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w:t>
            </w:r>
            <w:proofErr w:type="spellStart"/>
            <w:r w:rsidRPr="00AA1421">
              <w:rPr>
                <w:rFonts w:ascii="Times New Roman" w:hAnsi="Times New Roman"/>
                <w:bCs/>
                <w:sz w:val="24"/>
              </w:rPr>
              <w:t>ppkt</w:t>
            </w:r>
            <w:proofErr w:type="spellEnd"/>
            <w:r w:rsidRPr="00AA1421">
              <w:rPr>
                <w:rFonts w:ascii="Times New Roman" w:hAnsi="Times New Roman"/>
                <w:bCs/>
                <w:sz w:val="24"/>
              </w:rPr>
              <w:t xml:space="preserve"> (ii); MSSF 9 dodatek A</w:t>
            </w:r>
          </w:p>
          <w:p w:rsidR="00FD54FC" w:rsidRPr="00AA1421" w:rsidDel="00FB1EBF"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0040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z przeznaczeniem do obrotu</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245E37" w:rsidP="00FD54FC">
            <w:pPr>
              <w:spacing w:before="0" w:after="0"/>
              <w:ind w:left="33"/>
              <w:rPr>
                <w:rFonts w:ascii="Times New Roman" w:hAnsi="Times New Roman"/>
                <w:bCs/>
                <w:sz w:val="24"/>
              </w:rPr>
            </w:pPr>
            <w:r w:rsidRPr="00AA1421">
              <w:rPr>
                <w:rFonts w:ascii="Times New Roman" w:hAnsi="Times New Roman"/>
                <w:bCs/>
                <w:sz w:val="24"/>
              </w:rPr>
              <w:t xml:space="preserve">Art. 32 i 33 BAD; część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6 załącznika V do niniejszego rozporządzenia wykonawczego;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AD</w:t>
            </w:r>
          </w:p>
          <w:p w:rsidR="002F78EA" w:rsidRPr="00AA1421" w:rsidRDefault="002F78EA"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Podlegają zgłoszeniu przez instytucje tylko zgodnie z krajowymi ogólnie przyjętymi zasadami rachunkowości.</w:t>
            </w:r>
          </w:p>
          <w:p w:rsidR="00FD54FC" w:rsidRPr="00AA1421" w:rsidDel="00FB1EBF"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0050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nieprzeznaczone do obrotu wyceniane obowiązkowo według wartości godziwej przez wynik finansowy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MSSF 7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w:t>
            </w:r>
            <w:proofErr w:type="spellStart"/>
            <w:r w:rsidRPr="00AA1421">
              <w:rPr>
                <w:rFonts w:ascii="Times New Roman" w:hAnsi="Times New Roman"/>
                <w:bCs/>
                <w:sz w:val="24"/>
              </w:rPr>
              <w:t>ppkt</w:t>
            </w:r>
            <w:proofErr w:type="spellEnd"/>
            <w:r w:rsidRPr="00AA1421">
              <w:rPr>
                <w:rFonts w:ascii="Times New Roman" w:hAnsi="Times New Roman"/>
                <w:bCs/>
                <w:sz w:val="24"/>
              </w:rPr>
              <w:t xml:space="preserve"> (ii); MSSF 9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.1.4</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0060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wyznaczone jako wyceniane według wartości godziwej przez wynik finansowy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MSSF 7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w:t>
            </w:r>
            <w:proofErr w:type="spellStart"/>
            <w:r w:rsidRPr="00AA1421">
              <w:rPr>
                <w:rFonts w:ascii="Times New Roman" w:hAnsi="Times New Roman"/>
                <w:bCs/>
                <w:sz w:val="24"/>
              </w:rPr>
              <w:t>ppkt</w:t>
            </w:r>
            <w:proofErr w:type="spellEnd"/>
            <w:r w:rsidRPr="00AA1421">
              <w:rPr>
                <w:rFonts w:ascii="Times New Roman" w:hAnsi="Times New Roman"/>
                <w:bCs/>
                <w:sz w:val="24"/>
              </w:rPr>
              <w:t xml:space="preserve"> (i); MSSF 9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.1.5 i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oraz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6</w:t>
            </w:r>
            <w:r w:rsidRPr="00AA1421">
              <w:rPr>
                <w:rFonts w:ascii="Times New Roman" w:hAnsi="Times New Roman"/>
                <w:bCs/>
                <w:sz w:val="24"/>
              </w:rPr>
              <w:t xml:space="preserve"> AD</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0070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niebędące instrumentami pochodnymi nieprzeznaczone do obrotu wyceniane według wartości godziwej przez wynik finansowy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2F78EA" w:rsidP="00FD54FC">
            <w:pPr>
              <w:spacing w:before="0" w:after="0"/>
              <w:ind w:left="33"/>
              <w:rPr>
                <w:rFonts w:ascii="Times New Roman" w:hAnsi="Times New Roman"/>
                <w:bCs/>
                <w:sz w:val="24"/>
              </w:rPr>
            </w:pPr>
            <w:r w:rsidRPr="00AA1421">
              <w:rPr>
                <w:rFonts w:ascii="Times New Roman" w:hAnsi="Times New Roman"/>
                <w:bCs/>
                <w:sz w:val="24"/>
              </w:rPr>
              <w:t xml:space="preserve">Art. 36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 BAD;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AD</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Podlegają zgłoszeniu przez instytucje tylko zgodnie z krajowymi ogólnie przyjętymi zasadami rachunkowości.</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0080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wyceniane według wartości godziwej przez inne całkowite dochody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MSSF 7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d)</w:t>
            </w:r>
            <w:r w:rsidRPr="00AA1421">
              <w:rPr>
                <w:rFonts w:ascii="Times New Roman" w:hAnsi="Times New Roman"/>
                <w:bCs/>
                <w:sz w:val="24"/>
              </w:rPr>
              <w:t xml:space="preserve">; MSSF 9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.1.2A</w:t>
            </w:r>
          </w:p>
          <w:p w:rsidR="00FD54FC" w:rsidRPr="00AA1421" w:rsidRDefault="00FD54FC" w:rsidP="00FD54FC">
            <w:pPr>
              <w:spacing w:before="0" w:after="0"/>
              <w:ind w:left="33"/>
              <w:rPr>
                <w:rFonts w:ascii="Times New Roman" w:hAnsi="Times New Roman"/>
                <w:b/>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0090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niebędące instrumentami pochodnymi nieprzeznaczone do obrotu wyceniane według wartości godziwej przez kapitały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B14253" w:rsidP="00FD54FC">
            <w:pPr>
              <w:spacing w:before="0" w:after="0"/>
              <w:ind w:left="33"/>
              <w:rPr>
                <w:rFonts w:ascii="Times New Roman" w:hAnsi="Times New Roman"/>
                <w:bCs/>
                <w:sz w:val="24"/>
              </w:rPr>
            </w:pPr>
            <w:r w:rsidRPr="00AA1421">
              <w:rPr>
                <w:rFonts w:ascii="Times New Roman" w:hAnsi="Times New Roman"/>
                <w:bCs/>
                <w:sz w:val="24"/>
              </w:rPr>
              <w:t xml:space="preserve">Art. 8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oraz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AD</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Podlegają zgłoszeniu przez instytucje tylko zgodnie z krajowymi ogólnie przyjętymi zasadami rachunkowości.</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0100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wyceniane według kosztu zamortyzowanego</w:t>
            </w:r>
          </w:p>
          <w:p w:rsidR="00FD54FC" w:rsidRPr="00AA1421" w:rsidRDefault="00FD54FC" w:rsidP="00FD54FC">
            <w:pPr>
              <w:spacing w:before="0" w:after="0"/>
              <w:ind w:left="33"/>
              <w:rPr>
                <w:rFonts w:ascii="Times New Roman" w:hAnsi="Times New Roman"/>
                <w:bCs/>
                <w:sz w:val="24"/>
                <w:lang w:eastAsia="de-DE"/>
              </w:rPr>
            </w:pPr>
          </w:p>
          <w:p w:rsidR="00FD54FC" w:rsidRPr="00AA1421" w:rsidDel="00501397" w:rsidRDefault="00FD54FC" w:rsidP="00FD54FC">
            <w:pPr>
              <w:spacing w:before="0" w:after="0"/>
              <w:ind w:left="33"/>
              <w:rPr>
                <w:rFonts w:ascii="Times New Roman" w:hAnsi="Times New Roman"/>
                <w:b/>
                <w:bCs/>
                <w:sz w:val="24"/>
                <w:u w:val="single"/>
              </w:rPr>
            </w:pPr>
            <w:r w:rsidRPr="00AA1421">
              <w:rPr>
                <w:rFonts w:ascii="Times New Roman" w:hAnsi="Times New Roman"/>
                <w:bCs/>
                <w:sz w:val="24"/>
              </w:rPr>
              <w:t xml:space="preserve">MSSF 7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f)</w:t>
            </w:r>
            <w:r w:rsidRPr="00AA1421">
              <w:rPr>
                <w:rFonts w:ascii="Times New Roman" w:hAnsi="Times New Roman"/>
                <w:bCs/>
                <w:sz w:val="24"/>
              </w:rPr>
              <w:t xml:space="preserve">; MSSF 9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.1.2; część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5 załącznika V do niniejszego rozporządzenia wykonawczego;</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0110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Aktywa finansowe niebędące instrumentami pochodnymi nieprzeznaczone do obrotu wyceniane metodą ceny nabycia</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2F78EA" w:rsidP="00FD54FC">
            <w:pPr>
              <w:spacing w:before="0" w:after="0"/>
              <w:ind w:left="33"/>
              <w:rPr>
                <w:rFonts w:ascii="Times New Roman" w:hAnsi="Times New Roman"/>
                <w:bCs/>
                <w:sz w:val="24"/>
              </w:rPr>
            </w:pPr>
            <w:r w:rsidRPr="00AA1421">
              <w:rPr>
                <w:rFonts w:ascii="Times New Roman" w:hAnsi="Times New Roman"/>
                <w:bCs/>
                <w:sz w:val="24"/>
              </w:rPr>
              <w:t xml:space="preserve">Art. 35 BAD;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6</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pkt (i) i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 AD; część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6 załącznika V do niniejszego rozporządzenia wykonawczego;</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Podlegają zgłoszeniu przez instytucje tylko zgodnie z krajowymi ogólnie przyjętymi zasadami rachunkowości.</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0120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Inne aktywa finansowe niebędące instrumentami pochodnymi nieprzeznaczone do obrotu</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2B004B" w:rsidP="00FD54FC">
            <w:pPr>
              <w:spacing w:before="0" w:after="0"/>
              <w:ind w:left="33"/>
              <w:rPr>
                <w:rFonts w:ascii="Times New Roman" w:hAnsi="Times New Roman"/>
                <w:bCs/>
                <w:sz w:val="24"/>
              </w:rPr>
            </w:pPr>
            <w:r w:rsidRPr="00AA1421">
              <w:rPr>
                <w:rFonts w:ascii="Times New Roman" w:hAnsi="Times New Roman"/>
                <w:bCs/>
                <w:sz w:val="24"/>
              </w:rPr>
              <w:t xml:space="preserve">Art. 37 BAD;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2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7</w:t>
            </w:r>
            <w:r w:rsidRPr="00AA1421">
              <w:rPr>
                <w:rFonts w:ascii="Times New Roman" w:hAnsi="Times New Roman"/>
                <w:bCs/>
                <w:sz w:val="24"/>
              </w:rPr>
              <w:t xml:space="preserve"> AD; część 1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6 załącznika V do niniejszego rozporządzenia wykonawczego;</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Podlegają zgłoszeniu przez instytucje tylko zgodnie z krajowymi ogólnie przyjętymi zasadami rachunkowości.</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0130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Pozycje krótkie</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Wartość bilansowa pozycji krótkich zgodnie z definicją w MSSF 9 pkt BA.7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b)</w:t>
            </w:r>
            <w:r w:rsidRPr="00AA1421">
              <w:rPr>
                <w:rFonts w:ascii="Times New Roman" w:hAnsi="Times New Roman"/>
                <w:bCs/>
                <w:sz w:val="24"/>
              </w:rPr>
              <w:t xml:space="preserve">, jeżeli bezpośredni kontrahent należy do sektora instytucji rządowych i samorządowych zgodnie z definicją w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55–160 niniejszego załącznika.</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lastRenderedPageBreak/>
              <w:t>Pozycje krótkie powstają, jeżeli instytucja sprzedaje papiery wartościowe nabyte w ramach transakcji kredytu z otrzymanym przyrzeczeniem odkupu lub pożyczone w ramach transakcji udzielenia pożyczki papierów wartościowych.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Wartością bilansową jest wartość godziwa pozycji krótkich.</w:t>
            </w:r>
          </w:p>
          <w:p w:rsidR="00FD54FC" w:rsidRPr="00AA1421" w:rsidRDefault="00FD54FC" w:rsidP="00FD54FC">
            <w:pPr>
              <w:spacing w:before="0" w:after="0"/>
              <w:ind w:left="33"/>
              <w:rPr>
                <w:rFonts w:ascii="Times New Roman" w:hAnsi="Times New Roman"/>
                <w:bCs/>
                <w:sz w:val="24"/>
                <w:lang w:eastAsia="de-DE"/>
              </w:rPr>
            </w:pPr>
          </w:p>
          <w:p w:rsidR="00454026" w:rsidRPr="00AA1421" w:rsidRDefault="00FD54FC" w:rsidP="00127986">
            <w:pPr>
              <w:spacing w:before="0" w:after="0"/>
              <w:ind w:left="33"/>
              <w:rPr>
                <w:rFonts w:ascii="Times New Roman" w:hAnsi="Times New Roman"/>
                <w:bCs/>
                <w:sz w:val="24"/>
              </w:rPr>
            </w:pPr>
            <w:r w:rsidRPr="00AA1421">
              <w:rPr>
                <w:rFonts w:ascii="Times New Roman" w:hAnsi="Times New Roman"/>
                <w:bCs/>
                <w:sz w:val="24"/>
              </w:rPr>
              <w:t xml:space="preserve">Pozycje krótkie zgłasza się według przedziału rezydualnego terminu zapadalności, określonego w wierszach 0170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 xml:space="preserve">230, oraz według bezpośredniego kontrahenta. </w:t>
            </w:r>
          </w:p>
          <w:p w:rsidR="00454026" w:rsidRPr="00AA1421" w:rsidRDefault="00454026" w:rsidP="00127986">
            <w:pPr>
              <w:spacing w:before="0" w:after="0"/>
              <w:ind w:left="33"/>
              <w:rPr>
                <w:rFonts w:ascii="Times New Roman" w:hAnsi="Times New Roman"/>
                <w:bCs/>
                <w:sz w:val="24"/>
                <w:lang w:eastAsia="de-DE"/>
              </w:rPr>
            </w:pPr>
          </w:p>
          <w:p w:rsidR="00FD54FC" w:rsidRPr="00AA1421" w:rsidRDefault="00454026" w:rsidP="00454026">
            <w:pPr>
              <w:spacing w:before="0" w:after="0"/>
              <w:ind w:left="33"/>
              <w:rPr>
                <w:rFonts w:ascii="Times New Roman" w:hAnsi="Times New Roman"/>
                <w:bCs/>
                <w:sz w:val="24"/>
              </w:rPr>
            </w:pPr>
            <w:r w:rsidRPr="00AA1421">
              <w:rPr>
                <w:rFonts w:ascii="Times New Roman" w:hAnsi="Times New Roman"/>
                <w:bCs/>
                <w:sz w:val="24"/>
              </w:rPr>
              <w:t>Pozycje krótkie zgłaszane w tej kolumnie mogą być kompensowane z pozycjami o takim samym rezydualnym terminie zapadalności, których stroną jest ten sam bezpośredni kontrahent i które denominowane są w takiej samej walucie, jak zgłoszono w kolumnach 0030–0120, aby uzyskać pozycję netto zgłoszoną w kolumnie 0020.</w:t>
            </w:r>
          </w:p>
          <w:p w:rsidR="00454026" w:rsidRPr="00AA1421" w:rsidRDefault="00454026" w:rsidP="00454026">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Del="00E97A5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0140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W tym: </w:t>
            </w:r>
            <w:r w:rsidR="00D723DD" w:rsidRPr="00AA1421">
              <w:rPr>
                <w:rFonts w:ascii="Times New Roman" w:hAnsi="Times New Roman"/>
                <w:b/>
                <w:bCs/>
                <w:sz w:val="24"/>
                <w:u w:val="single"/>
              </w:rPr>
              <w:t>p</w:t>
            </w:r>
            <w:r w:rsidRPr="00AA1421">
              <w:rPr>
                <w:rFonts w:ascii="Times New Roman" w:hAnsi="Times New Roman"/>
                <w:b/>
                <w:bCs/>
                <w:sz w:val="24"/>
                <w:u w:val="single"/>
              </w:rPr>
              <w:t>ozycje krótkie z tytułu kredytów z otrzymanym przyrzeczeniem odkupu zaklasyfikowanych jako aktywa finansowe przeznaczone do obrotu lub aktywa finansowe z przeznaczeniem do obrotu</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Wartość bilansowa pozycji krótkich zgodnie z definicją w MSSF 9 pkt BA.7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b)</w:t>
            </w:r>
            <w:r w:rsidRPr="00AA1421">
              <w:rPr>
                <w:rFonts w:ascii="Times New Roman" w:hAnsi="Times New Roman"/>
                <w:bCs/>
                <w:sz w:val="24"/>
              </w:rPr>
              <w:t xml:space="preserve">, które powstają, gdy instytucja sprzedaje papiery wartościowe nabyte w ramach transakcji kredytu z otrzymanym przyrzeczeniem odkupu, a bezpośrednim kontrahentem tych papierów wartościowych jest sektor instytucji rządowych i samorządowych, i które są ujęte w portfelach księgowych aktywów finansowych przeznaczonych do obrotu lub aktywów finansowych z przeznaczeniem do obrotu (kolumny 0030 </w:t>
            </w:r>
            <w:r w:rsidRPr="00084F66">
              <w:rPr>
                <w:rFonts w:ascii="Times New Roman" w:hAnsi="Times New Roman"/>
                <w:bCs/>
                <w:sz w:val="24"/>
              </w:rPr>
              <w:t>lub</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040).</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 kolumnie tej nie uwzględnia się pozycji krótkich, które powstają, gdy sprzedane papiery wartościowe zostały pożyczone w ramach transakcji udzielenia pożyczki papierów wartościowych. </w:t>
            </w:r>
          </w:p>
          <w:p w:rsidR="00FD54FC" w:rsidRPr="00AA1421" w:rsidDel="00E97A51" w:rsidRDefault="00FD54FC" w:rsidP="00FD54FC">
            <w:pPr>
              <w:spacing w:before="0" w:after="0"/>
              <w:ind w:left="33"/>
              <w:rPr>
                <w:rFonts w:ascii="Times New Roman" w:hAnsi="Times New Roman"/>
                <w:b/>
                <w:bCs/>
                <w:sz w:val="24"/>
                <w:u w:val="single"/>
                <w:lang w:eastAsia="de-DE"/>
              </w:rPr>
            </w:pPr>
          </w:p>
        </w:tc>
      </w:tr>
      <w:tr w:rsidR="00FD54FC" w:rsidRPr="00AA1421" w:rsidDel="004A25FD" w:rsidTr="00672D2A">
        <w:tc>
          <w:tcPr>
            <w:tcW w:w="1188" w:type="dxa"/>
          </w:tcPr>
          <w:p w:rsidR="00FD54FC" w:rsidRPr="00AA1421" w:rsidDel="004A25FD" w:rsidRDefault="00535792" w:rsidP="00FD54FC">
            <w:pPr>
              <w:spacing w:before="0" w:after="0"/>
              <w:ind w:left="33"/>
              <w:rPr>
                <w:rFonts w:ascii="Times New Roman" w:hAnsi="Times New Roman"/>
                <w:bCs/>
                <w:sz w:val="24"/>
              </w:rPr>
            </w:pPr>
            <w:r w:rsidRPr="00AA1421">
              <w:rPr>
                <w:rFonts w:ascii="Times New Roman" w:hAnsi="Times New Roman"/>
                <w:bCs/>
                <w:sz w:val="24"/>
              </w:rPr>
              <w:t>0150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Skumulowana utrata wartości</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Zagregowana skumulowana utrata wartości związana z aktywami finansowymi niebędącymi instrumentami pochodnymi zgłoszonymi w kolumnach 0080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 xml:space="preserve">120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7</w:t>
            </w:r>
            <w:r w:rsidRPr="00AA1421">
              <w:rPr>
                <w:rFonts w:ascii="Times New Roman" w:hAnsi="Times New Roman"/>
                <w:bCs/>
                <w:sz w:val="24"/>
              </w:rPr>
              <w:t>0 i 71 załącznika V do niniejszego rozporządzenia wykonawczego)</w:t>
            </w:r>
          </w:p>
          <w:p w:rsidR="00FD54FC" w:rsidRPr="00AA1421" w:rsidDel="004A25FD"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0160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Skumulowana utrata wartości – w tym: z tytułu aktywów finansowych wycenianych według wartości godziwej przez inne całkowite dochody lub aktywów finansowych niebędących instrumentami pochodnymi nieprzeznaczonych do obrotu wycenianych według wartości godziwej przez kapitały</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Zagregowana skumulowana utrata wartości związana z aktywami finansowymi niebędącymi instrumentami pochodnymi zgłoszonymi w kolumnach 0080 i 0090. </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Del="004A25FD" w:rsidTr="00672D2A">
        <w:tc>
          <w:tcPr>
            <w:tcW w:w="1188" w:type="dxa"/>
          </w:tcPr>
          <w:p w:rsidR="00FD54FC" w:rsidRPr="00AA1421" w:rsidDel="004A25FD" w:rsidRDefault="00535792" w:rsidP="00FD54FC">
            <w:pPr>
              <w:spacing w:before="0" w:after="0"/>
              <w:ind w:left="33"/>
              <w:rPr>
                <w:rFonts w:ascii="Times New Roman" w:hAnsi="Times New Roman"/>
                <w:bCs/>
                <w:sz w:val="24"/>
              </w:rPr>
            </w:pPr>
            <w:r w:rsidRPr="00AA1421">
              <w:rPr>
                <w:rFonts w:ascii="Times New Roman" w:hAnsi="Times New Roman"/>
                <w:bCs/>
                <w:sz w:val="24"/>
              </w:rPr>
              <w:t>0170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Skumulowane ujemne zmiany wartości godziwej z powodu ryzyka kredytowego </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E863C1">
            <w:pPr>
              <w:spacing w:before="0" w:after="0"/>
              <w:ind w:left="33"/>
              <w:rPr>
                <w:rFonts w:ascii="Times New Roman" w:hAnsi="Times New Roman"/>
                <w:bCs/>
                <w:sz w:val="24"/>
              </w:rPr>
            </w:pPr>
            <w:r w:rsidRPr="00AA1421">
              <w:rPr>
                <w:rFonts w:ascii="Times New Roman" w:hAnsi="Times New Roman"/>
                <w:bCs/>
                <w:sz w:val="24"/>
              </w:rPr>
              <w:t xml:space="preserve">Suma skumulowanych ujemnych zmian wartości godziwej z powodu ryzyka kredytowego związanych z pozycjami zgłoszonymi w kolumnach 0050, 0060, 0070, 0080 i 0090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6</w:t>
            </w:r>
            <w:r w:rsidRPr="00AA1421">
              <w:rPr>
                <w:rFonts w:ascii="Times New Roman" w:hAnsi="Times New Roman"/>
                <w:bCs/>
                <w:sz w:val="24"/>
              </w:rPr>
              <w:t>9 załącznika V do niniejszego rozporządzenia wykonawczego).</w:t>
            </w:r>
          </w:p>
          <w:p w:rsidR="00FD54FC" w:rsidRPr="00AA1421" w:rsidDel="004A25FD" w:rsidRDefault="00FD54FC" w:rsidP="00BE47D8">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0180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Skumulowane ujemne zmiany wartości godziwej z powodu ryzyka kredytowego – w tym: z tytułu aktywów finansowych nieprzeznaczonych do obrotu wycenianych obowiązkowo według wartości godziwej przez wynik finansowy, aktywów finansowych wyznaczonych jako wyceniane według wartości godziwej przez wynik finansowy lub aktywów finansowych nieprzeznaczonych do obrotu wycenianych według wartości godziwej przez wynik finansowy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Suma skumulowanych ujemnych zmian wartości godziwej z powodu ryzyka kredytowego związanych z pozycjami zgłoszonymi w kolumnach 0050, 0060 i 0070.</w:t>
            </w: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
                <w:bCs/>
                <w:sz w:val="24"/>
                <w:u w:val="single"/>
              </w:rPr>
              <w:t xml:space="preserve"> </w:t>
            </w: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0190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Skumulowane ujemne zmiany wartości godziwej z powodu ryzyka kredytowego – w tym: z tytułu aktywów finansowych wycenianych według wartości godziwej przez inne całkowite dochody lub aktywów finansowych niebędących instrumentami pochodnymi nieprzeznaczonych do obrotu wycenianych według wartości godziwej przez kapitały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Suma skumulowanych ujemnych zmian wartości godziwej z powodu ryzyka kredytowego związanych z pozycjami zgłoszonymi w kolumnach 0080 i 0090.</w:t>
            </w:r>
          </w:p>
          <w:p w:rsidR="00E863C1" w:rsidRPr="00AA1421" w:rsidRDefault="00E863C1"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0200-0230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INSTRUMENTY POCHODNE</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Bezpośrednie pozycje w instrumentach pochodnych zgłasza się w kolumnach 0200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230.</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 odniesieniu do zgłaszania instrumentów pochodnych podlegających zarówno ryzyku kredytowemu kontrahenta, jak i narzutom kapitałowym z tytułu ryzyka rynkowego – zob. instrukcje dotyczące podziału wierszy.</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0200-0210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Instrumenty pochodne o dodatniej wartości godziwej</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Wszystkie instrumenty pochodne z kontrahentem należącym do sektora instytucji rządowych i samorządowych o dodatniej wartości godziwej dla instytucji w dniu sprawozdawczym, niezależnie od tego, czy instrumenty te są wykorzystywane w ramach kwalifikującego się powiązania zabezpieczającego, są przeznaczone do obrotu lub są ujęte w portfelu handlowym zgodnie z MSSF lub krajowymi ogólnie przyjętymi zasadami rachunkowości opartymi na BAD.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Instrumenty pochodne wykorzystywane w ramach zabezpieczenia ekonomicznego zgłasza się w tej pozycji, jeżeli są one ujęte w portfelach księgowych obejmujących pozycje przeznaczone do obrotu lub pozycje z przeznaczeniem do obrotu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20, 124, 125 oraz 137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40 załącznika V do niniejszego rozporządzenia wykonawczego).</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0200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Instrumenty pochodne o dodatniej wartości godziwej: Wartość bilansowa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Wartość bilansowa instrumentów pochodnych ujętych jako aktywa finansowe na sprawozdawczy dzień odniesienia.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Zgodnie z krajowymi ogólnie przyjętymi zasadami rachunkowości opartymi na BAD, instrumenty pochodne, które należy zgłosić w tych kolumnach, obejmują instrumenty pochodne wyceniane według ceny nabycia lub według niższej z dwóch wartości: ceny </w:t>
            </w:r>
            <w:r w:rsidRPr="00AA1421">
              <w:rPr>
                <w:rFonts w:ascii="Times New Roman" w:hAnsi="Times New Roman"/>
                <w:bCs/>
                <w:sz w:val="24"/>
              </w:rPr>
              <w:lastRenderedPageBreak/>
              <w:t xml:space="preserve">nabycia lub wartości rynkowej, ujęte w portfelu handlowym lub wyznaczone jako instrumenty zabezpieczające. </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0210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Instrumenty pochodne o dodatniej wartości godziwej: Wartość nominalna</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Zgodnie z MSSF i krajowymi ogólnie przyjętymi zasadami rachunkowości opartymi na BAD, wartość nominalna, zgodnie z definicją w części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33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35 załącznika V do niniejszego rozporządzenia wykonawczego, wszystkich instrumentów pochodnych nierozliczonych jeszcze na sprawozdawczy dzień odniesienia, których kontrahentem jest sektor instytucji rządowych i samorządowych, zgodnie z definicją w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55–160 niniejszego załącznika, a ich wartość godziwa instrumentu pochodnego jest dodatnia dla instytucji na sprawozdawczy dzień odniesienia.</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0220-0230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Instrumenty pochodne o ujemnej wartości godziwej</w:t>
            </w:r>
          </w:p>
          <w:p w:rsidR="00FD54FC" w:rsidRPr="00AA1421" w:rsidDel="00501397"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Wszystkie instrumenty pochodne z kontrahentem należącym do sektora instytucji rządowych i samorządowych o ujemnej wartości godziwej dla instytucji w sprawozdawczym dniu odniesienia, niezależnie od tego, czy instrumenty te są wykorzystywane w ramach kwalifikującego się powiązania zabezpieczającego lub są przeznaczone do obrotu lub są ujęte w portfelu handlowym zgodnie z MSSF lub krajowymi ogólnie przyjętymi zasadami rachunkowości opartymi na BAD.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Instrumenty pochodne wykorzystywane w ramach zabezpieczenia ekonomicznego zgłasza się w tej pozycji, jeżeli są one ujęte w portfelach księgowych obejmujących pozycje przeznaczone do obrotu lub pozycje z przeznaczeniem do obrotu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20, 124, 125 oraz 137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40 załącznika V do niniejszego rozporządzenia wykonawczego).</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0220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Instrumenty pochodne o ujemnej wartości godziwej: Wartość bilansowa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Wartość bilansowa instrumentów pochodnych ujętych jako zobowiązania finansowe na sprawozdawczy dzień odniesienia.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Zgodnie z krajowymi ogólnie przyjętymi zasadami rachunkowości opartymi na BAD, instrumenty pochodne, które należy zgłosić w tych kolumnach, obejmują instrumenty pochodne wyceniane według ceny nabycia lub według niższej z dwóch wartości: ceny nabycia lub wartości rynkowej, ujęte w portfelu handlowym lub wyznaczone jako instrumenty zabezpieczające. </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0230</w:t>
            </w:r>
          </w:p>
        </w:tc>
        <w:tc>
          <w:tcPr>
            <w:tcW w:w="8640" w:type="dxa"/>
          </w:tcPr>
          <w:p w:rsidR="00FD54FC" w:rsidRPr="00AA1421" w:rsidRDefault="00FD54FC" w:rsidP="00FD54FC">
            <w:pPr>
              <w:spacing w:before="0" w:after="0"/>
              <w:rPr>
                <w:rFonts w:ascii="Times New Roman" w:hAnsi="Times New Roman"/>
                <w:b/>
                <w:bCs/>
                <w:sz w:val="24"/>
                <w:u w:val="single"/>
              </w:rPr>
            </w:pPr>
            <w:r w:rsidRPr="00AA1421">
              <w:rPr>
                <w:rFonts w:ascii="Times New Roman" w:hAnsi="Times New Roman"/>
                <w:b/>
                <w:bCs/>
                <w:sz w:val="24"/>
                <w:u w:val="single"/>
              </w:rPr>
              <w:t>Instrumenty pochodne o ujemnej wartości godziwej: Wartość nominalna</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Zgodnie z MSSF i krajowymi ogólnie przyjętymi zasadami rachunkowości opartymi na BAD, wartość nominalna, zgodnie z definicją w części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33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35 załącznika V do niniejszego rozporządzenia wykonawczego, wszystkich instrumentów pochodnych nierozliczonych jeszcze na dzień odniesienia, których kontrahentem jest sektor instytucji rządowych i samorządowych, zgodnie z definicją w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55–160 niniejszego załącznika, a ich wartość godziwa instrumentu pochodnego jest dodatnia dla instytucji na sprawozdawczy dzień odniesienia.</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B74792">
            <w:pPr>
              <w:spacing w:before="0" w:after="0"/>
              <w:ind w:left="33"/>
              <w:rPr>
                <w:rFonts w:ascii="Times New Roman" w:hAnsi="Times New Roman"/>
                <w:bCs/>
                <w:sz w:val="24"/>
              </w:rPr>
            </w:pPr>
            <w:r w:rsidRPr="00AA1421">
              <w:rPr>
                <w:rFonts w:ascii="Times New Roman" w:hAnsi="Times New Roman"/>
                <w:bCs/>
                <w:sz w:val="24"/>
              </w:rPr>
              <w:t>0240-0260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POZABILANSOWE</w:t>
            </w: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0240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Wartość nominalna</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Jeżeli bezpośrednim kontrahentem pozycji pozabilansowej jest sektor instytucji rządowych i samorządowych zgodnie z definicją w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55–160 niniejszego załącznika – wartość nominalna zobowiązań i gwarancji finansowych, które nie są uznawane za instrumenty pochodne zgodnie z MSSF lub krajowymi ogólnie przyjętymi zasadami rachunkowości opartymi na BAD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02–119 załącznika V do niniejszego rozporządzenia wykonawczego).</w:t>
            </w:r>
          </w:p>
          <w:p w:rsidR="00FD54FC" w:rsidRPr="00AA1421" w:rsidRDefault="00FD54FC" w:rsidP="00FD54FC">
            <w:pPr>
              <w:spacing w:before="0" w:after="0"/>
              <w:ind w:left="33"/>
              <w:rPr>
                <w:rFonts w:ascii="Times New Roman" w:hAnsi="Times New Roman"/>
                <w:bCs/>
                <w:sz w:val="24"/>
                <w:lang w:eastAsia="de-DE"/>
              </w:rPr>
            </w:pPr>
          </w:p>
          <w:p w:rsidR="00FD54FC" w:rsidRPr="00AA1421" w:rsidDel="00501397" w:rsidRDefault="00FD54FC" w:rsidP="00FD54FC">
            <w:pPr>
              <w:spacing w:before="0" w:after="0"/>
              <w:ind w:left="33"/>
              <w:rPr>
                <w:rFonts w:ascii="Times New Roman" w:hAnsi="Times New Roman"/>
                <w:b/>
                <w:bCs/>
                <w:sz w:val="24"/>
                <w:u w:val="single"/>
              </w:rPr>
            </w:pPr>
            <w:r w:rsidRPr="00AA1421">
              <w:rPr>
                <w:rFonts w:ascii="Times New Roman" w:hAnsi="Times New Roman"/>
                <w:bCs/>
                <w:sz w:val="24"/>
              </w:rPr>
              <w:t xml:space="preserve">Zgodnie z częścią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3 i 44 załącznika V do niniejszego rozporządzenia wykonawczego sektor instytucji rządowych i samorządowych jest bezpośrednim kontrahentem: a) w ramach udzielonej gwarancji finansowej, jeżeli jest bezpośrednim kontrahentem gwarantowanego instrumentu dłużnego, oraz b) w ramach udzielonego zobowiązania do udzielenia pożyczki i innego udzielonego zobowiązania, jeżeli jest kontrahentem, którego ryzyko kredytowe przejmuje instytucja sprawozdająca. </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0250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Rezerwy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2F78EA" w:rsidP="00FD54FC">
            <w:pPr>
              <w:spacing w:before="0" w:after="0"/>
              <w:ind w:left="33"/>
              <w:rPr>
                <w:rFonts w:ascii="Times New Roman" w:hAnsi="Times New Roman"/>
                <w:bCs/>
                <w:sz w:val="24"/>
              </w:rPr>
            </w:pPr>
            <w:r w:rsidRPr="00AA1421">
              <w:rPr>
                <w:rFonts w:ascii="Times New Roman" w:hAnsi="Times New Roman"/>
                <w:bCs/>
                <w:sz w:val="24"/>
              </w:rPr>
              <w:t xml:space="preserve">Art. 4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6</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c)</w:t>
            </w:r>
            <w:r w:rsidRPr="00AA1421">
              <w:rPr>
                <w:rFonts w:ascii="Times New Roman" w:hAnsi="Times New Roman"/>
                <w:bCs/>
                <w:sz w:val="24"/>
              </w:rPr>
              <w:t xml:space="preserve"> oraz „pozycje pozabilansowe” określone w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1,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8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i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3 BAD; MSSF 9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.2.1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c)</w:t>
            </w:r>
            <w:r w:rsidRPr="00AA1421">
              <w:rPr>
                <w:rFonts w:ascii="Times New Roman" w:hAnsi="Times New Roman"/>
                <w:bCs/>
                <w:sz w:val="24"/>
              </w:rPr>
              <w:t xml:space="preserve"> </w:t>
            </w:r>
            <w:proofErr w:type="spellStart"/>
            <w:r w:rsidRPr="00AA1421">
              <w:rPr>
                <w:rFonts w:ascii="Times New Roman" w:hAnsi="Times New Roman"/>
                <w:bCs/>
                <w:sz w:val="24"/>
              </w:rPr>
              <w:t>ppkt</w:t>
            </w:r>
            <w:proofErr w:type="spellEnd"/>
            <w:r w:rsidRPr="00AA1421">
              <w:rPr>
                <w:rFonts w:ascii="Times New Roman" w:hAnsi="Times New Roman"/>
                <w:bCs/>
                <w:sz w:val="24"/>
              </w:rPr>
              <w:t xml:space="preserve"> (ii),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d)</w:t>
            </w:r>
            <w:r w:rsidRPr="00AA1421">
              <w:rPr>
                <w:rFonts w:ascii="Times New Roman" w:hAnsi="Times New Roman"/>
                <w:bCs/>
                <w:sz w:val="24"/>
              </w:rPr>
              <w:t xml:space="preserve"> </w:t>
            </w:r>
            <w:proofErr w:type="spellStart"/>
            <w:r w:rsidRPr="00AA1421">
              <w:rPr>
                <w:rFonts w:ascii="Times New Roman" w:hAnsi="Times New Roman"/>
                <w:bCs/>
                <w:sz w:val="24"/>
              </w:rPr>
              <w:t>ppkt</w:t>
            </w:r>
            <w:proofErr w:type="spellEnd"/>
            <w:r w:rsidRPr="00AA1421">
              <w:rPr>
                <w:rFonts w:ascii="Times New Roman" w:hAnsi="Times New Roman"/>
                <w:bCs/>
                <w:sz w:val="24"/>
              </w:rPr>
              <w:t xml:space="preserve"> (ii), MSSF 9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5</w:t>
            </w:r>
            <w:r w:rsidRPr="00AA1421">
              <w:rPr>
                <w:rFonts w:ascii="Times New Roman" w:hAnsi="Times New Roman"/>
                <w:bCs/>
                <w:sz w:val="24"/>
              </w:rPr>
              <w:t>.5.20; MSR 37, MSSF 4, część 2.11 załącznika V do niniejszego rozporządzenia wykonawczego.</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Rezerwy z tytułu wszystkich ekspozycji pozabilansowych bez względu na sposób ich wyceny, z wyjątkiem ekspozycji wycenianych według wartości godziwej przez wynik finansowy zgodnie z MSSF 9.</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Zgodnie z MSSF utratę wartości udzielonego zobowiązania do udzielenia pożyczki zgłasza się w kolumnie 150, w przypadku gdy instytucja nie jest w stanie odrębnie określić oczekiwanych strat kredytowych związanych z wykorzystaną i niewykorzystaną kwotą instrumentu dłużnego. W przypadku gdy połączone oczekiwane straty kredytowe dla tego instrumentu finansowego przekraczają wartość bilansową brutto elementu pożyczki w ramach tego instrumentu, pozostałe saldo oczekiwanych strat kredytowych zgłasza się jako rezerwę w kolumnie 0250.</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0260</w:t>
            </w:r>
          </w:p>
        </w:tc>
        <w:tc>
          <w:tcPr>
            <w:tcW w:w="8640"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Skumulowane ujemne zmiany wartości godziwej z powodu ryzyka kredytowego </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 przypadku pozycji pozabilansowych wycenianych według wartości godziwej przez wynik finansowy zgodnie z MSSF 9 – skumulowane ujemne zmiany wartości godziwej z powodu ryzyka kredytowego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10 załącznika V do niniejszego rozporządzenia wykonawczego).</w:t>
            </w:r>
          </w:p>
          <w:p w:rsidR="00FD54FC" w:rsidRPr="00AA1421" w:rsidRDefault="00730040" w:rsidP="00FD54FC">
            <w:pPr>
              <w:spacing w:before="0" w:after="0"/>
              <w:ind w:left="33"/>
              <w:rPr>
                <w:rFonts w:ascii="Times New Roman" w:hAnsi="Times New Roman"/>
                <w:b/>
                <w:bCs/>
                <w:sz w:val="24"/>
                <w:u w:val="single"/>
              </w:rPr>
            </w:pPr>
            <w:r w:rsidRPr="00AA1421">
              <w:rPr>
                <w:rFonts w:ascii="Times New Roman" w:hAnsi="Times New Roman"/>
                <w:bCs/>
                <w:sz w:val="24"/>
                <w:u w:val="single"/>
              </w:rPr>
              <w:t xml:space="preserve"> </w:t>
            </w:r>
          </w:p>
        </w:tc>
      </w:tr>
      <w:tr w:rsidR="00FD54FC" w:rsidRPr="00AA142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Del="008D1680" w:rsidRDefault="00535792" w:rsidP="00B74792">
            <w:pPr>
              <w:spacing w:before="0" w:after="0"/>
              <w:ind w:left="33"/>
              <w:rPr>
                <w:rFonts w:ascii="Times New Roman" w:hAnsi="Times New Roman"/>
                <w:bCs/>
                <w:sz w:val="24"/>
              </w:rPr>
            </w:pPr>
            <w:r w:rsidRPr="00AA1421">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Pozycja uzupełniająca: kredytowe instrumenty pochodne sprzedane w związku z ekspozycjami wobec sektora instytucji rządowych i samorządowych</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Należy zgłosić kredytowe instrumenty pochodne, które nie spełniają definicji gwarancji finansowych określonych w załączniku V część 2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5</w:t>
            </w:r>
            <w:r w:rsidRPr="00AA1421">
              <w:rPr>
                <w:rFonts w:ascii="Times New Roman" w:hAnsi="Times New Roman"/>
                <w:bCs/>
                <w:sz w:val="24"/>
              </w:rPr>
              <w:t>8, których instytucja sprawozdająca udzieliła kontrahentom innym niż sektor instytucji rządowych i samorządowych i których ekspozycją referencyjną jest sektor instytucji rządowych i samorządowych.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lastRenderedPageBreak/>
              <w:t xml:space="preserve">Kolumn tych nie zgłasza się dla ekspozycji w podziale według ryzyka, podejścia regulacyjnego i kategorii ekspozycji (wiersze 0020 </w:t>
            </w:r>
            <w:r w:rsidRPr="00084F66">
              <w:rPr>
                <w:rFonts w:ascii="Times New Roman" w:hAnsi="Times New Roman"/>
                <w:bCs/>
                <w:sz w:val="24"/>
              </w:rPr>
              <w:t>do</w:t>
            </w:r>
            <w:r w:rsidR="00084F66" w:rsidRPr="00084F66">
              <w:rPr>
                <w:rFonts w:ascii="Times New Roman" w:hAnsi="Times New Roman"/>
                <w:bCs/>
                <w:sz w:val="24"/>
              </w:rPr>
              <w:t> </w:t>
            </w:r>
            <w:r w:rsidRPr="00084F66">
              <w:rPr>
                <w:rFonts w:ascii="Times New Roman" w:hAnsi="Times New Roman"/>
                <w:bCs/>
                <w:sz w:val="24"/>
              </w:rPr>
              <w:t>0</w:t>
            </w:r>
            <w:r w:rsidRPr="00AA1421">
              <w:rPr>
                <w:rFonts w:ascii="Times New Roman" w:hAnsi="Times New Roman"/>
                <w:bCs/>
                <w:sz w:val="24"/>
              </w:rPr>
              <w:t>160).</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Del="008D1680"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Instrumenty pochodne o dodatniej wartości godziwej – wartość bilansowa</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Zagregowana wartość bilansowa kredytowych instrumentów pochodnych sprzedanych w związku ze zgłoszonymi ekspozycjami wobec sektora instytucji rządowych i samorządowych, których wartość godziwa jest dodatnia dla instytucji na sprawozdawczy dzień odniesienia, bez uwzględniania korekt z tytułu ostrożnej wyceny.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 przypadku instrumentów pochodnych zgodnie z MSSF kwota, którą należy zgłosić w tej kolumnie, jest wartością bilansową instrumentów pochodnych będących aktywami finansowymi na dzień sprawozdawczy.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 przypadku instrumentów pochodnych zgodnie z krajowymi ogólnie przyjętymi zasadami rachunkowości opartymi na BAD kwota, którą należy zgłosić w tej kolumnie, jest wartością godziwą instrumentów pochodnych o dodatniej wartości godziwej na sprawozdawczy dzień odniesienia, bez względu na sposób ich ujęcia.</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Del="008D1680" w:rsidRDefault="00535792" w:rsidP="00FD54FC">
            <w:pPr>
              <w:spacing w:before="0" w:after="0"/>
              <w:ind w:left="33"/>
              <w:rPr>
                <w:rFonts w:ascii="Times New Roman" w:hAnsi="Times New Roman"/>
                <w:bCs/>
                <w:sz w:val="24"/>
              </w:rPr>
            </w:pPr>
            <w:r w:rsidRPr="00AA1421">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Instrumenty pochodne o ujemnej wartości godziwej – wartość bilansowa</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Zagregowana wartość bilansowa kredytowych instrumentów pochodnych sprzedanych w związku ze zgłoszonymi ekspozycjami wobec sektora instytucji rządowych i samorządowych, których wartość godziwa jest ujemna dla instytucji na sprawozdawczy dzień odniesienia, bez uwzględniania korekt z tytułu ostrożnej wyceny.</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W przypadku instrumentów pochodnych zgodnie z MSSF kwota, którą należy zgłosić w tej kolumnie, jest wartością bilansową instrumentów pochodnych będących zobowiązaniami finansowymi na dzień sprawozdawczy.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Cs/>
                <w:sz w:val="24"/>
              </w:rPr>
              <w:t>W przypadku instrumentów pochodnych zgodnie z krajowymi ogólnie przyjętymi zasadami rachunkowości opartymi na BAD kwota, którą należy zgłosić w tej kolumnie, jest wartością godziwą instrumentów pochodnych o ujemnej wartości godziwej na sprawozdawczy dzień odniesienia, bez względu na sposób ich ujęcia.</w:t>
            </w:r>
            <w:r w:rsidRPr="00AA1421">
              <w:rPr>
                <w:rFonts w:ascii="Times New Roman" w:hAnsi="Times New Roman"/>
                <w:b/>
                <w:bCs/>
                <w:sz w:val="24"/>
                <w:u w:val="single"/>
              </w:rPr>
              <w:t xml:space="preserve"> </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Del="008D1680" w:rsidRDefault="00535792" w:rsidP="00FD54FC">
            <w:pPr>
              <w:spacing w:before="0" w:after="0"/>
              <w:ind w:left="33"/>
              <w:rPr>
                <w:rFonts w:ascii="Times New Roman" w:hAnsi="Times New Roman"/>
                <w:bCs/>
                <w:sz w:val="24"/>
              </w:rPr>
            </w:pPr>
            <w:r w:rsidRPr="00AA1421">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Wartość ekspozycji</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Wartość ekspozycji dla ekspozycji podlegających ramom ryzyka kredytowego.</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Dla ekspozycji w ramach metody standardowej: zob.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11 CRR. Dla ekspozycji w ramach metody IRB: zob.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66 CRR oraz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30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zdanie drugie CRR.</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 odniesieniu do zgłaszania instrumentów pochodnych podlegających zarówno ryzyku kredytowemu kontrahenta, jak i narzutom kapitałowym z tytułu ryzyka rynkowego – zob. instrukcje dotyczące podziału wierszy.</w:t>
            </w:r>
          </w:p>
          <w:p w:rsidR="00454026" w:rsidRPr="00AA1421" w:rsidRDefault="00454026" w:rsidP="00FD54FC">
            <w:pPr>
              <w:spacing w:before="0" w:after="0"/>
              <w:ind w:left="33"/>
              <w:rPr>
                <w:rFonts w:ascii="Times New Roman" w:hAnsi="Times New Roman"/>
                <w:bCs/>
                <w:sz w:val="24"/>
                <w:lang w:eastAsia="de-DE"/>
              </w:rPr>
            </w:pPr>
          </w:p>
          <w:p w:rsidR="00454026" w:rsidRPr="00AA1421" w:rsidRDefault="00454026" w:rsidP="00FD54FC">
            <w:pPr>
              <w:spacing w:before="0" w:after="0"/>
              <w:ind w:left="33"/>
              <w:rPr>
                <w:rFonts w:ascii="Times New Roman" w:hAnsi="Times New Roman"/>
                <w:bCs/>
                <w:sz w:val="24"/>
              </w:rPr>
            </w:pPr>
            <w:r w:rsidRPr="00AA1421">
              <w:rPr>
                <w:rFonts w:ascii="Times New Roman" w:hAnsi="Times New Roman"/>
                <w:bCs/>
                <w:sz w:val="24"/>
              </w:rPr>
              <w:t xml:space="preserve">Ekspozycji zgłoszonych w kolumnach 0270 i 0280 nie bierze się pod uwagę na potrzeby przedmiotowej kolumny, ponieważ wartość podaną w przedmiotowej kolumnie ustala się wyłącznie w oparciu o ekspozycje bezpośrednie. </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 xml:space="preserve">Kwota ekspozycji ważonej ryzykiem </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Kwota ekspozycji ważonej ryzykiem dla ekspozycji podlegających ramom ryzyka kredytowego. </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Dla ekspozycji w ramach metody standardowej: zob.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13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–5 CRR. Dla ekspozycji w ramach metody IRB: zob.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53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 i 3 CRR.</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Do celów zgłaszania ekspozycji bezpośrednich objętych zakresem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71 CRR i podlegających wymogom w zakresie funduszy własnych z tytułu zarówno ryzyka kredytowego kontrahenta, jak i ryzyka rynkowego – zob. instrukcje dotyczące podziału wierszy.</w:t>
            </w:r>
          </w:p>
          <w:p w:rsidR="00454026" w:rsidRPr="00AA1421" w:rsidRDefault="00454026" w:rsidP="00FD54FC">
            <w:pPr>
              <w:spacing w:before="0" w:after="0"/>
              <w:ind w:left="33"/>
              <w:rPr>
                <w:rFonts w:ascii="Times New Roman" w:hAnsi="Times New Roman"/>
                <w:bCs/>
                <w:sz w:val="24"/>
                <w:lang w:eastAsia="de-DE"/>
              </w:rPr>
            </w:pPr>
          </w:p>
          <w:p w:rsidR="00FD54FC" w:rsidRPr="00AA1421" w:rsidRDefault="00454026" w:rsidP="00854146">
            <w:pPr>
              <w:spacing w:before="0" w:after="0"/>
              <w:ind w:left="33"/>
              <w:rPr>
                <w:rFonts w:ascii="Times New Roman" w:hAnsi="Times New Roman"/>
                <w:b/>
                <w:bCs/>
                <w:sz w:val="24"/>
                <w:u w:val="single"/>
              </w:rPr>
            </w:pPr>
            <w:r w:rsidRPr="00AA1421">
              <w:rPr>
                <w:rFonts w:ascii="Times New Roman" w:hAnsi="Times New Roman"/>
                <w:bCs/>
                <w:sz w:val="24"/>
              </w:rPr>
              <w:t xml:space="preserve">Ekspozycje zgłoszone w kolumnach 0270 i 0280 nie są brane pod uwagę na potrzeby przedmiotowej kolumny, ponieważ wartość podaną w przedmiotowej kolumnie ustala się wyłącznie w oparciu o ekspozycje bezpośrednie. </w:t>
            </w:r>
          </w:p>
        </w:tc>
      </w:tr>
    </w:tbl>
    <w:p w:rsidR="00FD54FC" w:rsidRPr="00AA1421"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AA1421" w:rsidTr="00672D2A">
        <w:tc>
          <w:tcPr>
            <w:tcW w:w="1188" w:type="dxa"/>
            <w:shd w:val="clear" w:color="auto" w:fill="CCCCCC"/>
          </w:tcPr>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Wiersze</w:t>
            </w:r>
          </w:p>
        </w:tc>
        <w:tc>
          <w:tcPr>
            <w:tcW w:w="8701" w:type="dxa"/>
            <w:shd w:val="clear" w:color="auto" w:fill="CCCCCC"/>
          </w:tcPr>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Instrukcje</w:t>
            </w:r>
          </w:p>
        </w:tc>
      </w:tr>
      <w:tr w:rsidR="00FD54FC" w:rsidRPr="00AA1421" w:rsidTr="00672D2A">
        <w:tc>
          <w:tcPr>
            <w:tcW w:w="9889" w:type="dxa"/>
            <w:gridSpan w:val="2"/>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PODZIAŁ EKSPOZYCJI WEDŁUG PODEJŚCIA REGULACYJNEGO</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shd w:val="clear" w:color="auto" w:fill="auto"/>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0010</w:t>
            </w:r>
          </w:p>
        </w:tc>
        <w:tc>
          <w:tcPr>
            <w:tcW w:w="8701" w:type="dxa"/>
            <w:shd w:val="clear" w:color="auto" w:fill="auto"/>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całkowite</w:t>
            </w:r>
          </w:p>
          <w:p w:rsidR="00FD54FC" w:rsidRPr="00AA1421" w:rsidRDefault="00FD54FC" w:rsidP="00FD54FC">
            <w:pPr>
              <w:spacing w:before="0" w:after="0"/>
              <w:ind w:left="33"/>
              <w:rPr>
                <w:rFonts w:ascii="Times New Roman" w:hAnsi="Times New Roman"/>
                <w:b/>
                <w:bCs/>
                <w:sz w:val="24"/>
                <w:u w:val="single"/>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Suma ekspozycji wobec sektora instytucji rządowych i samorządowych, zgodnie z definicją w </w:t>
            </w:r>
            <w:r w:rsidRPr="00084F66">
              <w:rPr>
                <w:rFonts w:ascii="Times New Roman" w:hAnsi="Times New Roman"/>
                <w:bCs/>
                <w:sz w:val="24"/>
              </w:rPr>
              <w:t>pkt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55–160 niniejszego załącznika.</w:t>
            </w:r>
          </w:p>
          <w:p w:rsidR="00FD54FC" w:rsidRPr="00AA1421" w:rsidRDefault="00FD54FC"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A85E91">
            <w:pPr>
              <w:spacing w:before="0" w:after="0"/>
              <w:ind w:left="33"/>
              <w:rPr>
                <w:rFonts w:ascii="Times New Roman" w:hAnsi="Times New Roman"/>
                <w:bCs/>
                <w:sz w:val="24"/>
              </w:rPr>
            </w:pPr>
            <w:r w:rsidRPr="00AA1421">
              <w:rPr>
                <w:rFonts w:ascii="Times New Roman" w:hAnsi="Times New Roman"/>
                <w:bCs/>
                <w:sz w:val="24"/>
              </w:rPr>
              <w:t>0020-0155</w:t>
            </w:r>
          </w:p>
        </w:tc>
        <w:tc>
          <w:tcPr>
            <w:tcW w:w="8701" w:type="dxa"/>
          </w:tcPr>
          <w:p w:rsidR="00FD54FC" w:rsidRPr="00AA1421" w:rsidRDefault="00FD54FC" w:rsidP="00FD54FC">
            <w:pPr>
              <w:spacing w:before="0" w:after="0"/>
              <w:ind w:left="33"/>
              <w:rPr>
                <w:rFonts w:ascii="Times New Roman" w:hAnsi="Times New Roman"/>
                <w:bCs/>
                <w:sz w:val="24"/>
              </w:rPr>
            </w:pPr>
            <w:r w:rsidRPr="00AA1421">
              <w:rPr>
                <w:rFonts w:ascii="Times New Roman" w:hAnsi="Times New Roman"/>
                <w:b/>
                <w:bCs/>
                <w:sz w:val="24"/>
                <w:u w:val="single"/>
              </w:rPr>
              <w:t>Ekspozycje podlegające ryzyku kredytowemu</w:t>
            </w:r>
          </w:p>
          <w:p w:rsidR="00FD54FC" w:rsidRPr="00AA1421" w:rsidRDefault="00FD54FC" w:rsidP="00542EAE">
            <w:pPr>
              <w:spacing w:before="0" w:after="0"/>
              <w:ind w:left="33"/>
              <w:rPr>
                <w:rFonts w:ascii="Times New Roman" w:hAnsi="Times New Roman"/>
                <w:bCs/>
                <w:sz w:val="24"/>
                <w:lang w:eastAsia="de-DE"/>
              </w:rPr>
            </w:pPr>
          </w:p>
          <w:p w:rsidR="00542EAE" w:rsidRPr="00AA1421" w:rsidRDefault="00FD54FC" w:rsidP="009068C9">
            <w:pPr>
              <w:spacing w:before="0" w:after="0"/>
              <w:ind w:left="33"/>
              <w:rPr>
                <w:rFonts w:ascii="Times New Roman" w:hAnsi="Times New Roman"/>
                <w:bCs/>
                <w:sz w:val="24"/>
              </w:rPr>
            </w:pPr>
            <w:r w:rsidRPr="00AA1421">
              <w:rPr>
                <w:rFonts w:ascii="Times New Roman" w:hAnsi="Times New Roman"/>
                <w:bCs/>
                <w:sz w:val="24"/>
              </w:rPr>
              <w:t xml:space="preserve">Suma ekspozycji wobec </w:t>
            </w:r>
            <w:r w:rsidRPr="00AA1421">
              <w:rPr>
                <w:rFonts w:ascii="Times New Roman" w:hAnsi="Times New Roman"/>
                <w:sz w:val="24"/>
              </w:rPr>
              <w:t>sektora instytucji rządowych i samorządowych</w:t>
            </w:r>
            <w:r w:rsidRPr="00AA1421">
              <w:rPr>
                <w:rFonts w:ascii="Times New Roman" w:hAnsi="Times New Roman"/>
                <w:bCs/>
                <w:sz w:val="24"/>
              </w:rPr>
              <w:t xml:space="preserve">, która jest ważona ryzykiem zgodnie z częścią trzecią tytuł II CRR. Ekspozycje podlegające ramom ryzyka kredytowego obejmują ekspozycje zarówno z portfela bankowego, jak i z portfela handlowego podlegające narzutowi kapitałowemu z tytułu ryzyka kredytowego kontrahenta. </w:t>
            </w:r>
          </w:p>
          <w:p w:rsidR="00FD54FC" w:rsidRPr="00AA1421" w:rsidRDefault="00FD54FC" w:rsidP="009068C9">
            <w:pPr>
              <w:spacing w:before="0" w:after="0"/>
              <w:ind w:left="33"/>
              <w:rPr>
                <w:rFonts w:ascii="Times New Roman" w:hAnsi="Times New Roman"/>
                <w:bCs/>
                <w:sz w:val="24"/>
                <w:lang w:eastAsia="de-DE"/>
              </w:rPr>
            </w:pPr>
          </w:p>
          <w:p w:rsidR="00542EAE" w:rsidRPr="00AA1421" w:rsidRDefault="00FD54FC" w:rsidP="009068C9">
            <w:pPr>
              <w:spacing w:before="0" w:after="0"/>
              <w:ind w:left="33"/>
              <w:rPr>
                <w:rFonts w:ascii="Times New Roman" w:hAnsi="Times New Roman"/>
                <w:bCs/>
                <w:sz w:val="24"/>
              </w:rPr>
            </w:pPr>
            <w:r w:rsidRPr="00AA1421">
              <w:rPr>
                <w:rFonts w:ascii="Times New Roman" w:hAnsi="Times New Roman"/>
                <w:bCs/>
                <w:sz w:val="24"/>
              </w:rPr>
              <w:t xml:space="preserve">Ekspozycje bezpośrednie objęte zakresem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71 CRR, które podlegają wymogom w zakresie funduszy własnych z tytułu zarówno ryzyka kredytowego kontrahenta, jak i ryzyka rynkowego, zgłasza się zarówno w wierszach dotyczących ryzyka kredytowego (0020–0155), jak i w wierszu dotyczącym ryzyka rynkowego (0160): ekspozycje z tytułu ryzyka kredytowego kontrahenta zgłasza się w wierszach dotyczących ryzyka kredytowego, a ekspozycje z tytułu ryzyka rynkowego zgłasza się w wierszu dotyczącym ryzyka rynkowego.</w:t>
            </w:r>
          </w:p>
          <w:p w:rsidR="00542EAE" w:rsidRPr="00AA1421" w:rsidRDefault="00542EAE" w:rsidP="009068C9">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0030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Metoda standardowa</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Ekspozycje wobec sektora instytucji rządowych i samorządowych, które są ważone ryzykiem zgodnie z częścią trzecią tytuł II rozdział 2 CRR, w tym ekspozycje z portfela bankowego, w przypadku których ważenie ryzykiem zgodnie z tym rozdziałem uwzględnia ryzyko kredytowe kontrahenta.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0040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rządów centralnych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lastRenderedPageBreak/>
              <w:t xml:space="preserve">Ekspozycje wobec instytucji rządowych i samorządowych, które są rządami centralnymi. Ekspozycje te są przypisywane do kategorii ekspozycji „ekspozycje wobec rządów centralnych lub banków centralnych”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12 i 114 CRR,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0050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samorządów regionalnych lub władz lokalnych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samorządami regionalnymi lub władzami lokalnymi. Ekspozycje te są przypisywane do kategorii ekspozycji „ekspozycje wobec samorządów regionalnych lub władz lokalnych”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12 i 115 CRR,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0060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podmiotów sektora publicznego</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podmiotami sektora publicznego. Ekspozycje te są przypisywane do kategorii ekspozycji „ekspozycje wobec podmiotów sektora publicznego”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12 i 116 CRR,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0070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organizacji międzynarodowych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530BA1"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organizacjami międzynarodowymi. Ekspozycje te są przypisywane do kategorii ekspozycji „ekspozycje wobec organizacji międzynarodowych”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12 i 118 CRR, jak określono w instrukcjach dla wzoru C 07.00,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
                <w:bCs/>
                <w:sz w:val="24"/>
                <w:u w:val="single"/>
                <w:lang w:eastAsia="de-DE"/>
              </w:rPr>
            </w:pPr>
          </w:p>
        </w:tc>
      </w:tr>
      <w:tr w:rsidR="00CE47AF" w:rsidRPr="00AA1421" w:rsidTr="00672D2A">
        <w:tc>
          <w:tcPr>
            <w:tcW w:w="1188" w:type="dxa"/>
          </w:tcPr>
          <w:p w:rsidR="00CE47AF"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0075</w:t>
            </w:r>
          </w:p>
        </w:tc>
        <w:tc>
          <w:tcPr>
            <w:tcW w:w="8701" w:type="dxa"/>
          </w:tcPr>
          <w:p w:rsidR="00CE47AF" w:rsidRPr="00AA1421" w:rsidRDefault="00CE47AF" w:rsidP="00FD54FC">
            <w:pPr>
              <w:spacing w:before="0" w:after="0"/>
              <w:ind w:left="33"/>
              <w:rPr>
                <w:rFonts w:ascii="Times New Roman" w:hAnsi="Times New Roman"/>
                <w:b/>
                <w:bCs/>
                <w:sz w:val="24"/>
                <w:u w:val="single"/>
              </w:rPr>
            </w:pPr>
            <w:r w:rsidRPr="00AA1421">
              <w:rPr>
                <w:rFonts w:ascii="Times New Roman" w:hAnsi="Times New Roman"/>
                <w:b/>
                <w:bCs/>
                <w:sz w:val="24"/>
                <w:u w:val="single"/>
              </w:rPr>
              <w:t>Inne ekspozycje wobec sektora instytucji rządowych i samorządowych objęte metodą standardową</w:t>
            </w:r>
          </w:p>
          <w:p w:rsidR="00CE47AF" w:rsidRPr="00AA1421" w:rsidRDefault="00CE47AF" w:rsidP="00CE47AF">
            <w:pPr>
              <w:spacing w:before="0" w:after="0"/>
              <w:ind w:left="33"/>
              <w:rPr>
                <w:rFonts w:ascii="Times New Roman" w:hAnsi="Times New Roman"/>
                <w:bCs/>
                <w:sz w:val="24"/>
                <w:lang w:eastAsia="de-DE"/>
              </w:rPr>
            </w:pPr>
          </w:p>
          <w:p w:rsidR="00CE47AF" w:rsidRPr="00AA1421" w:rsidRDefault="00530BA1" w:rsidP="00FD54FC">
            <w:pPr>
              <w:spacing w:before="0" w:after="0"/>
              <w:ind w:left="33"/>
              <w:rPr>
                <w:rFonts w:ascii="Times New Roman" w:hAnsi="Times New Roman"/>
                <w:bCs/>
                <w:sz w:val="24"/>
              </w:rPr>
            </w:pPr>
            <w:r w:rsidRPr="00AA1421">
              <w:rPr>
                <w:rFonts w:ascii="Times New Roman" w:hAnsi="Times New Roman"/>
                <w:bCs/>
                <w:sz w:val="24"/>
              </w:rPr>
              <w:t xml:space="preserve">Ekspozycje wobec sektora instytucji rządowych i samorządowych inne niż uwzględnione w wierszach 0040–0070 powyżej, które przypisano do klasy ekspozycji według metody standardowej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12 CRR do celów obliczania wymogów w zakresie funduszy własnych.</w:t>
            </w:r>
          </w:p>
          <w:p w:rsidR="00530BA1" w:rsidRPr="00AA1421" w:rsidRDefault="00530BA1" w:rsidP="00530BA1">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0080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Metoda IRB</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Ekspozycje wobec sektora instytucji rządowych i samorządowych, które są ważone ryzykiem zgodnie z częścią trzecią tytuł II rozdział 3 CRR, w tym ekspozycje z portfela bankowego, w przypadku których ważenie ryzykiem zgodnie z tym rozdziałem uwzględnia ryzyko kredytowe kontrahenta.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0090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rządów centralnych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rządami centralnymi, przypisywane do kategorii ekspozycji „ekspozycje wobec rządów centralnych i banków centralnych”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CRR,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0100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samorządów regionalnych lub władz lokalnych [ekspozycje wobec rządów centralnych i banków centralnych]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samorządami regionalnymi lub władzami lokalnymi, przypisywane do kategorii ekspozycji „ekspozycje wobec rządów centralnych i banków centralnych”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CRR,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0110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samorządów regionalnych lub władz lokalnych [ekspozycje wobec instytucji]</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samorządami regionalnymi lub władzami lokalnymi, przypisywane do kategorii ekspozycji „ekspozycje wobec instytucji”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CRR,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0120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podmiotów sektora publicznego [ekspozycje wobec rządów centralnych i banków centralnych]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podmiotami sektora publicznego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CRR, przypisywane do kategorii ekspozycji „ekspozycje wobec rządów centralnych i banków centralnych”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a)</w:t>
            </w:r>
            <w:r w:rsidRPr="00AA1421">
              <w:rPr>
                <w:rFonts w:ascii="Times New Roman" w:hAnsi="Times New Roman"/>
                <w:bCs/>
                <w:sz w:val="24"/>
              </w:rPr>
              <w:t xml:space="preserve"> CRR, jak określono w instrukcjach dla wzoru C 08.01 i C 08.02, z wyjątkiem instrukcji dotyczących przeniesienia ekspozycji wobec sektora instytucji rządowych i samorządowych do innych kategorii ekspozycji wskutek stosowania technik ograniczania ryzyka </w:t>
            </w:r>
            <w:r w:rsidRPr="00AA1421">
              <w:rPr>
                <w:rFonts w:ascii="Times New Roman" w:hAnsi="Times New Roman"/>
                <w:bCs/>
                <w:sz w:val="24"/>
              </w:rPr>
              <w:lastRenderedPageBreak/>
              <w:t>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lastRenderedPageBreak/>
              <w:t>0130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podmiotów sektora publicznego [ekspozycje wobec instytucji]</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podmiotami sektora publicznego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8</w:t>
            </w:r>
            <w:r w:rsidRPr="00AA1421">
              <w:rPr>
                <w:rFonts w:ascii="Times New Roman" w:hAnsi="Times New Roman"/>
                <w:bCs/>
                <w:sz w:val="24"/>
              </w:rPr>
              <w:t xml:space="preserve"> CRR, przypisywane do kategorii ekspozycji „ekspozycje wobec instytucji”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4</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b)</w:t>
            </w:r>
            <w:r w:rsidRPr="00AA1421">
              <w:rPr>
                <w:rFonts w:ascii="Times New Roman" w:hAnsi="Times New Roman"/>
                <w:bCs/>
                <w:sz w:val="24"/>
              </w:rPr>
              <w:t xml:space="preserve"> CRR,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Del="00C211CB" w:rsidRDefault="00535792" w:rsidP="00FD54FC">
            <w:pPr>
              <w:spacing w:before="0" w:after="0"/>
              <w:ind w:left="33"/>
              <w:rPr>
                <w:rFonts w:ascii="Times New Roman" w:hAnsi="Times New Roman"/>
                <w:bCs/>
                <w:sz w:val="24"/>
              </w:rPr>
            </w:pPr>
            <w:r w:rsidRPr="00AA1421">
              <w:rPr>
                <w:rFonts w:ascii="Times New Roman" w:hAnsi="Times New Roman"/>
                <w:bCs/>
                <w:sz w:val="24"/>
              </w:rPr>
              <w:t>0140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wobec organizacji międzynarodowych [ekspozycje wobec rządów centralnych i banków centralnych]</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wobec instytucji rządowych i samorządowych, które są organizacjami międzynarodowymi, przypisywane do kategorii ekspozycji „ekspozycje wobec rządów centralnych i banków centralnych”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 xml:space="preserve">47 </w:t>
            </w:r>
            <w:r w:rsidRPr="00084F66">
              <w:rPr>
                <w:rFonts w:ascii="Times New Roman" w:hAnsi="Times New Roman"/>
                <w:bCs/>
                <w:sz w:val="24"/>
              </w:rPr>
              <w:t>ust.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 xml:space="preserve"> </w:t>
            </w:r>
            <w:r w:rsidRPr="00084F66">
              <w:rPr>
                <w:rFonts w:ascii="Times New Roman" w:hAnsi="Times New Roman"/>
                <w:bCs/>
                <w:sz w:val="24"/>
              </w:rPr>
              <w:t>lit.</w:t>
            </w:r>
            <w:r w:rsidR="00084F66" w:rsidRPr="00084F66">
              <w:rPr>
                <w:rFonts w:ascii="Times New Roman" w:hAnsi="Times New Roman"/>
                <w:bCs/>
                <w:sz w:val="24"/>
              </w:rPr>
              <w:t> </w:t>
            </w:r>
            <w:r w:rsidRPr="00084F66">
              <w:rPr>
                <w:rFonts w:ascii="Times New Roman" w:hAnsi="Times New Roman"/>
                <w:bCs/>
                <w:sz w:val="24"/>
              </w:rPr>
              <w:t>c)</w:t>
            </w:r>
            <w:r w:rsidRPr="00AA1421">
              <w:rPr>
                <w:rFonts w:ascii="Times New Roman" w:hAnsi="Times New Roman"/>
                <w:bCs/>
                <w:sz w:val="24"/>
              </w:rPr>
              <w:t xml:space="preserve"> CRR, jak określono w instrukcjach dla wzoru C 08.01 i C 08.02, z wyjątkiem instrukcji dotyczących przeniesienia ekspozycji wobec sektora instytucji rządowych i samorządowych do innych kategorii ekspozycji wskutek stosowania technik ograniczania ryzyka kredytowego z uwzględnieniem efektów substytucyjnych w odniesieniu do ekspozycji, które to instrukcje nie mają zastosowania.</w:t>
            </w:r>
          </w:p>
          <w:p w:rsidR="00FD54FC" w:rsidRPr="00AA1421" w:rsidRDefault="00FD54FC" w:rsidP="00FD54FC">
            <w:pPr>
              <w:spacing w:before="0" w:after="0"/>
              <w:ind w:left="33"/>
              <w:rPr>
                <w:rFonts w:ascii="Times New Roman" w:hAnsi="Times New Roman"/>
                <w:b/>
                <w:bCs/>
                <w:sz w:val="24"/>
                <w:u w:val="single"/>
                <w:lang w:eastAsia="de-DE"/>
              </w:rPr>
            </w:pPr>
          </w:p>
        </w:tc>
      </w:tr>
      <w:tr w:rsidR="00530BA1" w:rsidRPr="00AA1421" w:rsidTr="00672D2A">
        <w:tc>
          <w:tcPr>
            <w:tcW w:w="1188" w:type="dxa"/>
          </w:tcPr>
          <w:p w:rsidR="00530BA1"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0155</w:t>
            </w:r>
          </w:p>
        </w:tc>
        <w:tc>
          <w:tcPr>
            <w:tcW w:w="8701" w:type="dxa"/>
          </w:tcPr>
          <w:p w:rsidR="00530BA1" w:rsidRPr="00AA1421" w:rsidRDefault="00530BA1" w:rsidP="00530BA1">
            <w:pPr>
              <w:spacing w:before="0" w:after="0"/>
              <w:ind w:left="33"/>
              <w:rPr>
                <w:rFonts w:ascii="Times New Roman" w:hAnsi="Times New Roman"/>
                <w:b/>
                <w:bCs/>
                <w:sz w:val="24"/>
                <w:u w:val="single"/>
              </w:rPr>
            </w:pPr>
            <w:r w:rsidRPr="00AA1421">
              <w:rPr>
                <w:rFonts w:ascii="Times New Roman" w:hAnsi="Times New Roman"/>
                <w:b/>
                <w:bCs/>
                <w:sz w:val="24"/>
                <w:u w:val="single"/>
              </w:rPr>
              <w:t>Inne ekspozycje wobec sektora instytucji rządowych i samorządowych objęte metodą wewnętrznych rankingów</w:t>
            </w:r>
          </w:p>
          <w:p w:rsidR="00530BA1" w:rsidRPr="00AA1421" w:rsidRDefault="00530BA1" w:rsidP="00530BA1">
            <w:pPr>
              <w:spacing w:before="0" w:after="0"/>
              <w:ind w:left="33"/>
              <w:rPr>
                <w:rFonts w:ascii="Times New Roman" w:hAnsi="Times New Roman"/>
                <w:bCs/>
                <w:sz w:val="24"/>
                <w:lang w:eastAsia="de-DE"/>
              </w:rPr>
            </w:pPr>
          </w:p>
          <w:p w:rsidR="00530BA1" w:rsidRPr="00AA1421" w:rsidRDefault="00530BA1" w:rsidP="00530BA1">
            <w:pPr>
              <w:spacing w:before="0" w:after="0"/>
              <w:ind w:left="33"/>
              <w:rPr>
                <w:rFonts w:ascii="Times New Roman" w:hAnsi="Times New Roman"/>
                <w:bCs/>
                <w:sz w:val="24"/>
              </w:rPr>
            </w:pPr>
            <w:r w:rsidRPr="00AA1421">
              <w:rPr>
                <w:rFonts w:ascii="Times New Roman" w:hAnsi="Times New Roman"/>
                <w:bCs/>
                <w:sz w:val="24"/>
              </w:rPr>
              <w:t xml:space="preserve">Ekspozycje wobec sektora instytucji rządowych i samorządowych inne niż uwzględnione w wierszach 0090–0140 powyżej, które przypisano do klasy ekspozycji według metody wewnętrznych rankingów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1</w:t>
            </w:r>
            <w:r w:rsidRPr="00AA1421">
              <w:rPr>
                <w:rFonts w:ascii="Times New Roman" w:hAnsi="Times New Roman"/>
                <w:bCs/>
                <w:sz w:val="24"/>
              </w:rPr>
              <w:t>47 CRR do celów obliczania wymogów w zakresie funduszy własnych.</w:t>
            </w:r>
          </w:p>
          <w:p w:rsidR="00530BA1" w:rsidRPr="00AA1421" w:rsidRDefault="00530BA1" w:rsidP="00FD54FC">
            <w:pPr>
              <w:spacing w:before="0" w:after="0"/>
              <w:ind w:left="33"/>
              <w:rPr>
                <w:rFonts w:ascii="Times New Roman" w:hAnsi="Times New Roman"/>
                <w:b/>
                <w:bCs/>
                <w:sz w:val="24"/>
                <w:u w:val="single"/>
                <w:lang w:eastAsia="de-DE"/>
              </w:rPr>
            </w:pPr>
          </w:p>
        </w:tc>
      </w:tr>
      <w:tr w:rsidR="00FD54FC" w:rsidRPr="00AA1421" w:rsidTr="00672D2A">
        <w:tc>
          <w:tcPr>
            <w:tcW w:w="1188" w:type="dxa"/>
          </w:tcPr>
          <w:p w:rsidR="00FD54FC" w:rsidRPr="00AA1421" w:rsidRDefault="00535792" w:rsidP="00FD54FC">
            <w:pPr>
              <w:spacing w:before="0" w:after="0"/>
              <w:ind w:left="33"/>
              <w:rPr>
                <w:rFonts w:ascii="Times New Roman" w:hAnsi="Times New Roman"/>
                <w:bCs/>
                <w:sz w:val="24"/>
              </w:rPr>
            </w:pPr>
            <w:r w:rsidRPr="00AA1421">
              <w:rPr>
                <w:rFonts w:ascii="Times New Roman" w:hAnsi="Times New Roman"/>
                <w:bCs/>
                <w:sz w:val="24"/>
              </w:rPr>
              <w:t>0160</w:t>
            </w:r>
          </w:p>
        </w:tc>
        <w:tc>
          <w:tcPr>
            <w:tcW w:w="8701" w:type="dxa"/>
          </w:tcPr>
          <w:p w:rsidR="00FD54FC" w:rsidRPr="00AA1421" w:rsidRDefault="00FD54FC" w:rsidP="00FD54FC">
            <w:pPr>
              <w:spacing w:before="0" w:after="0"/>
              <w:ind w:left="33"/>
              <w:rPr>
                <w:rFonts w:ascii="Times New Roman" w:hAnsi="Times New Roman"/>
                <w:b/>
                <w:bCs/>
                <w:sz w:val="24"/>
                <w:u w:val="single"/>
              </w:rPr>
            </w:pPr>
            <w:r w:rsidRPr="00AA1421">
              <w:rPr>
                <w:rFonts w:ascii="Times New Roman" w:hAnsi="Times New Roman"/>
                <w:b/>
                <w:bCs/>
                <w:sz w:val="24"/>
                <w:u w:val="single"/>
              </w:rPr>
              <w:t>Ekspozycje podlegające ryzyku rynkowemu</w:t>
            </w:r>
          </w:p>
          <w:p w:rsidR="00FD54FC" w:rsidRPr="00AA1421" w:rsidRDefault="00FD54FC" w:rsidP="00FD54FC">
            <w:pPr>
              <w:spacing w:before="0" w:after="0"/>
              <w:ind w:left="33"/>
              <w:rPr>
                <w:rFonts w:ascii="Times New Roman" w:hAnsi="Times New Roman"/>
                <w:bCs/>
                <w:sz w:val="24"/>
                <w:lang w:eastAsia="de-DE"/>
              </w:rPr>
            </w:pPr>
          </w:p>
          <w:p w:rsidR="00262B22" w:rsidRPr="00AA1421" w:rsidRDefault="00DA4AAE" w:rsidP="00FD54FC">
            <w:pPr>
              <w:spacing w:before="0" w:after="0"/>
              <w:ind w:left="33"/>
              <w:rPr>
                <w:rFonts w:ascii="Times New Roman" w:hAnsi="Times New Roman"/>
                <w:bCs/>
                <w:sz w:val="24"/>
              </w:rPr>
            </w:pPr>
            <w:r w:rsidRPr="00AA1421">
              <w:rPr>
                <w:rFonts w:ascii="Times New Roman" w:hAnsi="Times New Roman"/>
                <w:bCs/>
                <w:sz w:val="24"/>
              </w:rPr>
              <w:t>Przedmiotowy wiersz obejmuje pozycje, dla których oblicza się jeden z następujących wymogów w zakresie funduszy własnych zgodnie z przepisami części trzeciej tytuł IV CRR:</w:t>
            </w:r>
          </w:p>
          <w:p w:rsidR="00AB5C94" w:rsidRPr="00AA1421" w:rsidRDefault="00262B22" w:rsidP="000911FE">
            <w:pPr>
              <w:pStyle w:val="ListParagraph"/>
              <w:numPr>
                <w:ilvl w:val="0"/>
                <w:numId w:val="31"/>
              </w:numPr>
              <w:rPr>
                <w:rFonts w:ascii="Times New Roman" w:hAnsi="Times New Roman"/>
                <w:bCs/>
                <w:sz w:val="24"/>
              </w:rPr>
            </w:pPr>
            <w:r w:rsidRPr="00AA1421">
              <w:rPr>
                <w:rFonts w:ascii="Times New Roman" w:hAnsi="Times New Roman"/>
                <w:bCs/>
                <w:sz w:val="24"/>
              </w:rPr>
              <w:t xml:space="preserve">wymogi w zakresie funduszy własnych z tytułu ryzyka pozycji zgodnie z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3</w:t>
            </w:r>
            <w:r w:rsidRPr="00AA1421">
              <w:rPr>
                <w:rFonts w:ascii="Times New Roman" w:hAnsi="Times New Roman"/>
                <w:bCs/>
                <w:sz w:val="24"/>
              </w:rPr>
              <w:t>26 CRR;</w:t>
            </w:r>
          </w:p>
          <w:p w:rsidR="00FD54FC" w:rsidRPr="00AA1421" w:rsidRDefault="00AB5C94" w:rsidP="000911FE">
            <w:pPr>
              <w:pStyle w:val="ListParagraph"/>
              <w:numPr>
                <w:ilvl w:val="0"/>
                <w:numId w:val="31"/>
              </w:numPr>
            </w:pPr>
            <w:r w:rsidRPr="00AA1421">
              <w:rPr>
                <w:rFonts w:ascii="Times New Roman" w:hAnsi="Times New Roman"/>
                <w:bCs/>
                <w:sz w:val="24"/>
              </w:rPr>
              <w:t xml:space="preserve">wymogi w zakresie funduszy własnych z tytułu ryzyka szczególnego lub ryzyka ogólnego zgodnie z częścią trzecią tytuł IV rozdział 5 CRR. </w:t>
            </w: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 xml:space="preserve">Ekspozycje bezpośrednie objęte zakresem </w:t>
            </w:r>
            <w:r w:rsidRPr="00084F66">
              <w:rPr>
                <w:rFonts w:ascii="Times New Roman" w:hAnsi="Times New Roman"/>
                <w:bCs/>
                <w:sz w:val="24"/>
              </w:rPr>
              <w:t>art.</w:t>
            </w:r>
            <w:r w:rsidR="00084F66" w:rsidRPr="00084F66">
              <w:rPr>
                <w:rFonts w:ascii="Times New Roman" w:hAnsi="Times New Roman"/>
                <w:bCs/>
                <w:sz w:val="24"/>
              </w:rPr>
              <w:t> </w:t>
            </w:r>
            <w:r w:rsidRPr="00084F66">
              <w:rPr>
                <w:rFonts w:ascii="Times New Roman" w:hAnsi="Times New Roman"/>
                <w:bCs/>
                <w:sz w:val="24"/>
              </w:rPr>
              <w:t>2</w:t>
            </w:r>
            <w:r w:rsidRPr="00AA1421">
              <w:rPr>
                <w:rFonts w:ascii="Times New Roman" w:hAnsi="Times New Roman"/>
                <w:bCs/>
                <w:sz w:val="24"/>
              </w:rPr>
              <w:t xml:space="preserve">71 CRR, które podlegają wymogom w zakresie funduszy własnych z tytułu zarówno ryzyka kredytowego kontrahenta, jak i ryzyka rynkowego, zgłasza się zarówno w wierszach dotyczących ryzyka kredytowego (0020–0155), jak i w wierszu dotyczącym ryzyka rynkowego (0160): ekspozycje z tytułu </w:t>
            </w:r>
            <w:r w:rsidRPr="00AA1421">
              <w:rPr>
                <w:rFonts w:ascii="Times New Roman" w:hAnsi="Times New Roman"/>
                <w:bCs/>
                <w:sz w:val="24"/>
              </w:rPr>
              <w:lastRenderedPageBreak/>
              <w:t>ryzyka kredytowego kontrahenta zgłasza się w wierszach dotyczących ryzyka kredytowego, a ekspozycje z tytułu ryzyka rynkowego zgłasza się w wierszu dotyczącym ryzyka rynkowego.</w:t>
            </w:r>
          </w:p>
          <w:p w:rsidR="00FD54FC" w:rsidRPr="00AA1421" w:rsidRDefault="00FD54FC" w:rsidP="00FD54FC">
            <w:pPr>
              <w:spacing w:before="0" w:after="0"/>
              <w:ind w:left="33"/>
              <w:rPr>
                <w:rFonts w:ascii="Times New Roman" w:hAnsi="Times New Roman"/>
                <w:bCs/>
                <w:sz w:val="24"/>
                <w:lang w:eastAsia="de-DE"/>
              </w:rPr>
            </w:pPr>
          </w:p>
        </w:tc>
      </w:tr>
      <w:tr w:rsidR="00FD54FC" w:rsidRPr="00AA1421" w:rsidTr="00672D2A">
        <w:tc>
          <w:tcPr>
            <w:tcW w:w="1188" w:type="dxa"/>
          </w:tcPr>
          <w:p w:rsidR="00FD54FC" w:rsidRPr="00AA1421" w:rsidRDefault="00535792" w:rsidP="00B74792">
            <w:pPr>
              <w:spacing w:before="0" w:after="0"/>
              <w:ind w:left="33"/>
              <w:rPr>
                <w:rFonts w:ascii="Times New Roman" w:hAnsi="Times New Roman"/>
                <w:bCs/>
                <w:sz w:val="24"/>
              </w:rPr>
            </w:pPr>
            <w:r w:rsidRPr="00AA1421">
              <w:rPr>
                <w:rFonts w:ascii="Times New Roman" w:hAnsi="Times New Roman"/>
                <w:bCs/>
                <w:sz w:val="24"/>
              </w:rPr>
              <w:lastRenderedPageBreak/>
              <w:t>0170-0230</w:t>
            </w:r>
          </w:p>
        </w:tc>
        <w:tc>
          <w:tcPr>
            <w:tcW w:w="8701" w:type="dxa"/>
          </w:tcPr>
          <w:p w:rsidR="00FD54FC" w:rsidRPr="00AA1421" w:rsidRDefault="00FD54FC" w:rsidP="00FD54FC">
            <w:pPr>
              <w:spacing w:before="0" w:after="0"/>
              <w:ind w:left="33"/>
              <w:rPr>
                <w:rFonts w:ascii="Times New Roman" w:hAnsi="Times New Roman"/>
                <w:b/>
                <w:bCs/>
                <w:sz w:val="24"/>
              </w:rPr>
            </w:pPr>
            <w:r w:rsidRPr="00AA1421">
              <w:rPr>
                <w:rFonts w:ascii="Times New Roman" w:hAnsi="Times New Roman"/>
                <w:b/>
                <w:bCs/>
                <w:sz w:val="24"/>
              </w:rPr>
              <w:t>PODZIAŁ CAŁKOWITYCH EKSPOZYCJI WEDŁUG REZYDUALNEGO TERMINU ZAPADALNOŚCI</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Rezydualny termin zapadalności oblicza się jako dni między terminem zapadalności wynikającym z umowy a sprawozdawczym dniem odniesienia dla wszystkich pozycji.</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FD54FC" w:rsidP="00FD54FC">
            <w:pPr>
              <w:spacing w:before="0" w:after="0"/>
              <w:ind w:left="33"/>
              <w:rPr>
                <w:rFonts w:ascii="Times New Roman" w:hAnsi="Times New Roman"/>
                <w:bCs/>
                <w:sz w:val="24"/>
              </w:rPr>
            </w:pPr>
            <w:r w:rsidRPr="00AA1421">
              <w:rPr>
                <w:rFonts w:ascii="Times New Roman" w:hAnsi="Times New Roman"/>
                <w:bCs/>
                <w:sz w:val="24"/>
              </w:rPr>
              <w:t>Ekspozycje wobec sektora instytucji rządowych i samorządowych dzieli się według rezydualnego terminu zapadalności i przypisuje do następujących przedziałów:</w:t>
            </w:r>
          </w:p>
          <w:p w:rsidR="00FD54FC" w:rsidRPr="00AA1421" w:rsidRDefault="00FD54FC" w:rsidP="00FD54FC">
            <w:pPr>
              <w:spacing w:before="0" w:after="0"/>
              <w:ind w:left="33"/>
              <w:rPr>
                <w:rFonts w:ascii="Times New Roman" w:hAnsi="Times New Roman"/>
                <w:bCs/>
                <w:sz w:val="24"/>
                <w:lang w:eastAsia="de-DE"/>
              </w:rPr>
            </w:pP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[0–3 miesiące [</w:t>
            </w:r>
            <w:r w:rsidRPr="00AA1421">
              <w:rPr>
                <w:rFonts w:ascii="Times New Roman" w:hAnsi="Times New Roman"/>
                <w:bCs/>
                <w:sz w:val="24"/>
              </w:rPr>
              <w:t>: mniej niż 90 dni;</w:t>
            </w: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[3 miesiące – 1 rok [</w:t>
            </w:r>
            <w:r w:rsidRPr="00AA1421">
              <w:rPr>
                <w:rFonts w:ascii="Times New Roman" w:hAnsi="Times New Roman"/>
                <w:bCs/>
                <w:sz w:val="24"/>
              </w:rPr>
              <w:t>: co najmniej 90 dni, ale mniej niż 365 dni;</w:t>
            </w: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[1 rok – 2 lata [</w:t>
            </w:r>
            <w:r w:rsidRPr="00AA1421">
              <w:rPr>
                <w:rFonts w:ascii="Times New Roman" w:hAnsi="Times New Roman"/>
                <w:bCs/>
                <w:sz w:val="24"/>
              </w:rPr>
              <w:t>: co najmniej 365 dni, ale mniej niż 730 dni;</w:t>
            </w: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[2 lata – 3 lata [</w:t>
            </w:r>
            <w:r w:rsidRPr="00AA1421">
              <w:rPr>
                <w:rFonts w:ascii="Times New Roman" w:hAnsi="Times New Roman"/>
                <w:bCs/>
                <w:sz w:val="24"/>
              </w:rPr>
              <w:t>: co najmniej 730 dni, ale mniej niż 1 095 dni;</w:t>
            </w: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[3 lata – 5 lat [</w:t>
            </w:r>
            <w:r w:rsidRPr="00AA1421">
              <w:rPr>
                <w:rFonts w:ascii="Times New Roman" w:hAnsi="Times New Roman"/>
                <w:bCs/>
                <w:sz w:val="24"/>
              </w:rPr>
              <w:t>: co najmniej 1 095 dni, ale mniej niż 1 825 dni;</w:t>
            </w: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[5 lat – 10 lat [</w:t>
            </w:r>
            <w:r w:rsidRPr="00AA1421">
              <w:rPr>
                <w:rFonts w:ascii="Times New Roman" w:hAnsi="Times New Roman"/>
                <w:bCs/>
                <w:sz w:val="24"/>
              </w:rPr>
              <w:t>: co najmniej 1 825 dni, ale mniej niż 3 650 dni;</w:t>
            </w:r>
          </w:p>
          <w:p w:rsidR="00FD54FC" w:rsidRPr="00AA1421" w:rsidRDefault="00125707" w:rsidP="0023700C">
            <w:pPr>
              <w:spacing w:before="0" w:after="0"/>
              <w:ind w:left="808" w:hanging="360"/>
              <w:rPr>
                <w:rFonts w:ascii="Times New Roman" w:hAnsi="Times New Roman"/>
                <w:bCs/>
                <w:sz w:val="24"/>
              </w:rPr>
            </w:pPr>
            <w:r w:rsidRPr="00AA1421">
              <w:rPr>
                <w:rFonts w:ascii="Symbol" w:hAnsi="Symbol"/>
                <w:bCs/>
                <w:sz w:val="24"/>
              </w:rPr>
              <w:t></w:t>
            </w:r>
            <w:r w:rsidRPr="00AA1421">
              <w:tab/>
            </w:r>
            <w:r w:rsidRPr="00AA1421">
              <w:rPr>
                <w:rFonts w:ascii="Times New Roman" w:hAnsi="Times New Roman"/>
                <w:b/>
                <w:bCs/>
                <w:sz w:val="24"/>
              </w:rPr>
              <w:t>[10 lat i więcej</w:t>
            </w:r>
            <w:r w:rsidRPr="00AA1421">
              <w:rPr>
                <w:rFonts w:ascii="Times New Roman" w:hAnsi="Times New Roman"/>
                <w:bCs/>
                <w:sz w:val="24"/>
              </w:rPr>
              <w:t>: co najmniej 3 650 dni.</w:t>
            </w:r>
          </w:p>
          <w:p w:rsidR="00E1421C" w:rsidRPr="00AA1421" w:rsidRDefault="00E1421C" w:rsidP="0023700C">
            <w:pPr>
              <w:spacing w:before="0" w:after="0"/>
              <w:ind w:left="808" w:hanging="360"/>
              <w:rPr>
                <w:rFonts w:ascii="Times New Roman" w:hAnsi="Times New Roman"/>
                <w:bCs/>
                <w:sz w:val="24"/>
                <w:lang w:eastAsia="de-DE"/>
              </w:rPr>
            </w:pPr>
          </w:p>
          <w:p w:rsidR="00E1421C" w:rsidRPr="00AA1421" w:rsidRDefault="00E1421C" w:rsidP="00E1421C">
            <w:pPr>
              <w:spacing w:before="0" w:after="0"/>
              <w:rPr>
                <w:rFonts w:ascii="Times New Roman" w:hAnsi="Times New Roman"/>
                <w:bCs/>
                <w:sz w:val="24"/>
              </w:rPr>
            </w:pPr>
            <w:r w:rsidRPr="00AA1421">
              <w:rPr>
                <w:rFonts w:ascii="Times New Roman" w:hAnsi="Times New Roman"/>
                <w:bCs/>
                <w:sz w:val="24"/>
              </w:rPr>
              <w:t>Jeżeli termin zapadalności wyznaczony w umowie przypada przed sprawozdawczym dniem odniesienia (tj. różnica między sprawozdawczym dniem odniesienia a terminem zapadalności ma wartość ujemną), ekspozycję przypisuje się do koszyka [0–3 miesiące].</w:t>
            </w:r>
          </w:p>
          <w:p w:rsidR="00E1421C" w:rsidRPr="00AA1421" w:rsidRDefault="00E1421C" w:rsidP="00E1421C">
            <w:pPr>
              <w:spacing w:before="0" w:after="0"/>
              <w:rPr>
                <w:rFonts w:ascii="Times New Roman" w:hAnsi="Times New Roman"/>
                <w:bCs/>
                <w:sz w:val="24"/>
                <w:lang w:eastAsia="de-DE"/>
              </w:rPr>
            </w:pPr>
          </w:p>
          <w:p w:rsidR="00FD54FC" w:rsidRPr="00AA1421" w:rsidRDefault="00E1421C" w:rsidP="00FD54FC">
            <w:pPr>
              <w:spacing w:before="0" w:after="0"/>
              <w:ind w:left="33"/>
              <w:rPr>
                <w:rFonts w:ascii="Times New Roman" w:hAnsi="Times New Roman"/>
                <w:bCs/>
                <w:sz w:val="24"/>
              </w:rPr>
            </w:pPr>
            <w:r w:rsidRPr="00AA1421">
              <w:rPr>
                <w:rFonts w:ascii="Times New Roman" w:hAnsi="Times New Roman"/>
                <w:bCs/>
                <w:sz w:val="24"/>
              </w:rPr>
              <w:t>Ekspozycje bez rezydualnego terminu zapadalności przypisuje się do koszyka rezydualnego terminu zapadalności w zależności od ich okresu wypowiedzenia lub innych postanowień umownych dotyczących zapadalności</w:t>
            </w:r>
            <w:r w:rsidRPr="00084F66">
              <w:rPr>
                <w:rFonts w:ascii="Times New Roman" w:hAnsi="Times New Roman"/>
                <w:bCs/>
                <w:sz w:val="24"/>
              </w:rPr>
              <w:t>.</w:t>
            </w:r>
            <w:r w:rsidR="00084F66" w:rsidRPr="00084F66">
              <w:rPr>
                <w:rFonts w:ascii="Times New Roman" w:hAnsi="Times New Roman"/>
                <w:bCs/>
                <w:sz w:val="24"/>
              </w:rPr>
              <w:t xml:space="preserve"> </w:t>
            </w:r>
            <w:r w:rsidRPr="00084F66">
              <w:rPr>
                <w:rFonts w:ascii="Times New Roman" w:hAnsi="Times New Roman"/>
                <w:bCs/>
                <w:sz w:val="24"/>
              </w:rPr>
              <w:t>J</w:t>
            </w:r>
            <w:r w:rsidRPr="00AA1421">
              <w:rPr>
                <w:rFonts w:ascii="Times New Roman" w:hAnsi="Times New Roman"/>
                <w:bCs/>
                <w:sz w:val="24"/>
              </w:rPr>
              <w:t>eżeli nie wyznaczono żadnego okresu wypowiedzenia ani nie przyjęto żadnych postanowień umownych w kwestii zapadalności, ekspozycje przypisuje się do koszyka rezydualnego terminu zapadalności [10 lat i więcej].</w:t>
            </w:r>
          </w:p>
        </w:tc>
      </w:tr>
    </w:tbl>
    <w:p w:rsidR="00FD54FC" w:rsidRPr="00AA1421" w:rsidRDefault="00FD54FC" w:rsidP="006452A4">
      <w:pPr>
        <w:spacing w:after="0"/>
        <w:rPr>
          <w:rStyle w:val="InstructionsTabelleText"/>
          <w:rFonts w:ascii="Times New Roman" w:hAnsi="Times New Roman"/>
          <w:sz w:val="24"/>
        </w:rPr>
      </w:pPr>
    </w:p>
    <w:p w:rsidR="00DD00B4" w:rsidRPr="00AA1421"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403761"/>
      <w:bookmarkStart w:id="781" w:name="_Toc522019774"/>
      <w:r w:rsidRPr="00AA1421">
        <w:rPr>
          <w:rFonts w:ascii="Times New Roman" w:hAnsi="Times New Roman"/>
          <w:sz w:val="24"/>
          <w:u w:val="none"/>
        </w:rPr>
        <w:t>8.</w:t>
      </w:r>
      <w:r w:rsidR="00D712CF" w:rsidRPr="00AA1421">
        <w:rPr>
          <w:u w:val="none"/>
        </w:rPr>
        <w:tab/>
      </w:r>
      <w:r w:rsidRPr="00AA1421">
        <w:rPr>
          <w:rFonts w:ascii="Times New Roman" w:hAnsi="Times New Roman"/>
          <w:sz w:val="24"/>
          <w:u w:val="none"/>
        </w:rPr>
        <w:t>Pokrycie strat z tytułu ekspozycji nieobsługiwanych (NPE LC)</w:t>
      </w:r>
      <w:bookmarkEnd w:id="779"/>
      <w:bookmarkEnd w:id="780"/>
    </w:p>
    <w:p w:rsidR="00DD00B4" w:rsidRPr="00AA1421"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403762"/>
      <w:r w:rsidRPr="00AA1421">
        <w:rPr>
          <w:rFonts w:ascii="Times New Roman" w:hAnsi="Times New Roman"/>
          <w:sz w:val="24"/>
          <w:u w:val="none"/>
        </w:rPr>
        <w:t>8.1.</w:t>
      </w:r>
      <w:r w:rsidR="00D712CF" w:rsidRPr="00AA1421">
        <w:rPr>
          <w:u w:val="none"/>
        </w:rPr>
        <w:tab/>
      </w:r>
      <w:r w:rsidRPr="00AA1421">
        <w:rPr>
          <w:rFonts w:ascii="Times New Roman" w:hAnsi="Times New Roman"/>
          <w:sz w:val="24"/>
          <w:u w:val="none"/>
        </w:rPr>
        <w:t>Uwagi ogólne</w:t>
      </w:r>
      <w:bookmarkEnd w:id="782"/>
      <w:bookmarkEnd w:id="783"/>
      <w:r w:rsidRPr="00AA1421">
        <w:rPr>
          <w:rFonts w:ascii="Times New Roman" w:hAnsi="Times New Roman"/>
          <w:sz w:val="24"/>
          <w:u w:val="none"/>
        </w:rPr>
        <w:t xml:space="preserve"> </w:t>
      </w:r>
    </w:p>
    <w:p w:rsidR="00DD00B4" w:rsidRPr="00AA1421" w:rsidRDefault="00084F66"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rsidRPr="00AA1421">
        <w:t>200</w:t>
      </w:r>
      <w:r>
        <w:fldChar w:fldCharType="end"/>
      </w:r>
      <w:r w:rsidR="00840A22" w:rsidRPr="00AA1421">
        <w:t xml:space="preserve">. Wzory dotyczące pokrywania strat z tytułu ekspozycji nieobsługiwanych zawierają informacje na temat ekspozycji nieobsługiwanych potrzebne do obliczenia wysokości wymogu w zakresie minimalnego pokrycia strat w odniesieniu do ekspozycji nieobsługiwanych, jak określono w </w:t>
      </w:r>
      <w:r w:rsidR="00840A22" w:rsidRPr="00084F66">
        <w:t>art.</w:t>
      </w:r>
      <w:r w:rsidRPr="00084F66">
        <w:t> </w:t>
      </w:r>
      <w:r w:rsidR="00840A22" w:rsidRPr="00084F66">
        <w:t>4</w:t>
      </w:r>
      <w:r w:rsidR="00840A22" w:rsidRPr="00AA1421">
        <w:t>7a, 47b i 47c CRR.</w:t>
      </w:r>
    </w:p>
    <w:p w:rsidR="00DD00B4" w:rsidRPr="00AA1421" w:rsidRDefault="00AA1421" w:rsidP="00487A02">
      <w:pPr>
        <w:pStyle w:val="InstructionsText2"/>
        <w:numPr>
          <w:ilvl w:val="0"/>
          <w:numId w:val="0"/>
        </w:numPr>
        <w:ind w:left="1353" w:hanging="360"/>
      </w:pPr>
      <w:fldSimple w:instr=" seq paragraphs ">
        <w:r w:rsidR="00D11E4C" w:rsidRPr="00AA1421">
          <w:t>201</w:t>
        </w:r>
      </w:fldSimple>
      <w:r w:rsidR="00D11E4C" w:rsidRPr="00AA1421">
        <w:t>. Grupa wzorów obejmuje zestaw trzech wzorów:</w:t>
      </w:r>
    </w:p>
    <w:p w:rsidR="00DD00B4" w:rsidRPr="00AA1421" w:rsidRDefault="00DD00B4" w:rsidP="006418A0">
      <w:pPr>
        <w:pStyle w:val="ListParagraph"/>
        <w:numPr>
          <w:ilvl w:val="0"/>
          <w:numId w:val="37"/>
        </w:numPr>
        <w:ind w:left="1077" w:hanging="357"/>
        <w:rPr>
          <w:rFonts w:ascii="Times New Roman" w:hAnsi="Times New Roman"/>
          <w:sz w:val="24"/>
        </w:rPr>
      </w:pPr>
      <w:r w:rsidRPr="00AA1421">
        <w:rPr>
          <w:rFonts w:ascii="Times New Roman" w:hAnsi="Times New Roman"/>
          <w:sz w:val="24"/>
        </w:rPr>
        <w:t xml:space="preserve">obliczanie odliczeń z tytułu ekspozycji nieobsługiwanych (C 35.01): jest to wzór zawierający ogólne informacje na temat mającej zastosowanie kwoty niedoboru pokrycia, którą oblicza się jako różnicę między całkowitymi wymogami minimalnego pokrycia strat z tytułu ekspozycji nieobsługiwanych a łącznymi rezerwami i korektami lub odliczeniami, których już dokonano. Wzór obejmuje zarówno ekspozycje </w:t>
      </w:r>
      <w:r w:rsidRPr="00AA1421">
        <w:rPr>
          <w:rFonts w:ascii="Times New Roman" w:hAnsi="Times New Roman"/>
          <w:sz w:val="24"/>
        </w:rPr>
        <w:lastRenderedPageBreak/>
        <w:t>nieobsługiwane, których nie objęto działaniami restrukturyzacyjnymi, jak i nieobsługiwane ekspozycje restrukturyzowane;</w:t>
      </w:r>
    </w:p>
    <w:p w:rsidR="00DD00B4" w:rsidRPr="00084F66" w:rsidRDefault="00DD00B4" w:rsidP="00D8617F">
      <w:pPr>
        <w:pStyle w:val="ListParagraph"/>
        <w:numPr>
          <w:ilvl w:val="0"/>
          <w:numId w:val="37"/>
        </w:numPr>
        <w:spacing w:line="276" w:lineRule="auto"/>
        <w:ind w:left="1077" w:hanging="357"/>
        <w:rPr>
          <w:rFonts w:ascii="Times New Roman" w:hAnsi="Times New Roman"/>
          <w:sz w:val="24"/>
        </w:rPr>
      </w:pPr>
      <w:r w:rsidRPr="00AA1421">
        <w:rPr>
          <w:rFonts w:ascii="Times New Roman" w:hAnsi="Times New Roman"/>
          <w:sz w:val="24"/>
        </w:rPr>
        <w:t xml:space="preserve">wymogi minimalnego pokrycia strat i wartości ekspozycji w przypadku ekspozycji nieobsługiwanych, z wyłączeniem ekspozycji restrukturyzowanych,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(C 35.02): w przedmiotowym wzorze oblicza się całkowite wymogi minimalnego pokrycia strat z tytułu ekspozycji nieobsługiwanych, które nie są nieobsługiwanymi ekspozycjami restrukturyzowanymi,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wskazując czynniki, jakie należy zastosować w odniesieniu do wartości ekspozycji na potrzeby tego obliczenia, biorąc pod uwagę to, czy ekspozycja jest zabezpieczona, czy też nie, a także uwzględniając czas, jaki upłynął od chwili, gdy ekspozycja stała się ekspozycją nieobsługiwaną</w:t>
      </w:r>
      <w:r w:rsidRPr="00084F66">
        <w:rPr>
          <w:rFonts w:ascii="Times New Roman" w:hAnsi="Times New Roman"/>
          <w:sz w:val="24"/>
        </w:rPr>
        <w:t>;</w:t>
      </w:r>
      <w:r w:rsidR="00084F66" w:rsidRPr="00084F66">
        <w:rPr>
          <w:rFonts w:ascii="Times New Roman" w:hAnsi="Times New Roman"/>
          <w:sz w:val="24"/>
        </w:rPr>
        <w:t xml:space="preserve"> </w:t>
      </w:r>
    </w:p>
    <w:p w:rsidR="00DD00B4" w:rsidRPr="00084F66" w:rsidRDefault="00DD00B4" w:rsidP="00D8617F">
      <w:pPr>
        <w:pStyle w:val="ListParagraph"/>
        <w:numPr>
          <w:ilvl w:val="0"/>
          <w:numId w:val="37"/>
        </w:numPr>
        <w:spacing w:line="276" w:lineRule="auto"/>
        <w:ind w:left="1077" w:hanging="357"/>
        <w:rPr>
          <w:rFonts w:ascii="Times New Roman" w:hAnsi="Times New Roman"/>
          <w:sz w:val="24"/>
        </w:rPr>
      </w:pPr>
      <w:r w:rsidRPr="00AA1421">
        <w:rPr>
          <w:rFonts w:ascii="Times New Roman" w:hAnsi="Times New Roman"/>
          <w:sz w:val="24"/>
        </w:rPr>
        <w:t xml:space="preserve">wymogi minimalnego pokrycia strat i wartości ekspozycji w przypadku nieobsługiwanych ekspozycji restrukturyzowanych,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(C 35.03): w przedmiotowym wzorze oblicza się całkowite wymogi minimalnego pokrycia strat z tytułu nieobsługiwanych ekspozycji restrukturyzowanych,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wskazując czynniki, jakie należy zastosować w odniesieniu do wartości ekspozycji na potrzeby tego obliczenia, biorąc pod uwagę to, czy ekspozycja jest zabezpieczona, czy też nie, a także uwzględniając czas, jaki upłynął od chwili, gdy ekspozycja stała się ekspozycją nieobsługiwaną</w:t>
      </w:r>
      <w:r w:rsidRPr="00084F66">
        <w:rPr>
          <w:rFonts w:ascii="Times New Roman" w:hAnsi="Times New Roman"/>
          <w:sz w:val="24"/>
        </w:rPr>
        <w:t>.</w:t>
      </w:r>
      <w:r w:rsidR="00084F66" w:rsidRPr="00084F66">
        <w:rPr>
          <w:rFonts w:ascii="Times New Roman" w:hAnsi="Times New Roman"/>
          <w:sz w:val="24"/>
        </w:rPr>
        <w:t xml:space="preserve"> </w:t>
      </w:r>
    </w:p>
    <w:p w:rsidR="00DD00B4" w:rsidRPr="00AA1421" w:rsidRDefault="00AA1421" w:rsidP="00487A02">
      <w:pPr>
        <w:pStyle w:val="InstructionsText2"/>
        <w:numPr>
          <w:ilvl w:val="0"/>
          <w:numId w:val="0"/>
        </w:numPr>
        <w:ind w:left="1353" w:hanging="360"/>
      </w:pPr>
      <w:fldSimple w:instr=" seq paragraphs ">
        <w:r w:rsidR="00D11E4C" w:rsidRPr="00AA1421">
          <w:t>202</w:t>
        </w:r>
      </w:fldSimple>
      <w:r w:rsidR="00D11E4C" w:rsidRPr="00084F66">
        <w:t>.</w:t>
      </w:r>
      <w:r w:rsidR="00084F66" w:rsidRPr="00084F66">
        <w:t xml:space="preserve"> </w:t>
      </w:r>
      <w:r w:rsidR="00D11E4C" w:rsidRPr="00084F66">
        <w:t>W</w:t>
      </w:r>
      <w:r w:rsidR="00D11E4C" w:rsidRPr="00AA1421">
        <w:t>ymóg minimalnego pokrycia strat z tytułu ekspozycji nieobsługiwanych ma zastosowanie do (i) ekspozycji powstałych w dniu 26 kwietnia 20</w:t>
      </w:r>
      <w:r w:rsidR="00D11E4C" w:rsidRPr="00084F66">
        <w:t>19</w:t>
      </w:r>
      <w:r w:rsidR="00084F66" w:rsidRPr="00084F66">
        <w:t> </w:t>
      </w:r>
      <w:r w:rsidR="00D11E4C" w:rsidRPr="00084F66">
        <w:t>r.</w:t>
      </w:r>
      <w:r w:rsidR="00D11E4C" w:rsidRPr="00AA1421">
        <w:t xml:space="preserve"> i później, które stały się ekspozycjami nieobsługiwanymi, oraz (ii) ekspozycji powstałych przed dniem 26 kwietnia 20</w:t>
      </w:r>
      <w:r w:rsidR="00D11E4C" w:rsidRPr="00084F66">
        <w:t>19</w:t>
      </w:r>
      <w:r w:rsidR="00084F66" w:rsidRPr="00084F66">
        <w:t> </w:t>
      </w:r>
      <w:r w:rsidR="00D11E4C" w:rsidRPr="00084F66">
        <w:t>r.</w:t>
      </w:r>
      <w:r w:rsidR="00D11E4C" w:rsidRPr="00AA1421">
        <w:t xml:space="preserve"> i zmienionych po tym dniu w sposób skutkujący zwiększeniem ich wartości wobec dłużnika (</w:t>
      </w:r>
      <w:r w:rsidR="00D11E4C" w:rsidRPr="00084F66">
        <w:t>art.</w:t>
      </w:r>
      <w:r w:rsidR="00084F66" w:rsidRPr="00084F66">
        <w:t> </w:t>
      </w:r>
      <w:r w:rsidR="00D11E4C" w:rsidRPr="00084F66">
        <w:t>4</w:t>
      </w:r>
      <w:r w:rsidR="00D11E4C" w:rsidRPr="00AA1421">
        <w:t>69a CRR), które stały się ekspozycjami nieobsługiwanymi.</w:t>
      </w:r>
    </w:p>
    <w:p w:rsidR="00DD00B4" w:rsidRPr="00AA1421" w:rsidRDefault="00AA1421" w:rsidP="00487A02">
      <w:pPr>
        <w:pStyle w:val="InstructionsText2"/>
        <w:numPr>
          <w:ilvl w:val="0"/>
          <w:numId w:val="0"/>
        </w:numPr>
        <w:ind w:left="1353" w:hanging="360"/>
      </w:pPr>
      <w:fldSimple w:instr=" seq paragraphs ">
        <w:r w:rsidR="00D11E4C" w:rsidRPr="00AA1421">
          <w:t>203</w:t>
        </w:r>
      </w:fldSimple>
      <w:r w:rsidR="00D11E4C" w:rsidRPr="00AA1421">
        <w:t xml:space="preserve">. Instytucje obliczają kwotę odliczeń z tytułu ekspozycji nieobsługiwanych zgodnie z </w:t>
      </w:r>
      <w:r w:rsidR="00D11E4C" w:rsidRPr="00084F66">
        <w:t>art.</w:t>
      </w:r>
      <w:r w:rsidR="00084F66" w:rsidRPr="00084F66">
        <w:t> </w:t>
      </w:r>
      <w:r w:rsidR="00D11E4C" w:rsidRPr="00084F66">
        <w:t>4</w:t>
      </w:r>
      <w:r w:rsidR="00D11E4C" w:rsidRPr="00AA1421">
        <w:t xml:space="preserve">7c </w:t>
      </w:r>
      <w:r w:rsidR="00D11E4C" w:rsidRPr="00084F66">
        <w:t>ust.</w:t>
      </w:r>
      <w:r w:rsidR="00084F66" w:rsidRPr="00084F66">
        <w:t> </w:t>
      </w:r>
      <w:r w:rsidR="00D11E4C" w:rsidRPr="00084F66">
        <w:t>1</w:t>
      </w:r>
      <w:r w:rsidR="00D11E4C" w:rsidRPr="00AA1421">
        <w:t xml:space="preserve"> </w:t>
      </w:r>
      <w:r w:rsidR="00D11E4C" w:rsidRPr="00084F66">
        <w:t>lit.</w:t>
      </w:r>
      <w:r w:rsidR="00084F66" w:rsidRPr="00084F66">
        <w:t> </w:t>
      </w:r>
      <w:r w:rsidR="00D11E4C" w:rsidRPr="00084F66">
        <w:t>a)</w:t>
      </w:r>
      <w:r w:rsidR="00D11E4C" w:rsidRPr="00AA1421">
        <w:t xml:space="preserve"> i b) CRR, uwzględniając wymogi minimalnego pokrycia strat oraz łączne rezerwy i korekty lub odliczenia na poziomie pojedynczej ekspozycji („dla danej transakcji”), a nie na poziomie dłużnika ani portfela.</w:t>
      </w:r>
    </w:p>
    <w:p w:rsidR="00DD00B4" w:rsidRPr="00AA1421" w:rsidRDefault="00AA1421" w:rsidP="00487A02">
      <w:pPr>
        <w:pStyle w:val="InstructionsText2"/>
        <w:numPr>
          <w:ilvl w:val="0"/>
          <w:numId w:val="0"/>
        </w:numPr>
        <w:ind w:left="1353" w:hanging="360"/>
      </w:pPr>
      <w:fldSimple w:instr=" seq paragraphs ">
        <w:r w:rsidR="00D11E4C" w:rsidRPr="00AA1421">
          <w:t>204</w:t>
        </w:r>
      </w:fldSimple>
      <w:r w:rsidR="00D11E4C" w:rsidRPr="00AA1421">
        <w:t xml:space="preserve">. Na potrzeby obliczania odliczeń z tytułu ekspozycji nieobsługiwanych instytucje dokonują rozróżnienia między niezabezpieczoną a zabezpieczoną częścią ekspozycji nieobsługiwanej zgodnie z </w:t>
      </w:r>
      <w:r w:rsidR="00D11E4C" w:rsidRPr="00084F66">
        <w:t>art.</w:t>
      </w:r>
      <w:r w:rsidR="00084F66" w:rsidRPr="00084F66">
        <w:t> </w:t>
      </w:r>
      <w:r w:rsidR="00D11E4C" w:rsidRPr="00084F66">
        <w:t>4</w:t>
      </w:r>
      <w:r w:rsidR="00D11E4C" w:rsidRPr="00AA1421">
        <w:t xml:space="preserve">7c </w:t>
      </w:r>
      <w:r w:rsidR="00D11E4C" w:rsidRPr="00084F66">
        <w:t>ust.</w:t>
      </w:r>
      <w:r w:rsidR="00084F66" w:rsidRPr="00084F66">
        <w:t> </w:t>
      </w:r>
      <w:r w:rsidR="00D11E4C" w:rsidRPr="00084F66">
        <w:t>1</w:t>
      </w:r>
      <w:r w:rsidR="00D11E4C" w:rsidRPr="00AA1421">
        <w:t xml:space="preserve"> CRR. W tym celu instytucje zgłaszają wartości ekspozycji i wymogi minimalnego pokrycia strat odrębnie dla niezabezpieczonej części ekspozycji nieobsługiwanych i dla zabezpieczonej części tych ekspozycji.</w:t>
      </w:r>
    </w:p>
    <w:p w:rsidR="00DD00B4" w:rsidRPr="00AA1421" w:rsidRDefault="00AA1421" w:rsidP="00487A02">
      <w:pPr>
        <w:pStyle w:val="InstructionsText2"/>
        <w:numPr>
          <w:ilvl w:val="0"/>
          <w:numId w:val="0"/>
        </w:numPr>
        <w:ind w:left="1353" w:hanging="360"/>
      </w:pPr>
      <w:fldSimple w:instr=" seq paragraphs ">
        <w:r w:rsidR="00D11E4C" w:rsidRPr="00AA1421">
          <w:t>205</w:t>
        </w:r>
      </w:fldSimple>
      <w:r w:rsidR="00D11E4C" w:rsidRPr="00AA1421">
        <w:t xml:space="preserve">. Na potrzeby przyporządkowania odpowiednich mających zastosowanie wskaźników i obliczania wymogów minimalnego pokrycia strat instytucje klasyfikują zabezpieczoną część ekspozycji nieobsługiwanych w zależności od rodzaju ochrony kredytowej zgodnie z </w:t>
      </w:r>
      <w:r w:rsidR="00D11E4C" w:rsidRPr="00084F66">
        <w:t>art.</w:t>
      </w:r>
      <w:r w:rsidR="00084F66" w:rsidRPr="00084F66">
        <w:t> </w:t>
      </w:r>
      <w:r w:rsidR="00D11E4C" w:rsidRPr="00084F66">
        <w:t>4</w:t>
      </w:r>
      <w:r w:rsidR="00D11E4C" w:rsidRPr="00AA1421">
        <w:t xml:space="preserve">7c </w:t>
      </w:r>
      <w:r w:rsidR="00D11E4C" w:rsidRPr="00084F66">
        <w:t>ust.</w:t>
      </w:r>
      <w:r w:rsidR="00084F66" w:rsidRPr="00084F66">
        <w:t> </w:t>
      </w:r>
      <w:r w:rsidR="00D11E4C" w:rsidRPr="00084F66">
        <w:t>3</w:t>
      </w:r>
      <w:r w:rsidR="00D11E4C" w:rsidRPr="00AA1421">
        <w:t xml:space="preserve"> CRR w następujący sposób: (i) „zabezpieczona nieruchomością lub stanowiąca kredyt na nieruchomość mieszkalną gwarantowany przez uznanego dostawcę ochrony, o którym mowa w </w:t>
      </w:r>
      <w:r w:rsidR="00D11E4C" w:rsidRPr="00084F66">
        <w:t>art.</w:t>
      </w:r>
      <w:r w:rsidR="00084F66" w:rsidRPr="00084F66">
        <w:t> </w:t>
      </w:r>
      <w:r w:rsidR="00D11E4C" w:rsidRPr="00084F66">
        <w:t>2</w:t>
      </w:r>
      <w:r w:rsidR="00D11E4C" w:rsidRPr="00AA1421">
        <w:t>01”, (ii) „zabezpieczona inną ochroną kredytową rzeczywistą lub nierzeczywistą” lub (iii) „gwarantowana lub ubezpieczona przez oficjalną agencję kredytów ekspor</w:t>
      </w:r>
      <w:r w:rsidR="00D11E4C" w:rsidRPr="00AA1421">
        <w:lastRenderedPageBreak/>
        <w:t xml:space="preserve">towych”. Jeżeli ekspozycja nieobsługiwana jest zabezpieczona więcej niż jednym rodzajem ochrony kredytowej, właściwą dla niej wartość ekspozycji przypisuje się stosownie do jakości ochrony kredytowej, począwszy od ochrony o najwyższej jakości. </w:t>
      </w:r>
    </w:p>
    <w:p w:rsidR="00DD00B4" w:rsidRPr="00AA1421"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403763"/>
      <w:r w:rsidRPr="00AA1421">
        <w:rPr>
          <w:rFonts w:ascii="Times New Roman" w:hAnsi="Times New Roman"/>
          <w:sz w:val="24"/>
          <w:u w:val="none"/>
        </w:rPr>
        <w:t xml:space="preserve">8.2. C 35.01 – </w:t>
      </w:r>
      <w:bookmarkEnd w:id="781"/>
      <w:r w:rsidRPr="00AA1421">
        <w:rPr>
          <w:rFonts w:ascii="Times New Roman" w:hAnsi="Times New Roman"/>
          <w:sz w:val="24"/>
          <w:u w:val="none"/>
        </w:rPr>
        <w:t>OBLICZANIE ODLICZEŃ Z TYTUŁU EKSPOZYCJI NIEOBSŁUGIWANYCH (NPE LC1)</w:t>
      </w:r>
      <w:bookmarkEnd w:id="784"/>
      <w:bookmarkEnd w:id="785"/>
    </w:p>
    <w:p w:rsidR="00DD00B4" w:rsidRPr="00AA1421" w:rsidRDefault="00DD00B4" w:rsidP="002F29AF">
      <w:pPr>
        <w:pStyle w:val="Instructionsberschrift2"/>
        <w:numPr>
          <w:ilvl w:val="2"/>
          <w:numId w:val="38"/>
        </w:numPr>
        <w:rPr>
          <w:rFonts w:ascii="Times New Roman" w:hAnsi="Times New Roman" w:cs="Times New Roman"/>
          <w:sz w:val="24"/>
        </w:rPr>
      </w:pPr>
      <w:bookmarkStart w:id="786" w:name="_Toc58403764"/>
      <w:r w:rsidRPr="00AA1421">
        <w:rPr>
          <w:rFonts w:ascii="Times New Roman" w:hAnsi="Times New Roman"/>
          <w:sz w:val="24"/>
        </w:rPr>
        <w:t>Instrukcje dotyczące poszczególnych pozycji</w:t>
      </w:r>
      <w:bookmarkEnd w:id="786"/>
    </w:p>
    <w:p w:rsidR="00DD00B4" w:rsidRPr="00AA1421"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AA1421"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bookmarkStart w:id="787" w:name="_Toc19715889"/>
            <w:r w:rsidRPr="00AA1421">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Instrukcje</w:t>
            </w:r>
          </w:p>
        </w:tc>
      </w:tr>
      <w:tr w:rsidR="00DD00B4" w:rsidRPr="00AA1421"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AA1421" w:rsidRDefault="00DD00B4" w:rsidP="00DD00B4">
            <w:pPr>
              <w:rPr>
                <w:rFonts w:ascii="Times New Roman" w:hAnsi="Times New Roman"/>
                <w:sz w:val="24"/>
              </w:rPr>
            </w:pPr>
            <w:r w:rsidRPr="00AA1421">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Czas, jaki upłynął od momentu zaklasyfikowania ekspozycji jako nieobsługiwanej</w:t>
            </w:r>
          </w:p>
          <w:p w:rsidR="00DD00B4" w:rsidRPr="00AA1421" w:rsidRDefault="00DD00B4" w:rsidP="00DD00B4">
            <w:pPr>
              <w:rPr>
                <w:rFonts w:ascii="Times New Roman" w:hAnsi="Times New Roman"/>
                <w:sz w:val="24"/>
              </w:rPr>
            </w:pPr>
            <w:r w:rsidRPr="00AA1421">
              <w:rPr>
                <w:rFonts w:ascii="Times New Roman" w:hAnsi="Times New Roman"/>
                <w:sz w:val="24"/>
              </w:rPr>
              <w:t xml:space="preserve">„Czas, jaki upłynął od momentu zaklasyfikowania ekspozycji jako nieobsługiwanej” oznacza czas w latach, jaki upłynął od momentu zaklasyfikowania ekspozycji jako nieobsługiwanej do dnia odniesienia. W odniesieniu do zakupionych ekspozycji nieobsługiwanych czas w latach liczy się od dnia pierwotnego zaklasyfikowania tych ekspozycji jako nieobsługiwane, a nie od dnia ich zakupu. </w:t>
            </w:r>
          </w:p>
          <w:p w:rsidR="00DD00B4" w:rsidRPr="00AA1421" w:rsidRDefault="00DD00B4" w:rsidP="00DD00B4">
            <w:pPr>
              <w:rPr>
                <w:rFonts w:ascii="Times New Roman" w:hAnsi="Times New Roman"/>
                <w:sz w:val="24"/>
              </w:rPr>
            </w:pPr>
            <w:r w:rsidRPr="00AA1421">
              <w:rPr>
                <w:rFonts w:ascii="Times New Roman" w:hAnsi="Times New Roman"/>
                <w:sz w:val="24"/>
              </w:rPr>
              <w:t>Instytucje zgłaszają dane na temat ekspozycji, w przypadku których dzień odniesienia przypada w odpowiednim przedziale czasu odpowiadającym mierzonemu w latach okresowi po sklasyfikowaniu ekspozycji jako nieobsługiwane, niezależnie od jakichkolwiek zastosowanych działań restrukturyzacyjnych.</w:t>
            </w:r>
          </w:p>
          <w:p w:rsidR="00DD00B4" w:rsidRPr="00AA1421" w:rsidRDefault="00DD00B4" w:rsidP="00DD00B4">
            <w:pPr>
              <w:rPr>
                <w:rFonts w:ascii="Times New Roman" w:hAnsi="Times New Roman"/>
                <w:sz w:val="24"/>
              </w:rPr>
            </w:pPr>
            <w:r w:rsidRPr="00AA1421">
              <w:rPr>
                <w:rFonts w:ascii="Times New Roman" w:hAnsi="Times New Roman"/>
                <w:sz w:val="24"/>
              </w:rPr>
              <w:t>W przypadku przedziału „&gt; X lat, &lt;= Y lat” instytucje zgłaszają dane na temat ekspozycji, w przypadku których dzień odniesienia odpowiada okresowi między pierwszym a ostatnim dniem roku Y po sklasyfikowaniu tych ekspozycji jako nieobsługiwane.</w:t>
            </w:r>
          </w:p>
        </w:tc>
      </w:tr>
      <w:tr w:rsidR="00DD00B4" w:rsidRPr="00AA1421" w:rsidTr="00751FBE">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sz w:val="24"/>
              </w:rPr>
              <w:t xml:space="preserve"> </w:t>
            </w:r>
            <w:r w:rsidRPr="00AA1421">
              <w:rPr>
                <w:rFonts w:ascii="Times New Roman" w:hAnsi="Times New Roman"/>
                <w:b/>
                <w:sz w:val="24"/>
                <w:u w:val="single"/>
              </w:rPr>
              <w:t>Ogółem</w:t>
            </w:r>
          </w:p>
          <w:p w:rsidR="00DD00B4" w:rsidRPr="00AA1421" w:rsidRDefault="00DD00B4" w:rsidP="00DD00B4">
            <w:pPr>
              <w:rPr>
                <w:rFonts w:ascii="Times New Roman" w:hAnsi="Times New Roman"/>
                <w:sz w:val="24"/>
              </w:rPr>
            </w:pPr>
            <w:r w:rsidRPr="00AA1421">
              <w:rPr>
                <w:rFonts w:ascii="Times New Roman" w:hAnsi="Times New Roman"/>
                <w:sz w:val="24"/>
              </w:rPr>
              <w:t xml:space="preserve">Instytucje zgłaszają sumę wszystkich kolumn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010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100.</w:t>
            </w:r>
          </w:p>
        </w:tc>
      </w:tr>
      <w:tr w:rsidR="00751FBE" w:rsidRPr="00AA1421" w:rsidTr="00751FBE">
        <w:tc>
          <w:tcPr>
            <w:tcW w:w="1188" w:type="dxa"/>
            <w:tcBorders>
              <w:top w:val="single" w:sz="4" w:space="0" w:color="auto"/>
              <w:left w:val="nil"/>
              <w:bottom w:val="single" w:sz="4" w:space="0" w:color="auto"/>
              <w:right w:val="nil"/>
            </w:tcBorders>
          </w:tcPr>
          <w:p w:rsidR="00751FBE" w:rsidRPr="00AA1421"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AA1421" w:rsidRDefault="00751FBE" w:rsidP="00DD00B4">
            <w:pPr>
              <w:rPr>
                <w:rFonts w:ascii="Times New Roman" w:hAnsi="Times New Roman"/>
                <w:sz w:val="24"/>
              </w:rPr>
            </w:pPr>
          </w:p>
        </w:tc>
      </w:tr>
      <w:bookmarkEnd w:id="787"/>
      <w:tr w:rsidR="00DD00B4" w:rsidRPr="00AA1421"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Instrukcje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AA1421" w:rsidRDefault="00DD00B4" w:rsidP="00DD00B4">
            <w:pPr>
              <w:rPr>
                <w:rFonts w:ascii="Times New Roman" w:hAnsi="Times New Roman"/>
                <w:sz w:val="24"/>
              </w:rPr>
            </w:pPr>
            <w:r w:rsidRPr="00AA142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Mająca zastosowanie kwota niedoboru pokrycia</w:t>
            </w:r>
          </w:p>
          <w:p w:rsidR="00DD00B4" w:rsidRPr="00AA1421" w:rsidRDefault="002327CE"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p w:rsidR="00DD00B4" w:rsidRPr="00AA1421" w:rsidRDefault="00DD00B4" w:rsidP="00DD00B4">
            <w:pPr>
              <w:rPr>
                <w:rFonts w:ascii="Times New Roman" w:hAnsi="Times New Roman"/>
                <w:sz w:val="24"/>
              </w:rPr>
            </w:pPr>
            <w:r w:rsidRPr="00AA1421">
              <w:rPr>
                <w:rFonts w:ascii="Times New Roman" w:hAnsi="Times New Roman"/>
                <w:sz w:val="24"/>
              </w:rPr>
              <w:t>Na potrzeby obliczania mającej zastosowanie kwoty niedoboru pokrycia instytucje odliczają rezerwy i korekty lub odliczenia razem (ograniczone) (wiersz 0080) od całkowitego wymogu minimalnego pokrycia strat z tytułu ekspozycji nieobsługiwanych (wiersz 0020).</w:t>
            </w:r>
          </w:p>
          <w:p w:rsidR="00DD00B4" w:rsidRPr="00AA1421" w:rsidRDefault="00DD00B4" w:rsidP="00DD00B4">
            <w:pPr>
              <w:rPr>
                <w:rFonts w:ascii="Times New Roman" w:hAnsi="Times New Roman"/>
                <w:sz w:val="24"/>
              </w:rPr>
            </w:pPr>
            <w:r w:rsidRPr="00AA1421">
              <w:rPr>
                <w:rFonts w:ascii="Times New Roman" w:hAnsi="Times New Roman"/>
                <w:sz w:val="24"/>
              </w:rPr>
              <w:t>Mająca zastosowanie kwota niedoboru pokrycia (tj. niedobór w zakresie całkowitego wymogu minimalnego pokrycia strat z tytułu ekspozycji nieobsługiwanych) nie może być mniejsza niż zero.</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Całkowity wymóg minimalnego pokrycia strat z tytułu ekspozycji nieobsługiwanych</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DD00B4" w:rsidRPr="00AA1421" w:rsidRDefault="00DD00B4" w:rsidP="00DD00B4">
            <w:pPr>
              <w:rPr>
                <w:rFonts w:ascii="Times New Roman" w:hAnsi="Times New Roman"/>
                <w:sz w:val="24"/>
              </w:rPr>
            </w:pPr>
            <w:r w:rsidRPr="00AA1421">
              <w:rPr>
                <w:rFonts w:ascii="Times New Roman" w:hAnsi="Times New Roman"/>
                <w:sz w:val="24"/>
              </w:rPr>
              <w:lastRenderedPageBreak/>
              <w:t xml:space="preserve">Na potrzeby obliczania całkowitego wymogu minimalnego pokrycia strat z tytułu ekspozycji nieobsługiwanych instytucje sumują minimalne wymogi pokrycia strat z tytułu niezabezpieczonej części ekspozycji nieobsługiwanych (wiersz 0030) z minimalnymi wymogami pokrycia strat z tytułu zabezpieczonej części ekspozycji nieobsługiwanych (wiersz 0040). </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b/>
                <w:sz w:val="24"/>
                <w:u w:val="single"/>
              </w:rPr>
              <w:t>Niezabezpieczona część ekspozycji nieobsługiwanych</w:t>
            </w:r>
            <w:r w:rsidRPr="00AA1421">
              <w:rPr>
                <w:rFonts w:ascii="Times New Roman" w:hAnsi="Times New Roman"/>
                <w:sz w:val="24"/>
              </w:rPr>
              <w:t xml:space="preserve"> </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li. a) </w:t>
            </w:r>
            <w:proofErr w:type="spellStart"/>
            <w:r w:rsidRPr="00AA1421">
              <w:rPr>
                <w:rFonts w:ascii="Times New Roman" w:hAnsi="Times New Roman"/>
                <w:sz w:val="24"/>
              </w:rPr>
              <w:t>ppkt</w:t>
            </w:r>
            <w:proofErr w:type="spellEnd"/>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A532F5" w:rsidP="00DD00B4">
            <w:pPr>
              <w:rPr>
                <w:rFonts w:ascii="Times New Roman" w:hAnsi="Times New Roman"/>
                <w:sz w:val="24"/>
              </w:rPr>
            </w:pPr>
            <w:r w:rsidRPr="00AA1421">
              <w:rPr>
                <w:rFonts w:ascii="Times New Roman" w:hAnsi="Times New Roman"/>
                <w:sz w:val="24"/>
              </w:rPr>
              <w:t xml:space="preserve">Instytucja zgłasza całkowity wymóg minimalnego pokrycia strat z tytułu niezabezpieczonej części ekspozycji nieobsługiwanych, tj. sumę uzyskaną w wyniku obliczeń przeprowadzonych na poziomie ekspozycji. </w:t>
            </w:r>
          </w:p>
          <w:p w:rsidR="00DD00B4" w:rsidRPr="00AA1421" w:rsidRDefault="00DD00B4" w:rsidP="00DD00B4">
            <w:pPr>
              <w:rPr>
                <w:rFonts w:ascii="Times New Roman" w:hAnsi="Times New Roman"/>
                <w:sz w:val="24"/>
              </w:rPr>
            </w:pPr>
            <w:r w:rsidRPr="00AA1421">
              <w:rPr>
                <w:rFonts w:ascii="Times New Roman" w:hAnsi="Times New Roman"/>
                <w:sz w:val="24"/>
              </w:rPr>
              <w:t xml:space="preserve">Kwota zgłaszana w każdej kolumnie odpowiada sumie kwot zgłoszonych w odpowiednich kolumnach w wierszu 0020 wzoru C 35.02 i w wierszu 0020 wzoru 35.03 (w stosownych przypadkach). </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Zabezpieczona część ekspozycji nieobsługiwanych</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A532F5" w:rsidP="00DD00B4">
            <w:pPr>
              <w:rPr>
                <w:rFonts w:ascii="Times New Roman" w:hAnsi="Times New Roman"/>
                <w:sz w:val="24"/>
              </w:rPr>
            </w:pPr>
            <w:r w:rsidRPr="00AA1421">
              <w:rPr>
                <w:rFonts w:ascii="Times New Roman" w:hAnsi="Times New Roman"/>
                <w:sz w:val="24"/>
              </w:rPr>
              <w:t>Instytucje zgłaszają całkowity wymóg minimalnego pokrycia strat z tytułu zabezpieczonej części ekspozycji nieobsługiwanych, tj. sumę uzyskaną w wyniku obliczeń przeprowadzonych na poziomie ekspozycji.</w:t>
            </w:r>
          </w:p>
          <w:p w:rsidR="00DD00B4" w:rsidRPr="00AA1421" w:rsidRDefault="00DD00B4" w:rsidP="00DD00B4">
            <w:pPr>
              <w:rPr>
                <w:rFonts w:ascii="Times New Roman" w:hAnsi="Times New Roman"/>
                <w:b/>
                <w:sz w:val="24"/>
                <w:u w:val="single"/>
              </w:rPr>
            </w:pPr>
            <w:r w:rsidRPr="00AA1421">
              <w:rPr>
                <w:rFonts w:ascii="Times New Roman" w:hAnsi="Times New Roman"/>
                <w:sz w:val="24"/>
              </w:rPr>
              <w:t>Kwota zgłaszana w każdej kolumnie odpowiada sumie kwot zgłoszonych w odpowiednich kolumnach w wierszach 0030–0050 wzoru C 35.02 i w wierszach 0030–0040 wzoru 35.03 (w stosownych przypadkach).</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Wartość ekspozycji</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DD00B4" w:rsidRPr="00AA1421" w:rsidRDefault="00DD00B4" w:rsidP="00DD00B4">
            <w:pPr>
              <w:rPr>
                <w:rFonts w:ascii="Times New Roman" w:hAnsi="Times New Roman"/>
                <w:sz w:val="24"/>
              </w:rPr>
            </w:pPr>
            <w:r w:rsidRPr="00AA1421">
              <w:rPr>
                <w:rFonts w:ascii="Times New Roman" w:hAnsi="Times New Roman"/>
                <w:sz w:val="24"/>
              </w:rPr>
              <w:t xml:space="preserve">Instytucje zgłaszają całkowitą wartość ekspozycji dla ekspozycji nieobsługiwanych obejmującą zarówno ekspozycje niezabezpieczone, jak i ekspozycje zabezpieczone. Wartość ta odpowiada sumie wiesza 0060 i wiersza 0070. </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b/>
                <w:sz w:val="24"/>
                <w:u w:val="single"/>
              </w:rPr>
              <w:t>Niezabezpieczona część ekspozycji nieobsługiwanych</w:t>
            </w:r>
            <w:r w:rsidRPr="00AA1421">
              <w:rPr>
                <w:rFonts w:ascii="Times New Roman" w:hAnsi="Times New Roman"/>
                <w:sz w:val="24"/>
              </w:rPr>
              <w:t xml:space="preserve"> </w:t>
            </w:r>
          </w:p>
          <w:p w:rsidR="00DD00B4" w:rsidRPr="00AA1421" w:rsidRDefault="00623EAD" w:rsidP="00DD00B4">
            <w:pPr>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Zabezpieczona część ekspozycji nieobsługiwanych</w:t>
            </w:r>
          </w:p>
          <w:p w:rsidR="00DD00B4" w:rsidRPr="00AA1421" w:rsidRDefault="00623EAD" w:rsidP="00DD00B4">
            <w:pPr>
              <w:rPr>
                <w:rFonts w:ascii="Times New Roman" w:hAnsi="Times New Roman"/>
                <w:b/>
                <w:sz w:val="24"/>
                <w:u w:val="single"/>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CRR</w:t>
            </w:r>
          </w:p>
        </w:tc>
      </w:tr>
      <w:tr w:rsidR="00DD00B4" w:rsidRPr="00AA1421"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Rezerwy i korekty lub odliczenia razem (ograniczone)</w:t>
            </w:r>
          </w:p>
          <w:p w:rsidR="00DD00B4" w:rsidRPr="00AA1421" w:rsidRDefault="00DD00B4" w:rsidP="00DD00B4">
            <w:pPr>
              <w:rPr>
                <w:rFonts w:ascii="Times New Roman" w:hAnsi="Times New Roman"/>
                <w:sz w:val="24"/>
              </w:rPr>
            </w:pPr>
            <w:r w:rsidRPr="00AA1421">
              <w:rPr>
                <w:rFonts w:ascii="Times New Roman" w:hAnsi="Times New Roman"/>
                <w:sz w:val="24"/>
              </w:rPr>
              <w:t xml:space="preserve">Instytucje zgłaszają ograniczoną kwotę sumy pozycji figurujących w wierszach 0100–0150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Maksymalny poziom ograniczonych rezerw i korekt lub odliczeń odpowiada kwocie wymogu minimalnego pokrycia strat na poziomie ekspozycji.</w:t>
            </w:r>
          </w:p>
          <w:p w:rsidR="00DD00B4" w:rsidRPr="00AA1421" w:rsidRDefault="00DD00B4" w:rsidP="00DD00B4">
            <w:pPr>
              <w:rPr>
                <w:rFonts w:ascii="Times New Roman" w:hAnsi="Times New Roman"/>
                <w:sz w:val="24"/>
              </w:rPr>
            </w:pPr>
            <w:r w:rsidRPr="00AA1421">
              <w:rPr>
                <w:rFonts w:ascii="Times New Roman" w:hAnsi="Times New Roman"/>
                <w:sz w:val="24"/>
              </w:rPr>
              <w:t>Ograniczoną kwotę oblicza się osobno dla każdej ekspozycji jako mniejszą z następujących dwóch kwot: kwoty wymogu minimalnego pokrycia strat z tytułu danej ekspozycji oraz kwoty rezerw i korekt lub odliczeń razem dla tej samej ekspozycji.</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Rezerwy i korekty lub odliczenia razem (nieograniczone)</w:t>
            </w:r>
          </w:p>
          <w:p w:rsidR="00DD00B4" w:rsidRPr="00AA1421" w:rsidRDefault="00DD00B4" w:rsidP="00DD00B4">
            <w:pPr>
              <w:jc w:val="left"/>
              <w:rPr>
                <w:rFonts w:ascii="Times New Roman" w:hAnsi="Times New Roman"/>
                <w:sz w:val="24"/>
              </w:rPr>
            </w:pPr>
            <w:r w:rsidRPr="00AA1421">
              <w:rPr>
                <w:rFonts w:ascii="Times New Roman" w:hAnsi="Times New Roman"/>
                <w:sz w:val="24"/>
              </w:rPr>
              <w:t xml:space="preserve">Instytucje zgłaszają sumę nieograniczonej kwoty pozycji figurujących w wierszach 0100–0150 zgodnie z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CRR. Kwota rezerw i korekt lub odliczeń (nieograniczona) nie ogranicza się wyłącznie do kwoty wymogu minimalnego pokrycia</w:t>
            </w:r>
            <w:r w:rsidR="00084F66">
              <w:rPr>
                <w:rFonts w:ascii="Times New Roman" w:hAnsi="Times New Roman"/>
                <w:sz w:val="24"/>
              </w:rPr>
              <w:t xml:space="preserve"> strat na poziomie ekspozycji.</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Korekty z tytułu szczególnego ryzyka kredytowego</w:t>
            </w:r>
          </w:p>
          <w:p w:rsidR="00DD00B4" w:rsidRPr="00AA1421" w:rsidRDefault="00DD00B4" w:rsidP="00DD00B4">
            <w:pPr>
              <w:jc w:val="left"/>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Dodatkowe korekty wyceny</w:t>
            </w:r>
          </w:p>
          <w:p w:rsidR="00DD00B4" w:rsidRPr="00AA1421" w:rsidRDefault="00DD00B4" w:rsidP="00DD00B4">
            <w:pPr>
              <w:jc w:val="left"/>
              <w:rPr>
                <w:rFonts w:ascii="Times New Roman" w:hAnsi="Times New Roman"/>
                <w:b/>
                <w:sz w:val="24"/>
                <w:u w:val="single"/>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Inne redukcje funduszy własnych</w:t>
            </w:r>
          </w:p>
          <w:p w:rsidR="00DD00B4" w:rsidRPr="00AA1421" w:rsidRDefault="00DD00B4" w:rsidP="00DD00B4">
            <w:pPr>
              <w:jc w:val="left"/>
              <w:rPr>
                <w:rFonts w:ascii="Times New Roman" w:hAnsi="Times New Roman"/>
                <w:b/>
                <w:sz w:val="24"/>
                <w:u w:val="single"/>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(iii)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Kwota niedoboru pokrycia w przypadku stosowania metody IRB</w:t>
            </w:r>
          </w:p>
          <w:p w:rsidR="00DD00B4" w:rsidRPr="00AA1421" w:rsidRDefault="00DD00B4" w:rsidP="00DD00B4">
            <w:pPr>
              <w:jc w:val="left"/>
              <w:rPr>
                <w:rFonts w:ascii="Times New Roman" w:hAnsi="Times New Roman"/>
                <w:b/>
                <w:sz w:val="24"/>
                <w:u w:val="single"/>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(iv)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Różnica między ceną zakupu a kwotą należną od dłużnika</w:t>
            </w:r>
          </w:p>
          <w:p w:rsidR="00DD00B4" w:rsidRPr="00AA1421" w:rsidRDefault="00DD00B4" w:rsidP="00DD00B4">
            <w:pPr>
              <w:jc w:val="left"/>
              <w:rPr>
                <w:rFonts w:ascii="Times New Roman" w:hAnsi="Times New Roman"/>
                <w:b/>
                <w:sz w:val="24"/>
                <w:u w:val="single"/>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(v)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Kwoty spisane przez instytucję od czasu sklasyfikowania danej ekspozycji jako nieobsługiwanej</w:t>
            </w:r>
          </w:p>
          <w:p w:rsidR="00DD00B4" w:rsidRPr="00AA1421" w:rsidRDefault="00DD00B4" w:rsidP="00DD00B4">
            <w:pPr>
              <w:jc w:val="left"/>
              <w:rPr>
                <w:rFonts w:ascii="Times New Roman" w:hAnsi="Times New Roman"/>
                <w:b/>
                <w:sz w:val="24"/>
                <w:u w:val="single"/>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b)</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(vi) CRR</w:t>
            </w:r>
          </w:p>
        </w:tc>
      </w:tr>
    </w:tbl>
    <w:p w:rsidR="00DD00B4" w:rsidRPr="00AA1421"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403765"/>
      <w:r w:rsidRPr="00AA1421">
        <w:rPr>
          <w:rFonts w:ascii="Times New Roman" w:hAnsi="Times New Roman"/>
          <w:sz w:val="24"/>
        </w:rPr>
        <w:t>C 35.02 – WYMOGI MINIMALNEGO POKRYCIA STRAT I WARTOŚCI EKSPOZYCJI W PRZYPADKU EKSPOZYCJI NIEOBSŁUGIWANYCH, Z WYŁĄCZENIEM EKSPOZYCJI RESTRUKTURYZOWANYCH, KTÓRE SĄ OBJĘTE ART. 47C UST. 6 CRR (NPE LC2)</w:t>
      </w:r>
      <w:bookmarkStart w:id="790" w:name="_Toc19715891"/>
      <w:bookmarkEnd w:id="788"/>
      <w:bookmarkEnd w:id="790"/>
      <w:bookmarkEnd w:id="789"/>
    </w:p>
    <w:p w:rsidR="00DD00B4" w:rsidRPr="00AA1421"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403766"/>
      <w:r w:rsidRPr="00AA1421">
        <w:rPr>
          <w:rFonts w:ascii="Times New Roman" w:hAnsi="Times New Roman"/>
          <w:sz w:val="24"/>
        </w:rPr>
        <w:t>Instrukcje dotyczące poszczególnych pozycji</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AA1421"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Instrukcje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AA1421" w:rsidRDefault="00DD00B4" w:rsidP="00DD00B4">
            <w:pPr>
              <w:rPr>
                <w:rFonts w:ascii="Times New Roman" w:hAnsi="Times New Roman"/>
                <w:sz w:val="24"/>
              </w:rPr>
            </w:pPr>
            <w:r w:rsidRPr="00AA1421">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Czas, jaki upłynął od momentu zaklasyfikowania ekspozycji jako nieobsługiwanej</w:t>
            </w:r>
          </w:p>
          <w:p w:rsidR="00DD00B4" w:rsidRPr="00AA1421" w:rsidRDefault="00DD00B4" w:rsidP="00DD00B4">
            <w:pPr>
              <w:rPr>
                <w:rFonts w:ascii="Times New Roman" w:hAnsi="Times New Roman"/>
                <w:sz w:val="24"/>
              </w:rPr>
            </w:pPr>
            <w:r w:rsidRPr="00AA1421">
              <w:rPr>
                <w:rFonts w:ascii="Times New Roman" w:hAnsi="Times New Roman"/>
                <w:sz w:val="24"/>
              </w:rPr>
              <w:t>„Czas, jaki upłynął od momentu zaklasyfikowania ekspozycji jako nieobsługiwanej” oznacza czas w latach, jaki upłynął od momentu zaklasyfikowania ekspozycji jako nieobsługiwanej. Instytucje zgłaszają dane na temat ekspozycji, w przypadku których dzień odniesienia przypada w odpowiednim przedziale czasu odpowiadającym mierzonemu w latach okresowi po sklasyfikowaniu ekspozycji jako nieobsługiwane, niezależnie od jakichkolwiek zastosowanych działań restrukturyzacyjnych.</w:t>
            </w:r>
          </w:p>
          <w:p w:rsidR="00DD00B4" w:rsidRPr="00AA1421" w:rsidRDefault="00DD00B4" w:rsidP="00DD00B4">
            <w:pPr>
              <w:rPr>
                <w:rFonts w:ascii="Times New Roman" w:hAnsi="Times New Roman"/>
                <w:sz w:val="24"/>
              </w:rPr>
            </w:pPr>
            <w:r w:rsidRPr="00AA1421">
              <w:rPr>
                <w:rFonts w:ascii="Times New Roman" w:hAnsi="Times New Roman"/>
                <w:sz w:val="24"/>
              </w:rPr>
              <w:t>W przypadku przedziału „&gt; X lat, &lt;= Y lat” instytucje zgłaszają dane na temat ekspozycji, w przypadku których dzień odniesienia odpowiada okresowi między pierwszym a ostatnim dniem roku Y po sklasyfikowaniu tych ekspozycji jako nieobsługiwane.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Ogółem</w:t>
            </w:r>
          </w:p>
          <w:p w:rsidR="00DD00B4" w:rsidRPr="00AA1421" w:rsidRDefault="00DD00B4" w:rsidP="00DD00B4">
            <w:pPr>
              <w:rPr>
                <w:rFonts w:ascii="Times New Roman" w:hAnsi="Times New Roman"/>
                <w:sz w:val="24"/>
                <w:u w:val="single"/>
              </w:rPr>
            </w:pPr>
            <w:r w:rsidRPr="00AA1421">
              <w:rPr>
                <w:rFonts w:ascii="Times New Roman" w:hAnsi="Times New Roman"/>
                <w:sz w:val="24"/>
              </w:rPr>
              <w:t xml:space="preserve">Instytucje zgłaszają sumę wszystkich kolumn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010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100.</w:t>
            </w:r>
          </w:p>
        </w:tc>
      </w:tr>
    </w:tbl>
    <w:p w:rsidR="00DD00B4" w:rsidRPr="00AA1421"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AA1421"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Instrukcje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AA1421" w:rsidRDefault="00DD00B4" w:rsidP="00DD00B4">
            <w:pPr>
              <w:rPr>
                <w:rFonts w:ascii="Times New Roman" w:hAnsi="Times New Roman"/>
                <w:sz w:val="24"/>
              </w:rPr>
            </w:pPr>
            <w:r w:rsidRPr="00AA142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Całkowity wymóg minimalnego pokrycia strat</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CRR</w:t>
            </w:r>
          </w:p>
          <w:p w:rsidR="00DD00B4" w:rsidRPr="00AA1421" w:rsidRDefault="00DD00B4" w:rsidP="00DD00B4">
            <w:pPr>
              <w:rPr>
                <w:rFonts w:ascii="Times New Roman" w:hAnsi="Times New Roman"/>
                <w:sz w:val="24"/>
              </w:rPr>
            </w:pPr>
            <w:r w:rsidRPr="00AA1421">
              <w:rPr>
                <w:rFonts w:ascii="Times New Roman" w:hAnsi="Times New Roman"/>
                <w:sz w:val="24"/>
              </w:rPr>
              <w:t xml:space="preserve">Na potrzeby obliczania całkowitego wymogu minimalnego pokrycia strat z tytułu ekspozycji nieobsługiwanych, z wyłączeniem ekspozycji restrukturyzowanych,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instytucje sumują wymóg minimalnego pokrycia strat z tytułu niezabezpieczonej części ekspozycji nieobsługiwanych (wiersz 0020) z wymogiem minimalnego pokrycia strat z tytułu zabezpieczonej części ekspozycji nieobsługiwanych (wiersze 0030–0050).</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Niezabezpieczona część ekspozycji nieobsługiwanych</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DD00B4" w:rsidRPr="00AA1421" w:rsidRDefault="00DD00B4" w:rsidP="00EA2AFF">
            <w:pPr>
              <w:rPr>
                <w:rFonts w:ascii="Times New Roman" w:hAnsi="Times New Roman"/>
                <w:sz w:val="24"/>
              </w:rPr>
            </w:pPr>
            <w:r w:rsidRPr="00AA1421">
              <w:rPr>
                <w:rFonts w:ascii="Times New Roman" w:hAnsi="Times New Roman"/>
                <w:sz w:val="24"/>
              </w:rPr>
              <w:t>Wymóg minimalnego pokrycia strat oblicza się poprzez przemnożenie zsumowanych wartości ekspozycji w wierszu 0070 przez odpowiedni współczynnik dla poszczególnych kolumn.</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084F66" w:rsidRDefault="00DD00B4" w:rsidP="00DD00B4">
            <w:pPr>
              <w:rPr>
                <w:rFonts w:ascii="Times New Roman" w:hAnsi="Times New Roman"/>
                <w:b/>
                <w:sz w:val="24"/>
                <w:u w:val="single"/>
              </w:rPr>
            </w:pPr>
            <w:r w:rsidRPr="00AA1421">
              <w:rPr>
                <w:rFonts w:ascii="Times New Roman" w:hAnsi="Times New Roman"/>
                <w:b/>
                <w:sz w:val="24"/>
                <w:u w:val="single"/>
              </w:rPr>
              <w:t>Część ekspozycji nieobsługiwanych zabezpieczona nieruchomością lub stanowiąca kredyt na nieruchomość mieszkalną gwarantowany przez uznanego dostawcę ochrony kredytowe</w:t>
            </w:r>
            <w:r w:rsidRPr="00084F66">
              <w:rPr>
                <w:rFonts w:ascii="Times New Roman" w:hAnsi="Times New Roman"/>
                <w:b/>
                <w:sz w:val="24"/>
                <w:u w:val="single"/>
              </w:rPr>
              <w:t>j</w:t>
            </w:r>
            <w:r w:rsidR="00084F66" w:rsidRPr="00084F66">
              <w:rPr>
                <w:rFonts w:ascii="Times New Roman" w:hAnsi="Times New Roman"/>
                <w:b/>
                <w:sz w:val="24"/>
                <w:u w:val="single"/>
              </w:rPr>
              <w:t xml:space="preserve"> </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b), c), d), f), h) oraz i) CRR</w:t>
            </w:r>
          </w:p>
          <w:p w:rsidR="00DD00B4" w:rsidRPr="00AA1421" w:rsidRDefault="00DD00B4" w:rsidP="00EA2AFF">
            <w:pPr>
              <w:rPr>
                <w:rFonts w:ascii="Times New Roman" w:hAnsi="Times New Roman"/>
                <w:b/>
                <w:sz w:val="24"/>
                <w:u w:val="single"/>
              </w:rPr>
            </w:pPr>
            <w:r w:rsidRPr="00AA1421">
              <w:rPr>
                <w:rFonts w:ascii="Times New Roman" w:hAnsi="Times New Roman"/>
                <w:sz w:val="24"/>
              </w:rPr>
              <w:t>Wymóg minimalnego pokrycia strat oblicza się poprzez przemnożenie zsumowanych wartości ekspozycji w wierszu 0080 przez odpowiedni współczynnik dla poszczególnych kolumn.</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Część ekspozycji nieobsługiwanych zabezpieczona innymi rodzajami ochrony kredytowej rzeczywistej lub nierzeczywistej</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b), c), e) i g) CRR</w:t>
            </w:r>
          </w:p>
          <w:p w:rsidR="00DD00B4" w:rsidRPr="00AA1421" w:rsidRDefault="00DD00B4" w:rsidP="00EA2AFF">
            <w:pPr>
              <w:rPr>
                <w:rFonts w:ascii="Times New Roman" w:hAnsi="Times New Roman"/>
                <w:b/>
                <w:sz w:val="24"/>
                <w:u w:val="single"/>
              </w:rPr>
            </w:pPr>
            <w:r w:rsidRPr="00AA1421">
              <w:rPr>
                <w:rFonts w:ascii="Times New Roman" w:hAnsi="Times New Roman"/>
                <w:sz w:val="24"/>
              </w:rPr>
              <w:t>Wymóg minimalnego pokrycia strat oblicza się poprzez przemnożenie zsumowanych wartości ekspozycji w wierszu 0090 przez odpowiedni współczynnik dla poszczególnych kolumn.</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Część ekspozycji nieobsługiwanych gwarantowana lub ubezpieczona przez oficjalną agencję kredytów eksportowych</w:t>
            </w:r>
          </w:p>
          <w:p w:rsidR="00DD00B4" w:rsidRPr="00AA1421" w:rsidRDefault="00A14679" w:rsidP="00DD00B4">
            <w:pPr>
              <w:jc w:val="left"/>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DD00B4" w:rsidRPr="00AA1421" w:rsidRDefault="00DD00B4" w:rsidP="00EA2AFF">
            <w:pPr>
              <w:jc w:val="left"/>
              <w:rPr>
                <w:rFonts w:ascii="Times New Roman" w:hAnsi="Times New Roman"/>
                <w:b/>
                <w:sz w:val="24"/>
                <w:u w:val="single"/>
              </w:rPr>
            </w:pPr>
            <w:r w:rsidRPr="00AA1421">
              <w:rPr>
                <w:rFonts w:ascii="Times New Roman" w:hAnsi="Times New Roman"/>
                <w:sz w:val="24"/>
              </w:rPr>
              <w:t>Wymóg minimalnego pokrycia strat oblicza się poprzez przemnożenie zsumowanych wartości ekspozycji w wierszu 0100 przez odpowiedni współczynnik dla poszczególnych kolumn.</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Wartość ekspozycji</w:t>
            </w:r>
          </w:p>
          <w:p w:rsidR="00DD00B4" w:rsidRPr="00AA1421" w:rsidRDefault="00A14679" w:rsidP="00DD00B4">
            <w:pPr>
              <w:jc w:val="left"/>
              <w:rPr>
                <w:rFonts w:ascii="Times New Roman" w:hAnsi="Times New Roman"/>
                <w:sz w:val="24"/>
              </w:rPr>
            </w:pPr>
            <w:r w:rsidRPr="00AA1421">
              <w:rPr>
                <w:rFonts w:ascii="Times New Roman" w:hAnsi="Times New Roman"/>
                <w:sz w:val="24"/>
              </w:rPr>
              <w:lastRenderedPageBreak/>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DD00B4" w:rsidRPr="00AA1421" w:rsidRDefault="00DD00B4" w:rsidP="00DD00B4">
            <w:pPr>
              <w:jc w:val="left"/>
              <w:rPr>
                <w:rFonts w:ascii="Times New Roman" w:hAnsi="Times New Roman"/>
                <w:b/>
                <w:sz w:val="24"/>
                <w:u w:val="single"/>
              </w:rPr>
            </w:pPr>
            <w:r w:rsidRPr="00AA1421">
              <w:rPr>
                <w:rFonts w:ascii="Times New Roman" w:hAnsi="Times New Roman"/>
                <w:sz w:val="24"/>
              </w:rPr>
              <w:t>Na potrzeby obliczeń wartości wiersza 0060 instytucje sumują wartości ekspozycji zgłoszone w odniesieniu do niezabezpieczonej części ekspozycji nieobsługiwanych (wiersz 0070), części ekspozycji nieobsługiwanych zabezpieczonej nieruchomością lub stanowiącej kredyt na nieruchomość mieszkalną gwarantowany przez uznanego dostawcę ochrony (wiersz 0080), części ekspozycji nieobsługiwanych zabezpieczonej inną ochroną kredytową rzeczywistą lub nierzeczywistą (wiersz 0090) i części ekspozycji nieobsługiwanych zabezpieczonej lub ubezpieczonej przez oficjalną agencję kredytów eksportowych (wiersz 0100).</w:t>
            </w:r>
          </w:p>
        </w:tc>
      </w:tr>
      <w:tr w:rsidR="00DD00B4" w:rsidRPr="00AA1421"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Niezabezpieczona część ekspozycji nieobsługiwanych</w:t>
            </w:r>
          </w:p>
          <w:p w:rsidR="00DD00B4" w:rsidRPr="00AA1421" w:rsidRDefault="009D30AF" w:rsidP="00DD00B4">
            <w:pPr>
              <w:jc w:val="left"/>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CRR</w:t>
            </w:r>
          </w:p>
          <w:p w:rsidR="00DD00B4" w:rsidRPr="00AA1421" w:rsidRDefault="00EA2AFF" w:rsidP="00EA2AFF">
            <w:pPr>
              <w:jc w:val="left"/>
              <w:rPr>
                <w:rFonts w:ascii="Times New Roman" w:hAnsi="Times New Roman"/>
                <w:sz w:val="24"/>
              </w:rPr>
            </w:pPr>
            <w:r w:rsidRPr="00AA1421">
              <w:rPr>
                <w:rFonts w:ascii="Times New Roman" w:hAnsi="Times New Roman"/>
                <w:sz w:val="24"/>
              </w:rPr>
              <w:t>Instytucje zgłaszają całkowitą wartość niezabezpieczonej części ekspozycji nieobsługiwanych w podziale na czas, jaki upłynął od momentu uznania tych ekspozycji za nieobsługiwane.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b), c), d), f), h) oraz i) CRR</w:t>
            </w:r>
          </w:p>
          <w:p w:rsidR="00DD00B4" w:rsidRPr="00AA1421" w:rsidRDefault="00441F78" w:rsidP="00441F78">
            <w:pPr>
              <w:rPr>
                <w:rFonts w:ascii="Times New Roman" w:hAnsi="Times New Roman"/>
                <w:b/>
                <w:sz w:val="24"/>
                <w:u w:val="single"/>
              </w:rPr>
            </w:pPr>
            <w:r w:rsidRPr="00AA1421">
              <w:rPr>
                <w:rFonts w:ascii="Times New Roman" w:hAnsi="Times New Roman"/>
                <w:sz w:val="24"/>
              </w:rPr>
              <w:t xml:space="preserve">Instytucje zgłaszają całkowitą wartość ekspozycji dla części ekspozycji nieobsługiwanych zabezpieczonej nieruchomością zgodnie z częścią trzecią tytuł II CRR lub stanowiącej kredyt na nieruchomość mieszkalną gwarantowany przez uznanego dostawcę ochrony kredytowej,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01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Część ekspozycji nieobsługiwanych zabezpieczona innymi rodzajami ochrony kredytowej rzeczywistej lub nierzeczywistej</w:t>
            </w:r>
          </w:p>
          <w:p w:rsidR="00DD00B4" w:rsidRPr="00AA1421" w:rsidRDefault="00C259E2" w:rsidP="00DD00B4">
            <w:pPr>
              <w:jc w:val="left"/>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b), c), e) i g) CRR </w:t>
            </w:r>
          </w:p>
          <w:p w:rsidR="00DD00B4" w:rsidRPr="00AA1421" w:rsidRDefault="00441F78" w:rsidP="00441F78">
            <w:pPr>
              <w:jc w:val="left"/>
              <w:rPr>
                <w:rFonts w:ascii="Times New Roman" w:hAnsi="Times New Roman"/>
                <w:sz w:val="24"/>
              </w:rPr>
            </w:pPr>
            <w:r w:rsidRPr="00AA1421">
              <w:rPr>
                <w:rFonts w:ascii="Times New Roman" w:hAnsi="Times New Roman"/>
                <w:sz w:val="24"/>
              </w:rPr>
              <w:t>Instytucje zgłaszają całkowitą wartość ekspozycji dla części ekspozycji nieobsługiwanych zabezpieczonej innymi rodzajami ochrony kredytowej rzeczywistej lub nierzeczywistej zgodnie z częścią trzecią rozdział II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Część ekspozycji nieobsługiwanych gwarantowana lub ubezpieczona przez oficjalną agencję kredytów eksportowych</w:t>
            </w:r>
          </w:p>
          <w:p w:rsidR="00DD00B4" w:rsidRPr="00AA1421" w:rsidRDefault="00BD5F43" w:rsidP="00DD00B4">
            <w:pPr>
              <w:jc w:val="left"/>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p w:rsidR="00DD00B4" w:rsidRPr="00AA1421" w:rsidRDefault="00441F78" w:rsidP="00441F78">
            <w:pPr>
              <w:jc w:val="left"/>
              <w:rPr>
                <w:rFonts w:ascii="Times New Roman" w:hAnsi="Times New Roman"/>
                <w:b/>
                <w:sz w:val="24"/>
                <w:u w:val="single"/>
              </w:rPr>
            </w:pPr>
            <w:r w:rsidRPr="00AA1421">
              <w:rPr>
                <w:rFonts w:ascii="Times New Roman" w:hAnsi="Times New Roman"/>
                <w:sz w:val="24"/>
              </w:rPr>
              <w:t xml:space="preserve">Instytucje zgłaszają całkowitą wartość ekspozycji dla części ekspozycji nieobsługiwanych zabezpieczonej lub ubezpieczonej przez oficjalną agencję kredytów eksportowych lub gwarantowanych bądź </w:t>
            </w:r>
            <w:proofErr w:type="spellStart"/>
            <w:r w:rsidRPr="00AA1421">
              <w:rPr>
                <w:rFonts w:ascii="Times New Roman" w:hAnsi="Times New Roman"/>
                <w:sz w:val="24"/>
              </w:rPr>
              <w:t>kontrgwarantowanych</w:t>
            </w:r>
            <w:proofErr w:type="spellEnd"/>
            <w:r w:rsidRPr="00AA1421">
              <w:rPr>
                <w:rFonts w:ascii="Times New Roman" w:hAnsi="Times New Roman"/>
                <w:sz w:val="24"/>
              </w:rPr>
              <w:t xml:space="preserve"> przez innego uznanego dostawcę ochrony,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 CRR.</w:t>
            </w:r>
          </w:p>
        </w:tc>
      </w:tr>
    </w:tbl>
    <w:p w:rsidR="00DD00B4" w:rsidRPr="00AA1421" w:rsidRDefault="00DD00B4" w:rsidP="00DD00B4">
      <w:pPr>
        <w:spacing w:before="0" w:after="160" w:line="259" w:lineRule="auto"/>
        <w:jc w:val="left"/>
        <w:rPr>
          <w:rFonts w:ascii="Times New Roman" w:hAnsi="Times New Roman"/>
          <w:sz w:val="24"/>
        </w:rPr>
      </w:pPr>
    </w:p>
    <w:p w:rsidR="00DD00B4" w:rsidRPr="00AA1421"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403767"/>
      <w:r w:rsidRPr="00AA1421">
        <w:rPr>
          <w:rFonts w:ascii="Times New Roman" w:hAnsi="Times New Roman"/>
          <w:sz w:val="24"/>
        </w:rPr>
        <w:lastRenderedPageBreak/>
        <w:t>C 35.03 – WYMOGI MINIMALNEGO POKRYCIA STRAT I WARTOŚCI EKSPOZYCJI W PRZYPADKU NIEOBSŁUGIWANYCH EKSPOZYCJI RESTRUKTURYZOWANYCH, KTÓRE SĄ OBJĘTE ART. 47C UST. 6 CRR (NPE LC3)</w:t>
      </w:r>
      <w:bookmarkStart w:id="795" w:name="_Toc19715894"/>
      <w:bookmarkEnd w:id="793"/>
      <w:bookmarkEnd w:id="795"/>
      <w:bookmarkEnd w:id="794"/>
    </w:p>
    <w:p w:rsidR="00DD00B4" w:rsidRPr="00AA1421"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403768"/>
      <w:r w:rsidRPr="00AA1421">
        <w:rPr>
          <w:rFonts w:ascii="Times New Roman" w:hAnsi="Times New Roman"/>
          <w:sz w:val="24"/>
        </w:rPr>
        <w:t>Instrukcje dotyczące poszczególnych pozycji</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AA1421"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Kolumny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Instrukcje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AA1421" w:rsidRDefault="00DD00B4" w:rsidP="00DD00B4">
            <w:pPr>
              <w:rPr>
                <w:rFonts w:ascii="Times New Roman" w:hAnsi="Times New Roman"/>
                <w:sz w:val="24"/>
              </w:rPr>
            </w:pPr>
            <w:r w:rsidRPr="00AA1421">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Czas, jaki upłynął od momentu zaklasyfikowania ekspozycji jako nieobsługiwanej</w:t>
            </w:r>
          </w:p>
          <w:p w:rsidR="00DD00B4" w:rsidRPr="00AA1421" w:rsidRDefault="00DD00B4" w:rsidP="00DD00B4">
            <w:pPr>
              <w:rPr>
                <w:rFonts w:ascii="Times New Roman" w:hAnsi="Times New Roman"/>
                <w:sz w:val="24"/>
              </w:rPr>
            </w:pPr>
            <w:r w:rsidRPr="00AA1421">
              <w:rPr>
                <w:rFonts w:ascii="Times New Roman" w:hAnsi="Times New Roman"/>
                <w:sz w:val="24"/>
              </w:rPr>
              <w:t>„Czas, jaki upłynął od momentu zaklasyfikowania ekspozycji jako nieobsługiwanej” oznacza czas w latach, jaki upłynął od momentu zaklasyfikowania ekspozycji jako nieobsługiwanej. Instytucje zgłaszają dane na temat ekspozycji, w przypadku których dzień odniesienia przypada w odpowiednim przedziale czasu odpowiadającym mierzonemu w latach okresowi po sklasyfikowaniu ekspozycji jako nieobsługiwane, niezależnie od jakichkolwiek zastosowanych działań restrukturyzacyjnych.</w:t>
            </w:r>
          </w:p>
          <w:p w:rsidR="00DD00B4" w:rsidRPr="00AA1421" w:rsidRDefault="00DD00B4" w:rsidP="00DD00B4">
            <w:pPr>
              <w:rPr>
                <w:rFonts w:ascii="Times New Roman" w:hAnsi="Times New Roman"/>
                <w:sz w:val="24"/>
              </w:rPr>
            </w:pPr>
            <w:r w:rsidRPr="00AA1421">
              <w:rPr>
                <w:rFonts w:ascii="Times New Roman" w:hAnsi="Times New Roman"/>
                <w:sz w:val="24"/>
              </w:rPr>
              <w:t>W przypadku przedziału „&gt; X lat, &lt;= Y lat” instytucje zgłaszają dane na temat ekspozycji, w przypadku których dzień odniesienia odpowiada okresowi między pierwszym a ostatnim dniem roku Y po sklasyfikowaniu tych ekspozycji jako nieobsługiwane.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sz w:val="24"/>
              </w:rPr>
              <w:t xml:space="preserve"> </w:t>
            </w:r>
            <w:r w:rsidRPr="00AA1421">
              <w:rPr>
                <w:rFonts w:ascii="Times New Roman" w:hAnsi="Times New Roman"/>
                <w:b/>
                <w:sz w:val="24"/>
                <w:u w:val="single"/>
              </w:rPr>
              <w:t>Ogółem</w:t>
            </w:r>
          </w:p>
          <w:p w:rsidR="00DD00B4" w:rsidRPr="00AA1421" w:rsidRDefault="00DD00B4" w:rsidP="00DD00B4">
            <w:pPr>
              <w:rPr>
                <w:rFonts w:ascii="Times New Roman" w:hAnsi="Times New Roman"/>
                <w:b/>
                <w:sz w:val="24"/>
                <w:u w:val="single"/>
              </w:rPr>
            </w:pPr>
            <w:r w:rsidRPr="00AA1421">
              <w:rPr>
                <w:rFonts w:ascii="Times New Roman" w:hAnsi="Times New Roman"/>
                <w:sz w:val="24"/>
              </w:rPr>
              <w:t xml:space="preserve">Instytucje zgłaszają sumę wszystkich kolumn </w:t>
            </w:r>
            <w:r w:rsidRPr="00084F66">
              <w:rPr>
                <w:rFonts w:ascii="Times New Roman" w:hAnsi="Times New Roman"/>
                <w:sz w:val="24"/>
              </w:rPr>
              <w:t>od</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 xml:space="preserve">010 </w:t>
            </w:r>
            <w:r w:rsidRPr="00084F66">
              <w:rPr>
                <w:rFonts w:ascii="Times New Roman" w:hAnsi="Times New Roman"/>
                <w:sz w:val="24"/>
              </w:rPr>
              <w:t>do</w:t>
            </w:r>
            <w:r w:rsidR="00084F66" w:rsidRPr="00084F66">
              <w:rPr>
                <w:rFonts w:ascii="Times New Roman" w:hAnsi="Times New Roman"/>
                <w:sz w:val="24"/>
              </w:rPr>
              <w:t> </w:t>
            </w:r>
            <w:r w:rsidRPr="00084F66">
              <w:rPr>
                <w:rFonts w:ascii="Times New Roman" w:hAnsi="Times New Roman"/>
                <w:sz w:val="24"/>
              </w:rPr>
              <w:t>0</w:t>
            </w:r>
            <w:r w:rsidRPr="00AA1421">
              <w:rPr>
                <w:rFonts w:ascii="Times New Roman" w:hAnsi="Times New Roman"/>
                <w:sz w:val="24"/>
              </w:rPr>
              <w:t>100.</w:t>
            </w:r>
          </w:p>
        </w:tc>
      </w:tr>
    </w:tbl>
    <w:p w:rsidR="00DD00B4" w:rsidRPr="00AA1421"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AA1421"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Wiersze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AA1421" w:rsidRDefault="00DD00B4" w:rsidP="00DD00B4">
            <w:pPr>
              <w:rPr>
                <w:rFonts w:ascii="Times New Roman" w:hAnsi="Times New Roman"/>
                <w:sz w:val="24"/>
              </w:rPr>
            </w:pPr>
            <w:r w:rsidRPr="00AA1421">
              <w:rPr>
                <w:rFonts w:ascii="Times New Roman" w:hAnsi="Times New Roman"/>
                <w:sz w:val="24"/>
              </w:rPr>
              <w:t>Instrukcje</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AA1421" w:rsidRDefault="00DD00B4" w:rsidP="00DD00B4">
            <w:pPr>
              <w:rPr>
                <w:rFonts w:ascii="Times New Roman" w:hAnsi="Times New Roman"/>
                <w:sz w:val="24"/>
              </w:rPr>
            </w:pPr>
            <w:r w:rsidRPr="00AA1421">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Całkowity wymóg minimalnego pokrycia strat</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DD00B4" w:rsidP="00A648C2">
            <w:pPr>
              <w:rPr>
                <w:rFonts w:ascii="Times New Roman" w:hAnsi="Times New Roman"/>
                <w:sz w:val="24"/>
              </w:rPr>
            </w:pPr>
            <w:r w:rsidRPr="00AA1421">
              <w:rPr>
                <w:rFonts w:ascii="Times New Roman" w:hAnsi="Times New Roman"/>
                <w:sz w:val="24"/>
              </w:rPr>
              <w:t xml:space="preserve">Na potrzeby obliczeń całkowitego wymogu minimalnego pokrycia strat z tytułu nieobsługiwanych ekspozycji restrukturyzowanych,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instytucje sumują wymogi minimalnego pokrycia strat dla niezabezpieczonej części restrukturyzowanych ekspozycji nieobsługiwanych (wiersz 0020), części restrukturyzowanych ekspozycji nieobsługiwanych zabezpieczonej nieruchomością lub stanowiącej kredyt na nieruchomość mieszkalną gwarantowany przez uznanego dostawcę ochrony (wiersz 0030) i części restrukturyzowanych ekspozycji nieobsługiwanych zabezpieczonej inną ochroną kredytową rzeczywistą lub nierzeczywistą (wiersz 0040).</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Niezabezpieczona część ekspozycji nieobsługiwanych</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li. a) </w:t>
            </w:r>
            <w:proofErr w:type="spellStart"/>
            <w:r w:rsidRPr="00AA1421">
              <w:rPr>
                <w:rFonts w:ascii="Times New Roman" w:hAnsi="Times New Roman"/>
                <w:sz w:val="24"/>
              </w:rPr>
              <w:t>ppkt</w:t>
            </w:r>
            <w:proofErr w:type="spellEnd"/>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303974" w:rsidP="00303974">
            <w:pPr>
              <w:rPr>
                <w:rFonts w:ascii="Times New Roman" w:hAnsi="Times New Roman"/>
                <w:sz w:val="24"/>
              </w:rPr>
            </w:pPr>
            <w:r w:rsidRPr="00AA1421">
              <w:rPr>
                <w:rFonts w:ascii="Times New Roman" w:hAnsi="Times New Roman"/>
                <w:sz w:val="24"/>
              </w:rPr>
              <w:t xml:space="preserve">Instytucje zgłaszają całkowity wymóg minimalnego pokrycia strat z tytułu niezabezpieczonej części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tj. sumę uzyskaną w wyniku obliczeń przeprowadzonych na poziomie ekspozycji.</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rsidR="00DD00B4" w:rsidRPr="00AA1421" w:rsidRDefault="00DD00B4" w:rsidP="00DD00B4">
            <w:pPr>
              <w:rPr>
                <w:rFonts w:ascii="Times New Roman" w:hAnsi="Times New Roman"/>
                <w:sz w:val="24"/>
              </w:rPr>
            </w:pPr>
            <w:r w:rsidRPr="00AA1421">
              <w:rPr>
                <w:rFonts w:ascii="Times New Roman" w:hAnsi="Times New Roman"/>
                <w:sz w:val="24"/>
              </w:rPr>
              <w:lastRenderedPageBreak/>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b), c), d), f), h) oraz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303974" w:rsidP="00303974">
            <w:pPr>
              <w:rPr>
                <w:rFonts w:ascii="Times New Roman" w:hAnsi="Times New Roman"/>
                <w:b/>
                <w:sz w:val="24"/>
                <w:u w:val="single"/>
              </w:rPr>
            </w:pPr>
            <w:r w:rsidRPr="00AA1421">
              <w:rPr>
                <w:rFonts w:ascii="Times New Roman" w:hAnsi="Times New Roman"/>
                <w:sz w:val="24"/>
              </w:rPr>
              <w:t xml:space="preserve">Instytucje zgłaszają całkowity wymóg minimalnego pokrycia strat dla części restrukturyzowanych ekspozycji nieobsługiwanych zabezpieczonej nieruchomością zgodnie z częścią trzecią tytuł II CRR lub stanowiącej kredyt na nieruchomość mieszkalną gwarantowany przez uznanego dostawcę ochrony kredytowej,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01 CRR,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tj. sumę obliczeń dokonanych na poziomie ekspozycji. </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jc w:val="left"/>
              <w:rPr>
                <w:rFonts w:ascii="Times New Roman" w:hAnsi="Times New Roman"/>
                <w:b/>
                <w:sz w:val="24"/>
                <w:u w:val="single"/>
              </w:rPr>
            </w:pPr>
            <w:r w:rsidRPr="00AA1421">
              <w:rPr>
                <w:rFonts w:ascii="Times New Roman" w:hAnsi="Times New Roman"/>
                <w:b/>
                <w:sz w:val="24"/>
                <w:u w:val="single"/>
              </w:rPr>
              <w:t>Część ekspozycji nieobsługiwanych zabezpieczona innymi rodzajami ochrony kredytowej rzeczywistej lub nierzeczywistej</w:t>
            </w:r>
          </w:p>
          <w:p w:rsidR="00DD00B4" w:rsidRPr="00AA1421" w:rsidRDefault="00DD00B4" w:rsidP="00DD00B4">
            <w:pPr>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w:t>
            </w:r>
            <w:proofErr w:type="spellStart"/>
            <w:r w:rsidRPr="00AA1421">
              <w:rPr>
                <w:rFonts w:ascii="Times New Roman" w:hAnsi="Times New Roman"/>
                <w:sz w:val="24"/>
              </w:rPr>
              <w:t>ppkt</w:t>
            </w:r>
            <w:proofErr w:type="spellEnd"/>
            <w:r w:rsidRPr="00AA1421">
              <w:rPr>
                <w:rFonts w:ascii="Times New Roman" w:hAnsi="Times New Roman"/>
                <w:sz w:val="24"/>
              </w:rPr>
              <w:t xml:space="preserve"> (ii),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b), c), e) i g),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303974" w:rsidP="00303974">
            <w:pPr>
              <w:rPr>
                <w:rFonts w:ascii="Times New Roman" w:hAnsi="Times New Roman"/>
                <w:sz w:val="24"/>
              </w:rPr>
            </w:pPr>
            <w:r w:rsidRPr="00AA1421">
              <w:rPr>
                <w:rFonts w:ascii="Times New Roman" w:hAnsi="Times New Roman"/>
                <w:sz w:val="24"/>
              </w:rPr>
              <w:t xml:space="preserve">Instytucje zgłaszają całkowity wymóg minimalnego pokrycia strat z tytułu części restrukturyzowanych ekspozycji nieobsługiwanych zabezpieczonych inną ochroną kredytową rzeczywistą lub nierzeczywistą,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tj. sumę uzyskaną w wyniku obliczeń przeprowadzonych na poziomie ekspozycji.</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Wartość ekspozycji</w:t>
            </w:r>
          </w:p>
          <w:p w:rsidR="00DD00B4" w:rsidRPr="00AA1421" w:rsidRDefault="00233577" w:rsidP="00DD00B4">
            <w:pPr>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DD00B4" w:rsidP="00DD00B4">
            <w:pPr>
              <w:rPr>
                <w:rFonts w:ascii="Times New Roman" w:hAnsi="Times New Roman"/>
                <w:b/>
                <w:sz w:val="24"/>
                <w:u w:val="single"/>
              </w:rPr>
            </w:pPr>
            <w:r w:rsidRPr="00AA1421">
              <w:rPr>
                <w:rFonts w:ascii="Times New Roman" w:hAnsi="Times New Roman"/>
                <w:sz w:val="24"/>
              </w:rPr>
              <w:t xml:space="preserve">Na potrzeby obliczeń wartości ekspozycji instytucje sumują, w stosownych przypadkach, wartości ekspozycji dla niezabezpieczonej części ekspozycji nieobsługiwanych (wiersz 0060), części ekspozycji nieobsługiwanych zabezpieczonej nieruchomością lub stanowiącej kredyt na nieruchomość mieszkalną gwarantowany przez uznanego dostawcę ochrony (wiersz 0070) oraz części ekspozycji nieobsługiwanych zabezpieczonej inną ochroną kredytową rzeczywistą lub nierzeczywistą (wiersz 0120). </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Niezabezpieczona część ekspozycji nieobsługiwanych</w:t>
            </w:r>
          </w:p>
          <w:p w:rsidR="00DD00B4" w:rsidRPr="00AA1421" w:rsidRDefault="00233577" w:rsidP="00DD00B4">
            <w:pPr>
              <w:jc w:val="left"/>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303974" w:rsidP="00303974">
            <w:pPr>
              <w:rPr>
                <w:rFonts w:ascii="Times New Roman" w:hAnsi="Times New Roman"/>
                <w:b/>
                <w:sz w:val="24"/>
                <w:u w:val="single"/>
              </w:rPr>
            </w:pPr>
            <w:r w:rsidRPr="00AA1421">
              <w:rPr>
                <w:rFonts w:ascii="Times New Roman" w:hAnsi="Times New Roman"/>
                <w:sz w:val="24"/>
              </w:rPr>
              <w:t xml:space="preserve">Instytucje zgłaszają całkowitą wartość ekspozycji dla niezabezpieczonej części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jeżeli pierwszym działaniem restrukturyzacyjnym ekspozycję objęto między pierwszym a ostatnim dniem drugiego roku po sklasyfikowaniu danej ekspozycji jako ekspozycji nieobsługiwanej (&gt;1 rok; &lt;=</w:t>
            </w:r>
            <w:r w:rsidR="00D34166" w:rsidRPr="00AA1421">
              <w:rPr>
                <w:rFonts w:ascii="Times New Roman" w:hAnsi="Times New Roman"/>
                <w:sz w:val="24"/>
              </w:rPr>
              <w:t xml:space="preserve"> </w:t>
            </w:r>
            <w:r w:rsidRPr="00AA1421">
              <w:rPr>
                <w:rFonts w:ascii="Times New Roman" w:hAnsi="Times New Roman"/>
                <w:sz w:val="24"/>
              </w:rPr>
              <w:t>2 lata).</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Część ekspozycji nieobsługiwanych zabezpieczona nieruchomością lub stanowiąca kredyt na nieruchomość mieszkalną gwarantowany przez uznanego dostawcę ochrony kredytowej</w:t>
            </w:r>
          </w:p>
          <w:p w:rsidR="00DD00B4" w:rsidRPr="00AA1421" w:rsidRDefault="006C0EF3" w:rsidP="00DD00B4">
            <w:pPr>
              <w:rPr>
                <w:rFonts w:ascii="Times New Roman" w:hAnsi="Times New Roman"/>
                <w:sz w:val="24"/>
              </w:rPr>
            </w:pPr>
            <w:r w:rsidRPr="00AA1421">
              <w:rPr>
                <w:rFonts w:ascii="Times New Roman" w:hAnsi="Times New Roman"/>
                <w:sz w:val="24"/>
              </w:rPr>
              <w:t xml:space="preserve">Art. 47a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b), c), d), f), h) oraz i),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303974" w:rsidP="00303974">
            <w:pPr>
              <w:rPr>
                <w:rFonts w:ascii="Times New Roman" w:hAnsi="Times New Roman"/>
                <w:b/>
                <w:sz w:val="24"/>
                <w:u w:val="single"/>
              </w:rPr>
            </w:pPr>
            <w:r w:rsidRPr="00AA1421">
              <w:rPr>
                <w:rFonts w:ascii="Times New Roman" w:hAnsi="Times New Roman"/>
                <w:sz w:val="24"/>
              </w:rPr>
              <w:t xml:space="preserve">Instytucje zgłaszają całkowitą wartość ekspozycji dla części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zabezpieczonej nieruchomością zgodnie z częścią trzecią tytuł II CRR lub stanowiącej kredyt na nieruchomość mieszkalną gwarantowany przez uznanego dostawcę ochrony kredytowej, o którym mowa w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2</w:t>
            </w:r>
            <w:r w:rsidRPr="00AA1421">
              <w:rPr>
                <w:rFonts w:ascii="Times New Roman" w:hAnsi="Times New Roman"/>
                <w:sz w:val="24"/>
              </w:rPr>
              <w:t>01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&gt;2 i &lt;=</w:t>
            </w:r>
            <w:r w:rsidR="00D34166" w:rsidRPr="00AA1421">
              <w:rPr>
                <w:rFonts w:ascii="Times New Roman" w:hAnsi="Times New Roman"/>
                <w:b/>
                <w:sz w:val="24"/>
                <w:u w:val="single"/>
              </w:rPr>
              <w:t xml:space="preserve"> </w:t>
            </w:r>
            <w:r w:rsidRPr="00AA1421">
              <w:rPr>
                <w:rFonts w:ascii="Times New Roman" w:hAnsi="Times New Roman"/>
                <w:b/>
                <w:sz w:val="24"/>
                <w:u w:val="single"/>
              </w:rPr>
              <w:t>3 lata po sklasyfikowaniu jako ekspozycja nieobsługiwana</w:t>
            </w:r>
          </w:p>
          <w:p w:rsidR="00DD00B4" w:rsidRPr="00AA1421" w:rsidRDefault="00DD00B4" w:rsidP="00DD00B4">
            <w:pPr>
              <w:rPr>
                <w:rFonts w:ascii="Times New Roman" w:hAnsi="Times New Roman"/>
                <w:b/>
                <w:sz w:val="24"/>
                <w:u w:val="single"/>
              </w:rPr>
            </w:pPr>
            <w:r w:rsidRPr="00AA1421">
              <w:rPr>
                <w:rFonts w:ascii="Times New Roman" w:hAnsi="Times New Roman"/>
                <w:sz w:val="24"/>
              </w:rPr>
              <w:lastRenderedPageBreak/>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nieruchomością lub stanowiących kredyt na nieruchomość mieszkalną gwarantowany przez uznanego dostawcę ochrony kredytowej, jeżeli pierwszym działaniem restrukturyzacyjnym ekspozycję objęto między pierwszym a ostatnim dniem trzeciego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&gt;3 i &lt;=</w:t>
            </w:r>
            <w:r w:rsidR="00D34166" w:rsidRPr="00AA1421">
              <w:rPr>
                <w:rFonts w:ascii="Times New Roman" w:hAnsi="Times New Roman"/>
                <w:b/>
                <w:sz w:val="24"/>
                <w:u w:val="single"/>
              </w:rPr>
              <w:t xml:space="preserve"> </w:t>
            </w:r>
            <w:r w:rsidRPr="00AA1421">
              <w:rPr>
                <w:rFonts w:ascii="Times New Roman" w:hAnsi="Times New Roman"/>
                <w:b/>
                <w:sz w:val="24"/>
                <w:u w:val="single"/>
              </w:rPr>
              <w:t>4 lata po sklasyfikowaniu jako ekspozycja nieobsługiwana</w:t>
            </w:r>
          </w:p>
          <w:p w:rsidR="00DD00B4" w:rsidRPr="00AA1421" w:rsidRDefault="00DD00B4" w:rsidP="00DD00B4">
            <w:pPr>
              <w:rPr>
                <w:rFonts w:ascii="Times New Roman" w:hAnsi="Times New Roman"/>
                <w:b/>
                <w:sz w:val="24"/>
                <w:u w:val="single"/>
              </w:rPr>
            </w:pPr>
            <w:r w:rsidRPr="00AA1421">
              <w:rPr>
                <w:rFonts w:ascii="Times New Roman" w:hAnsi="Times New Roman"/>
                <w:sz w:val="24"/>
              </w:rPr>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nieruchomością lub stanowiących kredyt na nieruchomość mieszkalną gwarantowany przez uznanego dostawcę ochrony kredytowej, jeżeli pierwszym działaniem restrukturyzacyjnym ekspozycję objęto między pierwszym a ostatnim dniem czwartego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&gt;4 i &lt;=</w:t>
            </w:r>
            <w:r w:rsidR="00D34166" w:rsidRPr="00AA1421">
              <w:rPr>
                <w:rFonts w:ascii="Times New Roman" w:hAnsi="Times New Roman"/>
                <w:b/>
                <w:sz w:val="24"/>
                <w:u w:val="single"/>
              </w:rPr>
              <w:t xml:space="preserve"> </w:t>
            </w:r>
            <w:r w:rsidRPr="00AA1421">
              <w:rPr>
                <w:rFonts w:ascii="Times New Roman" w:hAnsi="Times New Roman"/>
                <w:b/>
                <w:sz w:val="24"/>
                <w:u w:val="single"/>
              </w:rPr>
              <w:t>5 lat po sklasyfikowaniu jako ekspozycja nieobsługiwana</w:t>
            </w:r>
          </w:p>
          <w:p w:rsidR="00DD00B4" w:rsidRPr="00AA1421" w:rsidRDefault="00DD00B4" w:rsidP="008D0D6A">
            <w:pPr>
              <w:rPr>
                <w:rFonts w:ascii="Times New Roman" w:hAnsi="Times New Roman"/>
                <w:b/>
                <w:sz w:val="24"/>
                <w:u w:val="single"/>
              </w:rPr>
            </w:pPr>
            <w:r w:rsidRPr="00AA1421">
              <w:rPr>
                <w:rFonts w:ascii="Times New Roman" w:hAnsi="Times New Roman"/>
                <w:sz w:val="24"/>
              </w:rPr>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nieruchomością lub stanowiących kredyt na nieruchomość mieszkalną gwarantowany przez uznanego dostawcę ochrony kredytowej, jeżeli pierwszym działaniem restrukturyzacyjnym ekspozycję objęto między pierwszym a ostatnim dniem piątego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&gt;5 i &lt;=</w:t>
            </w:r>
            <w:r w:rsidR="00D34166" w:rsidRPr="00AA1421">
              <w:rPr>
                <w:rFonts w:ascii="Times New Roman" w:hAnsi="Times New Roman"/>
                <w:b/>
                <w:sz w:val="24"/>
                <w:u w:val="single"/>
              </w:rPr>
              <w:t xml:space="preserve"> </w:t>
            </w:r>
            <w:r w:rsidRPr="00AA1421">
              <w:rPr>
                <w:rFonts w:ascii="Times New Roman" w:hAnsi="Times New Roman"/>
                <w:b/>
                <w:sz w:val="24"/>
                <w:u w:val="single"/>
              </w:rPr>
              <w:t>6 lat po sklasyfikowaniu jako ekspozycja nieobsługiwana</w:t>
            </w:r>
          </w:p>
          <w:p w:rsidR="00DD00B4" w:rsidRPr="00AA1421" w:rsidRDefault="00DD00B4" w:rsidP="008D0D6A">
            <w:pPr>
              <w:rPr>
                <w:rFonts w:ascii="Times New Roman" w:hAnsi="Times New Roman"/>
                <w:b/>
                <w:sz w:val="24"/>
                <w:u w:val="single"/>
              </w:rPr>
            </w:pPr>
            <w:r w:rsidRPr="00AA1421">
              <w:rPr>
                <w:rFonts w:ascii="Times New Roman" w:hAnsi="Times New Roman"/>
                <w:sz w:val="24"/>
              </w:rPr>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nieruchomością lub stanowiących kredyt na nieruchomość mieszkalną gwarantowany przez uznanego dostawcę ochrony kredytowej, jeżeli pierwszym działaniem restrukturyzacyjnym ekspozycję objęto między pierwszym a ostatnim dniem szóstego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rPr>
            </w:pPr>
            <w:r w:rsidRPr="00AA1421">
              <w:rPr>
                <w:rFonts w:ascii="Times New Roman" w:hAnsi="Times New Roman"/>
                <w:b/>
                <w:sz w:val="24"/>
              </w:rPr>
              <w:t>Część ekspozycji nieobsługiwanych zabezpieczona innymi rodzajami ochrony kredytowej rzeczywistej lub nierzeczywistej</w:t>
            </w:r>
          </w:p>
          <w:p w:rsidR="00DD00B4" w:rsidRPr="00AA1421" w:rsidRDefault="00DD00B4" w:rsidP="00DD00B4">
            <w:pPr>
              <w:jc w:val="left"/>
              <w:rPr>
                <w:rFonts w:ascii="Times New Roman" w:hAnsi="Times New Roman"/>
                <w:sz w:val="24"/>
              </w:rPr>
            </w:pPr>
            <w:r w:rsidRPr="00AA1421">
              <w:rPr>
                <w:rFonts w:ascii="Times New Roman" w:hAnsi="Times New Roman"/>
                <w:sz w:val="24"/>
              </w:rPr>
              <w:t xml:space="preserve">Art. 47c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1</w:t>
            </w:r>
            <w:r w:rsidRPr="00AA1421">
              <w:rPr>
                <w:rFonts w:ascii="Times New Roman" w:hAnsi="Times New Roman"/>
                <w:sz w:val="24"/>
              </w:rPr>
              <w:t xml:space="preserv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3</w:t>
            </w:r>
            <w:r w:rsidRPr="00AA1421">
              <w:rPr>
                <w:rFonts w:ascii="Times New Roman" w:hAnsi="Times New Roman"/>
                <w:sz w:val="24"/>
              </w:rPr>
              <w:t xml:space="preserve"> </w:t>
            </w:r>
            <w:r w:rsidRPr="00084F66">
              <w:rPr>
                <w:rFonts w:ascii="Times New Roman" w:hAnsi="Times New Roman"/>
                <w:sz w:val="24"/>
              </w:rPr>
              <w:t>lit.</w:t>
            </w:r>
            <w:r w:rsidR="00084F66" w:rsidRPr="00084F66">
              <w:rPr>
                <w:rFonts w:ascii="Times New Roman" w:hAnsi="Times New Roman"/>
                <w:sz w:val="24"/>
              </w:rPr>
              <w:t> </w:t>
            </w:r>
            <w:r w:rsidRPr="00084F66">
              <w:rPr>
                <w:rFonts w:ascii="Times New Roman" w:hAnsi="Times New Roman"/>
                <w:sz w:val="24"/>
              </w:rPr>
              <w:t>a)</w:t>
            </w:r>
            <w:r w:rsidRPr="00AA1421">
              <w:rPr>
                <w:rFonts w:ascii="Times New Roman" w:hAnsi="Times New Roman"/>
                <w:sz w:val="24"/>
              </w:rPr>
              <w:t xml:space="preserve">, b), c), e) i g),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w:t>
            </w:r>
          </w:p>
          <w:p w:rsidR="00DD00B4" w:rsidRPr="00AA1421" w:rsidRDefault="00303974" w:rsidP="00303974">
            <w:pPr>
              <w:rPr>
                <w:rFonts w:ascii="Times New Roman" w:hAnsi="Times New Roman"/>
                <w:b/>
                <w:sz w:val="24"/>
                <w:u w:val="single"/>
              </w:rPr>
            </w:pPr>
            <w:r w:rsidRPr="00AA1421">
              <w:rPr>
                <w:rFonts w:ascii="Times New Roman" w:hAnsi="Times New Roman"/>
                <w:sz w:val="24"/>
              </w:rPr>
              <w:t xml:space="preserve">Instytucje zgłaszają całkowitą wartość ekspozycji dla części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zabezpieczonej innymi rodzajami ochrony kredytowej rzeczywistej lub nierzeczywistej zgodnie z częścią trzecią tytuł II CRR.</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&gt;2 i &lt;=</w:t>
            </w:r>
            <w:r w:rsidR="00D34166" w:rsidRPr="00AA1421">
              <w:rPr>
                <w:rFonts w:ascii="Times New Roman" w:hAnsi="Times New Roman"/>
                <w:b/>
                <w:sz w:val="24"/>
                <w:u w:val="single"/>
              </w:rPr>
              <w:t xml:space="preserve"> </w:t>
            </w:r>
            <w:r w:rsidRPr="00AA1421">
              <w:rPr>
                <w:rFonts w:ascii="Times New Roman" w:hAnsi="Times New Roman"/>
                <w:b/>
                <w:sz w:val="24"/>
                <w:u w:val="single"/>
              </w:rPr>
              <w:t>3 lata po sklasyfikowaniu jako ekspozycja nieobsługiwana</w:t>
            </w:r>
          </w:p>
          <w:p w:rsidR="00DD00B4" w:rsidRPr="00AA1421" w:rsidRDefault="00DD00B4" w:rsidP="008D0D6A">
            <w:pPr>
              <w:rPr>
                <w:rFonts w:ascii="Times New Roman" w:hAnsi="Times New Roman"/>
                <w:b/>
                <w:sz w:val="24"/>
              </w:rPr>
            </w:pPr>
            <w:r w:rsidRPr="00AA1421">
              <w:rPr>
                <w:rFonts w:ascii="Times New Roman" w:hAnsi="Times New Roman"/>
                <w:sz w:val="24"/>
              </w:rPr>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innymi rodzajami ochrony kredytowej rzeczywistej lub nierzeczywistej, jeżeli pierwszym działaniem restrukturyzacyjnym ekspozycję objęto między pierwszym a ostatnim dniem trzeciego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&gt;3 i &lt;=</w:t>
            </w:r>
            <w:r w:rsidR="00D34166" w:rsidRPr="00AA1421">
              <w:rPr>
                <w:rFonts w:ascii="Times New Roman" w:hAnsi="Times New Roman"/>
                <w:b/>
                <w:sz w:val="24"/>
                <w:u w:val="single"/>
              </w:rPr>
              <w:t xml:space="preserve"> </w:t>
            </w:r>
            <w:r w:rsidRPr="00AA1421">
              <w:rPr>
                <w:rFonts w:ascii="Times New Roman" w:hAnsi="Times New Roman"/>
                <w:b/>
                <w:sz w:val="24"/>
                <w:u w:val="single"/>
              </w:rPr>
              <w:t>4 lata po sklasyfikowaniu jako ekspozycja nieobsługiwana</w:t>
            </w:r>
          </w:p>
          <w:p w:rsidR="00DD00B4" w:rsidRPr="00AA1421" w:rsidRDefault="00DD00B4" w:rsidP="008D0D6A">
            <w:pPr>
              <w:rPr>
                <w:rFonts w:ascii="Times New Roman" w:hAnsi="Times New Roman"/>
                <w:b/>
                <w:sz w:val="24"/>
                <w:u w:val="single"/>
              </w:rPr>
            </w:pPr>
            <w:r w:rsidRPr="00AA1421">
              <w:rPr>
                <w:rFonts w:ascii="Times New Roman" w:hAnsi="Times New Roman"/>
                <w:sz w:val="24"/>
              </w:rPr>
              <w:lastRenderedPageBreak/>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innymi rodzajami ochrony kredytowej rzeczywistej lub nierzeczywistej, jeżeli pierwszym działaniem restrukturyzacyjnym ekspozycję objęto między pierwszym a ostatnim dniem czwartego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&gt;4 i &lt;=</w:t>
            </w:r>
            <w:r w:rsidR="00D34166" w:rsidRPr="00AA1421">
              <w:rPr>
                <w:rFonts w:ascii="Times New Roman" w:hAnsi="Times New Roman"/>
                <w:b/>
                <w:sz w:val="24"/>
                <w:u w:val="single"/>
              </w:rPr>
              <w:t xml:space="preserve"> </w:t>
            </w:r>
            <w:r w:rsidRPr="00AA1421">
              <w:rPr>
                <w:rFonts w:ascii="Times New Roman" w:hAnsi="Times New Roman"/>
                <w:b/>
                <w:sz w:val="24"/>
                <w:u w:val="single"/>
              </w:rPr>
              <w:t>5 lat po sklasyfikowaniu jako ekspozycja nieobsługiwana</w:t>
            </w:r>
          </w:p>
          <w:p w:rsidR="00DD00B4" w:rsidRPr="00AA1421" w:rsidRDefault="00DD00B4" w:rsidP="008D0D6A">
            <w:pPr>
              <w:rPr>
                <w:rFonts w:ascii="Times New Roman" w:hAnsi="Times New Roman"/>
                <w:b/>
                <w:sz w:val="24"/>
                <w:u w:val="single"/>
              </w:rPr>
            </w:pPr>
            <w:r w:rsidRPr="00AA1421">
              <w:rPr>
                <w:rFonts w:ascii="Times New Roman" w:hAnsi="Times New Roman"/>
                <w:sz w:val="24"/>
              </w:rPr>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innymi rodzajami ochrony kredytowej rzeczywistej lub nierzeczywistej, jeżeli pierwszym działaniem restrukturyzacyjnym ekspozycję objęto między pierwszym a ostatnim dniem piątego roku po sklasyfikowaniu danej ekspozycji jako ekspozycji nieobsługiwanej.</w:t>
            </w:r>
          </w:p>
        </w:tc>
      </w:tr>
      <w:tr w:rsidR="00DD00B4" w:rsidRPr="00AA1421" w:rsidTr="00DD00B4">
        <w:tc>
          <w:tcPr>
            <w:tcW w:w="1188"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sz w:val="24"/>
              </w:rPr>
            </w:pPr>
            <w:r w:rsidRPr="00AA1421">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AA1421" w:rsidRDefault="00DD00B4" w:rsidP="00DD00B4">
            <w:pPr>
              <w:rPr>
                <w:rFonts w:ascii="Times New Roman" w:hAnsi="Times New Roman"/>
                <w:b/>
                <w:sz w:val="24"/>
                <w:u w:val="single"/>
              </w:rPr>
            </w:pPr>
            <w:r w:rsidRPr="00AA1421">
              <w:rPr>
                <w:rFonts w:ascii="Times New Roman" w:hAnsi="Times New Roman"/>
                <w:b/>
                <w:sz w:val="24"/>
                <w:u w:val="single"/>
              </w:rPr>
              <w:t>&gt;5 i &lt;=</w:t>
            </w:r>
            <w:r w:rsidR="00D34166" w:rsidRPr="00AA1421">
              <w:rPr>
                <w:rFonts w:ascii="Times New Roman" w:hAnsi="Times New Roman"/>
                <w:b/>
                <w:sz w:val="24"/>
                <w:u w:val="single"/>
              </w:rPr>
              <w:t xml:space="preserve"> </w:t>
            </w:r>
            <w:r w:rsidRPr="00AA1421">
              <w:rPr>
                <w:rFonts w:ascii="Times New Roman" w:hAnsi="Times New Roman"/>
                <w:b/>
                <w:sz w:val="24"/>
                <w:u w:val="single"/>
              </w:rPr>
              <w:t>6 lat po sklasyfikowaniu jako ekspozycja nieobsługiwana</w:t>
            </w:r>
          </w:p>
          <w:p w:rsidR="00DD00B4" w:rsidRPr="00AA1421" w:rsidRDefault="00DD00B4" w:rsidP="00DD00B4">
            <w:pPr>
              <w:rPr>
                <w:rFonts w:ascii="Times New Roman" w:hAnsi="Times New Roman"/>
                <w:b/>
                <w:sz w:val="24"/>
                <w:u w:val="single"/>
              </w:rPr>
            </w:pPr>
            <w:r w:rsidRPr="00AA1421">
              <w:rPr>
                <w:rFonts w:ascii="Times New Roman" w:hAnsi="Times New Roman"/>
                <w:sz w:val="24"/>
              </w:rPr>
              <w:t xml:space="preserve">Instytucje zgłaszają wartość ekspozycji dla restrukturyzowanych ekspozycji nieobsługiwanych, które są objęte </w:t>
            </w:r>
            <w:r w:rsidRPr="00084F66">
              <w:rPr>
                <w:rFonts w:ascii="Times New Roman" w:hAnsi="Times New Roman"/>
                <w:sz w:val="24"/>
              </w:rPr>
              <w:t>art.</w:t>
            </w:r>
            <w:r w:rsidR="00084F66" w:rsidRPr="00084F66">
              <w:rPr>
                <w:rFonts w:ascii="Times New Roman" w:hAnsi="Times New Roman"/>
                <w:sz w:val="24"/>
              </w:rPr>
              <w:t> </w:t>
            </w:r>
            <w:r w:rsidRPr="00084F66">
              <w:rPr>
                <w:rFonts w:ascii="Times New Roman" w:hAnsi="Times New Roman"/>
                <w:sz w:val="24"/>
              </w:rPr>
              <w:t>4</w:t>
            </w:r>
            <w:r w:rsidRPr="00AA1421">
              <w:rPr>
                <w:rFonts w:ascii="Times New Roman" w:hAnsi="Times New Roman"/>
                <w:sz w:val="24"/>
              </w:rPr>
              <w:t xml:space="preserve">7c </w:t>
            </w:r>
            <w:r w:rsidRPr="00084F66">
              <w:rPr>
                <w:rFonts w:ascii="Times New Roman" w:hAnsi="Times New Roman"/>
                <w:sz w:val="24"/>
              </w:rPr>
              <w:t>ust.</w:t>
            </w:r>
            <w:r w:rsidR="00084F66" w:rsidRPr="00084F66">
              <w:rPr>
                <w:rFonts w:ascii="Times New Roman" w:hAnsi="Times New Roman"/>
                <w:sz w:val="24"/>
              </w:rPr>
              <w:t> </w:t>
            </w:r>
            <w:r w:rsidRPr="00084F66">
              <w:rPr>
                <w:rFonts w:ascii="Times New Roman" w:hAnsi="Times New Roman"/>
                <w:sz w:val="24"/>
              </w:rPr>
              <w:t>6</w:t>
            </w:r>
            <w:r w:rsidRPr="00AA1421">
              <w:rPr>
                <w:rFonts w:ascii="Times New Roman" w:hAnsi="Times New Roman"/>
                <w:sz w:val="24"/>
              </w:rPr>
              <w:t xml:space="preserve"> CRR, zabezpieczonych innymi rodzajami ochrony kredytowej rzeczywistej lub nierzeczywistej, jeżeli pierwszym działaniem restrukturyzacyjnym ekspozycję objęto między pierwszym a ostatnim dniem szóstego roku po sklasyfikowaniu danej ekspozycji jako ekspozycji nieobsługiwanej.</w:t>
            </w:r>
          </w:p>
        </w:tc>
      </w:tr>
    </w:tbl>
    <w:p w:rsidR="00DD00B4" w:rsidRPr="00AA1421" w:rsidRDefault="00DD00B4" w:rsidP="00DD00B4">
      <w:pPr>
        <w:spacing w:after="0"/>
        <w:rPr>
          <w:rStyle w:val="InstructionsTabelleText"/>
          <w:rFonts w:ascii="Times New Roman" w:hAnsi="Times New Roman"/>
          <w:sz w:val="24"/>
        </w:rPr>
      </w:pPr>
    </w:p>
    <w:p w:rsidR="00DD00B4" w:rsidRPr="00AA1421" w:rsidRDefault="00DD00B4" w:rsidP="006452A4">
      <w:pPr>
        <w:spacing w:after="0"/>
        <w:rPr>
          <w:rStyle w:val="InstructionsTabelleText"/>
          <w:rFonts w:ascii="Times New Roman" w:hAnsi="Times New Roman"/>
          <w:sz w:val="24"/>
        </w:rPr>
      </w:pPr>
    </w:p>
    <w:sectPr w:rsidR="00DD00B4" w:rsidRPr="00AA1421"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856" w:rsidRDefault="007F1856" w:rsidP="00D946DB">
      <w:pPr>
        <w:spacing w:before="0" w:after="0"/>
      </w:pPr>
      <w:r>
        <w:separator/>
      </w:r>
    </w:p>
  </w:endnote>
  <w:endnote w:type="continuationSeparator" w:id="0">
    <w:p w:rsidR="007F1856" w:rsidRDefault="007F1856" w:rsidP="00D946DB">
      <w:pPr>
        <w:spacing w:before="0" w:after="0"/>
      </w:pPr>
      <w:r>
        <w:continuationSeparator/>
      </w:r>
    </w:p>
  </w:endnote>
  <w:endnote w:type="continuationNotice" w:id="1">
    <w:p w:rsidR="007F1856" w:rsidRDefault="007F18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D1956" w:rsidRDefault="009B627A">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084F66">
      <w:rPr>
        <w:rFonts w:ascii="Times New Roman" w:hAnsi="Times New Roman"/>
        <w:noProof/>
        <w:sz w:val="22"/>
        <w:szCs w:val="22"/>
      </w:rPr>
      <w:t>8</w:t>
    </w:r>
    <w:r>
      <w:rPr>
        <w:rFonts w:ascii="Times New Roman" w:hAnsi="Times New Roman"/>
        <w:sz w:val="22"/>
        <w:szCs w:val="22"/>
      </w:rPr>
      <w:fldChar w:fldCharType="end"/>
    </w:r>
  </w:p>
  <w:p w:rsidR="009B627A" w:rsidRDefault="009B62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85358" w:rsidRDefault="009B627A">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084F66">
      <w:rPr>
        <w:noProof/>
        <w:sz w:val="22"/>
        <w:szCs w:val="22"/>
      </w:rPr>
      <w:t>1</w:t>
    </w:r>
    <w:r>
      <w:rPr>
        <w:sz w:val="22"/>
        <w:szCs w:val="22"/>
      </w:rPr>
      <w:fldChar w:fldCharType="end"/>
    </w:r>
  </w:p>
  <w:p w:rsidR="009B627A" w:rsidRDefault="009B62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9B627A" w:rsidRDefault="009B627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D1956" w:rsidRDefault="009B627A">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084F66">
      <w:rPr>
        <w:rFonts w:ascii="Times New Roman" w:hAnsi="Times New Roman"/>
        <w:noProof/>
        <w:sz w:val="20"/>
        <w:szCs w:val="20"/>
      </w:rPr>
      <w:t>257</w:t>
    </w:r>
    <w:r>
      <w:rPr>
        <w:rFonts w:ascii="Times New Roman" w:hAnsi="Times New Roman"/>
        <w:sz w:val="20"/>
        <w:szCs w:val="20"/>
      </w:rPr>
      <w:fldChar w:fldCharType="end"/>
    </w:r>
  </w:p>
  <w:p w:rsidR="009B627A" w:rsidRPr="00A772B4" w:rsidRDefault="009B627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856" w:rsidRDefault="007F1856" w:rsidP="00D946DB">
      <w:pPr>
        <w:spacing w:before="0" w:after="0"/>
      </w:pPr>
      <w:r>
        <w:separator/>
      </w:r>
    </w:p>
  </w:footnote>
  <w:footnote w:type="continuationSeparator" w:id="0">
    <w:p w:rsidR="007F1856" w:rsidRDefault="007F1856" w:rsidP="00D946DB">
      <w:pPr>
        <w:spacing w:before="0" w:after="0"/>
      </w:pPr>
      <w:r>
        <w:continuationSeparator/>
      </w:r>
    </w:p>
  </w:footnote>
  <w:footnote w:type="continuationNotice" w:id="1">
    <w:p w:rsidR="007F1856" w:rsidRDefault="007F1856">
      <w:pPr>
        <w:spacing w:before="0" w:after="0"/>
      </w:pPr>
    </w:p>
  </w:footnote>
  <w:footnote w:id="2">
    <w:p w:rsidR="009B627A" w:rsidRPr="00535792" w:rsidRDefault="009B627A"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Rozporządzenie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 xml:space="preserve">y (UE) </w:t>
      </w:r>
      <w:r w:rsidRPr="00084F66">
        <w:rPr>
          <w:rStyle w:val="FootnoteReference"/>
          <w:rFonts w:ascii="Times New Roman" w:hAnsi="Times New Roman"/>
          <w:sz w:val="20"/>
          <w:szCs w:val="20"/>
        </w:rPr>
        <w:t>nr</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5</w:t>
      </w:r>
      <w:r>
        <w:rPr>
          <w:rStyle w:val="FootnoteReference"/>
          <w:rFonts w:ascii="Times New Roman" w:hAnsi="Times New Roman"/>
          <w:sz w:val="20"/>
          <w:szCs w:val="20"/>
        </w:rPr>
        <w:t>75/2013</w:t>
      </w:r>
      <w:r w:rsidR="00084F66">
        <w:rPr>
          <w:rStyle w:val="FootnoteReference"/>
          <w:rFonts w:ascii="Times New Roman" w:hAnsi="Times New Roman"/>
          <w:sz w:val="20"/>
          <w:szCs w:val="20"/>
        </w:rPr>
        <w:t xml:space="preserve"> z dni</w:t>
      </w:r>
      <w:r>
        <w:rPr>
          <w:rStyle w:val="FootnoteReference"/>
          <w:rFonts w:ascii="Times New Roman" w:hAnsi="Times New Roman"/>
          <w:sz w:val="20"/>
          <w:szCs w:val="20"/>
        </w:rPr>
        <w:t>a 26 czerwca 20</w:t>
      </w:r>
      <w:r w:rsidRPr="00084F66">
        <w:rPr>
          <w:rStyle w:val="FootnoteReference"/>
          <w:rFonts w:ascii="Times New Roman" w:hAnsi="Times New Roman"/>
          <w:sz w:val="20"/>
          <w:szCs w:val="20"/>
        </w:rPr>
        <w:t>13</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r.</w:t>
      </w:r>
      <w:r w:rsidR="00084F66">
        <w:rPr>
          <w:rStyle w:val="FootnoteReference"/>
          <w:rFonts w:ascii="Times New Roman" w:hAnsi="Times New Roman"/>
          <w:sz w:val="20"/>
          <w:szCs w:val="20"/>
        </w:rPr>
        <w:t xml:space="preserve"> w spr</w:t>
      </w:r>
      <w:r>
        <w:rPr>
          <w:rStyle w:val="FootnoteReference"/>
          <w:rFonts w:ascii="Times New Roman" w:hAnsi="Times New Roman"/>
          <w:sz w:val="20"/>
          <w:szCs w:val="20"/>
        </w:rPr>
        <w:t>awie wymogów ostrożnościowych dla instytucji kredytowych</w:t>
      </w:r>
      <w:r w:rsidR="00084F66">
        <w:rPr>
          <w:rStyle w:val="FootnoteReference"/>
          <w:rFonts w:ascii="Times New Roman" w:hAnsi="Times New Roman"/>
          <w:sz w:val="20"/>
          <w:szCs w:val="20"/>
        </w:rPr>
        <w:t xml:space="preserve"> i fir</w:t>
      </w:r>
      <w:r>
        <w:rPr>
          <w:rStyle w:val="FootnoteReference"/>
          <w:rFonts w:ascii="Times New Roman" w:hAnsi="Times New Roman"/>
          <w:sz w:val="20"/>
          <w:szCs w:val="20"/>
        </w:rPr>
        <w:t xml:space="preserve">m inwestycyjnych, zmieniające rozporządzenie (UE) </w:t>
      </w:r>
      <w:r w:rsidRPr="00084F66">
        <w:rPr>
          <w:rStyle w:val="FootnoteReference"/>
          <w:rFonts w:ascii="Times New Roman" w:hAnsi="Times New Roman"/>
          <w:sz w:val="20"/>
          <w:szCs w:val="20"/>
        </w:rPr>
        <w:t>nr</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6</w:t>
      </w:r>
      <w:r>
        <w:rPr>
          <w:rStyle w:val="FootnoteReference"/>
          <w:rFonts w:ascii="Times New Roman" w:hAnsi="Times New Roman"/>
          <w:sz w:val="20"/>
          <w:szCs w:val="20"/>
        </w:rPr>
        <w:t>48/2012 (Dz.U. L 176</w:t>
      </w:r>
      <w:r w:rsidR="00084F66">
        <w:rPr>
          <w:rStyle w:val="FootnoteReference"/>
          <w:rFonts w:ascii="Times New Roman" w:hAnsi="Times New Roman"/>
          <w:sz w:val="20"/>
          <w:szCs w:val="20"/>
        </w:rPr>
        <w:t xml:space="preserve"> z 2</w:t>
      </w:r>
      <w:r>
        <w:rPr>
          <w:rStyle w:val="FootnoteReference"/>
          <w:rFonts w:ascii="Times New Roman" w:hAnsi="Times New Roman"/>
          <w:sz w:val="20"/>
          <w:szCs w:val="20"/>
        </w:rPr>
        <w:t>7.6.2013, s. 1).</w:t>
      </w:r>
    </w:p>
  </w:footnote>
  <w:footnote w:id="3">
    <w:p w:rsidR="009B627A" w:rsidRPr="00535792" w:rsidRDefault="009B627A"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Dyrektywa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y 2013/36/UE</w:t>
      </w:r>
      <w:r w:rsidR="00084F66">
        <w:rPr>
          <w:rStyle w:val="FootnoteReference"/>
          <w:rFonts w:ascii="Times New Roman" w:hAnsi="Times New Roman"/>
          <w:sz w:val="20"/>
          <w:szCs w:val="20"/>
        </w:rPr>
        <w:t xml:space="preserve"> z dni</w:t>
      </w:r>
      <w:r>
        <w:rPr>
          <w:rStyle w:val="FootnoteReference"/>
          <w:rFonts w:ascii="Times New Roman" w:hAnsi="Times New Roman"/>
          <w:sz w:val="20"/>
          <w:szCs w:val="20"/>
        </w:rPr>
        <w:t>a 26 czerwca 20</w:t>
      </w:r>
      <w:r w:rsidRPr="00084F66">
        <w:rPr>
          <w:rStyle w:val="FootnoteReference"/>
          <w:rFonts w:ascii="Times New Roman" w:hAnsi="Times New Roman"/>
          <w:sz w:val="20"/>
          <w:szCs w:val="20"/>
        </w:rPr>
        <w:t>13</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r.</w:t>
      </w:r>
      <w:r w:rsidR="00084F66">
        <w:rPr>
          <w:rStyle w:val="FootnoteReference"/>
          <w:rFonts w:ascii="Times New Roman" w:hAnsi="Times New Roman"/>
          <w:sz w:val="20"/>
          <w:szCs w:val="20"/>
        </w:rPr>
        <w:t xml:space="preserve"> w spr</w:t>
      </w:r>
      <w:r>
        <w:rPr>
          <w:rStyle w:val="FootnoteReference"/>
          <w:rFonts w:ascii="Times New Roman" w:hAnsi="Times New Roman"/>
          <w:sz w:val="20"/>
          <w:szCs w:val="20"/>
        </w:rPr>
        <w:t>awie warunków dopuszczenia instytucji kredytowych do działalności oraz nadzoru ostrożnościowego nad instytucjami kredytowymi</w:t>
      </w:r>
      <w:r w:rsidR="00084F66">
        <w:rPr>
          <w:rStyle w:val="FootnoteReference"/>
          <w:rFonts w:ascii="Times New Roman" w:hAnsi="Times New Roman"/>
          <w:sz w:val="20"/>
          <w:szCs w:val="20"/>
        </w:rPr>
        <w:t xml:space="preserve"> i fir</w:t>
      </w:r>
      <w:r>
        <w:rPr>
          <w:rStyle w:val="FootnoteReference"/>
          <w:rFonts w:ascii="Times New Roman" w:hAnsi="Times New Roman"/>
          <w:sz w:val="20"/>
          <w:szCs w:val="20"/>
        </w:rPr>
        <w:t>mami inwestycyjnymi, zmieniająca dyrektywę 2002/87/WE</w:t>
      </w:r>
      <w:r w:rsidR="00084F66">
        <w:rPr>
          <w:rStyle w:val="FootnoteReference"/>
          <w:rFonts w:ascii="Times New Roman" w:hAnsi="Times New Roman"/>
          <w:sz w:val="20"/>
          <w:szCs w:val="20"/>
        </w:rPr>
        <w:t xml:space="preserve"> i uch</w:t>
      </w:r>
      <w:r>
        <w:rPr>
          <w:rStyle w:val="FootnoteReference"/>
          <w:rFonts w:ascii="Times New Roman" w:hAnsi="Times New Roman"/>
          <w:sz w:val="20"/>
          <w:szCs w:val="20"/>
        </w:rPr>
        <w:t>ylająca dyrektywy 2006/48/WE oraz 2006/49/WE (Dz.U. L 176</w:t>
      </w:r>
      <w:r w:rsidR="00084F66">
        <w:rPr>
          <w:rStyle w:val="FootnoteReference"/>
          <w:rFonts w:ascii="Times New Roman" w:hAnsi="Times New Roman"/>
          <w:sz w:val="20"/>
          <w:szCs w:val="20"/>
        </w:rPr>
        <w:t xml:space="preserve"> z 2</w:t>
      </w:r>
      <w:r>
        <w:rPr>
          <w:rStyle w:val="FootnoteReference"/>
          <w:rFonts w:ascii="Times New Roman" w:hAnsi="Times New Roman"/>
          <w:sz w:val="20"/>
          <w:szCs w:val="20"/>
        </w:rPr>
        <w:t>7.6.2013, s. 338).</w:t>
      </w:r>
    </w:p>
  </w:footnote>
  <w:footnote w:id="4">
    <w:p w:rsidR="009B627A" w:rsidRPr="00535792" w:rsidRDefault="009B627A"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Dyrektywa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y 2013/34/UE</w:t>
      </w:r>
      <w:r w:rsidR="00084F66">
        <w:rPr>
          <w:rStyle w:val="FootnoteReference"/>
          <w:rFonts w:ascii="Times New Roman" w:hAnsi="Times New Roman"/>
          <w:sz w:val="20"/>
          <w:szCs w:val="20"/>
        </w:rPr>
        <w:t xml:space="preserve"> w spr</w:t>
      </w:r>
      <w:r>
        <w:rPr>
          <w:rStyle w:val="FootnoteReference"/>
          <w:rFonts w:ascii="Times New Roman" w:hAnsi="Times New Roman"/>
          <w:sz w:val="20"/>
          <w:szCs w:val="20"/>
        </w:rPr>
        <w:t>awie rocznych sprawozdań finansowych, skonsolidowanych sprawozdań finansowych</w:t>
      </w:r>
      <w:r w:rsidR="00084F66">
        <w:rPr>
          <w:rStyle w:val="FootnoteReference"/>
          <w:rFonts w:ascii="Times New Roman" w:hAnsi="Times New Roman"/>
          <w:sz w:val="20"/>
          <w:szCs w:val="20"/>
        </w:rPr>
        <w:t xml:space="preserve"> i pow</w:t>
      </w:r>
      <w:r>
        <w:rPr>
          <w:rStyle w:val="FootnoteReference"/>
          <w:rFonts w:ascii="Times New Roman" w:hAnsi="Times New Roman"/>
          <w:sz w:val="20"/>
          <w:szCs w:val="20"/>
        </w:rPr>
        <w:t>iązanych sprawozdań niektórych rodzajów jednostek, zmieniająca dyrektywę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y 2006/43/WE oraz uchylająca dyrektywy Rady 78/660/EWG</w:t>
      </w:r>
      <w:r w:rsidR="00084F66">
        <w:rPr>
          <w:rStyle w:val="FootnoteReference"/>
          <w:rFonts w:ascii="Times New Roman" w:hAnsi="Times New Roman"/>
          <w:sz w:val="20"/>
          <w:szCs w:val="20"/>
        </w:rPr>
        <w:t xml:space="preserve"> i 8</w:t>
      </w:r>
      <w:r>
        <w:rPr>
          <w:rStyle w:val="FootnoteReference"/>
          <w:rFonts w:ascii="Times New Roman" w:hAnsi="Times New Roman"/>
          <w:sz w:val="20"/>
          <w:szCs w:val="20"/>
        </w:rPr>
        <w:t>3/349/EWG (Dz.U. L 182</w:t>
      </w:r>
      <w:r w:rsidR="00084F66">
        <w:rPr>
          <w:rStyle w:val="FootnoteReference"/>
          <w:rFonts w:ascii="Times New Roman" w:hAnsi="Times New Roman"/>
          <w:sz w:val="20"/>
          <w:szCs w:val="20"/>
        </w:rPr>
        <w:t xml:space="preserve"> z 2</w:t>
      </w:r>
      <w:r>
        <w:rPr>
          <w:rStyle w:val="FootnoteReference"/>
          <w:rFonts w:ascii="Times New Roman" w:hAnsi="Times New Roman"/>
          <w:sz w:val="20"/>
          <w:szCs w:val="20"/>
        </w:rPr>
        <w:t>9.6.2013, s. 19).</w:t>
      </w:r>
    </w:p>
  </w:footnote>
  <w:footnote w:id="5">
    <w:p w:rsidR="009B627A" w:rsidRPr="00535792" w:rsidRDefault="009B627A"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Dyrektywa Rady 86/635/EWG</w:t>
      </w:r>
      <w:r w:rsidR="00084F66">
        <w:rPr>
          <w:rStyle w:val="FootnoteReference"/>
          <w:rFonts w:ascii="Times New Roman" w:hAnsi="Times New Roman"/>
          <w:sz w:val="20"/>
          <w:szCs w:val="20"/>
        </w:rPr>
        <w:t xml:space="preserve"> z dni</w:t>
      </w:r>
      <w:r>
        <w:rPr>
          <w:rStyle w:val="FootnoteReference"/>
          <w:rFonts w:ascii="Times New Roman" w:hAnsi="Times New Roman"/>
          <w:sz w:val="20"/>
          <w:szCs w:val="20"/>
        </w:rPr>
        <w:t>a 8 grudnia 19</w:t>
      </w:r>
      <w:r w:rsidRPr="00084F66">
        <w:rPr>
          <w:rStyle w:val="FootnoteReference"/>
          <w:rFonts w:ascii="Times New Roman" w:hAnsi="Times New Roman"/>
          <w:sz w:val="20"/>
          <w:szCs w:val="20"/>
        </w:rPr>
        <w:t>86</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r.</w:t>
      </w:r>
      <w:r w:rsidR="00084F66">
        <w:rPr>
          <w:rStyle w:val="FootnoteReference"/>
          <w:rFonts w:ascii="Times New Roman" w:hAnsi="Times New Roman"/>
          <w:sz w:val="20"/>
          <w:szCs w:val="20"/>
        </w:rPr>
        <w:t xml:space="preserve"> w spr</w:t>
      </w:r>
      <w:r>
        <w:rPr>
          <w:rStyle w:val="FootnoteReference"/>
          <w:rFonts w:ascii="Times New Roman" w:hAnsi="Times New Roman"/>
          <w:sz w:val="20"/>
          <w:szCs w:val="20"/>
        </w:rPr>
        <w:t>awie rocznych</w:t>
      </w:r>
      <w:r w:rsidR="00084F66">
        <w:rPr>
          <w:rStyle w:val="FootnoteReference"/>
          <w:rFonts w:ascii="Times New Roman" w:hAnsi="Times New Roman"/>
          <w:sz w:val="20"/>
          <w:szCs w:val="20"/>
        </w:rPr>
        <w:t xml:space="preserve"> i sko</w:t>
      </w:r>
      <w:r>
        <w:rPr>
          <w:rStyle w:val="FootnoteReference"/>
          <w:rFonts w:ascii="Times New Roman" w:hAnsi="Times New Roman"/>
          <w:sz w:val="20"/>
          <w:szCs w:val="20"/>
        </w:rPr>
        <w:t>nsolidowanych sprawozdań finansowych banków</w:t>
      </w:r>
      <w:r w:rsidR="00084F66">
        <w:rPr>
          <w:rStyle w:val="FootnoteReference"/>
          <w:rFonts w:ascii="Times New Roman" w:hAnsi="Times New Roman"/>
          <w:sz w:val="20"/>
          <w:szCs w:val="20"/>
        </w:rPr>
        <w:t xml:space="preserve"> i inn</w:t>
      </w:r>
      <w:r>
        <w:rPr>
          <w:rStyle w:val="FootnoteReference"/>
          <w:rFonts w:ascii="Times New Roman" w:hAnsi="Times New Roman"/>
          <w:sz w:val="20"/>
          <w:szCs w:val="20"/>
        </w:rPr>
        <w:t>ych instytucji finansowych (Dz.U. L 372</w:t>
      </w:r>
      <w:r w:rsidR="00084F66">
        <w:rPr>
          <w:rStyle w:val="FootnoteReference"/>
          <w:rFonts w:ascii="Times New Roman" w:hAnsi="Times New Roman"/>
          <w:sz w:val="20"/>
          <w:szCs w:val="20"/>
        </w:rPr>
        <w:t xml:space="preserve"> z 3</w:t>
      </w:r>
      <w:r>
        <w:rPr>
          <w:rStyle w:val="FootnoteReference"/>
          <w:rFonts w:ascii="Times New Roman" w:hAnsi="Times New Roman"/>
          <w:sz w:val="20"/>
          <w:szCs w:val="20"/>
        </w:rPr>
        <w:t>1.12.1986, s. 1).</w:t>
      </w:r>
    </w:p>
  </w:footnote>
  <w:footnote w:id="6">
    <w:p w:rsidR="009B627A" w:rsidRPr="00535792" w:rsidRDefault="009B627A"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Dyrektywa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y 2014/59/UE</w:t>
      </w:r>
      <w:r w:rsidR="00084F66">
        <w:rPr>
          <w:rStyle w:val="FootnoteReference"/>
          <w:rFonts w:ascii="Times New Roman" w:hAnsi="Times New Roman"/>
          <w:sz w:val="20"/>
          <w:szCs w:val="20"/>
        </w:rPr>
        <w:t xml:space="preserve"> z dni</w:t>
      </w:r>
      <w:r>
        <w:rPr>
          <w:rStyle w:val="FootnoteReference"/>
          <w:rFonts w:ascii="Times New Roman" w:hAnsi="Times New Roman"/>
          <w:sz w:val="20"/>
          <w:szCs w:val="20"/>
        </w:rPr>
        <w:t>a 15 maja 20</w:t>
      </w:r>
      <w:r w:rsidRPr="00084F66">
        <w:rPr>
          <w:rStyle w:val="FootnoteReference"/>
          <w:rFonts w:ascii="Times New Roman" w:hAnsi="Times New Roman"/>
          <w:sz w:val="20"/>
          <w:szCs w:val="20"/>
        </w:rPr>
        <w:t>14</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r.</w:t>
      </w:r>
      <w:r>
        <w:rPr>
          <w:rStyle w:val="FootnoteReference"/>
          <w:rFonts w:ascii="Times New Roman" w:hAnsi="Times New Roman"/>
          <w:sz w:val="20"/>
          <w:szCs w:val="20"/>
        </w:rPr>
        <w:t xml:space="preserve"> ustanawiająca ramy na potrzeby prowadzenia działań naprawczych oraz restrukturyzacji</w:t>
      </w:r>
      <w:r w:rsidR="00084F66">
        <w:rPr>
          <w:rStyle w:val="FootnoteReference"/>
          <w:rFonts w:ascii="Times New Roman" w:hAnsi="Times New Roman"/>
          <w:sz w:val="20"/>
          <w:szCs w:val="20"/>
        </w:rPr>
        <w:t xml:space="preserve"> i upo</w:t>
      </w:r>
      <w:r>
        <w:rPr>
          <w:rStyle w:val="FootnoteReference"/>
          <w:rFonts w:ascii="Times New Roman" w:hAnsi="Times New Roman"/>
          <w:sz w:val="20"/>
          <w:szCs w:val="20"/>
        </w:rPr>
        <w:t>rządkowanej likwidacji</w:t>
      </w:r>
      <w:r w:rsidR="00084F66">
        <w:rPr>
          <w:rStyle w:val="FootnoteReference"/>
          <w:rFonts w:ascii="Times New Roman" w:hAnsi="Times New Roman"/>
          <w:sz w:val="20"/>
          <w:szCs w:val="20"/>
        </w:rPr>
        <w:t xml:space="preserve"> w odn</w:t>
      </w:r>
      <w:r>
        <w:rPr>
          <w:rStyle w:val="FootnoteReference"/>
          <w:rFonts w:ascii="Times New Roman" w:hAnsi="Times New Roman"/>
          <w:sz w:val="20"/>
          <w:szCs w:val="20"/>
        </w:rPr>
        <w:t>iesieniu do instytucji kredytowych</w:t>
      </w:r>
      <w:r w:rsidR="00084F66">
        <w:rPr>
          <w:rStyle w:val="FootnoteReference"/>
          <w:rFonts w:ascii="Times New Roman" w:hAnsi="Times New Roman"/>
          <w:sz w:val="20"/>
          <w:szCs w:val="20"/>
        </w:rPr>
        <w:t xml:space="preserve"> i fir</w:t>
      </w:r>
      <w:r>
        <w:rPr>
          <w:rStyle w:val="FootnoteReference"/>
          <w:rFonts w:ascii="Times New Roman" w:hAnsi="Times New Roman"/>
          <w:sz w:val="20"/>
          <w:szCs w:val="20"/>
        </w:rPr>
        <w:t>m inwestycyjnych oraz zmieniająca dyrektywę Rady 82/891/EWG</w:t>
      </w:r>
      <w:r w:rsidR="00084F66">
        <w:rPr>
          <w:rStyle w:val="FootnoteReference"/>
          <w:rFonts w:ascii="Times New Roman" w:hAnsi="Times New Roman"/>
          <w:sz w:val="20"/>
          <w:szCs w:val="20"/>
        </w:rPr>
        <w:t xml:space="preserve"> i dyr</w:t>
      </w:r>
      <w:r>
        <w:rPr>
          <w:rStyle w:val="FootnoteReference"/>
          <w:rFonts w:ascii="Times New Roman" w:hAnsi="Times New Roman"/>
          <w:sz w:val="20"/>
          <w:szCs w:val="20"/>
        </w:rPr>
        <w:t>ektywy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y 2001/24/WE, 2002/47/WE, 2004/25/WE, 2005/56/WE, 2007/36/WE, 2011/35/UE, 2012/30/UE</w:t>
      </w:r>
      <w:r w:rsidR="00084F66">
        <w:rPr>
          <w:rStyle w:val="FootnoteReference"/>
          <w:rFonts w:ascii="Times New Roman" w:hAnsi="Times New Roman"/>
          <w:sz w:val="20"/>
          <w:szCs w:val="20"/>
        </w:rPr>
        <w:t xml:space="preserve"> i 2</w:t>
      </w:r>
      <w:r>
        <w:rPr>
          <w:rStyle w:val="FootnoteReference"/>
          <w:rFonts w:ascii="Times New Roman" w:hAnsi="Times New Roman"/>
          <w:sz w:val="20"/>
          <w:szCs w:val="20"/>
        </w:rPr>
        <w:t>013/36/UE oraz rozporządzenia Parlamentu Europejskiego</w:t>
      </w:r>
      <w:r w:rsidR="00084F66">
        <w:rPr>
          <w:rStyle w:val="FootnoteReference"/>
          <w:rFonts w:ascii="Times New Roman" w:hAnsi="Times New Roman"/>
          <w:sz w:val="20"/>
          <w:szCs w:val="20"/>
        </w:rPr>
        <w:t xml:space="preserve"> i Rad</w:t>
      </w:r>
      <w:r>
        <w:rPr>
          <w:rStyle w:val="FootnoteReference"/>
          <w:rFonts w:ascii="Times New Roman" w:hAnsi="Times New Roman"/>
          <w:sz w:val="20"/>
          <w:szCs w:val="20"/>
        </w:rPr>
        <w:t xml:space="preserve">y (UE) </w:t>
      </w:r>
      <w:r w:rsidRPr="00084F66">
        <w:rPr>
          <w:rStyle w:val="FootnoteReference"/>
          <w:rFonts w:ascii="Times New Roman" w:hAnsi="Times New Roman"/>
          <w:sz w:val="20"/>
          <w:szCs w:val="20"/>
        </w:rPr>
        <w:t>nr</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1</w:t>
      </w:r>
      <w:r>
        <w:rPr>
          <w:rStyle w:val="FootnoteReference"/>
          <w:rFonts w:ascii="Times New Roman" w:hAnsi="Times New Roman"/>
          <w:sz w:val="20"/>
          <w:szCs w:val="20"/>
        </w:rPr>
        <w:t xml:space="preserve">093/2010 i (UE) </w:t>
      </w:r>
      <w:r w:rsidRPr="00084F66">
        <w:rPr>
          <w:rStyle w:val="FootnoteReference"/>
          <w:rFonts w:ascii="Times New Roman" w:hAnsi="Times New Roman"/>
          <w:sz w:val="20"/>
          <w:szCs w:val="20"/>
        </w:rPr>
        <w:t>nr</w:t>
      </w:r>
      <w:r w:rsidR="00084F66" w:rsidRPr="00084F66">
        <w:rPr>
          <w:rStyle w:val="FootnoteReference"/>
          <w:rFonts w:ascii="Times New Roman" w:hAnsi="Times New Roman"/>
          <w:sz w:val="20"/>
          <w:szCs w:val="20"/>
        </w:rPr>
        <w:t> </w:t>
      </w:r>
      <w:r w:rsidRPr="00084F66">
        <w:rPr>
          <w:rStyle w:val="FootnoteReference"/>
          <w:rFonts w:ascii="Times New Roman" w:hAnsi="Times New Roman"/>
          <w:sz w:val="20"/>
          <w:szCs w:val="20"/>
        </w:rPr>
        <w:t>6</w:t>
      </w:r>
      <w:r>
        <w:rPr>
          <w:rStyle w:val="FootnoteReference"/>
          <w:rFonts w:ascii="Times New Roman" w:hAnsi="Times New Roman"/>
          <w:sz w:val="20"/>
          <w:szCs w:val="20"/>
        </w:rPr>
        <w:t>48/2012 (Dz.U. L 173</w:t>
      </w:r>
      <w:r w:rsidR="00084F66">
        <w:rPr>
          <w:rStyle w:val="FootnoteReference"/>
          <w:rFonts w:ascii="Times New Roman" w:hAnsi="Times New Roman"/>
          <w:sz w:val="20"/>
          <w:szCs w:val="20"/>
        </w:rPr>
        <w:t xml:space="preserve"> z 1</w:t>
      </w:r>
      <w:r>
        <w:rPr>
          <w:rStyle w:val="FootnoteReference"/>
          <w:rFonts w:ascii="Times New Roman" w:hAnsi="Times New Roman"/>
          <w:sz w:val="20"/>
          <w:szCs w:val="20"/>
        </w:rPr>
        <w:t>2.6.2014, s. 190).</w:t>
      </w:r>
    </w:p>
  </w:footnote>
  <w:footnote w:id="7">
    <w:p w:rsidR="009B627A" w:rsidRPr="005B592F" w:rsidRDefault="009B627A"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 xml:space="preserve">Rozporządzenie delegowane Komisji (UE) </w:t>
      </w:r>
      <w:r w:rsidRPr="00084F66">
        <w:rPr>
          <w:color w:val="444444"/>
          <w:sz w:val="20"/>
          <w:szCs w:val="20"/>
        </w:rPr>
        <w:t>nr</w:t>
      </w:r>
      <w:r w:rsidR="00084F66" w:rsidRPr="00084F66">
        <w:rPr>
          <w:color w:val="444444"/>
          <w:sz w:val="20"/>
          <w:szCs w:val="20"/>
        </w:rPr>
        <w:t> </w:t>
      </w:r>
      <w:r w:rsidRPr="00084F66">
        <w:rPr>
          <w:color w:val="444444"/>
          <w:sz w:val="20"/>
          <w:szCs w:val="20"/>
        </w:rPr>
        <w:t>2</w:t>
      </w:r>
      <w:r>
        <w:rPr>
          <w:color w:val="444444"/>
          <w:sz w:val="20"/>
          <w:szCs w:val="20"/>
        </w:rPr>
        <w:t>41/2014</w:t>
      </w:r>
      <w:r w:rsidR="00084F66">
        <w:rPr>
          <w:color w:val="444444"/>
          <w:sz w:val="20"/>
          <w:szCs w:val="20"/>
        </w:rPr>
        <w:t xml:space="preserve"> z dni</w:t>
      </w:r>
      <w:r>
        <w:rPr>
          <w:color w:val="444444"/>
          <w:sz w:val="20"/>
          <w:szCs w:val="20"/>
        </w:rPr>
        <w:t>a 7 stycznia 20</w:t>
      </w:r>
      <w:r w:rsidRPr="00084F66">
        <w:rPr>
          <w:color w:val="444444"/>
          <w:sz w:val="20"/>
          <w:szCs w:val="20"/>
        </w:rPr>
        <w:t>14</w:t>
      </w:r>
      <w:r w:rsidR="00084F66" w:rsidRPr="00084F66">
        <w:rPr>
          <w:color w:val="444444"/>
          <w:sz w:val="20"/>
          <w:szCs w:val="20"/>
        </w:rPr>
        <w:t> </w:t>
      </w:r>
      <w:r w:rsidRPr="00084F66">
        <w:rPr>
          <w:color w:val="444444"/>
          <w:sz w:val="20"/>
          <w:szCs w:val="20"/>
        </w:rPr>
        <w:t>r.</w:t>
      </w:r>
      <w:r>
        <w:rPr>
          <w:color w:val="444444"/>
          <w:sz w:val="20"/>
          <w:szCs w:val="20"/>
        </w:rPr>
        <w:t xml:space="preserve"> uzupełniające rozporządzenie Parlamentu Europejskiego</w:t>
      </w:r>
      <w:r w:rsidR="00084F66">
        <w:rPr>
          <w:color w:val="444444"/>
          <w:sz w:val="20"/>
          <w:szCs w:val="20"/>
        </w:rPr>
        <w:t xml:space="preserve"> i Rad</w:t>
      </w:r>
      <w:r>
        <w:rPr>
          <w:color w:val="444444"/>
          <w:sz w:val="20"/>
          <w:szCs w:val="20"/>
        </w:rPr>
        <w:t xml:space="preserve">y (UE) </w:t>
      </w:r>
      <w:r w:rsidRPr="00084F66">
        <w:rPr>
          <w:color w:val="444444"/>
          <w:sz w:val="20"/>
          <w:szCs w:val="20"/>
        </w:rPr>
        <w:t>nr</w:t>
      </w:r>
      <w:r w:rsidR="00084F66" w:rsidRPr="00084F66">
        <w:rPr>
          <w:color w:val="444444"/>
          <w:sz w:val="20"/>
          <w:szCs w:val="20"/>
        </w:rPr>
        <w:t> </w:t>
      </w:r>
      <w:r w:rsidRPr="00084F66">
        <w:rPr>
          <w:color w:val="444444"/>
          <w:sz w:val="20"/>
          <w:szCs w:val="20"/>
        </w:rPr>
        <w:t>5</w:t>
      </w:r>
      <w:r>
        <w:rPr>
          <w:color w:val="444444"/>
          <w:sz w:val="20"/>
          <w:szCs w:val="20"/>
        </w:rPr>
        <w:t>75/2013</w:t>
      </w:r>
      <w:r w:rsidR="00084F66">
        <w:rPr>
          <w:color w:val="444444"/>
          <w:sz w:val="20"/>
          <w:szCs w:val="20"/>
        </w:rPr>
        <w:t xml:space="preserve"> w odn</w:t>
      </w:r>
      <w:r>
        <w:rPr>
          <w:color w:val="444444"/>
          <w:sz w:val="20"/>
          <w:szCs w:val="20"/>
        </w:rPr>
        <w:t>iesieniu do regulacyjnych standardów technicznych dotyczących wymogów</w:t>
      </w:r>
      <w:r w:rsidR="00084F66">
        <w:rPr>
          <w:color w:val="444444"/>
          <w:sz w:val="20"/>
          <w:szCs w:val="20"/>
        </w:rPr>
        <w:t xml:space="preserve"> w zak</w:t>
      </w:r>
      <w:r>
        <w:rPr>
          <w:color w:val="444444"/>
          <w:sz w:val="20"/>
          <w:szCs w:val="20"/>
        </w:rPr>
        <w:t>resie funduszy własnych obowiązujących instytucje (</w:t>
      </w:r>
      <w:r>
        <w:rPr>
          <w:iCs/>
          <w:color w:val="444444"/>
          <w:sz w:val="20"/>
          <w:szCs w:val="20"/>
        </w:rPr>
        <w:t>Dz.U. L 74</w:t>
      </w:r>
      <w:r w:rsidR="00084F66">
        <w:rPr>
          <w:iCs/>
          <w:color w:val="444444"/>
          <w:sz w:val="20"/>
          <w:szCs w:val="20"/>
        </w:rPr>
        <w:t xml:space="preserve"> z 1</w:t>
      </w:r>
      <w:r>
        <w:rPr>
          <w:iCs/>
          <w:color w:val="444444"/>
          <w:sz w:val="20"/>
          <w:szCs w:val="20"/>
        </w:rPr>
        <w:t>4.3.2014, s. 8)</w:t>
      </w:r>
      <w:r>
        <w:rPr>
          <w:rStyle w:val="Emphasis"/>
          <w:color w:val="444444"/>
          <w:sz w:val="20"/>
          <w:szCs w:val="20"/>
        </w:rPr>
        <w:t>.</w:t>
      </w:r>
    </w:p>
  </w:footnote>
  <w:footnote w:id="8">
    <w:p w:rsidR="009B627A" w:rsidRPr="005B592F" w:rsidRDefault="009B627A"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Siódma dyrektywa Rady 83/349/EWG</w:t>
      </w:r>
      <w:r w:rsidR="00084F66">
        <w:rPr>
          <w:rFonts w:ascii="Times New Roman" w:hAnsi="Times New Roman"/>
          <w:color w:val="444444"/>
          <w:sz w:val="20"/>
          <w:szCs w:val="20"/>
        </w:rPr>
        <w:t xml:space="preserve"> z dni</w:t>
      </w:r>
      <w:r>
        <w:rPr>
          <w:rFonts w:ascii="Times New Roman" w:hAnsi="Times New Roman"/>
          <w:color w:val="444444"/>
          <w:sz w:val="20"/>
          <w:szCs w:val="20"/>
        </w:rPr>
        <w:t>a 13 czerwca 19</w:t>
      </w:r>
      <w:r w:rsidRPr="00084F66">
        <w:rPr>
          <w:rFonts w:ascii="Times New Roman" w:hAnsi="Times New Roman"/>
          <w:color w:val="444444"/>
          <w:sz w:val="20"/>
          <w:szCs w:val="20"/>
        </w:rPr>
        <w:t>83</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r.</w:t>
      </w:r>
      <w:r>
        <w:rPr>
          <w:rFonts w:ascii="Times New Roman" w:hAnsi="Times New Roman"/>
          <w:color w:val="444444"/>
          <w:sz w:val="20"/>
          <w:szCs w:val="20"/>
        </w:rPr>
        <w:t xml:space="preserve"> wydana na podstawie </w:t>
      </w:r>
      <w:r w:rsidRPr="00084F66">
        <w:rPr>
          <w:rFonts w:ascii="Times New Roman" w:hAnsi="Times New Roman"/>
          <w:color w:val="444444"/>
          <w:sz w:val="20"/>
          <w:szCs w:val="20"/>
        </w:rPr>
        <w:t>art.</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5</w:t>
      </w:r>
      <w:r>
        <w:rPr>
          <w:rFonts w:ascii="Times New Roman" w:hAnsi="Times New Roman"/>
          <w:color w:val="444444"/>
          <w:sz w:val="20"/>
          <w:szCs w:val="20"/>
        </w:rPr>
        <w:t xml:space="preserve">4 </w:t>
      </w:r>
      <w:r w:rsidRPr="00084F66">
        <w:rPr>
          <w:rFonts w:ascii="Times New Roman" w:hAnsi="Times New Roman"/>
          <w:color w:val="444444"/>
          <w:sz w:val="20"/>
          <w:szCs w:val="20"/>
        </w:rPr>
        <w:t>ust.</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3</w:t>
      </w:r>
      <w:r>
        <w:rPr>
          <w:rFonts w:ascii="Times New Roman" w:hAnsi="Times New Roman"/>
          <w:color w:val="444444"/>
          <w:sz w:val="20"/>
          <w:szCs w:val="20"/>
        </w:rPr>
        <w:t xml:space="preserve"> </w:t>
      </w:r>
      <w:r w:rsidRPr="00084F66">
        <w:rPr>
          <w:rFonts w:ascii="Times New Roman" w:hAnsi="Times New Roman"/>
          <w:color w:val="444444"/>
          <w:sz w:val="20"/>
          <w:szCs w:val="20"/>
        </w:rPr>
        <w:t>lit.</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g)</w:t>
      </w:r>
      <w:r>
        <w:rPr>
          <w:rFonts w:ascii="Times New Roman" w:hAnsi="Times New Roman"/>
          <w:color w:val="444444"/>
          <w:sz w:val="20"/>
          <w:szCs w:val="20"/>
        </w:rPr>
        <w:t xml:space="preserve"> Traktatu</w:t>
      </w:r>
      <w:r w:rsidR="00084F66">
        <w:rPr>
          <w:rFonts w:ascii="Times New Roman" w:hAnsi="Times New Roman"/>
          <w:color w:val="444444"/>
          <w:sz w:val="20"/>
          <w:szCs w:val="20"/>
        </w:rPr>
        <w:t xml:space="preserve"> w spr</w:t>
      </w:r>
      <w:r>
        <w:rPr>
          <w:rFonts w:ascii="Times New Roman" w:hAnsi="Times New Roman"/>
          <w:color w:val="444444"/>
          <w:sz w:val="20"/>
          <w:szCs w:val="20"/>
        </w:rPr>
        <w:t>awie skonsolidowanych sprawozdań finansowych (</w:t>
      </w:r>
      <w:r>
        <w:rPr>
          <w:rFonts w:ascii="Times New Roman" w:hAnsi="Times New Roman"/>
          <w:iCs/>
          <w:color w:val="444444"/>
          <w:sz w:val="20"/>
          <w:szCs w:val="20"/>
        </w:rPr>
        <w:t>Dz.U. L 193</w:t>
      </w:r>
      <w:r w:rsidR="00084F66">
        <w:rPr>
          <w:rFonts w:ascii="Times New Roman" w:hAnsi="Times New Roman"/>
          <w:iCs/>
          <w:color w:val="444444"/>
          <w:sz w:val="20"/>
          <w:szCs w:val="20"/>
        </w:rPr>
        <w:t xml:space="preserve"> z 1</w:t>
      </w:r>
      <w:r>
        <w:rPr>
          <w:rFonts w:ascii="Times New Roman" w:hAnsi="Times New Roman"/>
          <w:iCs/>
          <w:color w:val="444444"/>
          <w:sz w:val="20"/>
          <w:szCs w:val="20"/>
        </w:rPr>
        <w:t>8.7.1983, s. 1).</w:t>
      </w:r>
    </w:p>
  </w:footnote>
  <w:footnote w:id="9">
    <w:p w:rsidR="009B627A" w:rsidRPr="005B592F" w:rsidRDefault="009B627A"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Dyrektywa Parlamentu Europejskiego</w:t>
      </w:r>
      <w:r w:rsidR="00084F66">
        <w:rPr>
          <w:rFonts w:ascii="Times New Roman" w:hAnsi="Times New Roman"/>
          <w:color w:val="444444"/>
          <w:sz w:val="20"/>
          <w:szCs w:val="20"/>
        </w:rPr>
        <w:t xml:space="preserve"> i Rad</w:t>
      </w:r>
      <w:r>
        <w:rPr>
          <w:rFonts w:ascii="Times New Roman" w:hAnsi="Times New Roman"/>
          <w:color w:val="444444"/>
          <w:sz w:val="20"/>
          <w:szCs w:val="20"/>
        </w:rPr>
        <w:t>y 2009/65/WE</w:t>
      </w:r>
      <w:r w:rsidR="00084F66">
        <w:rPr>
          <w:rFonts w:ascii="Times New Roman" w:hAnsi="Times New Roman"/>
          <w:color w:val="444444"/>
          <w:sz w:val="20"/>
          <w:szCs w:val="20"/>
        </w:rPr>
        <w:t xml:space="preserve"> z dni</w:t>
      </w:r>
      <w:r>
        <w:rPr>
          <w:rFonts w:ascii="Times New Roman" w:hAnsi="Times New Roman"/>
          <w:color w:val="444444"/>
          <w:sz w:val="20"/>
          <w:szCs w:val="20"/>
        </w:rPr>
        <w:t>a 13 lipca 20</w:t>
      </w:r>
      <w:r w:rsidRPr="00084F66">
        <w:rPr>
          <w:rFonts w:ascii="Times New Roman" w:hAnsi="Times New Roman"/>
          <w:color w:val="444444"/>
          <w:sz w:val="20"/>
          <w:szCs w:val="20"/>
        </w:rPr>
        <w:t>09</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r.</w:t>
      </w:r>
      <w:r w:rsidR="00084F66">
        <w:rPr>
          <w:rFonts w:ascii="Times New Roman" w:hAnsi="Times New Roman"/>
          <w:color w:val="444444"/>
          <w:sz w:val="20"/>
          <w:szCs w:val="20"/>
        </w:rPr>
        <w:t xml:space="preserve"> w spr</w:t>
      </w:r>
      <w:r>
        <w:rPr>
          <w:rFonts w:ascii="Times New Roman" w:hAnsi="Times New Roman"/>
          <w:color w:val="444444"/>
          <w:sz w:val="20"/>
          <w:szCs w:val="20"/>
        </w:rPr>
        <w:t>awie koordynacji przepisów ustawowych, wykonawczych</w:t>
      </w:r>
      <w:r w:rsidR="00084F66">
        <w:rPr>
          <w:rFonts w:ascii="Times New Roman" w:hAnsi="Times New Roman"/>
          <w:color w:val="444444"/>
          <w:sz w:val="20"/>
          <w:szCs w:val="20"/>
        </w:rPr>
        <w:t xml:space="preserve"> i adm</w:t>
      </w:r>
      <w:r>
        <w:rPr>
          <w:rFonts w:ascii="Times New Roman" w:hAnsi="Times New Roman"/>
          <w:color w:val="444444"/>
          <w:sz w:val="20"/>
          <w:szCs w:val="20"/>
        </w:rPr>
        <w:t>inistracyjnych odnoszących się do przedsiębiorstw zbiorowego inwestowania</w:t>
      </w:r>
      <w:r w:rsidR="00084F66">
        <w:rPr>
          <w:rFonts w:ascii="Times New Roman" w:hAnsi="Times New Roman"/>
          <w:color w:val="444444"/>
          <w:sz w:val="20"/>
          <w:szCs w:val="20"/>
        </w:rPr>
        <w:t xml:space="preserve"> w zby</w:t>
      </w:r>
      <w:r>
        <w:rPr>
          <w:rFonts w:ascii="Times New Roman" w:hAnsi="Times New Roman"/>
          <w:color w:val="444444"/>
          <w:sz w:val="20"/>
          <w:szCs w:val="20"/>
        </w:rPr>
        <w:t>walne papiery wartościowe (UCITS) (</w:t>
      </w:r>
      <w:r>
        <w:rPr>
          <w:rFonts w:ascii="Times New Roman" w:hAnsi="Times New Roman"/>
          <w:iCs/>
          <w:color w:val="444444"/>
          <w:sz w:val="20"/>
          <w:szCs w:val="20"/>
        </w:rPr>
        <w:t>Dz.U. L 302</w:t>
      </w:r>
      <w:r w:rsidR="00084F66">
        <w:rPr>
          <w:rFonts w:ascii="Times New Roman" w:hAnsi="Times New Roman"/>
          <w:iCs/>
          <w:color w:val="444444"/>
          <w:sz w:val="20"/>
          <w:szCs w:val="20"/>
        </w:rPr>
        <w:t xml:space="preserve"> z 1</w:t>
      </w:r>
      <w:r>
        <w:rPr>
          <w:rFonts w:ascii="Times New Roman" w:hAnsi="Times New Roman"/>
          <w:iCs/>
          <w:color w:val="444444"/>
          <w:sz w:val="20"/>
          <w:szCs w:val="20"/>
        </w:rPr>
        <w:t>7.11.2009, s. 32).</w:t>
      </w:r>
    </w:p>
  </w:footnote>
  <w:footnote w:id="10">
    <w:p w:rsidR="009B627A" w:rsidRPr="0002267E" w:rsidRDefault="009B627A"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 xml:space="preserve">Rozporządzenie delegowane Komisji (UE) </w:t>
      </w:r>
      <w:r w:rsidRPr="00084F66">
        <w:rPr>
          <w:rFonts w:ascii="Times New Roman" w:hAnsi="Times New Roman"/>
          <w:color w:val="444444"/>
          <w:sz w:val="20"/>
          <w:szCs w:val="20"/>
        </w:rPr>
        <w:t>nr</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1</w:t>
      </w:r>
      <w:r>
        <w:rPr>
          <w:rFonts w:ascii="Times New Roman" w:hAnsi="Times New Roman"/>
          <w:color w:val="444444"/>
          <w:sz w:val="20"/>
          <w:szCs w:val="20"/>
        </w:rPr>
        <w:t>152/2014</w:t>
      </w:r>
      <w:r w:rsidR="00084F66">
        <w:rPr>
          <w:rFonts w:ascii="Times New Roman" w:hAnsi="Times New Roman"/>
          <w:color w:val="444444"/>
          <w:sz w:val="20"/>
          <w:szCs w:val="20"/>
        </w:rPr>
        <w:t xml:space="preserve"> z dni</w:t>
      </w:r>
      <w:r>
        <w:rPr>
          <w:rFonts w:ascii="Times New Roman" w:hAnsi="Times New Roman"/>
          <w:color w:val="444444"/>
          <w:sz w:val="20"/>
          <w:szCs w:val="20"/>
        </w:rPr>
        <w:t>a 4 czerwca 20</w:t>
      </w:r>
      <w:r w:rsidRPr="00084F66">
        <w:rPr>
          <w:rFonts w:ascii="Times New Roman" w:hAnsi="Times New Roman"/>
          <w:color w:val="444444"/>
          <w:sz w:val="20"/>
          <w:szCs w:val="20"/>
        </w:rPr>
        <w:t>14</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r.</w:t>
      </w:r>
      <w:r>
        <w:rPr>
          <w:rFonts w:ascii="Times New Roman" w:hAnsi="Times New Roman"/>
          <w:color w:val="444444"/>
          <w:sz w:val="20"/>
          <w:szCs w:val="20"/>
        </w:rPr>
        <w:t xml:space="preserve"> uzupełniające dyrektywę Parlamentu Europejskiego</w:t>
      </w:r>
      <w:r w:rsidR="00084F66">
        <w:rPr>
          <w:rFonts w:ascii="Times New Roman" w:hAnsi="Times New Roman"/>
          <w:color w:val="444444"/>
          <w:sz w:val="20"/>
          <w:szCs w:val="20"/>
        </w:rPr>
        <w:t xml:space="preserve"> i Rad</w:t>
      </w:r>
      <w:r>
        <w:rPr>
          <w:rFonts w:ascii="Times New Roman" w:hAnsi="Times New Roman"/>
          <w:color w:val="444444"/>
          <w:sz w:val="20"/>
          <w:szCs w:val="20"/>
        </w:rPr>
        <w:t>y 2013/36/UE</w:t>
      </w:r>
      <w:r w:rsidR="00084F66">
        <w:rPr>
          <w:rFonts w:ascii="Times New Roman" w:hAnsi="Times New Roman"/>
          <w:color w:val="444444"/>
          <w:sz w:val="20"/>
          <w:szCs w:val="20"/>
        </w:rPr>
        <w:t xml:space="preserve"> w odn</w:t>
      </w:r>
      <w:r>
        <w:rPr>
          <w:rFonts w:ascii="Times New Roman" w:hAnsi="Times New Roman"/>
          <w:color w:val="444444"/>
          <w:sz w:val="20"/>
          <w:szCs w:val="20"/>
        </w:rPr>
        <w:t>iesieniu do regulacyjnych standardów technicznych dotyczących ustalania lokalizacji geograficznej odnośnych ekspozycji kredytowych na potrzeby obliczania specyficznych dla instytucji wskaźników bufora antycyklicznego (</w:t>
      </w:r>
      <w:r>
        <w:rPr>
          <w:rFonts w:ascii="Times New Roman" w:hAnsi="Times New Roman"/>
          <w:iCs/>
          <w:color w:val="444444"/>
          <w:sz w:val="20"/>
          <w:szCs w:val="20"/>
        </w:rPr>
        <w:t>Dz.U. L 309</w:t>
      </w:r>
      <w:r w:rsidR="00084F66">
        <w:rPr>
          <w:rFonts w:ascii="Times New Roman" w:hAnsi="Times New Roman"/>
          <w:iCs/>
          <w:color w:val="444444"/>
          <w:sz w:val="20"/>
          <w:szCs w:val="20"/>
        </w:rPr>
        <w:t xml:space="preserve"> z 3</w:t>
      </w:r>
      <w:r>
        <w:rPr>
          <w:rFonts w:ascii="Times New Roman" w:hAnsi="Times New Roman"/>
          <w:iCs/>
          <w:color w:val="444444"/>
          <w:sz w:val="20"/>
          <w:szCs w:val="20"/>
        </w:rPr>
        <w:t>0.10.2014, s. 5).</w:t>
      </w:r>
    </w:p>
  </w:footnote>
  <w:footnote w:id="11">
    <w:p w:rsidR="009B627A" w:rsidRPr="0002267E" w:rsidRDefault="009B627A"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Rozporządzenie Parlamentu Europejskiego</w:t>
      </w:r>
      <w:r w:rsidR="00084F66">
        <w:rPr>
          <w:rFonts w:ascii="Times New Roman" w:hAnsi="Times New Roman"/>
          <w:color w:val="444444"/>
          <w:sz w:val="20"/>
          <w:szCs w:val="20"/>
        </w:rPr>
        <w:t xml:space="preserve"> i Rad</w:t>
      </w:r>
      <w:r>
        <w:rPr>
          <w:rFonts w:ascii="Times New Roman" w:hAnsi="Times New Roman"/>
          <w:color w:val="444444"/>
          <w:sz w:val="20"/>
          <w:szCs w:val="20"/>
        </w:rPr>
        <w:t>y (UE) 2017/2402</w:t>
      </w:r>
      <w:r w:rsidR="00084F66">
        <w:rPr>
          <w:rFonts w:ascii="Times New Roman" w:hAnsi="Times New Roman"/>
          <w:color w:val="444444"/>
          <w:sz w:val="20"/>
          <w:szCs w:val="20"/>
        </w:rPr>
        <w:t xml:space="preserve"> z dni</w:t>
      </w:r>
      <w:r>
        <w:rPr>
          <w:rFonts w:ascii="Times New Roman" w:hAnsi="Times New Roman"/>
          <w:color w:val="444444"/>
          <w:sz w:val="20"/>
          <w:szCs w:val="20"/>
        </w:rPr>
        <w:t>a 12 grudnia 20</w:t>
      </w:r>
      <w:r w:rsidRPr="00084F66">
        <w:rPr>
          <w:rFonts w:ascii="Times New Roman" w:hAnsi="Times New Roman"/>
          <w:color w:val="444444"/>
          <w:sz w:val="20"/>
          <w:szCs w:val="20"/>
        </w:rPr>
        <w:t>17</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r.</w:t>
      </w:r>
      <w:r w:rsidR="00084F66">
        <w:rPr>
          <w:rFonts w:ascii="Times New Roman" w:hAnsi="Times New Roman"/>
          <w:color w:val="444444"/>
          <w:sz w:val="20"/>
          <w:szCs w:val="20"/>
        </w:rPr>
        <w:t xml:space="preserve"> w spr</w:t>
      </w:r>
      <w:r>
        <w:rPr>
          <w:rFonts w:ascii="Times New Roman" w:hAnsi="Times New Roman"/>
          <w:color w:val="444444"/>
          <w:sz w:val="20"/>
          <w:szCs w:val="20"/>
        </w:rPr>
        <w:t>awie ustanowienia ogólnych ram dla sekurytyzacji oraz utworzenia szczególnych ram dla prostych, przejrzystych</w:t>
      </w:r>
      <w:r w:rsidR="00084F66">
        <w:rPr>
          <w:rFonts w:ascii="Times New Roman" w:hAnsi="Times New Roman"/>
          <w:color w:val="444444"/>
          <w:sz w:val="20"/>
          <w:szCs w:val="20"/>
        </w:rPr>
        <w:t xml:space="preserve"> i sta</w:t>
      </w:r>
      <w:r>
        <w:rPr>
          <w:rFonts w:ascii="Times New Roman" w:hAnsi="Times New Roman"/>
          <w:color w:val="444444"/>
          <w:sz w:val="20"/>
          <w:szCs w:val="20"/>
        </w:rPr>
        <w:t>ndardowych sekurytyzacji,</w:t>
      </w:r>
      <w:r w:rsidR="00084F66">
        <w:rPr>
          <w:rFonts w:ascii="Times New Roman" w:hAnsi="Times New Roman"/>
          <w:color w:val="444444"/>
          <w:sz w:val="20"/>
          <w:szCs w:val="20"/>
        </w:rPr>
        <w:t xml:space="preserve"> a tak</w:t>
      </w:r>
      <w:r>
        <w:rPr>
          <w:rFonts w:ascii="Times New Roman" w:hAnsi="Times New Roman"/>
          <w:color w:val="444444"/>
          <w:sz w:val="20"/>
          <w:szCs w:val="20"/>
        </w:rPr>
        <w:t>że zmieniające dyrektywy 2009/65/WE, 2009/138/WE</w:t>
      </w:r>
      <w:r w:rsidR="00084F66">
        <w:rPr>
          <w:rFonts w:ascii="Times New Roman" w:hAnsi="Times New Roman"/>
          <w:color w:val="444444"/>
          <w:sz w:val="20"/>
          <w:szCs w:val="20"/>
        </w:rPr>
        <w:t xml:space="preserve"> i 2</w:t>
      </w:r>
      <w:r>
        <w:rPr>
          <w:rFonts w:ascii="Times New Roman" w:hAnsi="Times New Roman"/>
          <w:color w:val="444444"/>
          <w:sz w:val="20"/>
          <w:szCs w:val="20"/>
        </w:rPr>
        <w:t xml:space="preserve">011/61/UE oraz rozporządzenia (WE) </w:t>
      </w:r>
      <w:r w:rsidRPr="00084F66">
        <w:rPr>
          <w:rFonts w:ascii="Times New Roman" w:hAnsi="Times New Roman"/>
          <w:color w:val="444444"/>
          <w:sz w:val="20"/>
          <w:szCs w:val="20"/>
        </w:rPr>
        <w:t>nr</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1</w:t>
      </w:r>
      <w:r>
        <w:rPr>
          <w:rFonts w:ascii="Times New Roman" w:hAnsi="Times New Roman"/>
          <w:color w:val="444444"/>
          <w:sz w:val="20"/>
          <w:szCs w:val="20"/>
        </w:rPr>
        <w:t xml:space="preserve">060/2009 i (UE) </w:t>
      </w:r>
      <w:r w:rsidRPr="00084F66">
        <w:rPr>
          <w:rFonts w:ascii="Times New Roman" w:hAnsi="Times New Roman"/>
          <w:color w:val="444444"/>
          <w:sz w:val="20"/>
          <w:szCs w:val="20"/>
        </w:rPr>
        <w:t>nr</w:t>
      </w:r>
      <w:r w:rsidR="00084F66" w:rsidRPr="00084F66">
        <w:rPr>
          <w:rFonts w:ascii="Times New Roman" w:hAnsi="Times New Roman"/>
          <w:color w:val="444444"/>
          <w:sz w:val="20"/>
          <w:szCs w:val="20"/>
        </w:rPr>
        <w:t> </w:t>
      </w:r>
      <w:r w:rsidRPr="00084F66">
        <w:rPr>
          <w:rFonts w:ascii="Times New Roman" w:hAnsi="Times New Roman"/>
          <w:color w:val="444444"/>
          <w:sz w:val="20"/>
          <w:szCs w:val="20"/>
        </w:rPr>
        <w:t>6</w:t>
      </w:r>
      <w:r>
        <w:rPr>
          <w:rFonts w:ascii="Times New Roman" w:hAnsi="Times New Roman"/>
          <w:color w:val="444444"/>
          <w:sz w:val="20"/>
          <w:szCs w:val="20"/>
        </w:rPr>
        <w:t>48/2012 (</w:t>
      </w:r>
      <w:r>
        <w:rPr>
          <w:rFonts w:ascii="Times New Roman" w:hAnsi="Times New Roman"/>
          <w:iCs/>
          <w:color w:val="444444"/>
          <w:sz w:val="20"/>
          <w:szCs w:val="20"/>
        </w:rPr>
        <w:t>Dz.U. L 347</w:t>
      </w:r>
      <w:r w:rsidR="00084F66">
        <w:rPr>
          <w:rFonts w:ascii="Times New Roman" w:hAnsi="Times New Roman"/>
          <w:iCs/>
          <w:color w:val="444444"/>
          <w:sz w:val="20"/>
          <w:szCs w:val="20"/>
        </w:rPr>
        <w:t xml:space="preserve"> z 2</w:t>
      </w:r>
      <w:r>
        <w:rPr>
          <w:rFonts w:ascii="Times New Roman" w:hAnsi="Times New Roman"/>
          <w:iCs/>
          <w:color w:val="444444"/>
          <w:sz w:val="20"/>
          <w:szCs w:val="20"/>
        </w:rPr>
        <w:t>8.12.2017, s. 35).</w:t>
      </w:r>
    </w:p>
  </w:footnote>
  <w:footnote w:id="12">
    <w:p w:rsidR="009B627A" w:rsidRPr="002409C1" w:rsidRDefault="009B627A"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„Jednostki samodzielne” nie należą do grupy skonsolidowanej, ani nie konsolidują się samodzielnie</w:t>
      </w:r>
      <w:r w:rsidR="00084F66">
        <w:rPr>
          <w:rFonts w:ascii="Times New Roman" w:hAnsi="Times New Roman"/>
          <w:sz w:val="20"/>
          <w:szCs w:val="20"/>
        </w:rPr>
        <w:t xml:space="preserve"> w tym</w:t>
      </w:r>
      <w:r>
        <w:rPr>
          <w:rFonts w:ascii="Times New Roman" w:hAnsi="Times New Roman"/>
          <w:sz w:val="20"/>
          <w:szCs w:val="20"/>
        </w:rPr>
        <w:t xml:space="preserve"> samym państwie,</w:t>
      </w:r>
      <w:r w:rsidR="00084F66">
        <w:rPr>
          <w:rFonts w:ascii="Times New Roman" w:hAnsi="Times New Roman"/>
          <w:sz w:val="20"/>
          <w:szCs w:val="20"/>
        </w:rPr>
        <w:t xml:space="preserve"> w któ</w:t>
      </w:r>
      <w:r>
        <w:rPr>
          <w:rFonts w:ascii="Times New Roman" w:hAnsi="Times New Roman"/>
          <w:sz w:val="20"/>
          <w:szCs w:val="20"/>
        </w:rPr>
        <w:t>rym podlegają wymogom</w:t>
      </w:r>
      <w:r w:rsidR="00084F66">
        <w:rPr>
          <w:rFonts w:ascii="Times New Roman" w:hAnsi="Times New Roman"/>
          <w:sz w:val="20"/>
          <w:szCs w:val="20"/>
        </w:rPr>
        <w:t xml:space="preserve"> w zak</w:t>
      </w:r>
      <w:r>
        <w:rPr>
          <w:rFonts w:ascii="Times New Roman" w:hAnsi="Times New Roman"/>
          <w:sz w:val="20"/>
          <w:szCs w:val="20"/>
        </w:rPr>
        <w:t>resie funduszy własnych</w:t>
      </w:r>
      <w:r>
        <w:rPr>
          <w:rFonts w:ascii="Times New Roman" w:hAnsi="Times New Roman"/>
          <w:iCs/>
          <w:sz w:val="20"/>
          <w:szCs w:val="20"/>
        </w:rPr>
        <w:t>.</w:t>
      </w:r>
    </w:p>
  </w:footnote>
  <w:footnote w:id="13">
    <w:p w:rsidR="009B627A" w:rsidRPr="00B828CC" w:rsidRDefault="009B627A">
      <w:pPr>
        <w:pStyle w:val="FootnoteText"/>
      </w:pPr>
      <w:r>
        <w:rPr>
          <w:rStyle w:val="FootnoteReference"/>
        </w:rPr>
        <w:footnoteRef/>
      </w:r>
      <w:r>
        <w:tab/>
      </w:r>
      <w:r>
        <w:rPr>
          <w:rFonts w:ascii="Times New Roman" w:hAnsi="Times New Roman"/>
          <w:sz w:val="20"/>
          <w:szCs w:val="20"/>
        </w:rPr>
        <w:t xml:space="preserve">Rozporządzenie delegowane Komisji (UE) </w:t>
      </w:r>
      <w:r w:rsidRPr="00084F66">
        <w:rPr>
          <w:rFonts w:ascii="Times New Roman" w:hAnsi="Times New Roman"/>
          <w:sz w:val="20"/>
          <w:szCs w:val="20"/>
        </w:rPr>
        <w:t>nr</w:t>
      </w:r>
      <w:r w:rsidR="00084F66" w:rsidRPr="00084F66">
        <w:rPr>
          <w:rFonts w:ascii="Times New Roman" w:hAnsi="Times New Roman"/>
          <w:sz w:val="20"/>
          <w:szCs w:val="20"/>
        </w:rPr>
        <w:t> </w:t>
      </w:r>
      <w:r w:rsidRPr="00084F66">
        <w:rPr>
          <w:rFonts w:ascii="Times New Roman" w:hAnsi="Times New Roman"/>
          <w:sz w:val="20"/>
          <w:szCs w:val="20"/>
        </w:rPr>
        <w:t>5</w:t>
      </w:r>
      <w:r>
        <w:rPr>
          <w:rFonts w:ascii="Times New Roman" w:hAnsi="Times New Roman"/>
          <w:sz w:val="20"/>
          <w:szCs w:val="20"/>
        </w:rPr>
        <w:t>25/2014</w:t>
      </w:r>
      <w:r w:rsidR="00084F66">
        <w:rPr>
          <w:rFonts w:ascii="Times New Roman" w:hAnsi="Times New Roman"/>
          <w:sz w:val="20"/>
          <w:szCs w:val="20"/>
        </w:rPr>
        <w:t xml:space="preserve"> z dni</w:t>
      </w:r>
      <w:r>
        <w:rPr>
          <w:rFonts w:ascii="Times New Roman" w:hAnsi="Times New Roman"/>
          <w:sz w:val="20"/>
          <w:szCs w:val="20"/>
        </w:rPr>
        <w:t>a 12 marca 20</w:t>
      </w:r>
      <w:r w:rsidRPr="00084F66">
        <w:rPr>
          <w:rFonts w:ascii="Times New Roman" w:hAnsi="Times New Roman"/>
          <w:sz w:val="20"/>
          <w:szCs w:val="20"/>
        </w:rPr>
        <w:t>14</w:t>
      </w:r>
      <w:r w:rsidR="00084F66" w:rsidRPr="00084F66">
        <w:rPr>
          <w:rFonts w:ascii="Times New Roman" w:hAnsi="Times New Roman"/>
          <w:sz w:val="20"/>
          <w:szCs w:val="20"/>
        </w:rPr>
        <w:t> </w:t>
      </w:r>
      <w:r w:rsidRPr="00084F66">
        <w:rPr>
          <w:rFonts w:ascii="Times New Roman" w:hAnsi="Times New Roman"/>
          <w:sz w:val="20"/>
          <w:szCs w:val="20"/>
        </w:rPr>
        <w:t>r.</w:t>
      </w:r>
      <w:r>
        <w:rPr>
          <w:rFonts w:ascii="Times New Roman" w:hAnsi="Times New Roman"/>
          <w:sz w:val="20"/>
          <w:szCs w:val="20"/>
        </w:rPr>
        <w:t xml:space="preserve"> uzupełniające rozporządzenie Parlamentu Europejskiego</w:t>
      </w:r>
      <w:r w:rsidR="00084F66">
        <w:rPr>
          <w:rFonts w:ascii="Times New Roman" w:hAnsi="Times New Roman"/>
          <w:sz w:val="20"/>
          <w:szCs w:val="20"/>
        </w:rPr>
        <w:t xml:space="preserve"> i Rad</w:t>
      </w:r>
      <w:r>
        <w:rPr>
          <w:rFonts w:ascii="Times New Roman" w:hAnsi="Times New Roman"/>
          <w:sz w:val="20"/>
          <w:szCs w:val="20"/>
        </w:rPr>
        <w:t xml:space="preserve">y (UE) </w:t>
      </w:r>
      <w:r w:rsidRPr="00084F66">
        <w:rPr>
          <w:rFonts w:ascii="Times New Roman" w:hAnsi="Times New Roman"/>
          <w:sz w:val="20"/>
          <w:szCs w:val="20"/>
        </w:rPr>
        <w:t>nr</w:t>
      </w:r>
      <w:r w:rsidR="00084F66" w:rsidRPr="00084F66">
        <w:rPr>
          <w:rFonts w:ascii="Times New Roman" w:hAnsi="Times New Roman"/>
          <w:sz w:val="20"/>
          <w:szCs w:val="20"/>
        </w:rPr>
        <w:t> </w:t>
      </w:r>
      <w:r w:rsidRPr="00084F66">
        <w:rPr>
          <w:rFonts w:ascii="Times New Roman" w:hAnsi="Times New Roman"/>
          <w:sz w:val="20"/>
          <w:szCs w:val="20"/>
        </w:rPr>
        <w:t>5</w:t>
      </w:r>
      <w:r>
        <w:rPr>
          <w:rFonts w:ascii="Times New Roman" w:hAnsi="Times New Roman"/>
          <w:sz w:val="20"/>
          <w:szCs w:val="20"/>
        </w:rPr>
        <w:t>75/2013</w:t>
      </w:r>
      <w:r w:rsidR="00084F66">
        <w:rPr>
          <w:rFonts w:ascii="Times New Roman" w:hAnsi="Times New Roman"/>
          <w:sz w:val="20"/>
          <w:szCs w:val="20"/>
        </w:rPr>
        <w:t xml:space="preserve"> w odn</w:t>
      </w:r>
      <w:r>
        <w:rPr>
          <w:rFonts w:ascii="Times New Roman" w:hAnsi="Times New Roman"/>
          <w:sz w:val="20"/>
          <w:szCs w:val="20"/>
        </w:rPr>
        <w:t>iesieniu do regulacyjnych standardów technicznych dotyczących definicji rynku (</w:t>
      </w:r>
      <w:r>
        <w:rPr>
          <w:rFonts w:ascii="Times New Roman" w:hAnsi="Times New Roman"/>
          <w:iCs/>
          <w:sz w:val="20"/>
          <w:szCs w:val="20"/>
        </w:rPr>
        <w:t>Dz.U. L 148</w:t>
      </w:r>
      <w:r w:rsidR="00084F66">
        <w:rPr>
          <w:rFonts w:ascii="Times New Roman" w:hAnsi="Times New Roman"/>
          <w:iCs/>
          <w:sz w:val="20"/>
          <w:szCs w:val="20"/>
        </w:rPr>
        <w:t xml:space="preserve"> z 2</w:t>
      </w:r>
      <w:r>
        <w:rPr>
          <w:rFonts w:ascii="Times New Roman" w:hAnsi="Times New Roman"/>
          <w:iCs/>
          <w:sz w:val="20"/>
          <w:szCs w:val="20"/>
        </w:rPr>
        <w:t>0.5.2014, s. 15)</w:t>
      </w:r>
      <w:r>
        <w:rPr>
          <w:rFonts w:ascii="Times New Roman" w:hAnsi="Times New Roman"/>
          <w:i/>
          <w:iCs/>
          <w:sz w:val="20"/>
          <w:szCs w:val="20"/>
        </w:rPr>
        <w:t>.</w:t>
      </w:r>
    </w:p>
  </w:footnote>
  <w:footnote w:id="14">
    <w:p w:rsidR="009B627A" w:rsidRPr="00A11C6E" w:rsidRDefault="009B627A">
      <w:pPr>
        <w:pStyle w:val="FootnoteText"/>
      </w:pPr>
      <w:r>
        <w:rPr>
          <w:rStyle w:val="FootnoteReference"/>
        </w:rPr>
        <w:footnoteRef/>
      </w:r>
      <w:r>
        <w:t xml:space="preserve">Rozporządzenie wykonawcze Komisji (UE) </w:t>
      </w:r>
      <w:r w:rsidRPr="00084F66">
        <w:t>nr</w:t>
      </w:r>
      <w:r w:rsidR="00084F66" w:rsidRPr="00084F66">
        <w:t> </w:t>
      </w:r>
      <w:r w:rsidRPr="00084F66">
        <w:t>9</w:t>
      </w:r>
      <w:r>
        <w:t>45/2014</w:t>
      </w:r>
      <w:r w:rsidR="00084F66">
        <w:t xml:space="preserve"> z dni</w:t>
      </w:r>
      <w:r>
        <w:t>a 4 września 20</w:t>
      </w:r>
      <w:r w:rsidRPr="00084F66">
        <w:t>14</w:t>
      </w:r>
      <w:r w:rsidR="00084F66" w:rsidRPr="00084F66">
        <w:t> </w:t>
      </w:r>
      <w:r w:rsidRPr="00084F66">
        <w:t>r.</w:t>
      </w:r>
      <w:r>
        <w:t xml:space="preserve"> ustanawiające wykonawcze standardy techniczne dotyczące stosownych indeksów</w:t>
      </w:r>
      <w:r w:rsidR="00084F66">
        <w:t xml:space="preserve"> o odp</w:t>
      </w:r>
      <w:r>
        <w:t>owiednim poziomie dywersyfikacji zgodnie</w:t>
      </w:r>
      <w:r w:rsidR="00084F66">
        <w:t xml:space="preserve"> z roz</w:t>
      </w:r>
      <w:r>
        <w:t>porządzeniem Parlamentu Europejskiego</w:t>
      </w:r>
      <w:r w:rsidR="00084F66">
        <w:t xml:space="preserve"> i Rad</w:t>
      </w:r>
      <w:r>
        <w:t xml:space="preserve">y (UE) </w:t>
      </w:r>
      <w:r w:rsidRPr="00084F66">
        <w:t>nr</w:t>
      </w:r>
      <w:r w:rsidR="00084F66" w:rsidRPr="00084F66">
        <w:t> </w:t>
      </w:r>
      <w:r w:rsidRPr="00084F66">
        <w:t>5</w:t>
      </w:r>
      <w:r>
        <w:t>75/2013.</w:t>
      </w:r>
    </w:p>
  </w:footnote>
  <w:footnote w:id="15">
    <w:p w:rsidR="009B627A" w:rsidRPr="00B828CC" w:rsidRDefault="009B627A">
      <w:pPr>
        <w:pStyle w:val="FootnoteText"/>
      </w:pPr>
      <w:r>
        <w:rPr>
          <w:rStyle w:val="FootnoteReference"/>
        </w:rPr>
        <w:footnoteRef/>
      </w:r>
      <w:r>
        <w:t xml:space="preserve"> Rozporządzenie delegowane Komisji (UE) 2016/101</w:t>
      </w:r>
      <w:r w:rsidR="00084F66">
        <w:t xml:space="preserve"> z dni</w:t>
      </w:r>
      <w:r>
        <w:t>a 26 października 20</w:t>
      </w:r>
      <w:r w:rsidRPr="00084F66">
        <w:t>15</w:t>
      </w:r>
      <w:r w:rsidR="00084F66" w:rsidRPr="00084F66">
        <w:t> </w:t>
      </w:r>
      <w:r w:rsidRPr="00084F66">
        <w:t>r.</w:t>
      </w:r>
      <w:r>
        <w:t xml:space="preserve"> uzupełniające rozporządzenie Parlamentu Europejskiego</w:t>
      </w:r>
      <w:r w:rsidR="00084F66">
        <w:t xml:space="preserve"> i Rad</w:t>
      </w:r>
      <w:r>
        <w:t xml:space="preserve">y (UE) </w:t>
      </w:r>
      <w:r w:rsidRPr="00084F66">
        <w:t>nr</w:t>
      </w:r>
      <w:r w:rsidR="00084F66" w:rsidRPr="00084F66">
        <w:t> </w:t>
      </w:r>
      <w:r w:rsidRPr="00084F66">
        <w:t>5</w:t>
      </w:r>
      <w:r>
        <w:t>75/2013</w:t>
      </w:r>
      <w:r w:rsidR="00084F66">
        <w:t xml:space="preserve"> w odn</w:t>
      </w:r>
      <w:r>
        <w:t>iesieniu do regulacyjnych standardów technicznych dotyczących ostrożnej wyceny zgodnie</w:t>
      </w:r>
      <w:r w:rsidR="00084F66">
        <w:t xml:space="preserve"> z </w:t>
      </w:r>
      <w:r w:rsidR="00084F66" w:rsidRPr="00084F66">
        <w:t>art</w:t>
      </w:r>
      <w:r w:rsidRPr="00084F66">
        <w:t>.</w:t>
      </w:r>
      <w:r w:rsidR="00084F66" w:rsidRPr="00084F66">
        <w:t> </w:t>
      </w:r>
      <w:r w:rsidRPr="00084F66">
        <w:t>1</w:t>
      </w:r>
      <w:r>
        <w:t xml:space="preserve">05 </w:t>
      </w:r>
      <w:r w:rsidRPr="00084F66">
        <w:t>ust.</w:t>
      </w:r>
      <w:r w:rsidR="00084F66" w:rsidRPr="00084F66">
        <w:t> </w:t>
      </w:r>
      <w:r w:rsidRPr="00084F66">
        <w:t>1</w:t>
      </w:r>
      <w:r>
        <w:t>4 (Dz.U. L 21</w:t>
      </w:r>
      <w:r w:rsidR="00084F66">
        <w:t xml:space="preserve"> z 2</w:t>
      </w:r>
      <w:r>
        <w:t>8.1.2016, s. 54).</w:t>
      </w:r>
    </w:p>
  </w:footnote>
  <w:footnote w:id="16">
    <w:p w:rsidR="009B627A" w:rsidRPr="009B688D" w:rsidRDefault="009B627A"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 xml:space="preserve">Rozporządzenie (WE) </w:t>
      </w:r>
      <w:r w:rsidRPr="00084F66">
        <w:rPr>
          <w:sz w:val="20"/>
          <w:szCs w:val="20"/>
        </w:rPr>
        <w:t>nr</w:t>
      </w:r>
      <w:r w:rsidR="00084F66" w:rsidRPr="00084F66">
        <w:rPr>
          <w:sz w:val="20"/>
          <w:szCs w:val="20"/>
        </w:rPr>
        <w:t> </w:t>
      </w:r>
      <w:r w:rsidRPr="00084F66">
        <w:rPr>
          <w:sz w:val="20"/>
          <w:szCs w:val="20"/>
        </w:rPr>
        <w:t>1</w:t>
      </w:r>
      <w:r>
        <w:rPr>
          <w:sz w:val="20"/>
          <w:szCs w:val="20"/>
        </w:rPr>
        <w:t>606/2002 Parlamentu Europejskiego</w:t>
      </w:r>
      <w:r w:rsidR="00084F66">
        <w:rPr>
          <w:sz w:val="20"/>
          <w:szCs w:val="20"/>
        </w:rPr>
        <w:t xml:space="preserve"> i Rad</w:t>
      </w:r>
      <w:r>
        <w:rPr>
          <w:sz w:val="20"/>
          <w:szCs w:val="20"/>
        </w:rPr>
        <w:t>y</w:t>
      </w:r>
      <w:r w:rsidR="00084F66">
        <w:rPr>
          <w:sz w:val="20"/>
          <w:szCs w:val="20"/>
        </w:rPr>
        <w:t xml:space="preserve"> z dni</w:t>
      </w:r>
      <w:r>
        <w:rPr>
          <w:sz w:val="20"/>
          <w:szCs w:val="20"/>
        </w:rPr>
        <w:t>a 19 lipca 20</w:t>
      </w:r>
      <w:r w:rsidRPr="00084F66">
        <w:rPr>
          <w:sz w:val="20"/>
          <w:szCs w:val="20"/>
        </w:rPr>
        <w:t>02</w:t>
      </w:r>
      <w:r w:rsidR="00084F66" w:rsidRPr="00084F66">
        <w:rPr>
          <w:sz w:val="20"/>
          <w:szCs w:val="20"/>
        </w:rPr>
        <w:t> </w:t>
      </w:r>
      <w:r w:rsidRPr="00084F66">
        <w:rPr>
          <w:sz w:val="20"/>
          <w:szCs w:val="20"/>
        </w:rPr>
        <w:t>r.</w:t>
      </w:r>
      <w:r w:rsidR="00084F66">
        <w:rPr>
          <w:sz w:val="20"/>
          <w:szCs w:val="20"/>
        </w:rPr>
        <w:t xml:space="preserve"> w spr</w:t>
      </w:r>
      <w:r>
        <w:rPr>
          <w:sz w:val="20"/>
          <w:szCs w:val="20"/>
        </w:rPr>
        <w:t>awie stosowania międzynarodowych standardów rachunkowości (</w:t>
      </w:r>
      <w:r>
        <w:rPr>
          <w:rStyle w:val="Emphasis"/>
          <w:i w:val="0"/>
          <w:sz w:val="20"/>
          <w:szCs w:val="20"/>
        </w:rPr>
        <w:t>Dz.U. L 243</w:t>
      </w:r>
      <w:r w:rsidR="00084F66">
        <w:rPr>
          <w:rStyle w:val="Emphasis"/>
          <w:i w:val="0"/>
          <w:sz w:val="20"/>
          <w:szCs w:val="20"/>
        </w:rPr>
        <w:t xml:space="preserve"> z 1</w:t>
      </w:r>
      <w:r>
        <w:rPr>
          <w:rStyle w:val="Emphasis"/>
          <w:i w:val="0"/>
          <w:sz w:val="20"/>
          <w:szCs w:val="20"/>
        </w:rPr>
        <w:t>1.9.2002, s. 1).</w:t>
      </w:r>
    </w:p>
    <w:p w:rsidR="009B627A" w:rsidRPr="0016282F" w:rsidRDefault="009B627A"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631405" w:rsidRDefault="009B627A"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4F66"/>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4F50"/>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4B08"/>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421"/>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166"/>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12CF"/>
    <w:rsid w:val="00D723DD"/>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296D"/>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1735AEB"/>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609A7-F5FD-4B30-9C30-A429AA52E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284</Pages>
  <Words>84963</Words>
  <Characters>527726</Characters>
  <Application>Microsoft Office Word</Application>
  <DocSecurity>0</DocSecurity>
  <Lines>13110</Lines>
  <Paragraphs>6154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607361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WENDEL Agnieszka (DGT)</cp:lastModifiedBy>
  <cp:revision>21</cp:revision>
  <dcterms:created xsi:type="dcterms:W3CDTF">2020-12-02T17:37:00Z</dcterms:created>
  <dcterms:modified xsi:type="dcterms:W3CDTF">2020-12-14T09:13:00Z</dcterms:modified>
</cp:coreProperties>
</file>