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5C658B15" w:rsidR="00C36E0D" w:rsidRPr="002D237E" w:rsidRDefault="00472B08" w:rsidP="002D237E">
      <w:pPr>
        <w:pStyle w:val="Pagedecouverture"/>
      </w:pPr>
      <w:bookmarkStart w:id="0" w:name="_GoBack"/>
      <w:bookmarkEnd w:id="0"/>
      <w:r>
        <w:pict w14:anchorId="40B0E9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1771A190-0874-4698-8D31-A4F44629E331" style="width:450.65pt;height:422.9pt">
            <v:imagedata r:id="rId8" o:title=""/>
          </v:shape>
        </w:pict>
      </w:r>
    </w:p>
    <w:p w14:paraId="703F7C0E" w14:textId="77777777" w:rsidR="0004170D" w:rsidRPr="002D237E" w:rsidRDefault="0004170D">
      <w:pPr>
        <w:sectPr w:rsidR="0004170D" w:rsidRPr="002D237E" w:rsidSect="006E55BB">
          <w:footerReference w:type="default" r:id="rId9"/>
          <w:pgSz w:w="11907" w:h="16839"/>
          <w:pgMar w:top="1134" w:right="1417" w:bottom="1134" w:left="1417" w:header="709" w:footer="709" w:gutter="0"/>
          <w:pgNumType w:start="0"/>
          <w:cols w:space="720"/>
          <w:docGrid w:linePitch="360"/>
        </w:sectPr>
      </w:pPr>
    </w:p>
    <w:p w14:paraId="4E87218B" w14:textId="761C6EC3" w:rsidR="0004170D" w:rsidRPr="002D237E" w:rsidRDefault="002D237E" w:rsidP="002D237E">
      <w:pPr>
        <w:pStyle w:val="Typedudocument"/>
      </w:pPr>
      <w:r w:rsidRPr="002D237E">
        <w:lastRenderedPageBreak/>
        <w:t>DURCHFÜHRUNGSVERORDNUNG (EU) .../... DER KOMMISSION</w:t>
      </w:r>
    </w:p>
    <w:p w14:paraId="311EA019" w14:textId="70C13D53" w:rsidR="0004170D" w:rsidRPr="002D237E" w:rsidRDefault="002D237E" w:rsidP="002D237E">
      <w:pPr>
        <w:pStyle w:val="Datedadoption"/>
      </w:pPr>
      <w:r w:rsidRPr="002D237E">
        <w:t xml:space="preserve">vom </w:t>
      </w:r>
      <w:r w:rsidRPr="002D237E">
        <w:rPr>
          <w:rStyle w:val="Marker2"/>
        </w:rPr>
        <w:t>XXX</w:t>
      </w:r>
    </w:p>
    <w:p w14:paraId="7EF0A74F" w14:textId="11BC684A" w:rsidR="0004170D" w:rsidRPr="002D237E" w:rsidRDefault="002D237E" w:rsidP="002D237E">
      <w:pPr>
        <w:pStyle w:val="Titreobjet"/>
      </w:pPr>
      <w:r w:rsidRPr="002D237E">
        <w:t xml:space="preserve">zur Festlegung technischer Durchführungsstandards für die Anwendung der Verordnung (EU) Nr. 575/2013 des Europäischen Parlaments und des Rates auf die aufsichtlichen Meldungen der Institute und zur Aufhebung der Durchführungsverordnung (EU) Nr. 680/2014 </w:t>
      </w:r>
      <w:r w:rsidRPr="002D237E">
        <w:br/>
      </w:r>
    </w:p>
    <w:p w14:paraId="714F85CC" w14:textId="17AD2DE4" w:rsidR="0004170D" w:rsidRPr="002D237E" w:rsidRDefault="002D237E" w:rsidP="002D237E">
      <w:pPr>
        <w:pStyle w:val="IntrtEEE"/>
      </w:pPr>
      <w:r w:rsidRPr="002D237E">
        <w:t>(Text von Bedeutung für den EWR)</w:t>
      </w:r>
    </w:p>
    <w:p w14:paraId="12CCC5F1" w14:textId="77777777" w:rsidR="0004170D" w:rsidRPr="002D237E" w:rsidRDefault="0004170D" w:rsidP="009675DD">
      <w:pPr>
        <w:pStyle w:val="Institutionquiagit"/>
      </w:pPr>
      <w:r w:rsidRPr="002D237E">
        <w:t>DIE EUROPÄISCHE KOMMISSION —</w:t>
      </w:r>
    </w:p>
    <w:p w14:paraId="54D27881" w14:textId="77777777" w:rsidR="0004170D" w:rsidRPr="002D237E" w:rsidRDefault="0004170D" w:rsidP="009675DD">
      <w:r w:rsidRPr="002D237E">
        <w:t>gestützt auf den Vertrag über die Arbeitsweise der Europäischen Union,</w:t>
      </w:r>
    </w:p>
    <w:p w14:paraId="2965D16B" w14:textId="4EFD17A3" w:rsidR="0004170D" w:rsidRPr="002D237E" w:rsidRDefault="00AD21AA" w:rsidP="009675DD">
      <w:pPr>
        <w:rPr>
          <w:rFonts w:eastAsia="Times New Roman"/>
          <w:noProof/>
          <w:color w:val="000000"/>
        </w:rPr>
      </w:pPr>
      <w:r w:rsidRPr="002D237E">
        <w:t>gestützt auf die Verordnung (EU) Nr. 575/2013 des Europäischen Parlaments und des Rates vom 26. Juni 2013 über Aufsichtsanforderungen an Kreditinstitute und Wertpapierfirmen und zur Änderung der Verordnung (EU) Nr. 648/2012</w:t>
      </w:r>
      <w:r w:rsidRPr="002D237E">
        <w:rPr>
          <w:rStyle w:val="FootnoteReference"/>
        </w:rPr>
        <w:footnoteReference w:id="1"/>
      </w:r>
      <w:r w:rsidRPr="002D237E">
        <w:t>, insbesondere auf Artikel 415 Absatz 3 Unterabsatz 1, Artikel 415 Absatz 3a Unterabsatz 1, Artikel 430 Absatz 7 Unterabsatz 1 und Artikel 430 Absatz 9 Unterabsatz 2,</w:t>
      </w:r>
    </w:p>
    <w:p w14:paraId="421FC692" w14:textId="77777777" w:rsidR="0004170D" w:rsidRPr="002D237E" w:rsidRDefault="0004170D" w:rsidP="009675DD">
      <w:r w:rsidRPr="002D237E">
        <w:t>in Erwägung nachstehender Gründe:</w:t>
      </w:r>
    </w:p>
    <w:p w14:paraId="0A7D0586" w14:textId="77777777" w:rsidR="00AD21AA" w:rsidRPr="002D237E" w:rsidRDefault="00AD21AA" w:rsidP="00906456">
      <w:pPr>
        <w:pStyle w:val="Considrant"/>
        <w:numPr>
          <w:ilvl w:val="0"/>
          <w:numId w:val="10"/>
        </w:numPr>
      </w:pPr>
      <w:r w:rsidRPr="002D237E">
        <w:t>In der Durchführungsverordnung (EU) Nr. 680/2014 der Kommission</w:t>
      </w:r>
      <w:r w:rsidRPr="002D237E">
        <w:rPr>
          <w:rStyle w:val="FootnoteReference"/>
        </w:rPr>
        <w:footnoteReference w:id="2"/>
      </w:r>
      <w:r w:rsidRPr="002D237E">
        <w:t xml:space="preserve"> wird gestützt auf Artikel 430 der Verordnung (EU) Nr. 575/2013 unbeschadet der Befugnisse der zuständigen Behörden nach Artikel 104 Absatz 1 Buchstabe j der Richtlinie 2013/36/EU des Europäischen Parlaments und des Rates</w:t>
      </w:r>
      <w:r w:rsidRPr="002D237E">
        <w:rPr>
          <w:rStyle w:val="FootnoteReference"/>
        </w:rPr>
        <w:footnoteReference w:id="3"/>
      </w:r>
      <w:r w:rsidRPr="002D237E">
        <w:t xml:space="preserve"> ein kohärenter Melderahmen festgelegt. Die Durchführungsverordnung (EU) Nr. 680/2014 wurde mehrfach geändert, um der Einführung, Weiterentwicklung oder Anpassung aufsichtlicher Elemente in den Änderungsfassungen der Verordnung (EU) Nr. 575/2013 Rechnung zu tragen.</w:t>
      </w:r>
    </w:p>
    <w:p w14:paraId="7949AA03" w14:textId="77777777" w:rsidR="00AD21AA" w:rsidRPr="002D237E" w:rsidRDefault="00AD21AA" w:rsidP="00906456">
      <w:pPr>
        <w:pStyle w:val="Considrant"/>
        <w:numPr>
          <w:ilvl w:val="0"/>
          <w:numId w:val="10"/>
        </w:numPr>
      </w:pPr>
      <w:r w:rsidRPr="002D237E">
        <w:t>Die Bestimmungen der vorliegenden Verordnung sind eng miteinander verknüpft, da sie allesamt die Meldepflichten der Institute betreffen. Um zwischen diesen Bestimmungen, die gleichzeitig in Kraft treten sollten, Kohärenz zu gewährleisten und den Personen, die den darin festgelegten Verpflichtungen unterliegen, einen umfassenden Überblick über diese Bestimmungen und einen kompakten Zugang dazu zu erleichtern, sollten alle damit zusammenhängenden, nach der Verordnung (EU) Nr. 575/2013 zu erlassenden technischen Durchführungsstandards in einer einzigen Verordnung zusammengefasst werden.</w:t>
      </w:r>
    </w:p>
    <w:p w14:paraId="1A0C281B" w14:textId="77777777" w:rsidR="00AD21AA" w:rsidRPr="002D237E" w:rsidRDefault="00AD21AA" w:rsidP="00AD21AA">
      <w:pPr>
        <w:pStyle w:val="Considrant"/>
      </w:pPr>
      <w:r w:rsidRPr="002D237E">
        <w:lastRenderedPageBreak/>
        <w:t>Mit der Verordnung (EU) 2019/876 des Europäischen Parlaments und des Rates</w:t>
      </w:r>
      <w:r w:rsidRPr="002D237E">
        <w:rPr>
          <w:rStyle w:val="FootnoteReference"/>
        </w:rPr>
        <w:footnoteReference w:id="4"/>
      </w:r>
      <w:r w:rsidRPr="002D237E">
        <w:t xml:space="preserve"> wurde die Verordnung (EU) Nr. 575/2013 unter Berücksichtigung der internationalen Standards des Basler Ausschusses für Bankenaufsicht in einer Reihe von Punkten geändert; hierzu zählen die Verschuldungsquote, die Anforderung einer stabilen Refinanzierung, die Anforderungen an Eigenmittel und berücksichtigungsfähige Verbindlichkeiten, das Gegenparteiausfallrisiko, das Marktrisiko, Risikopositionen gegenüber zentralen Gegenparteien, Risikopositionen gegenüber Organismen für gemeinsame Anlagen, Großkredite sowie Melde- und Offenlegungspflichten. Aus diesem Grund sollte der in der Durchführungsverordnung (EU) Nr. 680/2014 festgelegte Melderahmen überarbeitet werden und sollten die für die Erhebung von Informationen für Aufsichtszwecke bestimmten Meldebögen aktualisiert werden.</w:t>
      </w:r>
    </w:p>
    <w:p w14:paraId="5F6B66C1" w14:textId="77777777" w:rsidR="00AD21AA" w:rsidRPr="002D237E" w:rsidRDefault="00AD21AA" w:rsidP="00AD21AA">
      <w:pPr>
        <w:pStyle w:val="Considrant"/>
      </w:pPr>
      <w:r w:rsidRPr="002D237E">
        <w:t>Durch die Verordnung (EU) 2019/876 wurden die Anforderung einer Verschuldungsquote für das harte Kernkapital von 3 % in die Verordnung (EU) Nr. 575/2013 aufgenommen, eine Reihe von Anpassungen bei der Berechnung des Risikopositionswerts für die Verschuldungsquote vorgenommen und wurde für Institute, die gemäß der Richtlinie 2013/36/EU als global systemrelevante Institute (G-SRI) ermittelt werden, eine Anforderung für den Puffer bei der Verschuldungsquote eingeführt. Um diese Anforderungen und Anpassungen in Bezug auf die Risikopositionsberechnung zu berücksichtigen, sollten die Meldungen zur Verschuldungsquote aktualisiert werden.</w:t>
      </w:r>
    </w:p>
    <w:p w14:paraId="3651D6E0" w14:textId="77777777" w:rsidR="00AD21AA" w:rsidRPr="002D237E" w:rsidRDefault="00AD21AA" w:rsidP="00AD21AA">
      <w:pPr>
        <w:pStyle w:val="Considrant"/>
      </w:pPr>
      <w:r w:rsidRPr="002D237E">
        <w:t>Durch die Verordnung (EU) 2019/876 wurden Anforderungen an die Meldung der strukturellen Liquiditätsquote (NSFR), darunter auch vereinfachte Anforderungen, in die Verordnung (EU) Nr. 575/2013 aufgenommen. Aus diesem Grund sollte ein neuer Satz von Meldebögen und Erläuterungen festgelegt werden.</w:t>
      </w:r>
    </w:p>
    <w:p w14:paraId="7CAD2444" w14:textId="77777777" w:rsidR="00AD21AA" w:rsidRPr="002D237E" w:rsidRDefault="00AD21AA" w:rsidP="00AD21AA">
      <w:pPr>
        <w:pStyle w:val="Considrant"/>
      </w:pPr>
      <w:r w:rsidRPr="002D237E">
        <w:t>Durch die Verordnung (EU) 2019/876 wurden ein neuer Faktor zur Unterstützung von Risikopositionen bei Infrastrukturprojekten und aktualisierte Ansätze für die Berechnung der risikogewichteten Risikopositionsbeträge für Organismen für gemeinsame Anlagen in Wertpapieren in die Verordnung (EU) Nr. 575/2013 aufgenommen. Aus diesem Grund sollten auch angesichts dieses Melderahmens neue Meldebögen und Erläuterungen für die Meldung von Kreditrisiken festgelegt und die bestehenden Erläuterungen aktualisiert werden.</w:t>
      </w:r>
    </w:p>
    <w:p w14:paraId="19553D31" w14:textId="77777777" w:rsidR="00AD21AA" w:rsidRPr="002D237E" w:rsidRDefault="00AD21AA" w:rsidP="00AD21AA">
      <w:pPr>
        <w:pStyle w:val="Considrant"/>
      </w:pPr>
      <w:r w:rsidRPr="002D237E">
        <w:t>Durch die Verordnung (EU) 2019/876 wurde in der Verordnung (EU) Nr. 575/2013 der Standardansatz durch einen risikoempfindlicheren Standardansatz für das Gegenparteiausfallrisiko (SA-CCR) und eine vereinfachte Variante (den vereinfachten SA-CCR) für Institute ersetzt, die die Kriterien für die Nutzung dieses Ansatzes erfüllen. Institute, die die entsprechenden Kriterien erfüllen, können weiterhin nach der Ursprungsrisikomethode verfahren, welche allerdings überarbeitet wurde. Aus diesem Grund sollten für die Meldung von Gegenparteiausfallrisiken neue Meldebögen und Erläuterungen hinzugefügt und die bestehenden Erläuterungen aktualisiert werden.</w:t>
      </w:r>
    </w:p>
    <w:p w14:paraId="76193745" w14:textId="77777777" w:rsidR="00AD21AA" w:rsidRPr="002D237E" w:rsidRDefault="00AD21AA" w:rsidP="00AD21AA">
      <w:pPr>
        <w:pStyle w:val="Considrant"/>
      </w:pPr>
      <w:r w:rsidRPr="002D237E">
        <w:t xml:space="preserve">Durch die Verordnung (EU) 2019/876 wurde in der Verordnung (EU) Nr. 575/2013 bei der Berechnung von Großkrediten die Formulierung „anrechenbare Eigenmittel“ </w:t>
      </w:r>
      <w:r w:rsidRPr="002D237E">
        <w:lastRenderedPageBreak/>
        <w:t>durch die Formulierung „Kernkapital“ ersetzt und ein weiterer Schwellenwert für die Meldung von Großkrediten auf konsolidierter Basis eingeführt. Die Meldebögen für Großkredite sollten deshalb aktualisiert werden.</w:t>
      </w:r>
    </w:p>
    <w:p w14:paraId="406A544B" w14:textId="77777777" w:rsidR="00AD21AA" w:rsidRPr="002D237E" w:rsidRDefault="00AD21AA" w:rsidP="00AD21AA">
      <w:pPr>
        <w:pStyle w:val="Considrant"/>
      </w:pPr>
      <w:r w:rsidRPr="002D237E">
        <w:t>Mit der Verordnung (EU) 2019/630 des Europäischen Parlaments und des Rates</w:t>
      </w:r>
      <w:r w:rsidRPr="002D237E">
        <w:rPr>
          <w:rStyle w:val="FootnoteReference"/>
        </w:rPr>
        <w:footnoteReference w:id="5"/>
      </w:r>
      <w:r w:rsidRPr="002D237E">
        <w:t xml:space="preserve"> wurde eine aufsichtsrechtliche Letztsicherung für notleidende Risikopositionen in die Verordnung (EU) Nr. 575/2013 aufgenommen, die einen Abzug von den Eigenmitteln des Instituts vorschreibt, wenn notleidende Riskopositionen einem vorab festgelegten Zeitplan zum Aufbau einer vollständigen Deckung entsprechend nicht ausreichend durch Rückstellungen oder sonstige Anpassungen gedeckt sind. Diese aufsichtsrechtliche Letztsicherung beruht auf den in der Durchführungsverordnung (EU) Nr. 680/2014 festgelegten Begriffsbestimmungen „notleidende Risikopositionen“ und „Stundungsmaßnahmen“. Um zu gewährleisten, dass es sowohl für Meldezwecke als auch für die Zwecke der aufsichtsrechtlichen Letztsicherung nur eine einzige Begriffsbestimmung für „notleidende Risikopositionen“ und „Stundungsmaßnahmen“ gibt, sollten Meldebögen und Erläuterungen geändert werden. Auch für die Erhebung von Informationen für die Berechnung der Letztsicherung sind neue Meldebögen erforderlich.</w:t>
      </w:r>
    </w:p>
    <w:p w14:paraId="4A308F65" w14:textId="77777777" w:rsidR="00AD21AA" w:rsidRPr="002D237E" w:rsidRDefault="00AD21AA" w:rsidP="00AD21AA">
      <w:pPr>
        <w:pStyle w:val="Considrant"/>
      </w:pPr>
      <w:r w:rsidRPr="002D237E">
        <w:t>Durch die Verordnung (EU) 2019/2033 des Europäischen Parlaments und des Rates</w:t>
      </w:r>
      <w:r w:rsidRPr="002D237E">
        <w:rPr>
          <w:rStyle w:val="FootnoteReference"/>
        </w:rPr>
        <w:footnoteReference w:id="6"/>
      </w:r>
      <w:r w:rsidRPr="002D237E">
        <w:t xml:space="preserve"> wird Teil 3 Titel I Kapitel 1 Abschnitt 2 (Artikel 95 bis 98) der Verordnung (EU) Nr. 575/2013 mit Wirkung vom 26. Juni 2026 aufgehoben. Aus diesem Grund sollten die Meldebestimmungen für Gruppen, die nur aus Wertpapierfirmen bestehen, die auf Einzel- oder auf konsolidierter Basis unter die Artikel 95 und 96 der Verordnung (EU) Nr. 575/2013 fallen, ab dem 26. Juni 2026 nicht mehr gelten.</w:t>
      </w:r>
    </w:p>
    <w:p w14:paraId="43FA00D7" w14:textId="77777777" w:rsidR="00AD21AA" w:rsidRPr="002D237E" w:rsidRDefault="00AD21AA" w:rsidP="00AD21AA">
      <w:pPr>
        <w:pStyle w:val="Considrant"/>
      </w:pPr>
      <w:r w:rsidRPr="002D237E">
        <w:t>Angesichts des Umfangs dieser Änderungen sollte die Durchführungsverordnung (EU) Nr. 680/2014 auch der Klarheit halber aufgehoben und durch die vorliegende Verordnung ersetzt werden.</w:t>
      </w:r>
    </w:p>
    <w:p w14:paraId="68FF0834" w14:textId="77777777" w:rsidR="00AD21AA" w:rsidRPr="002D237E" w:rsidRDefault="00AD21AA" w:rsidP="00AD21AA">
      <w:pPr>
        <w:pStyle w:val="Considrant"/>
      </w:pPr>
      <w:r w:rsidRPr="002D237E">
        <w:t>Die Verordnung (EU) 2020/873 des Europäischen Parlaments und des Rates</w:t>
      </w:r>
      <w:r w:rsidRPr="002D237E">
        <w:rPr>
          <w:rStyle w:val="FootnoteReference"/>
        </w:rPr>
        <w:footnoteReference w:id="7"/>
      </w:r>
      <w:r w:rsidRPr="002D237E">
        <w:t xml:space="preserve"> ist eine der Maßnahmen, mit denen die Auswirkungen der COVID-19-Pandemie auf die Institute unionsweit abgemildert werden sollen. Mit dieser Verordnung wurden an den Verordnungen (EU) Nr. 575/2013 und (EU) 2019/876 bestimmte Änderungen vorgenommen, die sich auf das aufsichtliche Meldewesen auswirken. Diese Änderungen sollten sich folglich im Melderahmen widerspiegeln. </w:t>
      </w:r>
    </w:p>
    <w:p w14:paraId="1AEA9367" w14:textId="77777777" w:rsidR="00AD21AA" w:rsidRPr="002D237E" w:rsidRDefault="00AD21AA" w:rsidP="00AD21AA">
      <w:pPr>
        <w:pStyle w:val="Considrant"/>
      </w:pPr>
      <w:r w:rsidRPr="002D237E">
        <w:t>Die Institute sollten zum Ende des zweiten Quartals 2021 mit den aufsichtlichen Meldungen beginnen. Mit der Meldung des Puffers bei der Verschuldungsquote sollte allerdings erst im Januar 2023 begonnen werden, da der Geltungsbeginn der Anforderungen für den Puffer bei der Verschuldungsquote durch die Verordnung (EU) 2020/873 auf Januar 2023 verschoben wurde.</w:t>
      </w:r>
    </w:p>
    <w:p w14:paraId="34258819" w14:textId="77777777" w:rsidR="00AD21AA" w:rsidRPr="002D237E" w:rsidRDefault="00AD21AA" w:rsidP="00AD21AA">
      <w:pPr>
        <w:pStyle w:val="Considrant"/>
      </w:pPr>
      <w:r w:rsidRPr="002D237E">
        <w:lastRenderedPageBreak/>
        <w:t>Die vorliegende Verordnung beruht auf dem Entwurf technischer Durchführungsstandards, der der Kommission von der Europäischen Bankenaufsichtsbehörde (EBA) übermittelt wurde.</w:t>
      </w:r>
    </w:p>
    <w:p w14:paraId="1EE2EAF8" w14:textId="77777777" w:rsidR="00AD21AA" w:rsidRPr="002D237E" w:rsidRDefault="00AD21AA" w:rsidP="00AD21AA">
      <w:pPr>
        <w:pStyle w:val="Considrant"/>
        <w:rPr>
          <w:noProof/>
        </w:rPr>
      </w:pPr>
      <w:r w:rsidRPr="002D237E">
        <w:t>Die EBA hat zu diesem Entwurf öffentliche Konsultationen durchgeführt, die damit verbundenen potenziellen Kosten- und Nutzeneffekte analysiert und die Stellungnahme der nach Artikel 37 der Verordnung (EU) Nr. 1093/2010 des Europäischen Parlaments und des Rates</w:t>
      </w:r>
      <w:r w:rsidRPr="002D237E">
        <w:rPr>
          <w:rStyle w:val="FootnoteReference"/>
        </w:rPr>
        <w:footnoteReference w:id="8"/>
      </w:r>
      <w:r w:rsidRPr="002D237E">
        <w:t xml:space="preserve"> eingesetzten Interessengruppe Bankensektor eingeholt; hiervon ausgenommen waren nur die Bestimmungen, die die durch die Verordnung (EU) 2020/873 an der Verordnung (EU) Nr. 575/2013 vorgenommenen Änderungen widerspiegeln. Hier hielt die EBA die Durchführung öffentlicher Konsultationen oder einer Kosten-Nutzen-Analyse für äußerst unverhältnismäßig, da sie nur sehr wenige Zeilen in den Meldebögen zu Solvenz und Verschuldung betreffen und die Kosten der Meldungen nicht wesentlich beeinflussen dürften. Zusätzlich dazu hätte eine solche öffentliche Konsultation oder Kosten-Nutzen-Analyse den Aufsichtsbehörden die fristgerechte und kohärente und regelmäßige Erhebung der einschlägigen Daten unmöglich gemacht.</w:t>
      </w:r>
    </w:p>
    <w:p w14:paraId="38285338" w14:textId="5E242B95" w:rsidR="0004170D" w:rsidRPr="002D237E" w:rsidRDefault="00AD21AA" w:rsidP="00AD21AA">
      <w:pPr>
        <w:pStyle w:val="Considrant"/>
        <w:rPr>
          <w:noProof/>
        </w:rPr>
      </w:pPr>
      <w:r w:rsidRPr="002D237E">
        <w:t xml:space="preserve">Um den Instituten genügend Zeit zu geben, sich auf die in dieser Verordnung vorgesehenen Meldungen vorzubereiten, sollte sie am Tag nach ihrer Veröffentlichung im Amtsblatt der Europäischen Union in Kraft treten — </w:t>
      </w:r>
    </w:p>
    <w:p w14:paraId="7E0D596A" w14:textId="77777777" w:rsidR="0004170D" w:rsidRPr="002D237E" w:rsidRDefault="0004170D" w:rsidP="009675DD">
      <w:pPr>
        <w:pStyle w:val="Formuledadoption"/>
      </w:pPr>
      <w:r w:rsidRPr="002D237E">
        <w:t>HAT FOLGENDE VERORDNUNG ERLASSEN:</w:t>
      </w:r>
    </w:p>
    <w:p w14:paraId="576F9D8E" w14:textId="77777777" w:rsidR="0004170D" w:rsidRPr="002D237E" w:rsidRDefault="0004170D" w:rsidP="009675DD">
      <w:pPr>
        <w:pStyle w:val="Titrearticle"/>
      </w:pPr>
      <w:r w:rsidRPr="002D237E">
        <w:t>Artikel 1</w:t>
      </w:r>
    </w:p>
    <w:p w14:paraId="288B3999" w14:textId="77777777" w:rsidR="006B61AF" w:rsidRPr="002D237E" w:rsidRDefault="006B61AF" w:rsidP="006B61AF">
      <w:pPr>
        <w:pStyle w:val="Titrearticle"/>
        <w:spacing w:before="120"/>
        <w:rPr>
          <w:b/>
          <w:i w:val="0"/>
        </w:rPr>
      </w:pPr>
      <w:r w:rsidRPr="002D237E">
        <w:rPr>
          <w:b/>
          <w:i w:val="0"/>
        </w:rPr>
        <w:t>Gegenstand und Anwendungsbereich</w:t>
      </w:r>
    </w:p>
    <w:p w14:paraId="37986D69" w14:textId="774022E5" w:rsidR="0004170D" w:rsidRPr="002D237E" w:rsidRDefault="006B61AF" w:rsidP="00BC75BD">
      <w:r w:rsidRPr="002D237E">
        <w:t xml:space="preserve">In dieser Verordnung werden gemäß Artikel 415 Absätze 3 und 3a und Artikel 430 Absätze 1 bis 4 und Absätze 7 und 9 der Verordnung(EU) Nr. 575/2013 einheitliche Meldeformate und -bögen, Erläuterungen und eine Methode für die Verwendung dieser Bögen, Meldeintervalle und -stichtage sowie Begriffsbestimmungen und IT-Lösungen für die Meldungen der Institute an die für sie zuständigen Behörden festgelegt. </w:t>
      </w:r>
    </w:p>
    <w:p w14:paraId="46D6B4CF" w14:textId="77777777" w:rsidR="00FF364B" w:rsidRPr="002D237E" w:rsidRDefault="00FF364B" w:rsidP="00FF364B">
      <w:pPr>
        <w:pStyle w:val="Titrearticle"/>
      </w:pPr>
      <w:r w:rsidRPr="002D237E">
        <w:t xml:space="preserve">Artikel </w:t>
      </w:r>
      <w:r w:rsidR="001F45A3">
        <w:fldChar w:fldCharType="begin"/>
      </w:r>
      <w:r w:rsidR="001F45A3">
        <w:instrText xml:space="preserve"> seq article </w:instrText>
      </w:r>
      <w:r w:rsidR="001F45A3">
        <w:fldChar w:fldCharType="separate"/>
      </w:r>
      <w:r w:rsidRPr="002D237E">
        <w:t>2</w:t>
      </w:r>
      <w:r w:rsidR="001F45A3">
        <w:fldChar w:fldCharType="end"/>
      </w:r>
    </w:p>
    <w:p w14:paraId="35E34B0E" w14:textId="1A25917F" w:rsidR="00FF364B" w:rsidRPr="002D237E" w:rsidRDefault="006B61AF" w:rsidP="00FF364B">
      <w:pPr>
        <w:pStyle w:val="Titrearticle"/>
        <w:spacing w:before="120"/>
        <w:rPr>
          <w:b/>
          <w:i w:val="0"/>
        </w:rPr>
      </w:pPr>
      <w:r w:rsidRPr="002D237E">
        <w:rPr>
          <w:b/>
          <w:i w:val="0"/>
        </w:rPr>
        <w:t>Meldestichtage</w:t>
      </w:r>
    </w:p>
    <w:p w14:paraId="10AD0363" w14:textId="68420494" w:rsidR="006B61AF" w:rsidRPr="002D237E" w:rsidRDefault="005A2D3C" w:rsidP="005A2D3C">
      <w:pPr>
        <w:pStyle w:val="ManualNumPar1"/>
      </w:pPr>
      <w:r>
        <w:t>(1)</w:t>
      </w:r>
      <w:r>
        <w:tab/>
      </w:r>
      <w:r w:rsidR="006B61AF" w:rsidRPr="002D237E">
        <w:t>Die Institute übermitteln den zuständigen Behörden ihre Angaben mit Stand an folgenden Meldestichtagen:</w:t>
      </w:r>
    </w:p>
    <w:p w14:paraId="7FC44D08" w14:textId="2BC9CD43" w:rsidR="006B61AF" w:rsidRPr="002D237E" w:rsidRDefault="00D9176D" w:rsidP="006B61AF">
      <w:pPr>
        <w:pStyle w:val="Point1"/>
      </w:pPr>
      <w:r w:rsidRPr="002D237E">
        <w:t>a)</w:t>
      </w:r>
      <w:r w:rsidRPr="002D237E">
        <w:tab/>
        <w:t>monatliche Meldungen: letzter Tag des jeweiligen Monats</w:t>
      </w:r>
    </w:p>
    <w:p w14:paraId="28CC3121" w14:textId="77777777" w:rsidR="006B61AF" w:rsidRPr="002D237E" w:rsidRDefault="006B61AF" w:rsidP="006B61AF">
      <w:pPr>
        <w:pStyle w:val="Point1"/>
      </w:pPr>
      <w:r w:rsidRPr="002D237E">
        <w:t>b)</w:t>
      </w:r>
      <w:r w:rsidRPr="002D237E">
        <w:tab/>
        <w:t>vierteljährliche Meldungen: 31. März, 30. Juni, 30. September und 31. Dezember</w:t>
      </w:r>
    </w:p>
    <w:p w14:paraId="3C859754" w14:textId="77777777" w:rsidR="006B61AF" w:rsidRPr="002D237E" w:rsidRDefault="006B61AF" w:rsidP="006B61AF">
      <w:pPr>
        <w:pStyle w:val="Point1"/>
      </w:pPr>
      <w:r w:rsidRPr="002D237E">
        <w:t>c)</w:t>
      </w:r>
      <w:r w:rsidRPr="002D237E">
        <w:tab/>
        <w:t>halbjährliche Meldungen: 30. Juni und 31. Dezember</w:t>
      </w:r>
    </w:p>
    <w:p w14:paraId="03865441" w14:textId="5E46B259" w:rsidR="00FF364B" w:rsidRPr="002D237E" w:rsidRDefault="006B61AF" w:rsidP="006B61AF">
      <w:pPr>
        <w:pStyle w:val="Point1"/>
      </w:pPr>
      <w:r w:rsidRPr="002D237E">
        <w:t>d)</w:t>
      </w:r>
      <w:r w:rsidRPr="002D237E">
        <w:tab/>
        <w:t>jährliche Meldungen: 31. Dezember.</w:t>
      </w:r>
    </w:p>
    <w:p w14:paraId="40A4E6AA" w14:textId="5A908AAC" w:rsidR="006B61AF" w:rsidRPr="002D237E" w:rsidRDefault="005A2D3C" w:rsidP="005A2D3C">
      <w:pPr>
        <w:pStyle w:val="ManualNumPar1"/>
      </w:pPr>
      <w:r>
        <w:t>(2)</w:t>
      </w:r>
      <w:r>
        <w:tab/>
      </w:r>
      <w:r w:rsidR="006B61AF" w:rsidRPr="002D237E">
        <w:t xml:space="preserve">Angaben, die nach Maßgabe der Meldebögen in den Anhängen III und IV und gemäß den Erläuterungen in Anhang V übermittelt werden und sich auf einen </w:t>
      </w:r>
      <w:r w:rsidR="006B61AF" w:rsidRPr="002D237E">
        <w:lastRenderedPageBreak/>
        <w:t>bestimmten Zeitraum beziehen, sind ab dem ersten Tag des Geschäftsjahres bis zum Stichtag kumulativ zu melden.</w:t>
      </w:r>
    </w:p>
    <w:p w14:paraId="65D209FF" w14:textId="664CA456" w:rsidR="00FF364B" w:rsidRPr="002D237E" w:rsidRDefault="005A2D3C" w:rsidP="005A2D3C">
      <w:pPr>
        <w:pStyle w:val="ManualNumPar1"/>
      </w:pPr>
      <w:r>
        <w:t>(3)</w:t>
      </w:r>
      <w:r>
        <w:tab/>
      </w:r>
      <w:r w:rsidR="006B61AF" w:rsidRPr="002D237E">
        <w:t>Ist es Instituten nach nationalem Recht gestattet, Finanzinformationen zum Ende ihres vom Kalenderjahr abweichenden Geschäftsjahres zu melden, können die Stichtage so angepasst werden, dass die Meldung von Finanzinformationen und die Meldung von Angaben, die der Ermittlung global systemrelevanter Institute (G-SRI) und der Zuweisung von Quoten für G-SRI-Puffer dienen, jeweils alle drei, sechs bzw. zwölf Monate nach Geschäftsjahresschluss erfolgen.</w:t>
      </w:r>
    </w:p>
    <w:p w14:paraId="45D66A15" w14:textId="77777777" w:rsidR="00725875" w:rsidRPr="002D237E" w:rsidRDefault="00725875" w:rsidP="00725875">
      <w:pPr>
        <w:pStyle w:val="Titrearticle"/>
      </w:pPr>
      <w:r w:rsidRPr="002D237E">
        <w:t>Artikel 3</w:t>
      </w:r>
    </w:p>
    <w:p w14:paraId="19D84E1B" w14:textId="77777777" w:rsidR="0014552F" w:rsidRPr="002D237E" w:rsidRDefault="0014552F" w:rsidP="0014552F">
      <w:pPr>
        <w:pStyle w:val="Titrearticle"/>
        <w:spacing w:before="120"/>
        <w:rPr>
          <w:b/>
          <w:i w:val="0"/>
        </w:rPr>
      </w:pPr>
      <w:r w:rsidRPr="002D237E">
        <w:rPr>
          <w:b/>
          <w:i w:val="0"/>
        </w:rPr>
        <w:t>Einreichungstermine</w:t>
      </w:r>
    </w:p>
    <w:p w14:paraId="1A3916EF" w14:textId="0A965EAA" w:rsidR="0014552F" w:rsidRPr="002D237E" w:rsidRDefault="005A2D3C" w:rsidP="005A2D3C">
      <w:pPr>
        <w:pStyle w:val="ManualNumPar1"/>
      </w:pPr>
      <w:r>
        <w:t>(1)</w:t>
      </w:r>
      <w:r>
        <w:tab/>
      </w:r>
      <w:r w:rsidR="0014552F" w:rsidRPr="002D237E">
        <w:t>Die Institute übermitteln den zuständigen Behörden ihre Angaben zu folgenden Einreichungsterminen bis Geschäftsschluss:</w:t>
      </w:r>
    </w:p>
    <w:p w14:paraId="1B31A059" w14:textId="77777777" w:rsidR="0014552F" w:rsidRPr="002D237E" w:rsidRDefault="0014552F" w:rsidP="0014552F">
      <w:pPr>
        <w:pStyle w:val="Point1"/>
      </w:pPr>
      <w:r w:rsidRPr="002D237E">
        <w:t>a)</w:t>
      </w:r>
      <w:r w:rsidRPr="002D237E">
        <w:tab/>
        <w:t>monatliche Meldungen: 15. Kalendertag nach dem Meldestichtag</w:t>
      </w:r>
    </w:p>
    <w:p w14:paraId="59E141C9" w14:textId="77777777" w:rsidR="0014552F" w:rsidRPr="002D237E" w:rsidRDefault="0014552F" w:rsidP="0014552F">
      <w:pPr>
        <w:pStyle w:val="Point1"/>
      </w:pPr>
      <w:r w:rsidRPr="002D237E">
        <w:t>b)</w:t>
      </w:r>
      <w:r w:rsidRPr="002D237E">
        <w:tab/>
        <w:t>vierteljährliche Meldungen: 12. Mai, 11. August, 11. November und 11. Februar</w:t>
      </w:r>
    </w:p>
    <w:p w14:paraId="31A5927D" w14:textId="77777777" w:rsidR="0014552F" w:rsidRPr="002D237E" w:rsidRDefault="0014552F" w:rsidP="0014552F">
      <w:pPr>
        <w:pStyle w:val="Point1"/>
      </w:pPr>
      <w:r w:rsidRPr="002D237E">
        <w:t>c)</w:t>
      </w:r>
      <w:r w:rsidRPr="002D237E">
        <w:tab/>
        <w:t>halbjährliche Meldungen: 11. August und 11. Februar</w:t>
      </w:r>
    </w:p>
    <w:p w14:paraId="37F1906A" w14:textId="77777777" w:rsidR="0014552F" w:rsidRPr="002D237E" w:rsidRDefault="0014552F" w:rsidP="0014552F">
      <w:pPr>
        <w:pStyle w:val="Point1"/>
      </w:pPr>
      <w:r w:rsidRPr="002D237E">
        <w:t>d)</w:t>
      </w:r>
      <w:r w:rsidRPr="002D237E">
        <w:tab/>
        <w:t>jährliche Meldungen: 11. Februar.</w:t>
      </w:r>
    </w:p>
    <w:p w14:paraId="493E0587" w14:textId="60E1F0C5" w:rsidR="0014552F" w:rsidRPr="002D237E" w:rsidRDefault="005A2D3C" w:rsidP="005A2D3C">
      <w:pPr>
        <w:pStyle w:val="ManualNumPar1"/>
      </w:pPr>
      <w:r>
        <w:t>(2)</w:t>
      </w:r>
      <w:r>
        <w:tab/>
      </w:r>
      <w:r w:rsidR="0014552F" w:rsidRPr="002D237E">
        <w:t>Ist der Einreichungstermin in dem Mitgliedstaat der zuständigen Behörde, der die Meldung zu übermitteln ist, ein gesetzlicher Feiertag oder ein Samstag oder Sonntag, so werden die Daten am darauffolgenden Arbeitstag übermittelt.</w:t>
      </w:r>
    </w:p>
    <w:p w14:paraId="6B66EFC5" w14:textId="18157990" w:rsidR="0014552F" w:rsidRPr="002D237E" w:rsidRDefault="005A2D3C" w:rsidP="005A2D3C">
      <w:pPr>
        <w:pStyle w:val="ManualNumPar1"/>
      </w:pPr>
      <w:r>
        <w:t>(3)</w:t>
      </w:r>
      <w:r>
        <w:tab/>
      </w:r>
      <w:r w:rsidR="0014552F" w:rsidRPr="002D237E">
        <w:t>Melden Institute ihre Finanzinformationen oder Angaben, die der Ermittlung von G-SRI und der Zuweisung von Quoten für G-SRI-Puffer dienen, zu Meldestichtagen, die gemäß Artikel 2 Absatz 3 an den Geschäftsjahresschluss angepasst wurden, können auch die Einreichungstermine entsprechend angepasst werden, sodass der Einreichungszeitraum ab dem angepassten Meldestichtag derselbe bleibt.</w:t>
      </w:r>
    </w:p>
    <w:p w14:paraId="67094FB3" w14:textId="7D5B8180" w:rsidR="0014552F" w:rsidRPr="002D237E" w:rsidRDefault="005A2D3C" w:rsidP="005A2D3C">
      <w:pPr>
        <w:pStyle w:val="ManualNumPar1"/>
      </w:pPr>
      <w:r>
        <w:t>(4)</w:t>
      </w:r>
      <w:r>
        <w:tab/>
      </w:r>
      <w:r w:rsidR="0014552F" w:rsidRPr="002D237E">
        <w:t>Die Institute können ungeprüfte Zahlen übermitteln. Weichen die geprüften Zahlen von den übermittelten ungeprüften Zahlen ab, sind die revidierten geprüften Zahlen unverzüglich nachzureichen. Ungeprüfte Zahlen sind Zahlen, die nicht Gegenstand des Prüfungsurteils eines externen Abschlussprüfers sind, während geprüfte Zahlen von einem externen Abschlussprüfer, der ein Prüfungsurteil abgibt, geprüft wurden.</w:t>
      </w:r>
    </w:p>
    <w:p w14:paraId="758E2E74" w14:textId="2E0983B4" w:rsidR="00725875" w:rsidRPr="002D237E" w:rsidRDefault="005A2D3C" w:rsidP="005A2D3C">
      <w:pPr>
        <w:pStyle w:val="ManualNumPar1"/>
      </w:pPr>
      <w:r>
        <w:t>(5)</w:t>
      </w:r>
      <w:r>
        <w:tab/>
      </w:r>
      <w:r w:rsidR="0014552F" w:rsidRPr="002D237E">
        <w:t>Sonstige Korrekturen an den übermittelten Meldungen sind den zuständigen Behörden ebenfalls unverzüglich zu übermitteln.</w:t>
      </w:r>
    </w:p>
    <w:p w14:paraId="60D8A63C" w14:textId="77777777" w:rsidR="0014552F" w:rsidRPr="002D237E" w:rsidRDefault="0014552F" w:rsidP="0014552F">
      <w:pPr>
        <w:pStyle w:val="Titrearticle"/>
      </w:pPr>
      <w:r w:rsidRPr="002D237E">
        <w:t xml:space="preserve">Artikel </w:t>
      </w:r>
      <w:r w:rsidR="001F45A3">
        <w:fldChar w:fldCharType="begin"/>
      </w:r>
      <w:r w:rsidR="001F45A3">
        <w:instrText xml:space="preserve"> seq article </w:instrText>
      </w:r>
      <w:r w:rsidR="001F45A3">
        <w:fldChar w:fldCharType="separate"/>
      </w:r>
      <w:r w:rsidRPr="002D237E">
        <w:t>4</w:t>
      </w:r>
      <w:r w:rsidR="001F45A3">
        <w:fldChar w:fldCharType="end"/>
      </w:r>
    </w:p>
    <w:p w14:paraId="726E257C" w14:textId="77777777" w:rsidR="0014552F" w:rsidRPr="002D237E" w:rsidRDefault="0014552F" w:rsidP="0014552F">
      <w:pPr>
        <w:pStyle w:val="Titrearticle"/>
        <w:spacing w:before="120"/>
        <w:rPr>
          <w:b/>
          <w:i w:val="0"/>
        </w:rPr>
      </w:pPr>
      <w:r w:rsidRPr="002D237E">
        <w:rPr>
          <w:b/>
          <w:i w:val="0"/>
        </w:rPr>
        <w:t>Meldeschwellen — Ein- und Austrittskriterien</w:t>
      </w:r>
    </w:p>
    <w:p w14:paraId="06A0F026" w14:textId="7636626E" w:rsidR="0014552F" w:rsidRPr="002D237E" w:rsidRDefault="00FD237E" w:rsidP="00FD237E">
      <w:pPr>
        <w:pStyle w:val="ManualNumPar1"/>
      </w:pPr>
      <w:r>
        <w:t>(1)</w:t>
      </w:r>
      <w:r>
        <w:tab/>
      </w:r>
      <w:r w:rsidR="0014552F" w:rsidRPr="002D237E">
        <w:t>Institute, die die in Artikel 4 Absatz 1 Nummer 145 der Verordnung (EU) Nr. 575/2013 festgelegten Bedingungen erfüllen, beginnen mit ihren Meldungen als kleine und nicht komplexe Institute am ersten Meldestichtag, zu dem diese Bedingungen erfüllt sind. Wenn Institute diese Bedingungen nicht mehr erfüllen, stellen sie die Meldung am ersten Meldestichtag, zu dem die Bedingungen nicht mehr erfüllt sind, ein.</w:t>
      </w:r>
    </w:p>
    <w:p w14:paraId="67299D12" w14:textId="57827614" w:rsidR="0014552F" w:rsidRPr="002D237E" w:rsidRDefault="00FD237E" w:rsidP="00FD237E">
      <w:pPr>
        <w:pStyle w:val="ManualNumPar1"/>
      </w:pPr>
      <w:r>
        <w:t>(2)</w:t>
      </w:r>
      <w:r>
        <w:tab/>
      </w:r>
      <w:r w:rsidR="0014552F" w:rsidRPr="002D237E">
        <w:t xml:space="preserve">Institute, die die in Artikel 4 Absatz 1 Nummer 146 der Verordnung (EU) Nr. 575/2013 festgelegten Bedingungen erfüllen, beginnen mit ihren Meldungen als </w:t>
      </w:r>
      <w:r w:rsidR="0014552F" w:rsidRPr="002D237E">
        <w:lastRenderedPageBreak/>
        <w:t>große Institute am ersten Meldestichtag, zu dem diese Bedingungen erfüllt sind. Wenn Institute diese Bedingungen nicht mehr erfüllen, stellen sie die Meldung am ersten Meldestichtag, zu dem die Bedingungen nicht mehr erfüllt sind, ein.</w:t>
      </w:r>
    </w:p>
    <w:p w14:paraId="427BAF61" w14:textId="4BE65756" w:rsidR="0014552F" w:rsidRPr="002D237E" w:rsidRDefault="00FD237E" w:rsidP="00FD237E">
      <w:pPr>
        <w:pStyle w:val="ManualNumPar1"/>
      </w:pPr>
      <w:r>
        <w:t>(3)</w:t>
      </w:r>
      <w:r>
        <w:tab/>
      </w:r>
      <w:r w:rsidR="0014552F" w:rsidRPr="002D237E">
        <w:t>Wurden die in dieser Verordnung festgelegten Meldeschwellen an zwei aufeinanderfolgenden Meldestichtagen überschritten, melden die Institute die Angaben, für die diese Schwellen gelten, ab dem darauffolgenden Meldestichtag. Institute können die Meldung von Angaben, für die die in dieser Verordnung festgelegten Meldeschwellen gelten, ab dem nächsten Meldestichtag einstellen, wenn sie die betreffenden Schwellen an drei aufeinanderfolgenden Meldestichtagen unterschritten haben.</w:t>
      </w:r>
    </w:p>
    <w:p w14:paraId="1E03EF09" w14:textId="77777777" w:rsidR="0014552F" w:rsidRPr="002D237E" w:rsidRDefault="0014552F" w:rsidP="0014552F">
      <w:pPr>
        <w:pStyle w:val="Titrearticle"/>
      </w:pPr>
      <w:r w:rsidRPr="002D237E">
        <w:t xml:space="preserve">Artikel </w:t>
      </w:r>
      <w:r w:rsidR="001F45A3">
        <w:fldChar w:fldCharType="begin"/>
      </w:r>
      <w:r w:rsidR="001F45A3">
        <w:instrText xml:space="preserve"> seq article </w:instrText>
      </w:r>
      <w:r w:rsidR="001F45A3">
        <w:fldChar w:fldCharType="separate"/>
      </w:r>
      <w:r w:rsidRPr="002D237E">
        <w:t>5</w:t>
      </w:r>
      <w:r w:rsidR="001F45A3">
        <w:fldChar w:fldCharType="end"/>
      </w:r>
    </w:p>
    <w:p w14:paraId="17F5FB19" w14:textId="77777777" w:rsidR="0014552F" w:rsidRPr="002D237E" w:rsidRDefault="0014552F" w:rsidP="0014552F">
      <w:pPr>
        <w:pStyle w:val="Titrearticle"/>
        <w:spacing w:before="120"/>
        <w:rPr>
          <w:b/>
          <w:i w:val="0"/>
        </w:rPr>
      </w:pPr>
      <w:r w:rsidRPr="002D237E">
        <w:rPr>
          <w:b/>
          <w:i w:val="0"/>
        </w:rPr>
        <w:t xml:space="preserve">Meldung von Eigenmitteln und Eigenmittelanforderungen auf Einzelbasis - vierteljährliche Meldungen </w:t>
      </w:r>
    </w:p>
    <w:p w14:paraId="52AEA4DB" w14:textId="737C5513" w:rsidR="0014552F" w:rsidRPr="002D237E" w:rsidRDefault="00FD237E" w:rsidP="00FD237E">
      <w:pPr>
        <w:pStyle w:val="ManualNumPar1"/>
      </w:pPr>
      <w:r>
        <w:t>(1)</w:t>
      </w:r>
      <w:r>
        <w:tab/>
      </w:r>
      <w:r w:rsidR="0014552F" w:rsidRPr="002D237E">
        <w:t>Für die Meldung von Eigenmitteln und Eigenmittelanforderungen gemäß Artikel 430 Absatz 1 Buchstabe a der Verordnung (EU) Nr. 575/2013 auf Einzelbasis übermitteln die Institute die in diesem Artikel genannten Angaben in vierteljährlichen Intervallen.</w:t>
      </w:r>
    </w:p>
    <w:p w14:paraId="10F736EF" w14:textId="7390F1DC" w:rsidR="0014552F" w:rsidRPr="002D237E" w:rsidRDefault="00FD237E" w:rsidP="00FD237E">
      <w:pPr>
        <w:pStyle w:val="ManualNumPar1"/>
      </w:pPr>
      <w:r>
        <w:t>(2)</w:t>
      </w:r>
      <w:r>
        <w:tab/>
      </w:r>
      <w:r w:rsidR="0014552F" w:rsidRPr="002D237E">
        <w:t>Die in Anhang I Meldebögen 1 bis 5 genannten Angaben zu Eigenmitteln und Eigenmittelanforderungen übermitteln die Institute gemäß den Erläuterungen in Anhang II Teil II Nummer 1.</w:t>
      </w:r>
    </w:p>
    <w:p w14:paraId="77032C56" w14:textId="351DF802" w:rsidR="0014552F" w:rsidRPr="002D237E" w:rsidRDefault="00FD237E" w:rsidP="00FD237E">
      <w:pPr>
        <w:pStyle w:val="ManualNumPar1"/>
      </w:pPr>
      <w:r>
        <w:t>(3)</w:t>
      </w:r>
      <w:r>
        <w:tab/>
      </w:r>
      <w:r w:rsidR="0014552F" w:rsidRPr="002D237E">
        <w:t>Die in Anhang I Meldebogen 7 genannten Angaben zu Kredit- und Gegenparteiausfallrisiken, bei denen nach dem Standardansatz verfahren wird, übermitteln die Institute gemäß den Erläuterungen in Anhang II Teil II Nummer 3.2.</w:t>
      </w:r>
    </w:p>
    <w:p w14:paraId="4FC8E450" w14:textId="5D7B1127" w:rsidR="0014552F" w:rsidRPr="002D237E" w:rsidRDefault="00FD237E" w:rsidP="00FD237E">
      <w:pPr>
        <w:pStyle w:val="ManualNumPar1"/>
      </w:pPr>
      <w:r>
        <w:t>(4)</w:t>
      </w:r>
      <w:r>
        <w:tab/>
      </w:r>
      <w:r w:rsidR="0014552F" w:rsidRPr="002D237E">
        <w:t>Die in Anhang I Meldebögen 8.1 und 8.2 genannten Angaben zu Kredit- und Gegenparteiausfallrisiken, bei denen nach dem IRB-Ansatz verfahren wird, übermitteln die Institute gemäß den Erläuterungen in Anhang II Teil II Nummer 3.3.</w:t>
      </w:r>
    </w:p>
    <w:p w14:paraId="68EBC1AD" w14:textId="3983E9A2" w:rsidR="0014552F" w:rsidRPr="002D237E" w:rsidRDefault="00FD237E" w:rsidP="00FD237E">
      <w:pPr>
        <w:pStyle w:val="ManualNumPar1"/>
      </w:pPr>
      <w:r>
        <w:t>(5)</w:t>
      </w:r>
      <w:r>
        <w:tab/>
      </w:r>
      <w:r w:rsidR="0014552F" w:rsidRPr="002D237E">
        <w:t xml:space="preserve">Die in Anhang I Meldebogen 9 genannten Angaben zur geographischen Aufgliederung der Risikopositionen nach Ländern und die auf Gesamtebene aggregierten Angaben übermitteln die Institute gemäß den Erläuterungen in Anhang II Teil II Nummer 3.4. </w:t>
      </w:r>
    </w:p>
    <w:p w14:paraId="37720A47" w14:textId="380C1EA6" w:rsidR="0014552F" w:rsidRPr="002D237E" w:rsidRDefault="0014552F" w:rsidP="006B3AF7">
      <w:pPr>
        <w:pStyle w:val="Text1"/>
      </w:pPr>
      <w:r w:rsidRPr="002D237E">
        <w:t xml:space="preserve">Die in den Meldebögen 9.1 und 9.2 genannten Angaben, insbesondere die Angaben zur geographischen Aufgliederung der Risikopositionen nach Ländern, übermitteln die Institute, wenn die gemäß Anhang I Meldebogen 4 Zeile 0850 gemeldeten ausländischen ursprünglichen Risikopositionen über alle Länder und Risikopositionsklassen hinweg 10 % oder mehr der gemäß Anhang I Meldebogen 4 Zeile 0860 gemeldeten gesamten inländischen und ausländischen ursprünglichen Risikopositionen betragen. Risikopositionen gelten als inländisch, wenn die zugehörige Gegenpartei ihren Sitz in dem Mitgliedstaat unterhält, in dem auch das Institut seinen Sitz hat. </w:t>
      </w:r>
    </w:p>
    <w:p w14:paraId="2D010602" w14:textId="678AF76C" w:rsidR="0014552F" w:rsidRPr="002D237E" w:rsidRDefault="0014552F" w:rsidP="006B3AF7">
      <w:pPr>
        <w:pStyle w:val="Text1"/>
      </w:pPr>
      <w:r w:rsidRPr="002D237E">
        <w:t>Es gelten die in Artikel 4 genannten Ein- und Austrittskriterien.</w:t>
      </w:r>
    </w:p>
    <w:p w14:paraId="1B5047C1" w14:textId="2A883D6C" w:rsidR="0014552F" w:rsidRPr="002D237E" w:rsidRDefault="00FD237E" w:rsidP="00FD237E">
      <w:pPr>
        <w:pStyle w:val="ManualNumPar1"/>
      </w:pPr>
      <w:r>
        <w:t>(6)</w:t>
      </w:r>
      <w:r>
        <w:tab/>
      </w:r>
      <w:r w:rsidR="0014552F" w:rsidRPr="002D237E">
        <w:t>Die in Anhang I Meldebögen 34.01 bis 34.05 und 34.08 bis 34.10 genannten Angaben zu Gegenparteiausfallrisiken übermitteln die Institute gemäß den Erläuterungen in Anhang II Teil II Nummer 3.9.</w:t>
      </w:r>
    </w:p>
    <w:p w14:paraId="71DD8676" w14:textId="6BE3AED2" w:rsidR="0014552F" w:rsidRPr="002D237E" w:rsidRDefault="00FD237E" w:rsidP="00FD237E">
      <w:pPr>
        <w:pStyle w:val="ManualNumPar1"/>
      </w:pPr>
      <w:r>
        <w:lastRenderedPageBreak/>
        <w:t>(7)</w:t>
      </w:r>
      <w:r>
        <w:tab/>
      </w:r>
      <w:r w:rsidR="0014552F" w:rsidRPr="002D237E">
        <w:t>Institute, die gemäß Teil 3 Titel II Kapitel 6 Abschnitte 3 und 6 der Verordnung (EU) Nr. 575/2013 bei der Berechnung von Gegenparteiausfallrisiken nach dem Standardansatz oder der auf einem internen Modell beruhenden Methode verfahren, übermitteln die in Anhang I Meldebogen 34.06 genannten Angaben zu Gegenparteiausfallrisiken gemäß den Erläuterungen in Anhang II, Teil II, Nummer 3.9.7.</w:t>
      </w:r>
    </w:p>
    <w:p w14:paraId="5A7C446B" w14:textId="528F6352" w:rsidR="0014552F" w:rsidRPr="002D237E" w:rsidRDefault="00FD237E" w:rsidP="00FD237E">
      <w:pPr>
        <w:pStyle w:val="ManualNumPar1"/>
      </w:pPr>
      <w:r>
        <w:t>(8)</w:t>
      </w:r>
      <w:r>
        <w:tab/>
      </w:r>
      <w:r w:rsidR="0014552F" w:rsidRPr="002D237E">
        <w:t>Die in Anhang I Meldebogen 10 genannten Angaben zu Beteiligungspositionen, bei denen nach dem IRB-Ansatz verfahren wird, übermitteln die Institute gemäß den Erläuterungen in Anhang II Teil II Nummer 3.5.</w:t>
      </w:r>
    </w:p>
    <w:p w14:paraId="6C5997E8" w14:textId="72F81408" w:rsidR="0014552F" w:rsidRPr="002D237E" w:rsidRDefault="00FD237E" w:rsidP="00FD237E">
      <w:pPr>
        <w:pStyle w:val="ManualNumPar1"/>
      </w:pPr>
      <w:r>
        <w:t>(9)</w:t>
      </w:r>
      <w:r>
        <w:tab/>
      </w:r>
      <w:r w:rsidR="0014552F" w:rsidRPr="002D237E">
        <w:t>Die in Anhang I Meldebogen 11 genannten Angaben zu Abwicklungsrisiken übermitteln die Institute gemäß den Erläuterungen in Anhang II Teil II Nummer 3.6.</w:t>
      </w:r>
    </w:p>
    <w:p w14:paraId="442593B8" w14:textId="13DD6068" w:rsidR="0014552F" w:rsidRPr="002D237E" w:rsidRDefault="00FD237E" w:rsidP="00FD237E">
      <w:pPr>
        <w:pStyle w:val="ManualNumPar1"/>
      </w:pPr>
      <w:r>
        <w:t>(10)</w:t>
      </w:r>
      <w:r>
        <w:tab/>
      </w:r>
      <w:r w:rsidR="0014552F" w:rsidRPr="002D237E">
        <w:t>Die in Anhang I Meldebogen 13.01 genannten Angaben zu Risikopositionen aus Verbriefungen übermitteln die Institute gemäß den Erläuterungen in Anhang II Teil II Nummer 3.7.</w:t>
      </w:r>
    </w:p>
    <w:p w14:paraId="70A0DE2C" w14:textId="0916E692" w:rsidR="0014552F" w:rsidRPr="002D237E" w:rsidRDefault="00FD237E" w:rsidP="00FD237E">
      <w:pPr>
        <w:pStyle w:val="ManualNumPar1"/>
      </w:pPr>
      <w:r>
        <w:t>(11)</w:t>
      </w:r>
      <w:r>
        <w:tab/>
      </w:r>
      <w:r w:rsidR="0014552F" w:rsidRPr="002D237E">
        <w:t>Die in Anhang I Meldebogen 16 genannten Angaben zu Eigenmittelanforderungen und zu Verlusten im Zusammenhang mit operationellen Risiken übermitteln die Institute gemäß den Erläuterungen in Anhang II Teil II Nummer 4.1.</w:t>
      </w:r>
    </w:p>
    <w:p w14:paraId="66782023" w14:textId="47820AA1" w:rsidR="0014552F" w:rsidRPr="002D237E" w:rsidRDefault="00FD237E" w:rsidP="00FD237E">
      <w:pPr>
        <w:pStyle w:val="ManualNumPar1"/>
      </w:pPr>
      <w:r>
        <w:t>(12)</w:t>
      </w:r>
      <w:r>
        <w:tab/>
      </w:r>
      <w:r w:rsidR="0014552F" w:rsidRPr="002D237E">
        <w:t>Die in Anhang I Meldebögen 18 bis 24 genannten Angaben zu Eigenmittelanforderungen im Zusammenhang mit dem Marktrisiko übermitteln die Institute gemäß den Erläuterungen in Anhang II Teil II Nummern 5.1 bis 5.7.</w:t>
      </w:r>
    </w:p>
    <w:p w14:paraId="2975DD1F" w14:textId="3D77D8A8" w:rsidR="0014552F" w:rsidRPr="002D237E" w:rsidRDefault="00FD237E" w:rsidP="00FD237E">
      <w:pPr>
        <w:pStyle w:val="ManualNumPar1"/>
      </w:pPr>
      <w:r>
        <w:t>(13)</w:t>
      </w:r>
      <w:r>
        <w:tab/>
      </w:r>
      <w:r w:rsidR="0014552F" w:rsidRPr="002D237E">
        <w:t>Die in Anhang I Meldebogen 25 genannten Angaben zu Eigenmittelanforderungen im Zusammenhang mit dem Risiko einer Anpassung der Kreditbewertung übermitteln die Institute gemäß den Erläuterungen in Anhang II Teil II Nummer 5.8.</w:t>
      </w:r>
    </w:p>
    <w:p w14:paraId="29B0B226" w14:textId="627EE315" w:rsidR="0014552F" w:rsidRPr="002D237E" w:rsidRDefault="00FD237E" w:rsidP="00FD237E">
      <w:pPr>
        <w:pStyle w:val="ManualNumPar1"/>
      </w:pPr>
      <w:r>
        <w:t>(14)</w:t>
      </w:r>
      <w:r>
        <w:tab/>
      </w:r>
      <w:r w:rsidR="0014552F" w:rsidRPr="002D237E">
        <w:t>Die in Anhang I Meldebogen 32 genannten Angaben zur vorsichtigen Bewertung übermitteln die Institute gemäß den Erläuterungen in Anhang II Teil II Nummer 6 wie folgt:</w:t>
      </w:r>
    </w:p>
    <w:p w14:paraId="7AAF2502" w14:textId="77777777" w:rsidR="0014552F" w:rsidRPr="002D237E" w:rsidRDefault="0014552F" w:rsidP="0014552F">
      <w:pPr>
        <w:pStyle w:val="Point1"/>
      </w:pPr>
      <w:r w:rsidRPr="002D237E">
        <w:t>a)</w:t>
      </w:r>
      <w:r w:rsidRPr="002D237E">
        <w:tab/>
        <w:t>Alle Institute übermitteln die in Anhang I Meldebogen 32.1 genannten Angaben gemäß den Erläuterungen in Anhang II Teil II Nummer 6.</w:t>
      </w:r>
    </w:p>
    <w:p w14:paraId="2C2BA953" w14:textId="77777777" w:rsidR="0014552F" w:rsidRPr="002D237E" w:rsidRDefault="0014552F" w:rsidP="0014552F">
      <w:pPr>
        <w:pStyle w:val="Point1"/>
      </w:pPr>
      <w:r w:rsidRPr="002D237E">
        <w:t>b)</w:t>
      </w:r>
      <w:r w:rsidRPr="002D237E">
        <w:tab/>
        <w:t>Institute, die nach Maßgabe der Delegierten Verordnung (EU) 2016/101 der Kommission</w:t>
      </w:r>
      <w:r w:rsidRPr="002D237E">
        <w:rPr>
          <w:rStyle w:val="FootnoteReference"/>
        </w:rPr>
        <w:footnoteReference w:id="9"/>
      </w:r>
      <w:r w:rsidRPr="002D237E">
        <w:t xml:space="preserve"> das Kernkonzept anwenden, übermitteln neben den unter Buchstabe a genannten Angaben auch die in Anhang I Meldebogen 32.2 genannten Angaben und verfahren dabei gemäß den Erläuterungen in Anhang II Teil II, Nummer 6.</w:t>
      </w:r>
    </w:p>
    <w:p w14:paraId="220BA8B3" w14:textId="77777777" w:rsidR="0014552F" w:rsidRPr="002D237E" w:rsidRDefault="0014552F" w:rsidP="0014552F">
      <w:pPr>
        <w:pStyle w:val="Point1"/>
      </w:pPr>
      <w:r w:rsidRPr="002D237E">
        <w:t>c)</w:t>
      </w:r>
      <w:r w:rsidRPr="002D237E">
        <w:tab/>
        <w:t>Institute, die nach Maßgabe der Delegierten Verordnung (EU) 2016/101 der Kommission das Kernkonzept anwenden und die in Artikel 4 Absatz 1 der genannten Verordnung festgelegte Obergrenze überschreiten, übermitteln neben den unter den Buchstaben a und b genannten Angaben auch die in Anhang I Meldebögen 32.3 und 32.4 genannten Angaben und verfahren dabei nach den Erläuterungen in Anhang II Teil II, Nummer 6.</w:t>
      </w:r>
    </w:p>
    <w:p w14:paraId="3453A2CF" w14:textId="77777777" w:rsidR="0014552F" w:rsidRPr="002D237E" w:rsidRDefault="0014552F" w:rsidP="0014552F">
      <w:pPr>
        <w:pStyle w:val="Text1"/>
      </w:pPr>
      <w:r w:rsidRPr="002D237E">
        <w:t>Die in Artikel 4 festgelegten Ein- und Austrittskriterien gelten für die Zwecke des vorliegenden Absatzes nicht.</w:t>
      </w:r>
    </w:p>
    <w:p w14:paraId="3329EA93" w14:textId="4D8FC3D0" w:rsidR="00725875" w:rsidRPr="002D237E" w:rsidRDefault="00FD237E" w:rsidP="00FD237E">
      <w:pPr>
        <w:pStyle w:val="ManualNumPar1"/>
      </w:pPr>
      <w:r>
        <w:lastRenderedPageBreak/>
        <w:t>(15)</w:t>
      </w:r>
      <w:r>
        <w:tab/>
      </w:r>
      <w:r w:rsidR="0014552F" w:rsidRPr="002D237E">
        <w:t>Die in Anhang I Meldebögen 35.01, 35.02 und 35.03 genannten Angaben zur aufsichtsrechtlichen Letztsicherung für notleidende Risikopositionen übermitteln die Institute gemäß den Erläuterungen in Anhang II Teil II Nummer 8.</w:t>
      </w:r>
    </w:p>
    <w:p w14:paraId="2263BAFA" w14:textId="77777777" w:rsidR="004A4E65" w:rsidRPr="002D237E" w:rsidRDefault="004A4E65" w:rsidP="004A4E65">
      <w:pPr>
        <w:pStyle w:val="Titrearticle"/>
      </w:pPr>
      <w:r w:rsidRPr="002D237E">
        <w:t xml:space="preserve">Artikel </w:t>
      </w:r>
      <w:r w:rsidR="001F45A3">
        <w:fldChar w:fldCharType="begin"/>
      </w:r>
      <w:r w:rsidR="001F45A3">
        <w:instrText xml:space="preserve"> seq article </w:instrText>
      </w:r>
      <w:r w:rsidR="001F45A3">
        <w:fldChar w:fldCharType="separate"/>
      </w:r>
      <w:r w:rsidRPr="002D237E">
        <w:t>6</w:t>
      </w:r>
      <w:r w:rsidR="001F45A3">
        <w:fldChar w:fldCharType="end"/>
      </w:r>
      <w:r w:rsidRPr="002D237E">
        <w:t xml:space="preserve"> </w:t>
      </w:r>
    </w:p>
    <w:p w14:paraId="6708BD45" w14:textId="77777777" w:rsidR="004A4E65" w:rsidRPr="002D237E" w:rsidRDefault="004A4E65" w:rsidP="004A4E65">
      <w:pPr>
        <w:pStyle w:val="Titrearticle"/>
        <w:rPr>
          <w:b/>
          <w:i w:val="0"/>
        </w:rPr>
      </w:pPr>
      <w:r w:rsidRPr="002D237E">
        <w:rPr>
          <w:b/>
          <w:i w:val="0"/>
        </w:rPr>
        <w:t xml:space="preserve">Meldung von Eigenmitteln und Eigenmittelanforderungen auf Einzelbasis - halbjährliche Meldungen </w:t>
      </w:r>
    </w:p>
    <w:p w14:paraId="5551DF99" w14:textId="78B9E9C4" w:rsidR="004A4E65" w:rsidRPr="002D237E" w:rsidRDefault="00FD237E" w:rsidP="00FD237E">
      <w:pPr>
        <w:pStyle w:val="ManualNumPar1"/>
      </w:pPr>
      <w:r>
        <w:t>(1)</w:t>
      </w:r>
      <w:r>
        <w:tab/>
      </w:r>
      <w:r w:rsidR="004A4E65" w:rsidRPr="002D237E">
        <w:t xml:space="preserve">Für die Meldung von Eigenmitteln und Eigenmittelanforderungen gemäß Artikel 430 Absatz 1 Buchstabe a der Verordnung (EU) Nr. 575/2013 auf Einzelbasis übermitteln die Institute die in diesem Artikel genannten Angaben in halbjährlichen Intervallen. </w:t>
      </w:r>
    </w:p>
    <w:p w14:paraId="40FBE120" w14:textId="5C41339A" w:rsidR="004A4E65" w:rsidRPr="002D237E" w:rsidRDefault="00FD237E" w:rsidP="00FD237E">
      <w:pPr>
        <w:pStyle w:val="ManualNumPar1"/>
      </w:pPr>
      <w:r>
        <w:t>(2)</w:t>
      </w:r>
      <w:r>
        <w:tab/>
      </w:r>
      <w:r w:rsidR="004A4E65" w:rsidRPr="002D237E">
        <w:t>Die in Anhang I Meldebögen 14 und 14.01 genannten Angaben zu Risikopositionen aus Verbriefungen übermitteln die Institute gemäß den Erläuterungen in Anhang II Teil II Nummer 3.8; hiervon ausgenommen sind Institute, die in dem Land, in dem sie Eigenmittelanforderungen unterliegen, auch Teil einer Gruppe sind.</w:t>
      </w:r>
    </w:p>
    <w:p w14:paraId="19F85BB9" w14:textId="63783530" w:rsidR="004A4E65" w:rsidRPr="002D237E" w:rsidRDefault="00FD237E" w:rsidP="00FD237E">
      <w:pPr>
        <w:pStyle w:val="ManualNumPar1"/>
      </w:pPr>
      <w:r>
        <w:t>(3)</w:t>
      </w:r>
      <w:r>
        <w:tab/>
      </w:r>
      <w:r w:rsidR="004A4E65" w:rsidRPr="002D237E">
        <w:t>Angaben zu Risikopositionen gegenüber Staaten übermitteln die Institute wie folgt:</w:t>
      </w:r>
    </w:p>
    <w:p w14:paraId="67E38C8A" w14:textId="77777777" w:rsidR="004A4E65" w:rsidRPr="002D237E" w:rsidRDefault="004A4E65" w:rsidP="004A4E65">
      <w:pPr>
        <w:pStyle w:val="Point1"/>
      </w:pPr>
      <w:r w:rsidRPr="002D237E">
        <w:t>a)</w:t>
      </w:r>
      <w:r w:rsidRPr="002D237E">
        <w:tab/>
        <w:t>Ist der aggregierte Buchwert finanzieller Vermögenswerte bei Gegenparteien, bei denen es sich um Staaten handelt, größer oder gleich 1 % der Summe des Gesamtbuchwerts von ‚Schuldverschreibungen‘ und ‚Darlehen und Krediten‘, so übermitteln die Institute die in Anhang I Meldebogen 33 genannten Angaben gemäß den Erläuterungen in Anhang II Teil II Nummer 7 und folgen zur Berechnung der jeweiligen Werte in Bezug auf Meldebogen 4 in Anhang III den Erläuterungen in Anhang V oder – falls relevant – den Erläuterungen in Anhang IV.</w:t>
      </w:r>
    </w:p>
    <w:p w14:paraId="1F937D26" w14:textId="77777777" w:rsidR="004A4E65" w:rsidRPr="002D237E" w:rsidRDefault="004A4E65" w:rsidP="004A4E65">
      <w:pPr>
        <w:pStyle w:val="Point1"/>
      </w:pPr>
      <w:r w:rsidRPr="002D237E">
        <w:t>b)</w:t>
      </w:r>
      <w:r w:rsidRPr="002D237E">
        <w:tab/>
        <w:t>Liegt der Wert inländischer Risikopositionen aus nichtderivativen finanziellen Vermögenswerten, die in Anhang I Meldebogen 33 Zeile 0010 Spalte 0010 ausgewiesen werden, unter 90 % des Werts der für denselben Datenpunkt ausgewiesenen in- und ausländischen Risikopositionen, so übermitteln Institute, die die unter Buchstabe a genannten Bedingungen erfüllen, die in Anhang I Meldebogen 33 genannten Angaben gemäß den Erläuterungen in Anhang II Teil II Nummer 7 und schlüsseln diese vollumfänglich nach Ländern auf.</w:t>
      </w:r>
    </w:p>
    <w:p w14:paraId="7834EDAC" w14:textId="77777777" w:rsidR="004A4E65" w:rsidRPr="002D237E" w:rsidRDefault="004A4E65" w:rsidP="004A4E65">
      <w:pPr>
        <w:pStyle w:val="Point1"/>
      </w:pPr>
      <w:r w:rsidRPr="002D237E">
        <w:t>c)</w:t>
      </w:r>
      <w:r w:rsidRPr="002D237E">
        <w:tab/>
        <w:t>Institute, die die unter Buchstabe a genannten Bedingungen erfüllen und den unter Buchstabe b genannten Bedingungen nicht entsprechen, übermitteln die in Meldebogen 33 genannten Angaben gemäß den Erläuterungen in Anhang II Teil II Nummer 7 und aggregieren die Risikopositionen sowohl auf</w:t>
      </w:r>
    </w:p>
    <w:p w14:paraId="218EDBA5" w14:textId="77777777" w:rsidR="004A4E65" w:rsidRPr="002D237E" w:rsidRDefault="004A4E65" w:rsidP="004A4E65">
      <w:pPr>
        <w:pStyle w:val="Point1"/>
        <w:ind w:firstLine="0"/>
      </w:pPr>
      <w:r w:rsidRPr="002D237E">
        <w:t>i) Gesamtebene als auch auf</w:t>
      </w:r>
    </w:p>
    <w:p w14:paraId="008CFBAC" w14:textId="77777777" w:rsidR="004A4E65" w:rsidRPr="002D237E" w:rsidRDefault="004A4E65" w:rsidP="004A4E65">
      <w:pPr>
        <w:pStyle w:val="Point1"/>
        <w:ind w:firstLine="0"/>
      </w:pPr>
      <w:r w:rsidRPr="002D237E">
        <w:t>ii) inländischer Ebene.</w:t>
      </w:r>
    </w:p>
    <w:p w14:paraId="3B9FA7D6" w14:textId="77777777" w:rsidR="004A4E65" w:rsidRPr="002D237E" w:rsidRDefault="004A4E65" w:rsidP="004A4E65">
      <w:pPr>
        <w:pStyle w:val="Text1"/>
      </w:pPr>
      <w:r w:rsidRPr="002D237E">
        <w:t>Es gelten die in Artikel 4 Absatz 3 genannten Ein- und Austrittskriterien.</w:t>
      </w:r>
    </w:p>
    <w:p w14:paraId="76F698FA" w14:textId="21AA719C" w:rsidR="004A4E65" w:rsidRPr="002D237E" w:rsidRDefault="00FD237E" w:rsidP="00FD237E">
      <w:pPr>
        <w:pStyle w:val="ManualNumPar1"/>
      </w:pPr>
      <w:r>
        <w:t>(4)</w:t>
      </w:r>
      <w:r>
        <w:tab/>
      </w:r>
      <w:r w:rsidR="004A4E65" w:rsidRPr="002D237E">
        <w:t>Wesentliche Verluste im Zusammenhang mit operationellen Risiken sind wie folgt anzugeben:</w:t>
      </w:r>
    </w:p>
    <w:p w14:paraId="6D57AB20" w14:textId="77777777" w:rsidR="004A4E65" w:rsidRPr="002D237E" w:rsidRDefault="004A4E65" w:rsidP="004A4E65">
      <w:pPr>
        <w:pStyle w:val="Point1"/>
      </w:pPr>
      <w:r w:rsidRPr="002D237E">
        <w:t>a)</w:t>
      </w:r>
      <w:r w:rsidRPr="002D237E">
        <w:tab/>
        <w:t xml:space="preserve">Institute, die die Eigenmittelanforderungen für operationelle Risiken nach Teil 3 Titel III Kapitel 4 der Verordnung (EU) Nr. 575/2013 berechnen, </w:t>
      </w:r>
      <w:r w:rsidRPr="002D237E">
        <w:lastRenderedPageBreak/>
        <w:t>übermitteln diese Angaben mit den Meldebögen 17.01 und 17.02 in Anhang I und folgen dabei den Erläuterungen in Anhang II Teil II Nummer 4.2.</w:t>
      </w:r>
    </w:p>
    <w:p w14:paraId="574CD1A6" w14:textId="77777777" w:rsidR="004A4E65" w:rsidRPr="002D237E" w:rsidRDefault="004A4E65" w:rsidP="004A4E65">
      <w:pPr>
        <w:pStyle w:val="Point1"/>
      </w:pPr>
      <w:r w:rsidRPr="002D237E">
        <w:t>b)</w:t>
      </w:r>
      <w:r w:rsidRPr="002D237E">
        <w:tab/>
        <w:t>Große Institute, die die Eigenmittelanforderungen für operationelle Risiken nach Teil 3 Titel III Kapitel 3 der Verordnung (EU) Nr. 575/2013 berechnen, übermitteln diese Angaben mit den Meldebögen 17.01 und 17.02 in Anhang I und folgen dabei den Erläuterungen in Anhang II Teil II Nummer 4.2.</w:t>
      </w:r>
    </w:p>
    <w:p w14:paraId="3913C437" w14:textId="77777777" w:rsidR="004A4E65" w:rsidRPr="002D237E" w:rsidRDefault="004A4E65" w:rsidP="004A4E65">
      <w:pPr>
        <w:pStyle w:val="Point1"/>
      </w:pPr>
      <w:r w:rsidRPr="002D237E">
        <w:t>c)</w:t>
      </w:r>
      <w:r w:rsidRPr="002D237E">
        <w:tab/>
        <w:t>Institute, die keine großen Institute sind und die Eigenmittelanforderungen für operationelle Risiken nach Teil 3 Titel III Kapitel 3 der Verordnung (EU) Nr. 575/2013 berechnen, übermitteln gemäß den Erläuterungen in Anhang II Teil II Nummer 4.2 die folgenden Angaben:</w:t>
      </w:r>
    </w:p>
    <w:p w14:paraId="465B55EF" w14:textId="77777777" w:rsidR="004A4E65" w:rsidRPr="002D237E" w:rsidRDefault="004A4E65" w:rsidP="004A4E65">
      <w:pPr>
        <w:pStyle w:val="Point2"/>
      </w:pPr>
      <w:r w:rsidRPr="002D237E">
        <w:t>i)</w:t>
      </w:r>
      <w:r w:rsidRPr="002D237E">
        <w:tab/>
        <w:t>die in Anhang I Meldebogen 17.01 Spalte 0080 genannten Angaben in folgenden Zeilen:</w:t>
      </w:r>
    </w:p>
    <w:p w14:paraId="38FC9781" w14:textId="77777777" w:rsidR="004A4E65" w:rsidRPr="002D237E" w:rsidRDefault="004A4E65" w:rsidP="004A4E65">
      <w:pPr>
        <w:pStyle w:val="Point3"/>
      </w:pPr>
      <w:r w:rsidRPr="002D237E">
        <w:t>-</w:t>
      </w:r>
      <w:r w:rsidRPr="002D237E">
        <w:tab/>
        <w:t>Anzahl der Ereignisse (neue Ereignisse) (Zeile 0910),</w:t>
      </w:r>
    </w:p>
    <w:p w14:paraId="4D4CF5FF" w14:textId="77777777" w:rsidR="004A4E65" w:rsidRPr="002D237E" w:rsidRDefault="004A4E65" w:rsidP="004A4E65">
      <w:pPr>
        <w:pStyle w:val="Point3"/>
      </w:pPr>
      <w:r w:rsidRPr="002D237E">
        <w:t>-</w:t>
      </w:r>
      <w:r w:rsidRPr="002D237E">
        <w:tab/>
        <w:t>Bruttoverlustbetrag (neue Ereignisse) (Zeile 0920),</w:t>
      </w:r>
    </w:p>
    <w:p w14:paraId="1C861214" w14:textId="77777777" w:rsidR="004A4E65" w:rsidRPr="002D237E" w:rsidRDefault="004A4E65" w:rsidP="004A4E65">
      <w:pPr>
        <w:pStyle w:val="Point3"/>
      </w:pPr>
      <w:r w:rsidRPr="002D237E">
        <w:t>-</w:t>
      </w:r>
      <w:r w:rsidRPr="002D237E">
        <w:tab/>
        <w:t>Anzahl der Ereignisse mit Verlustanpassung (Zeile 0930),</w:t>
      </w:r>
    </w:p>
    <w:p w14:paraId="5E7045F5" w14:textId="77777777" w:rsidR="004A4E65" w:rsidRPr="002D237E" w:rsidRDefault="004A4E65" w:rsidP="004A4E65">
      <w:pPr>
        <w:pStyle w:val="Point3"/>
      </w:pPr>
      <w:r w:rsidRPr="002D237E">
        <w:t>-</w:t>
      </w:r>
      <w:r w:rsidRPr="002D237E">
        <w:tab/>
        <w:t>Verlustanpassungen für frühere Berichtsperioden (Zeile 0940),</w:t>
      </w:r>
    </w:p>
    <w:p w14:paraId="1438A6CB" w14:textId="77777777" w:rsidR="004A4E65" w:rsidRPr="002D237E" w:rsidRDefault="004A4E65" w:rsidP="004A4E65">
      <w:pPr>
        <w:pStyle w:val="Point3"/>
      </w:pPr>
      <w:r w:rsidRPr="002D237E">
        <w:t>-</w:t>
      </w:r>
      <w:r w:rsidRPr="002D237E">
        <w:tab/>
        <w:t xml:space="preserve">größter Einzelverlust (Zeile 0950), </w:t>
      </w:r>
    </w:p>
    <w:p w14:paraId="5C63649B" w14:textId="77777777" w:rsidR="004A4E65" w:rsidRPr="002D237E" w:rsidRDefault="004A4E65" w:rsidP="004A4E65">
      <w:pPr>
        <w:pStyle w:val="Point3"/>
      </w:pPr>
      <w:r w:rsidRPr="002D237E">
        <w:t>-</w:t>
      </w:r>
      <w:r w:rsidRPr="002D237E">
        <w:tab/>
        <w:t>Summe der fünf größten Verluste (Zeile 0960),</w:t>
      </w:r>
    </w:p>
    <w:p w14:paraId="6C176440" w14:textId="77777777" w:rsidR="004A4E65" w:rsidRPr="002D237E" w:rsidRDefault="004A4E65" w:rsidP="004A4E65">
      <w:pPr>
        <w:pStyle w:val="Point3"/>
      </w:pPr>
      <w:r w:rsidRPr="002D237E">
        <w:t>-</w:t>
      </w:r>
      <w:r w:rsidRPr="002D237E">
        <w:tab/>
        <w:t>direkter Gesamtrückfluss von Verlusten (ohne Versicherungsschutz und andere Risikoübertragungsmechanismen) (Zeile 0970),</w:t>
      </w:r>
    </w:p>
    <w:p w14:paraId="586DD233" w14:textId="77777777" w:rsidR="004A4E65" w:rsidRPr="002D237E" w:rsidRDefault="004A4E65" w:rsidP="004A4E65">
      <w:pPr>
        <w:pStyle w:val="Point3"/>
      </w:pPr>
      <w:r w:rsidRPr="002D237E">
        <w:t>-</w:t>
      </w:r>
      <w:r w:rsidRPr="002D237E">
        <w:tab/>
        <w:t xml:space="preserve">Gesamtrückfluss aus Versicherungsschutz und anderen Risikoübertragungsmechanismen (Zeile 0980). </w:t>
      </w:r>
    </w:p>
    <w:p w14:paraId="0825DE8D" w14:textId="77777777" w:rsidR="004A4E65" w:rsidRPr="002D237E" w:rsidRDefault="004A4E65" w:rsidP="004A4E65">
      <w:pPr>
        <w:pStyle w:val="Point2"/>
      </w:pPr>
      <w:r w:rsidRPr="002D237E">
        <w:t>ii)</w:t>
      </w:r>
      <w:r w:rsidRPr="002D237E">
        <w:tab/>
        <w:t>die in Anhang I Meldebogen 17.02 genannten Angaben.</w:t>
      </w:r>
    </w:p>
    <w:p w14:paraId="2FD7698B" w14:textId="77777777" w:rsidR="004A4E65" w:rsidRPr="002D237E" w:rsidRDefault="004A4E65" w:rsidP="004A4E65">
      <w:pPr>
        <w:pStyle w:val="Point1"/>
      </w:pPr>
      <w:r w:rsidRPr="002D237E">
        <w:t>d)</w:t>
      </w:r>
      <w:r w:rsidRPr="002D237E">
        <w:tab/>
        <w:t>Gemäß den Erläuterungen in Anhang II Teil II Punkt 4.2 können die unter Buchstabe c genannten Institute den kompletten Satz der in Anhang I Meldebögen 17.01 und 17.02 genannten Angaben übermitteln.</w:t>
      </w:r>
    </w:p>
    <w:p w14:paraId="75F8B450" w14:textId="77777777" w:rsidR="004A4E65" w:rsidRPr="002D237E" w:rsidRDefault="004A4E65" w:rsidP="004A4E65">
      <w:pPr>
        <w:pStyle w:val="Point1"/>
      </w:pPr>
      <w:r w:rsidRPr="002D237E">
        <w:t>e)</w:t>
      </w:r>
      <w:r w:rsidRPr="002D237E">
        <w:tab/>
        <w:t>Große Institute, die die Eigenmittelanforderungen für operationelle Risiken nach Teil 3 Titel III Kapitel 2 der Verordnung (EU) Nr. 575/2013 berechnen, übermitteln die in Anhang I Meldebögen 17.01 und 17.02 genannten Angaben gemäß den Erläuterungen in Anhang II Teil II Nummer 4.2.</w:t>
      </w:r>
    </w:p>
    <w:p w14:paraId="612A5174" w14:textId="77777777" w:rsidR="004A4E65" w:rsidRPr="002D237E" w:rsidRDefault="004A4E65" w:rsidP="004A4E65">
      <w:pPr>
        <w:pStyle w:val="Point1"/>
      </w:pPr>
      <w:r w:rsidRPr="002D237E">
        <w:t>f)</w:t>
      </w:r>
      <w:r w:rsidRPr="002D237E">
        <w:tab/>
        <w:t>Institute, die keine großen Institute sind und die Eigenmittelanforderungen für operationelle Risiken nach Teil 3 Titel III Kapitel 2 der Verordnung (EU) Nr. 575/2013 berechnen, können die in Anhang I Meldebögen 17.01 und 17.02 genannten Angaben gemäß den Erläuterungen in Anhang II Teil II Nummer 4.2 übermitteln.</w:t>
      </w:r>
    </w:p>
    <w:p w14:paraId="2F83BAAA" w14:textId="77777777" w:rsidR="004A4E65" w:rsidRPr="002D237E" w:rsidRDefault="004A4E65" w:rsidP="004A4E65">
      <w:pPr>
        <w:pStyle w:val="Text1"/>
      </w:pPr>
      <w:r w:rsidRPr="002D237E">
        <w:t>Es gelten die in Artikel 4 Absatz 3 genannten Ein- und Austrittskriterien.</w:t>
      </w:r>
    </w:p>
    <w:p w14:paraId="490166B3" w14:textId="46BFFD2C" w:rsidR="00496B08" w:rsidRPr="002D237E" w:rsidRDefault="00FD237E" w:rsidP="00FD237E">
      <w:pPr>
        <w:pStyle w:val="ManualNumPar1"/>
      </w:pPr>
      <w:r>
        <w:t>(5)</w:t>
      </w:r>
      <w:r>
        <w:tab/>
      </w:r>
      <w:r w:rsidR="004A4E65" w:rsidRPr="002D237E">
        <w:t>Institute, die bei der Berechnung der mit Gegenparteiausfallrisiken behafteten Risikopositionswerte nach dem vereinfachten Standardansatz oder der Ursprungsrisikomethode gemäß Teil 3 Titel</w:t>
      </w:r>
      <w:r w:rsidR="000E0A46">
        <w:t> II Kapitel 6 Abschnitte 4 und 5</w:t>
      </w:r>
      <w:r w:rsidR="004A4E65" w:rsidRPr="002D237E">
        <w:t xml:space="preserve"> der Verordnung (EU) Nr. 575/2013 verfahren, übermitteln die in Anhang I Meldebogen 34.06 genannten Angaben zu Gegenparteiausfallrisiken gemäß den Erläuterungen in Anhang II Teil II, Nummer 3.9.7.</w:t>
      </w:r>
    </w:p>
    <w:p w14:paraId="6414DB48" w14:textId="77777777" w:rsidR="00FE0C02" w:rsidRPr="002D237E" w:rsidRDefault="00FE0C02" w:rsidP="00FE0C02">
      <w:pPr>
        <w:pStyle w:val="Titrearticle"/>
      </w:pPr>
      <w:r w:rsidRPr="002D237E">
        <w:lastRenderedPageBreak/>
        <w:t xml:space="preserve">Artikel </w:t>
      </w:r>
      <w:r w:rsidR="001F45A3">
        <w:fldChar w:fldCharType="begin"/>
      </w:r>
      <w:r w:rsidR="001F45A3">
        <w:instrText xml:space="preserve"> seq article </w:instrText>
      </w:r>
      <w:r w:rsidR="001F45A3">
        <w:fldChar w:fldCharType="separate"/>
      </w:r>
      <w:r w:rsidRPr="002D237E">
        <w:t>7</w:t>
      </w:r>
      <w:r w:rsidR="001F45A3">
        <w:fldChar w:fldCharType="end"/>
      </w:r>
    </w:p>
    <w:p w14:paraId="0F2D57CA" w14:textId="77777777" w:rsidR="00FE0C02" w:rsidRPr="002D237E" w:rsidRDefault="00FE0C02" w:rsidP="00FE0C02">
      <w:pPr>
        <w:pStyle w:val="Titrearticle"/>
        <w:spacing w:before="120"/>
        <w:rPr>
          <w:b/>
          <w:i w:val="0"/>
        </w:rPr>
      </w:pPr>
      <w:r w:rsidRPr="002D237E">
        <w:rPr>
          <w:b/>
          <w:i w:val="0"/>
        </w:rPr>
        <w:t>Meldung von Eigenmitteln und Eigenmittelanforderungen auf konsolidierter Basis</w:t>
      </w:r>
    </w:p>
    <w:p w14:paraId="598D92CF" w14:textId="77777777" w:rsidR="00FE0C02" w:rsidRPr="002D237E" w:rsidRDefault="00FE0C02" w:rsidP="00FE0C02">
      <w:pPr>
        <w:widowControl w:val="0"/>
        <w:autoSpaceDE w:val="0"/>
        <w:autoSpaceDN w:val="0"/>
        <w:spacing w:line="228" w:lineRule="auto"/>
      </w:pPr>
      <w:r w:rsidRPr="002D237E">
        <w:t>Für die Meldung von Eigenmitteln und Eigenmittelanforderungen gemäß Artikel 430 Absatz 1 Buchstabe a der Verordnung (EU) Nr. 575/2013 auf konsolidierter Basis übermitteln die Institute die folgenden Angaben:</w:t>
      </w:r>
    </w:p>
    <w:p w14:paraId="2745F268" w14:textId="77777777" w:rsidR="00FE0C02" w:rsidRPr="002D237E" w:rsidRDefault="00FE0C02" w:rsidP="00FE0C02">
      <w:pPr>
        <w:pStyle w:val="Point1"/>
      </w:pPr>
      <w:r w:rsidRPr="002D237E">
        <w:t>a)</w:t>
      </w:r>
      <w:r w:rsidRPr="002D237E">
        <w:tab/>
        <w:t>die in den Artikeln 5 und 6 dieser Durchführungsverordnung genannten Angaben auf konsolidierter Basis in den dort angegebenen Intervallen und</w:t>
      </w:r>
    </w:p>
    <w:p w14:paraId="41714624" w14:textId="77777777" w:rsidR="00FE0C02" w:rsidRPr="002D237E" w:rsidRDefault="00FE0C02" w:rsidP="00FE0C02">
      <w:pPr>
        <w:pStyle w:val="Point1"/>
      </w:pPr>
      <w:r w:rsidRPr="002D237E">
        <w:t>b)</w:t>
      </w:r>
      <w:r w:rsidRPr="002D237E">
        <w:tab/>
        <w:t>die in Anhang I Meldebogen 6 für die in den Konsolidierungskreis einbezogenen Unternehmen verlangten Angaben gemäß den Erläuterungen in Anhang II Teil II Nummer 2 in halbjährlichen Intervallen.</w:t>
      </w:r>
    </w:p>
    <w:p w14:paraId="319C9C0F" w14:textId="77777777" w:rsidR="00FE0C02" w:rsidRPr="002D237E" w:rsidRDefault="00FE0C02" w:rsidP="00FE0C02">
      <w:pPr>
        <w:pStyle w:val="Titrearticle"/>
      </w:pPr>
      <w:r w:rsidRPr="002D237E">
        <w:t>Artikel 8</w:t>
      </w:r>
    </w:p>
    <w:p w14:paraId="601BC224" w14:textId="77777777" w:rsidR="00FE0C02" w:rsidRPr="002D237E" w:rsidRDefault="00FE0C02" w:rsidP="00FE0C02">
      <w:pPr>
        <w:pStyle w:val="Titrearticle"/>
        <w:rPr>
          <w:b/>
          <w:i w:val="0"/>
        </w:rPr>
      </w:pPr>
      <w:r w:rsidRPr="002D237E">
        <w:rPr>
          <w:b/>
          <w:i w:val="0"/>
        </w:rPr>
        <w:t>Meldung von Eigenmitteln und Eigenmittelanforderungen – zusätzliche Meldepflichten auf Einzel- und auf konsolidierter Basis</w:t>
      </w:r>
    </w:p>
    <w:p w14:paraId="23F3BEFD" w14:textId="1FAC59C0" w:rsidR="00FE0C02" w:rsidRPr="002D237E" w:rsidRDefault="00FD237E" w:rsidP="00FD237E">
      <w:pPr>
        <w:pStyle w:val="ManualNumPar1"/>
      </w:pPr>
      <w:r>
        <w:t>(1)</w:t>
      </w:r>
      <w:r>
        <w:tab/>
      </w:r>
      <w:r w:rsidR="00125634" w:rsidRPr="002D237E">
        <w:t>Institute, die die in Artikel 438 Buchstaben e oder h oder Artikel 452 Buchstaben b, g oder h der Verordnung (EU) Nr. 575/2013 genannten Angaben in den in Artikel 433a oder Artikel 433c genannten Abständen auf Einzelbasis gemäß Artikel 6 oder auf konsolidierter Basis gemäß Artikel 13 der genannten Verordnung liefern müssen, übermitteln die in Anhang I Meldebögen 8.3, 8.4, 8.5, 8.5.1, 8.6, 8.7 und 34.11 der vorliegenden Verordnung genannten Angaben zum Kredit- und Gegenparteiausfallrisiko in den gleichen Intervallen und auf der gleichen Basis und folgen dabei den Erläuterungen in Anhang II Teil II Nummern 3.3 und 3.9.12 der vorliegenden Verordnung.</w:t>
      </w:r>
    </w:p>
    <w:p w14:paraId="58F2B691" w14:textId="6A0FB843" w:rsidR="00FE0C02" w:rsidRPr="002D237E" w:rsidRDefault="00FD237E" w:rsidP="00FD237E">
      <w:pPr>
        <w:pStyle w:val="ManualNumPar1"/>
      </w:pPr>
      <w:r>
        <w:t>(2)</w:t>
      </w:r>
      <w:r>
        <w:tab/>
      </w:r>
      <w:r w:rsidR="00977656" w:rsidRPr="002D237E">
        <w:t>Institute, die die in Artikel 439 Buchstaben l der Verordnung (EU) Nr. 575/2013 genannten Angaben in den in Artikel 433a oder Artikel 433c genannten Abständen auf Einzelbasis gemäß Artikel 6 oder auf konsolidierter Basis gemäß Artikel 13 der genannten Verordnung liefern müssen, übermitteln die in Anhang I Meldebogen 34.07 der vorliegenden Verordnung genannten Angaben zum Gegenparteiausfallrisiko in den gleichen Intervallen und auf der gleichen Basis und folgen dabei den Erläuterungen in Anhang II Teil II Nummer 3.9.8 der vorliegenden Verordnung.</w:t>
      </w:r>
    </w:p>
    <w:p w14:paraId="7252BD87" w14:textId="77777777" w:rsidR="00FE0C02" w:rsidRPr="002D237E" w:rsidRDefault="00FE0C02" w:rsidP="00FE0C02">
      <w:pPr>
        <w:pStyle w:val="Titrearticle"/>
      </w:pPr>
      <w:r w:rsidRPr="002D237E">
        <w:t xml:space="preserve">Artikel </w:t>
      </w:r>
      <w:r w:rsidR="001F45A3">
        <w:fldChar w:fldCharType="begin"/>
      </w:r>
      <w:r w:rsidR="001F45A3">
        <w:instrText xml:space="preserve"> seq article </w:instrText>
      </w:r>
      <w:r w:rsidR="001F45A3">
        <w:fldChar w:fldCharType="separate"/>
      </w:r>
      <w:r w:rsidRPr="002D237E">
        <w:t>9</w:t>
      </w:r>
      <w:r w:rsidR="001F45A3">
        <w:fldChar w:fldCharType="end"/>
      </w:r>
    </w:p>
    <w:p w14:paraId="6B3DD09D" w14:textId="77777777" w:rsidR="00FE0C02" w:rsidRPr="002D237E" w:rsidRDefault="00FE0C02" w:rsidP="00FE0C02">
      <w:pPr>
        <w:pStyle w:val="Titrearticle"/>
        <w:spacing w:before="120"/>
        <w:rPr>
          <w:b/>
          <w:i w:val="0"/>
        </w:rPr>
      </w:pPr>
      <w:r w:rsidRPr="002D237E">
        <w:rPr>
          <w:b/>
          <w:i w:val="0"/>
        </w:rPr>
        <w:t>Meldung von Eigenmitteln und Eigenmittelanforderungen durch Wertpapierfirmen, die unter die Artikel 95 und 96 der Verordnung (EU) Nr. 575/2013 fallen, auf Einzelbasis</w:t>
      </w:r>
    </w:p>
    <w:p w14:paraId="3D78F884" w14:textId="7FA49EBC" w:rsidR="00FE0C02" w:rsidRPr="002D237E" w:rsidRDefault="00FD237E" w:rsidP="00FD237E">
      <w:pPr>
        <w:pStyle w:val="ManualNumPar1"/>
      </w:pPr>
      <w:r>
        <w:t>(1)</w:t>
      </w:r>
      <w:r>
        <w:tab/>
      </w:r>
      <w:r w:rsidR="00FE0C02" w:rsidRPr="002D237E">
        <w:t>Wertpapierfirmen, die die Übergangsbestimmungen des Artikels 57 Absatz 3 der Verordnung (EU) 2019/2033 anwenden, übermitteln ihre Angaben nach Maßgabe des genannten Artikels.</w:t>
      </w:r>
    </w:p>
    <w:p w14:paraId="64E2C5EE" w14:textId="75C81097" w:rsidR="00FE0C02" w:rsidRPr="002D237E" w:rsidRDefault="00FD237E" w:rsidP="00FD237E">
      <w:pPr>
        <w:pStyle w:val="ManualNumPar1"/>
      </w:pPr>
      <w:r>
        <w:t>(2)</w:t>
      </w:r>
      <w:r>
        <w:tab/>
      </w:r>
      <w:r w:rsidR="00FE0C02" w:rsidRPr="002D237E">
        <w:t>Für die Meldung von Eigenmitteln und Eigenmittelanforderungen gemäß Artikel 430 Absatz 1 Buchstabe a der Verordnung (EU) Nr. 575/2013 auf Einzelbasis übermitteln Wertpapierfirmen, die unter Verweis auf Artikel 95 der Verordnung (EU) Nr. 575/2013 von Artikel 57 Absatz 3 der Verordnung (EU) 2019/2033 Gebrauch machen, die in Anhang I Meldebögen 1 bis 5 genannten Angaben bis auf die Angaben zur Verschuldungsquote gemäß den Erläuterungen in Anhang II Teil II Nummer 1 in vierteljährlichen Intervallen.</w:t>
      </w:r>
    </w:p>
    <w:p w14:paraId="6AD01D77" w14:textId="548C124D" w:rsidR="00FE0C02" w:rsidRPr="002D237E" w:rsidRDefault="00FD237E" w:rsidP="00FD237E">
      <w:pPr>
        <w:pStyle w:val="ManualNumPar1"/>
      </w:pPr>
      <w:r>
        <w:lastRenderedPageBreak/>
        <w:t>(3)</w:t>
      </w:r>
      <w:r>
        <w:tab/>
      </w:r>
      <w:r w:rsidR="00FE0C02" w:rsidRPr="002D237E">
        <w:t>Zur Meldung von Eigenmitteln und Eigenmittelanforderungen gemäß Artikel 430 Absatz 1 Buchstabe a der Verordnung (EU) Nr. 575/2013 auf Einzelbasis übermitteln Wertpapierfirmen, die unter Verweis auf Artikel 96 der Verordnung (EU) Nr. 575/2013 von Artikel 57 Absatz 3 der Verordnung (EU) 2019/2033 Gebrauch machen, die in Artikel 5 Absätze 1 bis 5 und Absätze 8 bis 13 und in Artikel 6 Absatz 2 der vorliegenden Verordnung genannten Angaben in den dort festgelegten Intervallen.</w:t>
      </w:r>
    </w:p>
    <w:p w14:paraId="4D074E8C" w14:textId="77777777" w:rsidR="00FE0C02" w:rsidRPr="002D237E" w:rsidRDefault="00FE0C02" w:rsidP="00FE0C02">
      <w:pPr>
        <w:pStyle w:val="Titrearticle"/>
      </w:pPr>
      <w:r w:rsidRPr="002D237E">
        <w:t xml:space="preserve">Artikel </w:t>
      </w:r>
      <w:r w:rsidR="001F45A3">
        <w:fldChar w:fldCharType="begin"/>
      </w:r>
      <w:r w:rsidR="001F45A3">
        <w:instrText xml:space="preserve"> seq article </w:instrText>
      </w:r>
      <w:r w:rsidR="001F45A3">
        <w:fldChar w:fldCharType="separate"/>
      </w:r>
      <w:r w:rsidRPr="002D237E">
        <w:t>10</w:t>
      </w:r>
      <w:r w:rsidR="001F45A3">
        <w:fldChar w:fldCharType="end"/>
      </w:r>
    </w:p>
    <w:p w14:paraId="2C5D357D" w14:textId="77777777" w:rsidR="00FE0C02" w:rsidRPr="002D237E" w:rsidRDefault="00FE0C02" w:rsidP="00FE0C02">
      <w:pPr>
        <w:pStyle w:val="Titrearticle"/>
        <w:spacing w:before="120"/>
        <w:rPr>
          <w:b/>
          <w:i w:val="0"/>
        </w:rPr>
      </w:pPr>
      <w:r w:rsidRPr="002D237E">
        <w:rPr>
          <w:b/>
          <w:i w:val="0"/>
        </w:rPr>
        <w:t>Meldung von Eigenmitteln und Eigenmittelanforderungen durch Gruppen, die ausschließlich aus Wertpapierfirmen bestehen, die unter die Artikel 95 und 96 der Verordnung (EU) Nr. 575/2013 fallen, auf konsolidierter Basis</w:t>
      </w:r>
    </w:p>
    <w:p w14:paraId="0ED9D414" w14:textId="5E198512" w:rsidR="00FE0C02" w:rsidRPr="002D237E" w:rsidRDefault="00FD237E" w:rsidP="00FD237E">
      <w:pPr>
        <w:pStyle w:val="ManualNumPar1"/>
      </w:pPr>
      <w:r>
        <w:t>(1)</w:t>
      </w:r>
      <w:r>
        <w:tab/>
      </w:r>
      <w:r w:rsidR="00FE0C02" w:rsidRPr="002D237E">
        <w:t>Wertpapierfirmen, die die Übergangsbestimmungen des Artikels 57 Absatz 3 der Verordnung (EU) 2019/2033 anwenden, übermitteln ihre Angaben nach Maßgabe des genannten Artikels.</w:t>
      </w:r>
    </w:p>
    <w:p w14:paraId="55A9CAAC" w14:textId="38C5D905" w:rsidR="00FE0C02" w:rsidRPr="002D237E" w:rsidRDefault="00FD237E" w:rsidP="00FD237E">
      <w:pPr>
        <w:pStyle w:val="ManualNumPar1"/>
      </w:pPr>
      <w:r>
        <w:t>(2)</w:t>
      </w:r>
      <w:r>
        <w:tab/>
      </w:r>
      <w:r w:rsidR="00FE0C02" w:rsidRPr="002D237E">
        <w:t>Für die Meldung von Eigenmitteln und Eigenmittelanforderungen gemäß Artikel 430 Absatz 1 Buchstabe a der Verordnung (EU) Nr. 575/2013 auf konsolidierter Basis übermitteln die Wertpapierfirmen einer Gruppe, die nur aus Wertpapierfirmen besteht, welche unter Verweis auf Artikel 95 der Verordnung (EU) Nr. 575/2013 von Artikel 57 Absatz 3 der Verordnung (EU) 2019/2033 Gebrauch machen, die nachstehend genannten Angaben bis auf die Angaben zur Verschuldungsquote auf konsolidierter Basis:</w:t>
      </w:r>
    </w:p>
    <w:p w14:paraId="6DD1064B" w14:textId="77777777" w:rsidR="00FE0C02" w:rsidRPr="002D237E" w:rsidRDefault="00FE0C02" w:rsidP="00FE0C02">
      <w:pPr>
        <w:pStyle w:val="Point1"/>
      </w:pPr>
      <w:r w:rsidRPr="002D237E">
        <w:t>a)</w:t>
      </w:r>
      <w:r w:rsidRPr="002D237E">
        <w:tab/>
        <w:t>die in Anhang I Meldebögen 1 bis 5 genannten Angaben zu Eigenmitteln und Eigenmittelanforderungen gemäß den Erläuterungen in Anhang II Teil II Nummer 1 in vierteljährlichen Intervallen;</w:t>
      </w:r>
    </w:p>
    <w:p w14:paraId="06EB54F9" w14:textId="77777777" w:rsidR="00FE0C02" w:rsidRPr="002D237E" w:rsidRDefault="00FE0C02" w:rsidP="00FE0C02">
      <w:pPr>
        <w:pStyle w:val="Point1"/>
      </w:pPr>
      <w:r w:rsidRPr="002D237E">
        <w:t>b)</w:t>
      </w:r>
      <w:r w:rsidRPr="002D237E">
        <w:tab/>
        <w:t>die in Anhang I Meldebogen 6 genannten Angaben zu Eigenmitteln und Eigenmittelanforderungen für die in den Konsolidierungskreis einbezogenen Unternehmen gemäß den Erläuterungen in Anhang II Teil II Nummer 2 in halbjährlichen Intervallen.</w:t>
      </w:r>
    </w:p>
    <w:p w14:paraId="0D279353" w14:textId="55B58CED" w:rsidR="00FE0C02" w:rsidRPr="002D237E" w:rsidRDefault="00FD237E" w:rsidP="00FD237E">
      <w:pPr>
        <w:pStyle w:val="ManualNumPar1"/>
      </w:pPr>
      <w:r>
        <w:t>(3)</w:t>
      </w:r>
      <w:r>
        <w:tab/>
      </w:r>
      <w:r w:rsidR="00FE0C02" w:rsidRPr="002D237E">
        <w:t>Für die Meldung von Eigenmitteln und Eigenmittelanforderungen gemäß Artikel 430 Absatz 1 Buchstabe a der Verordnung (EU) Nr. 575/2013 auf konsolidierter Basis übermitteln die Wertpapierfirmen einer Gruppe, die nur aus Wertpapierfirmen, die Artikel 95 unterliegen, und Wertpapierfirmen, die Artikel 96 unterliegen, besteht, oder einer Gruppe, die nur aus Wertpapierfirmen besteht, welche unter Verweis auf Artikel 96 der Verordnung (EU) Nr. 575/2013 von Artikel 57 Absatz 3 der Verordnung (EU) 2019/2033 Gebrauch machen, die nachstehend genannten Angaben auf konsolidierter Basis:</w:t>
      </w:r>
    </w:p>
    <w:p w14:paraId="424B99D7" w14:textId="77777777" w:rsidR="00FE0C02" w:rsidRPr="002D237E" w:rsidRDefault="00FE0C02" w:rsidP="00FE0C02">
      <w:pPr>
        <w:pStyle w:val="Point1"/>
      </w:pPr>
      <w:r w:rsidRPr="002D237E">
        <w:t>a)</w:t>
      </w:r>
      <w:r w:rsidRPr="002D237E">
        <w:tab/>
        <w:t>die in Artikel 5 Absätze 1 bis 5 und Absätze 8 bis 13 und in Artikel 6 Absatz 2 genannten Angaben in den dort festgelegten Intervallen;</w:t>
      </w:r>
    </w:p>
    <w:p w14:paraId="695999E8" w14:textId="77777777" w:rsidR="00FE0C02" w:rsidRPr="002D237E" w:rsidRDefault="00FE0C02" w:rsidP="00FE0C02">
      <w:pPr>
        <w:pStyle w:val="Point1"/>
      </w:pPr>
      <w:r w:rsidRPr="002D237E">
        <w:t>b)</w:t>
      </w:r>
      <w:r w:rsidRPr="002D237E">
        <w:tab/>
        <w:t>die in Anhang I Meldebogen 6 genannten Angaben zu den in den Konsolidierungskreis einbezogenen Unternehmen gemäß den Erläuterungen in Anhang II Teil II Nummer 2 in halbjährlichen Intervallen.</w:t>
      </w:r>
    </w:p>
    <w:p w14:paraId="2D723A17" w14:textId="77777777" w:rsidR="00FE0C02" w:rsidRPr="002D237E" w:rsidRDefault="00FE0C02" w:rsidP="00FE0C02">
      <w:pPr>
        <w:pStyle w:val="Titrearticle"/>
      </w:pPr>
      <w:r w:rsidRPr="002D237E">
        <w:lastRenderedPageBreak/>
        <w:t xml:space="preserve">Artikel </w:t>
      </w:r>
      <w:r w:rsidR="001F45A3">
        <w:fldChar w:fldCharType="begin"/>
      </w:r>
      <w:r w:rsidR="001F45A3">
        <w:instrText xml:space="preserve"> seq article </w:instrText>
      </w:r>
      <w:r w:rsidR="001F45A3">
        <w:fldChar w:fldCharType="separate"/>
      </w:r>
      <w:r w:rsidRPr="002D237E">
        <w:t>11</w:t>
      </w:r>
      <w:r w:rsidR="001F45A3">
        <w:fldChar w:fldCharType="end"/>
      </w:r>
    </w:p>
    <w:p w14:paraId="122B51E9" w14:textId="77777777" w:rsidR="00FE0C02" w:rsidRPr="002D237E" w:rsidRDefault="00FE0C02" w:rsidP="00FE0C02">
      <w:pPr>
        <w:pStyle w:val="Titrearticle"/>
        <w:spacing w:before="120"/>
        <w:rPr>
          <w:b/>
          <w:i w:val="0"/>
        </w:rPr>
      </w:pPr>
      <w:r w:rsidRPr="002D237E">
        <w:rPr>
          <w:b/>
          <w:i w:val="0"/>
        </w:rPr>
        <w:t>Übermittlung von Finanzinformationen auf konsolidierter Basis durch Institute, die unter die Verordnung (EG) Nr. 1606/2002</w:t>
      </w:r>
      <w:r w:rsidRPr="002D237E">
        <w:t xml:space="preserve"> </w:t>
      </w:r>
      <w:r w:rsidRPr="002D237E">
        <w:rPr>
          <w:b/>
          <w:i w:val="0"/>
        </w:rPr>
        <w:t>des Europäischen Parlaments und des Rates</w:t>
      </w:r>
      <w:r w:rsidRPr="002D237E">
        <w:rPr>
          <w:rStyle w:val="FootnoteReference"/>
          <w:b/>
          <w:i w:val="0"/>
        </w:rPr>
        <w:footnoteReference w:id="10"/>
      </w:r>
      <w:r w:rsidRPr="002D237E">
        <w:rPr>
          <w:b/>
          <w:i w:val="0"/>
        </w:rPr>
        <w:t xml:space="preserve"> fallen </w:t>
      </w:r>
    </w:p>
    <w:p w14:paraId="22F20B0C" w14:textId="79D85A94" w:rsidR="00FE0C02" w:rsidRPr="002D237E" w:rsidRDefault="00FD237E" w:rsidP="00FD237E">
      <w:pPr>
        <w:pStyle w:val="ManualNumPar1"/>
      </w:pPr>
      <w:r>
        <w:t>(1)</w:t>
      </w:r>
      <w:r>
        <w:tab/>
      </w:r>
      <w:r w:rsidR="00FE0C02" w:rsidRPr="002D237E">
        <w:t xml:space="preserve">Für die in Artikel 430 Absätze 3 oder 4 der Verordnung (EU) Nr. 575/2013 vorgesehene Meldung von Finanzinformationen auf konsolidierter Basis übermitteln die Institute die in Anhang III genannten Angaben gemäß den Erläuterungen in Anhang V auf konsolidierter Basis. </w:t>
      </w:r>
    </w:p>
    <w:p w14:paraId="3A9E9610" w14:textId="44D60D90" w:rsidR="00FE0C02" w:rsidRPr="002D237E" w:rsidRDefault="00FD237E" w:rsidP="00FD237E">
      <w:pPr>
        <w:pStyle w:val="ManualNumPar1"/>
      </w:pPr>
      <w:r>
        <w:t>(2)</w:t>
      </w:r>
      <w:r>
        <w:tab/>
      </w:r>
      <w:r w:rsidR="00FE0C02" w:rsidRPr="002D237E">
        <w:t>Die in Absatz 1 genannten Angaben sind wie folgt zu übermitteln:</w:t>
      </w:r>
    </w:p>
    <w:p w14:paraId="70EFC152" w14:textId="77777777" w:rsidR="00FE0C02" w:rsidRPr="002D237E" w:rsidRDefault="00FE0C02" w:rsidP="00FE0C02">
      <w:pPr>
        <w:pStyle w:val="Point1"/>
      </w:pPr>
      <w:r w:rsidRPr="002D237E">
        <w:t>a)</w:t>
      </w:r>
      <w:r w:rsidRPr="002D237E">
        <w:tab/>
        <w:t>die in Anhang III Teil 1 genannten Angaben in vierteljährlichen Intervallen,</w:t>
      </w:r>
    </w:p>
    <w:p w14:paraId="38D85B01" w14:textId="77777777" w:rsidR="00FE0C02" w:rsidRPr="002D237E" w:rsidRDefault="00FE0C02" w:rsidP="00FE0C02">
      <w:pPr>
        <w:pStyle w:val="Point1"/>
      </w:pPr>
      <w:r w:rsidRPr="002D237E">
        <w:t>b)</w:t>
      </w:r>
      <w:r w:rsidRPr="002D237E">
        <w:tab/>
        <w:t>die in Anhang III Teil 3 genannten Angaben in halbjährlichen Intervallen,</w:t>
      </w:r>
    </w:p>
    <w:p w14:paraId="5F2804B6" w14:textId="77777777" w:rsidR="00FE0C02" w:rsidRPr="002D237E" w:rsidRDefault="00FE0C02" w:rsidP="00FE0C02">
      <w:pPr>
        <w:pStyle w:val="Point1"/>
      </w:pPr>
      <w:r w:rsidRPr="002D237E">
        <w:t>c)</w:t>
      </w:r>
      <w:r w:rsidRPr="002D237E">
        <w:tab/>
        <w:t>die in Anhang III Teil 4 genannten Angaben (bis auf die in Meldebogen 47 verlangten) in jährlichen Intervallen,</w:t>
      </w:r>
    </w:p>
    <w:p w14:paraId="1D49A1AC" w14:textId="77777777" w:rsidR="00FE0C02" w:rsidRPr="002D237E" w:rsidRDefault="00FE0C02" w:rsidP="00FE0C02">
      <w:pPr>
        <w:pStyle w:val="Point1"/>
      </w:pPr>
      <w:r w:rsidRPr="002D237E">
        <w:t>d)</w:t>
      </w:r>
      <w:r w:rsidRPr="002D237E">
        <w:tab/>
        <w:t>wenn das Institut den in Artikel 5 Absatz 5 Unterabsatz 2 festgelegten Schwellenwert überschreitet, die in Anhang III Teil 2 Meldebogen 20 genannten Angaben in vierteljährlichen Intervallen,</w:t>
      </w:r>
    </w:p>
    <w:p w14:paraId="2CCBF803" w14:textId="77777777" w:rsidR="00FE0C02" w:rsidRPr="002D237E" w:rsidRDefault="00FE0C02" w:rsidP="00FE0C02">
      <w:pPr>
        <w:pStyle w:val="Point1"/>
      </w:pPr>
      <w:r w:rsidRPr="002D237E">
        <w:t>e)</w:t>
      </w:r>
      <w:r w:rsidRPr="002D237E">
        <w:tab/>
        <w:t>wenn die Sachanlagen, die Gegenstand von Operating-Leasingverhältnissen sind, 10 % oder mehr der in Anhang III Teil 1 Meldebogen 1.1 insgesamt ausgewiesenen Sachanlagen ausmachen, die in Anhang III Teil 2 Meldebogen 21 genannten Angaben in vierteljährlichen Intervallen,</w:t>
      </w:r>
    </w:p>
    <w:p w14:paraId="27F64B3B" w14:textId="77777777" w:rsidR="00FE0C02" w:rsidRPr="002D237E" w:rsidRDefault="00FE0C02" w:rsidP="00FE0C02">
      <w:pPr>
        <w:pStyle w:val="Point1"/>
      </w:pPr>
      <w:r w:rsidRPr="002D237E">
        <w:t>f)</w:t>
      </w:r>
      <w:r w:rsidRPr="002D237E">
        <w:tab/>
        <w:t>wenn die Nettoeinnahmen aus Gebühren und Provisionen 10 % oder mehr der Summe aus den in Anhang III Teil 1 Meldebogen 2 ausgewiesenen Nettoeinnahmen aus Gebühren und Provisionen und Nettozinseinnahmen ausmachen, die in Anhang III Teil 2 Meldebogen 22 genannten Angaben in vierteljährlichen Intervallen,</w:t>
      </w:r>
    </w:p>
    <w:p w14:paraId="2EB0DC7E" w14:textId="77777777" w:rsidR="00FE0C02" w:rsidRPr="002D237E" w:rsidRDefault="00FE0C02" w:rsidP="00FE0C02">
      <w:pPr>
        <w:pStyle w:val="Point1"/>
      </w:pPr>
      <w:r w:rsidRPr="002D237E">
        <w:t>g)</w:t>
      </w:r>
      <w:r w:rsidRPr="002D237E">
        <w:tab/>
        <w:t>die in Anhang III Teil 2 Meldebögen 23 bis 26 genannten Angaben in vierteljährlichen Intervallen, wenn die beiden folgenden Bedingungen erfüllt sind:</w:t>
      </w:r>
    </w:p>
    <w:p w14:paraId="5207A13E" w14:textId="77777777" w:rsidR="00FE0C02" w:rsidRPr="002D237E" w:rsidRDefault="00FE0C02" w:rsidP="00FE0C02">
      <w:pPr>
        <w:pStyle w:val="Point2"/>
      </w:pPr>
      <w:r w:rsidRPr="002D237E">
        <w:t>i)</w:t>
      </w:r>
      <w:r w:rsidRPr="002D237E">
        <w:tab/>
        <w:t>das Institut ist kein kleines und nicht komplexes Institut;</w:t>
      </w:r>
    </w:p>
    <w:p w14:paraId="09C1AEB4" w14:textId="33C5BDBB" w:rsidR="00FE0C02" w:rsidRPr="002D237E" w:rsidRDefault="00FE0C02" w:rsidP="00FE0C02">
      <w:pPr>
        <w:pStyle w:val="Point2"/>
      </w:pPr>
      <w:r w:rsidRPr="002D237E">
        <w:t>ii)</w:t>
      </w:r>
      <w:r w:rsidRPr="002D237E">
        <w:tab/>
        <w:t xml:space="preserve">der Anteil des Bruttobuchwerts der unter Artikel 47a Absatz 3 der Verordnung (EU) Nr. 575/2013 fallenden Darlehen und Kredite am Gesamtbruttobuchwert der unter Artikel 47a Absatz 1 jener Verordnung fallenden Darlehen und Kredite beträgt mindestens 5 %; </w:t>
      </w:r>
    </w:p>
    <w:p w14:paraId="6657E76F" w14:textId="77777777" w:rsidR="00FE0C02" w:rsidRPr="002D237E" w:rsidRDefault="00FE0C02" w:rsidP="00FE0C02">
      <w:pPr>
        <w:pStyle w:val="Point1"/>
      </w:pPr>
      <w:r w:rsidRPr="002D237E">
        <w:t xml:space="preserve"> h)</w:t>
      </w:r>
      <w:r w:rsidRPr="002D237E">
        <w:tab/>
        <w:t>wenn beide der unter Buchstabe g genannten Bedingungen erfüllt sind, die in Anhang III Teil 4 Meldebogen 47 genannten Angaben in jährlichen Intervallen.</w:t>
      </w:r>
    </w:p>
    <w:p w14:paraId="5556886E" w14:textId="77777777" w:rsidR="00FE0C02" w:rsidRPr="002D237E" w:rsidRDefault="00FE0C02" w:rsidP="00FE0C02">
      <w:pPr>
        <w:pStyle w:val="Point1"/>
      </w:pPr>
      <w:r w:rsidRPr="002D237E">
        <w:t>Für die Zwecke des Buchstaben g Ziffer ii dürfen zur Veräußerung gehaltene Darlehen und Kredite, Guthaben bei Zentralbanken und Sichtguthaben weder im Zähler noch im Nenner berücksichtigt werden.</w:t>
      </w:r>
    </w:p>
    <w:p w14:paraId="73BCCE82" w14:textId="77777777" w:rsidR="00FE0C02" w:rsidRPr="002D237E" w:rsidRDefault="00FE0C02" w:rsidP="00FE0C02">
      <w:pPr>
        <w:pStyle w:val="Point1"/>
      </w:pPr>
      <w:r w:rsidRPr="002D237E">
        <w:t xml:space="preserve">Für die Zwecke der Buchstaben d bis h gelten die in Artikel 4 Absatz 3 genannten Ein- und Austrittskriterien nicht. </w:t>
      </w:r>
    </w:p>
    <w:p w14:paraId="2D4B364E" w14:textId="77777777" w:rsidR="00FE0C02" w:rsidRPr="002D237E" w:rsidRDefault="00FE0C02" w:rsidP="00FE0C02">
      <w:pPr>
        <w:pStyle w:val="Titrearticle"/>
      </w:pPr>
      <w:r w:rsidRPr="002D237E">
        <w:lastRenderedPageBreak/>
        <w:t xml:space="preserve">Artikel </w:t>
      </w:r>
      <w:r w:rsidR="001F45A3">
        <w:fldChar w:fldCharType="begin"/>
      </w:r>
      <w:r w:rsidR="001F45A3">
        <w:instrText xml:space="preserve"> seq article </w:instrText>
      </w:r>
      <w:r w:rsidR="001F45A3">
        <w:fldChar w:fldCharType="separate"/>
      </w:r>
      <w:r w:rsidRPr="002D237E">
        <w:t>12</w:t>
      </w:r>
      <w:r w:rsidR="001F45A3">
        <w:fldChar w:fldCharType="end"/>
      </w:r>
    </w:p>
    <w:p w14:paraId="396F2986" w14:textId="77777777" w:rsidR="00FE0C02" w:rsidRPr="002D237E" w:rsidRDefault="00FE0C02" w:rsidP="00FE0C02">
      <w:pPr>
        <w:pStyle w:val="Titrearticle"/>
        <w:spacing w:before="120"/>
        <w:rPr>
          <w:b/>
          <w:i w:val="0"/>
        </w:rPr>
      </w:pPr>
      <w:r w:rsidRPr="002D237E">
        <w:rPr>
          <w:b/>
          <w:i w:val="0"/>
        </w:rPr>
        <w:t xml:space="preserve">Meldung von Finanzinformationen auf konsolidierter Basis durch Institute, die nationale Rechnungslegungsrahmen anwenden </w:t>
      </w:r>
    </w:p>
    <w:p w14:paraId="7898D5B0" w14:textId="3D113556" w:rsidR="00FE0C02" w:rsidRPr="002D237E" w:rsidRDefault="00FD237E" w:rsidP="00FD237E">
      <w:pPr>
        <w:pStyle w:val="ManualNumPar1"/>
      </w:pPr>
      <w:r>
        <w:t>(1)</w:t>
      </w:r>
      <w:r>
        <w:tab/>
      </w:r>
      <w:r w:rsidR="00FE0C02" w:rsidRPr="002D237E">
        <w:t>Hat eine zuständige Behörde die Pflicht zur Meldung von Finanzinformationen gemäß Artikel 430 Absatz 9 der Verordnung (EU) Nr. 575/2013 auf Institute mit Niederlassung in einem Mitgliedstaat ausgeweitet, übermitteln die Institute die in Anhang IV genannten Angaben gemäß den Erläuterungen in Anhang V auf konsolidierter Basis.</w:t>
      </w:r>
    </w:p>
    <w:p w14:paraId="1A4AC33E" w14:textId="72A885F7" w:rsidR="00FE0C02" w:rsidRPr="002D237E" w:rsidRDefault="00FD237E" w:rsidP="00FD237E">
      <w:pPr>
        <w:pStyle w:val="ManualNumPar1"/>
      </w:pPr>
      <w:r>
        <w:t>(2)</w:t>
      </w:r>
      <w:r>
        <w:tab/>
      </w:r>
      <w:r w:rsidR="00FE0C02" w:rsidRPr="002D237E">
        <w:t>Die in Absatz 1 genannten Angaben sind wie folgt zu übermitteln:</w:t>
      </w:r>
    </w:p>
    <w:p w14:paraId="4130D034" w14:textId="77777777" w:rsidR="00FE0C02" w:rsidRPr="002D237E" w:rsidRDefault="00FE0C02" w:rsidP="00FE0C02">
      <w:pPr>
        <w:pStyle w:val="Point1"/>
      </w:pPr>
      <w:r w:rsidRPr="002D237E">
        <w:t>a)</w:t>
      </w:r>
      <w:r w:rsidRPr="002D237E">
        <w:tab/>
        <w:t>die in Anhang IV Teil 1 genannten Angaben in vierteljährlichen Intervallen;</w:t>
      </w:r>
    </w:p>
    <w:p w14:paraId="08B03AF4" w14:textId="77777777" w:rsidR="00FE0C02" w:rsidRPr="002D237E" w:rsidRDefault="00FE0C02" w:rsidP="00FE0C02">
      <w:pPr>
        <w:pStyle w:val="Point1"/>
      </w:pPr>
      <w:r w:rsidRPr="002D237E">
        <w:t>b)</w:t>
      </w:r>
      <w:r w:rsidRPr="002D237E">
        <w:tab/>
        <w:t>die in Anhang IV Teil 3 genannten Angaben in halbjährlichen Intervallen;</w:t>
      </w:r>
    </w:p>
    <w:p w14:paraId="6BD250DE" w14:textId="77777777" w:rsidR="00FE0C02" w:rsidRPr="002D237E" w:rsidRDefault="00FE0C02" w:rsidP="00FE0C02">
      <w:pPr>
        <w:pStyle w:val="Point1"/>
      </w:pPr>
      <w:r w:rsidRPr="002D237E">
        <w:t>c)</w:t>
      </w:r>
      <w:r w:rsidRPr="002D237E">
        <w:tab/>
        <w:t>die in Anhang IV Teil 4 genannten Angaben (bis auf die in Meldebogen 47 verlangten) in jährlichen Intervallen;</w:t>
      </w:r>
    </w:p>
    <w:p w14:paraId="7E75579F" w14:textId="77777777" w:rsidR="00FE0C02" w:rsidRPr="002D237E" w:rsidRDefault="00FE0C02" w:rsidP="00FE0C02">
      <w:pPr>
        <w:pStyle w:val="Point1"/>
      </w:pPr>
      <w:r w:rsidRPr="002D237E">
        <w:t>d)</w:t>
      </w:r>
      <w:r w:rsidRPr="002D237E">
        <w:tab/>
        <w:t>wenn das Institut den in Artikel 5 Absatz 5 Unterabsatz 2 festgelegten Schwellenwert überschreitet, die in Anhang IV Teil 2 Meldebogen 20 genannten Angaben in vierteljährlichen Intervallen;</w:t>
      </w:r>
    </w:p>
    <w:p w14:paraId="76AF5C14" w14:textId="77777777" w:rsidR="00FE0C02" w:rsidRPr="002D237E" w:rsidRDefault="00FE0C02" w:rsidP="00FE0C02">
      <w:pPr>
        <w:pStyle w:val="Point1"/>
      </w:pPr>
      <w:r w:rsidRPr="002D237E">
        <w:t>e)</w:t>
      </w:r>
      <w:r w:rsidRPr="002D237E">
        <w:tab/>
        <w:t>wenn die Sachanlagen, die Gegenstand von Operating-Leasingverhältnissen sind, 10 % oder mehr der in Anhang IV Teil 1 Meldebogen 1.1 insgesamt ausgewiesenen Sachanlagen ausmachen, die in Anhang IV Teil 2 Meldebogen 21 genannten Angaben in vierteljährlichen Intervallen;</w:t>
      </w:r>
    </w:p>
    <w:p w14:paraId="406C6C11" w14:textId="77777777" w:rsidR="00FE0C02" w:rsidRPr="002D237E" w:rsidRDefault="00FE0C02" w:rsidP="00FE0C02">
      <w:pPr>
        <w:pStyle w:val="Point1"/>
      </w:pPr>
      <w:r w:rsidRPr="002D237E">
        <w:t>f)</w:t>
      </w:r>
      <w:r w:rsidRPr="002D237E">
        <w:tab/>
        <w:t>wenn die Nettoeinnahmen aus Gebühren und Provisionen 10 % oder mehr der Summe aus den in Anhang IV Teil 1 Meldebogen 2 ausgewiesenen Nettoeinnahmen aus Gebühren und Provisionen und Nettozinseinnahmen ausmachen, die in Anhang IV Teil 2 Meldebogen 22 genannten Angaben in vierteljährlichen Intervallen;</w:t>
      </w:r>
    </w:p>
    <w:p w14:paraId="1A7AAB4F" w14:textId="77777777" w:rsidR="00FE0C02" w:rsidRPr="002D237E" w:rsidRDefault="00FE0C02" w:rsidP="00FE0C02">
      <w:pPr>
        <w:pStyle w:val="Point1"/>
      </w:pPr>
      <w:r w:rsidRPr="002D237E">
        <w:t>g)</w:t>
      </w:r>
      <w:r w:rsidRPr="002D237E">
        <w:tab/>
        <w:t>die in Anhang IV Teil 2 Meldebögen 23 bis 26 genannten Angaben in vierteljährlichen Intervallen, wenn die beiden folgenden Bedingungen erfüllt sind:</w:t>
      </w:r>
    </w:p>
    <w:p w14:paraId="6F0AB516" w14:textId="77777777" w:rsidR="00FE0C02" w:rsidRPr="002D237E" w:rsidRDefault="00FE0C02" w:rsidP="00FE0C02">
      <w:pPr>
        <w:pStyle w:val="Point2"/>
      </w:pPr>
      <w:r w:rsidRPr="002D237E">
        <w:t>i)</w:t>
      </w:r>
      <w:r w:rsidRPr="002D237E">
        <w:tab/>
        <w:t>das Institut ist kein kleines und nicht komplexes Institut;</w:t>
      </w:r>
    </w:p>
    <w:p w14:paraId="08D20076" w14:textId="77777777" w:rsidR="00FE0C02" w:rsidRPr="002D237E" w:rsidRDefault="00FE0C02" w:rsidP="00FE0C02">
      <w:pPr>
        <w:pStyle w:val="Point1"/>
        <w:ind w:firstLine="0"/>
      </w:pPr>
      <w:r w:rsidRPr="002D237E">
        <w:t>ii)</w:t>
      </w:r>
      <w:r w:rsidRPr="002D237E">
        <w:tab/>
        <w:t xml:space="preserve">der in Artikel 11 Absatz 2 Buchstabe g Ziffer ii genannte Anteil des Instituts macht mindestens 5 % aus;  </w:t>
      </w:r>
    </w:p>
    <w:p w14:paraId="7B685EE5" w14:textId="77777777" w:rsidR="00FE0C02" w:rsidRPr="002D237E" w:rsidRDefault="00FE0C02" w:rsidP="00FE0C02">
      <w:pPr>
        <w:pStyle w:val="Point1"/>
      </w:pPr>
      <w:r w:rsidRPr="002D237E">
        <w:t>h)</w:t>
      </w:r>
      <w:r w:rsidRPr="002D237E">
        <w:tab/>
        <w:t xml:space="preserve">wenn beide der unter Buchstabe g genannten Bedingungen erfüllt sind, die in Anhang IV Teil 4 Meldebogen 47 genannten Angaben in jährlichen Intervallen. </w:t>
      </w:r>
    </w:p>
    <w:p w14:paraId="6E0D6196" w14:textId="77777777" w:rsidR="00FE0C02" w:rsidRPr="002D237E" w:rsidRDefault="00FE0C02" w:rsidP="00FE0C02">
      <w:pPr>
        <w:pStyle w:val="Point1"/>
      </w:pPr>
      <w:r w:rsidRPr="002D237E">
        <w:t xml:space="preserve">Für die Zwecke der Buchstaben d bis h gelten die in Artikel 4 Absatz 3 genannten Ein- und Austrittskriterien nicht. </w:t>
      </w:r>
    </w:p>
    <w:p w14:paraId="1265B500" w14:textId="77777777" w:rsidR="00FE0C02" w:rsidRPr="002D237E" w:rsidRDefault="00FE0C02" w:rsidP="00FE0C02">
      <w:pPr>
        <w:pStyle w:val="Titrearticle"/>
      </w:pPr>
      <w:r w:rsidRPr="002D237E">
        <w:t xml:space="preserve">Artikel </w:t>
      </w:r>
      <w:r w:rsidR="001F45A3">
        <w:fldChar w:fldCharType="begin"/>
      </w:r>
      <w:r w:rsidR="001F45A3">
        <w:instrText xml:space="preserve"> seq article </w:instrText>
      </w:r>
      <w:r w:rsidR="001F45A3">
        <w:fldChar w:fldCharType="separate"/>
      </w:r>
      <w:r w:rsidRPr="002D237E">
        <w:t>13</w:t>
      </w:r>
      <w:r w:rsidR="001F45A3">
        <w:fldChar w:fldCharType="end"/>
      </w:r>
    </w:p>
    <w:p w14:paraId="62DD7E11" w14:textId="77777777" w:rsidR="00FE0C02" w:rsidRPr="002D237E" w:rsidRDefault="00FE0C02" w:rsidP="00FE0C02">
      <w:pPr>
        <w:pStyle w:val="Text1"/>
      </w:pPr>
      <w:r w:rsidRPr="002D237E">
        <w:rPr>
          <w:b/>
        </w:rPr>
        <w:t>Meldung von Verlusten aus Darlehensgeschäften, die durch Immobilien besichert sind, gemäß Artikel 430a Absatz 1 der Verordnung (EU) Nr. 575/2013 auf Einzel- und auf konsolidierter Basis</w:t>
      </w:r>
    </w:p>
    <w:p w14:paraId="663A2D70" w14:textId="0577D3EE" w:rsidR="00FE0C02" w:rsidRPr="002D237E" w:rsidRDefault="00FD237E" w:rsidP="00FD237E">
      <w:pPr>
        <w:pStyle w:val="ManualNumPar1"/>
      </w:pPr>
      <w:r>
        <w:lastRenderedPageBreak/>
        <w:t>(1)</w:t>
      </w:r>
      <w:r>
        <w:tab/>
      </w:r>
      <w:r w:rsidR="00FE0C02" w:rsidRPr="002D237E">
        <w:t>Die Institute übermitteln die in Anhang VI genannten Angaben gemäß den Erläuterungen in Anhang VII auf konsolidierter Basis und in halbjährlichen Intervallen.</w:t>
      </w:r>
    </w:p>
    <w:p w14:paraId="60EE04AB" w14:textId="5118C66F" w:rsidR="00FE0C02" w:rsidRPr="002D237E" w:rsidRDefault="00FD237E" w:rsidP="00FD237E">
      <w:pPr>
        <w:pStyle w:val="ManualNumPar1"/>
      </w:pPr>
      <w:r>
        <w:t>(2)</w:t>
      </w:r>
      <w:r>
        <w:tab/>
      </w:r>
      <w:r w:rsidR="00FE0C02" w:rsidRPr="002D237E">
        <w:t>Die Institute übermitteln die in Anhang VI genannten Angaben gemäß den Erläuterungen in Anhang VII auf Einzelbasis und in halbjährlichen Intervallen.</w:t>
      </w:r>
    </w:p>
    <w:p w14:paraId="2635EBF0" w14:textId="3E67F61E" w:rsidR="00FE0C02" w:rsidRPr="002D237E" w:rsidRDefault="00C07D9C" w:rsidP="00FD237E">
      <w:pPr>
        <w:pStyle w:val="ManualNumPar1"/>
      </w:pPr>
      <w:r>
        <w:t>(3</w:t>
      </w:r>
      <w:r w:rsidR="00FD237E">
        <w:t>)</w:t>
      </w:r>
      <w:r w:rsidR="00FD237E">
        <w:tab/>
      </w:r>
      <w:r w:rsidR="00FE0C02" w:rsidRPr="002D237E">
        <w:t>Hat ein Institut eine Zweigstelle in einem anderen Mitgliedstaat, übermittelt diese Zweigstelle der zuständigen Behörde die in Anhang VI genannten, sie betreffenden Angaben in jährlichen Intervallen und folgt dabei den Erläuterungen in Anhang VII.</w:t>
      </w:r>
    </w:p>
    <w:p w14:paraId="7DA92B87" w14:textId="77777777" w:rsidR="00FE0C02" w:rsidRPr="002D237E" w:rsidRDefault="00FE0C02" w:rsidP="00FE0C02">
      <w:pPr>
        <w:pStyle w:val="Titrearticle"/>
      </w:pPr>
      <w:r w:rsidRPr="002D237E">
        <w:t>Artikel 14</w:t>
      </w:r>
    </w:p>
    <w:p w14:paraId="5DF7D5F9" w14:textId="77777777" w:rsidR="00FE0C02" w:rsidRPr="002D237E" w:rsidRDefault="00FE0C02" w:rsidP="00FE0C02">
      <w:pPr>
        <w:pStyle w:val="Titrearticle"/>
        <w:spacing w:before="120"/>
        <w:rPr>
          <w:b/>
          <w:i w:val="0"/>
        </w:rPr>
      </w:pPr>
      <w:r w:rsidRPr="002D237E">
        <w:rPr>
          <w:b/>
          <w:i w:val="0"/>
        </w:rPr>
        <w:t>Meldung von Großkrediten auf Einzel- und auf konsolidierter Basis</w:t>
      </w:r>
    </w:p>
    <w:p w14:paraId="07D89C15" w14:textId="6B0E43C7" w:rsidR="00FE0C02" w:rsidRPr="002D237E" w:rsidRDefault="00FD237E" w:rsidP="00FD237E">
      <w:pPr>
        <w:pStyle w:val="ManualNumPar1"/>
      </w:pPr>
      <w:r>
        <w:t>(1)</w:t>
      </w:r>
      <w:r>
        <w:tab/>
      </w:r>
      <w:r w:rsidR="00FE0C02" w:rsidRPr="002D237E">
        <w:t>Zur Meldung von Großkrediten an Kunden oder Gruppen verbundener Kunden auf Einzel- und auf konsolidierter Basis gemäß Artikel 394 der Verordnung (EU) Nr. 575/2013 übermitteln die Institute die in Anhang VIII genannten Angaben gemäß den Erläuterungen in Anhang IX in vierteljährlichen Intervallen.</w:t>
      </w:r>
    </w:p>
    <w:p w14:paraId="1BE89751" w14:textId="66E6334D" w:rsidR="00FE0C02" w:rsidRPr="002D237E" w:rsidRDefault="00FD237E" w:rsidP="00FD237E">
      <w:pPr>
        <w:pStyle w:val="ManualNumPar1"/>
      </w:pPr>
      <w:r>
        <w:t>(2)</w:t>
      </w:r>
      <w:r>
        <w:tab/>
      </w:r>
      <w:r w:rsidR="00FE0C02" w:rsidRPr="002D237E">
        <w:t>Zur Meldung der zwanzig größten Kredite an Kunden oder Gruppen verbundener Kunden auf konsolidierter Basis gemäß Artikel 394 Absatz 1 der Verordnung (EU) Nr. 575/2013 übermitteln Institute, die unter Teil 3 Titel II Kapitel 3 der Verordnung (EU) Nr. 575/2013 fallen, die in Anhang VIII genannten Angaben gemäß den Erläuterungen in Anhang IX in vierteljährlichen Intervallen.</w:t>
      </w:r>
    </w:p>
    <w:p w14:paraId="4501AF0E" w14:textId="13232269" w:rsidR="00FE0C02" w:rsidRPr="002D237E" w:rsidRDefault="00FD237E" w:rsidP="00FD237E">
      <w:pPr>
        <w:pStyle w:val="ManualNumPar1"/>
      </w:pPr>
      <w:r>
        <w:t>(3)</w:t>
      </w:r>
      <w:r>
        <w:tab/>
      </w:r>
      <w:r w:rsidR="00FE0C02" w:rsidRPr="002D237E">
        <w:t>Zur Meldung von Risikopositionen, deren Wert 300 Mio. EUR oder mehr beträgt, die aber weniger als 10 % des Kernkapitals des Instituts ausmachen, auf konsolidierter Basis gemäß Artikel 394 Absatz 1 der Verordnung (EU) Nr. 575/2013 übermitteln die Institute die in Anhang VIII genannten Angaben gemäß den Erläuterungen in Anhang IX in vierteljährlichen Intervallen.</w:t>
      </w:r>
    </w:p>
    <w:p w14:paraId="6CA58180" w14:textId="07AA6446" w:rsidR="00FE0C02" w:rsidRPr="002D237E" w:rsidRDefault="00FD237E" w:rsidP="00FD237E">
      <w:pPr>
        <w:pStyle w:val="ManualNumPar1"/>
      </w:pPr>
      <w:r>
        <w:t>(4)</w:t>
      </w:r>
      <w:r>
        <w:tab/>
      </w:r>
      <w:r w:rsidR="00FE0C02" w:rsidRPr="002D237E">
        <w:t>Zur Meldung der zehn größten Kredite gegenüber Instituten auf konsolidierter Basis sowie der zehn größten Kredite gegenüber Schattenbankunternehmen, die außerhalb des Regelungsrahmens Banktätigkeiten ausüben, auf konsolidierter Basis gemäß Artikel 394 Absatz 2 der Verordnung (EU) Nr. 575/2013 übermitteln die Institute die in Anhang VIII genannten Angaben gemäß den Erläuterungen in Anhang IX in vierteljährlichen Intervallen.</w:t>
      </w:r>
    </w:p>
    <w:p w14:paraId="24660E67" w14:textId="77777777" w:rsidR="00FE0C02" w:rsidRPr="002D237E" w:rsidRDefault="00FE0C02" w:rsidP="00FE0C02">
      <w:pPr>
        <w:pStyle w:val="Titrearticle"/>
      </w:pPr>
      <w:r w:rsidRPr="002D237E">
        <w:t xml:space="preserve">Artikel </w:t>
      </w:r>
      <w:r w:rsidR="001F45A3">
        <w:fldChar w:fldCharType="begin"/>
      </w:r>
      <w:r w:rsidR="001F45A3">
        <w:instrText xml:space="preserve"> seq article </w:instrText>
      </w:r>
      <w:r w:rsidR="001F45A3">
        <w:fldChar w:fldCharType="separate"/>
      </w:r>
      <w:r w:rsidRPr="002D237E">
        <w:t>15</w:t>
      </w:r>
      <w:r w:rsidR="001F45A3">
        <w:fldChar w:fldCharType="end"/>
      </w:r>
    </w:p>
    <w:p w14:paraId="7A43457A" w14:textId="77777777" w:rsidR="00FE0C02" w:rsidRPr="002D237E" w:rsidRDefault="00FE0C02" w:rsidP="00FE0C02">
      <w:pPr>
        <w:pStyle w:val="Titrearticle"/>
        <w:spacing w:before="120"/>
        <w:rPr>
          <w:b/>
          <w:i w:val="0"/>
        </w:rPr>
      </w:pPr>
      <w:r w:rsidRPr="002D237E">
        <w:rPr>
          <w:b/>
          <w:i w:val="0"/>
        </w:rPr>
        <w:t>Meldung zur Verschuldungsquote auf Einzel- und auf konsolidierter Basis</w:t>
      </w:r>
    </w:p>
    <w:p w14:paraId="01CD6524" w14:textId="53A68236" w:rsidR="00FE0C02" w:rsidRPr="002D237E" w:rsidRDefault="00FD237E" w:rsidP="00FD237E">
      <w:pPr>
        <w:pStyle w:val="ManualNumPar1"/>
      </w:pPr>
      <w:r>
        <w:t>(1)</w:t>
      </w:r>
      <w:r>
        <w:tab/>
      </w:r>
      <w:r w:rsidR="00FE0C02" w:rsidRPr="002D237E">
        <w:t>Zur Meldung von Angaben zur Verschuldungsquote auf Einzel- und auf konsolidierter Basis gemäß Artikel 430 Absatz 1 Buchstabe a der Verordnung (EU) Nr. 575/2013 übermitteln die Institute die in Anhang X genannten Angaben gemäß den Erläuterungen in Anhang XI in vierteljährlichen Intervallen. Der Meldebogen 48.00 in Anhang X wird nur von großen Instituten übermittelt.</w:t>
      </w:r>
    </w:p>
    <w:p w14:paraId="3FADC775" w14:textId="4A4828FD" w:rsidR="00FE0C02" w:rsidRPr="002D237E" w:rsidRDefault="00FD237E" w:rsidP="00FD237E">
      <w:pPr>
        <w:pStyle w:val="ManualNumPar1"/>
      </w:pPr>
      <w:r>
        <w:t>(2)</w:t>
      </w:r>
      <w:r>
        <w:tab/>
      </w:r>
      <w:r w:rsidR="00FE0C02" w:rsidRPr="002D237E">
        <w:t>Die in Anhang X Meldebogen 40.00 Feld {r0410;c0010} genannten Angaben werden nur übermittelt von:</w:t>
      </w:r>
    </w:p>
    <w:p w14:paraId="08C9A1E3" w14:textId="77777777" w:rsidR="00FE0C02" w:rsidRPr="002D237E" w:rsidRDefault="00FE0C02" w:rsidP="00FE0C02">
      <w:pPr>
        <w:pStyle w:val="Point2"/>
      </w:pPr>
      <w:r w:rsidRPr="002D237E">
        <w:t>a)</w:t>
      </w:r>
      <w:r w:rsidRPr="002D237E">
        <w:tab/>
        <w:t xml:space="preserve">großen Instituten, bei denen es sich entweder um G-SRI oder um Institute handelt, deren Titel zum Handel an einem geregelten Markt zugelassen sind, in halbjährlichen Intervallen; </w:t>
      </w:r>
    </w:p>
    <w:p w14:paraId="3A54256E" w14:textId="77777777" w:rsidR="00FE0C02" w:rsidRPr="002D237E" w:rsidRDefault="00FE0C02" w:rsidP="00FE0C02">
      <w:pPr>
        <w:pStyle w:val="Point2"/>
      </w:pPr>
      <w:r w:rsidRPr="002D237E">
        <w:lastRenderedPageBreak/>
        <w:t>b)</w:t>
      </w:r>
      <w:r w:rsidRPr="002D237E">
        <w:tab/>
        <w:t>großen, nicht börsennotierten Instituten, bei denen es sich nicht um G-SRI handelt, in jährlichen Intervallen;</w:t>
      </w:r>
    </w:p>
    <w:p w14:paraId="492CCDFE" w14:textId="77777777" w:rsidR="00FE0C02" w:rsidRPr="002D237E" w:rsidRDefault="00FE0C02" w:rsidP="00FE0C02">
      <w:pPr>
        <w:pStyle w:val="Point2"/>
      </w:pPr>
      <w:r w:rsidRPr="002D237E">
        <w:t>c)</w:t>
      </w:r>
      <w:r w:rsidRPr="002D237E">
        <w:tab/>
        <w:t xml:space="preserve">Instituten, bei denen es sich nicht um große Institute handelt, sowie kleine und nicht komplexe Institute, deren Titel zum Handel an einem geregelten Markt zugelassen sind, in jährlichen Intervallen; </w:t>
      </w:r>
    </w:p>
    <w:p w14:paraId="56E76BBA" w14:textId="1B76915D" w:rsidR="00FE0C02" w:rsidRPr="002D237E" w:rsidRDefault="00FD237E" w:rsidP="00FD237E">
      <w:pPr>
        <w:pStyle w:val="ManualNumPar1"/>
      </w:pPr>
      <w:r>
        <w:t>(3)</w:t>
      </w:r>
      <w:r>
        <w:tab/>
      </w:r>
      <w:r w:rsidR="00FE0C02" w:rsidRPr="002D237E">
        <w:t>Die Institute berechnen die Verschuldungsquote zum Meldestichtag gemäß Artikel 429 der Verordnung (EU) Nr. 575/2013.</w:t>
      </w:r>
    </w:p>
    <w:p w14:paraId="071CB257" w14:textId="4B0D3A74" w:rsidR="00FE0C02" w:rsidRPr="002D237E" w:rsidRDefault="00FD237E" w:rsidP="00FD237E">
      <w:pPr>
        <w:pStyle w:val="ManualNumPar1"/>
      </w:pPr>
      <w:r>
        <w:t>(4)</w:t>
      </w:r>
      <w:r>
        <w:tab/>
      </w:r>
      <w:r w:rsidR="00FE0C02" w:rsidRPr="002D237E">
        <w:t>Die Institute übermitteln die in Anhang XI Teil II Nummer 13 genannten Angaben, wenn mindestens eine der nachstehend genannten Bedingungen erfüllt ist:</w:t>
      </w:r>
    </w:p>
    <w:p w14:paraId="72F25911" w14:textId="77777777" w:rsidR="00FE0C02" w:rsidRPr="002D237E" w:rsidRDefault="00FE0C02" w:rsidP="00FE0C02">
      <w:pPr>
        <w:pStyle w:val="Point1"/>
      </w:pPr>
      <w:r w:rsidRPr="002D237E">
        <w:t>a)</w:t>
      </w:r>
      <w:r w:rsidRPr="002D237E">
        <w:tab/>
        <w:t>der in Anhang XI Teil II Nummer 5 genannte Derivate-Anteil beträgt mehr als 1,5 %;</w:t>
      </w:r>
    </w:p>
    <w:p w14:paraId="564FDA7C" w14:textId="77777777" w:rsidR="00FE0C02" w:rsidRPr="002D237E" w:rsidRDefault="00FE0C02" w:rsidP="00FE0C02">
      <w:pPr>
        <w:pStyle w:val="Point1"/>
      </w:pPr>
      <w:r w:rsidRPr="002D237E">
        <w:t>b)</w:t>
      </w:r>
      <w:r w:rsidRPr="002D237E">
        <w:tab/>
        <w:t>der in Anhang XI Teil II Nummer 5 genannte Derivate-Anteil liegt über 2 %.</w:t>
      </w:r>
    </w:p>
    <w:p w14:paraId="507DA3E2" w14:textId="77777777" w:rsidR="00FE0C02" w:rsidRPr="002D237E" w:rsidRDefault="00FE0C02" w:rsidP="00FE0C02">
      <w:pPr>
        <w:pStyle w:val="Text1"/>
        <w:rPr>
          <w:szCs w:val="24"/>
        </w:rPr>
      </w:pPr>
      <w:r w:rsidRPr="002D237E">
        <w:t xml:space="preserve">Erfüllt ein Institut nur die unter Buchstabe a genannte Bedingung, gelten die Ein- und Austrittskriterien von Artikel 4 Absatz 3. </w:t>
      </w:r>
    </w:p>
    <w:p w14:paraId="7F04F0F6" w14:textId="77777777" w:rsidR="00FE0C02" w:rsidRPr="002D237E" w:rsidRDefault="00FE0C02" w:rsidP="00FE0C02">
      <w:pPr>
        <w:pStyle w:val="Text1"/>
      </w:pPr>
      <w:r w:rsidRPr="002D237E">
        <w:t>Erfüllt ein Institut sowohl die unter Buchstabe a als auch die unter Buchstabe b genannte Bedingung, übermittelt es diese Angaben zum ersten Meldestichtag nach dem Stichtag, an dem es diesen Schwellenwert überschritten hat.</w:t>
      </w:r>
    </w:p>
    <w:p w14:paraId="7B9D01BA" w14:textId="119C2261" w:rsidR="00FE0C02" w:rsidRPr="002D237E" w:rsidRDefault="00FD237E" w:rsidP="00FD237E">
      <w:pPr>
        <w:pStyle w:val="ManualNumPar1"/>
      </w:pPr>
      <w:r>
        <w:t>(5)</w:t>
      </w:r>
      <w:r>
        <w:tab/>
      </w:r>
      <w:r w:rsidR="00FE0C02" w:rsidRPr="002D237E">
        <w:t>Institute, bei denen der in Anhang XI Teil II Nummer 8 definierte Gesamt-Nominalwert der Derivate 10 000 Mio. EUR übersteigt, übermitteln die in Anhang XI Teil II Nummer 13 genannten Angaben auch dann, wenn ihr Derivate-Anteil die in Absatz 4 genannten Bedingungen nicht erfüllt.</w:t>
      </w:r>
    </w:p>
    <w:p w14:paraId="51584038" w14:textId="77777777" w:rsidR="00FE0C02" w:rsidRPr="002D237E" w:rsidRDefault="00FE0C02" w:rsidP="00FE0C02">
      <w:pPr>
        <w:pStyle w:val="Text1"/>
      </w:pPr>
      <w:r w:rsidRPr="002D237E">
        <w:t>Die Ein- und Austrittskriterien von Artikel 4 Absatz 3 gelten für die Zwecke des vorliegenden Absatzes nicht. Hat ein Institut den Schwellenwert an einem Meldestichtag überschritten, übermittelt es seine Angaben erstmals ab dem nächsten Meldestichtag.</w:t>
      </w:r>
    </w:p>
    <w:p w14:paraId="41A483BA" w14:textId="20DF8081" w:rsidR="00FE0C02" w:rsidRPr="002D237E" w:rsidRDefault="00A263B9" w:rsidP="00FD237E">
      <w:pPr>
        <w:pStyle w:val="ManualNumPar1"/>
      </w:pPr>
      <w:r>
        <w:t>(6)</w:t>
      </w:r>
      <w:r>
        <w:tab/>
      </w:r>
      <w:r w:rsidR="00FE0C02" w:rsidRPr="002D237E">
        <w:t>Die Institute müssen die in Anhang XI Teil II Nummer 14 genannten Angaben übermitteln, wenn mindestens eine der nachstehend genannten Bedingungen erfüllt ist:</w:t>
      </w:r>
    </w:p>
    <w:p w14:paraId="5F5E592D" w14:textId="77777777" w:rsidR="00FE0C02" w:rsidRPr="002D237E" w:rsidRDefault="00FE0C02" w:rsidP="00FE0C02">
      <w:pPr>
        <w:pStyle w:val="Point1"/>
      </w:pPr>
      <w:r w:rsidRPr="002D237E">
        <w:t>a)</w:t>
      </w:r>
      <w:r w:rsidRPr="002D237E">
        <w:tab/>
        <w:t>Das in Anhang XI Teil II Nummer 9 genannte Kreditderivate-Volumen beträgt mehr als 300 Mio. EUR;</w:t>
      </w:r>
    </w:p>
    <w:p w14:paraId="418FEEAF" w14:textId="77777777" w:rsidR="00FE0C02" w:rsidRPr="002D237E" w:rsidRDefault="00FE0C02" w:rsidP="00FE0C02">
      <w:pPr>
        <w:pStyle w:val="Point1"/>
      </w:pPr>
      <w:r w:rsidRPr="002D237E">
        <w:t>b)</w:t>
      </w:r>
      <w:r w:rsidRPr="002D237E">
        <w:tab/>
        <w:t>das in Anhang XI Teil II Nummer 9 genannte Kreditderivate-Volumen liegt über 500 Mio. EUR.</w:t>
      </w:r>
    </w:p>
    <w:p w14:paraId="49C49986" w14:textId="77777777" w:rsidR="00FE0C02" w:rsidRPr="002D237E" w:rsidRDefault="00FE0C02" w:rsidP="00FE0C02">
      <w:pPr>
        <w:pStyle w:val="Text1"/>
      </w:pPr>
      <w:r w:rsidRPr="002D237E">
        <w:t>Erfüllt ein Institut nur die unter Buchstabe a genannte Bedingung, gelten die Ein- und Austrittskriterien von Artikel 4 Absatz 3. Erfüllt ein Institut sowohl die unter Buchstabe a als auch die unter Buchstabe b genannte Bedingung, übermittelt es diese Angaben zum ersten Meldestichtag nach dem Stichtag, an dem es diesen Schwellenwert überschritten hat.</w:t>
      </w:r>
    </w:p>
    <w:p w14:paraId="16427D61" w14:textId="77777777" w:rsidR="00FE0C02" w:rsidRPr="002D237E" w:rsidRDefault="00FE0C02" w:rsidP="00FE0C02">
      <w:pPr>
        <w:pStyle w:val="Titrearticle"/>
      </w:pPr>
      <w:r w:rsidRPr="002D237E">
        <w:t xml:space="preserve">Artikel </w:t>
      </w:r>
      <w:r w:rsidR="001F45A3">
        <w:fldChar w:fldCharType="begin"/>
      </w:r>
      <w:r w:rsidR="001F45A3">
        <w:instrText xml:space="preserve"> seq article </w:instrText>
      </w:r>
      <w:r w:rsidR="001F45A3">
        <w:fldChar w:fldCharType="separate"/>
      </w:r>
      <w:r w:rsidRPr="002D237E">
        <w:t>16</w:t>
      </w:r>
      <w:r w:rsidR="001F45A3">
        <w:fldChar w:fldCharType="end"/>
      </w:r>
    </w:p>
    <w:p w14:paraId="0FD0A199" w14:textId="77777777" w:rsidR="00FE0C02" w:rsidRPr="002D237E" w:rsidRDefault="00FE0C02" w:rsidP="00FE0C02">
      <w:pPr>
        <w:pStyle w:val="Titrearticle"/>
        <w:spacing w:before="120"/>
        <w:rPr>
          <w:b/>
          <w:i w:val="0"/>
        </w:rPr>
      </w:pPr>
      <w:r w:rsidRPr="002D237E">
        <w:rPr>
          <w:b/>
          <w:i w:val="0"/>
        </w:rPr>
        <w:t>Meldung zur Liquiditätsdeckungsanforderung auf Einzel- und auf konsolidierter Basis</w:t>
      </w:r>
    </w:p>
    <w:p w14:paraId="51D41644" w14:textId="15EA62D1" w:rsidR="00FE0C02" w:rsidRPr="002D237E" w:rsidRDefault="00A263B9" w:rsidP="00A263B9">
      <w:pPr>
        <w:pStyle w:val="ManualNumPar1"/>
      </w:pPr>
      <w:r>
        <w:t>(1)</w:t>
      </w:r>
      <w:r>
        <w:tab/>
      </w:r>
      <w:r w:rsidR="00FE0C02" w:rsidRPr="002D237E">
        <w:t>Zur Meldung von Angaben zur Liquiditätsdeckungsanforderung auf Einzel- und auf konsolidierter Basis gemäß Artikel 430 Absatz 1 Buchstabe d der Verordnung (EU) Nr. 575/2013 übermitteln die Institute die in Anhang XXIV genannten Angaben gemäß den Erläuterungen in Anhang XXV in monatlichen Intervallen.</w:t>
      </w:r>
    </w:p>
    <w:p w14:paraId="50670492" w14:textId="3695D317" w:rsidR="00FE0C02" w:rsidRPr="002D237E" w:rsidRDefault="00A263B9" w:rsidP="00A263B9">
      <w:pPr>
        <w:pStyle w:val="ManualNumPar1"/>
      </w:pPr>
      <w:r>
        <w:lastRenderedPageBreak/>
        <w:t>(2)</w:t>
      </w:r>
      <w:r>
        <w:tab/>
      </w:r>
      <w:r w:rsidR="00FE0C02" w:rsidRPr="002D237E">
        <w:t>Bei den Angaben in Anhang XXIV sind die zum Meldestichtag übermittelten Angaben und die Angaben zu den Cashflows des Instituts in den darauffolgenden 30 Kalendertagen zu berücksichtigen.</w:t>
      </w:r>
    </w:p>
    <w:p w14:paraId="1B273506" w14:textId="77777777" w:rsidR="00FE0C02" w:rsidRPr="002D237E" w:rsidRDefault="00FE0C02" w:rsidP="00FE0C02">
      <w:pPr>
        <w:pStyle w:val="Titrearticle"/>
      </w:pPr>
      <w:r w:rsidRPr="002D237E">
        <w:t xml:space="preserve">Artikel </w:t>
      </w:r>
      <w:r w:rsidR="001F45A3">
        <w:fldChar w:fldCharType="begin"/>
      </w:r>
      <w:r w:rsidR="001F45A3">
        <w:instrText xml:space="preserve"> seq article </w:instrText>
      </w:r>
      <w:r w:rsidR="001F45A3">
        <w:fldChar w:fldCharType="separate"/>
      </w:r>
      <w:r w:rsidRPr="002D237E">
        <w:t>17</w:t>
      </w:r>
      <w:r w:rsidR="001F45A3">
        <w:fldChar w:fldCharType="end"/>
      </w:r>
    </w:p>
    <w:p w14:paraId="4A29F4CE" w14:textId="77777777" w:rsidR="00FE0C02" w:rsidRPr="002D237E" w:rsidRDefault="00FE0C02" w:rsidP="00FE0C02">
      <w:pPr>
        <w:pStyle w:val="Titrearticle"/>
        <w:spacing w:before="120"/>
        <w:rPr>
          <w:b/>
          <w:i w:val="0"/>
        </w:rPr>
      </w:pPr>
      <w:r w:rsidRPr="002D237E">
        <w:rPr>
          <w:b/>
          <w:i w:val="0"/>
        </w:rPr>
        <w:t>Angaben zur stabilen Refinanzierung auf Einzel- und auf konsolidierter Basis</w:t>
      </w:r>
    </w:p>
    <w:p w14:paraId="46A16391" w14:textId="77777777" w:rsidR="00FE0C02" w:rsidRPr="002D237E" w:rsidRDefault="00FE0C02" w:rsidP="00FE0C02">
      <w:r w:rsidRPr="002D237E">
        <w:t>Für ihre Meldungen zur stabilen Refinanzierung auf Einzel- und auf konsolidierter Basis gemäß Artikel 430 Absatz 1 Buchstabe d der Verordnung (EU) Nr. 575/2013 übermitteln die Institute die in Anhang XII genannten Angaben gemäß den Erläuterungen in Anhang XIII in vierteljährlichen Intervallen; hierbei gilt:</w:t>
      </w:r>
    </w:p>
    <w:p w14:paraId="38759E9F" w14:textId="77777777" w:rsidR="00FE0C02" w:rsidRPr="002D237E" w:rsidRDefault="00FE0C02" w:rsidP="00FE0C02">
      <w:pPr>
        <w:pStyle w:val="Point1"/>
      </w:pPr>
      <w:r w:rsidRPr="002D237E">
        <w:t>a)</w:t>
      </w:r>
      <w:r w:rsidRPr="002D237E">
        <w:tab/>
        <w:t xml:space="preserve">Kleine und nicht komplexe Institute, die sich mit vorheriger Erlaubnis der für sie zuständigen Behörde gemäß Artikel 428ai der Verordnung (EU) Nr. 575/2013 dafür entschieden haben, ihre strukturelle Liquiditätsquote (NSFR) nach der in Teil 6 Titel IV </w:t>
      </w:r>
      <w:r w:rsidRPr="002D237E">
        <w:rPr>
          <w:color w:val="000000"/>
        </w:rPr>
        <w:t>Kapitel 6</w:t>
      </w:r>
      <w:r w:rsidRPr="002D237E">
        <w:t xml:space="preserve"> und 7 jener Verordnung dargelegten Methode zu berechnen, übermitteln die Meldebögen 82 und 83 in Anhang XII der vorliegenden Verordnung gemäß den Erläuterungen in Anhang XIII der vorliegenden Verordnung;</w:t>
      </w:r>
    </w:p>
    <w:p w14:paraId="135317A6" w14:textId="77777777" w:rsidR="00FE0C02" w:rsidRPr="002D237E" w:rsidRDefault="00FE0C02" w:rsidP="00FE0C02">
      <w:pPr>
        <w:pStyle w:val="Point1"/>
      </w:pPr>
      <w:r w:rsidRPr="002D237E">
        <w:t>b)</w:t>
      </w:r>
      <w:r w:rsidRPr="002D237E">
        <w:tab/>
        <w:t xml:space="preserve">die nicht unter Buchstabe a genannten Institute übermitteln die Meldebögen 80 und 81 in Anhang XII gemäß den Erläuterungen in Anhang XIII; </w:t>
      </w:r>
    </w:p>
    <w:p w14:paraId="75BF05A1" w14:textId="77777777" w:rsidR="00FE0C02" w:rsidRPr="002D237E" w:rsidRDefault="00FE0C02" w:rsidP="00FE0C02">
      <w:pPr>
        <w:pStyle w:val="Point1"/>
      </w:pPr>
      <w:r w:rsidRPr="002D237E">
        <w:t>c)</w:t>
      </w:r>
      <w:r w:rsidRPr="002D237E">
        <w:tab/>
        <w:t>den Meldebogen 84 in Anhang XII übermitteln alle Institute gemäß den Erläuterungen in Anhang XIII.</w:t>
      </w:r>
    </w:p>
    <w:p w14:paraId="3C47F8E2" w14:textId="77777777" w:rsidR="00FE0C02" w:rsidRPr="002D237E" w:rsidRDefault="00FE0C02" w:rsidP="00FE0C02">
      <w:pPr>
        <w:pStyle w:val="Titrearticle"/>
      </w:pPr>
      <w:r w:rsidRPr="002D237E">
        <w:t xml:space="preserve">Artikel </w:t>
      </w:r>
      <w:r w:rsidR="001F45A3">
        <w:fldChar w:fldCharType="begin"/>
      </w:r>
      <w:r w:rsidR="001F45A3">
        <w:instrText xml:space="preserve"> seq article </w:instrText>
      </w:r>
      <w:r w:rsidR="001F45A3">
        <w:fldChar w:fldCharType="separate"/>
      </w:r>
      <w:r w:rsidRPr="002D237E">
        <w:t>18</w:t>
      </w:r>
      <w:r w:rsidR="001F45A3">
        <w:fldChar w:fldCharType="end"/>
      </w:r>
    </w:p>
    <w:p w14:paraId="3023D8A2" w14:textId="77777777" w:rsidR="00FE0C02" w:rsidRPr="002D237E" w:rsidRDefault="00FE0C02" w:rsidP="00FE0C02">
      <w:pPr>
        <w:pStyle w:val="Titrearticle"/>
        <w:spacing w:before="120"/>
        <w:rPr>
          <w:b/>
          <w:i w:val="0"/>
        </w:rPr>
      </w:pPr>
      <w:r w:rsidRPr="002D237E">
        <w:rPr>
          <w:b/>
          <w:i w:val="0"/>
        </w:rPr>
        <w:t>Angaben zu zusätzlichen Parametern für die Liquiditätsüberwachung auf Einzel- und auf konsolidierter Basis</w:t>
      </w:r>
    </w:p>
    <w:p w14:paraId="6A3A9338" w14:textId="301221EC" w:rsidR="00FE0C02" w:rsidRPr="002D237E" w:rsidRDefault="00A263B9" w:rsidP="00A263B9">
      <w:pPr>
        <w:pStyle w:val="ManualNumPar1"/>
      </w:pPr>
      <w:r>
        <w:t>(1)</w:t>
      </w:r>
      <w:r>
        <w:tab/>
      </w:r>
      <w:r w:rsidR="00FE0C02" w:rsidRPr="002D237E">
        <w:t xml:space="preserve">Zur Meldung zusätzlicher Parameter für die Liquiditätsüberwachung auf Einzel- und auf konsolidierter Basis gemäß Artikel 430 Absatz 1 Buchstabe d der Verordnung (EU) Nr. 575/2013 übermitteln die Institute alle nachstehend genannten Angaben in monatlichen Intervallen: </w:t>
      </w:r>
    </w:p>
    <w:p w14:paraId="642EB969" w14:textId="77777777" w:rsidR="00FE0C02" w:rsidRPr="002D237E" w:rsidRDefault="00FE0C02" w:rsidP="00FE0C02">
      <w:pPr>
        <w:pStyle w:val="Point1"/>
      </w:pPr>
      <w:r w:rsidRPr="002D237E">
        <w:t>a)</w:t>
      </w:r>
      <w:r w:rsidRPr="002D237E">
        <w:tab/>
        <w:t xml:space="preserve">die in Anhang XVIII genannten Angaben gemäß den Erläuterungen in Anhang XIX; </w:t>
      </w:r>
    </w:p>
    <w:p w14:paraId="6F8BEAD3" w14:textId="77777777" w:rsidR="00FE0C02" w:rsidRPr="002D237E" w:rsidRDefault="00FE0C02" w:rsidP="00FE0C02">
      <w:pPr>
        <w:pStyle w:val="Point1"/>
      </w:pPr>
      <w:r w:rsidRPr="002D237E">
        <w:t>b)</w:t>
      </w:r>
      <w:r w:rsidRPr="002D237E">
        <w:tab/>
        <w:t xml:space="preserve">die in Anhang XX genannten Angaben gemäß den Erläuterungen in Anhang XXI; </w:t>
      </w:r>
    </w:p>
    <w:p w14:paraId="65BCA041" w14:textId="77777777" w:rsidR="00FE0C02" w:rsidRPr="002D237E" w:rsidRDefault="00FE0C02" w:rsidP="00FE0C02">
      <w:pPr>
        <w:pStyle w:val="Point1"/>
      </w:pPr>
      <w:r w:rsidRPr="002D237E">
        <w:t>c)</w:t>
      </w:r>
      <w:r w:rsidRPr="002D237E">
        <w:tab/>
        <w:t xml:space="preserve">die in Anhang XXII genannten Angaben gemäß den Erläuterungen in Anhang XXIII. </w:t>
      </w:r>
    </w:p>
    <w:p w14:paraId="105CC458" w14:textId="37595EF7" w:rsidR="00FE0C02" w:rsidRPr="002D237E" w:rsidRDefault="00A263B9" w:rsidP="00A263B9">
      <w:pPr>
        <w:pStyle w:val="ManualNumPar1"/>
        <w:rPr>
          <w:szCs w:val="32"/>
        </w:rPr>
      </w:pPr>
      <w:r>
        <w:t>(2)</w:t>
      </w:r>
      <w:r>
        <w:tab/>
      </w:r>
      <w:r w:rsidR="00FE0C02" w:rsidRPr="002D237E">
        <w:t>Abweichend von Absatz 1 kann ein Institut, das alle in Artikel 4 Absatz 1 Nummer 145 der Verordnung (EU) Nr. 575/2013 genannten Bedingungen erfüllt, die Angaben zu zusätzlichen Parametern für die Liquiditätsüberwachung in vierteljährlichen Intervallen übermitteln.</w:t>
      </w:r>
    </w:p>
    <w:p w14:paraId="51E51891" w14:textId="77777777" w:rsidR="00FE0C02" w:rsidRPr="002D237E" w:rsidRDefault="00FE0C02" w:rsidP="00FE0C02">
      <w:pPr>
        <w:pStyle w:val="Titrearticle"/>
      </w:pPr>
      <w:r w:rsidRPr="002D237E">
        <w:t>Artikel 19</w:t>
      </w:r>
    </w:p>
    <w:p w14:paraId="5CEC6025" w14:textId="77777777" w:rsidR="00FE0C02" w:rsidRPr="002D237E" w:rsidRDefault="00FE0C02" w:rsidP="00FE0C02">
      <w:pPr>
        <w:pStyle w:val="Text1"/>
      </w:pPr>
      <w:r w:rsidRPr="002D237E">
        <w:rPr>
          <w:b/>
        </w:rPr>
        <w:t>Angaben zur Belastung von Vermögenswerten auf Einzel- und auf konsolidierter Basis</w:t>
      </w:r>
    </w:p>
    <w:p w14:paraId="733153BD" w14:textId="49E488FA" w:rsidR="00FE0C02" w:rsidRPr="002D237E" w:rsidRDefault="002D45CF" w:rsidP="002D45CF">
      <w:pPr>
        <w:pStyle w:val="ManualNumPar1"/>
      </w:pPr>
      <w:r>
        <w:lastRenderedPageBreak/>
        <w:t>(1)</w:t>
      </w:r>
      <w:r>
        <w:tab/>
      </w:r>
      <w:r w:rsidR="00FE0C02" w:rsidRPr="002D237E">
        <w:t xml:space="preserve">Zur Meldung von Angaben zur Belastung von Vermögenswerten auf Einzel- und auf konsolidierter Basis nach Artikel 430 Absatz 1 Buchstabe g der Verordnung (EU) Nr. 575/2013 übermitteln die Institute die in Anhang XVI der vorliegenden Verordnung genannten Angaben gemäß den Erläuterungen in Anhang XVII der vorliegenden Verordnung. </w:t>
      </w:r>
    </w:p>
    <w:p w14:paraId="466673DE" w14:textId="18F7D383" w:rsidR="00FE0C02" w:rsidRPr="002D237E" w:rsidRDefault="002D45CF" w:rsidP="002D45CF">
      <w:pPr>
        <w:pStyle w:val="ManualNumPar1"/>
      </w:pPr>
      <w:r>
        <w:t>(2)</w:t>
      </w:r>
      <w:r>
        <w:tab/>
      </w:r>
      <w:r w:rsidR="00FE0C02" w:rsidRPr="002D237E">
        <w:t xml:space="preserve">Die in Absatz 1 genannten Angaben sind wie folgt zu übermitteln: </w:t>
      </w:r>
    </w:p>
    <w:p w14:paraId="6377EF60" w14:textId="77777777" w:rsidR="00FE0C02" w:rsidRPr="002D237E" w:rsidRDefault="00FE0C02" w:rsidP="00FE0C02">
      <w:pPr>
        <w:pStyle w:val="Point1"/>
      </w:pPr>
      <w:r w:rsidRPr="002D237E">
        <w:t>a)</w:t>
      </w:r>
      <w:r w:rsidRPr="002D237E">
        <w:tab/>
        <w:t xml:space="preserve">die in Anhang XIV Teile A, B und D genannten Angaben in vierteljährlichen Intervallen; </w:t>
      </w:r>
    </w:p>
    <w:p w14:paraId="0B272D04" w14:textId="77777777" w:rsidR="00FE0C02" w:rsidRPr="002D237E" w:rsidRDefault="00FE0C02" w:rsidP="00FE0C02">
      <w:pPr>
        <w:pStyle w:val="Point1"/>
      </w:pPr>
      <w:r w:rsidRPr="002D237E">
        <w:t>b)</w:t>
      </w:r>
      <w:r w:rsidRPr="002D237E">
        <w:tab/>
        <w:t xml:space="preserve">die in Anhang XVI Teil C genannten Angaben in jährlichen Intervallen; </w:t>
      </w:r>
    </w:p>
    <w:p w14:paraId="78F69E95" w14:textId="77777777" w:rsidR="00FE0C02" w:rsidRPr="002D237E" w:rsidRDefault="00FE0C02" w:rsidP="00FE0C02">
      <w:pPr>
        <w:pStyle w:val="Point1"/>
      </w:pPr>
      <w:r w:rsidRPr="002D237E">
        <w:t>c)</w:t>
      </w:r>
      <w:r w:rsidRPr="002D237E">
        <w:tab/>
        <w:t xml:space="preserve">die in Anhang XVI Teil E genannten Angaben in halbjährlichen Intervallen. </w:t>
      </w:r>
    </w:p>
    <w:p w14:paraId="282EB9CF" w14:textId="55D3ECB9" w:rsidR="00FE0C02" w:rsidRPr="002D237E" w:rsidRDefault="002D45CF" w:rsidP="002D45CF">
      <w:pPr>
        <w:pStyle w:val="ManualNumPar1"/>
      </w:pPr>
      <w:r>
        <w:t>(3)</w:t>
      </w:r>
      <w:r>
        <w:tab/>
      </w:r>
      <w:r w:rsidR="00FE0C02" w:rsidRPr="002D237E">
        <w:t xml:space="preserve">Nicht zur Übermittlung der in Anhang XVI Teile B, C und E genannten Angaben verpflichtet sind Institute, die die beiden folgenden Bedingungen erfüllen: </w:t>
      </w:r>
    </w:p>
    <w:p w14:paraId="239B0175" w14:textId="77777777" w:rsidR="00FE0C02" w:rsidRPr="002D237E" w:rsidRDefault="00FE0C02" w:rsidP="00FE0C02">
      <w:pPr>
        <w:pStyle w:val="Point1"/>
      </w:pPr>
      <w:r w:rsidRPr="002D237E">
        <w:t>a)</w:t>
      </w:r>
      <w:r w:rsidRPr="002D237E">
        <w:tab/>
        <w:t>Das Institut ist nicht als großes Institut anzusehen;</w:t>
      </w:r>
    </w:p>
    <w:p w14:paraId="0C93B562" w14:textId="77777777" w:rsidR="00FE0C02" w:rsidRPr="002D237E" w:rsidRDefault="00FE0C02" w:rsidP="00FE0C02">
      <w:pPr>
        <w:pStyle w:val="Point1"/>
      </w:pPr>
      <w:r w:rsidRPr="002D237E">
        <w:t>b)</w:t>
      </w:r>
      <w:r w:rsidRPr="002D237E">
        <w:tab/>
        <w:t>die nach Anhang XVII Nummer 1.6 Unterpunkt 9 berechnete Vermögenswertbelastung des Instituts beträgt weniger als 15 %.</w:t>
      </w:r>
    </w:p>
    <w:p w14:paraId="19A215D8" w14:textId="77777777" w:rsidR="00FE0C02" w:rsidRPr="002D237E" w:rsidRDefault="00FE0C02" w:rsidP="00FE0C02">
      <w:pPr>
        <w:pStyle w:val="Text1"/>
      </w:pPr>
      <w:r w:rsidRPr="002D237E">
        <w:t xml:space="preserve">Es gelten die in Artikel 4 Absatz 3 genannten Ein- und Austrittskriterien. </w:t>
      </w:r>
    </w:p>
    <w:p w14:paraId="7A2CBD82" w14:textId="2185A55D" w:rsidR="00FE0C02" w:rsidRPr="002D237E" w:rsidRDefault="002D45CF" w:rsidP="002D45CF">
      <w:pPr>
        <w:pStyle w:val="ManualNumPar1"/>
      </w:pPr>
      <w:r>
        <w:t>(4)</w:t>
      </w:r>
      <w:r>
        <w:tab/>
      </w:r>
      <w:r w:rsidR="00FE0C02" w:rsidRPr="002D237E">
        <w:t>Institute müssen die in Anhang XVI Teil D genannten Angaben nur übermitteln, wenn sie die in Artikel 52 Absatz 4 Unterabsatz 1 der Richtlinie 2009/65/EG des Europäischen Parlaments und des Rates</w:t>
      </w:r>
      <w:r w:rsidR="00FE0C02" w:rsidRPr="002D237E">
        <w:rPr>
          <w:rStyle w:val="FootnoteReference"/>
        </w:rPr>
        <w:footnoteReference w:id="11"/>
      </w:r>
      <w:r w:rsidR="00FE0C02" w:rsidRPr="002D237E">
        <w:t xml:space="preserve"> genannten Schuldverschreibungen begeben. </w:t>
      </w:r>
    </w:p>
    <w:p w14:paraId="216F0D5A" w14:textId="77777777" w:rsidR="00FE0C02" w:rsidRPr="002D237E" w:rsidRDefault="00FE0C02" w:rsidP="00FE0C02">
      <w:pPr>
        <w:pStyle w:val="Text1"/>
      </w:pPr>
      <w:r w:rsidRPr="002D237E">
        <w:t>Es gelten die in Artikel 4 Absatz 3 genannten Ein- und Austrittskriterien.</w:t>
      </w:r>
    </w:p>
    <w:p w14:paraId="3C60098A" w14:textId="77777777" w:rsidR="00FE0C02" w:rsidRPr="002D237E" w:rsidRDefault="00FE0C02" w:rsidP="00FE0C02">
      <w:pPr>
        <w:pStyle w:val="Titrearticle"/>
      </w:pPr>
      <w:r w:rsidRPr="002D237E">
        <w:t>Artikel 20</w:t>
      </w:r>
    </w:p>
    <w:p w14:paraId="4B5AD6C9" w14:textId="77777777" w:rsidR="00FE0C02" w:rsidRPr="002D237E" w:rsidRDefault="00FE0C02" w:rsidP="00FE0C02">
      <w:pPr>
        <w:pStyle w:val="Text1"/>
      </w:pPr>
      <w:r w:rsidRPr="002D237E">
        <w:rPr>
          <w:b/>
        </w:rPr>
        <w:t>Zusätzliche Meldungen auf konsolidierter Basis zur Ermittlung von G-SRI und zur Zuweisung von Quoten für die G-SRI-Puffer</w:t>
      </w:r>
    </w:p>
    <w:p w14:paraId="76EECD2F" w14:textId="15A437C8" w:rsidR="00FE0C02" w:rsidRPr="002D237E" w:rsidRDefault="002D45CF" w:rsidP="002D45CF">
      <w:pPr>
        <w:pStyle w:val="ManualNumPar1"/>
      </w:pPr>
      <w:r>
        <w:t>(1)</w:t>
      </w:r>
      <w:r>
        <w:tab/>
      </w:r>
      <w:r w:rsidR="00FE0C02" w:rsidRPr="002D237E">
        <w:t>Für zusätzliche Meldungen zur Ermittlung von G-SRI und zur Zuweisung von Quoten für die G-SRI-Puffer gemäß Artikel 131 der Richtlinie 2013/36/EU übermitteln EU-Mutterinstitute, EU-Mutterfinanzholdinggesellschaften und gemischte EU-Mutterfinanzholdinggesellschaften die in Anhang XXVI genannten Angaben gemäß den Erläuterungen in Anhang XXVII auf konsolidierter Basis und in vierteljährlichen Intervallen.</w:t>
      </w:r>
    </w:p>
    <w:p w14:paraId="4242810E" w14:textId="55BD6555" w:rsidR="00FE0C02" w:rsidRPr="002D237E" w:rsidRDefault="002D45CF" w:rsidP="002D45CF">
      <w:pPr>
        <w:pStyle w:val="ManualNumPar1"/>
      </w:pPr>
      <w:r>
        <w:t>(2)</w:t>
      </w:r>
      <w:r>
        <w:tab/>
      </w:r>
      <w:r w:rsidR="00FE0C02" w:rsidRPr="002D237E">
        <w:t>EU-Mutterinstitute, EU-Mutterfinanzholdinggesellschaften und gemischte EU-Mutterfinanzholdinggesellschaften müssen die in Absatz 1 genannten Angaben nur übermitteln, wenn die beiden folgenden Bedingungen erfüllt sind:</w:t>
      </w:r>
    </w:p>
    <w:p w14:paraId="0C5DCF08" w14:textId="77777777" w:rsidR="00FE0C02" w:rsidRPr="002D237E" w:rsidRDefault="00FE0C02" w:rsidP="00FE0C02">
      <w:pPr>
        <w:pStyle w:val="Point1"/>
      </w:pPr>
      <w:r w:rsidRPr="002D237E">
        <w:t>a)</w:t>
      </w:r>
      <w:r w:rsidRPr="002D237E">
        <w:tab/>
        <w:t>Die Gesamtrisikopositionsmessgröße der Gruppe samt etwaiger Tochterunternehmen aus der Versicherungssparte beträgt 125 000 Mio. EUR oder mehr;</w:t>
      </w:r>
    </w:p>
    <w:p w14:paraId="05DC0A53" w14:textId="77777777" w:rsidR="00FE0C02" w:rsidRPr="002D237E" w:rsidRDefault="00FE0C02" w:rsidP="00FE0C02">
      <w:pPr>
        <w:pStyle w:val="Point1"/>
      </w:pPr>
      <w:r w:rsidRPr="002D237E">
        <w:t>b)</w:t>
      </w:r>
      <w:r w:rsidRPr="002D237E">
        <w:tab/>
        <w:t xml:space="preserve">das EU-Mutterunternehmen, eines seiner Tochterunternehmen oder eine von dem Mutterunternehmen oder einem Tochterunternehmen betriebene Zweigstelle ist in einem teilnehmenden Mitgliedstaat im Sinne von Artikel 4 </w:t>
      </w:r>
      <w:r w:rsidRPr="002D237E">
        <w:lastRenderedPageBreak/>
        <w:t>der Verordnung (EU) Nr. 806/2014 des Europäischen Parlaments und des Rates</w:t>
      </w:r>
      <w:r w:rsidRPr="002D237E">
        <w:rPr>
          <w:rStyle w:val="FootnoteReference"/>
        </w:rPr>
        <w:footnoteReference w:id="12"/>
      </w:r>
      <w:r w:rsidRPr="002D237E">
        <w:t xml:space="preserve"> niedergelassen.</w:t>
      </w:r>
    </w:p>
    <w:p w14:paraId="6584D044" w14:textId="20AE036E" w:rsidR="00FE0C02" w:rsidRPr="002D237E" w:rsidRDefault="002D45CF" w:rsidP="002D45CF">
      <w:pPr>
        <w:pStyle w:val="ManualNumPar1"/>
      </w:pPr>
      <w:r>
        <w:t>(3)</w:t>
      </w:r>
      <w:r>
        <w:tab/>
      </w:r>
      <w:r w:rsidR="00FE0C02" w:rsidRPr="002D237E">
        <w:t>Abweichend von Artikel 3 Absatz 1 Buchstabe b sind die in Absatz 1 genannten Angaben zu den folgenden Einreichungsterminen bis Geschäftsschluss zu übermitteln: 1. Juli, 1. Oktober, 2. Januar und 1. April.</w:t>
      </w:r>
    </w:p>
    <w:p w14:paraId="3336B0CC" w14:textId="0F1541F7" w:rsidR="00FE0C02" w:rsidRPr="002D237E" w:rsidRDefault="002D45CF" w:rsidP="002D45CF">
      <w:pPr>
        <w:pStyle w:val="ManualNumPar1"/>
      </w:pPr>
      <w:r>
        <w:t>(4)</w:t>
      </w:r>
      <w:r>
        <w:tab/>
      </w:r>
      <w:r w:rsidR="00FE0C02" w:rsidRPr="002D237E">
        <w:t>Abweichend von Artikel 4 gilt im Hinblick auf den in Absatz 2 Buchstabe a des vorliegenden Artikels genannten Schwellenwert Folgendes:</w:t>
      </w:r>
    </w:p>
    <w:p w14:paraId="542951C2" w14:textId="0D06C811" w:rsidR="00FE0C02" w:rsidRPr="002D237E" w:rsidRDefault="00FE0C02" w:rsidP="00FE0C02">
      <w:pPr>
        <w:pStyle w:val="Point1"/>
      </w:pPr>
      <w:r w:rsidRPr="002D237E">
        <w:t>a)</w:t>
      </w:r>
      <w:r w:rsidRPr="002D237E">
        <w:tab/>
        <w:t>Das EU-Mutterinstitut, die EU-Mutterfinanzholdinggesellschaft oder die gemischte EU-Mutterfinanzholdinggesellschaft beginnt sofort mit ihren Meldungen gemäß diesem Artikel, wenn ihre Risikomessgröße für die Verschuldungsquote bis zum Ende des Geschäftsjahres die festgelegten Schwellenwerte übersteigt, und übermittelt diese Angaben zumindest für den Rest dieses Geschäftsjahres sowie zu den darauffolgenden drei vierteljährlichen Stichtagen;</w:t>
      </w:r>
    </w:p>
    <w:p w14:paraId="50325C89" w14:textId="0290171D" w:rsidR="00FE0C02" w:rsidRPr="002D237E" w:rsidRDefault="00FE0C02" w:rsidP="00FE0C02">
      <w:pPr>
        <w:pStyle w:val="Point1"/>
      </w:pPr>
      <w:r w:rsidRPr="002D237E">
        <w:t>b)</w:t>
      </w:r>
      <w:r w:rsidRPr="002D237E">
        <w:tab/>
        <w:t>das EU-Mutterinstitut, die EU-Mutterfinanzholdinggesellschaft oder die gemischte EU-Mutterfinanzholdinggesellschaft stellt ihre Meldungen gemäß diesem Artikel sofort ein, wenn ihre Risikomessgröße für die Verschuldungsquote bis zum Ende des Geschäftsjahres unter den festgelegten Schwellenwert absinkt.</w:t>
      </w:r>
    </w:p>
    <w:p w14:paraId="3714E48A" w14:textId="77777777" w:rsidR="00FE0C02" w:rsidRPr="002D237E" w:rsidRDefault="00FE0C02" w:rsidP="00FE0C02">
      <w:pPr>
        <w:pStyle w:val="Titrearticle"/>
      </w:pPr>
      <w:r w:rsidRPr="002D237E">
        <w:t>Artikel 21</w:t>
      </w:r>
    </w:p>
    <w:p w14:paraId="379043C5" w14:textId="77777777" w:rsidR="00FE0C02" w:rsidRPr="002D237E" w:rsidRDefault="00FE0C02" w:rsidP="00FE0C02">
      <w:pPr>
        <w:pStyle w:val="Titrearticle"/>
        <w:spacing w:before="120"/>
      </w:pPr>
      <w:r w:rsidRPr="002D237E">
        <w:rPr>
          <w:b/>
          <w:i w:val="0"/>
        </w:rPr>
        <w:t>Formate für den Datenaustausch und Begleitangaben zu den Datenmeldungen</w:t>
      </w:r>
    </w:p>
    <w:p w14:paraId="3484BAE7" w14:textId="44F698EA" w:rsidR="00FE0C02" w:rsidRPr="002D237E" w:rsidRDefault="002D45CF" w:rsidP="002D45CF">
      <w:pPr>
        <w:pStyle w:val="ManualNumPar1"/>
      </w:pPr>
      <w:r>
        <w:t>(1)</w:t>
      </w:r>
      <w:r>
        <w:tab/>
      </w:r>
      <w:r w:rsidR="00FE0C02" w:rsidRPr="002D237E">
        <w:t>Die Institute übermitteln ihre Angaben in den von den zuständigen Behörden festgelegten Datenaustausch- und Präsentationsformaten und beachten dabei die Datenpunktdefinition des in Anhang XIV enthaltenen einheitlichen Datenpunktmodells und die in Anhang XV genannten Validierungsformeln ebenso wie Folgendes:</w:t>
      </w:r>
    </w:p>
    <w:p w14:paraId="6302FDB1" w14:textId="77777777" w:rsidR="00FE0C02" w:rsidRPr="002D237E" w:rsidRDefault="00FE0C02" w:rsidP="00FE0C02">
      <w:pPr>
        <w:pStyle w:val="Point1"/>
      </w:pPr>
      <w:r w:rsidRPr="002D237E">
        <w:t>a)</w:t>
      </w:r>
      <w:r w:rsidRPr="002D237E">
        <w:tab/>
        <w:t>Nicht vorgeschriebene oder nicht zutreffende Angaben sind nicht in die Datenmeldung aufzunehmen;</w:t>
      </w:r>
    </w:p>
    <w:p w14:paraId="04CB5DF9" w14:textId="77777777" w:rsidR="00FE0C02" w:rsidRPr="002D237E" w:rsidRDefault="00FE0C02" w:rsidP="00FE0C02">
      <w:pPr>
        <w:pStyle w:val="Point1"/>
      </w:pPr>
      <w:r w:rsidRPr="002D237E">
        <w:t>b)</w:t>
      </w:r>
      <w:r w:rsidRPr="002D237E">
        <w:tab/>
        <w:t>Zahlenwerte sind wie folgt zu übermitteln:</w:t>
      </w:r>
    </w:p>
    <w:p w14:paraId="08E0D7CD" w14:textId="77777777" w:rsidR="00FE0C02" w:rsidRPr="002D237E" w:rsidRDefault="00FE0C02" w:rsidP="00FE0C02">
      <w:pPr>
        <w:pStyle w:val="Point2"/>
      </w:pPr>
      <w:r w:rsidRPr="002D237E">
        <w:t>i)</w:t>
      </w:r>
      <w:r w:rsidRPr="002D237E">
        <w:tab/>
        <w:t>Datenpunkte vom Datentyp „monetär“ werden mit einer Mindestpräzision, die tausend Einheiten entspricht, ausgewiesen;</w:t>
      </w:r>
    </w:p>
    <w:p w14:paraId="34C38BBF" w14:textId="77777777" w:rsidR="00FE0C02" w:rsidRPr="002D237E" w:rsidRDefault="00FE0C02" w:rsidP="00FE0C02">
      <w:pPr>
        <w:pStyle w:val="Point2"/>
      </w:pPr>
      <w:r w:rsidRPr="002D237E">
        <w:t>ii)</w:t>
      </w:r>
      <w:r w:rsidRPr="002D237E">
        <w:tab/>
        <w:t>Datenpunkte vom Datentyp „prozentual“ werden pro Einheit mit einer Mindestpräzision, die vier Dezimalstellen entspricht, ausgewiesen;</w:t>
      </w:r>
    </w:p>
    <w:p w14:paraId="4CD4E1AC" w14:textId="77777777" w:rsidR="00FE0C02" w:rsidRPr="002D237E" w:rsidRDefault="00FE0C02" w:rsidP="00FE0C02">
      <w:pPr>
        <w:pStyle w:val="Point2"/>
      </w:pPr>
      <w:r w:rsidRPr="002D237E">
        <w:t>iii)</w:t>
      </w:r>
      <w:r w:rsidRPr="002D237E">
        <w:tab/>
        <w:t>Datenpunkte vom Datentyp „integer“ werden ohne Dezimalstellen mit einer Präzision, die Einheiten entspricht, ausgewiesen.</w:t>
      </w:r>
    </w:p>
    <w:p w14:paraId="1DE261AC" w14:textId="77777777" w:rsidR="00FE0C02" w:rsidRPr="002D237E" w:rsidRDefault="00FE0C02" w:rsidP="00FE0C02">
      <w:pPr>
        <w:pStyle w:val="Point1"/>
        <w:rPr>
          <w:szCs w:val="24"/>
        </w:rPr>
      </w:pPr>
      <w:r w:rsidRPr="002D237E">
        <w:t>c)</w:t>
      </w:r>
      <w:r w:rsidRPr="002D237E">
        <w:tab/>
        <w:t>Institute und Versicherungsunternehmen werden ausschließlich durch ihre Rechtsträgerkennung (LEI) gekennzeichnet;</w:t>
      </w:r>
    </w:p>
    <w:p w14:paraId="10C9C354" w14:textId="527BDA6B" w:rsidR="00FE0C02" w:rsidRPr="002D237E" w:rsidRDefault="00FE0C02" w:rsidP="00FE0C02">
      <w:pPr>
        <w:pStyle w:val="Point1"/>
      </w:pPr>
      <w:r w:rsidRPr="002D237E">
        <w:lastRenderedPageBreak/>
        <w:t xml:space="preserve">d) </w:t>
      </w:r>
      <w:r w:rsidR="002D45CF">
        <w:tab/>
      </w:r>
      <w:r w:rsidRPr="002D237E">
        <w:t>juristische Personen und Gegenparteien, bei denen es sich nicht um Institute oder Versicherungsunternehmen handelt, werden – soweit vorhanden – durch ihre LEI gekennzeichnet.</w:t>
      </w:r>
    </w:p>
    <w:p w14:paraId="275717B4" w14:textId="2AF95B08" w:rsidR="00FE0C02" w:rsidRPr="002D237E" w:rsidRDefault="002D45CF" w:rsidP="002D45CF">
      <w:pPr>
        <w:pStyle w:val="ManualNumPar1"/>
        <w:rPr>
          <w:szCs w:val="24"/>
        </w:rPr>
      </w:pPr>
      <w:r>
        <w:t>(2)</w:t>
      </w:r>
      <w:r>
        <w:tab/>
      </w:r>
      <w:r w:rsidR="00FE0C02" w:rsidRPr="002D237E">
        <w:t>Die Institute fügen ihren Datenmeldungen folgende Angaben bei:</w:t>
      </w:r>
    </w:p>
    <w:p w14:paraId="533511FB" w14:textId="77777777" w:rsidR="00FE0C02" w:rsidRPr="002D237E" w:rsidRDefault="00FE0C02" w:rsidP="00FE0C02">
      <w:pPr>
        <w:pStyle w:val="Point1"/>
      </w:pPr>
      <w:r w:rsidRPr="002D237E">
        <w:t>a)</w:t>
      </w:r>
      <w:r w:rsidRPr="002D237E">
        <w:tab/>
        <w:t>den Meldestichtag und die Bezugsperiode,</w:t>
      </w:r>
    </w:p>
    <w:p w14:paraId="35FFAFDD" w14:textId="77777777" w:rsidR="00FE0C02" w:rsidRPr="002D237E" w:rsidRDefault="00FE0C02" w:rsidP="00FE0C02">
      <w:pPr>
        <w:pStyle w:val="Point1"/>
      </w:pPr>
      <w:r w:rsidRPr="002D237E">
        <w:t>b)</w:t>
      </w:r>
      <w:r w:rsidRPr="002D237E">
        <w:tab/>
        <w:t>die Meldewährung,</w:t>
      </w:r>
    </w:p>
    <w:p w14:paraId="2D0A776B" w14:textId="77777777" w:rsidR="00FE0C02" w:rsidRPr="002D237E" w:rsidRDefault="00FE0C02" w:rsidP="00FE0C02">
      <w:pPr>
        <w:pStyle w:val="Point1"/>
      </w:pPr>
      <w:r w:rsidRPr="002D237E">
        <w:t>c)</w:t>
      </w:r>
      <w:r w:rsidRPr="002D237E">
        <w:tab/>
        <w:t>Rechnungslegungsrahmen, nach dem bilanziert wurde,</w:t>
      </w:r>
    </w:p>
    <w:p w14:paraId="05941E50" w14:textId="77777777" w:rsidR="00FE0C02" w:rsidRPr="002D237E" w:rsidRDefault="00FE0C02" w:rsidP="00FE0C02">
      <w:pPr>
        <w:pStyle w:val="Point1"/>
      </w:pPr>
      <w:r w:rsidRPr="002D237E">
        <w:t>d)</w:t>
      </w:r>
      <w:r w:rsidRPr="002D237E">
        <w:tab/>
        <w:t>die Rechtsträgerkennung (LEI) des meldenden Instituts,</w:t>
      </w:r>
    </w:p>
    <w:p w14:paraId="1E5B9FC2" w14:textId="77777777" w:rsidR="00FE0C02" w:rsidRPr="002D237E" w:rsidRDefault="00FE0C02" w:rsidP="00FE0C02">
      <w:pPr>
        <w:pStyle w:val="Point1"/>
      </w:pPr>
      <w:r w:rsidRPr="002D237E">
        <w:t>e)</w:t>
      </w:r>
      <w:r w:rsidRPr="002D237E">
        <w:tab/>
        <w:t>den Konsolidierungskreis.</w:t>
      </w:r>
    </w:p>
    <w:p w14:paraId="3C0C8DE6" w14:textId="77777777" w:rsidR="00FE0C02" w:rsidRPr="002D237E" w:rsidRDefault="00FE0C02" w:rsidP="00FE0C02">
      <w:pPr>
        <w:pStyle w:val="Titrearticle"/>
        <w:spacing w:before="120"/>
      </w:pPr>
      <w:r w:rsidRPr="002D237E">
        <w:t>Artikel 22</w:t>
      </w:r>
    </w:p>
    <w:p w14:paraId="48AC81C7" w14:textId="77777777" w:rsidR="00FE0C02" w:rsidRPr="002D237E" w:rsidRDefault="00FE0C02" w:rsidP="006B3AF7">
      <w:pPr>
        <w:pStyle w:val="Titrearticle"/>
      </w:pPr>
      <w:r w:rsidRPr="002D237E">
        <w:t>Aufhebung der Durchführungsverordnung (EU) Nr. 680/2014</w:t>
      </w:r>
    </w:p>
    <w:p w14:paraId="1CFB853D" w14:textId="72EA0D3E" w:rsidR="00FE0C02" w:rsidRPr="002D237E" w:rsidRDefault="00FE0C02" w:rsidP="006B3AF7">
      <w:r w:rsidRPr="002D237E">
        <w:t xml:space="preserve">Die Durchführungsverordnung (EU) Nr. 680/2014 wird aufgehoben. </w:t>
      </w:r>
    </w:p>
    <w:p w14:paraId="783335BF" w14:textId="7744E337" w:rsidR="00FE0C02" w:rsidRPr="002D237E" w:rsidRDefault="00FE0C02" w:rsidP="006B3AF7">
      <w:r w:rsidRPr="002D237E">
        <w:t>Bezugnahmen auf die aufgehobene Verordnung gelten als Bezugnahmen auf die vorliegende Verordnung.</w:t>
      </w:r>
    </w:p>
    <w:p w14:paraId="5FA1D041" w14:textId="77777777" w:rsidR="00FE0C02" w:rsidRPr="002D237E" w:rsidRDefault="00FE0C02" w:rsidP="00FE0C02">
      <w:pPr>
        <w:pStyle w:val="Titrearticle"/>
      </w:pPr>
      <w:r w:rsidRPr="002D237E">
        <w:t>Artikel 23</w:t>
      </w:r>
    </w:p>
    <w:p w14:paraId="5DBF2ECB" w14:textId="77777777" w:rsidR="00FE0C02" w:rsidRPr="002D237E" w:rsidRDefault="00FE0C02" w:rsidP="00FE0C02">
      <w:pPr>
        <w:pStyle w:val="Titrearticle"/>
        <w:rPr>
          <w:b/>
          <w:i w:val="0"/>
        </w:rPr>
      </w:pPr>
      <w:r w:rsidRPr="002D237E">
        <w:rPr>
          <w:b/>
          <w:i w:val="0"/>
        </w:rPr>
        <w:t>Inkrafttreten und Anwendung</w:t>
      </w:r>
    </w:p>
    <w:p w14:paraId="0A731224" w14:textId="77777777" w:rsidR="00FE0C02" w:rsidRPr="002D237E" w:rsidRDefault="00FE0C02" w:rsidP="00FE0C02">
      <w:r w:rsidRPr="002D237E">
        <w:t xml:space="preserve">Diese Verordnung tritt am Tag nach ihrer Veröffentlichung im </w:t>
      </w:r>
      <w:r w:rsidRPr="002D237E">
        <w:rPr>
          <w:i/>
        </w:rPr>
        <w:t>Amtsblatt der Europäischen Union</w:t>
      </w:r>
      <w:r w:rsidRPr="002D237E">
        <w:t xml:space="preserve"> in Kraft.</w:t>
      </w:r>
    </w:p>
    <w:p w14:paraId="7B8BB43C" w14:textId="77777777" w:rsidR="00FE0C02" w:rsidRPr="002D237E" w:rsidRDefault="00FE0C02" w:rsidP="00FE0C02">
      <w:r w:rsidRPr="002D237E">
        <w:t>Sie gilt ab dem 28. Juni 2021.</w:t>
      </w:r>
    </w:p>
    <w:p w14:paraId="398E54BD" w14:textId="77777777" w:rsidR="00FE0C02" w:rsidRPr="002D237E" w:rsidRDefault="00FE0C02" w:rsidP="00FE0C02">
      <w:r w:rsidRPr="002D237E">
        <w:t>Unbeschadet des Absatzes 2 übermitteln Institute, die als G-SRI ermittelt wurden, die in Anhang X Meldebogen 47 verlangten Angaben zum Puffer bei der Verschuldungsquote ab dem 1. Januar 2023.</w:t>
      </w:r>
    </w:p>
    <w:p w14:paraId="077B995C" w14:textId="2455A2B7" w:rsidR="00FF364B" w:rsidRPr="002D237E" w:rsidRDefault="00FE0C02" w:rsidP="00FE0C02">
      <w:r w:rsidRPr="002D237E">
        <w:t>Die Geltungsdauer der Artikel 9 und 10 endet am 26. Juni 2026.</w:t>
      </w:r>
    </w:p>
    <w:p w14:paraId="2BB71259" w14:textId="77777777" w:rsidR="0004170D" w:rsidRPr="002D237E" w:rsidRDefault="0004170D" w:rsidP="009675DD">
      <w:pPr>
        <w:pStyle w:val="Applicationdirecte"/>
      </w:pPr>
      <w:r w:rsidRPr="002D237E">
        <w:t>Diese Verordnung ist in allen ihren Teilen verbindlich und gilt unmittelbar in jedem Mitgliedstaat.</w:t>
      </w:r>
    </w:p>
    <w:p w14:paraId="2947B574" w14:textId="4C04342B" w:rsidR="0004170D" w:rsidRPr="002D237E" w:rsidRDefault="002D237E" w:rsidP="002D237E">
      <w:pPr>
        <w:pStyle w:val="Fait"/>
      </w:pPr>
      <w:r w:rsidRPr="002D237E">
        <w:t>Brüssel, den</w:t>
      </w:r>
    </w:p>
    <w:p w14:paraId="3F08E3CE" w14:textId="77777777" w:rsidR="0004170D" w:rsidRPr="002D237E" w:rsidRDefault="0004170D" w:rsidP="0004170D">
      <w:pPr>
        <w:pStyle w:val="Institutionquisigne"/>
      </w:pPr>
      <w:r w:rsidRPr="002D237E">
        <w:tab/>
        <w:t>Für die Kommission</w:t>
      </w:r>
    </w:p>
    <w:p w14:paraId="2100579F" w14:textId="77777777" w:rsidR="00A211D2" w:rsidRPr="002D237E" w:rsidRDefault="0004170D" w:rsidP="0004170D">
      <w:pPr>
        <w:pStyle w:val="Personnequisigne"/>
      </w:pPr>
      <w:r w:rsidRPr="002D237E">
        <w:tab/>
        <w:t>Die Präsidentin</w:t>
      </w:r>
    </w:p>
    <w:p w14:paraId="5318264F" w14:textId="632B2009" w:rsidR="0004170D" w:rsidRPr="002D237E" w:rsidRDefault="00A211D2" w:rsidP="0004170D">
      <w:pPr>
        <w:pStyle w:val="Personnequisigne"/>
      </w:pPr>
      <w:r w:rsidRPr="002D237E">
        <w:tab/>
        <w:t xml:space="preserve">Ursula von der Leyen </w:t>
      </w:r>
      <w:r w:rsidRPr="002D237E">
        <w:br/>
      </w:r>
      <w:r w:rsidRPr="002D237E">
        <w:tab/>
        <w:t xml:space="preserve"> </w:t>
      </w:r>
      <w:r w:rsidRPr="002D237E">
        <w:br/>
      </w:r>
      <w:r w:rsidRPr="002D237E">
        <w:tab/>
        <w:t xml:space="preserve"> </w:t>
      </w:r>
      <w:r w:rsidRPr="002D237E">
        <w:br/>
      </w:r>
    </w:p>
    <w:sectPr w:rsidR="0004170D" w:rsidRPr="002D237E" w:rsidSect="006E55BB">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Default="007E5F66" w:rsidP="0004170D">
      <w:pPr>
        <w:spacing w:before="0" w:after="0"/>
      </w:pPr>
      <w:r>
        <w:separator/>
      </w:r>
    </w:p>
  </w:endnote>
  <w:endnote w:type="continuationSeparator" w:id="0">
    <w:p w14:paraId="5326C0A8"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BCCA" w14:textId="309984C7" w:rsidR="007E5F66" w:rsidRPr="006E55BB" w:rsidRDefault="006E55BB" w:rsidP="006E55BB">
    <w:pPr>
      <w:pStyle w:val="Footer"/>
      <w:rPr>
        <w:rFonts w:ascii="Arial" w:hAnsi="Arial" w:cs="Arial"/>
        <w:b/>
        <w:sz w:val="48"/>
      </w:rPr>
    </w:pPr>
    <w:r w:rsidRPr="006E55BB">
      <w:rPr>
        <w:rFonts w:ascii="Arial" w:hAnsi="Arial" w:cs="Arial"/>
        <w:b/>
        <w:sz w:val="48"/>
      </w:rPr>
      <w:t>DE</w:t>
    </w:r>
    <w:r w:rsidRPr="006E55BB">
      <w:rPr>
        <w:rFonts w:ascii="Arial" w:hAnsi="Arial" w:cs="Arial"/>
        <w:b/>
        <w:sz w:val="48"/>
      </w:rPr>
      <w:tab/>
    </w:r>
    <w:r w:rsidRPr="006E55BB">
      <w:rPr>
        <w:rFonts w:ascii="Arial" w:hAnsi="Arial" w:cs="Arial"/>
        <w:b/>
        <w:sz w:val="48"/>
      </w:rPr>
      <w:tab/>
    </w:r>
    <w:r w:rsidRPr="006E55BB">
      <w:tab/>
    </w:r>
    <w:r w:rsidRPr="006E55BB">
      <w:rPr>
        <w:rFonts w:ascii="Arial" w:hAnsi="Arial" w:cs="Arial"/>
        <w:b/>
        <w:sz w:val="48"/>
      </w:rPr>
      <w:t>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F5E88" w14:textId="01E0B820" w:rsidR="006E55BB" w:rsidRPr="006E55BB" w:rsidRDefault="006E55BB" w:rsidP="006E55BB">
    <w:pPr>
      <w:pStyle w:val="Footer"/>
      <w:rPr>
        <w:rFonts w:ascii="Arial" w:hAnsi="Arial" w:cs="Arial"/>
        <w:b/>
        <w:sz w:val="48"/>
      </w:rPr>
    </w:pPr>
    <w:r w:rsidRPr="006E55BB">
      <w:rPr>
        <w:rFonts w:ascii="Arial" w:hAnsi="Arial" w:cs="Arial"/>
        <w:b/>
        <w:sz w:val="48"/>
      </w:rPr>
      <w:t>DE</w:t>
    </w:r>
    <w:r w:rsidRPr="006E55BB">
      <w:rPr>
        <w:rFonts w:ascii="Arial" w:hAnsi="Arial" w:cs="Arial"/>
        <w:b/>
        <w:sz w:val="48"/>
      </w:rPr>
      <w:tab/>
    </w:r>
    <w:r>
      <w:fldChar w:fldCharType="begin"/>
    </w:r>
    <w:r>
      <w:instrText xml:space="preserve"> PAGE  \* MERGEFORMAT </w:instrText>
    </w:r>
    <w:r>
      <w:fldChar w:fldCharType="separate"/>
    </w:r>
    <w:r w:rsidR="00472B08">
      <w:rPr>
        <w:noProof/>
      </w:rPr>
      <w:t>19</w:t>
    </w:r>
    <w:r>
      <w:fldChar w:fldCharType="end"/>
    </w:r>
    <w:r>
      <w:tab/>
    </w:r>
    <w:r w:rsidRPr="006E55BB">
      <w:tab/>
    </w:r>
    <w:r w:rsidRPr="006E55BB">
      <w:rPr>
        <w:rFonts w:ascii="Arial" w:hAnsi="Arial" w:cs="Arial"/>
        <w:b/>
        <w:sz w:val="48"/>
      </w:rPr>
      <w:t>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5502D" w14:textId="77777777" w:rsidR="006E55BB" w:rsidRPr="006E55BB" w:rsidRDefault="006E55BB" w:rsidP="006E55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Default="007E5F66" w:rsidP="0004170D">
      <w:pPr>
        <w:spacing w:before="0" w:after="0"/>
      </w:pPr>
      <w:r>
        <w:separator/>
      </w:r>
    </w:p>
  </w:footnote>
  <w:footnote w:type="continuationSeparator" w:id="0">
    <w:p w14:paraId="2DCC1F88" w14:textId="77777777" w:rsidR="007E5F66" w:rsidRDefault="007E5F66" w:rsidP="0004170D">
      <w:pPr>
        <w:spacing w:before="0" w:after="0"/>
      </w:pPr>
      <w:r>
        <w:continuationSeparator/>
      </w:r>
    </w:p>
  </w:footnote>
  <w:footnote w:id="1">
    <w:p w14:paraId="5E809637" w14:textId="77777777" w:rsidR="00AD21AA" w:rsidRPr="002E4D2B" w:rsidRDefault="00AD21AA" w:rsidP="00AD21AA">
      <w:pPr>
        <w:pStyle w:val="FootnoteText"/>
      </w:pPr>
      <w:r>
        <w:rPr>
          <w:rStyle w:val="FootnoteReference"/>
        </w:rPr>
        <w:footnoteRef/>
      </w:r>
      <w:r>
        <w:tab/>
        <w:t>ABl. L 176 vom 27.6.2013, S. 1.</w:t>
      </w:r>
    </w:p>
  </w:footnote>
  <w:footnote w:id="2">
    <w:p w14:paraId="5580D4CD" w14:textId="77777777" w:rsidR="00AD21AA" w:rsidRPr="002D237E" w:rsidRDefault="00AD21AA" w:rsidP="00AD21AA">
      <w:pPr>
        <w:pStyle w:val="FootnoteText"/>
      </w:pPr>
      <w:r>
        <w:rPr>
          <w:rStyle w:val="FootnoteReference"/>
        </w:rPr>
        <w:footnoteRef/>
      </w:r>
      <w:r>
        <w:tab/>
        <w:t>Durchführungsverordnung (EU) Nr. 680/2014 der Kommission zur Festlegung technischer Durchführungsstandards für die aufsichtlichen Meldungen der Institute gemäß der Verordnung (EU) Nr. 575/2013 (ABl. L 191 vom 28.6.2014, S. 1).</w:t>
      </w:r>
    </w:p>
  </w:footnote>
  <w:footnote w:id="3">
    <w:p w14:paraId="433B5035" w14:textId="77777777" w:rsidR="00AD21AA" w:rsidRPr="002D237E" w:rsidRDefault="00AD21AA" w:rsidP="00AD21AA">
      <w:pPr>
        <w:pStyle w:val="FootnoteText"/>
      </w:pPr>
      <w:r>
        <w:rPr>
          <w:rStyle w:val="FootnoteReference"/>
        </w:rPr>
        <w:footnoteRef/>
      </w:r>
      <w:r>
        <w:tab/>
        <w:t>Richtlinie 2013/36/EU des Europäischen Parlaments und des Rates vom 26. Juni 2013 über den Zugang zur Tätigkeit von Kreditinstituten und die Beaufsichtigung von Kreditinstituten und Wertpapierfirmen, zur Änderung der Richtlinie 2002/87/EG und zur Aufhebung der Richtlinien 2006/48/EG und 2006/49/EG (ABl. L 176 vom 27.6.2013, S. 338).</w:t>
      </w:r>
    </w:p>
  </w:footnote>
  <w:footnote w:id="4">
    <w:p w14:paraId="4A709B42" w14:textId="77777777" w:rsidR="00AD21AA" w:rsidRPr="002E4D2B" w:rsidRDefault="00AD21AA" w:rsidP="00AD21AA">
      <w:pPr>
        <w:pStyle w:val="FootnoteText"/>
      </w:pPr>
      <w:r>
        <w:rPr>
          <w:rStyle w:val="FootnoteReference"/>
        </w:rPr>
        <w:footnoteRef/>
      </w:r>
      <w:r>
        <w:tab/>
        <w:t>Verordnung (EU) 2019/876 des Europäischen Parlaments und des Rates vom 20. Mai 2019 zur Änderung der Verordnung (EU) Nr. 575/2013 in Bezug auf die Verschuldungsquote, die strukturelle Liquiditätsquote, Anforderungen an Eigenmittel und berücksichtigungsfähige Verbindlichkeiten, das Gegenparteiausfallrisiko, das Marktrisiko, Risikopositionen gegenüber zentralen Gegenparteien, Risikopositionen gegenüber Organismen für gemeinsame Anlagen, Großkredite, Melde- und Offenlegungspflichten und der Verordnung (EU) Nr. 648/2012 (ABl. L 150 vom 7.6.2019, S. 1).</w:t>
      </w:r>
    </w:p>
  </w:footnote>
  <w:footnote w:id="5">
    <w:p w14:paraId="5D010433" w14:textId="77777777" w:rsidR="00AD21AA" w:rsidRPr="002E4D2B" w:rsidRDefault="00AD21AA" w:rsidP="00AD21AA">
      <w:pPr>
        <w:pStyle w:val="FootnoteText"/>
      </w:pPr>
      <w:r>
        <w:rPr>
          <w:rStyle w:val="FootnoteReference"/>
        </w:rPr>
        <w:footnoteRef/>
      </w:r>
      <w:r>
        <w:tab/>
        <w:t xml:space="preserve">Verordnung (EU) 2019/630 des Europäischen Parlaments und des Rates vom 17. April 2019 zur Änderung der Verordnung (EU) Nr. 575/2013 im Hinblick auf die Mindestdeckung notleidender Risikopositionen (ABl. L 111 vom 25.4.2019, S. 4). </w:t>
      </w:r>
    </w:p>
  </w:footnote>
  <w:footnote w:id="6">
    <w:p w14:paraId="0B0AEE79" w14:textId="77777777" w:rsidR="00AD21AA" w:rsidRPr="008B4A3F" w:rsidRDefault="00AD21AA" w:rsidP="00AD21AA">
      <w:pPr>
        <w:pStyle w:val="FootnoteText"/>
      </w:pPr>
      <w:r>
        <w:rPr>
          <w:rStyle w:val="FootnoteReference"/>
        </w:rPr>
        <w:footnoteRef/>
      </w:r>
      <w:r>
        <w:tab/>
        <w:t>Verordnung (EU) 2019/2033 des Europäischen Parlaments und des Rates vom 27. November 2019 über Aufsichtsanforderungen an Wertpapierfirmen und zur Änderung der Verordnungen (EU) Nr. 1093/2010, (EU) Nr. 575/2013, (EU) Nr. 600/2014 und (EU) Nr. 806/2014 (ABl. L 314 vom 5.12.2019, S. 1).</w:t>
      </w:r>
    </w:p>
  </w:footnote>
  <w:footnote w:id="7">
    <w:p w14:paraId="3D6B588C" w14:textId="1C69D305" w:rsidR="00AD21AA" w:rsidRPr="0069688A" w:rsidRDefault="00AD21AA" w:rsidP="00AD21AA">
      <w:pPr>
        <w:pStyle w:val="FootnoteText"/>
      </w:pPr>
      <w:r>
        <w:rPr>
          <w:rStyle w:val="FootnoteReference"/>
        </w:rPr>
        <w:footnoteRef/>
      </w:r>
      <w:r>
        <w:tab/>
        <w:t>Verordnung (EU) 2020/873 des Europäischen Parlaments und des Rates vom 24. Juni 2020 zur Änderung der Verordnungen (EU) Nr. 575/2013 und (EU) 2019/876 aufgrund bestimmter Anpassungen infolge der COVID-19-Pandemie (ABl. L 204 vom 26.6.2020, S. 4).</w:t>
      </w:r>
    </w:p>
  </w:footnote>
  <w:footnote w:id="8">
    <w:p w14:paraId="5A30BC5D" w14:textId="77777777" w:rsidR="00AD21AA" w:rsidRPr="002E4D2B" w:rsidRDefault="00AD21AA" w:rsidP="00AD21AA">
      <w:pPr>
        <w:pStyle w:val="FootnoteText"/>
      </w:pPr>
      <w:r>
        <w:rPr>
          <w:rStyle w:val="FootnoteReference"/>
        </w:rPr>
        <w:footnoteRef/>
      </w:r>
      <w:r>
        <w:tab/>
        <w:t>Verordnung (EU) Nr. 1093/2010 des Europäischen Parlaments und des Rates vom 24. November 2010 zur Errichtung einer Europäischen Aufsichtsbehörde (Europäische Bankenaufsichtsbehörde), zur Änderung des Beschlusses Nr. 716/2009/EG und zur Aufhebung des Beschlusses 2009/78/EG der Kommission (ABl. L 331 vom 15.12.2010, S. 12).</w:t>
      </w:r>
    </w:p>
  </w:footnote>
  <w:footnote w:id="9">
    <w:p w14:paraId="2F6DC588" w14:textId="77777777" w:rsidR="0014552F" w:rsidRPr="002E4D2B" w:rsidRDefault="0014552F" w:rsidP="0014552F">
      <w:pPr>
        <w:pStyle w:val="FootnoteText"/>
      </w:pPr>
      <w:r>
        <w:rPr>
          <w:rStyle w:val="FootnoteReference"/>
        </w:rPr>
        <w:footnoteRef/>
      </w:r>
      <w:r>
        <w:tab/>
        <w:t>Delegierte Verordnung (EU) 2016/101 der Kommission vom 26. Oktober 2015 zur Ergänzung der Verordnung (EU) Nr. 575/2013 des Europäischen Parlaments und des Rates im Hinblick auf technische Regulierungsstandards für die vorsichtige Bewertung nach Artikel 105 Absatz 14 (ABl. L 21 vom 28.1.2016, S. 54).</w:t>
      </w:r>
    </w:p>
  </w:footnote>
  <w:footnote w:id="10">
    <w:p w14:paraId="0D4E857F" w14:textId="659ADEF0" w:rsidR="00FE0C02" w:rsidRPr="002D237E" w:rsidRDefault="00FE0C02" w:rsidP="00FE0C02">
      <w:pPr>
        <w:pStyle w:val="FootnoteText"/>
      </w:pPr>
      <w:r>
        <w:rPr>
          <w:rStyle w:val="FootnoteReference"/>
        </w:rPr>
        <w:footnoteRef/>
      </w:r>
      <w:r>
        <w:tab/>
        <w:t>Verordnung (EG) Nr. 1606/2002 des Europäischen Parlaments und des Rates vom 19. Juli 2002 betreffend die Anwendung internationaler Rechnungslegungsstandards (ABl. L 243 vom 11.9.2002, S. 1).</w:t>
      </w:r>
    </w:p>
  </w:footnote>
  <w:footnote w:id="11">
    <w:p w14:paraId="186408CB" w14:textId="77777777" w:rsidR="00FE0C02" w:rsidRPr="00383524" w:rsidRDefault="00FE0C02" w:rsidP="00FE0C02">
      <w:pPr>
        <w:pStyle w:val="FootnoteText"/>
      </w:pPr>
      <w:r>
        <w:rPr>
          <w:rStyle w:val="FootnoteReference"/>
        </w:rPr>
        <w:footnoteRef/>
      </w:r>
      <w:r>
        <w:tab/>
        <w:t>Richtlinie 2009/65/EG des Europäischen Parlaments und des Rates vom 13. Juli 2009 zur Koordinierung der Rechts- und Verwaltungsvorschriften betreffend bestimmte Organismen für gemeinsame Anlagen in Wertpapieren (OGAW) (ABl. L 302 vom 17.11.2009, S. 32).</w:t>
      </w:r>
    </w:p>
  </w:footnote>
  <w:footnote w:id="12">
    <w:p w14:paraId="50B21B4D" w14:textId="77777777" w:rsidR="00FE0C02" w:rsidRPr="00EF0DDB" w:rsidRDefault="00FE0C02" w:rsidP="00FE0C02">
      <w:pPr>
        <w:pStyle w:val="FootnoteText"/>
      </w:pPr>
      <w:r>
        <w:rPr>
          <w:rStyle w:val="FootnoteReference"/>
        </w:rPr>
        <w:footnoteRef/>
      </w:r>
      <w:r>
        <w:tab/>
        <w:t>Verordnung (EU) Nr. 806/2014 des Europäischen Parlaments und des Rates vom 15. Juli 2014 zur Festlegung einheitlicher Vorschriften und eines einheitlichen Verfahrens für die Abwicklung von Kreditinstituten und bestimmten Wertpapierfirmen im Rahmen eines einheitlichen Abwicklungsmechanismus und eines einheitlichen Abwicklungsfonds sowie zur Änderung der Verordnung (EU) Nr. 1093/2010 (ABl. L 225 vom 30.7.2014,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19"/>
  </w:num>
  <w:num w:numId="12">
    <w:abstractNumId w:val="12"/>
  </w:num>
  <w:num w:numId="13">
    <w:abstractNumId w:val="21"/>
  </w:num>
  <w:num w:numId="14">
    <w:abstractNumId w:val="11"/>
  </w:num>
  <w:num w:numId="15">
    <w:abstractNumId w:val="13"/>
  </w:num>
  <w:num w:numId="16">
    <w:abstractNumId w:val="9"/>
  </w:num>
  <w:num w:numId="17">
    <w:abstractNumId w:val="20"/>
  </w:num>
  <w:num w:numId="18">
    <w:abstractNumId w:val="8"/>
  </w:num>
  <w:num w:numId="19">
    <w:abstractNumId w:val="14"/>
  </w:num>
  <w:num w:numId="20">
    <w:abstractNumId w:val="17"/>
  </w:num>
  <w:num w:numId="21">
    <w:abstractNumId w:val="18"/>
  </w:num>
  <w:num w:numId="22">
    <w:abstractNumId w:val="10"/>
  </w:num>
  <w:num w:numId="23">
    <w:abstractNumId w:val="16"/>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5"/>
  <w:attachedTemplate r:id="rId1"/>
  <w:defaultTabStop w:val="720"/>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07 11:12:22"/>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1771A190-0874-4698-8D31-A4F44629E331"/>
    <w:docVar w:name="LW_COVERPAGE_TYPE" w:val="1"/>
    <w:docVar w:name="LW_CROSSREFERENCE" w:val="&lt;UNUSED&gt;"/>
    <w:docVar w:name="LW_DATE.ADOPT.CP" w:val="vom XXX"/>
    <w:docVar w:name="LW_DATE.ADOPT.CP_DATEFORMAT" w:val="vom %DATE%"/>
    <w:docVar w:name="LW_DATE.ADOPT.CP_ISODATE" w:val="&lt;EMPTY&gt;"/>
    <w:docVar w:name="LW_DocType" w:val="COM"/>
    <w:docVar w:name="LW_EMISSION" w:val="&lt;EMPTY&gt;"/>
    <w:docVar w:name="LW_EMISSION_ISODATE" w:val="&lt;EMPTY&gt;"/>
    <w:docVar w:name="LW_EMISSION_LOCATION" w:val="BRX"/>
    <w:docVar w:name="LW_EMISSION_PREFIX" w:val="Brüssel, den "/>
    <w:docVar w:name="LW_EMISSION_SUFFIX" w:val="&lt;EMPTY&gt;"/>
    <w:docVar w:name="LW_ID_DOCMODEL" w:val="SJ-004"/>
    <w:docVar w:name="LW_ID_DOCSIGNATURE" w:val="SJ-004"/>
    <w:docVar w:name="LW_ID_DOCSTRUCTURE" w:val="COM/AA"/>
    <w:docVar w:name="LW_ID_DOCTYPE" w:val="SJ-004"/>
    <w:docVar w:name="LW_INTERETEEE.CP" w:val="(Text von Bedeutung für den EWR)"/>
    <w:docVar w:name="LW_LANGUE" w:val="DE"/>
    <w:docVar w:name="LW_LANGUESFAISANTFOI.CP" w:val="&lt;UNUSED&gt;"/>
    <w:docVar w:name="LW_LEVEL_OF_SENSITIVITY" w:val="Standard treatment"/>
    <w:docVar w:name="LW_NOM.INST" w:val="EUROPÄISCHE KOMMISSION"/>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zur Festlegung technischer Durchführungsstandards für die Anwendung der Verordnung (EU) Nr. 575/2013 des Europäischen Parlaments und des Rates auf die aufsichtlichen Meldungen der Institute und zur Aufhebung der Durchführungsverordnung (EU) Nr. 680/2014 _x000b_"/>
    <w:docVar w:name="LW_TYPE.DOC.CP" w:val="DURCHFÜHRUNGSVERORDNUNG (EU) .../... DER KOMMISSION"/>
  </w:docVars>
  <w:rsids>
    <w:rsidRoot w:val="0004170D"/>
    <w:rsid w:val="00023622"/>
    <w:rsid w:val="00036497"/>
    <w:rsid w:val="0004170D"/>
    <w:rsid w:val="00044BB0"/>
    <w:rsid w:val="0008268D"/>
    <w:rsid w:val="000832DE"/>
    <w:rsid w:val="000965A4"/>
    <w:rsid w:val="000A39B9"/>
    <w:rsid w:val="000B18AB"/>
    <w:rsid w:val="000B31D0"/>
    <w:rsid w:val="000B4D68"/>
    <w:rsid w:val="000B5ADE"/>
    <w:rsid w:val="000C3603"/>
    <w:rsid w:val="000C4EBE"/>
    <w:rsid w:val="000C60D7"/>
    <w:rsid w:val="000E0A46"/>
    <w:rsid w:val="000F70DF"/>
    <w:rsid w:val="00105D7C"/>
    <w:rsid w:val="00125634"/>
    <w:rsid w:val="00133A68"/>
    <w:rsid w:val="0014552F"/>
    <w:rsid w:val="0014569E"/>
    <w:rsid w:val="00151336"/>
    <w:rsid w:val="001612FE"/>
    <w:rsid w:val="00173862"/>
    <w:rsid w:val="001738AF"/>
    <w:rsid w:val="0019425F"/>
    <w:rsid w:val="00194CD4"/>
    <w:rsid w:val="001957E2"/>
    <w:rsid w:val="001A14C2"/>
    <w:rsid w:val="001E7F77"/>
    <w:rsid w:val="001F45A3"/>
    <w:rsid w:val="00221852"/>
    <w:rsid w:val="002360F2"/>
    <w:rsid w:val="002759C1"/>
    <w:rsid w:val="00285E17"/>
    <w:rsid w:val="002B6FA8"/>
    <w:rsid w:val="002C0C3E"/>
    <w:rsid w:val="002C1097"/>
    <w:rsid w:val="002C1CA0"/>
    <w:rsid w:val="002D22E3"/>
    <w:rsid w:val="002D237E"/>
    <w:rsid w:val="002D45CF"/>
    <w:rsid w:val="002E476B"/>
    <w:rsid w:val="00332B33"/>
    <w:rsid w:val="00334AD0"/>
    <w:rsid w:val="00352527"/>
    <w:rsid w:val="0036351A"/>
    <w:rsid w:val="003A1165"/>
    <w:rsid w:val="003A6A98"/>
    <w:rsid w:val="003B14E5"/>
    <w:rsid w:val="003B2A70"/>
    <w:rsid w:val="003D6311"/>
    <w:rsid w:val="003E7FD2"/>
    <w:rsid w:val="00403378"/>
    <w:rsid w:val="0040639E"/>
    <w:rsid w:val="00445268"/>
    <w:rsid w:val="00457572"/>
    <w:rsid w:val="00472B08"/>
    <w:rsid w:val="0047317A"/>
    <w:rsid w:val="00480310"/>
    <w:rsid w:val="00496B08"/>
    <w:rsid w:val="004A4E65"/>
    <w:rsid w:val="004B7AEA"/>
    <w:rsid w:val="004D5E20"/>
    <w:rsid w:val="004D795C"/>
    <w:rsid w:val="00505B92"/>
    <w:rsid w:val="00531744"/>
    <w:rsid w:val="00535526"/>
    <w:rsid w:val="00545C74"/>
    <w:rsid w:val="00547CC4"/>
    <w:rsid w:val="00563765"/>
    <w:rsid w:val="005A2A1F"/>
    <w:rsid w:val="005A2D3C"/>
    <w:rsid w:val="005A6D07"/>
    <w:rsid w:val="005C3834"/>
    <w:rsid w:val="005E5208"/>
    <w:rsid w:val="005F180D"/>
    <w:rsid w:val="00627D4B"/>
    <w:rsid w:val="00646DA2"/>
    <w:rsid w:val="00656F3B"/>
    <w:rsid w:val="00681997"/>
    <w:rsid w:val="00684260"/>
    <w:rsid w:val="006845FA"/>
    <w:rsid w:val="006947FE"/>
    <w:rsid w:val="006B3AF7"/>
    <w:rsid w:val="006B5AAF"/>
    <w:rsid w:val="006B61AF"/>
    <w:rsid w:val="006D20F7"/>
    <w:rsid w:val="006E55BB"/>
    <w:rsid w:val="007241CC"/>
    <w:rsid w:val="00725875"/>
    <w:rsid w:val="00794AEA"/>
    <w:rsid w:val="007951FC"/>
    <w:rsid w:val="007B5786"/>
    <w:rsid w:val="007D13CB"/>
    <w:rsid w:val="007D15D1"/>
    <w:rsid w:val="007D178B"/>
    <w:rsid w:val="007E5F66"/>
    <w:rsid w:val="007F0EBD"/>
    <w:rsid w:val="00800894"/>
    <w:rsid w:val="008137A2"/>
    <w:rsid w:val="008326B8"/>
    <w:rsid w:val="008332D8"/>
    <w:rsid w:val="008568F5"/>
    <w:rsid w:val="00856A5A"/>
    <w:rsid w:val="00877878"/>
    <w:rsid w:val="00886F23"/>
    <w:rsid w:val="008A50C4"/>
    <w:rsid w:val="008B78EA"/>
    <w:rsid w:val="008D699F"/>
    <w:rsid w:val="008E7112"/>
    <w:rsid w:val="008F7BAF"/>
    <w:rsid w:val="00906456"/>
    <w:rsid w:val="009074CD"/>
    <w:rsid w:val="009224FE"/>
    <w:rsid w:val="00940E4E"/>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3B9"/>
    <w:rsid w:val="00A26E4D"/>
    <w:rsid w:val="00A3263C"/>
    <w:rsid w:val="00A5494A"/>
    <w:rsid w:val="00A62EBB"/>
    <w:rsid w:val="00A74743"/>
    <w:rsid w:val="00A92406"/>
    <w:rsid w:val="00AD21AA"/>
    <w:rsid w:val="00AE51EF"/>
    <w:rsid w:val="00AE6C16"/>
    <w:rsid w:val="00B33923"/>
    <w:rsid w:val="00B36013"/>
    <w:rsid w:val="00B5497D"/>
    <w:rsid w:val="00B80AC9"/>
    <w:rsid w:val="00BA0CA9"/>
    <w:rsid w:val="00BA2220"/>
    <w:rsid w:val="00BA7AD9"/>
    <w:rsid w:val="00BB50EB"/>
    <w:rsid w:val="00BB60B6"/>
    <w:rsid w:val="00BB736E"/>
    <w:rsid w:val="00BC75BD"/>
    <w:rsid w:val="00BF0E94"/>
    <w:rsid w:val="00BF182F"/>
    <w:rsid w:val="00C05EA4"/>
    <w:rsid w:val="00C07D9C"/>
    <w:rsid w:val="00C130BE"/>
    <w:rsid w:val="00C14839"/>
    <w:rsid w:val="00C24911"/>
    <w:rsid w:val="00C278CC"/>
    <w:rsid w:val="00C36BE6"/>
    <w:rsid w:val="00C36E0D"/>
    <w:rsid w:val="00C5099A"/>
    <w:rsid w:val="00C901BD"/>
    <w:rsid w:val="00CA348C"/>
    <w:rsid w:val="00CF106C"/>
    <w:rsid w:val="00D9176D"/>
    <w:rsid w:val="00DA7ECF"/>
    <w:rsid w:val="00DC2475"/>
    <w:rsid w:val="00DD212F"/>
    <w:rsid w:val="00E03572"/>
    <w:rsid w:val="00E10715"/>
    <w:rsid w:val="00E14194"/>
    <w:rsid w:val="00E23D3B"/>
    <w:rsid w:val="00E76D3F"/>
    <w:rsid w:val="00E8608B"/>
    <w:rsid w:val="00EA3E25"/>
    <w:rsid w:val="00EA6449"/>
    <w:rsid w:val="00ED391B"/>
    <w:rsid w:val="00EF4651"/>
    <w:rsid w:val="00F335A5"/>
    <w:rsid w:val="00F37163"/>
    <w:rsid w:val="00F642FD"/>
    <w:rsid w:val="00F91209"/>
    <w:rsid w:val="00F97AAB"/>
    <w:rsid w:val="00FB1027"/>
    <w:rsid w:val="00FD237E"/>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rsid w:val="009B7138"/>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de-DE"/>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de-DE"/>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de-DE"/>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rPr>
  </w:style>
  <w:style w:type="character" w:customStyle="1" w:styleId="BodyTextChar">
    <w:name w:val="Body Text Char"/>
    <w:basedOn w:val="DefaultParagraphFont"/>
    <w:link w:val="BodyText"/>
    <w:uiPriority w:val="1"/>
    <w:rsid w:val="00F91209"/>
    <w:rPr>
      <w:rFonts w:ascii="Calibri" w:eastAsia="Calibri" w:hAnsi="Calibri" w:cs="Calibri"/>
      <w:lang w:val="de-DE" w:eastAsia="de-DE" w:bidi="de-DE"/>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1"/>
      </w:numPr>
    </w:pPr>
  </w:style>
  <w:style w:type="paragraph" w:customStyle="1" w:styleId="Tiret1">
    <w:name w:val="Tiret 1"/>
    <w:basedOn w:val="Point1"/>
    <w:rsid w:val="009B7138"/>
    <w:pPr>
      <w:numPr>
        <w:numId w:val="12"/>
      </w:numPr>
    </w:pPr>
  </w:style>
  <w:style w:type="paragraph" w:customStyle="1" w:styleId="Tiret2">
    <w:name w:val="Tiret 2"/>
    <w:basedOn w:val="Point2"/>
    <w:rsid w:val="009B7138"/>
    <w:pPr>
      <w:numPr>
        <w:numId w:val="13"/>
      </w:numPr>
    </w:pPr>
  </w:style>
  <w:style w:type="paragraph" w:customStyle="1" w:styleId="Tiret3">
    <w:name w:val="Tiret 3"/>
    <w:basedOn w:val="Point3"/>
    <w:rsid w:val="009B7138"/>
    <w:pPr>
      <w:numPr>
        <w:numId w:val="14"/>
      </w:numPr>
    </w:pPr>
  </w:style>
  <w:style w:type="paragraph" w:customStyle="1" w:styleId="Tiret4">
    <w:name w:val="Tiret 4"/>
    <w:basedOn w:val="Point4"/>
    <w:rsid w:val="009B7138"/>
    <w:pPr>
      <w:numPr>
        <w:numId w:val="15"/>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6"/>
      </w:numPr>
    </w:pPr>
  </w:style>
  <w:style w:type="paragraph" w:customStyle="1" w:styleId="NumPar2">
    <w:name w:val="NumPar 2"/>
    <w:basedOn w:val="Normal"/>
    <w:next w:val="Text1"/>
    <w:rsid w:val="009B7138"/>
    <w:pPr>
      <w:numPr>
        <w:ilvl w:val="1"/>
        <w:numId w:val="16"/>
      </w:numPr>
    </w:pPr>
  </w:style>
  <w:style w:type="paragraph" w:customStyle="1" w:styleId="NumPar3">
    <w:name w:val="NumPar 3"/>
    <w:basedOn w:val="Normal"/>
    <w:next w:val="Text1"/>
    <w:rsid w:val="009B7138"/>
    <w:pPr>
      <w:numPr>
        <w:ilvl w:val="2"/>
        <w:numId w:val="16"/>
      </w:numPr>
    </w:pPr>
  </w:style>
  <w:style w:type="paragraph" w:customStyle="1" w:styleId="NumPar4">
    <w:name w:val="NumPar 4"/>
    <w:basedOn w:val="Normal"/>
    <w:next w:val="Text1"/>
    <w:rsid w:val="009B7138"/>
    <w:pPr>
      <w:numPr>
        <w:ilvl w:val="3"/>
        <w:numId w:val="16"/>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8"/>
      </w:numPr>
    </w:pPr>
  </w:style>
  <w:style w:type="paragraph" w:customStyle="1" w:styleId="Point1number">
    <w:name w:val="Point 1 (number)"/>
    <w:basedOn w:val="Normal"/>
    <w:rsid w:val="009B7138"/>
    <w:pPr>
      <w:numPr>
        <w:ilvl w:val="2"/>
        <w:numId w:val="18"/>
      </w:numPr>
    </w:pPr>
  </w:style>
  <w:style w:type="paragraph" w:customStyle="1" w:styleId="Point2number">
    <w:name w:val="Point 2 (number)"/>
    <w:basedOn w:val="Normal"/>
    <w:rsid w:val="009B7138"/>
    <w:pPr>
      <w:numPr>
        <w:ilvl w:val="4"/>
        <w:numId w:val="18"/>
      </w:numPr>
    </w:pPr>
  </w:style>
  <w:style w:type="paragraph" w:customStyle="1" w:styleId="Point3number">
    <w:name w:val="Point 3 (number)"/>
    <w:basedOn w:val="Normal"/>
    <w:rsid w:val="009B7138"/>
    <w:pPr>
      <w:numPr>
        <w:ilvl w:val="6"/>
        <w:numId w:val="18"/>
      </w:numPr>
    </w:pPr>
  </w:style>
  <w:style w:type="paragraph" w:customStyle="1" w:styleId="Point0letter">
    <w:name w:val="Point 0 (letter)"/>
    <w:basedOn w:val="Normal"/>
    <w:rsid w:val="009B7138"/>
    <w:pPr>
      <w:numPr>
        <w:ilvl w:val="1"/>
        <w:numId w:val="18"/>
      </w:numPr>
    </w:pPr>
  </w:style>
  <w:style w:type="paragraph" w:customStyle="1" w:styleId="Point1letter">
    <w:name w:val="Point 1 (letter)"/>
    <w:basedOn w:val="Normal"/>
    <w:rsid w:val="009B7138"/>
    <w:pPr>
      <w:numPr>
        <w:ilvl w:val="3"/>
        <w:numId w:val="18"/>
      </w:numPr>
    </w:pPr>
  </w:style>
  <w:style w:type="paragraph" w:customStyle="1" w:styleId="Point2letter">
    <w:name w:val="Point 2 (letter)"/>
    <w:basedOn w:val="Normal"/>
    <w:rsid w:val="009B7138"/>
    <w:pPr>
      <w:numPr>
        <w:ilvl w:val="5"/>
        <w:numId w:val="18"/>
      </w:numPr>
    </w:pPr>
  </w:style>
  <w:style w:type="paragraph" w:customStyle="1" w:styleId="Point3letter">
    <w:name w:val="Point 3 (letter)"/>
    <w:basedOn w:val="Normal"/>
    <w:rsid w:val="009B7138"/>
    <w:pPr>
      <w:numPr>
        <w:ilvl w:val="7"/>
        <w:numId w:val="18"/>
      </w:numPr>
    </w:pPr>
  </w:style>
  <w:style w:type="paragraph" w:customStyle="1" w:styleId="Point4letter">
    <w:name w:val="Point 4 (letter)"/>
    <w:basedOn w:val="Normal"/>
    <w:rsid w:val="009B7138"/>
    <w:pPr>
      <w:numPr>
        <w:ilvl w:val="8"/>
        <w:numId w:val="18"/>
      </w:numPr>
    </w:pPr>
  </w:style>
  <w:style w:type="paragraph" w:customStyle="1" w:styleId="Bullet0">
    <w:name w:val="Bullet 0"/>
    <w:basedOn w:val="Normal"/>
    <w:rsid w:val="009B7138"/>
    <w:pPr>
      <w:numPr>
        <w:numId w:val="19"/>
      </w:numPr>
    </w:pPr>
  </w:style>
  <w:style w:type="paragraph" w:customStyle="1" w:styleId="Bullet1">
    <w:name w:val="Bullet 1"/>
    <w:basedOn w:val="Normal"/>
    <w:rsid w:val="009B7138"/>
    <w:pPr>
      <w:numPr>
        <w:numId w:val="20"/>
      </w:numPr>
    </w:pPr>
  </w:style>
  <w:style w:type="paragraph" w:customStyle="1" w:styleId="Bullet2">
    <w:name w:val="Bullet 2"/>
    <w:basedOn w:val="Normal"/>
    <w:rsid w:val="009B7138"/>
    <w:pPr>
      <w:numPr>
        <w:numId w:val="21"/>
      </w:numPr>
    </w:pPr>
  </w:style>
  <w:style w:type="paragraph" w:customStyle="1" w:styleId="Bullet3">
    <w:name w:val="Bullet 3"/>
    <w:basedOn w:val="Normal"/>
    <w:rsid w:val="009B7138"/>
    <w:pPr>
      <w:numPr>
        <w:numId w:val="22"/>
      </w:numPr>
    </w:pPr>
  </w:style>
  <w:style w:type="paragraph" w:customStyle="1" w:styleId="Bullet4">
    <w:name w:val="Bullet 4"/>
    <w:basedOn w:val="Normal"/>
    <w:rsid w:val="009B7138"/>
    <w:pPr>
      <w:numPr>
        <w:numId w:val="23"/>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4"/>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E8997-1CB9-42BF-A66F-59519B2C0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20</Pages>
  <Words>6758</Words>
  <Characters>41833</Characters>
  <Application>Microsoft Office Word</Application>
  <DocSecurity>0</DocSecurity>
  <Lines>760</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2020-12-18T14:46:00Z</dcterms:created>
  <dcterms:modified xsi:type="dcterms:W3CDTF">2020-12-18T14:46:00Z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