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0C4A773" w:rsidR="00C36E0D" w:rsidRPr="00C673B9" w:rsidRDefault="00330996" w:rsidP="00E50FF1">
      <w:pPr>
        <w:pStyle w:val="Pagedecouverture"/>
      </w:pPr>
      <w:bookmarkStart w:id="0" w:name="_GoBack"/>
      <w:bookmarkEnd w:id="0"/>
      <w:r>
        <w:pict w14:anchorId="7E4685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22127DC-AD0D-4EEE-8D5A-2AF855023A55" style="width:450.65pt;height:422.9pt">
            <v:imagedata r:id="rId8" o:title=""/>
          </v:shape>
        </w:pict>
      </w:r>
    </w:p>
    <w:p w14:paraId="703F7C0E" w14:textId="77777777" w:rsidR="0004170D" w:rsidRPr="00C673B9" w:rsidRDefault="0004170D">
      <w:pPr>
        <w:sectPr w:rsidR="0004170D" w:rsidRPr="00C673B9" w:rsidSect="00E50FF1">
          <w:footerReference w:type="default" r:id="rId9"/>
          <w:pgSz w:w="11907" w:h="16839"/>
          <w:pgMar w:top="1134" w:right="1417" w:bottom="1134" w:left="1417" w:header="709" w:footer="709" w:gutter="0"/>
          <w:pgNumType w:start="0"/>
          <w:cols w:space="720"/>
          <w:docGrid w:linePitch="360"/>
        </w:sectPr>
      </w:pPr>
    </w:p>
    <w:p w14:paraId="4E87218B" w14:textId="11011A80" w:rsidR="0004170D" w:rsidRPr="00C673B9" w:rsidRDefault="00E50FF1" w:rsidP="00E50FF1">
      <w:pPr>
        <w:pStyle w:val="Typedudocument"/>
      </w:pPr>
      <w:r w:rsidRPr="00E50FF1">
        <w:lastRenderedPageBreak/>
        <w:t>A BIZOTTSÁG (EU) .../... VÉGREHAJTÁSI RENDELETE</w:t>
      </w:r>
    </w:p>
    <w:p w14:paraId="311EA019" w14:textId="5EFD5A88" w:rsidR="0004170D" w:rsidRPr="00C673B9" w:rsidRDefault="00E50FF1" w:rsidP="00E50FF1">
      <w:pPr>
        <w:pStyle w:val="Datedadoption"/>
      </w:pPr>
      <w:r w:rsidRPr="00E50FF1">
        <w:t>(</w:t>
      </w:r>
      <w:r w:rsidRPr="00E50FF1">
        <w:rPr>
          <w:rStyle w:val="Marker2"/>
        </w:rPr>
        <w:t>XXX</w:t>
      </w:r>
      <w:r w:rsidRPr="00E50FF1">
        <w:t>)</w:t>
      </w:r>
    </w:p>
    <w:p w14:paraId="7EF0A74F" w14:textId="12999F2A" w:rsidR="0004170D" w:rsidRPr="00C673B9" w:rsidRDefault="00E50FF1" w:rsidP="00E50FF1">
      <w:pPr>
        <w:pStyle w:val="Titreobjet"/>
      </w:pPr>
      <w:r w:rsidRPr="00E50FF1">
        <w:t xml:space="preserve">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w:t>
      </w:r>
      <w:r w:rsidRPr="00E50FF1">
        <w:br/>
      </w:r>
    </w:p>
    <w:p w14:paraId="714F85CC" w14:textId="315F4FF3" w:rsidR="0004170D" w:rsidRPr="00C673B9" w:rsidRDefault="00E50FF1" w:rsidP="00E50FF1">
      <w:pPr>
        <w:pStyle w:val="IntrtEEE"/>
      </w:pPr>
      <w:r w:rsidRPr="00E50FF1">
        <w:t>(EGT-vonatkozású szöveg)</w:t>
      </w:r>
    </w:p>
    <w:p w14:paraId="12CCC5F1" w14:textId="77777777" w:rsidR="0004170D" w:rsidRPr="00C673B9" w:rsidRDefault="0004170D" w:rsidP="009675DD">
      <w:pPr>
        <w:pStyle w:val="Institutionquiagit"/>
      </w:pPr>
      <w:r w:rsidRPr="00C673B9">
        <w:t>AZ EURÓPAI BIZOTTSÁG,</w:t>
      </w:r>
    </w:p>
    <w:p w14:paraId="54D27881" w14:textId="77777777" w:rsidR="0004170D" w:rsidRPr="00C673B9" w:rsidRDefault="0004170D" w:rsidP="009675DD">
      <w:r w:rsidRPr="00C673B9">
        <w:t>tekintettel az Európai Unió működéséről szóló szerződésre,</w:t>
      </w:r>
    </w:p>
    <w:p w14:paraId="2965D16B" w14:textId="4EFD17A3" w:rsidR="0004170D" w:rsidRPr="00C673B9" w:rsidRDefault="00AD21AA" w:rsidP="009675DD">
      <w:pPr>
        <w:rPr>
          <w:rFonts w:eastAsia="Times New Roman"/>
          <w:noProof/>
          <w:color w:val="000000"/>
        </w:rPr>
      </w:pPr>
      <w:r w:rsidRPr="00C673B9">
        <w:t>tekintettel a hitelintézetekre és befektetési vállalkozásokra vonatkozó prudenciális követelményekről és a 648/2012/EU rendelet módosításáról szóló, 2013. június 26-i 575/2013/EU európai parlamenti és tanácsi rendeletre</w:t>
      </w:r>
      <w:r w:rsidRPr="00C673B9">
        <w:rPr>
          <w:rStyle w:val="FootnoteReference"/>
        </w:rPr>
        <w:footnoteReference w:id="1"/>
      </w:r>
      <w:r w:rsidRPr="00C673B9">
        <w:t xml:space="preserve"> és különösen annak 415. cikke (3) bekezdésének első albekezdésére, 415. cikke (3a) bekezdésének első albekezdésére, 430. cikke (7) bekezdésének első albekezdésére, valamint 430. cikke (9) bekezdésének második albekezdésére,</w:t>
      </w:r>
    </w:p>
    <w:p w14:paraId="421FC692" w14:textId="77777777" w:rsidR="0004170D" w:rsidRPr="00C673B9" w:rsidRDefault="0004170D" w:rsidP="009675DD">
      <w:r w:rsidRPr="00C673B9">
        <w:t>mivel:</w:t>
      </w:r>
    </w:p>
    <w:p w14:paraId="0A7D0586" w14:textId="77777777" w:rsidR="00AD21AA" w:rsidRPr="00C673B9" w:rsidRDefault="00AD21AA" w:rsidP="00992DB9">
      <w:pPr>
        <w:pStyle w:val="Considrant"/>
        <w:numPr>
          <w:ilvl w:val="0"/>
          <w:numId w:val="10"/>
        </w:numPr>
      </w:pPr>
      <w:r w:rsidRPr="00C673B9">
        <w:t>A 680/2014/EU bizottsági végrehajtási rendelet</w:t>
      </w:r>
      <w:r w:rsidRPr="00C673B9">
        <w:rPr>
          <w:rStyle w:val="FootnoteReference"/>
        </w:rPr>
        <w:footnoteReference w:id="2"/>
      </w:r>
      <w:r w:rsidRPr="00C673B9">
        <w:t xml:space="preserve"> az 575/2013/EU rendelet 430. cikke alapján – az illetékes hatóságok 2013/36/EU európai parlamenti és tanácsi irányelv</w:t>
      </w:r>
      <w:r w:rsidRPr="00C673B9">
        <w:rPr>
          <w:rStyle w:val="FootnoteReference"/>
        </w:rPr>
        <w:footnoteReference w:id="3"/>
      </w:r>
      <w:r w:rsidRPr="00C673B9">
        <w:t xml:space="preserve"> 104. cikke (1) bekezdésének j) pontja szerinti hatásköreinek sérelme nélkül – koherens jelentéstételi keretet hoz létre. A 680/2014/EU végrehajtási rendelet több alkalommal módosult az 575/2013/EU rendelet azon módosításait követően, amelyeket prudenciális elemek bevezetése, továbbfejlesztése vagy kiigazítása céljából fogadtak el.</w:t>
      </w:r>
    </w:p>
    <w:p w14:paraId="7949AA03" w14:textId="77777777" w:rsidR="00AD21AA" w:rsidRPr="00C673B9" w:rsidRDefault="00AD21AA" w:rsidP="00992DB9">
      <w:pPr>
        <w:pStyle w:val="Considrant"/>
        <w:numPr>
          <w:ilvl w:val="0"/>
          <w:numId w:val="10"/>
        </w:numPr>
      </w:pPr>
      <w:r w:rsidRPr="00C673B9">
        <w:t>E rendelet rendelkezései szorosan összefüggnek, mivel az intézmények adatszolgáltatási követelményeivel foglalkoznak. Az egyszerre hatályba léptetendő rendelkezések koherenciája, valamint annak elősegítése érdekében, hogy az említett kötelezettségek hatálya alá tartozó személyek átfogó rálátással rendelkezzenek a szóban forgó rendelkezésekre és könnyen hozzáférhessenek azokhoz, az 575/2013/EU rendelet által előírt, kapcsolódó végrehajtás-technikai standardokat célszerű egyetlen rendeletbe foglalni.</w:t>
      </w:r>
    </w:p>
    <w:p w14:paraId="1A0C281B" w14:textId="77777777" w:rsidR="00AD21AA" w:rsidRPr="00C673B9" w:rsidRDefault="00AD21AA" w:rsidP="00AD21AA">
      <w:pPr>
        <w:pStyle w:val="Considrant"/>
      </w:pPr>
      <w:r w:rsidRPr="00C673B9">
        <w:lastRenderedPageBreak/>
        <w:t>Az (EU) 2019/876 európai parlamenti és tanácsi rendelet</w:t>
      </w:r>
      <w:r w:rsidRPr="00C673B9">
        <w:rPr>
          <w:rStyle w:val="FootnoteReference"/>
        </w:rPr>
        <w:footnoteReference w:id="4"/>
      </w:r>
      <w:r w:rsidRPr="00C673B9">
        <w:t xml:space="preserve"> a Bázeli Bankfelügyeleti Bizottság nemzetközi standardjainak figyelembevételével számos tekintetben – például a tőkeáttételi mutató, a nettó stabil forrásellátottsági követelmény, a szavatolótőkére és a leírható, illetve átalakítható kötelezettségekre vonatkozó követelmények, a partnerkockázat, a piaci kockázat, a központi szerződő felekkel szembeni kitettségek, a kollektív befektetési formákkal szembeni kitettségek, a nagykockázat-vállalások, valamint az adatszolgáltatási és közétételi követelmények tekintetében – módosította az 575/2013/EU rendeletet. Ennek megfelelően felül kell vizsgálni a 680/2014/EU végrehajtási rendeletben meghatározott adatszolgáltatási keretet, és naprakésszé kell tenni a felügyeleti adatszolgáltatás céljából történő információgyűjtés tábláit.</w:t>
      </w:r>
    </w:p>
    <w:p w14:paraId="5F6B66C1" w14:textId="77777777" w:rsidR="00AD21AA" w:rsidRPr="00C673B9" w:rsidRDefault="00AD21AA" w:rsidP="00AD21AA">
      <w:pPr>
        <w:pStyle w:val="Considrant"/>
      </w:pPr>
      <w:r w:rsidRPr="00C673B9">
        <w:t>Az (EU) 2019/876 rendelet az 575/2013/EU rendeletbe bevezette az alapvető tőke 3 %-ának megfelelő tőkeáttételi mutatóra vonatkozó követelményt, több helyen kiigazította a tőkeáttételi mutatóhoz figyelembe vett kitettségérték számítását, valamint a 2013/36/EU irányelv szerinti globálisan rendszerszinten jelentős intézmények tekintetében bevezette a tőkeáttételi mutató pufferre vonatkozó követelményt. Ennek megfelelően, e követelményeknek és a kitettségérték számítását érintő kiigazításoknak a figyelembevétele érdekében naprakésszé kell tenni a tőkeáttételi mutatóra vonatkozó adatszolgáltatást.</w:t>
      </w:r>
    </w:p>
    <w:p w14:paraId="3651D6E0" w14:textId="77777777" w:rsidR="00AD21AA" w:rsidRPr="00C673B9" w:rsidRDefault="00AD21AA" w:rsidP="00AD21AA">
      <w:pPr>
        <w:pStyle w:val="Considrant"/>
      </w:pPr>
      <w:r w:rsidRPr="00C673B9">
        <w:t>Az (EU) 2019/876 rendelet az 575/2013/EU rendeletbe bevezette a nettó stabil forrásellátottsági rátára (NSFR) vonatkozó adatszolgáltatási követelményeket, ideértve a vonatkozó egyszerűsített követelményeket is. Ennek megfelelően új adatszolgáltatási táblákat és útmutatókat kell meghatározni.</w:t>
      </w:r>
    </w:p>
    <w:p w14:paraId="7CAD2444" w14:textId="77777777" w:rsidR="00AD21AA" w:rsidRPr="00C673B9" w:rsidRDefault="00AD21AA" w:rsidP="00AD21AA">
      <w:pPr>
        <w:pStyle w:val="Considrant"/>
      </w:pPr>
      <w:r w:rsidRPr="00C673B9">
        <w:t>Az (EU) 2019/876 rendelet az 575/2013/EU rendeletbe bevezette az infrastrukturális projektek kitettségeire alkalmazandó új támogatási szorzót, valamint naprakésszé tette a kollektív befektetési formákra vonatkozó kockázattal súlyozott kitettségértékek számítását. Ennek megfelelően és a közzétételi kerettel is összhangban meg kell határozni a hitelkockázatra vonatkozó adatszolgáltatás új tábláit és útmutatóját, és naprakésszé kell tenni a jelenlegi útmutatót.</w:t>
      </w:r>
    </w:p>
    <w:p w14:paraId="19553D31" w14:textId="77777777" w:rsidR="00AD21AA" w:rsidRPr="00C673B9" w:rsidRDefault="00AD21AA" w:rsidP="00AD21AA">
      <w:pPr>
        <w:pStyle w:val="Considrant"/>
      </w:pPr>
      <w:r w:rsidRPr="00C673B9">
        <w:t>Az (EU) 2019/876 rendelet az 575/2013/EU rendeletben a sztenderd módszert a kockázatérzékenyebb, partner-hitelkockázatra alkalmazandó sztenderd módszerrel (SA-CCR) és annak egyszerűsített változatával (egyszerűsített SA-CCR) váltotta fel azon intézmények esetében, amelyek megfelelnek az előre meghatározott elismerhetőségi kritériumoknak. Az eredeti kitettség szerinti módszer módosított formában továbbra is elérhető az előre meghatározott kritériumoknak megfelelő intézmények számára. Ennek megfelelően új táblákkal és útmutatóval kell bővíteni a partner-hitelkockázatra vonatkozó adatszolgáltatást, és naprakésszé kell tenni a jelenlegi útmutatót.</w:t>
      </w:r>
    </w:p>
    <w:p w14:paraId="76193745" w14:textId="77777777" w:rsidR="00AD21AA" w:rsidRPr="00C673B9" w:rsidRDefault="00AD21AA" w:rsidP="00AD21AA">
      <w:pPr>
        <w:pStyle w:val="Considrant"/>
      </w:pPr>
      <w:r w:rsidRPr="00C673B9">
        <w:t xml:space="preserve">Az (EU) 2019/876 rendelet az 575/2013/EU rendeletben a nagykockázatok számításával kapcsolatos „figyelembe vehető tőkére” való hivatkozásokat „alapvető tőkére” való hivatkozással váltotta fel, és más küszöbértéket vezetett be a </w:t>
      </w:r>
      <w:r w:rsidRPr="00C673B9">
        <w:lastRenderedPageBreak/>
        <w:t>nagykockázat-vállalások összevont alapon történő jelentésére. Ennek megfelelően naprakésszé kell tenni a nagykockázat-vállalásra vonatkozó adatszolgáltatást.</w:t>
      </w:r>
    </w:p>
    <w:p w14:paraId="406A544B" w14:textId="77777777" w:rsidR="00AD21AA" w:rsidRPr="00C673B9" w:rsidRDefault="00AD21AA" w:rsidP="00AD21AA">
      <w:pPr>
        <w:pStyle w:val="Considrant"/>
      </w:pPr>
      <w:r w:rsidRPr="00C673B9">
        <w:t>Az (EU) 2019/630 európai parlamenti és tanácsi rendelet</w:t>
      </w:r>
      <w:r w:rsidRPr="00C673B9">
        <w:rPr>
          <w:rStyle w:val="FootnoteReference"/>
        </w:rPr>
        <w:footnoteReference w:id="5"/>
      </w:r>
      <w:r w:rsidRPr="00C673B9">
        <w:t xml:space="preserve"> az 575/2013/EU rendeletbe bevezette a nemteljesítő kitettségekkel kapcsolatos prudenciális védőhálót, amely az intézmények szavatolótőkéjére vonatkozó levonást irányoz elő arra az esetre, ha a céltartalékok vagy az egyéb kiigazítások a teljes körű fedezet kiépítésére előírt határidő után nem fedezik kellőképpen a nemteljesítő kitettségeket. A prudenciális védőháló a „nemteljesítő kitettség” és az „átstrukturálási intézkedések” 680/2014/EU végrehajtási rendelet szerinti meghatározásán alapul. Ennek megfelelően módosítani kell a táblákat és az útmutatókat, hogy a „nemteljesítő kitettség” és az „átstrukturálási intézkedések” meghatározása egységes legyen mind az adatszolgáltatás, mind a prudenciális védőháló tekintetében. A védőháló kiszámításához szükséges információgyűjtés miatt új táblákra is szükség van.</w:t>
      </w:r>
    </w:p>
    <w:p w14:paraId="4A308F65" w14:textId="77777777" w:rsidR="00AD21AA" w:rsidRPr="00C673B9" w:rsidRDefault="00AD21AA" w:rsidP="00AD21AA">
      <w:pPr>
        <w:pStyle w:val="Considrant"/>
      </w:pPr>
      <w:r w:rsidRPr="00C673B9">
        <w:t>Az (EU) 2019/2033 európai parlamenti és tanácsi rendelet</w:t>
      </w:r>
      <w:r w:rsidRPr="00C673B9">
        <w:rPr>
          <w:rStyle w:val="FootnoteReference"/>
        </w:rPr>
        <w:footnoteReference w:id="6"/>
      </w:r>
      <w:r w:rsidRPr="00C673B9">
        <w:t xml:space="preserve"> 2026. június 26-i hatállyal hatályon kívül helyezi az 575/2013/EU rendelet harmadik része I. címe 1. fejezetének 2. szakaszát (95–98. cikk). Ennek megfelelően 2026. június 26-án hatályukat vesztik az olyan csoportokra vonatkozó, egyedi vagy összevont alapon teljesítendő adatszolgáltatásra vonatkozó előírások, amelyek csak az 575/2013/EU rendelet 95. és 96. cikkének hatálya alá tartozó befektetési vállalkozásokból állnak.</w:t>
      </w:r>
    </w:p>
    <w:p w14:paraId="43FA00D7" w14:textId="77777777" w:rsidR="00AD21AA" w:rsidRPr="00C673B9" w:rsidRDefault="00AD21AA" w:rsidP="00AD21AA">
      <w:pPr>
        <w:pStyle w:val="Considrant"/>
      </w:pPr>
      <w:r w:rsidRPr="00C673B9">
        <w:t>Az említett módosítások hatályára tekintettel és az egyértelműség érdekében helyénvaló hatályon kívül helyezni és e rendelettel felváltani a 680/2014/EU végrehajtási rendeletet.</w:t>
      </w:r>
    </w:p>
    <w:p w14:paraId="68FF0834" w14:textId="6E9A2A57" w:rsidR="00AD21AA" w:rsidRPr="00C673B9" w:rsidRDefault="00AD21AA" w:rsidP="00AD21AA">
      <w:pPr>
        <w:pStyle w:val="Considrant"/>
      </w:pPr>
      <w:r w:rsidRPr="00C673B9">
        <w:t>Az (EU) 2020/873 európai parlamenti és tanácsi rendelet</w:t>
      </w:r>
      <w:r w:rsidRPr="00C673B9">
        <w:rPr>
          <w:rStyle w:val="FootnoteReference"/>
        </w:rPr>
        <w:footnoteReference w:id="7"/>
      </w:r>
      <w:r w:rsidRPr="00C673B9">
        <w:t xml:space="preserve"> azon intézkedések közé tartozik, amelyek célja, hogy enyhítsék a Covid19-világjárvány által az Unióban működő intézményekre gyakorolt hatást. Az említett rendelet olyan módosításokat vezetett be az 575/2013/EU és az (EU) 2019/876 rendeletbe, amelyek hatással vannak a felügyeleti adatszolgáltatásra. Ennek megfelelően e módosításokat figyelembe kell venni</w:t>
      </w:r>
      <w:r w:rsidR="006155C1">
        <w:t xml:space="preserve"> az adatszolgáltatási keretben.</w:t>
      </w:r>
    </w:p>
    <w:p w14:paraId="1AEA9367" w14:textId="77777777" w:rsidR="00AD21AA" w:rsidRPr="00C673B9" w:rsidRDefault="00AD21AA" w:rsidP="00AD21AA">
      <w:pPr>
        <w:pStyle w:val="Considrant"/>
      </w:pPr>
      <w:r w:rsidRPr="00C673B9">
        <w:t>Az intézményeknek 2021 második negyedévének végére vonatkozóan kell megkezdeniük a felügyeleti adatszolgáltatást. A tőkeáttételi mutató pufferre vonatkozó adatszolgáltatásnak azonban 2023 januárjától kell kezdődnie, mivel a magára a pufferre vonatkozó követelmények alkalmazását az (EU) 2020/873 rendelet 2023 januárjára halasztotta.</w:t>
      </w:r>
    </w:p>
    <w:p w14:paraId="34258819" w14:textId="77777777" w:rsidR="00AD21AA" w:rsidRPr="00C673B9" w:rsidRDefault="00AD21AA" w:rsidP="00AD21AA">
      <w:pPr>
        <w:pStyle w:val="Considrant"/>
      </w:pPr>
      <w:r w:rsidRPr="00C673B9">
        <w:t>Ez a rendelet az Európai Bankhatóság (EBH) által a Bizottsághoz benyújtott végrehajtás-technikai standardtervezeten alapul.</w:t>
      </w:r>
    </w:p>
    <w:p w14:paraId="1EE2EAF8" w14:textId="77777777" w:rsidR="00AD21AA" w:rsidRPr="00C673B9" w:rsidRDefault="00AD21AA" w:rsidP="00AD21AA">
      <w:pPr>
        <w:pStyle w:val="Considrant"/>
        <w:rPr>
          <w:noProof/>
        </w:rPr>
      </w:pPr>
      <w:r w:rsidRPr="00C673B9">
        <w:t xml:space="preserve">Az EBH – az (EU) 575/2013 rendeletnek az (EU) 2020/873 rendelet általi módosításait tükröző rendelkezések kivételével – nyilvános konzultációt folytatott az e rendelet alapját képező végrehajtás-technikai standardtervezetről, elemezte az azzal összefüggésben felmerülő lehetséges költségeket és hasznot, továbbá kikérte az </w:t>
      </w:r>
      <w:r w:rsidRPr="00C673B9">
        <w:lastRenderedPageBreak/>
        <w:t>1093/2010/EU európai parlamenti és tanácsi rendelet</w:t>
      </w:r>
      <w:r w:rsidRPr="00C673B9">
        <w:rPr>
          <w:rStyle w:val="FootnoteReference"/>
        </w:rPr>
        <w:footnoteReference w:id="8"/>
      </w:r>
      <w:r w:rsidRPr="00C673B9">
        <w:t xml:space="preserve"> 37. cikkével összhangban létrehozott banki érdekképviseleti csoport szakvéleményét. Az EBH úgy döntött, hogy az említett rendelkezésekről rendkívül aránytalan lett volna nyilvános konzultációkat vagy költség-haszon elemzést végezni, mivel azok a fizetőképességre és a tőkeáttételre vonatkozó adatszolgáltatási táblák nagyon kevés sorát érintik, és valószínűleg nem befolyásolják lényegesen az adatszolgáltatás költségeit. Emellett az ilyen nyilvános konzultáció vagy költség-haszon elemzés megakadályozná a felügyeleti hatóságokat abban, hogy időben, koherens és rendszeres módon gyűjtsék össze a vonatkozó adatokat.</w:t>
      </w:r>
    </w:p>
    <w:p w14:paraId="38285338" w14:textId="21DF2063" w:rsidR="0004170D" w:rsidRPr="00C673B9" w:rsidRDefault="00AD21AA" w:rsidP="00AD21AA">
      <w:pPr>
        <w:pStyle w:val="Considrant"/>
        <w:rPr>
          <w:noProof/>
        </w:rPr>
      </w:pPr>
      <w:r w:rsidRPr="00C673B9">
        <w:t>Annak érdekében, hogy az intézményeknek elég idejük legyen felkészülni az e rendelet szerinti adatszolgáltatásra, a rendeletnek az Európai Unió Hivatalos Lapjában való kihirdetését köv</w:t>
      </w:r>
      <w:r w:rsidR="00C673B9">
        <w:t>ető napon kell hatályba lépnie,</w:t>
      </w:r>
    </w:p>
    <w:p w14:paraId="7E0D596A" w14:textId="77777777" w:rsidR="0004170D" w:rsidRPr="00C673B9" w:rsidRDefault="0004170D" w:rsidP="009675DD">
      <w:pPr>
        <w:pStyle w:val="Formuledadoption"/>
      </w:pPr>
      <w:r w:rsidRPr="00C673B9">
        <w:t>ELFOGADTA EZT A RENDELETET:</w:t>
      </w:r>
    </w:p>
    <w:p w14:paraId="576F9D8E" w14:textId="77777777" w:rsidR="0004170D" w:rsidRPr="00C673B9" w:rsidRDefault="0004170D" w:rsidP="009675DD">
      <w:pPr>
        <w:pStyle w:val="Titrearticle"/>
      </w:pPr>
      <w:r w:rsidRPr="00C673B9">
        <w:t>1. cikk</w:t>
      </w:r>
    </w:p>
    <w:p w14:paraId="288B3999" w14:textId="77777777" w:rsidR="006B61AF" w:rsidRPr="00C673B9" w:rsidRDefault="006B61AF" w:rsidP="006B61AF">
      <w:pPr>
        <w:pStyle w:val="Titrearticle"/>
        <w:spacing w:before="120"/>
        <w:rPr>
          <w:b/>
          <w:i w:val="0"/>
        </w:rPr>
      </w:pPr>
      <w:r w:rsidRPr="00C673B9">
        <w:rPr>
          <w:b/>
          <w:i w:val="0"/>
        </w:rPr>
        <w:t>Tárgy és hatály</w:t>
      </w:r>
    </w:p>
    <w:p w14:paraId="37986D69" w14:textId="7B79D755" w:rsidR="0004170D" w:rsidRPr="00C673B9" w:rsidRDefault="006B61AF" w:rsidP="00BC75BD">
      <w:r w:rsidRPr="00C673B9">
        <w:t>Ez a rendelet meghatározza az intézmények 575/2013/EU rendelet 415. cikkének (3) és (3a) bekezdése, valamint 430. cikkének (1)–(4), (7) és (9) bekezdése szerinti, illetékes hatóságok felé történő adatszolgáltatása során alkalmazandó egységes adatszolgáltatási formátumokat és táblákat, továbbá a táblák használatára vonatkozó módszertant és útmutatókat, az adatszolgáltatás gyakoriságát és határidőit, illetve az alkalmazandó fogalommeghatározásoka</w:t>
      </w:r>
      <w:r w:rsidR="00C673B9">
        <w:t>t és informatikai megoldásokat.</w:t>
      </w:r>
    </w:p>
    <w:p w14:paraId="46D6B4CF" w14:textId="77777777" w:rsidR="00FF364B" w:rsidRPr="00C673B9" w:rsidRDefault="00881EA6" w:rsidP="00FF364B">
      <w:pPr>
        <w:pStyle w:val="Titrearticle"/>
      </w:pPr>
      <w:r>
        <w:fldChar w:fldCharType="begin"/>
      </w:r>
      <w:r>
        <w:instrText xml:space="preserve"> seq article </w:instrText>
      </w:r>
      <w:r>
        <w:fldChar w:fldCharType="separate"/>
      </w:r>
      <w:r w:rsidR="00FF364B" w:rsidRPr="00C673B9">
        <w:t>2</w:t>
      </w:r>
      <w:r>
        <w:fldChar w:fldCharType="end"/>
      </w:r>
      <w:r w:rsidR="00FF364B" w:rsidRPr="00C673B9">
        <w:t>. cikk</w:t>
      </w:r>
    </w:p>
    <w:p w14:paraId="35E34B0E" w14:textId="1A25917F" w:rsidR="00FF364B" w:rsidRPr="00C673B9" w:rsidRDefault="006B61AF" w:rsidP="00FF364B">
      <w:pPr>
        <w:pStyle w:val="Titrearticle"/>
        <w:spacing w:before="120"/>
        <w:rPr>
          <w:b/>
          <w:i w:val="0"/>
        </w:rPr>
      </w:pPr>
      <w:r w:rsidRPr="00C673B9">
        <w:rPr>
          <w:b/>
          <w:i w:val="0"/>
        </w:rPr>
        <w:t>Adatszolgáltatási vonatkozási időpontok</w:t>
      </w:r>
    </w:p>
    <w:p w14:paraId="10AD0363" w14:textId="77777777" w:rsidR="006B61AF" w:rsidRPr="00C673B9" w:rsidRDefault="006B61AF" w:rsidP="00992DB9">
      <w:pPr>
        <w:pStyle w:val="Point0number"/>
        <w:numPr>
          <w:ilvl w:val="0"/>
          <w:numId w:val="25"/>
        </w:numPr>
      </w:pPr>
      <w:r w:rsidRPr="00C673B9">
        <w:t>Az intézmények az alábbi vonatkozási időpontokban fennálló állapot szerinti információkat nyújtják be az illetékes hatóságoknak:</w:t>
      </w:r>
    </w:p>
    <w:p w14:paraId="7FC44D08" w14:textId="2BC9CD43" w:rsidR="006B61AF" w:rsidRPr="00C673B9" w:rsidRDefault="00D9176D" w:rsidP="006B61AF">
      <w:pPr>
        <w:pStyle w:val="Point1"/>
      </w:pPr>
      <w:r w:rsidRPr="00C673B9">
        <w:t>a)</w:t>
      </w:r>
      <w:r w:rsidRPr="00C673B9">
        <w:tab/>
        <w:t>havi adatszolgáltatás: az adott hónap utolsó napja;</w:t>
      </w:r>
    </w:p>
    <w:p w14:paraId="28CC3121" w14:textId="77777777" w:rsidR="006B61AF" w:rsidRPr="00C673B9" w:rsidRDefault="006B61AF" w:rsidP="006B61AF">
      <w:pPr>
        <w:pStyle w:val="Point1"/>
      </w:pPr>
      <w:r w:rsidRPr="00C673B9">
        <w:t>b)</w:t>
      </w:r>
      <w:r w:rsidRPr="00C673B9">
        <w:tab/>
        <w:t>negyedéves adatszolgáltatás: március 31., június 30., szeptember 30. és december 31.;</w:t>
      </w:r>
    </w:p>
    <w:p w14:paraId="3C859754" w14:textId="77777777" w:rsidR="006B61AF" w:rsidRPr="00C673B9" w:rsidRDefault="006B61AF" w:rsidP="006B61AF">
      <w:pPr>
        <w:pStyle w:val="Point1"/>
      </w:pPr>
      <w:r w:rsidRPr="00C673B9">
        <w:t>c)</w:t>
      </w:r>
      <w:r w:rsidRPr="00C673B9">
        <w:tab/>
        <w:t>féléves adatszolgáltatás: június 30. és december 31.;</w:t>
      </w:r>
    </w:p>
    <w:p w14:paraId="03865441" w14:textId="5E46B259" w:rsidR="00FF364B" w:rsidRPr="00C673B9" w:rsidRDefault="006B61AF" w:rsidP="006B61AF">
      <w:pPr>
        <w:pStyle w:val="Point1"/>
      </w:pPr>
      <w:r w:rsidRPr="00C673B9">
        <w:t>d)</w:t>
      </w:r>
      <w:r w:rsidRPr="00C673B9">
        <w:tab/>
        <w:t>éves adatszolgáltatás: december 31.</w:t>
      </w:r>
    </w:p>
    <w:p w14:paraId="40A4E6AA" w14:textId="77777777" w:rsidR="006B61AF" w:rsidRPr="00C673B9" w:rsidRDefault="006B61AF" w:rsidP="006155C1">
      <w:pPr>
        <w:pStyle w:val="Point0number"/>
      </w:pPr>
      <w:r w:rsidRPr="00C673B9">
        <w:t>A III. és a IV. melléklet tábláiban egy adott időszakra vonatkozóan, az V. melléklet útmutatója szerint benyújtandó információkat az üzleti év első napjától a vonatkozási időpontig összesítve kell jelenteni.</w:t>
      </w:r>
    </w:p>
    <w:p w14:paraId="65D209FF" w14:textId="1131E63F" w:rsidR="00FF364B" w:rsidRPr="00C673B9" w:rsidRDefault="006B61AF" w:rsidP="006155C1">
      <w:pPr>
        <w:pStyle w:val="Point0number"/>
      </w:pPr>
      <w:r w:rsidRPr="00C673B9">
        <w:t xml:space="preserve">Amennyiben a nemzeti jogszabályok lehetővé teszik az intézmények számára, hogy a pénzügyi információikra vonatkozó adatszolgáltatást a naptári évtől eltérő üzleti évük vége alapján teljesítsék, az adatszolgáltatási vonatkozási időpontokat ennek megfelelően módosíthatják annak érdekében, hogy a pénzügyi információkra vonatkozó adatszolgáltatásra és a globálisan rendszerszinten jelentős intézmények </w:t>
      </w:r>
      <w:r w:rsidRPr="00C673B9">
        <w:lastRenderedPageBreak/>
        <w:t>meghatározásával és pufferrátájuk hozzárendelésével kapcsolatos adatszolgáltatásra az üzleti évük végétől számított három, hat, illetve tizenkét havonta sor kerülhessen.</w:t>
      </w:r>
    </w:p>
    <w:p w14:paraId="45D66A15" w14:textId="77777777" w:rsidR="00725875" w:rsidRPr="00C673B9" w:rsidRDefault="00725875" w:rsidP="00725875">
      <w:pPr>
        <w:pStyle w:val="Titrearticle"/>
      </w:pPr>
      <w:r w:rsidRPr="00C673B9">
        <w:t>3. cikk</w:t>
      </w:r>
    </w:p>
    <w:p w14:paraId="19D84E1B" w14:textId="77777777" w:rsidR="0014552F" w:rsidRPr="00C673B9" w:rsidRDefault="0014552F" w:rsidP="0014552F">
      <w:pPr>
        <w:pStyle w:val="Titrearticle"/>
        <w:spacing w:before="120"/>
        <w:rPr>
          <w:b/>
          <w:i w:val="0"/>
        </w:rPr>
      </w:pPr>
      <w:r w:rsidRPr="00C673B9">
        <w:rPr>
          <w:b/>
          <w:i w:val="0"/>
        </w:rPr>
        <w:t>Adatszolgáltatás-beküldési határidők</w:t>
      </w:r>
    </w:p>
    <w:p w14:paraId="1A3916EF" w14:textId="7005A21D" w:rsidR="0014552F" w:rsidRPr="00C673B9" w:rsidRDefault="006155C1" w:rsidP="006155C1">
      <w:pPr>
        <w:pStyle w:val="Point0"/>
      </w:pPr>
      <w:r>
        <w:t>(1)</w:t>
      </w:r>
      <w:r w:rsidRPr="006155C1">
        <w:tab/>
      </w:r>
      <w:r w:rsidR="0014552F" w:rsidRPr="00C673B9">
        <w:t>Az intézmények az alábbi beküldési határidőkig (az adott napi üzletzárásig) nyújtják be az információkat az illetékes hatóságoknak:</w:t>
      </w:r>
    </w:p>
    <w:p w14:paraId="1B31A059" w14:textId="77777777" w:rsidR="0014552F" w:rsidRPr="00C673B9" w:rsidRDefault="0014552F" w:rsidP="0014552F">
      <w:pPr>
        <w:pStyle w:val="Point1"/>
      </w:pPr>
      <w:r w:rsidRPr="00C673B9">
        <w:t>a)</w:t>
      </w:r>
      <w:r w:rsidRPr="00C673B9">
        <w:tab/>
        <w:t>havi adatszolgáltatás: az adatszolgáltatási vonatkozási időpontot követő 15. naptári nap;</w:t>
      </w:r>
    </w:p>
    <w:p w14:paraId="59E141C9" w14:textId="77777777" w:rsidR="0014552F" w:rsidRPr="00C673B9" w:rsidRDefault="0014552F" w:rsidP="0014552F">
      <w:pPr>
        <w:pStyle w:val="Point1"/>
      </w:pPr>
      <w:r w:rsidRPr="00C673B9">
        <w:t>b)</w:t>
      </w:r>
      <w:r w:rsidRPr="00C673B9">
        <w:tab/>
        <w:t>negyedéves adatszolgáltatás: május 12., augusztus 11., november 11. és február 11.;</w:t>
      </w:r>
    </w:p>
    <w:p w14:paraId="31A5927D" w14:textId="77777777" w:rsidR="0014552F" w:rsidRPr="00C673B9" w:rsidRDefault="0014552F" w:rsidP="0014552F">
      <w:pPr>
        <w:pStyle w:val="Point1"/>
      </w:pPr>
      <w:r w:rsidRPr="00C673B9">
        <w:t>c)</w:t>
      </w:r>
      <w:r w:rsidRPr="00C673B9">
        <w:tab/>
        <w:t>féléves adatszolgáltatás: augusztus 11. és február 11.;</w:t>
      </w:r>
    </w:p>
    <w:p w14:paraId="37F1906A" w14:textId="77777777" w:rsidR="0014552F" w:rsidRPr="00C673B9" w:rsidRDefault="0014552F" w:rsidP="0014552F">
      <w:pPr>
        <w:pStyle w:val="Point1"/>
      </w:pPr>
      <w:r w:rsidRPr="00C673B9">
        <w:t>d)</w:t>
      </w:r>
      <w:r w:rsidRPr="00C673B9">
        <w:tab/>
        <w:t>éves adatszolgáltatás: február 11.</w:t>
      </w:r>
    </w:p>
    <w:p w14:paraId="493E0587" w14:textId="3F129425" w:rsidR="0014552F" w:rsidRPr="00C673B9" w:rsidRDefault="006155C1" w:rsidP="006155C1">
      <w:pPr>
        <w:pStyle w:val="Point0"/>
      </w:pPr>
      <w:r>
        <w:t>(2)</w:t>
      </w:r>
      <w:r w:rsidRPr="006155C1">
        <w:tab/>
      </w:r>
      <w:r w:rsidR="0014552F" w:rsidRPr="00C673B9">
        <w:t>Ha a beküldési határidő hivatalos munkaszüneti napra esik abban a tagállamban, ahol az az illetékes hatóság található, amelynek részére az adatszolgáltatás teljesítendő, illetve ha az adott időpont szombatra vagy vasárnapra esik, az adatokat a következő munkanapon kell benyújtani.</w:t>
      </w:r>
    </w:p>
    <w:p w14:paraId="6B66EFC5" w14:textId="68196367" w:rsidR="0014552F" w:rsidRPr="00C673B9" w:rsidRDefault="006155C1" w:rsidP="006155C1">
      <w:pPr>
        <w:pStyle w:val="Point0"/>
      </w:pPr>
      <w:r>
        <w:t>(3)</w:t>
      </w:r>
      <w:r w:rsidRPr="006155C1">
        <w:tab/>
      </w:r>
      <w:r w:rsidR="0014552F" w:rsidRPr="00C673B9">
        <w:t>Ha az intézmények a pénzügyi információikra vonatkozó adatszolgáltatást és a globálisan rendszerszinten jelentős intézmények meghatározásával és pufferrátájuk hozzárendelésével kapcsolatos adatszolgáltatást a 2. cikk (3) bekezdésében foglaltak szerint az üzleti évük vége alapján módosított adatszolgáltatási vonatkozási időpontokban teljesítik, a beküldési határidők is megfelelően módosíthatók annak érdekében, hogy az adatszolgáltatási vonatkozási időponttól számított beküldési időszak változatlan maradjon.</w:t>
      </w:r>
    </w:p>
    <w:p w14:paraId="67094FB3" w14:textId="578F7BA5" w:rsidR="0014552F" w:rsidRPr="00C673B9" w:rsidRDefault="006155C1" w:rsidP="006155C1">
      <w:pPr>
        <w:pStyle w:val="Point0"/>
      </w:pPr>
      <w:r>
        <w:t>(4)</w:t>
      </w:r>
      <w:r w:rsidRPr="006155C1">
        <w:tab/>
      </w:r>
      <w:r w:rsidR="0014552F" w:rsidRPr="00C673B9">
        <w:t>Az intézmények benyújthatnak nem auditált adatokat. Amennyiben az auditált adatok eltérnek a benyújtott nem auditált adatoktól, a felülvizsgált auditált adatokat indokolatlan késedelem nélkül be kell nyújtani. A nem auditált adatok olyan adatok, amelyekről külső könyvvizsgáló nem alkotott könyvvizsgálói véleményt, míg az auditált adatok olyan adatok, amelyeket külső könyvvizsgáló auditált és amelyekről könyvvizsgálói véleményt alkotott.</w:t>
      </w:r>
    </w:p>
    <w:p w14:paraId="758E2E74" w14:textId="70163EBB" w:rsidR="00725875" w:rsidRPr="00C673B9" w:rsidRDefault="006155C1" w:rsidP="006155C1">
      <w:pPr>
        <w:pStyle w:val="Point0"/>
      </w:pPr>
      <w:r>
        <w:t>(5)</w:t>
      </w:r>
      <w:r w:rsidRPr="006155C1">
        <w:tab/>
      </w:r>
      <w:r w:rsidR="0014552F" w:rsidRPr="00C673B9">
        <w:t>A benyújtott adatszolgáltatások egyéb helyesbítéseit is indokolatlan késedelem nélkül kell benyújtani az illetékes hatóságok részére.</w:t>
      </w:r>
    </w:p>
    <w:p w14:paraId="60D8A63C" w14:textId="77777777" w:rsidR="0014552F" w:rsidRPr="00C673B9" w:rsidRDefault="00881EA6" w:rsidP="0014552F">
      <w:pPr>
        <w:pStyle w:val="Titrearticle"/>
      </w:pPr>
      <w:r>
        <w:fldChar w:fldCharType="begin"/>
      </w:r>
      <w:r>
        <w:instrText xml:space="preserve"> seq article </w:instrText>
      </w:r>
      <w:r>
        <w:fldChar w:fldCharType="separate"/>
      </w:r>
      <w:r w:rsidR="0014552F" w:rsidRPr="00C673B9">
        <w:t>4</w:t>
      </w:r>
      <w:r>
        <w:fldChar w:fldCharType="end"/>
      </w:r>
      <w:r w:rsidR="0014552F" w:rsidRPr="00C673B9">
        <w:t>. cikk</w:t>
      </w:r>
    </w:p>
    <w:p w14:paraId="726E257C" w14:textId="77777777" w:rsidR="0014552F" w:rsidRPr="00C673B9" w:rsidRDefault="0014552F" w:rsidP="0014552F">
      <w:pPr>
        <w:pStyle w:val="Titrearticle"/>
        <w:spacing w:before="120"/>
        <w:rPr>
          <w:b/>
          <w:i w:val="0"/>
        </w:rPr>
      </w:pPr>
      <w:r w:rsidRPr="00C673B9">
        <w:rPr>
          <w:b/>
          <w:i w:val="0"/>
        </w:rPr>
        <w:t>Adatszolgáltatási küszöbértékek – belépési és kilépési kritériumok</w:t>
      </w:r>
    </w:p>
    <w:p w14:paraId="06A0F026" w14:textId="2CA02B82" w:rsidR="0014552F" w:rsidRPr="00C673B9" w:rsidRDefault="006155C1" w:rsidP="006155C1">
      <w:pPr>
        <w:pStyle w:val="Point0"/>
      </w:pPr>
      <w:r>
        <w:t>(1)</w:t>
      </w:r>
      <w:r w:rsidRPr="006155C1">
        <w:tab/>
      </w:r>
      <w:r w:rsidR="0014552F" w:rsidRPr="00C673B9">
        <w:t>Az 575/2013/EU rendelet 4. cikke (1) bekezdésének 145. pontjában meghatározott feltételeket teljesítő intézmények az említett feltételek teljesülését követő első adatszolgáltatási vonatkozási időpontban kezdik meg az adatszolgáltatást kis méretű és nem összetett intézményként. Ha az intézmények már nem teljesítik ezeket a feltételeket, a nemteljesítéstől számított első adatszolgáltatási vonatkozási időpontban felhagynak az adatszolgáltatással.</w:t>
      </w:r>
    </w:p>
    <w:p w14:paraId="67299D12" w14:textId="2EAF47D9" w:rsidR="0014552F" w:rsidRPr="00C673B9" w:rsidRDefault="006155C1" w:rsidP="006155C1">
      <w:pPr>
        <w:pStyle w:val="Point0"/>
      </w:pPr>
      <w:r>
        <w:t>(2)</w:t>
      </w:r>
      <w:r w:rsidRPr="006155C1">
        <w:tab/>
      </w:r>
      <w:r w:rsidR="0014552F" w:rsidRPr="00C673B9">
        <w:t xml:space="preserve">Az 575/2013/EU rendelet 4. cikke (1) bekezdésének 146. pontjában meghatározott feltételeket teljesítő intézmények az említett feltételek teljesülését követő első adatszolgáltatási vonatkozási időpontban kezdik meg az adatszolgáltatást nagy </w:t>
      </w:r>
      <w:r w:rsidR="0014552F" w:rsidRPr="00C673B9">
        <w:lastRenderedPageBreak/>
        <w:t>méretű intézményként. Ha az intézmények már nem teljesítik ezeket a feltételeket, a nemteljesítéstől számított első adatszolgáltatási vonatkozási időpontban felhagynak az adatszolgáltatással.</w:t>
      </w:r>
    </w:p>
    <w:p w14:paraId="427BAF61" w14:textId="63D1A74A" w:rsidR="0014552F" w:rsidRPr="00C673B9" w:rsidRDefault="006155C1" w:rsidP="006155C1">
      <w:pPr>
        <w:pStyle w:val="Point0"/>
      </w:pPr>
      <w:r>
        <w:t>(3)</w:t>
      </w:r>
      <w:r w:rsidRPr="006155C1">
        <w:tab/>
      </w:r>
      <w:r w:rsidR="0014552F" w:rsidRPr="00C673B9">
        <w:t>Az intézmények azon következő adatszolgáltatási vonatkozási időponttól kezdik meg az e rendeletben megállapított küszöbértékekhez kötött adatszolgáltatást, amely előtt két egymást követő adatszolgáltatási vonatkozási időpontban átlépték az említett küszöbértékeket. Az intézmények azon következő adatszolgáltatási vonatkozási időponttól kezdődően hagyhatnak fel az e rendeletben megállapított küszöbértékekhez kötött adatszolgáltatással, amely előtt három egymást követő adatszolgáltatási vonatkozási időpontban nem érték el a vonatkozó küszöbértékeket.</w:t>
      </w:r>
    </w:p>
    <w:p w14:paraId="1E03EF09" w14:textId="77777777" w:rsidR="0014552F" w:rsidRPr="00C673B9" w:rsidRDefault="00881EA6" w:rsidP="0014552F">
      <w:pPr>
        <w:pStyle w:val="Titrearticle"/>
      </w:pPr>
      <w:r>
        <w:fldChar w:fldCharType="begin"/>
      </w:r>
      <w:r>
        <w:instrText xml:space="preserve"> seq article </w:instrText>
      </w:r>
      <w:r>
        <w:fldChar w:fldCharType="separate"/>
      </w:r>
      <w:r w:rsidR="0014552F" w:rsidRPr="00C673B9">
        <w:t>5</w:t>
      </w:r>
      <w:r>
        <w:fldChar w:fldCharType="end"/>
      </w:r>
      <w:r w:rsidR="0014552F" w:rsidRPr="00C673B9">
        <w:t>. cikk</w:t>
      </w:r>
    </w:p>
    <w:p w14:paraId="17F5FB19" w14:textId="77777777" w:rsidR="0014552F" w:rsidRPr="00C673B9" w:rsidRDefault="0014552F" w:rsidP="0014552F">
      <w:pPr>
        <w:pStyle w:val="Titrearticle"/>
        <w:spacing w:before="120"/>
        <w:rPr>
          <w:b/>
          <w:i w:val="0"/>
        </w:rPr>
      </w:pPr>
      <w:r w:rsidRPr="00C673B9">
        <w:rPr>
          <w:b/>
          <w:i w:val="0"/>
        </w:rPr>
        <w:t xml:space="preserve">A szavatolótőkére és a szavatolótőke-követelményekre vonatkozó egyedi alapú adatszolgáltatás – negyedéves adatszolgáltatás </w:t>
      </w:r>
    </w:p>
    <w:p w14:paraId="52AEA4DB" w14:textId="18A77F79" w:rsidR="0014552F" w:rsidRPr="00C673B9" w:rsidRDefault="006155C1" w:rsidP="006155C1">
      <w:pPr>
        <w:pStyle w:val="Point0"/>
      </w:pPr>
      <w:r>
        <w:t>(1)</w:t>
      </w:r>
      <w:r w:rsidRPr="006155C1">
        <w:tab/>
      </w:r>
      <w:r w:rsidR="0014552F" w:rsidRPr="00C673B9">
        <w:t>Az 575/2013/EU rendelet 430. cikke (1) bekezdésének a) pontja szerinti, szavatolótőkére és szavatolótőke-követelményekre vonatkozó egyedi alapú adatszolgáltatás teljesítéséhez az intézmények negyedévenkénti gyakorisággal benyújtják az ebben a cikkben felsorolt információkat.</w:t>
      </w:r>
    </w:p>
    <w:p w14:paraId="10F736EF" w14:textId="5A7B0CC7" w:rsidR="0014552F" w:rsidRPr="00C673B9" w:rsidRDefault="006155C1" w:rsidP="006155C1">
      <w:pPr>
        <w:pStyle w:val="Point0"/>
      </w:pPr>
      <w:r>
        <w:t>(2)</w:t>
      </w:r>
      <w:r w:rsidRPr="006155C1">
        <w:tab/>
      </w:r>
      <w:r w:rsidR="0014552F" w:rsidRPr="00C673B9">
        <w:t>Az intézmények benyújtják az I. melléklet 1–5. táblájában meghatározott, szavatolótőkére és szavatolótőke-követelményekre vonatkozó információkat, a II. melléklet II. részének 1. pontjában foglalt útmutató szerint.</w:t>
      </w:r>
    </w:p>
    <w:p w14:paraId="77032C56" w14:textId="0F026829" w:rsidR="0014552F" w:rsidRPr="00C673B9" w:rsidRDefault="006155C1" w:rsidP="006155C1">
      <w:pPr>
        <w:pStyle w:val="Point0"/>
      </w:pPr>
      <w:r>
        <w:t>(3)</w:t>
      </w:r>
      <w:r w:rsidRPr="006155C1">
        <w:tab/>
      </w:r>
      <w:r w:rsidR="0014552F" w:rsidRPr="00C673B9">
        <w:t>Az intézmények benyújtják az I. melléklet 7. táblájában meghatározott, a sztenderd módszer szerint kezelt hitelkockázati és partnerkockázati kitettségekre vonatkozó információkat, a II. melléklet II. részének 3.2. pontjában foglalt útmutató szerint.</w:t>
      </w:r>
    </w:p>
    <w:p w14:paraId="4FC8E450" w14:textId="5F43BC7F" w:rsidR="0014552F" w:rsidRPr="00C673B9" w:rsidRDefault="006155C1" w:rsidP="006155C1">
      <w:pPr>
        <w:pStyle w:val="Point0"/>
      </w:pPr>
      <w:r>
        <w:t>(4)</w:t>
      </w:r>
      <w:r w:rsidRPr="006155C1">
        <w:tab/>
      </w:r>
      <w:r w:rsidR="0014552F" w:rsidRPr="00C673B9">
        <w:t>Az intézmények benyújtják az I. melléklet 8.1. és 8.2. táblájában meghatározott, a belső minősítésen alapuló módszer szerint kezelt hitelkockázati és partnerkockázati kitettségekre vonatkozó információkat, a II. melléklet II. részének 3.3. pontjában foglalt útmutató szerint.</w:t>
      </w:r>
    </w:p>
    <w:p w14:paraId="68EBC1AD" w14:textId="7C2705FF" w:rsidR="0014552F" w:rsidRPr="00C673B9" w:rsidRDefault="006155C1" w:rsidP="006155C1">
      <w:pPr>
        <w:pStyle w:val="Point0"/>
      </w:pPr>
      <w:r>
        <w:t>(5)</w:t>
      </w:r>
      <w:r w:rsidRPr="006155C1">
        <w:tab/>
      </w:r>
      <w:r w:rsidR="0014552F" w:rsidRPr="00C673B9">
        <w:t xml:space="preserve">Az intézmények benyújtják az I. melléklet 9. táblájában meghatározott, a kitettségek országonkénti földrajzi megoszlására és a kitettségek aggregált szintjére vonatkozó információkat, a II. melléklet II. részének 3.4. pontjában foglalt útmutató szerint. </w:t>
      </w:r>
    </w:p>
    <w:p w14:paraId="37720A47" w14:textId="07B45723" w:rsidR="0014552F" w:rsidRPr="00C673B9" w:rsidRDefault="0014552F" w:rsidP="006B3AF7">
      <w:pPr>
        <w:pStyle w:val="Text1"/>
      </w:pPr>
      <w:r w:rsidRPr="00C673B9">
        <w:t>Az intézményeknek a 9.1. és a 9.2. táblában meghatározott információkat, különösen a kitettségek országonkénti földrajzi megoszlására vonatkozó információkat akkor kell benyújtaniuk, ha a nem hazai eredeti kitettségek értéke – az I. melléklet 4. táblájának 0850-es sorában szereplő érték, amely minden külföldi ország minden kitettségi osztályát magában foglalja – legalább 10 %-át kiteszi a teljes – hazai és nem hazai – eredeti kitettség értékének, amely az I. melléklet 4. táblájának 0860-as sorában szerepel. A kitettségek hazainak tekintendők, ha azok az intézmény székhelye szerinti tagállamban letelepedett par</w:t>
      </w:r>
      <w:r w:rsidR="00C673B9">
        <w:t>tnerekkel szembeni kitettségek.</w:t>
      </w:r>
    </w:p>
    <w:p w14:paraId="2D010602" w14:textId="678AF76C" w:rsidR="0014552F" w:rsidRPr="00C673B9" w:rsidRDefault="0014552F" w:rsidP="006B3AF7">
      <w:pPr>
        <w:pStyle w:val="Text1"/>
      </w:pPr>
      <w:r w:rsidRPr="00C673B9">
        <w:t>A 4. cikkben meghatározott belépési és kilépési kritériumok alkalmazandók.</w:t>
      </w:r>
    </w:p>
    <w:p w14:paraId="1B5047C1" w14:textId="41BF6D3A" w:rsidR="0014552F" w:rsidRPr="00C673B9" w:rsidRDefault="006155C1" w:rsidP="006155C1">
      <w:pPr>
        <w:pStyle w:val="Point0"/>
      </w:pPr>
      <w:r>
        <w:t>(6)</w:t>
      </w:r>
      <w:r w:rsidRPr="006155C1">
        <w:tab/>
      </w:r>
      <w:r w:rsidR="0014552F" w:rsidRPr="00C673B9">
        <w:t>Az intézmények benyújtják az I. melléklet 34.01–34.05. és 34.08–34.10. táblájában meghatározott, partnerkockázatra vonatkozó információkat, a II. melléklet II. részének 3.9. pontjában foglalt útmutató szerint.</w:t>
      </w:r>
    </w:p>
    <w:p w14:paraId="71DD8676" w14:textId="1FF61659" w:rsidR="0014552F" w:rsidRPr="00C673B9" w:rsidRDefault="006155C1" w:rsidP="006155C1">
      <w:pPr>
        <w:pStyle w:val="Point0"/>
      </w:pPr>
      <w:r>
        <w:t>(7)</w:t>
      </w:r>
      <w:r w:rsidRPr="006155C1">
        <w:tab/>
      </w:r>
      <w:r w:rsidR="0014552F" w:rsidRPr="00C673B9">
        <w:t xml:space="preserve">Azok az intézmények, amelyek a partnerkockázati kitettségeket az 575/2013/EU rendelet harmadik része II. címe 6. fejezetének 3. és 6. szakaszával összhangban a </w:t>
      </w:r>
      <w:r w:rsidR="0014552F" w:rsidRPr="00C673B9">
        <w:lastRenderedPageBreak/>
        <w:t>sztenderd módszerrel vagy a belső modell módszerrel számítják, benyújtják az I. melléklet 34.06. táblájában meghatározott, partnerkockázatra vonatkozó információkat, a II. melléklet II. részének 3.9.7. pontjában foglalt útmutató szerint.</w:t>
      </w:r>
    </w:p>
    <w:p w14:paraId="5A7C446B" w14:textId="388CC19F" w:rsidR="0014552F" w:rsidRPr="00C673B9" w:rsidRDefault="006155C1" w:rsidP="006155C1">
      <w:pPr>
        <w:pStyle w:val="Point0"/>
      </w:pPr>
      <w:r>
        <w:t>(8)</w:t>
      </w:r>
      <w:r w:rsidRPr="006155C1">
        <w:tab/>
      </w:r>
      <w:r w:rsidR="0014552F" w:rsidRPr="00C673B9">
        <w:t>Az intézmények benyújtják az I. melléklet 10. táblájában meghatározott, a belső minősítésen alapuló módszer szerint kezelt részvényjellegű kitettségekre vonatkozó információkat, a II. melléklet II. részének 3.5. pontjában foglalt útmutató szerint.</w:t>
      </w:r>
    </w:p>
    <w:p w14:paraId="6C5997E8" w14:textId="3DF110F6" w:rsidR="0014552F" w:rsidRPr="00C673B9" w:rsidRDefault="006155C1" w:rsidP="006155C1">
      <w:pPr>
        <w:pStyle w:val="Point0"/>
      </w:pPr>
      <w:r>
        <w:t>(9)</w:t>
      </w:r>
      <w:r w:rsidRPr="006155C1">
        <w:tab/>
      </w:r>
      <w:r w:rsidR="0014552F" w:rsidRPr="00C673B9">
        <w:t>Az intézmények benyújtják az I. melléklet 11. táblájában meghatározott, kiegyenlítési kockázatra vonatkozó információkat, a II. melléklet II. részének 3.6. pontjában foglalt útmutató szerint.</w:t>
      </w:r>
    </w:p>
    <w:p w14:paraId="442593B8" w14:textId="5573785E" w:rsidR="0014552F" w:rsidRPr="00C673B9" w:rsidRDefault="006155C1" w:rsidP="006155C1">
      <w:pPr>
        <w:pStyle w:val="Point0"/>
      </w:pPr>
      <w:r>
        <w:t>(10)</w:t>
      </w:r>
      <w:r w:rsidRPr="006155C1">
        <w:tab/>
      </w:r>
      <w:r w:rsidR="0014552F" w:rsidRPr="00C673B9">
        <w:t>Az intézmények benyújtják az I. melléklet 13.01. táblájában meghatározott, értékpapírosítási kitettségekre vonatkozó információkat, a II. melléklet II. részének 3.7. pontjában foglalt útmutató szerint.</w:t>
      </w:r>
    </w:p>
    <w:p w14:paraId="70A0DE2C" w14:textId="4EB3BA4E" w:rsidR="0014552F" w:rsidRPr="00C673B9" w:rsidRDefault="006155C1" w:rsidP="006155C1">
      <w:pPr>
        <w:pStyle w:val="Point0"/>
      </w:pPr>
      <w:r>
        <w:t>(11)</w:t>
      </w:r>
      <w:r w:rsidRPr="006155C1">
        <w:tab/>
      </w:r>
      <w:r w:rsidR="0014552F" w:rsidRPr="00C673B9">
        <w:t>Az intézmények benyújtják az I. melléklet 16. táblájában meghatározott, működési kockázattal kapcsolatos szavatolótőke-követelményekre és veszteségekre vonatkozó információkat, a II. melléklet II. részének 4.1. pontjában foglalt útmutató szerint.</w:t>
      </w:r>
    </w:p>
    <w:p w14:paraId="66782023" w14:textId="133C7532" w:rsidR="0014552F" w:rsidRPr="00C673B9" w:rsidRDefault="006155C1" w:rsidP="006155C1">
      <w:pPr>
        <w:pStyle w:val="Point0"/>
      </w:pPr>
      <w:r>
        <w:t>(12)</w:t>
      </w:r>
      <w:r w:rsidRPr="006155C1">
        <w:tab/>
      </w:r>
      <w:r w:rsidR="0014552F" w:rsidRPr="00C673B9">
        <w:t>Az intézmények benyújtják az I. melléklet 18–24. táblájában meghatározott, piaci kockázattal kapcsolatos szavatolótőke-követelményekre vonatkozó információkat, a II. melléklet II. részének 5.1–5.7. pontjában foglalt útmutató szerint.</w:t>
      </w:r>
    </w:p>
    <w:p w14:paraId="2975DD1F" w14:textId="29BE2BC4" w:rsidR="0014552F" w:rsidRPr="00C673B9" w:rsidRDefault="006155C1" w:rsidP="006155C1">
      <w:pPr>
        <w:pStyle w:val="Point0"/>
      </w:pPr>
      <w:r>
        <w:t>(13)</w:t>
      </w:r>
      <w:r w:rsidRPr="006155C1">
        <w:tab/>
      </w:r>
      <w:r w:rsidR="0014552F" w:rsidRPr="00C673B9">
        <w:t>Az intézmények benyújtják az I. melléklet 25. táblájában meghatározott, hitelértékelési korrekciós kockázattal kapcsolatos szavatolótőke-követelményekre vonatkozó információkat, a II. melléklet II. részének 5.8. pontjában foglalt útmutató szerint.</w:t>
      </w:r>
    </w:p>
    <w:p w14:paraId="29B0B226" w14:textId="16F9857E" w:rsidR="0014552F" w:rsidRPr="00C673B9" w:rsidRDefault="006155C1" w:rsidP="006155C1">
      <w:pPr>
        <w:pStyle w:val="Point0"/>
      </w:pPr>
      <w:r>
        <w:t>(14)</w:t>
      </w:r>
      <w:r w:rsidRPr="006155C1">
        <w:tab/>
      </w:r>
      <w:r w:rsidR="0014552F" w:rsidRPr="00C673B9">
        <w:t>Az intézmények benyújtják az I. melléklet 32. táblájában meghatározott, prudens értékelésre vonatkozó információkat, a II. melléklet II. részének 6. pontjában foglalt útmutató szerint, a következőképpen:</w:t>
      </w:r>
    </w:p>
    <w:p w14:paraId="7AAF2502" w14:textId="77777777" w:rsidR="0014552F" w:rsidRPr="00C673B9" w:rsidRDefault="0014552F" w:rsidP="0014552F">
      <w:pPr>
        <w:pStyle w:val="Point1"/>
      </w:pPr>
      <w:r w:rsidRPr="00C673B9">
        <w:t>a)</w:t>
      </w:r>
      <w:r w:rsidRPr="00C673B9">
        <w:tab/>
        <w:t>minden intézmény benyújtja az I. melléklet 32.1. táblájában meghatározott információkat, a II. melléklet II. részének 6. pontjában foglalt útmutató szerint;</w:t>
      </w:r>
    </w:p>
    <w:p w14:paraId="2C2BA953" w14:textId="77777777" w:rsidR="0014552F" w:rsidRPr="00C673B9" w:rsidRDefault="0014552F" w:rsidP="0014552F">
      <w:pPr>
        <w:pStyle w:val="Point1"/>
      </w:pPr>
      <w:r w:rsidRPr="00C673B9">
        <w:t>b)</w:t>
      </w:r>
      <w:r w:rsidRPr="00C673B9">
        <w:tab/>
        <w:t>azok az intézmények, amelyek az (EU) 2016/101 felhatalmazáson alapuló bizottsági rendelettel</w:t>
      </w:r>
      <w:r w:rsidRPr="00C673B9">
        <w:rPr>
          <w:rStyle w:val="FootnoteReference"/>
        </w:rPr>
        <w:footnoteReference w:id="9"/>
      </w:r>
      <w:r w:rsidRPr="00C673B9">
        <w:t xml:space="preserve"> összhangban az alapvető módszert alkalmazzák, az e bekezdés a) pontjában említett információkon kívül benyújtják az I. melléklet 32.2. táblájában meghatározott információkat is, a II. melléklet II. részének 6. pontjában foglalt útmutató szerint;</w:t>
      </w:r>
    </w:p>
    <w:p w14:paraId="220BA8B3" w14:textId="77777777" w:rsidR="0014552F" w:rsidRPr="00C673B9" w:rsidRDefault="0014552F" w:rsidP="0014552F">
      <w:pPr>
        <w:pStyle w:val="Point1"/>
      </w:pPr>
      <w:r w:rsidRPr="00C673B9">
        <w:t>c)</w:t>
      </w:r>
      <w:r w:rsidRPr="00C673B9">
        <w:tab/>
        <w:t>azok az intézmények, amelyek az (EU) 2016/101 felhatalmazáson alapuló bizottsági rendelettel összhangban az alapvető módszert alkalmazzák és átlépik az említett rendelet 4. cikkének (1) bekezdésében említett küszöbértéket, az e bekezdés a) és b) pontjában említett információkon kívül benyújtják az I. melléklet 32.3. és 32.4. táblájában meghatározott információkat is, a II. melléklet II. részének 6. pontjában foglalt útmutató szerint.</w:t>
      </w:r>
    </w:p>
    <w:p w14:paraId="3453A2CF" w14:textId="77777777" w:rsidR="0014552F" w:rsidRPr="00C673B9" w:rsidRDefault="0014552F" w:rsidP="0014552F">
      <w:pPr>
        <w:pStyle w:val="Text1"/>
      </w:pPr>
      <w:r w:rsidRPr="00C673B9">
        <w:t>E bekezdés alkalmazásában a 4. cikk belépési és kilépési kritériumai nem alkalmazandók.</w:t>
      </w:r>
    </w:p>
    <w:p w14:paraId="3329EA93" w14:textId="7260BF78" w:rsidR="00725875" w:rsidRPr="00C673B9" w:rsidRDefault="006155C1" w:rsidP="006155C1">
      <w:pPr>
        <w:pStyle w:val="Point0"/>
      </w:pPr>
      <w:r>
        <w:lastRenderedPageBreak/>
        <w:t>(15)</w:t>
      </w:r>
      <w:r w:rsidRPr="006155C1">
        <w:tab/>
      </w:r>
      <w:r w:rsidR="0014552F" w:rsidRPr="00C673B9">
        <w:t>Az intézmények benyújtják az I. melléklet 35.01, 35.02 és 35.03. táblájában meghatározott, a nemteljesítő kitettségekkel kapcsolatos prudenciális védőhálóra vonatkozó információkat, a II. melléklet II. részének 8. pontjában foglalt útmutató szerint.</w:t>
      </w:r>
    </w:p>
    <w:p w14:paraId="2263BAFA" w14:textId="77777777" w:rsidR="004A4E65" w:rsidRPr="00C673B9" w:rsidRDefault="00881EA6" w:rsidP="004A4E65">
      <w:pPr>
        <w:pStyle w:val="Titrearticle"/>
      </w:pPr>
      <w:r>
        <w:fldChar w:fldCharType="begin"/>
      </w:r>
      <w:r>
        <w:instrText xml:space="preserve"> seq article </w:instrText>
      </w:r>
      <w:r>
        <w:fldChar w:fldCharType="separate"/>
      </w:r>
      <w:r w:rsidR="004A4E65" w:rsidRPr="00C673B9">
        <w:t>6</w:t>
      </w:r>
      <w:r>
        <w:fldChar w:fldCharType="end"/>
      </w:r>
      <w:r w:rsidR="004A4E65" w:rsidRPr="00C673B9">
        <w:t xml:space="preserve">. cikk </w:t>
      </w:r>
    </w:p>
    <w:p w14:paraId="6708BD45" w14:textId="24EB9B00" w:rsidR="004A4E65" w:rsidRPr="00C673B9" w:rsidRDefault="004A4E65" w:rsidP="004A4E65">
      <w:pPr>
        <w:pStyle w:val="Titrearticle"/>
        <w:rPr>
          <w:b/>
          <w:i w:val="0"/>
        </w:rPr>
      </w:pPr>
      <w:r w:rsidRPr="00C673B9">
        <w:rPr>
          <w:b/>
          <w:i w:val="0"/>
        </w:rPr>
        <w:t xml:space="preserve">A szavatolótőkére és a szavatolótőke-követelményekre vonatkozó egyedi alapú adatszolgáltatás </w:t>
      </w:r>
      <w:r w:rsidR="006155C1">
        <w:rPr>
          <w:b/>
          <w:i w:val="0"/>
        </w:rPr>
        <w:t>– félévenkénti adatszolgáltatás</w:t>
      </w:r>
    </w:p>
    <w:p w14:paraId="5551DF99" w14:textId="7B958DE9" w:rsidR="004A4E65" w:rsidRPr="00C673B9" w:rsidRDefault="006155C1" w:rsidP="006155C1">
      <w:pPr>
        <w:pStyle w:val="Point0"/>
      </w:pPr>
      <w:r>
        <w:t>(1)</w:t>
      </w:r>
      <w:r w:rsidRPr="006155C1">
        <w:tab/>
      </w:r>
      <w:r w:rsidR="004A4E65" w:rsidRPr="00C673B9">
        <w:t>Az 575/2013/EU rendelet 430. cikke (1) bekezdésének a) pontja szerinti, szavatolótőkére és szavatolótőke-követelményekre vonatkozó egyedi alapú adatszolgáltatás teljesítéséhez az intézmények félévenkénti gyakorisággal benyújtják az ebben a c</w:t>
      </w:r>
      <w:r>
        <w:t>ikkben felsorolt információkat.</w:t>
      </w:r>
    </w:p>
    <w:p w14:paraId="40FBE120" w14:textId="03F0FA62" w:rsidR="004A4E65" w:rsidRPr="00C673B9" w:rsidRDefault="006155C1" w:rsidP="006155C1">
      <w:pPr>
        <w:pStyle w:val="Point0"/>
      </w:pPr>
      <w:r>
        <w:t>(2)</w:t>
      </w:r>
      <w:r w:rsidRPr="006155C1">
        <w:tab/>
      </w:r>
      <w:r w:rsidR="004A4E65" w:rsidRPr="00C673B9">
        <w:t>Az intézmények az összes értékpapírosítási kitettségre vonatkozóan benyújtják az I. melléklet 14. és 14.01. táblájában meghatározott információkat, a II. melléklet II. részének 3.8. pontjában foglalt útmutató szerint; kivéve, ha ugyanazon országban lévő csoport tagjai, amely ország szavatolótőke-követelményeinek hatálya alá tartoznak.</w:t>
      </w:r>
    </w:p>
    <w:p w14:paraId="19F85BB9" w14:textId="38C3C4C0" w:rsidR="004A4E65" w:rsidRPr="00C673B9" w:rsidRDefault="006155C1" w:rsidP="006155C1">
      <w:pPr>
        <w:pStyle w:val="Point0"/>
      </w:pPr>
      <w:r>
        <w:t>(3)</w:t>
      </w:r>
      <w:r w:rsidRPr="006155C1">
        <w:tab/>
      </w:r>
      <w:r w:rsidR="004A4E65" w:rsidRPr="00C673B9">
        <w:t>Az intézmények az állampapír-kitettségekre vonatkozó információkat a következőképpen nyújtják be:</w:t>
      </w:r>
    </w:p>
    <w:p w14:paraId="67E38C8A" w14:textId="77777777" w:rsidR="004A4E65" w:rsidRPr="00C673B9" w:rsidRDefault="004A4E65" w:rsidP="004A4E65">
      <w:pPr>
        <w:pStyle w:val="Point1"/>
      </w:pPr>
      <w:r w:rsidRPr="00C673B9">
        <w:t>a)</w:t>
      </w:r>
      <w:r w:rsidRPr="00C673B9">
        <w:tab/>
        <w:t>ha az „Államháztartások” partnerszektorból származó pénzügyi eszközök aggregált könyv szerinti értéke legalább 1 %-át kiteszi a „Hitelviszonyt megtestesítő értékpapírok” és a „Hitelek és előlegek” összesített teljes könyv szerinti értékének, akkor az intézmények benyújtják az I. melléklet 33. táblájában meghatározott információkat, a II. melléklet II. részének 7. pontjában foglalt útmutató szerint, a vonatkozó értékeket pedig az V. mellékletnek a III. – vagy adott esetben a IV. – melléklet 4. táblájára vonatkozó útmutatója alapján számítják ki;</w:t>
      </w:r>
    </w:p>
    <w:p w14:paraId="1F937D26" w14:textId="77777777" w:rsidR="004A4E65" w:rsidRPr="00C673B9" w:rsidRDefault="004A4E65" w:rsidP="004A4E65">
      <w:pPr>
        <w:pStyle w:val="Point1"/>
      </w:pPr>
      <w:r w:rsidRPr="00C673B9">
        <w:t>b)</w:t>
      </w:r>
      <w:r w:rsidRPr="00C673B9">
        <w:tab/>
        <w:t>ha az I. melléklet 33. táblájának 0010 oszlopa és 0010 sora által meghatározott adatpontban megadandó nem származtatott pénzügyi eszközökön belül a hazai kitettségek értéke nem éri el a hazai és a nem hazai kitettségek teljes értékének 90 %-át, akkor az a) pontban említett feltételt teljesítő intézmények benyújtják az I. melléklet 33. táblájában meghatározott információkat, a II. melléklet II. részének 7. pontjában foglalt útmutató szerint, teljes körű országonkénti bontásban;</w:t>
      </w:r>
    </w:p>
    <w:p w14:paraId="7834EDAC" w14:textId="77777777" w:rsidR="004A4E65" w:rsidRPr="00C673B9" w:rsidRDefault="004A4E65" w:rsidP="004A4E65">
      <w:pPr>
        <w:pStyle w:val="Point1"/>
      </w:pPr>
      <w:r w:rsidRPr="00C673B9">
        <w:t>c)</w:t>
      </w:r>
      <w:r w:rsidRPr="00C673B9">
        <w:tab/>
        <w:t>azok az intézmények, amelyek teljesítik az a) pontban említett feltételt, de nem teljesítik a b) pontban említett feltételt, benyújtják a 33. táblában meghatározott információkat, a II. melléklet II. részének 7. pontjában foglalt útmutató szerint, a kitettségeket egyaránt összesítve:</w:t>
      </w:r>
    </w:p>
    <w:p w14:paraId="218EDBA5" w14:textId="77777777" w:rsidR="004A4E65" w:rsidRPr="00C673B9" w:rsidRDefault="004A4E65" w:rsidP="004A4E65">
      <w:pPr>
        <w:pStyle w:val="Point1"/>
        <w:ind w:firstLine="0"/>
      </w:pPr>
      <w:r w:rsidRPr="00C673B9">
        <w:t>i. teljes szinten; és</w:t>
      </w:r>
    </w:p>
    <w:p w14:paraId="008CFBAC" w14:textId="77777777" w:rsidR="004A4E65" w:rsidRPr="00C673B9" w:rsidRDefault="004A4E65" w:rsidP="004A4E65">
      <w:pPr>
        <w:pStyle w:val="Point1"/>
        <w:ind w:firstLine="0"/>
      </w:pPr>
      <w:r w:rsidRPr="00C673B9">
        <w:t>ii. hazai szinten.</w:t>
      </w:r>
    </w:p>
    <w:p w14:paraId="3B9FA7D6" w14:textId="77777777" w:rsidR="004A4E65" w:rsidRPr="00C673B9" w:rsidRDefault="004A4E65" w:rsidP="004A4E65">
      <w:pPr>
        <w:pStyle w:val="Text1"/>
      </w:pPr>
      <w:r w:rsidRPr="00C673B9">
        <w:t>A 4. cikk (3) bekezdésében meghatározott belépési és kilépési kritériumok alkalmazandók.</w:t>
      </w:r>
    </w:p>
    <w:p w14:paraId="76F698FA" w14:textId="2FBA96BA" w:rsidR="004A4E65" w:rsidRPr="00C673B9" w:rsidRDefault="006155C1" w:rsidP="006155C1">
      <w:pPr>
        <w:pStyle w:val="Point0"/>
      </w:pPr>
      <w:r w:rsidRPr="006155C1">
        <w:t>(4)</w:t>
      </w:r>
      <w:r w:rsidRPr="006155C1">
        <w:tab/>
      </w:r>
      <w:r w:rsidR="004A4E65" w:rsidRPr="00C673B9">
        <w:t>A működési kockázattal kapcsolatos lényeges veszteségekre vonatkozó információkat a következőképpen kell benyújtani:</w:t>
      </w:r>
    </w:p>
    <w:p w14:paraId="6D57AB20" w14:textId="77777777" w:rsidR="004A4E65" w:rsidRPr="00C673B9" w:rsidRDefault="004A4E65" w:rsidP="004A4E65">
      <w:pPr>
        <w:pStyle w:val="Point1"/>
      </w:pPr>
      <w:r w:rsidRPr="00C673B9">
        <w:lastRenderedPageBreak/>
        <w:t>a)</w:t>
      </w:r>
      <w:r w:rsidRPr="00C673B9">
        <w:tab/>
        <w:t>azok az intézmények, amelyek a működési kockázattal kapcsolatos szavatolótőke-követelményeket az 575/2013/EU rendelet harmadik része III. címének 4. fejezete szerint számítják ki, benyújtják az I. melléklet 17.01. és 17.02. táblájában meghatározott információkat, a II. melléklet II. részének 4.2. pontjában foglalt útmutató szerint;</w:t>
      </w:r>
    </w:p>
    <w:p w14:paraId="574CD1A6" w14:textId="77777777" w:rsidR="004A4E65" w:rsidRPr="00C673B9" w:rsidRDefault="004A4E65" w:rsidP="004A4E65">
      <w:pPr>
        <w:pStyle w:val="Point1"/>
      </w:pPr>
      <w:r w:rsidRPr="00C673B9">
        <w:t>b)</w:t>
      </w:r>
      <w:r w:rsidRPr="00C673B9">
        <w:tab/>
        <w:t>azok a nagy méretű intézmények, amelyek a működési kockázattal kapcsolatos szavatolótőke-követelményeket az 575/2013/EU rendelet harmadik része III. címének 3. fejezete szerint számítják ki, benyújtják az I. melléklet 17.01. és 17.02. táblájában meghatározott információkat, a II. melléklet II. részének 4.2. pontjában foglalt útmutató szerint;</w:t>
      </w:r>
    </w:p>
    <w:p w14:paraId="3913C437" w14:textId="77777777" w:rsidR="004A4E65" w:rsidRPr="00C673B9" w:rsidRDefault="004A4E65" w:rsidP="004A4E65">
      <w:pPr>
        <w:pStyle w:val="Point1"/>
      </w:pPr>
      <w:r w:rsidRPr="00C673B9">
        <w:t>c)</w:t>
      </w:r>
      <w:r w:rsidRPr="00C673B9">
        <w:tab/>
        <w:t>azok a nagy méretűnek nem minősülő intézmények, amelyek a működési kockázattal kapcsolatos szavatolótőke-követelményeket az 575/2013/EU rendelet harmadik része III. címének 3. fejezete szerint számítják ki, benyújtják a következő információkat, a II. melléklet II. részének 4.2. pontjában foglalt útmutató szerint:</w:t>
      </w:r>
    </w:p>
    <w:p w14:paraId="465B55EF" w14:textId="77777777" w:rsidR="004A4E65" w:rsidRPr="00C673B9" w:rsidRDefault="004A4E65" w:rsidP="004A4E65">
      <w:pPr>
        <w:pStyle w:val="Point2"/>
      </w:pPr>
      <w:r w:rsidRPr="00C673B9">
        <w:t>i.</w:t>
      </w:r>
      <w:r w:rsidRPr="00C673B9">
        <w:tab/>
        <w:t xml:space="preserve"> az I. melléklet 17.01. táblájának 0080-as oszlopában meghatározott információkat a következő sorok esetében:</w:t>
      </w:r>
    </w:p>
    <w:p w14:paraId="38FC9781" w14:textId="77777777" w:rsidR="004A4E65" w:rsidRPr="00C673B9" w:rsidRDefault="004A4E65" w:rsidP="004A4E65">
      <w:pPr>
        <w:pStyle w:val="Point3"/>
      </w:pPr>
      <w:r w:rsidRPr="00C673B9">
        <w:t>–</w:t>
      </w:r>
      <w:r w:rsidRPr="00C673B9">
        <w:tab/>
        <w:t>események száma (új események) (0910-es sor);</w:t>
      </w:r>
    </w:p>
    <w:p w14:paraId="4D4CF5FF" w14:textId="77777777" w:rsidR="004A4E65" w:rsidRPr="00C673B9" w:rsidRDefault="004A4E65" w:rsidP="004A4E65">
      <w:pPr>
        <w:pStyle w:val="Point3"/>
      </w:pPr>
      <w:r w:rsidRPr="00C673B9">
        <w:t>–</w:t>
      </w:r>
      <w:r w:rsidRPr="00C673B9">
        <w:tab/>
        <w:t>bruttó veszteségérték (új események) (0920-as sor);</w:t>
      </w:r>
    </w:p>
    <w:p w14:paraId="1C861214" w14:textId="77777777" w:rsidR="004A4E65" w:rsidRPr="00C673B9" w:rsidRDefault="004A4E65" w:rsidP="004A4E65">
      <w:pPr>
        <w:pStyle w:val="Point3"/>
      </w:pPr>
      <w:r w:rsidRPr="00C673B9">
        <w:t>–</w:t>
      </w:r>
      <w:r w:rsidRPr="00C673B9">
        <w:tab/>
        <w:t>veszteségkorrekcióval érintett események száma (0930-as sor);</w:t>
      </w:r>
    </w:p>
    <w:p w14:paraId="5E7045F5" w14:textId="77777777" w:rsidR="004A4E65" w:rsidRPr="00C673B9" w:rsidRDefault="004A4E65" w:rsidP="004A4E65">
      <w:pPr>
        <w:pStyle w:val="Point3"/>
      </w:pPr>
      <w:r w:rsidRPr="00C673B9">
        <w:t>–</w:t>
      </w:r>
      <w:r w:rsidRPr="00C673B9">
        <w:tab/>
        <w:t>korábbi adatszolgáltatási időszakokhoz kapcsolódó veszteségkorrekciók (0940-es sor);</w:t>
      </w:r>
    </w:p>
    <w:p w14:paraId="1438A6CB" w14:textId="77777777" w:rsidR="004A4E65" w:rsidRPr="00C673B9" w:rsidRDefault="004A4E65" w:rsidP="004A4E65">
      <w:pPr>
        <w:pStyle w:val="Point3"/>
      </w:pPr>
      <w:r w:rsidRPr="00C673B9">
        <w:t>–</w:t>
      </w:r>
      <w:r w:rsidRPr="00C673B9">
        <w:tab/>
        <w:t xml:space="preserve">legnagyobb egyedi veszteség (0950-es sor); </w:t>
      </w:r>
    </w:p>
    <w:p w14:paraId="5C63649B" w14:textId="77777777" w:rsidR="004A4E65" w:rsidRPr="00C673B9" w:rsidRDefault="004A4E65" w:rsidP="004A4E65">
      <w:pPr>
        <w:pStyle w:val="Point3"/>
      </w:pPr>
      <w:r w:rsidRPr="00C673B9">
        <w:t>–</w:t>
      </w:r>
      <w:r w:rsidRPr="00C673B9">
        <w:tab/>
        <w:t>az öt legnagyobb veszteség összege (0960-as sor);</w:t>
      </w:r>
    </w:p>
    <w:p w14:paraId="6C176440" w14:textId="77777777" w:rsidR="004A4E65" w:rsidRPr="00C673B9" w:rsidRDefault="004A4E65" w:rsidP="004A4E65">
      <w:pPr>
        <w:pStyle w:val="Point3"/>
      </w:pPr>
      <w:r w:rsidRPr="00C673B9">
        <w:t>–</w:t>
      </w:r>
      <w:r w:rsidRPr="00C673B9">
        <w:tab/>
        <w:t>teljes közvetlen megtérült veszteség (biztosítás és egyéb kockázatátruházási mechanizmusok nélkül) (0970-es sor);</w:t>
      </w:r>
    </w:p>
    <w:p w14:paraId="586DD233" w14:textId="77777777" w:rsidR="004A4E65" w:rsidRPr="00C673B9" w:rsidRDefault="004A4E65" w:rsidP="004A4E65">
      <w:pPr>
        <w:pStyle w:val="Point3"/>
      </w:pPr>
      <w:r w:rsidRPr="00C673B9">
        <w:t>–</w:t>
      </w:r>
      <w:r w:rsidRPr="00C673B9">
        <w:tab/>
        <w:t xml:space="preserve">biztosításból és más kockázatátruházási mechanizmusokból származó teljes megtérülés (0980-as sor); </w:t>
      </w:r>
    </w:p>
    <w:p w14:paraId="0825DE8D" w14:textId="77777777" w:rsidR="004A4E65" w:rsidRPr="00C673B9" w:rsidRDefault="004A4E65" w:rsidP="004A4E65">
      <w:pPr>
        <w:pStyle w:val="Point2"/>
      </w:pPr>
      <w:r w:rsidRPr="00C673B9">
        <w:t>ii.</w:t>
      </w:r>
      <w:r w:rsidRPr="00C673B9">
        <w:tab/>
        <w:t>az I. melléklet 17.02. táblájában meghatározott információk;</w:t>
      </w:r>
    </w:p>
    <w:p w14:paraId="2FD7698B" w14:textId="77777777" w:rsidR="004A4E65" w:rsidRPr="00C673B9" w:rsidRDefault="004A4E65" w:rsidP="004A4E65">
      <w:pPr>
        <w:pStyle w:val="Point1"/>
      </w:pPr>
      <w:r w:rsidRPr="00C673B9">
        <w:t>d)</w:t>
      </w:r>
      <w:r w:rsidRPr="00C673B9">
        <w:tab/>
        <w:t>a c) pontban említett intézmények benyújthatják az I. melléklet 17.01. és 17.02. táblájában meghatározott összes információt, a II. melléklet II. részének 4.2. pontjában foglalt útmutató szerint;</w:t>
      </w:r>
    </w:p>
    <w:p w14:paraId="75F8B450" w14:textId="77777777" w:rsidR="004A4E65" w:rsidRPr="00C673B9" w:rsidRDefault="004A4E65" w:rsidP="004A4E65">
      <w:pPr>
        <w:pStyle w:val="Point1"/>
      </w:pPr>
      <w:r w:rsidRPr="00C673B9">
        <w:t>e)</w:t>
      </w:r>
      <w:r w:rsidRPr="00C673B9">
        <w:tab/>
        <w:t>azok a nagy méretű intézmények, amelyek a működési kockázattal kapcsolatos szavatolótőke-követelményeket az 575/2013/EU rendelet harmadik része III. címének 2. fejezete szerint számítják ki, benyújtják az I. melléklet 17.01. és 17.02. táblájában meghatározott információkat, a II. melléklet II. részének 4.2. pontjában foglalt útmutató szerint;</w:t>
      </w:r>
    </w:p>
    <w:p w14:paraId="612A5174" w14:textId="77777777" w:rsidR="004A4E65" w:rsidRPr="00C673B9" w:rsidRDefault="004A4E65" w:rsidP="004A4E65">
      <w:pPr>
        <w:pStyle w:val="Point1"/>
      </w:pPr>
      <w:r w:rsidRPr="00C673B9">
        <w:t>f)</w:t>
      </w:r>
      <w:r w:rsidRPr="00C673B9">
        <w:tab/>
        <w:t>azok a nagy méretűnek nem minősülő intézmények, amelyek a működési kockázattal kapcsolatos szavatolótőke-követelményeket az 575/2013/EU rendelet harmadik része III. címének 2. fejezete szerint számítják ki, benyújthatják az I. melléklet 17.01. és 17.02. táblájában meghatározott információkat, a II. melléklet II. részének 4.2. pontjában foglalt útmutató szerint;</w:t>
      </w:r>
    </w:p>
    <w:p w14:paraId="2F83BAAA" w14:textId="77777777" w:rsidR="004A4E65" w:rsidRPr="00C673B9" w:rsidRDefault="004A4E65" w:rsidP="004A4E65">
      <w:pPr>
        <w:pStyle w:val="Text1"/>
      </w:pPr>
      <w:r w:rsidRPr="00C673B9">
        <w:lastRenderedPageBreak/>
        <w:t>A 4. cikk (3) bekezdésében meghatározott belépési és kilépési kritériumok alkalmazandók.</w:t>
      </w:r>
    </w:p>
    <w:p w14:paraId="490166B3" w14:textId="1211AC33" w:rsidR="00496B08" w:rsidRPr="00C673B9" w:rsidRDefault="006155C1" w:rsidP="006155C1">
      <w:pPr>
        <w:pStyle w:val="Point0"/>
      </w:pPr>
      <w:r>
        <w:t>(5)</w:t>
      </w:r>
      <w:r w:rsidRPr="006155C1">
        <w:tab/>
      </w:r>
      <w:r w:rsidR="004A4E65" w:rsidRPr="00C673B9">
        <w:t>Azok az intézmények, amelyek a partnerkockázati kitettségeket az 575/2013/EU rendelet harmadik része II. címe 6. fejezetének 4. és 5. szakaszával összhangban az egyszerűsített sztenderd módszerrel vagy az eredeti kitettség szerinti módszerrel számítják, benyújtják az I. melléklet 34.06. táblájában meghatározott, partnerkockázatra vonatkozó információkat, a II. melléklet II. részének 3.9.7. pontjában foglalt útmutató szerint.</w:t>
      </w:r>
    </w:p>
    <w:p w14:paraId="6414DB48"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7</w:t>
      </w:r>
      <w:r>
        <w:fldChar w:fldCharType="end"/>
      </w:r>
      <w:r w:rsidR="00FE0C02" w:rsidRPr="00C673B9">
        <w:t>. cikk</w:t>
      </w:r>
    </w:p>
    <w:p w14:paraId="0F2D57CA" w14:textId="77777777" w:rsidR="00FE0C02" w:rsidRPr="00C673B9" w:rsidRDefault="00FE0C02" w:rsidP="00FE0C02">
      <w:pPr>
        <w:pStyle w:val="Titrearticle"/>
        <w:spacing w:before="120"/>
        <w:rPr>
          <w:b/>
          <w:i w:val="0"/>
        </w:rPr>
      </w:pPr>
      <w:r w:rsidRPr="00C673B9">
        <w:rPr>
          <w:b/>
          <w:i w:val="0"/>
        </w:rPr>
        <w:t>A szavatolótőkére és a szavatolótőke-követelményekre vonatkozó összevont alapú adatszolgáltatás</w:t>
      </w:r>
    </w:p>
    <w:p w14:paraId="598D92CF" w14:textId="77777777" w:rsidR="00FE0C02" w:rsidRPr="00C673B9" w:rsidRDefault="00FE0C02" w:rsidP="00FE0C02">
      <w:pPr>
        <w:widowControl w:val="0"/>
        <w:autoSpaceDE w:val="0"/>
        <w:autoSpaceDN w:val="0"/>
        <w:spacing w:line="228" w:lineRule="auto"/>
      </w:pPr>
      <w:r w:rsidRPr="00C673B9">
        <w:t>Az 575/2013/EU rendelet 430. cikke (1) bekezdésének a) pontja szerinti, szavatolótőkére és szavatolótőke-követelményekre vonatkozó összevont alapú adatszolgáltatás teljesítéséhez az intézmények benyújtják:</w:t>
      </w:r>
    </w:p>
    <w:p w14:paraId="2745F268" w14:textId="77777777" w:rsidR="00FE0C02" w:rsidRPr="00C673B9" w:rsidRDefault="00FE0C02" w:rsidP="00FE0C02">
      <w:pPr>
        <w:pStyle w:val="Point1"/>
      </w:pPr>
      <w:r w:rsidRPr="00C673B9">
        <w:t>a)</w:t>
      </w:r>
      <w:r w:rsidRPr="00C673B9">
        <w:tab/>
        <w:t>az e végrehajtási rendelet 5. és 6. cikkében meghatározott információkat összevont alapon, az ott meghatározott gyakorisággal; és</w:t>
      </w:r>
    </w:p>
    <w:p w14:paraId="41714624" w14:textId="77777777" w:rsidR="00FE0C02" w:rsidRPr="00C673B9" w:rsidRDefault="00FE0C02" w:rsidP="00FE0C02">
      <w:pPr>
        <w:pStyle w:val="Point1"/>
      </w:pPr>
      <w:r w:rsidRPr="00C673B9">
        <w:t>b)</w:t>
      </w:r>
      <w:r w:rsidRPr="00C673B9">
        <w:tab/>
        <w:t>a konszolidáció körébe bevont szervezetek tekintetében az I. melléklet 6. táblájában meghatározott információkat, a II. melléklet II. része 2. pontjában foglalt útmutató szerint, félévenkénti gyakorisággal.</w:t>
      </w:r>
    </w:p>
    <w:p w14:paraId="319C9C0F" w14:textId="77777777" w:rsidR="00FE0C02" w:rsidRPr="00C673B9" w:rsidRDefault="00FE0C02" w:rsidP="00FE0C02">
      <w:pPr>
        <w:pStyle w:val="Titrearticle"/>
      </w:pPr>
      <w:r w:rsidRPr="00C673B9">
        <w:t>8. cikk</w:t>
      </w:r>
    </w:p>
    <w:p w14:paraId="601BC224" w14:textId="77777777" w:rsidR="00FE0C02" w:rsidRPr="00C673B9" w:rsidRDefault="00FE0C02" w:rsidP="00FE0C02">
      <w:pPr>
        <w:pStyle w:val="Titrearticle"/>
        <w:rPr>
          <w:b/>
          <w:i w:val="0"/>
        </w:rPr>
      </w:pPr>
      <w:r w:rsidRPr="00C673B9">
        <w:rPr>
          <w:b/>
          <w:i w:val="0"/>
        </w:rPr>
        <w:t>A szavatolótőkére és a szavatolótőke-követelményekre vonatkozó adatszolgáltatás – egyedi és összevont alapú kiegészítő adatszolgáltatási követelmények</w:t>
      </w:r>
    </w:p>
    <w:p w14:paraId="23F3BEFD" w14:textId="5B5C3C63" w:rsidR="00FE0C02" w:rsidRPr="00C673B9" w:rsidRDefault="006155C1" w:rsidP="006155C1">
      <w:pPr>
        <w:pStyle w:val="Point0"/>
      </w:pPr>
      <w:r>
        <w:t>(1)</w:t>
      </w:r>
      <w:r w:rsidRPr="006155C1">
        <w:tab/>
      </w:r>
      <w:r w:rsidR="00125634" w:rsidRPr="00C673B9">
        <w:t>Azok az intézmények, amelyek az 575/2013/EU rendelet 433a., illetve 433c. cikkében meghatározott gyakorisággal, az említett rendelet 6. cikkének megfelelően egyedi alapon, illetve 13. cikkének megfelelően összevont alapon kötelesek közzétenni az említett rendelet 438. cikkének e) vagy h) pontjában, illetve 452. cikkének b), g) vagy h) pontjában említett információkat, ugyanolyan gyakorisággal és ugyanolyan alapon benyújtják az e rendelet I. mellékletének 8.3., 8.4., 8.5., 8.5.1., 8.6., 8.7. és 34.11. táblájában meghatározott, hitelkockázatra és partnerkockázatra vonatkozó információkat, az e rendelet II. melléklete II. részének 3.3 és 3.9.12. pontjában foglalt útmutató szerint.</w:t>
      </w:r>
    </w:p>
    <w:p w14:paraId="58F2B691" w14:textId="54B1CD86" w:rsidR="00FE0C02" w:rsidRPr="00C673B9" w:rsidRDefault="006155C1" w:rsidP="006155C1">
      <w:pPr>
        <w:pStyle w:val="Point0"/>
      </w:pPr>
      <w:r>
        <w:t>(2)</w:t>
      </w:r>
      <w:r w:rsidRPr="006155C1">
        <w:tab/>
      </w:r>
      <w:r w:rsidR="00977656" w:rsidRPr="00C673B9">
        <w:t>Azok az intézmények, amelyek az 575/2013/EU rendelet 433a., illetve 433c. cikkében meghatározott gyakorisággal, az említett rendelet 6. cikkének megfelelően egyedi alapon, illetve 13. cikkének megfelelően összevont alapon kötelesek közzétenni az említett rendelet 439. cikkének l) pontjában említett információkat, ugyanolyan gyakorisággal és ugyanolyan alapon benyújtják az e rendelet I. mellékletének 34.07. táblájában meghatározott, partnerkockázatra vonatkozó információkat, az e rendelet II. melléklete II. részének 3.9.8. pontjában foglalt útmutató szerint.</w:t>
      </w:r>
    </w:p>
    <w:p w14:paraId="7252BD87" w14:textId="77777777" w:rsidR="00FE0C02" w:rsidRPr="00C673B9" w:rsidRDefault="00881EA6" w:rsidP="00FE0C02">
      <w:pPr>
        <w:pStyle w:val="Titrearticle"/>
      </w:pPr>
      <w:r>
        <w:lastRenderedPageBreak/>
        <w:fldChar w:fldCharType="begin"/>
      </w:r>
      <w:r>
        <w:instrText xml:space="preserve"> seq article </w:instrText>
      </w:r>
      <w:r>
        <w:fldChar w:fldCharType="separate"/>
      </w:r>
      <w:r w:rsidR="00FE0C02" w:rsidRPr="00C673B9">
        <w:t>9</w:t>
      </w:r>
      <w:r>
        <w:fldChar w:fldCharType="end"/>
      </w:r>
      <w:r w:rsidR="00FE0C02" w:rsidRPr="00C673B9">
        <w:t>. cikk</w:t>
      </w:r>
    </w:p>
    <w:p w14:paraId="6B3DD09D" w14:textId="77777777" w:rsidR="00FE0C02" w:rsidRPr="00C673B9" w:rsidRDefault="00FE0C02" w:rsidP="00FE0C02">
      <w:pPr>
        <w:pStyle w:val="Titrearticle"/>
        <w:spacing w:before="120"/>
        <w:rPr>
          <w:b/>
          <w:i w:val="0"/>
        </w:rPr>
      </w:pPr>
      <w:r w:rsidRPr="00C673B9">
        <w:rPr>
          <w:b/>
          <w:i w:val="0"/>
        </w:rPr>
        <w:t>A szavatolótőkére és a szavatolótőke-követelményekre vonatkozó egyedi alapú adatszolgáltatás az 575/2013/EU rendelet 95. és 96. cikkének hatálya alá tartozó befektetési vállalkozások esetében</w:t>
      </w:r>
    </w:p>
    <w:p w14:paraId="3D78F884" w14:textId="40ED73DD" w:rsidR="00FE0C02" w:rsidRPr="00C673B9" w:rsidRDefault="006155C1" w:rsidP="006155C1">
      <w:pPr>
        <w:pStyle w:val="Point0"/>
      </w:pPr>
      <w:r>
        <w:t>(1)</w:t>
      </w:r>
      <w:r w:rsidRPr="006155C1">
        <w:tab/>
      </w:r>
      <w:r w:rsidR="00FE0C02" w:rsidRPr="00C673B9">
        <w:t>Az (EU) 2019/2033 rendelet 57. cikke (3) bekezdésének átmeneti rendelkezéseit alkalmazó befektetési vállalkozások benyújtják az e cikkben meghatározott információkat.</w:t>
      </w:r>
    </w:p>
    <w:p w14:paraId="64E2C5EE" w14:textId="40695F72" w:rsidR="00FE0C02" w:rsidRPr="00C673B9" w:rsidRDefault="006155C1" w:rsidP="006155C1">
      <w:pPr>
        <w:pStyle w:val="Point0"/>
      </w:pPr>
      <w:r>
        <w:t>(2)</w:t>
      </w:r>
      <w:r w:rsidRPr="006155C1">
        <w:tab/>
      </w:r>
      <w:r w:rsidR="00FE0C02" w:rsidRPr="00C673B9">
        <w:t>Az 575/2013/EU rendelet 430. cikke (1) bekezdésének a) pontja szerinti, szavatolótőkére és szavatolótőke-követelményekre vonatkozó egyedi alapú adatszolgáltatás teljesítéséhez – ide nem értve a tőkeáttételi mutatóra vonatkozó információkat – az (EU) 2019/2033 rendelet 57. cikkének (3) bekezdését az 575/2013/EU rendelet 95. cikkére való hivatkozással alkalmazó befektetési vállalkozások negyedévenkénti gyakorisággal, benyújtják az I. melléklet 1–5. táblájában meghatározott információkat, a II. melléklet II. részének 1. pontjában foglalt útmutató szerint.</w:t>
      </w:r>
    </w:p>
    <w:p w14:paraId="6AD01D77" w14:textId="70E66780" w:rsidR="00FE0C02" w:rsidRPr="00C673B9" w:rsidRDefault="006155C1" w:rsidP="006155C1">
      <w:pPr>
        <w:pStyle w:val="Point0"/>
      </w:pPr>
      <w:r>
        <w:t>(3)</w:t>
      </w:r>
      <w:r w:rsidRPr="006155C1">
        <w:tab/>
      </w:r>
      <w:r w:rsidR="00FE0C02" w:rsidRPr="00C673B9">
        <w:t>Az 575/2013/EU rendelet 430. cikke (1) bekezdésének a) pontja szerinti, szavatolótőkére és szavatolótőke-követelményekre vonatkozó egyedi alapú adatszolgáltatás teljesítéséhez az (EU) 2019/2033 rendelet 57. cikkének (3) bekezdését az 575/2013/EU rendelet 96. cikkére való hivatkozással alkalmazó befektetési vállalkozások benyújtják az e rendelet 5. cikke (1)–(5) bekezdésében, továbbá (8)–(13) bekezdésében, valamint 6. cikkének (2) bekezdésében említett információkat, az említett cikkekben megállapított gyakorisággal.</w:t>
      </w:r>
    </w:p>
    <w:p w14:paraId="4D074E8C"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10</w:t>
      </w:r>
      <w:r>
        <w:fldChar w:fldCharType="end"/>
      </w:r>
      <w:r w:rsidR="00FE0C02" w:rsidRPr="00C673B9">
        <w:t>. cikk</w:t>
      </w:r>
    </w:p>
    <w:p w14:paraId="2C5D357D" w14:textId="77777777" w:rsidR="00FE0C02" w:rsidRPr="00C673B9" w:rsidRDefault="00FE0C02" w:rsidP="00FE0C02">
      <w:pPr>
        <w:pStyle w:val="Titrearticle"/>
        <w:spacing w:before="120"/>
        <w:rPr>
          <w:b/>
          <w:i w:val="0"/>
        </w:rPr>
      </w:pPr>
      <w:r w:rsidRPr="00C673B9">
        <w:rPr>
          <w:b/>
          <w:i w:val="0"/>
        </w:rPr>
        <w:t>A szavatolótőkére és a szavatolótőke-követelményekre vonatkozó összevont alapú adatszolgáltatás olyan csoportok esetében, amelyek kizárólag az 575/2013/EU rendelet 95. és 96. cikkének hatálya alá tartozó befektetési vállalkozásokból állnak</w:t>
      </w:r>
    </w:p>
    <w:p w14:paraId="0ED9D414" w14:textId="1B28BFB2" w:rsidR="00FE0C02" w:rsidRPr="00C673B9" w:rsidRDefault="006155C1" w:rsidP="006155C1">
      <w:pPr>
        <w:pStyle w:val="Point0"/>
      </w:pPr>
      <w:r>
        <w:t>(1)</w:t>
      </w:r>
      <w:r w:rsidRPr="006155C1">
        <w:tab/>
      </w:r>
      <w:r w:rsidR="00FE0C02" w:rsidRPr="00C673B9">
        <w:t>Az (EU) 2019/2033 rendelet 57. cikke (3) bekezdésének átmeneti rendelkezéseit alkalmazó befektetési vállalkozások benyújtják az e cikkben meghatározott információkat.</w:t>
      </w:r>
    </w:p>
    <w:p w14:paraId="55A9CAAC" w14:textId="7288CFF1" w:rsidR="00FE0C02" w:rsidRPr="00C673B9" w:rsidRDefault="006155C1" w:rsidP="006155C1">
      <w:pPr>
        <w:pStyle w:val="Point0"/>
      </w:pPr>
      <w:r>
        <w:t>(2)</w:t>
      </w:r>
      <w:r w:rsidRPr="006155C1">
        <w:tab/>
      </w:r>
      <w:r w:rsidR="00FE0C02" w:rsidRPr="00C673B9">
        <w:t>Az 575/2013/EU rendelet 430. cikke (1) bekezdésének a) pontja szerinti, szavatolótőkére és szavatolótőke-követelményekre vonatkozó összevont alapú adatszolgáltatás teljesítéséhez – ide nem értve a tőkeáttételi mutatóra vonatkozó információkat – az olyan csoportokba tartozó befektetési vállalkozások, amelyek kizárólag az (EU) 2019/2033 rendelet 57. cikkének (3) bekezdését az 575/2013/EU rendelet 95. cikkére való hivatkozással alkalmazó befektetési vállalkozásokból állnak, összevont alapon benyújtják:</w:t>
      </w:r>
    </w:p>
    <w:p w14:paraId="6DD1064B" w14:textId="77777777" w:rsidR="00FE0C02" w:rsidRPr="00C673B9" w:rsidRDefault="00FE0C02" w:rsidP="00FE0C02">
      <w:pPr>
        <w:pStyle w:val="Point1"/>
      </w:pPr>
      <w:r w:rsidRPr="00C673B9">
        <w:t>a)</w:t>
      </w:r>
      <w:r w:rsidRPr="00C673B9">
        <w:tab/>
        <w:t>az I. melléklet 1–5. táblájában meghatározott, szavatolótőkére és szavatolótőke-követelményekre vonatkozó információkat, a II. melléklet II. részének 1. pontjában foglalt útmutató szerint, negyedévenkénti gyakorisággal;</w:t>
      </w:r>
    </w:p>
    <w:p w14:paraId="06EB54F9" w14:textId="77777777" w:rsidR="00FE0C02" w:rsidRPr="00C673B9" w:rsidRDefault="00FE0C02" w:rsidP="00FE0C02">
      <w:pPr>
        <w:pStyle w:val="Point1"/>
      </w:pPr>
      <w:r w:rsidRPr="00C673B9">
        <w:t>b)</w:t>
      </w:r>
      <w:r w:rsidRPr="00C673B9">
        <w:tab/>
        <w:t>a konszolidáció körébe bevont szervezetek tekintetében az I. melléklet 6. táblájában meghatározott, szavatolótőkére és szavatolótőke-követelményekre vonatkozó információkat, a II. melléklet II. részének 2. pontjában foglalt útmutató szerint, félévenkénti gyakorisággal.</w:t>
      </w:r>
    </w:p>
    <w:p w14:paraId="0D279353" w14:textId="633837D9" w:rsidR="00FE0C02" w:rsidRPr="00C673B9" w:rsidRDefault="006155C1" w:rsidP="006155C1">
      <w:pPr>
        <w:pStyle w:val="Point0"/>
      </w:pPr>
      <w:r>
        <w:t>(3)</w:t>
      </w:r>
      <w:r w:rsidRPr="006155C1">
        <w:tab/>
      </w:r>
      <w:r w:rsidR="00FE0C02" w:rsidRPr="00C673B9">
        <w:t xml:space="preserve">Az 575/2013/EU rendelet 430. cikke (1) bekezdésének a) pontja szerinti, szavatolótőkére és szavatolótőke-követelményekre vonatkozó összevont alapú </w:t>
      </w:r>
      <w:r w:rsidR="00FE0C02" w:rsidRPr="00C673B9">
        <w:lastRenderedPageBreak/>
        <w:t>adatszolgáltatás teljesítéséhez az olyan csoportokba tartozó befektetési vállalkozások, amelyek kizárólag a 95. cikk hatálya alá tartozó befektetési vállalkozásokból és a 96. cikk hatálya alá tartozó befektetési vállalkozásokból állnak, illetve az olyan csoportokba tartozó befektetési vállalkozások, amelyek kizárólag az (EU) 2019/2033 rendelet 57. cikkének (3) bekezdését az 575/2013/EU rendelet 96. cikkére való hivatkozással alkalmazó befektetési vállalkozásokból állnak, összevont alapon benyújtják:</w:t>
      </w:r>
    </w:p>
    <w:p w14:paraId="424B99D7" w14:textId="77777777" w:rsidR="00FE0C02" w:rsidRPr="00C673B9" w:rsidRDefault="00FE0C02" w:rsidP="00FE0C02">
      <w:pPr>
        <w:pStyle w:val="Point1"/>
      </w:pPr>
      <w:r w:rsidRPr="00C673B9">
        <w:t>a)</w:t>
      </w:r>
      <w:r w:rsidRPr="00C673B9">
        <w:tab/>
        <w:t>az e rendelet 5. cikkének (1)–(5) bekezdésében, továbbá (8)–(13) bekezdésében, valamint 6. cikkének (2) bekezdésében említett információkat, az említett cikkekben meghatározott gyakorisággal;</w:t>
      </w:r>
    </w:p>
    <w:p w14:paraId="695999E8" w14:textId="77777777" w:rsidR="00FE0C02" w:rsidRPr="00C673B9" w:rsidRDefault="00FE0C02" w:rsidP="00FE0C02">
      <w:pPr>
        <w:pStyle w:val="Point1"/>
      </w:pPr>
      <w:r w:rsidRPr="00C673B9">
        <w:t>b)</w:t>
      </w:r>
      <w:r w:rsidRPr="00C673B9">
        <w:tab/>
        <w:t>a konszolidáció körébe bevont szervezetek tekintetében az I. melléklet 6. táblájában meghatározott információkat, a II. melléklet II. részének 2. pontjában foglalt útmutató szerint, félévenkénti gyakorisággal.</w:t>
      </w:r>
    </w:p>
    <w:p w14:paraId="2D723A17"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11</w:t>
      </w:r>
      <w:r>
        <w:fldChar w:fldCharType="end"/>
      </w:r>
      <w:r w:rsidR="00FE0C02" w:rsidRPr="00C673B9">
        <w:t>. cikk</w:t>
      </w:r>
    </w:p>
    <w:p w14:paraId="122B51E9" w14:textId="77777777" w:rsidR="00FE0C02" w:rsidRPr="00C673B9" w:rsidRDefault="00FE0C02" w:rsidP="00FE0C02">
      <w:pPr>
        <w:pStyle w:val="Titrearticle"/>
        <w:spacing w:before="120"/>
        <w:rPr>
          <w:b/>
          <w:i w:val="0"/>
        </w:rPr>
      </w:pPr>
      <w:r w:rsidRPr="00C673B9">
        <w:rPr>
          <w:b/>
          <w:i w:val="0"/>
        </w:rPr>
        <w:t>A pénzügyi információkra vonatkozó összevont alapú adatszolgáltatás az 1606/2002/EK európai parlamenti és tanácsi rendelet</w:t>
      </w:r>
      <w:r w:rsidRPr="00C673B9">
        <w:rPr>
          <w:rStyle w:val="FootnoteReference"/>
          <w:b/>
          <w:i w:val="0"/>
        </w:rPr>
        <w:footnoteReference w:id="10"/>
      </w:r>
      <w:r w:rsidRPr="00C673B9">
        <w:rPr>
          <w:b/>
          <w:i w:val="0"/>
        </w:rPr>
        <w:t xml:space="preserve"> hatálya alá tartozó intézmények esetében </w:t>
      </w:r>
    </w:p>
    <w:p w14:paraId="22F20B0C" w14:textId="4185E083" w:rsidR="00FE0C02" w:rsidRPr="00C673B9" w:rsidRDefault="00BE213B" w:rsidP="00BE213B">
      <w:pPr>
        <w:pStyle w:val="Point0"/>
      </w:pPr>
      <w:r>
        <w:t>(1)</w:t>
      </w:r>
      <w:r w:rsidRPr="00BE213B">
        <w:tab/>
      </w:r>
      <w:r w:rsidR="00FE0C02" w:rsidRPr="00C673B9">
        <w:t xml:space="preserve">Az 575/2013/EU rendelet 430. cikkének (3) vagy (4) bekezdése szerinti, pénzügyi információkra vonatkozó összevont alapú adatszolgáltatás teljesítéséhez az intézmények összevont alapon benyújtják a III. mellékletben meghatározott információkat, az V. mellékletben foglalt útmutató szerint. </w:t>
      </w:r>
    </w:p>
    <w:p w14:paraId="3A9E9610" w14:textId="03287397" w:rsidR="00FE0C02" w:rsidRPr="00C673B9" w:rsidRDefault="00BE213B" w:rsidP="00BE213B">
      <w:pPr>
        <w:pStyle w:val="Point0"/>
      </w:pPr>
      <w:r>
        <w:t>(2)</w:t>
      </w:r>
      <w:r w:rsidRPr="00BE213B">
        <w:tab/>
      </w:r>
      <w:r w:rsidR="00FE0C02" w:rsidRPr="00C673B9">
        <w:t>Az (1) bekezdésben említett információkat a következőképpen kell benyújtani:</w:t>
      </w:r>
    </w:p>
    <w:p w14:paraId="70EFC152" w14:textId="77777777" w:rsidR="00FE0C02" w:rsidRPr="00C673B9" w:rsidRDefault="00FE0C02" w:rsidP="00FE0C02">
      <w:pPr>
        <w:pStyle w:val="Point1"/>
      </w:pPr>
      <w:r w:rsidRPr="00C673B9">
        <w:t>a)</w:t>
      </w:r>
      <w:r w:rsidRPr="00C673B9">
        <w:tab/>
        <w:t>negyedévenkénti gyakorisággal a III. melléklet 1. részében meghatározott információkat;</w:t>
      </w:r>
    </w:p>
    <w:p w14:paraId="38D85B01" w14:textId="77777777" w:rsidR="00FE0C02" w:rsidRPr="00C673B9" w:rsidRDefault="00FE0C02" w:rsidP="00FE0C02">
      <w:pPr>
        <w:pStyle w:val="Point1"/>
      </w:pPr>
      <w:r w:rsidRPr="00C673B9">
        <w:t>b)</w:t>
      </w:r>
      <w:r w:rsidRPr="00C673B9">
        <w:tab/>
        <w:t>félévenkénti gyakorisággal a III. melléklet 3. részében meghatározott információkat;</w:t>
      </w:r>
    </w:p>
    <w:p w14:paraId="5F2804B6" w14:textId="77777777" w:rsidR="00FE0C02" w:rsidRPr="00C673B9" w:rsidRDefault="00FE0C02" w:rsidP="00FE0C02">
      <w:pPr>
        <w:pStyle w:val="Point1"/>
      </w:pPr>
      <w:r w:rsidRPr="00C673B9">
        <w:t>c)</w:t>
      </w:r>
      <w:r w:rsidRPr="00C673B9">
        <w:tab/>
        <w:t>évenkénti gyakorisággal a III. melléklet 4. részében meghatározott információkat a 47. táblában meghatározott információk kivételével;</w:t>
      </w:r>
    </w:p>
    <w:p w14:paraId="1D49A1AC" w14:textId="77777777" w:rsidR="00FE0C02" w:rsidRPr="00C673B9" w:rsidRDefault="00FE0C02" w:rsidP="00FE0C02">
      <w:pPr>
        <w:pStyle w:val="Point1"/>
      </w:pPr>
      <w:r w:rsidRPr="00C673B9">
        <w:t>d)</w:t>
      </w:r>
      <w:r w:rsidRPr="00C673B9">
        <w:tab/>
        <w:t>negyedévenkénti gyakorisággal a III. melléklet 2. részének 20. táblájában meghatározott információkat, ha az intézmény átlépi az 5. cikk (5) bekezdésének második albekezdésében meghatározott küszöbértéket;</w:t>
      </w:r>
    </w:p>
    <w:p w14:paraId="2CCBF803" w14:textId="77777777" w:rsidR="00FE0C02" w:rsidRPr="00C673B9" w:rsidRDefault="00FE0C02" w:rsidP="00FE0C02">
      <w:pPr>
        <w:pStyle w:val="Point1"/>
      </w:pPr>
      <w:r w:rsidRPr="00C673B9">
        <w:t>e)</w:t>
      </w:r>
      <w:r w:rsidRPr="00C673B9">
        <w:tab/>
        <w:t>negyedévenkénti gyakorisággal a III. melléklet 2. részének 21. táblájában meghatározott információkat, ha az operatív lízing tárgyát képező tárgyi eszközök értéke legalább 10 %-át kiteszi a III. melléklet 1. részének 1.1. táblája szerint bejelentett összes tárgyi eszköz értékének;</w:t>
      </w:r>
    </w:p>
    <w:p w14:paraId="27F64B3B" w14:textId="77777777" w:rsidR="00FE0C02" w:rsidRPr="00C673B9" w:rsidRDefault="00FE0C02" w:rsidP="00FE0C02">
      <w:pPr>
        <w:pStyle w:val="Point1"/>
      </w:pPr>
      <w:r w:rsidRPr="00C673B9">
        <w:t>f)</w:t>
      </w:r>
      <w:r w:rsidRPr="00C673B9">
        <w:tab/>
        <w:t>negyedévenkénti gyakorisággal a III. melléklet 2. részének 22. táblájában meghatározott információkat, ha a nettó díj- és jutalékbevétel legalább 10 %-át kiteszi a III. melléklet 1. részének 2. táblája szerint bejelentett nettó díj- és jutalékbevétel és nettó kamatbevétel összegének;</w:t>
      </w:r>
    </w:p>
    <w:p w14:paraId="2EB0DC7E" w14:textId="77777777" w:rsidR="00FE0C02" w:rsidRPr="00C673B9" w:rsidRDefault="00FE0C02" w:rsidP="00FE0C02">
      <w:pPr>
        <w:pStyle w:val="Point1"/>
      </w:pPr>
      <w:r w:rsidRPr="00C673B9">
        <w:t>g)</w:t>
      </w:r>
      <w:r w:rsidRPr="00C673B9">
        <w:tab/>
        <w:t>negyedévenkénti gyakorisággal a III. melléklet 2. részének 23–26. táblájában meghatározott információkat, ha mindkét alábbi feltétel teljesül:</w:t>
      </w:r>
    </w:p>
    <w:p w14:paraId="5207A13E" w14:textId="77777777" w:rsidR="00FE0C02" w:rsidRPr="00C673B9" w:rsidRDefault="00FE0C02" w:rsidP="00FE0C02">
      <w:pPr>
        <w:pStyle w:val="Point2"/>
      </w:pPr>
      <w:r w:rsidRPr="00C673B9">
        <w:t>i.</w:t>
      </w:r>
      <w:r w:rsidRPr="00C673B9">
        <w:tab/>
        <w:t>az intézmény nem minősül kis méretű és nem összetett intézménynek;</w:t>
      </w:r>
    </w:p>
    <w:p w14:paraId="09C1AEB4" w14:textId="33C5BDBB" w:rsidR="00FE0C02" w:rsidRPr="00C673B9" w:rsidRDefault="00FE0C02" w:rsidP="00FE0C02">
      <w:pPr>
        <w:pStyle w:val="Point2"/>
      </w:pPr>
      <w:r w:rsidRPr="00C673B9">
        <w:lastRenderedPageBreak/>
        <w:t>ii.</w:t>
      </w:r>
      <w:r w:rsidRPr="00C673B9">
        <w:tab/>
        <w:t xml:space="preserve">az intézmény esetében az 575/2013/EU rendelet 47a. cikke (3) bekezdésének hatálya alá tartozó hitelek és előlegek bruttó könyv szerinti értékének és az említett rendelet 47a. cikke (1) bekezdésének hatálya alá tartozó hitelek és előlegek teljes bruttó könyv szerinti értékének aránya legalább 5 %; </w:t>
      </w:r>
    </w:p>
    <w:p w14:paraId="6657E76F" w14:textId="57259B52" w:rsidR="00FE0C02" w:rsidRPr="00C673B9" w:rsidRDefault="00FE0C02" w:rsidP="00FE0C02">
      <w:pPr>
        <w:pStyle w:val="Point1"/>
      </w:pPr>
      <w:r w:rsidRPr="00C673B9">
        <w:t>h)</w:t>
      </w:r>
      <w:r w:rsidRPr="00C673B9">
        <w:tab/>
        <w:t>évenkénti gyakorisággal a III. melléklet 4. részének 47. táblájában meghatározott információkat, ha az e bekezdés g) pontjában meghatározott mindkét feltétel teljesül.</w:t>
      </w:r>
    </w:p>
    <w:p w14:paraId="5556886E" w14:textId="77777777" w:rsidR="00FE0C02" w:rsidRPr="00C673B9" w:rsidRDefault="00FE0C02" w:rsidP="00BE213B">
      <w:pPr>
        <w:pStyle w:val="Text1"/>
      </w:pPr>
      <w:r w:rsidRPr="00C673B9">
        <w:t>A g) pont ii. alpontja alkalmazásában az említett arány sem a nevezőben, sem a számlálóban nem tartalmazza az értékesítésre tartottnak minősülő hiteleket és előlegeket, a központi bankokkal szembeni számlaköveteléseket és az egyéb látra szóló betéteket.</w:t>
      </w:r>
    </w:p>
    <w:p w14:paraId="73BCCE82" w14:textId="07AB6188" w:rsidR="00FE0C02" w:rsidRPr="00C673B9" w:rsidRDefault="00FE0C02" w:rsidP="00BE213B">
      <w:pPr>
        <w:pStyle w:val="Text1"/>
      </w:pPr>
      <w:r w:rsidRPr="00C673B9">
        <w:t>E bekezdés d)–h) pontjának alkalmazásában a 4. cikk (3) bekezdésében említett belépési és kilé</w:t>
      </w:r>
      <w:r w:rsidR="00BE213B">
        <w:t>pési kritériumok alkalmazandók.</w:t>
      </w:r>
    </w:p>
    <w:p w14:paraId="2D4B364E"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12</w:t>
      </w:r>
      <w:r>
        <w:fldChar w:fldCharType="end"/>
      </w:r>
      <w:r w:rsidR="00FE0C02" w:rsidRPr="00C673B9">
        <w:t>. cikk</w:t>
      </w:r>
    </w:p>
    <w:p w14:paraId="396F2986" w14:textId="77777777" w:rsidR="00FE0C02" w:rsidRPr="00C673B9" w:rsidRDefault="00FE0C02" w:rsidP="00FE0C02">
      <w:pPr>
        <w:pStyle w:val="Titrearticle"/>
        <w:spacing w:before="120"/>
        <w:rPr>
          <w:b/>
          <w:i w:val="0"/>
        </w:rPr>
      </w:pPr>
      <w:r w:rsidRPr="00C673B9">
        <w:rPr>
          <w:b/>
          <w:i w:val="0"/>
        </w:rPr>
        <w:t xml:space="preserve">A pénzügyi információkra vonatkozó összevont alapú adatszolgáltatás a nemzeti számviteli szabályozást alkalmazó intézmények esetében </w:t>
      </w:r>
    </w:p>
    <w:p w14:paraId="7898D5B0" w14:textId="0A92F87A" w:rsidR="00FE0C02" w:rsidRPr="00C673B9" w:rsidRDefault="00BE213B" w:rsidP="00BE213B">
      <w:pPr>
        <w:pStyle w:val="Point0"/>
      </w:pPr>
      <w:r>
        <w:t>(1)</w:t>
      </w:r>
      <w:r w:rsidRPr="00BE213B">
        <w:tab/>
      </w:r>
      <w:r w:rsidR="00FE0C02" w:rsidRPr="00C673B9">
        <w:t>Ha az illetékes hatóság a pénzügyi információkra vonatkozó adatszolgáltatási kötelezettségeket az 575/2013/EU rendelet 430. cikkének (9) bekezdésével összhangban kiterjeszti valamely tagállamban letelepedett intézményekre, az intézmények összevont alapon benyújtják a IV. mellékletben meghatározott információkat, az e rendelet V. mellékletében foglalt útmutató szerint.</w:t>
      </w:r>
    </w:p>
    <w:p w14:paraId="1A4AC33E" w14:textId="2694E7FB" w:rsidR="00FE0C02" w:rsidRPr="00C673B9" w:rsidRDefault="00BE213B" w:rsidP="00BE213B">
      <w:pPr>
        <w:pStyle w:val="Point0"/>
      </w:pPr>
      <w:r>
        <w:t>(2)</w:t>
      </w:r>
      <w:r w:rsidRPr="00BE213B">
        <w:tab/>
      </w:r>
      <w:r w:rsidR="00FE0C02" w:rsidRPr="00C673B9">
        <w:t>Az (1) bekezdésben említett információkat a következőképpen kell benyújtani:</w:t>
      </w:r>
    </w:p>
    <w:p w14:paraId="4130D034" w14:textId="77777777" w:rsidR="00FE0C02" w:rsidRPr="00C673B9" w:rsidRDefault="00FE0C02" w:rsidP="00FE0C02">
      <w:pPr>
        <w:pStyle w:val="Point1"/>
      </w:pPr>
      <w:r w:rsidRPr="00C673B9">
        <w:t>a)</w:t>
      </w:r>
      <w:r w:rsidRPr="00C673B9">
        <w:tab/>
        <w:t>negyedévenkénti gyakorisággal a IV. melléklet 1. részében meghatározott információkat;</w:t>
      </w:r>
    </w:p>
    <w:p w14:paraId="08B03AF4" w14:textId="77777777" w:rsidR="00FE0C02" w:rsidRPr="00C673B9" w:rsidRDefault="00FE0C02" w:rsidP="00FE0C02">
      <w:pPr>
        <w:pStyle w:val="Point1"/>
      </w:pPr>
      <w:r w:rsidRPr="00C673B9">
        <w:t>b)</w:t>
      </w:r>
      <w:r w:rsidRPr="00C673B9">
        <w:tab/>
        <w:t>félévenkénti gyakorisággal a IV. melléklet 3. részében meghatározott információkat;</w:t>
      </w:r>
    </w:p>
    <w:p w14:paraId="6BD250DE" w14:textId="77777777" w:rsidR="00FE0C02" w:rsidRPr="00C673B9" w:rsidRDefault="00FE0C02" w:rsidP="00FE0C02">
      <w:pPr>
        <w:pStyle w:val="Point1"/>
      </w:pPr>
      <w:r w:rsidRPr="00C673B9">
        <w:t>c)</w:t>
      </w:r>
      <w:r w:rsidRPr="00C673B9">
        <w:tab/>
        <w:t>évenkénti gyakorisággal a IV. melléklet 4. részében meghatározott információkat a 47. táblában meghatározott információk kivételével;</w:t>
      </w:r>
    </w:p>
    <w:p w14:paraId="7E75579F" w14:textId="77777777" w:rsidR="00FE0C02" w:rsidRPr="00C673B9" w:rsidRDefault="00FE0C02" w:rsidP="00FE0C02">
      <w:pPr>
        <w:pStyle w:val="Point1"/>
      </w:pPr>
      <w:r w:rsidRPr="00C673B9">
        <w:t>d)</w:t>
      </w:r>
      <w:r w:rsidRPr="00C673B9">
        <w:tab/>
        <w:t>negyedévenkénti gyakorisággal a IV. melléklet 2. részének 20. táblájában meghatározott információkat, ha az intézmény átlépi az 5. cikk (5) bekezdésének második albekezdésében meghatározott küszöbértéket;</w:t>
      </w:r>
    </w:p>
    <w:p w14:paraId="76AF5C14" w14:textId="77777777" w:rsidR="00FE0C02" w:rsidRPr="00C673B9" w:rsidRDefault="00FE0C02" w:rsidP="00FE0C02">
      <w:pPr>
        <w:pStyle w:val="Point1"/>
      </w:pPr>
      <w:r w:rsidRPr="00C673B9">
        <w:t>e)</w:t>
      </w:r>
      <w:r w:rsidRPr="00C673B9">
        <w:tab/>
        <w:t>negyedévenkénti gyakorisággal a IV. melléklet 2. részének 21. táblájában meghatározott információkat, ha az operatív lízing tárgyát képező tárgyi eszközök értéke legalább 10 %-át kiteszi a IV. melléklet 1. részének 1.1. táblája szerint bejelentett összes tárgyi eszköz értékének;</w:t>
      </w:r>
    </w:p>
    <w:p w14:paraId="406C6C11" w14:textId="77777777" w:rsidR="00FE0C02" w:rsidRPr="00C673B9" w:rsidRDefault="00FE0C02" w:rsidP="00FE0C02">
      <w:pPr>
        <w:pStyle w:val="Point1"/>
      </w:pPr>
      <w:r w:rsidRPr="00C673B9">
        <w:t>f)</w:t>
      </w:r>
      <w:r w:rsidRPr="00C673B9">
        <w:tab/>
        <w:t>negyedévenkénti gyakorisággal a IV. melléklet 2. részének 22. táblájában meghatározott információkat, ha a nettó díj- és jutalékbevétel legalább 10 %-át kiteszi a IV. melléklet 1. részének 2. táblája szerint bejelentett nettó díj- és jutalékbevétel és nettó kamatbevétel összegének;</w:t>
      </w:r>
    </w:p>
    <w:p w14:paraId="1A7AAB4F" w14:textId="77777777" w:rsidR="00FE0C02" w:rsidRPr="00C673B9" w:rsidRDefault="00FE0C02" w:rsidP="00FE0C02">
      <w:pPr>
        <w:pStyle w:val="Point1"/>
      </w:pPr>
      <w:r w:rsidRPr="00C673B9">
        <w:t>g)</w:t>
      </w:r>
      <w:r w:rsidRPr="00C673B9">
        <w:tab/>
        <w:t>negyedévenkénti gyakorisággal a IV. melléklet 2. részének 23–26. táblájában meghatározott információkat, ha mindkét alábbi feltétel teljesül:</w:t>
      </w:r>
    </w:p>
    <w:p w14:paraId="6F0AB516" w14:textId="77777777" w:rsidR="00FE0C02" w:rsidRPr="00C673B9" w:rsidRDefault="00FE0C02" w:rsidP="00FE0C02">
      <w:pPr>
        <w:pStyle w:val="Point2"/>
      </w:pPr>
      <w:r w:rsidRPr="00C673B9">
        <w:t>i.</w:t>
      </w:r>
      <w:r w:rsidRPr="00C673B9">
        <w:tab/>
        <w:t>az intézmény nem minősül kis méretű és nem összetett intézménynek;</w:t>
      </w:r>
    </w:p>
    <w:p w14:paraId="08D20076" w14:textId="4A94DAE3" w:rsidR="00FE0C02" w:rsidRPr="00C673B9" w:rsidRDefault="00FE0C02" w:rsidP="00FE0C02">
      <w:pPr>
        <w:pStyle w:val="Point1"/>
        <w:ind w:firstLine="0"/>
      </w:pPr>
      <w:r w:rsidRPr="00C673B9">
        <w:lastRenderedPageBreak/>
        <w:t>ii.</w:t>
      </w:r>
      <w:r w:rsidRPr="00C673B9">
        <w:tab/>
        <w:t>az intézmény esetében a 11. cikk (2) bekezdése g) pontjának ii. alpontjában meghatározott arány legalább 5 %;</w:t>
      </w:r>
    </w:p>
    <w:p w14:paraId="7B685EE5" w14:textId="20746A9C" w:rsidR="00FE0C02" w:rsidRPr="00C673B9" w:rsidRDefault="00FE0C02" w:rsidP="00FE0C02">
      <w:pPr>
        <w:pStyle w:val="Point1"/>
      </w:pPr>
      <w:r w:rsidRPr="00C673B9">
        <w:t>h)</w:t>
      </w:r>
      <w:r w:rsidRPr="00C673B9">
        <w:tab/>
        <w:t>évenkénti gyakorisággal a IV. melléklet 4. részének 47. táblájában meghatározott információkat, ha az e bekezdés g) pontjában meghatáro</w:t>
      </w:r>
      <w:r w:rsidR="00C673B9">
        <w:t>zott mindkét feltétel teljesül.</w:t>
      </w:r>
    </w:p>
    <w:p w14:paraId="6E0D6196" w14:textId="22ACB288" w:rsidR="00FE0C02" w:rsidRPr="00C673B9" w:rsidRDefault="00FE0C02" w:rsidP="00BE213B">
      <w:pPr>
        <w:pStyle w:val="Text1"/>
      </w:pPr>
      <w:r w:rsidRPr="00C673B9">
        <w:t>E bekezdés d)–h) pontjának alkalmazásában a 4. cikk (3) bekezdésében említett belépési és kilé</w:t>
      </w:r>
      <w:r w:rsidR="00C673B9">
        <w:t>pési kritériumok alkalmazandók.</w:t>
      </w:r>
    </w:p>
    <w:p w14:paraId="1265B500"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13</w:t>
      </w:r>
      <w:r>
        <w:fldChar w:fldCharType="end"/>
      </w:r>
      <w:r w:rsidR="00FE0C02" w:rsidRPr="00C673B9">
        <w:t>. cikk</w:t>
      </w:r>
    </w:p>
    <w:p w14:paraId="62DD7E11" w14:textId="77777777" w:rsidR="00FE0C02" w:rsidRPr="00C673B9" w:rsidRDefault="00FE0C02" w:rsidP="00FE0C02">
      <w:pPr>
        <w:pStyle w:val="Text1"/>
      </w:pPr>
      <w:r w:rsidRPr="00C673B9">
        <w:rPr>
          <w:b/>
        </w:rPr>
        <w:t>Az 575/2013/EU rendelet 430a. cikkének (1) bekezdése szerinti, ingatlannal fedezett hitelekből származó veszteségekre vonatkozó, egyedi és összevont alapú adatszolgáltatás</w:t>
      </w:r>
    </w:p>
    <w:p w14:paraId="663A2D70" w14:textId="65B61CC3" w:rsidR="00FE0C02" w:rsidRPr="00C673B9" w:rsidRDefault="00BE213B" w:rsidP="00BE213B">
      <w:pPr>
        <w:pStyle w:val="Point0"/>
      </w:pPr>
      <w:r>
        <w:t>(1)</w:t>
      </w:r>
      <w:r w:rsidRPr="00BE213B">
        <w:tab/>
      </w:r>
      <w:r w:rsidR="00FE0C02" w:rsidRPr="00C673B9">
        <w:t>Az intézmények évenkénti gyakorisággal, összevont alapon benyújtják a VI. mellékletben meghatározott információkat, a VII. mellékletben foglalt útmutató szerint.</w:t>
      </w:r>
    </w:p>
    <w:p w14:paraId="60EE04AB" w14:textId="547642F1" w:rsidR="00FE0C02" w:rsidRPr="00C673B9" w:rsidRDefault="00BE213B" w:rsidP="00BE213B">
      <w:pPr>
        <w:pStyle w:val="Point0"/>
      </w:pPr>
      <w:r>
        <w:t>(2)</w:t>
      </w:r>
      <w:r w:rsidRPr="00BE213B">
        <w:tab/>
      </w:r>
      <w:r w:rsidR="00FE0C02" w:rsidRPr="00C673B9">
        <w:t>Az intézmények évenkénti gyakorisággal, egyedi alapon benyújtják a VI. mellékletben meghatározott információkat, a VII. mellékletben foglalt útmutató szerint.</w:t>
      </w:r>
    </w:p>
    <w:p w14:paraId="2635EBF0" w14:textId="0BF1A0AD" w:rsidR="00FE0C02" w:rsidRPr="00C673B9" w:rsidRDefault="00BE213B" w:rsidP="00BE213B">
      <w:pPr>
        <w:pStyle w:val="Point0"/>
      </w:pPr>
      <w:r>
        <w:t>(3)</w:t>
      </w:r>
      <w:r w:rsidRPr="00BE213B">
        <w:tab/>
      </w:r>
      <w:r w:rsidR="00FE0C02" w:rsidRPr="00C673B9">
        <w:t>Ha az intézmény egy másik tagállamban fiókteleppel rendelkezik, a fióktelep évenkénti gyakorisággal benyújtja a fogadó tagállam illetékes hatóságának a rá vonatkozó, VI. mellékletben meghatározott információkat, a VII. mellékletben foglalt útmutató szerint.</w:t>
      </w:r>
    </w:p>
    <w:p w14:paraId="7DA92B87" w14:textId="77777777" w:rsidR="00FE0C02" w:rsidRPr="00C673B9" w:rsidRDefault="00FE0C02" w:rsidP="00FE0C02">
      <w:pPr>
        <w:pStyle w:val="Titrearticle"/>
      </w:pPr>
      <w:r w:rsidRPr="00C673B9">
        <w:t>14. cikk</w:t>
      </w:r>
    </w:p>
    <w:p w14:paraId="5DF7D5F9" w14:textId="77777777" w:rsidR="00FE0C02" w:rsidRPr="00C673B9" w:rsidRDefault="00FE0C02" w:rsidP="00FE0C02">
      <w:pPr>
        <w:pStyle w:val="Titrearticle"/>
        <w:spacing w:before="120"/>
        <w:rPr>
          <w:b/>
          <w:i w:val="0"/>
        </w:rPr>
      </w:pPr>
      <w:r w:rsidRPr="00C673B9">
        <w:rPr>
          <w:b/>
          <w:i w:val="0"/>
        </w:rPr>
        <w:t>A nagykockázat-vállalásra vonatkozó, egyedi és összevont alapú adatszolgáltatás</w:t>
      </w:r>
    </w:p>
    <w:p w14:paraId="07D89C15" w14:textId="42FB9CA4" w:rsidR="00FE0C02" w:rsidRPr="00C673B9" w:rsidRDefault="00BE213B" w:rsidP="00BE213B">
      <w:pPr>
        <w:pStyle w:val="Point0"/>
      </w:pPr>
      <w:r>
        <w:t>(1)</w:t>
      </w:r>
      <w:r w:rsidRPr="00BE213B">
        <w:tab/>
      </w:r>
      <w:r w:rsidR="00FE0C02" w:rsidRPr="00C673B9">
        <w:t>Az 575/2013/EU rendelet 394. cikke szerinti, ügyfelekkel vagy egymással kapcsolatban álló ügyfelek csoportjával szembeni nagykockázat-vállalásra vonatkozó, egyedi és összevont alapú adatszolgáltatás teljesítéséhez az intézmények negyedévenkénti gyakorisággal benyújtják a VIII. mellékletben meghatározott információkat, a IX. mellékletben foglalt útmutató szerint.</w:t>
      </w:r>
    </w:p>
    <w:p w14:paraId="1BE89751" w14:textId="3CCEA281" w:rsidR="00FE0C02" w:rsidRPr="00C673B9" w:rsidRDefault="00BE213B" w:rsidP="00BE213B">
      <w:pPr>
        <w:pStyle w:val="Point0"/>
      </w:pPr>
      <w:r>
        <w:t>(2)</w:t>
      </w:r>
      <w:r w:rsidRPr="00BE213B">
        <w:tab/>
      </w:r>
      <w:r w:rsidR="00FE0C02" w:rsidRPr="00C673B9">
        <w:t>Az 575/2013/EU rendelet 394. cikkének (1) bekezdése szerinti, ügyfelekkel vagy egymással kapcsolatban álló ügyfelek csoportjával szembeni 20 legnagyobb kitettségre vonatkozó, összevont alapú adatszolgáltatás teljesítéséhez az 575/2013/EU rendelet harmadik része II. címe 3. fejezetének hatálya alá tartozó intézmények negyedévenkénti gyakorisággal benyújtják a VIII. mellékletben meghatározott információkat, a IX. mellékletben foglalt útmutató szerint.</w:t>
      </w:r>
    </w:p>
    <w:p w14:paraId="4501AF0E" w14:textId="418B28B8" w:rsidR="00FE0C02" w:rsidRPr="00C673B9" w:rsidRDefault="00BE213B" w:rsidP="00BE213B">
      <w:pPr>
        <w:pStyle w:val="Point0"/>
      </w:pPr>
      <w:r>
        <w:t>(3)</w:t>
      </w:r>
      <w:r w:rsidRPr="00BE213B">
        <w:tab/>
      </w:r>
      <w:r w:rsidR="00FE0C02" w:rsidRPr="00C673B9">
        <w:t>Az 575/2013/EU rendelet 394. cikkének (1) bekezdése szerinti, legalább 300 millió EUR – de az intézmény alapvető tőkéjének 10 %-át el nem érő – értékű kitettségekre vonatkozó, összevont alapú adatszolgáltatás teljesítéséhez az intézmények negyedévenkénti gyakorisággal benyújtják a VIII. mellékletben meghatározott információkat, a IX. mellékletben foglalt útmutató szerint.</w:t>
      </w:r>
    </w:p>
    <w:p w14:paraId="6CA58180" w14:textId="73679626" w:rsidR="00FE0C02" w:rsidRPr="00C673B9" w:rsidRDefault="00BE213B" w:rsidP="00BE213B">
      <w:pPr>
        <w:pStyle w:val="Point0"/>
      </w:pPr>
      <w:r>
        <w:t>(4)</w:t>
      </w:r>
      <w:r w:rsidRPr="00BE213B">
        <w:tab/>
      </w:r>
      <w:r w:rsidR="00FE0C02" w:rsidRPr="00C673B9">
        <w:t xml:space="preserve">Az 575/2013/EU rendelet 394. cikkének (2) bekezdése szerinti, a 10 legnagyobb, intézményekkel szemben fennálló kitettségre és a 10 legnagyobb, a szabályozott kereten kívüli banki tevékenységet végző, árnyékbanki szervezetekkel szemben fennálló kitettségre vonatkozó, összevont alapú adatszolgáltatás teljesítéséhez az </w:t>
      </w:r>
      <w:r w:rsidR="00FE0C02" w:rsidRPr="00C673B9">
        <w:lastRenderedPageBreak/>
        <w:t>intézmények negyedévenkénti gyakorisággal benyújtják a VIII. mellékletben meghatározott információkat, a IX. mellékletben foglalt útmutató szerint.</w:t>
      </w:r>
    </w:p>
    <w:p w14:paraId="24660E67"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15</w:t>
      </w:r>
      <w:r>
        <w:fldChar w:fldCharType="end"/>
      </w:r>
      <w:r w:rsidR="00FE0C02" w:rsidRPr="00C673B9">
        <w:t>. cikk</w:t>
      </w:r>
    </w:p>
    <w:p w14:paraId="7A43457A" w14:textId="77777777" w:rsidR="00FE0C02" w:rsidRPr="00C673B9" w:rsidRDefault="00FE0C02" w:rsidP="00FE0C02">
      <w:pPr>
        <w:pStyle w:val="Titrearticle"/>
        <w:spacing w:before="120"/>
        <w:rPr>
          <w:b/>
          <w:i w:val="0"/>
        </w:rPr>
      </w:pPr>
      <w:r w:rsidRPr="00C673B9">
        <w:rPr>
          <w:b/>
          <w:i w:val="0"/>
        </w:rPr>
        <w:t>A tőkeáttételi mutatóra vonatkozó, egyedi és összevont alapú adatszolgáltatás</w:t>
      </w:r>
    </w:p>
    <w:p w14:paraId="01CD6524" w14:textId="04C23DE2" w:rsidR="00FE0C02" w:rsidRPr="00C673B9" w:rsidRDefault="00BE213B" w:rsidP="00BE213B">
      <w:pPr>
        <w:pStyle w:val="Point0"/>
      </w:pPr>
      <w:r>
        <w:t>(1)</w:t>
      </w:r>
      <w:r w:rsidRPr="00BE213B">
        <w:tab/>
      </w:r>
      <w:r w:rsidR="00FE0C02" w:rsidRPr="00C673B9">
        <w:t>Az 575/2013/EU rendelet 430. cikke (1) bekezdésének a) pontja szerinti, tőkeáttételi mutatóra vonatkozó, egyedi és összevont alapú adatszolgáltatás teljesítéséhez az intézmények negyedévenkénti gyakorisággal benyújtják a X. mellékletben meghatározott információkat, a XI. mellékletben foglalt útmutató szerint. A X. melléklet 48.00. tábláját csak a nagy méretű intézmények nyújtják be.</w:t>
      </w:r>
    </w:p>
    <w:p w14:paraId="3FADC775" w14:textId="430348B9" w:rsidR="00FE0C02" w:rsidRPr="00C673B9" w:rsidRDefault="00BE213B" w:rsidP="00BE213B">
      <w:pPr>
        <w:pStyle w:val="Point0"/>
      </w:pPr>
      <w:r>
        <w:t>(2)</w:t>
      </w:r>
      <w:r w:rsidRPr="00BE213B">
        <w:tab/>
      </w:r>
      <w:r w:rsidR="00FE0C02" w:rsidRPr="00C673B9">
        <w:t>A X. melléklet 40.00. táblájának {r0410;c0010} cellájában meghatározott információt csak a következők adják meg:</w:t>
      </w:r>
    </w:p>
    <w:p w14:paraId="08C9A1E3" w14:textId="77777777" w:rsidR="00FE0C02" w:rsidRPr="00C673B9" w:rsidRDefault="00FE0C02" w:rsidP="00FE0C02">
      <w:pPr>
        <w:pStyle w:val="Point2"/>
      </w:pPr>
      <w:r w:rsidRPr="00C673B9">
        <w:t>a)</w:t>
      </w:r>
      <w:r w:rsidRPr="00C673B9">
        <w:tab/>
        <w:t xml:space="preserve">félévenkénti gyakorisággal azok a nagy méretű intézmények, amelyek vagy globálisan rendszerszinten jelentős intézmények, vagy olyan értékpapírokat bocsátottak ki, amelyeket bevezettek a szabályozott piacra; </w:t>
      </w:r>
    </w:p>
    <w:p w14:paraId="3A54256E" w14:textId="77777777" w:rsidR="00FE0C02" w:rsidRPr="00C673B9" w:rsidRDefault="00FE0C02" w:rsidP="00FE0C02">
      <w:pPr>
        <w:pStyle w:val="Point2"/>
      </w:pPr>
      <w:r w:rsidRPr="00C673B9">
        <w:t>b)</w:t>
      </w:r>
      <w:r w:rsidRPr="00C673B9">
        <w:tab/>
        <w:t>évenkénti gyakorisággal azok a nagy méretű intézmények, amelyek nem minősülnek globálisan rendszerszinten jelentős intézménynek és nem tőzsdén jegyzett intézmények;</w:t>
      </w:r>
    </w:p>
    <w:p w14:paraId="492CCDFE" w14:textId="77777777" w:rsidR="00FE0C02" w:rsidRPr="00C673B9" w:rsidRDefault="00FE0C02" w:rsidP="00FE0C02">
      <w:pPr>
        <w:pStyle w:val="Point2"/>
      </w:pPr>
      <w:r w:rsidRPr="00C673B9">
        <w:t>c)</w:t>
      </w:r>
      <w:r w:rsidRPr="00C673B9">
        <w:tab/>
        <w:t xml:space="preserve">évenkénti gyakorisággal azok az intézmények, amelyek nem minősülnek nagy méretű intézménynek, illetve azok a kis méretű és nem összetett intézmények, amelyek olyan értékpapírokat bocsátottak ki, amelyeket bevezettek a szabályozott piacra. </w:t>
      </w:r>
    </w:p>
    <w:p w14:paraId="56E76BBA" w14:textId="56BE468B" w:rsidR="00FE0C02" w:rsidRPr="00C673B9" w:rsidRDefault="00BE213B" w:rsidP="00BE213B">
      <w:pPr>
        <w:pStyle w:val="Point0"/>
      </w:pPr>
      <w:r>
        <w:t>(3)</w:t>
      </w:r>
      <w:r w:rsidRPr="00BE213B">
        <w:tab/>
      </w:r>
      <w:r w:rsidR="00FE0C02" w:rsidRPr="00C673B9">
        <w:t>Az intézmények az adatszolgáltatási vonatkozási időpont tekintetében az 575/2013/EU rendelet 429. cikkének megfelelően kiszámítják a tőkeáttételi mutatót.</w:t>
      </w:r>
    </w:p>
    <w:p w14:paraId="071CB257" w14:textId="030E89FA" w:rsidR="00FE0C02" w:rsidRPr="00C673B9" w:rsidRDefault="00BE213B" w:rsidP="00BE213B">
      <w:pPr>
        <w:pStyle w:val="Point0"/>
      </w:pPr>
      <w:r>
        <w:t>(4)</w:t>
      </w:r>
      <w:r w:rsidRPr="00BE213B">
        <w:tab/>
      </w:r>
      <w:r w:rsidR="00FE0C02" w:rsidRPr="00C673B9">
        <w:t>Az intézmények a XI. melléklet II. részének 13. pontjában említett információkat akkor adják meg, ha az alábbi feltételek közül legalább egy teljesül:</w:t>
      </w:r>
    </w:p>
    <w:p w14:paraId="72F25911" w14:textId="77777777" w:rsidR="00FE0C02" w:rsidRPr="00C673B9" w:rsidRDefault="00FE0C02" w:rsidP="00FE0C02">
      <w:pPr>
        <w:pStyle w:val="Point1"/>
      </w:pPr>
      <w:r w:rsidRPr="00C673B9">
        <w:t>a)</w:t>
      </w:r>
      <w:r w:rsidRPr="00C673B9">
        <w:tab/>
        <w:t>a származtatott ügyletek XI. melléklet II. részének 5. pontjában említett aránya meghaladja az 1,5 %-ot;</w:t>
      </w:r>
    </w:p>
    <w:p w14:paraId="564FDA7C" w14:textId="77777777" w:rsidR="00FE0C02" w:rsidRPr="00C673B9" w:rsidRDefault="00FE0C02" w:rsidP="00FE0C02">
      <w:pPr>
        <w:pStyle w:val="Point1"/>
      </w:pPr>
      <w:r w:rsidRPr="00C673B9">
        <w:t>b)</w:t>
      </w:r>
      <w:r w:rsidRPr="00C673B9">
        <w:tab/>
        <w:t>a származtatott ügyletek XI. melléklet II. részének 5. pontjában említett aránya meghaladja a 2 %-ot.</w:t>
      </w:r>
    </w:p>
    <w:p w14:paraId="507DA3E2" w14:textId="77777777" w:rsidR="00FE0C02" w:rsidRPr="00C673B9" w:rsidRDefault="00FE0C02" w:rsidP="00FE0C02">
      <w:pPr>
        <w:pStyle w:val="Text1"/>
        <w:rPr>
          <w:szCs w:val="24"/>
        </w:rPr>
      </w:pPr>
      <w:r w:rsidRPr="00C673B9">
        <w:t xml:space="preserve">Ha az intézmény csak az a) pont szerinti feltételt teljesíti, a 4. cikk (3) bekezdésében meghatározott belépési és kilépési kritériumok alkalmazandók. </w:t>
      </w:r>
    </w:p>
    <w:p w14:paraId="7F04F0F6" w14:textId="77777777" w:rsidR="00FE0C02" w:rsidRPr="00C673B9" w:rsidRDefault="00FE0C02" w:rsidP="00FE0C02">
      <w:pPr>
        <w:pStyle w:val="Text1"/>
      </w:pPr>
      <w:r w:rsidRPr="00C673B9">
        <w:t>Ha az intézmény az a) és a b) pontban foglalt feltételeket egyaránt teljesíti, akkor az említett információra vonatkozó adatszolgáltatást az azon adatszolgáltatási vonatkozási időpontot követő adatszolgáltatási vonatkozási időpontban kezdi meg, amikor átlépte a küszöbértéket.</w:t>
      </w:r>
    </w:p>
    <w:p w14:paraId="7B9D01BA" w14:textId="03E03030" w:rsidR="00FE0C02" w:rsidRPr="00C673B9" w:rsidRDefault="00BE213B" w:rsidP="00BE213B">
      <w:pPr>
        <w:pStyle w:val="Point0"/>
      </w:pPr>
      <w:r>
        <w:t>(5)</w:t>
      </w:r>
      <w:r w:rsidRPr="00BE213B">
        <w:tab/>
      </w:r>
      <w:r w:rsidR="00FE0C02" w:rsidRPr="00C673B9">
        <w:t>Azon intézmények, amelyek esetében a származtatott ügyletek XI. melléklet II. részének 8. pontja szerinti teljes névleges értéke meghaladja a 10 000 millió EUR-t, akkor is kötelesek megadni a XI. melléklet II. részének 13. pontjában említett információkat, ha származtatott eszközeik aránya nem éri el az e cikk (4) bekezdésében előírt szinteket.</w:t>
      </w:r>
    </w:p>
    <w:p w14:paraId="51584038" w14:textId="77777777" w:rsidR="00FE0C02" w:rsidRPr="00C673B9" w:rsidRDefault="00FE0C02" w:rsidP="00FE0C02">
      <w:pPr>
        <w:pStyle w:val="Text1"/>
      </w:pPr>
      <w:r w:rsidRPr="00C673B9">
        <w:t xml:space="preserve">E bekezdés alkalmazásában a 4. cikk (3) bekezdésében meghatározott belépési kritériumok nem alkalmazandók. Az intézmények azon következő adatszolgáltatási </w:t>
      </w:r>
      <w:r w:rsidRPr="00C673B9">
        <w:lastRenderedPageBreak/>
        <w:t>vonatkozási időponttól kezdik meg az adatszolgáltatást, amely előtt egy adatszolgáltatási vonatkozási időpontban átlépték a küszöbértéket.</w:t>
      </w:r>
    </w:p>
    <w:p w14:paraId="41A483BA" w14:textId="7F0AC8B1" w:rsidR="00FE0C02" w:rsidRPr="00C673B9" w:rsidRDefault="00BE213B" w:rsidP="00BE213B">
      <w:pPr>
        <w:pStyle w:val="Point0"/>
      </w:pPr>
      <w:r>
        <w:t>(6)</w:t>
      </w:r>
      <w:r w:rsidRPr="00BE213B">
        <w:tab/>
      </w:r>
      <w:r w:rsidR="00FE0C02" w:rsidRPr="00C673B9">
        <w:t>Az intézmények a XI. melléklet II. részének 14. pontjában említett információkat akkor kötelesek megadni, ha az alábbi feltételek közül legalább egy teljesül:</w:t>
      </w:r>
    </w:p>
    <w:p w14:paraId="5F5E592D" w14:textId="77777777" w:rsidR="00FE0C02" w:rsidRPr="00C673B9" w:rsidRDefault="00FE0C02" w:rsidP="00FE0C02">
      <w:pPr>
        <w:pStyle w:val="Point1"/>
      </w:pPr>
      <w:r w:rsidRPr="00C673B9">
        <w:t>a)</w:t>
      </w:r>
      <w:r w:rsidRPr="00C673B9">
        <w:tab/>
        <w:t>a hitelderivatívák XI. melléklet II. részének 9. pontjában említett értéke meghaladja a 300 millió EUR-t;</w:t>
      </w:r>
    </w:p>
    <w:p w14:paraId="418FEEAF" w14:textId="77777777" w:rsidR="00FE0C02" w:rsidRPr="00C673B9" w:rsidRDefault="00FE0C02" w:rsidP="00FE0C02">
      <w:pPr>
        <w:pStyle w:val="Point1"/>
      </w:pPr>
      <w:r w:rsidRPr="00C673B9">
        <w:t>b)</w:t>
      </w:r>
      <w:r w:rsidRPr="00C673B9">
        <w:tab/>
        <w:t>a hitelderivatívák XI. melléklet II. részének 9. pontjában említett értéke meghaladja az 500 millió EUR-t.</w:t>
      </w:r>
    </w:p>
    <w:p w14:paraId="49C49986" w14:textId="77777777" w:rsidR="00FE0C02" w:rsidRPr="00C673B9" w:rsidRDefault="00FE0C02" w:rsidP="00FE0C02">
      <w:pPr>
        <w:pStyle w:val="Text1"/>
      </w:pPr>
      <w:r w:rsidRPr="00C673B9">
        <w:t>Ha az intézmény csak az a) pont szerinti feltételt teljesíti, a 4. cikk (3) bekezdésében meghatározott belépési és kilépési kritériumok alkalmazandók. Ha az intézmény az a) és a b) pontban foglalt feltételeket egyaránt teljesíti, akkor az említett információra vonatkozó adatszolgáltatást az azon adatszolgáltatási vonatkozási időpontot követő adatszolgáltatási vonatkozási időpontban kezdi meg, amikor átlépte a küszöbértéket.</w:t>
      </w:r>
    </w:p>
    <w:p w14:paraId="16427D61"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16</w:t>
      </w:r>
      <w:r>
        <w:fldChar w:fldCharType="end"/>
      </w:r>
      <w:r w:rsidR="00FE0C02" w:rsidRPr="00C673B9">
        <w:t>. cikk</w:t>
      </w:r>
    </w:p>
    <w:p w14:paraId="0FD0A199" w14:textId="77777777" w:rsidR="00FE0C02" w:rsidRPr="00C673B9" w:rsidRDefault="00FE0C02" w:rsidP="00FE0C02">
      <w:pPr>
        <w:pStyle w:val="Titrearticle"/>
        <w:spacing w:before="120"/>
        <w:rPr>
          <w:b/>
          <w:i w:val="0"/>
        </w:rPr>
      </w:pPr>
      <w:r w:rsidRPr="00C673B9">
        <w:rPr>
          <w:b/>
          <w:i w:val="0"/>
        </w:rPr>
        <w:t>A likviditásfedezeti követelményre vonatkozó, egyedi és összevont alapú adatszolgáltatás</w:t>
      </w:r>
    </w:p>
    <w:p w14:paraId="51D41644" w14:textId="45D2AE7A" w:rsidR="00FE0C02" w:rsidRPr="00C673B9" w:rsidRDefault="00BE213B" w:rsidP="00BE213B">
      <w:pPr>
        <w:pStyle w:val="Point0"/>
      </w:pPr>
      <w:r>
        <w:t>(1)</w:t>
      </w:r>
      <w:r w:rsidRPr="00BE213B">
        <w:tab/>
      </w:r>
      <w:r w:rsidR="00FE0C02" w:rsidRPr="00C673B9">
        <w:t>Az 575/2013/EU rendelet 430. cikke (1) bekezdésének d) pontja szerinti, likviditásfedezeti követelményre vonatkozó, egyedi és összevont alapú adatszolgáltatás teljesítéséhez az intézmények havi gyakorisággal benyújtják az e rendelet XXIV. mellékletében meghatározott információkat, az e rendelet XXV. mellékletében foglalt útmutató szerint.</w:t>
      </w:r>
    </w:p>
    <w:p w14:paraId="50670492" w14:textId="5B59CC60" w:rsidR="00FE0C02" w:rsidRPr="00C673B9" w:rsidRDefault="00BE213B" w:rsidP="00BE213B">
      <w:pPr>
        <w:pStyle w:val="Point0"/>
      </w:pPr>
      <w:r>
        <w:t>(2)</w:t>
      </w:r>
      <w:r w:rsidRPr="00BE213B">
        <w:tab/>
      </w:r>
      <w:r w:rsidR="00FE0C02" w:rsidRPr="00C673B9">
        <w:t>A XXIV. mellékletben meghatározott információknál figyelembe kell venni a vonatkozási időpontra benyújtott információkat, valamint a következő 30 naptári nap alatti pénzforgalomra vonatkozó információkat.</w:t>
      </w:r>
    </w:p>
    <w:p w14:paraId="1B273506" w14:textId="77777777" w:rsidR="00FE0C02" w:rsidRPr="00C673B9" w:rsidRDefault="00881EA6" w:rsidP="00FE0C02">
      <w:pPr>
        <w:pStyle w:val="Titrearticle"/>
      </w:pPr>
      <w:r>
        <w:fldChar w:fldCharType="begin"/>
      </w:r>
      <w:r>
        <w:instrText xml:space="preserve"> seq article </w:instrText>
      </w:r>
      <w:r>
        <w:fldChar w:fldCharType="separate"/>
      </w:r>
      <w:r w:rsidR="00FE0C02" w:rsidRPr="00C673B9">
        <w:t>17</w:t>
      </w:r>
      <w:r>
        <w:fldChar w:fldCharType="end"/>
      </w:r>
      <w:r w:rsidR="00FE0C02" w:rsidRPr="00C673B9">
        <w:t>. cikk</w:t>
      </w:r>
    </w:p>
    <w:p w14:paraId="4A29F4CE" w14:textId="77777777" w:rsidR="00FE0C02" w:rsidRPr="00C673B9" w:rsidRDefault="00FE0C02" w:rsidP="00FE0C02">
      <w:pPr>
        <w:pStyle w:val="Titrearticle"/>
        <w:spacing w:before="120"/>
        <w:rPr>
          <w:b/>
          <w:i w:val="0"/>
        </w:rPr>
      </w:pPr>
      <w:r w:rsidRPr="00C673B9">
        <w:rPr>
          <w:b/>
          <w:i w:val="0"/>
        </w:rPr>
        <w:t>A stabil forrásellátottságra vonatkozó, egyedi és összevont alapú adatszolgáltatás</w:t>
      </w:r>
    </w:p>
    <w:p w14:paraId="46A16391" w14:textId="77777777" w:rsidR="00FE0C02" w:rsidRPr="00C673B9" w:rsidRDefault="00FE0C02" w:rsidP="00FE0C02">
      <w:r w:rsidRPr="00C673B9">
        <w:t>Az 575/2013/EU rendelet 430. cikke (1) bekezdésének d) pontja szerinti, stabil forrásellátottságra vonatkozó, egyedi és összevont alapú adatszolgáltatás teljesítéséhez az intézmények negyedévenkénti gyakorisággal benyújtják a XII. mellékletben meghatározott információkat, a XIII. mellékletben foglalt útmutató szerint, a következőképpen:</w:t>
      </w:r>
    </w:p>
    <w:p w14:paraId="38759E9F" w14:textId="77777777" w:rsidR="00FE0C02" w:rsidRPr="00C673B9" w:rsidRDefault="00FE0C02" w:rsidP="00FE0C02">
      <w:pPr>
        <w:pStyle w:val="Point1"/>
      </w:pPr>
      <w:r w:rsidRPr="00C673B9">
        <w:t>a)</w:t>
      </w:r>
      <w:r w:rsidRPr="00C673B9">
        <w:tab/>
        <w:t>azok a kis méretű és nem összetett intézmények, amelyek az 575/2013/EU rendelet 428ai. cikkével összhangban, illetékes hatóságuk előzetes engedélyével úgy döntöttek, hogy nettó stabil forrásellátottsági rátájukat (NSFR) az említett rendelet hatodik része IV. címének 6. és 7. fejezetében meghatározott módszertan alkalmazásával számítják ki, benyújtják e rendelet XII. mellékletének 82. és 83. tábláját, az e rendelet XIII. mellékletében foglalt útmutató szerint;</w:t>
      </w:r>
    </w:p>
    <w:p w14:paraId="135317A6" w14:textId="77777777" w:rsidR="00FE0C02" w:rsidRPr="00C673B9" w:rsidRDefault="00FE0C02" w:rsidP="00FE0C02">
      <w:pPr>
        <w:pStyle w:val="Point1"/>
      </w:pPr>
      <w:r w:rsidRPr="00C673B9">
        <w:t>b)</w:t>
      </w:r>
      <w:r w:rsidRPr="00C673B9">
        <w:tab/>
        <w:t xml:space="preserve">az a) pontban említettektől eltérő intézmények benyújtják a XII. melléklet 80. és 81. tábláját, a XIII. mellékletben foglalt útmutató szerint; </w:t>
      </w:r>
    </w:p>
    <w:p w14:paraId="75BF05A1" w14:textId="77777777" w:rsidR="00FE0C02" w:rsidRPr="00C673B9" w:rsidRDefault="00FE0C02" w:rsidP="00FE0C02">
      <w:pPr>
        <w:pStyle w:val="Point1"/>
      </w:pPr>
      <w:r w:rsidRPr="00C673B9">
        <w:t>c)</w:t>
      </w:r>
      <w:r w:rsidRPr="00C673B9">
        <w:tab/>
        <w:t>minden intézmény benyújtja a XII. melléklet 84. tábláját, a XIII. mellékletben foglalt útmutató szerint.</w:t>
      </w:r>
    </w:p>
    <w:p w14:paraId="3C47F8E2" w14:textId="77777777" w:rsidR="00FE0C02" w:rsidRPr="00C673B9" w:rsidRDefault="00881EA6" w:rsidP="00FE0C02">
      <w:pPr>
        <w:pStyle w:val="Titrearticle"/>
      </w:pPr>
      <w:r>
        <w:lastRenderedPageBreak/>
        <w:fldChar w:fldCharType="begin"/>
      </w:r>
      <w:r>
        <w:instrText xml:space="preserve"> seq article </w:instrText>
      </w:r>
      <w:r>
        <w:fldChar w:fldCharType="separate"/>
      </w:r>
      <w:r w:rsidR="00FE0C02" w:rsidRPr="00C673B9">
        <w:t>18</w:t>
      </w:r>
      <w:r>
        <w:fldChar w:fldCharType="end"/>
      </w:r>
      <w:r w:rsidR="00FE0C02" w:rsidRPr="00C673B9">
        <w:t>. cikk</w:t>
      </w:r>
    </w:p>
    <w:p w14:paraId="3023D8A2" w14:textId="77777777" w:rsidR="00FE0C02" w:rsidRPr="00C673B9" w:rsidRDefault="00FE0C02" w:rsidP="00FE0C02">
      <w:pPr>
        <w:pStyle w:val="Titrearticle"/>
        <w:spacing w:before="120"/>
        <w:rPr>
          <w:b/>
          <w:i w:val="0"/>
        </w:rPr>
      </w:pPr>
      <w:r w:rsidRPr="00C673B9">
        <w:rPr>
          <w:b/>
          <w:i w:val="0"/>
        </w:rPr>
        <w:t>A likviditási helyzet monitorozására alkalmas további mérési módszerekre vonatkozó, egyedi és összevont alapú adatszolgáltatás</w:t>
      </w:r>
    </w:p>
    <w:p w14:paraId="6A3A9338" w14:textId="62F40BB9" w:rsidR="00FE0C02" w:rsidRPr="00C673B9" w:rsidRDefault="00BE213B" w:rsidP="00BE213B">
      <w:pPr>
        <w:pStyle w:val="Point0"/>
      </w:pPr>
      <w:r>
        <w:t>(1)</w:t>
      </w:r>
      <w:r w:rsidRPr="00BE213B">
        <w:tab/>
      </w:r>
      <w:r w:rsidR="00FE0C02" w:rsidRPr="00C673B9">
        <w:t xml:space="preserve">Az 575/2013/EU rendelet 430. cikke (1) bekezdésének d) pontja szerinti, a likviditási helyzet monitorozására alkalmas további mérési módszerekre vonatkozó, egyedi és összevont alapú adatszolgáltatás teljesítéséhez az intézmények havi gyakorisággal benyújtják az összes következő információt: </w:t>
      </w:r>
    </w:p>
    <w:p w14:paraId="642EB969" w14:textId="77777777" w:rsidR="00FE0C02" w:rsidRPr="00C673B9" w:rsidRDefault="00FE0C02" w:rsidP="00FE0C02">
      <w:pPr>
        <w:pStyle w:val="Point1"/>
      </w:pPr>
      <w:r w:rsidRPr="00C673B9">
        <w:t>a)</w:t>
      </w:r>
      <w:r w:rsidRPr="00C673B9">
        <w:tab/>
        <w:t xml:space="preserve">a XVIII. mellékletben meghatározott információ a XIX. mellékletben foglalt útmutató szerint; </w:t>
      </w:r>
    </w:p>
    <w:p w14:paraId="6F8BEAD3" w14:textId="77777777" w:rsidR="00FE0C02" w:rsidRPr="00C673B9" w:rsidRDefault="00FE0C02" w:rsidP="00FE0C02">
      <w:pPr>
        <w:pStyle w:val="Point1"/>
      </w:pPr>
      <w:r w:rsidRPr="00C673B9">
        <w:t>b)</w:t>
      </w:r>
      <w:r w:rsidRPr="00C673B9">
        <w:tab/>
        <w:t xml:space="preserve">a XX. mellékletben meghatározott információ a XXI. mellékletben foglalt útmutató szerint; </w:t>
      </w:r>
    </w:p>
    <w:p w14:paraId="65BCA041" w14:textId="77777777" w:rsidR="00FE0C02" w:rsidRPr="00C673B9" w:rsidRDefault="00FE0C02" w:rsidP="00FE0C02">
      <w:pPr>
        <w:pStyle w:val="Point1"/>
      </w:pPr>
      <w:r w:rsidRPr="00C673B9">
        <w:t>c)</w:t>
      </w:r>
      <w:r w:rsidRPr="00C673B9">
        <w:tab/>
        <w:t xml:space="preserve">a XXII. mellékletben meghatározott információ a XXIII. mellékletben foglalt útmutató szerint. </w:t>
      </w:r>
    </w:p>
    <w:p w14:paraId="105CC458" w14:textId="62C4A16D" w:rsidR="00FE0C02" w:rsidRPr="00C673B9" w:rsidRDefault="00BE213B" w:rsidP="00BE213B">
      <w:pPr>
        <w:pStyle w:val="Point0"/>
      </w:pPr>
      <w:r>
        <w:t>(2)</w:t>
      </w:r>
      <w:r w:rsidRPr="00BE213B">
        <w:tab/>
      </w:r>
      <w:r w:rsidR="00FE0C02" w:rsidRPr="00C673B9">
        <w:t>Az (1) bekezdéstől eltérve, az az intézmény, amely megfelel az 575/2013/EU rendelet 4. cikke (1) bekezdésének 145. pontjában meghatározott összes feltételnek, negyedévenkénti gyakorisággal is benyújthatja a likviditási helyzet monitorozására alkalmas további mérési módszerekre vonatkozó információkat.</w:t>
      </w:r>
    </w:p>
    <w:p w14:paraId="51E51891" w14:textId="77777777" w:rsidR="00FE0C02" w:rsidRPr="00C673B9" w:rsidRDefault="00FE0C02" w:rsidP="00FE0C02">
      <w:pPr>
        <w:pStyle w:val="Titrearticle"/>
      </w:pPr>
      <w:r w:rsidRPr="00C673B9">
        <w:t>19. cikk</w:t>
      </w:r>
    </w:p>
    <w:p w14:paraId="5CEC6025" w14:textId="77777777" w:rsidR="00FE0C02" w:rsidRPr="00C673B9" w:rsidRDefault="00FE0C02" w:rsidP="00FE0C02">
      <w:pPr>
        <w:pStyle w:val="Text1"/>
      </w:pPr>
      <w:r w:rsidRPr="00C673B9">
        <w:rPr>
          <w:b/>
        </w:rPr>
        <w:t>Az eszközterhelésre vonatkozó, egyedi és összevont alapú adatszolgáltatás</w:t>
      </w:r>
    </w:p>
    <w:p w14:paraId="733153BD" w14:textId="3B310C6B" w:rsidR="00FE0C02" w:rsidRPr="00C673B9" w:rsidRDefault="00BE213B" w:rsidP="00BE213B">
      <w:pPr>
        <w:pStyle w:val="Point0"/>
      </w:pPr>
      <w:r>
        <w:t>(1)</w:t>
      </w:r>
      <w:r w:rsidRPr="00BE213B">
        <w:tab/>
      </w:r>
      <w:r w:rsidR="00FE0C02" w:rsidRPr="00C673B9">
        <w:t>Az 575/2013/EU rendelet 430. cikke (1) bekezdésének g) pontja szerinti, eszközterhelésre vonatkozó, egyedi és összevont alapú adatszolgáltatás teljesítéséhez az intézmények benyújtják az e rendelet XVI. mellékletében meghatározott információkat, az e rendelet XVII. mellékle</w:t>
      </w:r>
      <w:r>
        <w:t>tében foglalt útmutató szerint.</w:t>
      </w:r>
    </w:p>
    <w:p w14:paraId="466673DE" w14:textId="6B149A43" w:rsidR="00FE0C02" w:rsidRPr="00C673B9" w:rsidRDefault="00BE213B" w:rsidP="00BE213B">
      <w:pPr>
        <w:pStyle w:val="Point0"/>
      </w:pPr>
      <w:r>
        <w:t>(2)</w:t>
      </w:r>
      <w:r w:rsidRPr="00BE213B">
        <w:tab/>
      </w:r>
      <w:r w:rsidR="00FE0C02" w:rsidRPr="00C673B9">
        <w:t>Az (1) bekezdésben említett információkat a k</w:t>
      </w:r>
      <w:r>
        <w:t>övetkezőképpen kell benyújtani:</w:t>
      </w:r>
    </w:p>
    <w:p w14:paraId="6377EF60" w14:textId="79A39FE7" w:rsidR="00FE0C02" w:rsidRPr="00C673B9" w:rsidRDefault="00FE0C02" w:rsidP="00FE0C02">
      <w:pPr>
        <w:pStyle w:val="Point1"/>
      </w:pPr>
      <w:r w:rsidRPr="00C673B9">
        <w:t>a)</w:t>
      </w:r>
      <w:r w:rsidRPr="00C673B9">
        <w:tab/>
        <w:t>negyedévenkénti gyakorisággal a XVI. melléklet A., B. és D. részéb</w:t>
      </w:r>
      <w:r w:rsidR="00BE213B">
        <w:t>en meghatározott információkat;</w:t>
      </w:r>
    </w:p>
    <w:p w14:paraId="0B272D04" w14:textId="644E18BB" w:rsidR="00FE0C02" w:rsidRPr="00C673B9" w:rsidRDefault="00FE0C02" w:rsidP="00FE0C02">
      <w:pPr>
        <w:pStyle w:val="Point1"/>
      </w:pPr>
      <w:r w:rsidRPr="00C673B9">
        <w:t>b)</w:t>
      </w:r>
      <w:r w:rsidRPr="00C673B9">
        <w:tab/>
        <w:t>évenkénti gyakorisággal a XVI. melléklet C. részéb</w:t>
      </w:r>
      <w:r w:rsidR="00BE213B">
        <w:t>en meghatározott információkat;</w:t>
      </w:r>
    </w:p>
    <w:p w14:paraId="00FB7FB4" w14:textId="7FD6B897" w:rsidR="00BE213B" w:rsidRPr="00C673B9" w:rsidRDefault="00FE0C02" w:rsidP="00BE213B">
      <w:pPr>
        <w:pStyle w:val="Point1"/>
      </w:pPr>
      <w:r w:rsidRPr="00C673B9">
        <w:t>c)</w:t>
      </w:r>
      <w:r w:rsidRPr="00C673B9">
        <w:tab/>
        <w:t>félévenkénti gyakorisággal a XVI. melléklet E. részéb</w:t>
      </w:r>
      <w:r w:rsidR="00BE213B">
        <w:t>en meghatározott információkat.</w:t>
      </w:r>
    </w:p>
    <w:p w14:paraId="282EB9CF" w14:textId="3F244AB9" w:rsidR="00FE0C02" w:rsidRPr="00C673B9" w:rsidRDefault="00BE213B" w:rsidP="00BE213B">
      <w:pPr>
        <w:pStyle w:val="Point0"/>
      </w:pPr>
      <w:r>
        <w:t>(3)</w:t>
      </w:r>
      <w:r w:rsidRPr="00BE213B">
        <w:tab/>
      </w:r>
      <w:r w:rsidR="00FE0C02" w:rsidRPr="00C673B9">
        <w:t xml:space="preserve">Az intézményeknek nem kell benyújtaniuk a XVI. melléklet B., C. és E. részében meghatározott információkat, ha mindkét alábbi feltétel teljesül: </w:t>
      </w:r>
    </w:p>
    <w:p w14:paraId="239B0175" w14:textId="77777777" w:rsidR="00FE0C02" w:rsidRPr="00C673B9" w:rsidRDefault="00FE0C02" w:rsidP="00FE0C02">
      <w:pPr>
        <w:pStyle w:val="Point1"/>
      </w:pPr>
      <w:r w:rsidRPr="00C673B9">
        <w:t>a)</w:t>
      </w:r>
      <w:r w:rsidRPr="00C673B9">
        <w:tab/>
        <w:t>az intézmény nem minősül nagy méretű intézménynek;</w:t>
      </w:r>
    </w:p>
    <w:p w14:paraId="0C93B562" w14:textId="77777777" w:rsidR="00FE0C02" w:rsidRPr="00C673B9" w:rsidRDefault="00FE0C02" w:rsidP="00FE0C02">
      <w:pPr>
        <w:pStyle w:val="Point1"/>
      </w:pPr>
      <w:r w:rsidRPr="00C673B9">
        <w:t>b)</w:t>
      </w:r>
      <w:r w:rsidRPr="00C673B9">
        <w:tab/>
        <w:t>az intézmény XVII. melléklet 1.6. pontjának 9. alpontja szerint számított eszközterhelésének szintje 15 % alatt van.</w:t>
      </w:r>
    </w:p>
    <w:p w14:paraId="19A215D8" w14:textId="77777777" w:rsidR="00FE0C02" w:rsidRPr="00C673B9" w:rsidRDefault="00FE0C02" w:rsidP="00FE0C02">
      <w:pPr>
        <w:pStyle w:val="Text1"/>
      </w:pPr>
      <w:r w:rsidRPr="00C673B9">
        <w:t xml:space="preserve">A 4. cikk (3) bekezdésében meghatározott belépési és kilépési kritériumok alkalmazandók. </w:t>
      </w:r>
    </w:p>
    <w:p w14:paraId="7A2CBD82" w14:textId="16B34A41" w:rsidR="00FE0C02" w:rsidRPr="00C673B9" w:rsidRDefault="00BE213B" w:rsidP="00BE213B">
      <w:pPr>
        <w:pStyle w:val="Point0"/>
      </w:pPr>
      <w:r w:rsidRPr="00BE213B">
        <w:lastRenderedPageBreak/>
        <w:t>(4)</w:t>
      </w:r>
      <w:r w:rsidRPr="00BE213B">
        <w:tab/>
      </w:r>
      <w:r w:rsidR="00FE0C02" w:rsidRPr="00C673B9">
        <w:t>Az intézményeknek a XVI. melléklet D. részében meghatározott információkat csak akkor kell megadniuk, ha a 2009/65/EK európai parlamenti és tanácsi irányelv</w:t>
      </w:r>
      <w:r w:rsidR="00FE0C02" w:rsidRPr="00C673B9">
        <w:rPr>
          <w:rStyle w:val="FootnoteReference"/>
        </w:rPr>
        <w:footnoteReference w:id="11"/>
      </w:r>
      <w:r w:rsidR="00FE0C02" w:rsidRPr="00C673B9">
        <w:t xml:space="preserve"> 52. cikke (4) bekezdésének első albekezdésében említett kötvényeket bocsátanak ki. </w:t>
      </w:r>
    </w:p>
    <w:p w14:paraId="216F0D5A" w14:textId="77777777" w:rsidR="00FE0C02" w:rsidRPr="00C673B9" w:rsidRDefault="00FE0C02" w:rsidP="00FE0C02">
      <w:pPr>
        <w:pStyle w:val="Text1"/>
      </w:pPr>
      <w:r w:rsidRPr="00C673B9">
        <w:t>A 4. cikk (3) bekezdésében meghatározott belépési és kilépési kritériumok alkalmazandók.</w:t>
      </w:r>
    </w:p>
    <w:p w14:paraId="3C60098A" w14:textId="77777777" w:rsidR="00FE0C02" w:rsidRPr="00C673B9" w:rsidRDefault="00FE0C02" w:rsidP="00FE0C02">
      <w:pPr>
        <w:pStyle w:val="Titrearticle"/>
      </w:pPr>
      <w:r w:rsidRPr="00C673B9">
        <w:t>20. cikk</w:t>
      </w:r>
    </w:p>
    <w:p w14:paraId="4B5AD6C9" w14:textId="77777777" w:rsidR="00FE0C02" w:rsidRPr="00C673B9" w:rsidRDefault="00FE0C02" w:rsidP="00FE0C02">
      <w:pPr>
        <w:pStyle w:val="Text1"/>
      </w:pPr>
      <w:r w:rsidRPr="00C673B9">
        <w:rPr>
          <w:b/>
        </w:rPr>
        <w:t>A globálisan rendszerszinten jelentős intézmények meghatározásával és pufferrátájuk hozzárendelésével kapcsolatos, összevont alapú adatszolgáltatás</w:t>
      </w:r>
    </w:p>
    <w:p w14:paraId="76EECD2F" w14:textId="2075EA6C" w:rsidR="00FE0C02" w:rsidRPr="00C673B9" w:rsidRDefault="00BE213B" w:rsidP="00BE213B">
      <w:pPr>
        <w:pStyle w:val="Point0"/>
      </w:pPr>
      <w:r>
        <w:t>(1)</w:t>
      </w:r>
      <w:r w:rsidRPr="00BE213B">
        <w:tab/>
      </w:r>
      <w:r w:rsidR="00FE0C02" w:rsidRPr="00C673B9">
        <w:t>A globálisan rendszerszinten jelentős intézmények meghatározásával és pufferrátájuknak a 2013/36/EU irányelv 131. cikke szerinti hozzárendelésével kapcsolatban szükséges kiegészítő adatszolgáltatás teljesítéséhez az EU-szintű anyaintézmények, az EU-szintű pénzügyi holding anyavállalatok és az EU-szintű vegyes pénzügyi holding anyavállalatok negyedévenkénti gyakorisággal, összevont alapon benyújtják a XXVI. mellékletben meghatározott információkat, a XXVII. mellékletben foglalt útmutató szerint.</w:t>
      </w:r>
    </w:p>
    <w:p w14:paraId="4242810E" w14:textId="08E1CD62" w:rsidR="00FE0C02" w:rsidRPr="00C673B9" w:rsidRDefault="00BE213B" w:rsidP="00BE213B">
      <w:pPr>
        <w:pStyle w:val="Point0"/>
      </w:pPr>
      <w:r>
        <w:t>(2)</w:t>
      </w:r>
      <w:r w:rsidRPr="00BE213B">
        <w:tab/>
      </w:r>
      <w:r w:rsidR="00FE0C02" w:rsidRPr="00C673B9">
        <w:t>Az EU-szintű anyaintézmények, az EU-szintű pénzügyi holding anyavállalatok és az EU-szintű vegyes pénzügyi holding anyavállalatok csak akkor nyújtják be az (1) bekezdésben említett információkat, ha mindkét alábbi feltétel teljesül:</w:t>
      </w:r>
    </w:p>
    <w:p w14:paraId="0C5DCF08" w14:textId="77777777" w:rsidR="00FE0C02" w:rsidRPr="00C673B9" w:rsidRDefault="00FE0C02" w:rsidP="00FE0C02">
      <w:pPr>
        <w:pStyle w:val="Point1"/>
      </w:pPr>
      <w:r w:rsidRPr="00C673B9">
        <w:t>a)</w:t>
      </w:r>
      <w:r w:rsidRPr="00C673B9">
        <w:tab/>
        <w:t>a csoport – beleértve a biztosítási leányvállalatokat is – teljes kitettségi mértéke legalább 125 000 millió EUR;</w:t>
      </w:r>
    </w:p>
    <w:p w14:paraId="05DC0A53" w14:textId="77777777" w:rsidR="00FE0C02" w:rsidRPr="00C673B9" w:rsidRDefault="00FE0C02" w:rsidP="00FE0C02">
      <w:pPr>
        <w:pStyle w:val="Point1"/>
      </w:pPr>
      <w:r w:rsidRPr="00C673B9">
        <w:t>b)</w:t>
      </w:r>
      <w:r w:rsidRPr="00C673B9">
        <w:tab/>
        <w:t>az EU-szintű anyavállalat vagy annak bármely leányvállalata, vagy az anyavállalat vagy egy leányvállalat által működtetett fióktelep a 806/2014/EU európai parlamenti és tanácsi rendelet</w:t>
      </w:r>
      <w:r w:rsidRPr="00C673B9">
        <w:rPr>
          <w:rStyle w:val="FootnoteReference"/>
        </w:rPr>
        <w:footnoteReference w:id="12"/>
      </w:r>
      <w:r w:rsidRPr="00C673B9">
        <w:t xml:space="preserve"> 4. cikke szerinti részt vevő tagállamban található.</w:t>
      </w:r>
    </w:p>
    <w:p w14:paraId="6584D044" w14:textId="5BEC466E" w:rsidR="00FE0C02" w:rsidRPr="00C673B9" w:rsidRDefault="00BE213B" w:rsidP="00BE213B">
      <w:pPr>
        <w:pStyle w:val="Point0"/>
      </w:pPr>
      <w:r>
        <w:t>(3)</w:t>
      </w:r>
      <w:r w:rsidRPr="00BE213B">
        <w:tab/>
      </w:r>
      <w:r w:rsidR="00FE0C02" w:rsidRPr="00C673B9">
        <w:t>A 3. cikk (1) bekezdésének b) pontjától eltérve az e cikk (1) bekezdésében említett információkat a következő beküldési határidőkig (az adott napi üzletzárásig) kell benyújtani: július 1., október 1., január 2. és április 1.</w:t>
      </w:r>
    </w:p>
    <w:p w14:paraId="3336B0CC" w14:textId="2B3F3959" w:rsidR="00FE0C02" w:rsidRPr="00C673B9" w:rsidRDefault="00BE213B" w:rsidP="00BE213B">
      <w:pPr>
        <w:pStyle w:val="Point0"/>
      </w:pPr>
      <w:r>
        <w:t>(4)</w:t>
      </w:r>
      <w:r w:rsidRPr="00BE213B">
        <w:tab/>
      </w:r>
      <w:r w:rsidR="00FE0C02" w:rsidRPr="00C673B9">
        <w:t>A 4. cikktől eltérve az e cikk (2) bekezdésének a) pontjában meghatározott küszöbérték tekintetében a következők alkalmazandók:</w:t>
      </w:r>
    </w:p>
    <w:p w14:paraId="542951C2" w14:textId="0D06C811" w:rsidR="00FE0C02" w:rsidRPr="00C673B9" w:rsidRDefault="00FE0C02" w:rsidP="00FE0C02">
      <w:pPr>
        <w:pStyle w:val="Point1"/>
      </w:pPr>
      <w:r w:rsidRPr="00C673B9">
        <w:t>a)</w:t>
      </w:r>
      <w:r w:rsidRPr="00C673B9">
        <w:tab/>
        <w:t>az EU-szintű anyaintézmény, az EU-szintű pénzügyi holding anyavállalat és az EU-szintű vegyes pénzügyi holding anyavállalat haladéktalanul megkezdi az e cikk szerinti adatszolgáltatást, ha a tőkeáttételi mutató számításához használt kitettségi mérték a üzleti év végén meghaladja a meghatározott küszöbértéket, és az adatszolgáltatást legalább az adott üzleti év vége és az azt követő három negyedéves vonatkozási időpont tekintetében teljesíti;</w:t>
      </w:r>
    </w:p>
    <w:p w14:paraId="50325C89" w14:textId="0290171D" w:rsidR="00FE0C02" w:rsidRPr="00C673B9" w:rsidRDefault="00FE0C02" w:rsidP="00FE0C02">
      <w:pPr>
        <w:pStyle w:val="Point1"/>
      </w:pPr>
      <w:r w:rsidRPr="00C673B9">
        <w:t>b)</w:t>
      </w:r>
      <w:r w:rsidRPr="00C673B9">
        <w:tab/>
        <w:t xml:space="preserve">az EU-szintű anyaintézmény, az EU-szintű pénzügyi holding anyavállalat és az EU-szintű vegyes pénzügyi holding anyavállalat haladéktalanul felhagy az e </w:t>
      </w:r>
      <w:r w:rsidRPr="00C673B9">
        <w:lastRenderedPageBreak/>
        <w:t>cikk szerinti adatszolgáltatással, ha a tőkeáttételi mutató számításához használt kitettségi mérték az üzleti év végén a meghatározott küszöbérték alá csökken.</w:t>
      </w:r>
    </w:p>
    <w:p w14:paraId="3714E48A" w14:textId="77777777" w:rsidR="00FE0C02" w:rsidRPr="00C673B9" w:rsidRDefault="00FE0C02" w:rsidP="00FE0C02">
      <w:pPr>
        <w:pStyle w:val="Titrearticle"/>
      </w:pPr>
      <w:r w:rsidRPr="00C673B9">
        <w:t>21. cikk</w:t>
      </w:r>
    </w:p>
    <w:p w14:paraId="379043C5" w14:textId="77777777" w:rsidR="00FE0C02" w:rsidRPr="00C673B9" w:rsidRDefault="00FE0C02" w:rsidP="00FE0C02">
      <w:pPr>
        <w:pStyle w:val="Titrearticle"/>
        <w:spacing w:before="120"/>
      </w:pPr>
      <w:r w:rsidRPr="00C673B9">
        <w:rPr>
          <w:b/>
          <w:i w:val="0"/>
        </w:rPr>
        <w:t>Adatcsere-formátumok és adatszolgáltatást kísérő információk</w:t>
      </w:r>
    </w:p>
    <w:p w14:paraId="3484BAE7" w14:textId="716629F5" w:rsidR="00FE0C02" w:rsidRPr="00C673B9" w:rsidRDefault="00BE213B" w:rsidP="00BE213B">
      <w:pPr>
        <w:pStyle w:val="Point0"/>
      </w:pPr>
      <w:r>
        <w:t>(1)</w:t>
      </w:r>
      <w:r w:rsidRPr="00BE213B">
        <w:tab/>
      </w:r>
      <w:r w:rsidR="00FE0C02" w:rsidRPr="00C673B9">
        <w:t>Az intézmények az információkat az illetékes hatóságok által meghatározott adatcsere-formátumban és megjelenítési formában nyújtják be, betartva az adatpontok XIV. mellékletben található egységes adatmodellben szereplő fogalommeghatározását, a XV. mellékletben említett validálási szabályokat, valamint a következőket:</w:t>
      </w:r>
    </w:p>
    <w:p w14:paraId="6302FDB1" w14:textId="77777777" w:rsidR="00FE0C02" w:rsidRPr="00C673B9" w:rsidRDefault="00FE0C02" w:rsidP="00FE0C02">
      <w:pPr>
        <w:pStyle w:val="Point1"/>
      </w:pPr>
      <w:r w:rsidRPr="00C673B9">
        <w:t>a)</w:t>
      </w:r>
      <w:r w:rsidRPr="00C673B9">
        <w:tab/>
        <w:t>a nem előírt vagy nem alkalmazandó információkat nem kell szerepeltetni az adatszolgáltatásban;</w:t>
      </w:r>
    </w:p>
    <w:p w14:paraId="04CB5DF9" w14:textId="77777777" w:rsidR="00FE0C02" w:rsidRPr="00C673B9" w:rsidRDefault="00FE0C02" w:rsidP="00FE0C02">
      <w:pPr>
        <w:pStyle w:val="Point1"/>
      </w:pPr>
      <w:r w:rsidRPr="00C673B9">
        <w:t>b)</w:t>
      </w:r>
      <w:r w:rsidRPr="00C673B9">
        <w:tab/>
        <w:t>a numerikus értékeket a következőképpen kell megadni:</w:t>
      </w:r>
    </w:p>
    <w:p w14:paraId="08E0D7CD" w14:textId="77777777" w:rsidR="00FE0C02" w:rsidRPr="00C673B9" w:rsidRDefault="00FE0C02" w:rsidP="00FE0C02">
      <w:pPr>
        <w:pStyle w:val="Point2"/>
      </w:pPr>
      <w:r w:rsidRPr="00C673B9">
        <w:t>i.</w:t>
      </w:r>
      <w:r w:rsidRPr="00C673B9">
        <w:tab/>
        <w:t>a „monetáris” típusú adatokat minimum ezres nagyságrendű pontossággal kell jelenteni;</w:t>
      </w:r>
    </w:p>
    <w:p w14:paraId="34C38BBF" w14:textId="77777777" w:rsidR="00FE0C02" w:rsidRPr="00C673B9" w:rsidRDefault="00FE0C02" w:rsidP="00FE0C02">
      <w:pPr>
        <w:pStyle w:val="Point2"/>
      </w:pPr>
      <w:r w:rsidRPr="00C673B9">
        <w:t>ii.</w:t>
      </w:r>
      <w:r w:rsidRPr="00C673B9">
        <w:tab/>
        <w:t>a „százalék” típusú adatokat egységnyi értékben kifejezve, minimum négy tizedesjegy pontossággal kell jelenteni;</w:t>
      </w:r>
    </w:p>
    <w:p w14:paraId="4CD4E1AC" w14:textId="77777777" w:rsidR="00FE0C02" w:rsidRPr="00C673B9" w:rsidRDefault="00FE0C02" w:rsidP="00FE0C02">
      <w:pPr>
        <w:pStyle w:val="Point2"/>
      </w:pPr>
      <w:r w:rsidRPr="00C673B9">
        <w:t>iii.</w:t>
      </w:r>
      <w:r w:rsidRPr="00C673B9">
        <w:tab/>
        <w:t>az „egész szám” típusú adatokat tizedesjegyek alkalmazása nélkül, egész számnak megfelelő pontossággal kell jelenteni.</w:t>
      </w:r>
    </w:p>
    <w:p w14:paraId="1DE261AC" w14:textId="77777777" w:rsidR="00FE0C02" w:rsidRPr="00C673B9" w:rsidRDefault="00FE0C02" w:rsidP="00FE0C02">
      <w:pPr>
        <w:pStyle w:val="Point1"/>
        <w:rPr>
          <w:szCs w:val="24"/>
        </w:rPr>
      </w:pPr>
      <w:r w:rsidRPr="00C673B9">
        <w:t>c)</w:t>
      </w:r>
      <w:r w:rsidRPr="00C673B9">
        <w:tab/>
        <w:t>az intézményeket és a biztosítókat kizárólag a jogalany-azonosítóval (LEI) szabad azonosítani;</w:t>
      </w:r>
    </w:p>
    <w:p w14:paraId="10C9C354" w14:textId="5A31CC97" w:rsidR="00FE0C02" w:rsidRPr="00C673B9" w:rsidRDefault="00BE213B" w:rsidP="00FE0C02">
      <w:pPr>
        <w:pStyle w:val="Point1"/>
      </w:pPr>
      <w:r>
        <w:t>d)</w:t>
      </w:r>
      <w:r>
        <w:tab/>
      </w:r>
      <w:r w:rsidR="00FE0C02" w:rsidRPr="00C673B9">
        <w:t>az intézményektől és biztosítóktól eltérő jogi személyeket és partnereket jogalany-azonosítójukkal kell azonosítani, amennyiben az rendelkezésre áll.</w:t>
      </w:r>
    </w:p>
    <w:p w14:paraId="275717B4" w14:textId="2CA4AED9" w:rsidR="00FE0C02" w:rsidRPr="00C673B9" w:rsidRDefault="00BE213B" w:rsidP="00BE213B">
      <w:pPr>
        <w:pStyle w:val="Point0"/>
      </w:pPr>
      <w:r>
        <w:t>(2)</w:t>
      </w:r>
      <w:r w:rsidRPr="00BE213B">
        <w:tab/>
      </w:r>
      <w:r w:rsidR="00FE0C02" w:rsidRPr="00C673B9">
        <w:t>Az intézmények a benyújtott adatokhoz a következő információkat mellékelik:</w:t>
      </w:r>
    </w:p>
    <w:p w14:paraId="533511FB" w14:textId="77777777" w:rsidR="00FE0C02" w:rsidRPr="00C673B9" w:rsidRDefault="00FE0C02" w:rsidP="00FE0C02">
      <w:pPr>
        <w:pStyle w:val="Point1"/>
      </w:pPr>
      <w:r w:rsidRPr="00C673B9">
        <w:t>a)</w:t>
      </w:r>
      <w:r w:rsidRPr="00C673B9">
        <w:tab/>
        <w:t>adatszolgáltatási vonatkozási időpont és vonatkozási időszak;</w:t>
      </w:r>
    </w:p>
    <w:p w14:paraId="35FFAFDD" w14:textId="77777777" w:rsidR="00FE0C02" w:rsidRPr="00C673B9" w:rsidRDefault="00FE0C02" w:rsidP="00FE0C02">
      <w:pPr>
        <w:pStyle w:val="Point1"/>
      </w:pPr>
      <w:r w:rsidRPr="00C673B9">
        <w:t>b)</w:t>
      </w:r>
      <w:r w:rsidRPr="00C673B9">
        <w:tab/>
        <w:t>adatszolgáltatás pénzneme;</w:t>
      </w:r>
    </w:p>
    <w:p w14:paraId="2D0A776B" w14:textId="77777777" w:rsidR="00FE0C02" w:rsidRPr="00C673B9" w:rsidRDefault="00FE0C02" w:rsidP="00FE0C02">
      <w:pPr>
        <w:pStyle w:val="Point1"/>
      </w:pPr>
      <w:r w:rsidRPr="00C673B9">
        <w:t>c)</w:t>
      </w:r>
      <w:r w:rsidRPr="00C673B9">
        <w:tab/>
        <w:t>számviteli standard;</w:t>
      </w:r>
    </w:p>
    <w:p w14:paraId="05941E50" w14:textId="77777777" w:rsidR="00FE0C02" w:rsidRPr="00C673B9" w:rsidRDefault="00FE0C02" w:rsidP="00FE0C02">
      <w:pPr>
        <w:pStyle w:val="Point1"/>
      </w:pPr>
      <w:r w:rsidRPr="00C673B9">
        <w:t>d)</w:t>
      </w:r>
      <w:r w:rsidRPr="00C673B9">
        <w:tab/>
        <w:t>az adatszolgáltató intézmény jogalany-azonosítója (LEI);</w:t>
      </w:r>
    </w:p>
    <w:p w14:paraId="1E5B9FC2" w14:textId="77777777" w:rsidR="00FE0C02" w:rsidRPr="00C673B9" w:rsidRDefault="00FE0C02" w:rsidP="00FE0C02">
      <w:pPr>
        <w:pStyle w:val="Point1"/>
      </w:pPr>
      <w:r w:rsidRPr="00C673B9">
        <w:t>e)</w:t>
      </w:r>
      <w:r w:rsidRPr="00C673B9">
        <w:tab/>
        <w:t>a konszolidáció alkalmazási köre.</w:t>
      </w:r>
    </w:p>
    <w:p w14:paraId="3C0C8DE6" w14:textId="77777777" w:rsidR="00FE0C02" w:rsidRPr="00C673B9" w:rsidRDefault="00FE0C02" w:rsidP="00FE0C02">
      <w:pPr>
        <w:pStyle w:val="Titrearticle"/>
        <w:spacing w:before="120"/>
      </w:pPr>
      <w:r w:rsidRPr="00C673B9">
        <w:t>22. cikk</w:t>
      </w:r>
    </w:p>
    <w:p w14:paraId="48AC81C7" w14:textId="77777777" w:rsidR="00FE0C02" w:rsidRPr="00C673B9" w:rsidRDefault="00FE0C02" w:rsidP="006B3AF7">
      <w:pPr>
        <w:pStyle w:val="Titrearticle"/>
      </w:pPr>
      <w:r w:rsidRPr="00C673B9">
        <w:t>A 680/2014/EU végrehajtási rendelet hatályon kívül helyezése</w:t>
      </w:r>
    </w:p>
    <w:p w14:paraId="1CFB853D" w14:textId="3D2359E3" w:rsidR="00FE0C02" w:rsidRPr="00C673B9" w:rsidRDefault="00FE0C02" w:rsidP="006B3AF7">
      <w:r w:rsidRPr="00C673B9">
        <w:t>A 680/2014/EU végreha</w:t>
      </w:r>
      <w:r w:rsidR="00BE213B">
        <w:t>jtási rendelet hatályát veszti.</w:t>
      </w:r>
    </w:p>
    <w:p w14:paraId="783335BF" w14:textId="7744E337" w:rsidR="00FE0C02" w:rsidRPr="00C673B9" w:rsidRDefault="00FE0C02" w:rsidP="006B3AF7">
      <w:r w:rsidRPr="00C673B9">
        <w:t>A hatályon kívül helyezett rendeletre való hivatkozásokat ezen rendeletre való hivatkozásként kell értelmezni.</w:t>
      </w:r>
    </w:p>
    <w:p w14:paraId="5FA1D041" w14:textId="77777777" w:rsidR="00FE0C02" w:rsidRPr="00C673B9" w:rsidRDefault="00FE0C02" w:rsidP="00FE0C02">
      <w:pPr>
        <w:pStyle w:val="Titrearticle"/>
      </w:pPr>
      <w:r w:rsidRPr="00C673B9">
        <w:t>23. cikk</w:t>
      </w:r>
    </w:p>
    <w:p w14:paraId="5DBF2ECB" w14:textId="77777777" w:rsidR="00FE0C02" w:rsidRPr="00C673B9" w:rsidRDefault="00FE0C02" w:rsidP="00FE0C02">
      <w:pPr>
        <w:pStyle w:val="Titrearticle"/>
        <w:rPr>
          <w:b/>
          <w:i w:val="0"/>
        </w:rPr>
      </w:pPr>
      <w:r w:rsidRPr="00C673B9">
        <w:rPr>
          <w:b/>
          <w:i w:val="0"/>
        </w:rPr>
        <w:t>Hatálybalépés és alkalmazás</w:t>
      </w:r>
    </w:p>
    <w:p w14:paraId="0A731224" w14:textId="77777777" w:rsidR="00FE0C02" w:rsidRPr="00C673B9" w:rsidRDefault="00FE0C02" w:rsidP="00FE0C02">
      <w:r w:rsidRPr="00C673B9">
        <w:t xml:space="preserve">Ez a rendelet az </w:t>
      </w:r>
      <w:r w:rsidRPr="00C673B9">
        <w:rPr>
          <w:i/>
        </w:rPr>
        <w:t>Európai Unió Hivatalos Lapjában</w:t>
      </w:r>
      <w:r w:rsidRPr="00C673B9">
        <w:t xml:space="preserve"> való kihirdetését követő napon lép hatályba.</w:t>
      </w:r>
    </w:p>
    <w:p w14:paraId="7B8BB43C" w14:textId="77777777" w:rsidR="00FE0C02" w:rsidRPr="00C673B9" w:rsidRDefault="00FE0C02" w:rsidP="00FE0C02">
      <w:r w:rsidRPr="00C673B9">
        <w:lastRenderedPageBreak/>
        <w:t>Ezt a rendeletet 2021. június 28-tól kell alkalmazni.</w:t>
      </w:r>
    </w:p>
    <w:p w14:paraId="398E54BD" w14:textId="77777777" w:rsidR="00FE0C02" w:rsidRPr="00C673B9" w:rsidRDefault="00FE0C02" w:rsidP="00FE0C02">
      <w:r w:rsidRPr="00C673B9">
        <w:t>E cikk második bekezdése ellenére a globálisan rendszerszinten jelentős intézményként meghatározott intézmények tőkeáttételi mutató puffer követelményére vonatkozó, a X. melléklet 47. táblájában előírt adatszolgáltatást 2023. január 1-jétől kell teljesíteni.</w:t>
      </w:r>
    </w:p>
    <w:p w14:paraId="077B995C" w14:textId="2455A2B7" w:rsidR="00FF364B" w:rsidRPr="00C673B9" w:rsidRDefault="00FE0C02" w:rsidP="00FE0C02">
      <w:r w:rsidRPr="00C673B9">
        <w:t>A 9. és a 10. cikk 2026. június 26-án hatályát veszti.</w:t>
      </w:r>
    </w:p>
    <w:p w14:paraId="2BB71259" w14:textId="77777777" w:rsidR="0004170D" w:rsidRPr="00C673B9" w:rsidRDefault="0004170D" w:rsidP="009675DD">
      <w:pPr>
        <w:pStyle w:val="Applicationdirecte"/>
      </w:pPr>
      <w:r w:rsidRPr="00C673B9">
        <w:t>Ez a rendelet teljes egészében kötelező és közvetlenül alkalmazandó valamennyi tagállamban.</w:t>
      </w:r>
    </w:p>
    <w:p w14:paraId="2947B574" w14:textId="2C792E22" w:rsidR="0004170D" w:rsidRPr="00C673B9" w:rsidRDefault="00E50FF1" w:rsidP="00E50FF1">
      <w:pPr>
        <w:pStyle w:val="Fait"/>
      </w:pPr>
      <w:r w:rsidRPr="00E50FF1">
        <w:t>Kelt Brüsszelben, -án/-én.</w:t>
      </w:r>
    </w:p>
    <w:p w14:paraId="3F08E3CE" w14:textId="77777777" w:rsidR="0004170D" w:rsidRPr="00C673B9" w:rsidRDefault="0004170D" w:rsidP="0004170D">
      <w:pPr>
        <w:pStyle w:val="Institutionquisigne"/>
      </w:pPr>
      <w:r w:rsidRPr="00C673B9">
        <w:tab/>
        <w:t>a Bizottság részéről</w:t>
      </w:r>
    </w:p>
    <w:p w14:paraId="2100579F" w14:textId="77777777" w:rsidR="00A211D2" w:rsidRPr="00C673B9" w:rsidRDefault="0004170D" w:rsidP="0004170D">
      <w:pPr>
        <w:pStyle w:val="Personnequisigne"/>
      </w:pPr>
      <w:r w:rsidRPr="00C673B9">
        <w:tab/>
        <w:t>az elnök</w:t>
      </w:r>
    </w:p>
    <w:p w14:paraId="5318264F" w14:textId="3B012292" w:rsidR="0004170D" w:rsidRPr="00C673B9" w:rsidRDefault="00BE213B" w:rsidP="0004170D">
      <w:pPr>
        <w:pStyle w:val="Personnequisigne"/>
      </w:pPr>
      <w:r>
        <w:tab/>
        <w:t>Ursula von der Leyen</w:t>
      </w:r>
    </w:p>
    <w:sectPr w:rsidR="0004170D" w:rsidRPr="00C673B9" w:rsidSect="00E50FF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0E245" w14:textId="47591FF6" w:rsidR="00E50FF1" w:rsidRPr="00E50FF1" w:rsidRDefault="00E50FF1" w:rsidP="00E50FF1">
    <w:pPr>
      <w:pStyle w:val="Footer"/>
      <w:rPr>
        <w:rFonts w:ascii="Arial" w:hAnsi="Arial" w:cs="Arial"/>
        <w:b/>
        <w:sz w:val="48"/>
      </w:rPr>
    </w:pPr>
    <w:r w:rsidRPr="00E50FF1">
      <w:rPr>
        <w:rFonts w:ascii="Arial" w:hAnsi="Arial" w:cs="Arial"/>
        <w:b/>
        <w:sz w:val="48"/>
      </w:rPr>
      <w:t>HU</w:t>
    </w:r>
    <w:r w:rsidRPr="00E50FF1">
      <w:rPr>
        <w:rFonts w:ascii="Arial" w:hAnsi="Arial" w:cs="Arial"/>
        <w:b/>
        <w:sz w:val="48"/>
      </w:rPr>
      <w:tab/>
    </w:r>
    <w:r w:rsidRPr="00E50FF1">
      <w:rPr>
        <w:rFonts w:ascii="Arial" w:hAnsi="Arial" w:cs="Arial"/>
        <w:b/>
        <w:sz w:val="48"/>
      </w:rPr>
      <w:tab/>
    </w:r>
    <w:r w:rsidRPr="00E50FF1">
      <w:tab/>
    </w:r>
    <w:r w:rsidRPr="00E50FF1">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BBB1F" w14:textId="7988F8B8" w:rsidR="00E50FF1" w:rsidRPr="00E50FF1" w:rsidRDefault="00E50FF1" w:rsidP="00E50FF1">
    <w:pPr>
      <w:pStyle w:val="Footer"/>
      <w:rPr>
        <w:rFonts w:ascii="Arial" w:hAnsi="Arial" w:cs="Arial"/>
        <w:b/>
        <w:sz w:val="48"/>
      </w:rPr>
    </w:pPr>
    <w:r w:rsidRPr="00E50FF1">
      <w:rPr>
        <w:rFonts w:ascii="Arial" w:hAnsi="Arial" w:cs="Arial"/>
        <w:b/>
        <w:sz w:val="48"/>
      </w:rPr>
      <w:t>HU</w:t>
    </w:r>
    <w:r w:rsidRPr="00E50FF1">
      <w:rPr>
        <w:rFonts w:ascii="Arial" w:hAnsi="Arial" w:cs="Arial"/>
        <w:b/>
        <w:sz w:val="48"/>
      </w:rPr>
      <w:tab/>
    </w:r>
    <w:r>
      <w:fldChar w:fldCharType="begin"/>
    </w:r>
    <w:r>
      <w:instrText xml:space="preserve"> PAGE  \* MERGEFORMAT </w:instrText>
    </w:r>
    <w:r>
      <w:fldChar w:fldCharType="separate"/>
    </w:r>
    <w:r w:rsidR="00330996">
      <w:rPr>
        <w:noProof/>
      </w:rPr>
      <w:t>1</w:t>
    </w:r>
    <w:r>
      <w:fldChar w:fldCharType="end"/>
    </w:r>
    <w:r>
      <w:tab/>
    </w:r>
    <w:r w:rsidRPr="00E50FF1">
      <w:tab/>
    </w:r>
    <w:r w:rsidRPr="00E50FF1">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4A31" w14:textId="77777777" w:rsidR="00E50FF1" w:rsidRPr="00E50FF1" w:rsidRDefault="00E50FF1" w:rsidP="00E50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HL L 176., 2013.6.27., 1. o.</w:t>
      </w:r>
    </w:p>
  </w:footnote>
  <w:footnote w:id="2">
    <w:p w14:paraId="5580D4CD" w14:textId="77777777" w:rsidR="00AD21AA" w:rsidRPr="00A45B5C" w:rsidRDefault="00AD21AA" w:rsidP="00AD21AA">
      <w:pPr>
        <w:pStyle w:val="FootnoteText"/>
      </w:pPr>
      <w:r>
        <w:rPr>
          <w:rStyle w:val="FootnoteReference"/>
        </w:rPr>
        <w:footnoteRef/>
      </w:r>
      <w:r>
        <w:tab/>
        <w:t>A Bizottság 680/2014/EU végrehajtási rendelete az intézmények 575/2013/EU európai parlamenti és tanácsi rendelet szerinti felügyeleti adatszolgáltatása tekintetében végrehajtás-technikai standardok megállapításáról (HL L 191., 2014.6.28., 1. o.).</w:t>
      </w:r>
    </w:p>
  </w:footnote>
  <w:footnote w:id="3">
    <w:p w14:paraId="433B5035" w14:textId="77777777" w:rsidR="00AD21AA" w:rsidRPr="00BD2EEC" w:rsidRDefault="00AD21AA" w:rsidP="00AD21AA">
      <w:pPr>
        <w:pStyle w:val="FootnoteText"/>
      </w:pPr>
      <w:r>
        <w:rPr>
          <w:rStyle w:val="FootnoteReference"/>
        </w:rPr>
        <w:footnoteRef/>
      </w:r>
      <w:r>
        <w:tab/>
        <w:t>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4">
    <w:p w14:paraId="4A709B42" w14:textId="77777777" w:rsidR="00AD21AA" w:rsidRPr="002E4D2B" w:rsidRDefault="00AD21AA" w:rsidP="00AD21AA">
      <w:pPr>
        <w:pStyle w:val="FootnoteText"/>
      </w:pPr>
      <w:r>
        <w:rPr>
          <w:rStyle w:val="FootnoteReference"/>
        </w:rPr>
        <w:footnoteRef/>
      </w:r>
      <w:r>
        <w:tab/>
        <w:t>Az Európai Parlament és a Tanács (EU) 2019/876 rendelete (2019. május 20.) az 575/2013/EU rendeletnek a tőkeáttételi mutató, a nettó stabil forrásellátottsági ráta, a szavatolótőkére és a leírható, illetve átalakítható kötelezettségekre vonatkozó követelmények, a partnerkockázat, a piaci kockázat, a központi szerződő felekkel szembeni kitettségek, a kollektív befektetési formákkal szembeni kitettségek, a nagykockázat-vállalások és az adatszolgáltatási és nyilvánosságra hozatali követelmények tekintetében történő módosításáról, valamint a 648/2012/EU rendelet módosításáról (HL L 150., 2019.6.7., 1. o.).</w:t>
      </w:r>
    </w:p>
  </w:footnote>
  <w:footnote w:id="5">
    <w:p w14:paraId="5D010433" w14:textId="06086162" w:rsidR="00AD21AA" w:rsidRPr="002E4D2B" w:rsidRDefault="00AD21AA" w:rsidP="00AD21AA">
      <w:pPr>
        <w:pStyle w:val="FootnoteText"/>
      </w:pPr>
      <w:r>
        <w:rPr>
          <w:rStyle w:val="FootnoteReference"/>
        </w:rPr>
        <w:footnoteRef/>
      </w:r>
      <w:r>
        <w:tab/>
        <w:t xml:space="preserve">Az Európai Parlament és a Tanács (EU) 2019/630 rendelete (2019. április 17.) az 575/2013/EU rendeletnek a nemteljesítő kitettségekre vonatkozó minimális veszteségfedezet tekintetében történő módosításáról </w:t>
      </w:r>
      <w:r w:rsidR="006155C1">
        <w:t>(HL L 111., 2019.4.25., 4. o.).</w:t>
      </w:r>
    </w:p>
  </w:footnote>
  <w:footnote w:id="6">
    <w:p w14:paraId="0B0AEE79" w14:textId="77777777" w:rsidR="00AD21AA" w:rsidRPr="008B4A3F" w:rsidRDefault="00AD21AA" w:rsidP="00AD21AA">
      <w:pPr>
        <w:pStyle w:val="FootnoteText"/>
      </w:pPr>
      <w:r>
        <w:rPr>
          <w:rStyle w:val="FootnoteReference"/>
        </w:rPr>
        <w:footnoteRef/>
      </w:r>
      <w:r>
        <w:tab/>
        <w:t>Az Európai Parlament és a Tanács (EU) 2019/2033 rendelete (2019. november 27.) a befektetési vállalkozásokra vonatkozó prudenciális követelményekről, valamint az 1093/2010/EU, az 575/2013/EU, a 600/2014/EU és a 806/2014/EU rendelet módosításáról (HL L 314., 2019.12.5., 1. o.).</w:t>
      </w:r>
    </w:p>
  </w:footnote>
  <w:footnote w:id="7">
    <w:p w14:paraId="3D6B588C" w14:textId="1C69D305" w:rsidR="00AD21AA" w:rsidRPr="0069688A" w:rsidRDefault="00AD21AA" w:rsidP="00AD21AA">
      <w:pPr>
        <w:pStyle w:val="FootnoteText"/>
      </w:pPr>
      <w:r>
        <w:rPr>
          <w:rStyle w:val="FootnoteReference"/>
        </w:rPr>
        <w:footnoteRef/>
      </w:r>
      <w:r>
        <w:tab/>
        <w:t>Az Európai Parlament és a Tanács (EU) 2020/873 rendelete (2020. június 24.) az 575/2013/EU rendeletnek és az (EU) 2019/876 rendeletnek a Covid19-világjárvánnyal összefüggő bizonyos kiigazítások tekintetében történő módosításáról (HL L 204., 2020.6.26., 4. o.).</w:t>
      </w:r>
    </w:p>
  </w:footnote>
  <w:footnote w:id="8">
    <w:p w14:paraId="5A30BC5D" w14:textId="77777777" w:rsidR="00AD21AA" w:rsidRPr="002E4D2B" w:rsidRDefault="00AD21AA" w:rsidP="00AD21AA">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2020.12.15., 12. o.).</w:t>
      </w:r>
    </w:p>
  </w:footnote>
  <w:footnote w:id="9">
    <w:p w14:paraId="2F6DC588" w14:textId="77777777" w:rsidR="0014552F" w:rsidRPr="002E4D2B" w:rsidRDefault="0014552F" w:rsidP="0014552F">
      <w:pPr>
        <w:pStyle w:val="FootnoteText"/>
      </w:pPr>
      <w:r>
        <w:rPr>
          <w:rStyle w:val="FootnoteReference"/>
        </w:rPr>
        <w:footnoteRef/>
      </w:r>
      <w:r>
        <w:tab/>
        <w:t>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 w:id="10">
    <w:p w14:paraId="0D4E857F" w14:textId="659ADEF0" w:rsidR="00FE0C02" w:rsidRPr="00B60583" w:rsidRDefault="00FE0C02" w:rsidP="00FE0C02">
      <w:pPr>
        <w:pStyle w:val="FootnoteText"/>
      </w:pPr>
      <w:r>
        <w:rPr>
          <w:rStyle w:val="FootnoteReference"/>
        </w:rPr>
        <w:footnoteRef/>
      </w:r>
      <w:r>
        <w:tab/>
        <w:t>Az Európai Parlament és a Tanács 1606/2002/EK rendelete (2002. július 19.) a nemzetközi számviteli standardok alkalmazásáról (HL L 243., 2002.9.11., 1. o.).</w:t>
      </w:r>
    </w:p>
  </w:footnote>
  <w:footnote w:id="11">
    <w:p w14:paraId="186408CB" w14:textId="77777777" w:rsidR="00FE0C02" w:rsidRPr="00383524" w:rsidRDefault="00FE0C02" w:rsidP="00FE0C02">
      <w:pPr>
        <w:pStyle w:val="FootnoteText"/>
      </w:pPr>
      <w:r>
        <w:rPr>
          <w:rStyle w:val="FootnoteReference"/>
        </w:rPr>
        <w:footnoteRef/>
      </w:r>
      <w:r>
        <w:tab/>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12">
    <w:p w14:paraId="50B21B4D" w14:textId="77777777" w:rsidR="00FE0C02" w:rsidRPr="00EF0DDB" w:rsidRDefault="00FE0C02" w:rsidP="00FE0C02">
      <w:pPr>
        <w:pStyle w:val="FootnoteText"/>
      </w:pPr>
      <w:r>
        <w:rPr>
          <w:rStyle w:val="FootnoteReference"/>
        </w:rPr>
        <w:footnoteRef/>
      </w:r>
      <w:r>
        <w:tab/>
        <w:t>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 1.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4"/>
  </w:num>
  <w:num w:numId="20">
    <w:abstractNumId w:val="17"/>
  </w:num>
  <w:num w:numId="21">
    <w:abstractNumId w:val="18"/>
  </w:num>
  <w:num w:numId="22">
    <w:abstractNumId w:val="10"/>
  </w:num>
  <w:num w:numId="23">
    <w:abstractNumId w:val="16"/>
  </w:num>
  <w:num w:numId="24">
    <w:abstractNumId w:val="2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5:56:1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22127DC-AD0D-4EEE-8D5A-2AF855023A55"/>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lt;EMPTY&gt;"/>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575/2013/EU európai parlamenti és tanácsi rendeletnek az intézmények felügyeleti adatszolgáltatása tekintetében történ\u337? alkalmazására vonatkozó végrehajtás-technikai standardok megállapításáról és a 680/2014/EU végrehajtási rendelet hatályon kívül helyezésér\u337?l _x000b_"/>
    <w:docVar w:name="LW_TYPE.DOC.CP" w:val="A BIZOTTSÁG (EU) .../... VÉGREHAJTÁSI RENDELETE"/>
  </w:docVars>
  <w:rsids>
    <w:rsidRoot w:val="0004170D"/>
    <w:rsid w:val="00023622"/>
    <w:rsid w:val="00036497"/>
    <w:rsid w:val="0004170D"/>
    <w:rsid w:val="0008268D"/>
    <w:rsid w:val="000832DE"/>
    <w:rsid w:val="00095204"/>
    <w:rsid w:val="000965A4"/>
    <w:rsid w:val="000A39B9"/>
    <w:rsid w:val="000B0730"/>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87542"/>
    <w:rsid w:val="002A1F07"/>
    <w:rsid w:val="002B6FA8"/>
    <w:rsid w:val="002C0C3E"/>
    <w:rsid w:val="002C1097"/>
    <w:rsid w:val="002C1CA0"/>
    <w:rsid w:val="002D22E3"/>
    <w:rsid w:val="002E476B"/>
    <w:rsid w:val="00330996"/>
    <w:rsid w:val="00332B33"/>
    <w:rsid w:val="00334AD0"/>
    <w:rsid w:val="003407D8"/>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4F7870"/>
    <w:rsid w:val="00505B92"/>
    <w:rsid w:val="00531744"/>
    <w:rsid w:val="00535526"/>
    <w:rsid w:val="00545C74"/>
    <w:rsid w:val="00563765"/>
    <w:rsid w:val="005A0CAD"/>
    <w:rsid w:val="005A2A1F"/>
    <w:rsid w:val="005A6D07"/>
    <w:rsid w:val="005C3834"/>
    <w:rsid w:val="005E5208"/>
    <w:rsid w:val="005F180D"/>
    <w:rsid w:val="006155C1"/>
    <w:rsid w:val="00627D4B"/>
    <w:rsid w:val="00646DA2"/>
    <w:rsid w:val="00656F3B"/>
    <w:rsid w:val="00681997"/>
    <w:rsid w:val="006947FE"/>
    <w:rsid w:val="006B3AF7"/>
    <w:rsid w:val="006B5AAF"/>
    <w:rsid w:val="006B61AF"/>
    <w:rsid w:val="006D20F7"/>
    <w:rsid w:val="007241CC"/>
    <w:rsid w:val="00725875"/>
    <w:rsid w:val="00784369"/>
    <w:rsid w:val="00794AEA"/>
    <w:rsid w:val="007951FC"/>
    <w:rsid w:val="007D13CB"/>
    <w:rsid w:val="007D178B"/>
    <w:rsid w:val="007E5F66"/>
    <w:rsid w:val="007F0EBD"/>
    <w:rsid w:val="00800894"/>
    <w:rsid w:val="008137A2"/>
    <w:rsid w:val="008326B8"/>
    <w:rsid w:val="008332D8"/>
    <w:rsid w:val="008568F5"/>
    <w:rsid w:val="00856A5A"/>
    <w:rsid w:val="00877878"/>
    <w:rsid w:val="00881EA6"/>
    <w:rsid w:val="00886F23"/>
    <w:rsid w:val="008A50C4"/>
    <w:rsid w:val="008B78EA"/>
    <w:rsid w:val="008D699F"/>
    <w:rsid w:val="008E7112"/>
    <w:rsid w:val="008F7BAF"/>
    <w:rsid w:val="009074CD"/>
    <w:rsid w:val="009224FE"/>
    <w:rsid w:val="00951C31"/>
    <w:rsid w:val="00954BF9"/>
    <w:rsid w:val="00965716"/>
    <w:rsid w:val="009675DD"/>
    <w:rsid w:val="00977656"/>
    <w:rsid w:val="00992DB9"/>
    <w:rsid w:val="009A56F4"/>
    <w:rsid w:val="009B4DF9"/>
    <w:rsid w:val="009B7FA6"/>
    <w:rsid w:val="009C1C74"/>
    <w:rsid w:val="009C4797"/>
    <w:rsid w:val="009C5CB4"/>
    <w:rsid w:val="009D7A29"/>
    <w:rsid w:val="009F4154"/>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84ADC"/>
    <w:rsid w:val="00BA0CA9"/>
    <w:rsid w:val="00BA2220"/>
    <w:rsid w:val="00BA7AD9"/>
    <w:rsid w:val="00BB50EB"/>
    <w:rsid w:val="00BB60B6"/>
    <w:rsid w:val="00BB736E"/>
    <w:rsid w:val="00BC75BD"/>
    <w:rsid w:val="00BE213B"/>
    <w:rsid w:val="00BF0E94"/>
    <w:rsid w:val="00BF182F"/>
    <w:rsid w:val="00C05EA4"/>
    <w:rsid w:val="00C14839"/>
    <w:rsid w:val="00C24911"/>
    <w:rsid w:val="00C278CC"/>
    <w:rsid w:val="00C36BE6"/>
    <w:rsid w:val="00C36E0D"/>
    <w:rsid w:val="00C5099A"/>
    <w:rsid w:val="00C673B9"/>
    <w:rsid w:val="00C901BD"/>
    <w:rsid w:val="00CA348C"/>
    <w:rsid w:val="00CF106C"/>
    <w:rsid w:val="00D9176D"/>
    <w:rsid w:val="00DC2475"/>
    <w:rsid w:val="00E03572"/>
    <w:rsid w:val="00E10715"/>
    <w:rsid w:val="00E14194"/>
    <w:rsid w:val="00E23D3B"/>
    <w:rsid w:val="00E50FF1"/>
    <w:rsid w:val="00E76D3F"/>
    <w:rsid w:val="00E8608B"/>
    <w:rsid w:val="00EA3E25"/>
    <w:rsid w:val="00EA6449"/>
    <w:rsid w:val="00ED391B"/>
    <w:rsid w:val="00EF4651"/>
    <w:rsid w:val="00F335A5"/>
    <w:rsid w:val="00F37163"/>
    <w:rsid w:val="00F642FD"/>
    <w:rsid w:val="00F91209"/>
    <w:rsid w:val="00F97AAB"/>
    <w:rsid w:val="00FB1027"/>
    <w:rsid w:val="00FD3527"/>
    <w:rsid w:val="00FD597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9B713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hu-HU"/>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hu-HU"/>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hu-HU"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6"/>
      </w:numPr>
    </w:pPr>
  </w:style>
  <w:style w:type="paragraph" w:customStyle="1" w:styleId="NumPar2">
    <w:name w:val="NumPar 2"/>
    <w:basedOn w:val="Normal"/>
    <w:next w:val="Text1"/>
    <w:rsid w:val="009B7138"/>
    <w:pPr>
      <w:numPr>
        <w:ilvl w:val="1"/>
        <w:numId w:val="16"/>
      </w:numPr>
    </w:pPr>
  </w:style>
  <w:style w:type="paragraph" w:customStyle="1" w:styleId="NumPar3">
    <w:name w:val="NumPar 3"/>
    <w:basedOn w:val="Normal"/>
    <w:next w:val="Text1"/>
    <w:rsid w:val="009B7138"/>
    <w:pPr>
      <w:numPr>
        <w:ilvl w:val="2"/>
        <w:numId w:val="16"/>
      </w:numPr>
    </w:pPr>
  </w:style>
  <w:style w:type="paragraph" w:customStyle="1" w:styleId="NumPar4">
    <w:name w:val="NumPar 4"/>
    <w:basedOn w:val="Normal"/>
    <w:next w:val="Text1"/>
    <w:rsid w:val="009B7138"/>
    <w:pPr>
      <w:numPr>
        <w:ilvl w:val="3"/>
        <w:numId w:val="16"/>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3C59B-A19F-4636-A4C0-A14826C35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6264</Words>
  <Characters>45353</Characters>
  <Application>Microsoft Office Word</Application>
  <DocSecurity>0</DocSecurity>
  <Lines>781</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2020-12-18T16:49:00Z</dcterms:created>
  <dcterms:modified xsi:type="dcterms:W3CDTF">2020-12-18T16:49:00Z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