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4B188" w14:textId="77777777" w:rsidR="001F0676" w:rsidRPr="00864866" w:rsidRDefault="001F0676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6E4B8B64" w14:textId="77777777" w:rsidR="00BB7DB0" w:rsidRPr="00864866" w:rsidRDefault="00BB7DB0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632F6520" w14:textId="77777777" w:rsidR="001807E9" w:rsidRPr="00864866" w:rsidRDefault="001807E9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2C4768C0" w14:textId="77777777" w:rsidR="00A15D28" w:rsidRPr="000B66BC" w:rsidRDefault="00A15D28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ANNESS XI</w:t>
      </w:r>
    </w:p>
    <w:p w14:paraId="4A8A4559" w14:textId="0A064FD8" w:rsidR="00A15D28" w:rsidRPr="000B66BC" w:rsidRDefault="00A84D67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STRUZZJONIJIET GĦAR-RAPPORTAR DWAR L-INGRANAĠĠ</w:t>
      </w:r>
    </w:p>
    <w:p w14:paraId="359338A1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6BF05566" w14:textId="77777777" w:rsidR="00A15D28" w:rsidRPr="000B66BC" w:rsidRDefault="00A15D2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E090CE2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3C402A6B" w14:textId="77777777" w:rsidR="009112BB" w:rsidRPr="000B66BC" w:rsidRDefault="009112BB" w:rsidP="000B66BC">
      <w:pPr>
        <w:pStyle w:val="BodyText1"/>
        <w:spacing w:after="240"/>
        <w:ind w:left="720"/>
        <w:rPr>
          <w:rFonts w:ascii="Times New Roman" w:hAnsi="Times New Roman"/>
          <w:sz w:val="24"/>
          <w:szCs w:val="24"/>
        </w:rPr>
      </w:pPr>
    </w:p>
    <w:p w14:paraId="5CCAE352" w14:textId="5F4E0097" w:rsidR="00881863" w:rsidRDefault="00391EF9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r w:rsidRPr="000B66BC">
        <w:rPr>
          <w:rFonts w:ascii="Times New Roman" w:hAnsi="Times New Roman"/>
          <w:b/>
          <w:sz w:val="24"/>
          <w:szCs w:val="24"/>
        </w:rPr>
        <w:fldChar w:fldCharType="begin"/>
      </w:r>
      <w:r w:rsidR="00F4754B" w:rsidRPr="000B66BC">
        <w:rPr>
          <w:rFonts w:ascii="Times New Roman" w:hAnsi="Times New Roman"/>
          <w:b/>
          <w:sz w:val="24"/>
          <w:szCs w:val="24"/>
        </w:rPr>
        <w:instrText xml:space="preserve"> TOC \o "1-3" \h \z \u </w:instrText>
      </w:r>
      <w:r w:rsidRPr="000B66BC">
        <w:rPr>
          <w:rFonts w:ascii="Times New Roman" w:hAnsi="Times New Roman"/>
          <w:b/>
          <w:sz w:val="24"/>
          <w:szCs w:val="24"/>
        </w:rPr>
        <w:fldChar w:fldCharType="separate"/>
      </w:r>
      <w:hyperlink w:anchor="_Toc58574768" w:history="1">
        <w:r w:rsidR="00881863" w:rsidRPr="00E177C6">
          <w:rPr>
            <w:rStyle w:val="Hyperlink"/>
            <w:rFonts w:ascii="Times New Roman" w:hAnsi="Times New Roman"/>
            <w:b/>
          </w:rPr>
          <w:t>PARTI I: STRUZZJONIJIET ĠENERALI</w:t>
        </w:r>
        <w:r w:rsidR="00881863">
          <w:rPr>
            <w:webHidden/>
          </w:rPr>
          <w:tab/>
        </w:r>
        <w:r w:rsidR="00881863">
          <w:rPr>
            <w:webHidden/>
          </w:rPr>
          <w:fldChar w:fldCharType="begin"/>
        </w:r>
        <w:r w:rsidR="00881863">
          <w:rPr>
            <w:webHidden/>
          </w:rPr>
          <w:instrText xml:space="preserve"> PAGEREF _Toc58574768 \h </w:instrText>
        </w:r>
        <w:r w:rsidR="00881863">
          <w:rPr>
            <w:webHidden/>
          </w:rPr>
        </w:r>
        <w:r w:rsidR="00881863">
          <w:rPr>
            <w:webHidden/>
          </w:rPr>
          <w:fldChar w:fldCharType="separate"/>
        </w:r>
        <w:r w:rsidR="00881863">
          <w:rPr>
            <w:webHidden/>
          </w:rPr>
          <w:t>2</w:t>
        </w:r>
        <w:r w:rsidR="00881863">
          <w:rPr>
            <w:webHidden/>
          </w:rPr>
          <w:fldChar w:fldCharType="end"/>
        </w:r>
      </w:hyperlink>
    </w:p>
    <w:p w14:paraId="6E7F9887" w14:textId="3099DBF0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69" w:history="1">
        <w:r w:rsidRPr="00E177C6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Struttura u konvenzjonijiet oħra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00B67C8" w14:textId="260A3F22" w:rsidR="00881863" w:rsidRDefault="0088186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US"/>
        </w:rPr>
      </w:pPr>
      <w:hyperlink w:anchor="_Toc58574770" w:history="1">
        <w:r w:rsidRPr="00E177C6">
          <w:rPr>
            <w:rStyle w:val="Hyperlink"/>
            <w:rFonts w:ascii="Times New Roman" w:hAnsi="Times New Roman"/>
            <w:b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  <w:b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0993D7F" w14:textId="1E8FFDED" w:rsidR="00881863" w:rsidRDefault="0088186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US"/>
        </w:rPr>
      </w:pPr>
      <w:hyperlink w:anchor="_Toc58574771" w:history="1">
        <w:r w:rsidRPr="00E177C6">
          <w:rPr>
            <w:rStyle w:val="Hyperlink"/>
            <w:rFonts w:ascii="Times New Roman" w:hAnsi="Times New Roman"/>
            <w:b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  <w:b/>
          </w:rPr>
          <w:t>Il-konvenzjoni dwar in-numerazzjoni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1D902CF" w14:textId="379A2D5A" w:rsidR="00881863" w:rsidRDefault="0088186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US"/>
        </w:rPr>
      </w:pPr>
      <w:hyperlink w:anchor="_Toc58574772" w:history="1">
        <w:r w:rsidRPr="00E177C6">
          <w:rPr>
            <w:rStyle w:val="Hyperlink"/>
            <w:rFonts w:ascii="Times New Roman" w:hAnsi="Times New Roman"/>
            <w:b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  <w:b/>
          </w:rPr>
          <w:t>Abbrevjazzjonijiet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D4D9898" w14:textId="4B9159D9" w:rsidR="00881863" w:rsidRDefault="00881863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US"/>
        </w:rPr>
      </w:pPr>
      <w:hyperlink w:anchor="_Toc58574773" w:history="1">
        <w:r w:rsidRPr="00E177C6">
          <w:rPr>
            <w:rStyle w:val="Hyperlink"/>
            <w:rFonts w:ascii="Times New Roman" w:hAnsi="Times New Roman"/>
            <w:b/>
          </w:rPr>
          <w:t>1.4.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  <w:b/>
          </w:rPr>
          <w:t>Il-konvenzjoni dwar is-sinjali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4E3A714" w14:textId="065EC3F3" w:rsidR="00881863" w:rsidRDefault="00881863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574774" w:history="1">
        <w:r w:rsidRPr="00E177C6">
          <w:rPr>
            <w:rStyle w:val="Hyperlink"/>
            <w:rFonts w:ascii="Times New Roman" w:hAnsi="Times New Roman"/>
            <w:b/>
          </w:rPr>
          <w:t>PARTI II: L-ISTRUZZJONIJIET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C8D9C61" w14:textId="2C83BC0A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75" w:history="1">
        <w:r w:rsidRPr="00E177C6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Il-formuli għall-kalkolu tal-proporzjon tal-ingranaġġ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FB527A7" w14:textId="7CFCEBDD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76" w:history="1">
        <w:r w:rsidRPr="00E177C6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Limiti tal-materjalità għad-derivattivi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BF1985" w14:textId="1579D922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77" w:history="1">
        <w:r w:rsidRPr="00E177C6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47.00 – Kalkolu tal-proporzjon tal-ingranaġġ (LRCalc)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542D3B6" w14:textId="1D7C10A8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78" w:history="1">
        <w:r w:rsidRPr="00E177C6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40.00 – Trattament alternattiv tal-Kejl tal-Iskopertura (LR1)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1FC0E980" w14:textId="4B2141AB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79" w:history="1">
        <w:r w:rsidRPr="00E177C6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43.00 – Diżaggregazzjoni alternattiva ta’ komponenti tal-kejl tal-iskopertura tal-proporzjon ta’ ingranaġġ (LR4)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46CA9B0E" w14:textId="7C9BE265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80" w:history="1">
        <w:r w:rsidRPr="00E177C6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44.00 – Informazzjoni ġenerali (LR5)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65AB53D5" w14:textId="1F773634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81" w:history="1">
        <w:r w:rsidRPr="00E177C6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48.00 Volatilità tal-proporzjon ta’ ingranaġġ (LR6)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78BBF3DC" w14:textId="1F0110E9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82" w:history="1">
        <w:r w:rsidRPr="00E177C6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48.01 Volatilità tal-proporzjon ta’ ingranaġġ: Valur medju għall-perjodu ta’ 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5D8724D3" w14:textId="34D61176" w:rsidR="00881863" w:rsidRDefault="00881863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4783" w:history="1">
        <w:r w:rsidRPr="00E177C6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E177C6">
          <w:rPr>
            <w:rStyle w:val="Hyperlink"/>
            <w:rFonts w:ascii="Times New Roman" w:hAnsi="Times New Roman"/>
          </w:rPr>
          <w:t>C 48.02 Volatilità tal-proporzjon ta’ ingranaġġ: Valu</w:t>
        </w:r>
        <w:r w:rsidRPr="00E177C6">
          <w:rPr>
            <w:rStyle w:val="Hyperlink"/>
            <w:rFonts w:ascii="Times New Roman" w:hAnsi="Times New Roman"/>
          </w:rPr>
          <w:t>r</w:t>
        </w:r>
        <w:r w:rsidRPr="00E177C6">
          <w:rPr>
            <w:rStyle w:val="Hyperlink"/>
            <w:rFonts w:ascii="Times New Roman" w:hAnsi="Times New Roman"/>
          </w:rPr>
          <w:t>i ta’ kuljum għall-perjodu ta’ 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_Toc58574783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43D747E1" w14:textId="4F6E7D54" w:rsidR="00AC3257" w:rsidRPr="000B66BC" w:rsidRDefault="00391EF9" w:rsidP="000B66BC">
      <w:pPr>
        <w:pStyle w:val="BodyText1"/>
        <w:rPr>
          <w:rFonts w:ascii="Times New Roman" w:hAnsi="Times New Roman"/>
          <w:sz w:val="24"/>
          <w:szCs w:val="24"/>
        </w:rPr>
        <w:sectPr w:rsidR="00AC3257" w:rsidRPr="000B66BC" w:rsidSect="00DC2C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6" w:h="16838" w:code="9"/>
          <w:pgMar w:top="1417" w:right="1417" w:bottom="1134" w:left="1417" w:header="720" w:footer="720" w:gutter="0"/>
          <w:cols w:space="720"/>
          <w:titlePg/>
          <w:docGrid w:linePitch="360"/>
        </w:sectPr>
      </w:pPr>
      <w:r w:rsidRPr="000B66BC">
        <w:rPr>
          <w:rFonts w:ascii="Times New Roman" w:hAnsi="Times New Roman"/>
          <w:sz w:val="24"/>
          <w:szCs w:val="24"/>
        </w:rPr>
        <w:fldChar w:fldCharType="end"/>
      </w:r>
    </w:p>
    <w:p w14:paraId="34ED68DE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12DCD63B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423089060"/>
      <w:bookmarkStart w:id="5" w:name="_Toc58574768"/>
      <w:r>
        <w:rPr>
          <w:rFonts w:ascii="Times New Roman" w:hAnsi="Times New Roman"/>
          <w:b/>
          <w:sz w:val="24"/>
          <w:szCs w:val="24"/>
        </w:rPr>
        <w:t>PARTI I: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STRUZZJONIJIET ĠENERALI</w:t>
      </w:r>
      <w:bookmarkEnd w:id="1"/>
      <w:bookmarkEnd w:id="2"/>
      <w:bookmarkEnd w:id="3"/>
      <w:bookmarkEnd w:id="4"/>
      <w:bookmarkEnd w:id="5"/>
    </w:p>
    <w:p w14:paraId="2A030BBF" w14:textId="593C59C8" w:rsidR="00217D1F" w:rsidRPr="000B66BC" w:rsidRDefault="00500508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" w:name="_Toc351048500"/>
      <w:bookmarkStart w:id="7" w:name="_Toc322687865"/>
      <w:bookmarkStart w:id="8" w:name="_Toc359414274"/>
      <w:bookmarkStart w:id="9" w:name="_Toc423089061"/>
      <w:bookmarkStart w:id="10" w:name="_Toc58574769"/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  <w:t>Struttura u konvenzjonijiet oħra</w:t>
      </w:r>
      <w:bookmarkEnd w:id="6"/>
      <w:bookmarkEnd w:id="7"/>
      <w:bookmarkEnd w:id="8"/>
      <w:bookmarkEnd w:id="9"/>
      <w:bookmarkEnd w:id="10"/>
    </w:p>
    <w:p w14:paraId="0F3236AE" w14:textId="6FB096EE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1" w:name="_Toc322687866"/>
      <w:bookmarkStart w:id="12" w:name="_Toc359414275"/>
      <w:bookmarkStart w:id="13" w:name="_Toc423089062"/>
      <w:bookmarkStart w:id="14" w:name="_Toc264038399"/>
      <w:bookmarkStart w:id="15" w:name="_Toc294018834"/>
      <w:bookmarkStart w:id="16" w:name="_Toc58574770"/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ab/>
      </w:r>
      <w:bookmarkEnd w:id="11"/>
      <w:bookmarkEnd w:id="12"/>
      <w:bookmarkEnd w:id="13"/>
      <w:r>
        <w:rPr>
          <w:rFonts w:ascii="Times New Roman" w:hAnsi="Times New Roman"/>
          <w:b/>
          <w:sz w:val="24"/>
          <w:szCs w:val="24"/>
        </w:rPr>
        <w:t>Struttura</w:t>
      </w:r>
      <w:bookmarkEnd w:id="16"/>
    </w:p>
    <w:p w14:paraId="050538F0" w14:textId="50037B39" w:rsidR="00E22856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Dan l-Anness fih struzzjonijiet addizzjonali għall-formoli (minn hawn ’il quddiem imsejħin “LR”) inklużi fl-Anness X ta’ dan ir-Regolament. </w:t>
      </w:r>
    </w:p>
    <w:p w14:paraId="4B2766E9" w14:textId="78B19E69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2.</w:t>
      </w:r>
      <w:r>
        <w:rPr>
          <w:bCs/>
          <w:sz w:val="24"/>
        </w:rPr>
        <w:tab/>
        <w:t>B’mod ġenerali, il-qafas jikkonsisti f’ħames formoli:</w:t>
      </w:r>
    </w:p>
    <w:p w14:paraId="41A3C48C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rPr>
          <w:rFonts w:ascii="Symbol" w:hAnsi="Symbol"/>
          <w:bCs/>
          <w:sz w:val="24"/>
        </w:rPr>
        <w:tab/>
      </w:r>
      <w:r>
        <w:rPr>
          <w:bCs/>
          <w:sz w:val="24"/>
        </w:rPr>
        <w:t>C47.00: Kalkolu tal-Proporzjon tal-Ingranaġġ (Leverage Ratio Calculation, LRCalc): Kalkolu tal-proporzjon tal-ingranaġġ;</w:t>
      </w:r>
    </w:p>
    <w:p w14:paraId="42B808C6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rPr>
          <w:rFonts w:ascii="Symbol" w:hAnsi="Symbol"/>
          <w:bCs/>
          <w:sz w:val="24"/>
        </w:rPr>
        <w:tab/>
      </w:r>
      <w:r>
        <w:rPr>
          <w:bCs/>
          <w:sz w:val="24"/>
        </w:rPr>
        <w:t>C40.00: Proporzjon tal-Ingranaġġ Formola 1 (Leverage Ratio, LR1): Trattament alternattiv tal-kejl tal-iskopertura;</w:t>
      </w:r>
    </w:p>
    <w:p w14:paraId="29356C92" w14:textId="650F5016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rPr>
          <w:rFonts w:ascii="Symbol" w:hAnsi="Symbol"/>
          <w:bCs/>
          <w:sz w:val="24"/>
        </w:rPr>
        <w:tab/>
      </w:r>
      <w:r>
        <w:rPr>
          <w:bCs/>
          <w:sz w:val="24"/>
        </w:rPr>
        <w:t>C43.00: Proporzjon tal-Ingranaġġ Formola 4 (LR4): Diżaggregazzjoni alternattiva ta’ komponenti tal-kejl tal-iskopertura tal-proporzjon tal-ingranaġġ;</w:t>
      </w:r>
    </w:p>
    <w:p w14:paraId="0192F250" w14:textId="1780456B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rPr>
          <w:rFonts w:ascii="Symbol" w:hAnsi="Symbol"/>
          <w:bCs/>
          <w:sz w:val="24"/>
        </w:rPr>
        <w:tab/>
      </w:r>
      <w:r>
        <w:rPr>
          <w:bCs/>
          <w:sz w:val="24"/>
        </w:rPr>
        <w:t>C44.00: Proporzjon tal-Ingranaġġ Formola 5 (LR5): Tagħrif ġenerali;</w:t>
      </w:r>
    </w:p>
    <w:p w14:paraId="7D668F4C" w14:textId="2EF3E327" w:rsidR="00BE473C" w:rsidRPr="000B66BC" w:rsidRDefault="00BE473C" w:rsidP="009339D1">
      <w:pPr>
        <w:pStyle w:val="InstructionsText2"/>
        <w:numPr>
          <w:ilvl w:val="0"/>
          <w:numId w:val="35"/>
        </w:numPr>
        <w:rPr>
          <w:rFonts w:eastAsia="Times New Roman"/>
          <w:bCs/>
          <w:sz w:val="24"/>
        </w:rPr>
      </w:pPr>
      <w:r>
        <w:rPr>
          <w:bCs/>
          <w:sz w:val="24"/>
        </w:rPr>
        <w:t>C48.00: Volatilità tal-proporzjon ta’ ingranaġġ (LR6).</w:t>
      </w:r>
    </w:p>
    <w:p w14:paraId="6D2FC52A" w14:textId="5D5E1B5E" w:rsidR="00FC2664" w:rsidRPr="000B66BC" w:rsidRDefault="00500508" w:rsidP="000B66BC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bCs/>
          <w:sz w:val="24"/>
        </w:rPr>
        <w:t>3.</w:t>
      </w:r>
      <w:r>
        <w:rPr>
          <w:bCs/>
          <w:sz w:val="24"/>
        </w:rPr>
        <w:tab/>
        <w:t>Għal kull formola huma pprovduti referenzi legali kif ukoll iktar informazzjoni dettaljata dwar aspetti iktar ġenerali tar-rapportar.</w:t>
      </w:r>
    </w:p>
    <w:p w14:paraId="5CABBDF6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7" w:name="_Toc359414277"/>
      <w:bookmarkStart w:id="18" w:name="_Toc322687867"/>
      <w:bookmarkStart w:id="19" w:name="_Toc351048502"/>
      <w:bookmarkStart w:id="20" w:name="_Toc359414278"/>
      <w:bookmarkStart w:id="21" w:name="_Toc423089063"/>
      <w:bookmarkStart w:id="22" w:name="_Toc58574771"/>
      <w:bookmarkEnd w:id="17"/>
      <w:r>
        <w:rPr>
          <w:rFonts w:ascii="Times New Roman" w:hAnsi="Times New Roman"/>
          <w:b/>
          <w:sz w:val="24"/>
          <w:szCs w:val="24"/>
        </w:rPr>
        <w:t>1.2.</w:t>
      </w:r>
      <w:r>
        <w:rPr>
          <w:rFonts w:ascii="Times New Roman" w:hAnsi="Times New Roman"/>
          <w:b/>
          <w:sz w:val="24"/>
          <w:szCs w:val="24"/>
        </w:rPr>
        <w:tab/>
        <w:t>Il-konvenzjoni dwar in-numerazzjoni</w:t>
      </w:r>
      <w:bookmarkEnd w:id="18"/>
      <w:bookmarkEnd w:id="19"/>
      <w:bookmarkEnd w:id="20"/>
      <w:bookmarkEnd w:id="21"/>
      <w:bookmarkEnd w:id="22"/>
    </w:p>
    <w:p w14:paraId="729F6A05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4.</w:t>
      </w:r>
      <w:r>
        <w:rPr>
          <w:bCs/>
          <w:sz w:val="24"/>
        </w:rPr>
        <w:tab/>
        <w:t>Dan id-dokument se jsegwi l-konvenzjoni dwar it-tikkettar stabbilita fil-paragrafi li ġejjin, meta jirreferi għall-kolonni, ir-ringieli u ċ-ċelloli tal-formoli. Dawn il-kodiċijiet numeriċi jintużaw b’mod estensiv fir-regoli dwar il-validazzjoni.</w:t>
      </w:r>
    </w:p>
    <w:p w14:paraId="68B33760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5.</w:t>
      </w:r>
      <w:r>
        <w:rPr>
          <w:bCs/>
          <w:sz w:val="24"/>
        </w:rPr>
        <w:tab/>
        <w:t>Fl-istruzzjonijiet tintuża n-notazzjoni ġenerali li ġejja: {Formola;Ringiela;Kolonna}. Se jintuża sinjal ta’ asterisk għall-kolonna jew ir-ringiela sħiħa.</w:t>
      </w:r>
    </w:p>
    <w:p w14:paraId="3E605DEE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6.</w:t>
      </w:r>
      <w:r>
        <w:rPr>
          <w:bCs/>
          <w:sz w:val="24"/>
        </w:rPr>
        <w:tab/>
        <w:t xml:space="preserve">Fil-każ ta’ validazzjonijiet f’formola, fejn jintużaw biss punti ta’ </w:t>
      </w:r>
      <w:r>
        <w:rPr>
          <w:bCs/>
          <w:i/>
          <w:iCs/>
          <w:sz w:val="24"/>
        </w:rPr>
        <w:t>data</w:t>
      </w:r>
      <w:r>
        <w:rPr>
          <w:bCs/>
          <w:sz w:val="24"/>
        </w:rPr>
        <w:t xml:space="preserve"> minn dik il-formola, in-notazzjonijiet mhux se jirreferu għall-formola: {Ringiela;Kolonna}.</w:t>
      </w:r>
    </w:p>
    <w:p w14:paraId="12003733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7.</w:t>
      </w:r>
      <w:r>
        <w:rPr>
          <w:bCs/>
          <w:sz w:val="24"/>
        </w:rPr>
        <w:tab/>
        <w:t xml:space="preserve">Għall-finijiet tar-rapportar dwar l-ingranaġġ, “li minnhom/li minnu” tirreferi għal entrata li hija subsett ta’ kategorija ta’ skoperturi ta’ livell ogħla filwaqt li “entrata ta’ memorandum” tirreferi għal entrata separata li mhijiex subsett ta’ klassi ta’ skopertura. Ir-rapportar taż-żewġ tipi ta’ ċelloli huwa obbligatorju sakemm ma jkunx speċifikat mod ieħor. </w:t>
      </w:r>
    </w:p>
    <w:p w14:paraId="2D525ACC" w14:textId="77777777" w:rsidR="001D6F2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3" w:name="_Toc423089064"/>
      <w:bookmarkStart w:id="24" w:name="_Toc58574772"/>
      <w:r>
        <w:rPr>
          <w:rFonts w:ascii="Times New Roman" w:hAnsi="Times New Roman"/>
          <w:b/>
          <w:sz w:val="24"/>
          <w:szCs w:val="24"/>
        </w:rPr>
        <w:t>1.3.</w:t>
      </w:r>
      <w:r>
        <w:rPr>
          <w:rFonts w:ascii="Times New Roman" w:hAnsi="Times New Roman"/>
          <w:b/>
          <w:sz w:val="24"/>
          <w:szCs w:val="24"/>
        </w:rPr>
        <w:tab/>
        <w:t>Abbrevjazzjonijiet</w:t>
      </w:r>
      <w:bookmarkEnd w:id="23"/>
      <w:bookmarkEnd w:id="24"/>
    </w:p>
    <w:p w14:paraId="72197A49" w14:textId="77777777" w:rsidR="00627E07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25" w:name="_Toc359414279"/>
      <w:bookmarkStart w:id="26" w:name="_Toc322687868"/>
      <w:bookmarkStart w:id="27" w:name="_Toc351048503"/>
      <w:bookmarkStart w:id="28" w:name="_Toc359414280"/>
      <w:bookmarkEnd w:id="25"/>
      <w:r>
        <w:rPr>
          <w:bCs/>
          <w:sz w:val="24"/>
        </w:rPr>
        <w:lastRenderedPageBreak/>
        <w:t>8.</w:t>
      </w:r>
      <w:r>
        <w:rPr>
          <w:bCs/>
          <w:sz w:val="24"/>
        </w:rPr>
        <w:tab/>
        <w:t>Għall-finijiet ta’ dan l-Anness u tal-formoli relatati, jintużaw l-abbrevjazzjonijiet li ġejjin:</w:t>
      </w:r>
    </w:p>
    <w:p w14:paraId="567537B5" w14:textId="77777777" w:rsidR="00627E07" w:rsidRPr="000B66BC" w:rsidRDefault="00500508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a.</w:t>
      </w:r>
      <w:r>
        <w:rPr>
          <w:bCs/>
          <w:sz w:val="24"/>
        </w:rPr>
        <w:tab/>
        <w:t>CRR, li hija l-abbrevjazzjoni tar-Regolament dwar ir-Rekwiżiti ta’ Kapital (Capital Requirements Regulation) u għandha tfisser ir-Regolament (UE) Nru 575/2013;</w:t>
      </w:r>
    </w:p>
    <w:p w14:paraId="69E6F7E3" w14:textId="1902F420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 xml:space="preserve">b. </w:t>
      </w:r>
      <w:r>
        <w:rPr>
          <w:bCs/>
          <w:sz w:val="24"/>
        </w:rPr>
        <w:tab/>
        <w:t>CRD (Capital Requirements Directive), li hija l-abbrevjazzjoni tad-Direttiva dwar ir-Rekwiżiti ta’ Kapital u għandha tfisser id-Direttiva 2013/36/UE;</w:t>
      </w:r>
    </w:p>
    <w:p w14:paraId="5CC0B733" w14:textId="3EE7532F" w:rsidR="00627E07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c.</w:t>
      </w:r>
      <w:r>
        <w:rPr>
          <w:bCs/>
          <w:sz w:val="24"/>
        </w:rPr>
        <w:tab/>
        <w:t>SFT, li hija l-abbrevjazzjoni ta’ Tranżazzjoni ta’ Finanzjament tat-Titoli (Securities Financing Transaction) u għandha tfisser “tranżazzjonijiet ta’ riakkwist, tranżazzjonijiet ta’ għoti jew teħid b’self ta’ titoli jew ta’ komoditajiet, jew tranżazzjonijiet ta’ self b’marġni” kif imsemmija fil-punt (139) tal-Artikolu 4(1) fir-Regolament (UE) Nru 575/2013;</w:t>
      </w:r>
    </w:p>
    <w:p w14:paraId="68410368" w14:textId="7E4CDAEF" w:rsidR="008E7068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d.</w:t>
      </w:r>
      <w:r>
        <w:rPr>
          <w:bCs/>
          <w:sz w:val="24"/>
        </w:rPr>
        <w:tab/>
        <w:t>CRM, li hija l-abbrevjazzjoni ta’ Mitigazzjoni tar-Riskju tal-Kreditu (Credit Risk Mitigation);</w:t>
      </w:r>
    </w:p>
    <w:p w14:paraId="212C8B7E" w14:textId="6577F15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e.</w:t>
      </w:r>
      <w:r>
        <w:rPr>
          <w:bCs/>
          <w:sz w:val="24"/>
        </w:rPr>
        <w:tab/>
        <w:t>CSD, li hija l-abbrevjazzjoni ta’ Depożitorju Ċentrali tat-Titoli (Central Securities Depository);</w:t>
      </w:r>
    </w:p>
    <w:p w14:paraId="44F02B07" w14:textId="457293D0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 xml:space="preserve">f. </w:t>
      </w:r>
      <w:r>
        <w:rPr>
          <w:bCs/>
          <w:sz w:val="24"/>
        </w:rPr>
        <w:tab/>
        <w:t>QCCP, li hija l-abbrevjazzjoni ta’ Kontroparti Ċentrali Kwalifikanti (Qualifying Central Counterparty).</w:t>
      </w:r>
    </w:p>
    <w:p w14:paraId="4CAF859B" w14:textId="7777777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 xml:space="preserve">g. </w:t>
      </w:r>
      <w:r>
        <w:rPr>
          <w:bCs/>
          <w:sz w:val="24"/>
        </w:rPr>
        <w:tab/>
        <w:t>PFE, li hija l-abbrevjazzjoni ta’ Skopertura Futura Potenzjali (Potential Future Exposure).</w:t>
      </w:r>
    </w:p>
    <w:p w14:paraId="04A571E4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9" w:name="_Toc423089065"/>
      <w:bookmarkStart w:id="30" w:name="_Toc58574773"/>
      <w:r>
        <w:rPr>
          <w:rFonts w:ascii="Times New Roman" w:hAnsi="Times New Roman"/>
          <w:b/>
          <w:sz w:val="24"/>
          <w:szCs w:val="24"/>
        </w:rPr>
        <w:t>1.4.</w:t>
      </w:r>
      <w:r>
        <w:rPr>
          <w:rFonts w:ascii="Times New Roman" w:hAnsi="Times New Roman"/>
          <w:b/>
          <w:sz w:val="24"/>
          <w:szCs w:val="24"/>
        </w:rPr>
        <w:tab/>
        <w:t>Il-konvenzjoni dwar is-sinjali</w:t>
      </w:r>
      <w:bookmarkEnd w:id="14"/>
      <w:bookmarkEnd w:id="15"/>
      <w:bookmarkEnd w:id="26"/>
      <w:bookmarkEnd w:id="27"/>
      <w:bookmarkEnd w:id="28"/>
      <w:bookmarkEnd w:id="29"/>
      <w:bookmarkEnd w:id="30"/>
    </w:p>
    <w:p w14:paraId="077A5720" w14:textId="08AE4F7D" w:rsidR="0058289F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31" w:name="_Toc322687869"/>
      <w:r>
        <w:rPr>
          <w:bCs/>
          <w:sz w:val="24"/>
        </w:rPr>
        <w:t>9.</w:t>
      </w:r>
      <w:r>
        <w:rPr>
          <w:bCs/>
          <w:sz w:val="24"/>
        </w:rPr>
        <w:tab/>
        <w:t>L-ammonti kollha jiġu rrapportati bħala ċifri pożittivi.</w:t>
      </w:r>
      <w:bookmarkStart w:id="32" w:name="_Toc264033192"/>
      <w:bookmarkEnd w:id="32"/>
      <w:r>
        <w:rPr>
          <w:bCs/>
          <w:sz w:val="24"/>
        </w:rPr>
        <w:t xml:space="preserve"> Bl-eċċezzjoni ta’:</w:t>
      </w:r>
    </w:p>
    <w:p w14:paraId="7B6D27CF" w14:textId="222C2E2D" w:rsidR="0058289F" w:rsidRPr="000B66BC" w:rsidRDefault="00A5392D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L-oġġetti li t-tikketta tagħhom tkun preċeduta minn sinjal negattiv (-), fejn l-ebda ċifra pożittiva ma tkun mistennija li tiġi rrapportata għal dik l-entrata.</w:t>
      </w:r>
    </w:p>
    <w:p w14:paraId="259D3174" w14:textId="186210E9" w:rsidR="00E40D66" w:rsidRPr="000B66BC" w:rsidRDefault="00E40D66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{LRCalc;0310;0010}, {LRCalc;0320;0010}, {LRCalc;0330;0010}, {LRCalc;0340;0010}, li jistgħu jieħdu valuri negattivi f’każijiet estremi, inkella jieħdu valuri pożittivi.</w:t>
      </w:r>
    </w:p>
    <w:p w14:paraId="1A7EEF5B" w14:textId="5624E496" w:rsidR="0060741B" w:rsidRPr="000B66BC" w:rsidRDefault="0060741B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{LRCalc;0280;0010} jistgħu jieħdu valuri pożittivi minħabba l-Artikolu 473a(7) CRR, inkella jieħdu valuri negattivi.</w:t>
      </w:r>
    </w:p>
    <w:p w14:paraId="12B14317" w14:textId="77777777" w:rsidR="001F28C3" w:rsidRPr="000B66BC" w:rsidRDefault="00360A3D" w:rsidP="009339D1">
      <w:pPr>
        <w:pStyle w:val="InstructionsText2"/>
        <w:numPr>
          <w:ilvl w:val="0"/>
          <w:numId w:val="0"/>
        </w:numPr>
        <w:ind w:left="720"/>
        <w:rPr>
          <w:rFonts w:eastAsia="Times New Roman"/>
          <w:bCs/>
          <w:sz w:val="24"/>
        </w:rPr>
      </w:pPr>
      <w:r>
        <w:rPr>
          <w:bCs/>
          <w:sz w:val="24"/>
        </w:rPr>
        <w:t xml:space="preserve"> </w:t>
      </w:r>
    </w:p>
    <w:p w14:paraId="35677258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r>
        <w:br w:type="page"/>
      </w:r>
      <w:bookmarkStart w:id="33" w:name="_Toc351048504"/>
      <w:bookmarkStart w:id="34" w:name="_Toc359414281"/>
      <w:bookmarkStart w:id="35" w:name="_Toc423089066"/>
      <w:bookmarkStart w:id="36" w:name="_Toc58574774"/>
      <w:r>
        <w:rPr>
          <w:rFonts w:ascii="Times New Roman" w:hAnsi="Times New Roman"/>
          <w:b/>
          <w:sz w:val="24"/>
          <w:szCs w:val="24"/>
        </w:rPr>
        <w:lastRenderedPageBreak/>
        <w:t>PARTI II: L-ISTRUZZJONIJIET RELATATI MAL-FORMOLI</w:t>
      </w:r>
      <w:bookmarkEnd w:id="31"/>
      <w:bookmarkEnd w:id="33"/>
      <w:bookmarkEnd w:id="34"/>
      <w:bookmarkEnd w:id="35"/>
      <w:bookmarkEnd w:id="36"/>
    </w:p>
    <w:p w14:paraId="4C8C375F" w14:textId="77777777" w:rsidR="00505096" w:rsidRPr="000B66BC" w:rsidRDefault="006F588E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37" w:name="_Toc423089068"/>
      <w:bookmarkStart w:id="38" w:name="_Toc359414283"/>
      <w:bookmarkStart w:id="39" w:name="_Toc322533849"/>
      <w:bookmarkStart w:id="40" w:name="_Toc58574775"/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  <w:t>Il-formuli għall-kalkolu tal-proporzjon tal-ingranaġġ</w:t>
      </w:r>
      <w:bookmarkEnd w:id="37"/>
      <w:bookmarkEnd w:id="38"/>
      <w:bookmarkEnd w:id="40"/>
    </w:p>
    <w:p w14:paraId="23B05B4C" w14:textId="08E66F21" w:rsidR="00505096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Il-proporzjon ta’ ingranaġġ huwa bbażat fuq kejl kapitali u kejl tal-iskopertura totali, li jistgħu jiġu kkalkolati biċ-ċelloli minn LRCalc. </w:t>
      </w:r>
    </w:p>
    <w:p w14:paraId="25E094A5" w14:textId="09CDBDB2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Proporzjon ta’ Ingranaġġ – definizzjoni stabbilita = {LRCalc;0310;0010} / {LRCalc;0290;0010}.</w:t>
      </w:r>
    </w:p>
    <w:p w14:paraId="0177EE20" w14:textId="51F58570" w:rsidR="00B8400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Proporzjon ta’ Ingranaġġ – definizzjoni tranżitorja = {LRCalc;0320;0010} / {LRCalc;0300;0010}.</w:t>
      </w:r>
    </w:p>
    <w:p w14:paraId="5857476D" w14:textId="11118B79" w:rsidR="00505096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1" w:name="_Toc359414284"/>
      <w:bookmarkStart w:id="42" w:name="_Toc423089069"/>
      <w:bookmarkStart w:id="43" w:name="_Toc322533852"/>
      <w:bookmarkStart w:id="44" w:name="_Toc58574776"/>
      <w:bookmarkEnd w:id="39"/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ab/>
        <w:t>Limiti tal-materjalità għad-derivattivi</w:t>
      </w:r>
      <w:bookmarkEnd w:id="41"/>
      <w:bookmarkEnd w:id="42"/>
      <w:bookmarkEnd w:id="44"/>
    </w:p>
    <w:p w14:paraId="677B6944" w14:textId="3E22E31F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Biex jonqos il-piż tar-rapportar għall-istituzzjonijiet bi skoperturi limitati f’derivattivi, il-kejl li ġej jintuża biex tiġi kkalkolata l-importanza relattiva tal-iskoperturi tad-derivattivi għall-iskopertura totali tal-proporzjon ta’ ingranaġġ. L-istituzzjonijiet għandhom jikkalkulaw dan il-kejl kif ġej</w:t>
      </w:r>
      <w:bookmarkStart w:id="45" w:name="_Toc322533853"/>
      <w:bookmarkEnd w:id="43"/>
      <w:r>
        <w:rPr>
          <w:rFonts w:ascii="Times New Roman" w:hAnsi="Times New Roman"/>
          <w:sz w:val="24"/>
          <w:szCs w:val="24"/>
        </w:rPr>
        <w:t>:</w:t>
      </w:r>
    </w:p>
    <w:p w14:paraId="1388E099" w14:textId="7B0D8BD8" w:rsidR="00354188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bookmarkStart w:id="46" w:name="_Toc322533854"/>
      <w:bookmarkEnd w:id="45"/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Sehem tad-derivattivi =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Derivative exposure measure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Total exposure measure</m:t>
            </m:r>
          </m:den>
        </m:f>
      </m:oMath>
      <w:r>
        <w:rPr>
          <w:rFonts w:ascii="Times New Roman" w:hAnsi="Times New Roman"/>
          <w:sz w:val="24"/>
          <w:szCs w:val="24"/>
        </w:rPr>
        <w:t>.</w:t>
      </w:r>
    </w:p>
    <w:p w14:paraId="59FDE449" w14:textId="7D30F780" w:rsidR="00FC26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Fejn il-kejl tal-iskopertura tad-derivattivi huwa ugwali għal: {LRCalc;0061;0010}+{LRCalc;0065;0010}+{LRCalc;0071;0010}+{LRCalc;0081;0010}+{LRCalc;0091;0010}+{LRCalc;0092;0010}+{LRCalc;0093;0010}+{LRCalc;0101;0010}+{LRCalc;0102;0010}+{LRCalc;0103;0010}+{LRCalc;0104;0010}+{LRCalc;0110;0010}+{LRCalc;0120;0010}+{LRCalc;0130;0010}+{LRCalc;0140;0010}</w:t>
      </w:r>
    </w:p>
    <w:p w14:paraId="7C2BB4E9" w14:textId="1E407FFF" w:rsidR="00EB7F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Fejn il-kejl tal-iskopertura totali jkun daqs: {LRCalc;0290;0010}.</w:t>
      </w:r>
    </w:p>
    <w:p w14:paraId="236C5046" w14:textId="3D6A3933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Ammont nozzjonali totali riferenzjat mid-derivattivi = {LR1; 0010;0070}. Din hija ċellola li l-istituzzjonijiet dejjem għandhom jirrapportaw.</w:t>
      </w:r>
    </w:p>
    <w:p w14:paraId="5F8B3FC4" w14:textId="32C9016A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Volum ta’ derivattivi ta’ kreditu = {LR1;0020;0070} + {LR1;0050;0070}. Dawn huma ċelloli li l-istituzzjonijiet dejjem għandhom jirrapportaw.</w:t>
      </w:r>
    </w:p>
    <w:p w14:paraId="10930518" w14:textId="07ED25AD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>L-istituzzjonijiet huma meħtieġa jirrapportaw iċ-ċelloli msemmijin fil-paragrafu 13 jekk tintlaħaq kwalunkwe waħda minn dawn il-kundizzjonijiet:</w:t>
      </w:r>
    </w:p>
    <w:p w14:paraId="2564CD75" w14:textId="1B9B37E1" w:rsidR="00F4754B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bCs/>
          <w:sz w:val="24"/>
        </w:rPr>
        <w:t>is-sehem tad-derivattivi msemmi fil-paragrafu 5 huwa ta’ iktar minn 1.5 %;</w:t>
      </w:r>
    </w:p>
    <w:p w14:paraId="272AC9A9" w14:textId="6954E060" w:rsidR="00675587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bCs/>
          <w:sz w:val="24"/>
        </w:rPr>
        <w:t>is-sehem tad-derivattivi msemmi fil-paragrafu 5 jaqbeż it-2,0 %.</w:t>
      </w:r>
    </w:p>
    <w:p w14:paraId="2F872F2A" w14:textId="7830BBF5" w:rsidR="00242493" w:rsidRPr="000B66BC" w:rsidRDefault="00242493" w:rsidP="009339D1">
      <w:pPr>
        <w:pStyle w:val="InstructionsText2"/>
        <w:numPr>
          <w:ilvl w:val="0"/>
          <w:numId w:val="0"/>
        </w:numPr>
        <w:ind w:left="709" w:firstLine="11"/>
        <w:rPr>
          <w:rFonts w:eastAsia="Times New Roman"/>
          <w:bCs/>
          <w:sz w:val="24"/>
        </w:rPr>
      </w:pPr>
      <w:r>
        <w:rPr>
          <w:bCs/>
          <w:sz w:val="24"/>
        </w:rPr>
        <w:t>Il-kriterji għad-dħul u l-ħruġ tal-Artikolu 4 ta’ dan ir-Regolament għandhom japplikaw, ħlief għall-punt (b) fejn l-istituzzjonijiet għandhom jibdew jirrapportaw informazzjoni mid-data ta’ referenza ta’ rapportar li jmiss, meta jkunu qabżu l-limitu fuq data ta’ referenza waħda ta’ rapportar.</w:t>
      </w:r>
    </w:p>
    <w:p w14:paraId="70291EC5" w14:textId="77777777" w:rsidR="00F4754B" w:rsidRPr="000B66BC" w:rsidRDefault="00F4754B" w:rsidP="000B66BC">
      <w:pPr>
        <w:pStyle w:val="BodyText1"/>
        <w:spacing w:after="240" w:line="240" w:lineRule="auto"/>
        <w:rPr>
          <w:rFonts w:ascii="Times New Roman" w:hAnsi="Times New Roman"/>
          <w:sz w:val="24"/>
          <w:szCs w:val="24"/>
        </w:rPr>
      </w:pPr>
    </w:p>
    <w:p w14:paraId="748E5477" w14:textId="277432F1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</w:t>
      </w:r>
      <w:r>
        <w:rPr>
          <w:rFonts w:ascii="Times New Roman" w:hAnsi="Times New Roman"/>
          <w:sz w:val="24"/>
          <w:szCs w:val="24"/>
        </w:rPr>
        <w:tab/>
        <w:t xml:space="preserve">L-istituzzjonijiet li għalihom il-valur nozzjonali totali referenzjat mid-derivattivi kif definit fil-paragrafu 8 jaqbeż l-EUR 10 biljun għandhom jirrapportaw iċ-ċelloli </w:t>
      </w:r>
      <w:r w:rsidR="00824B87">
        <w:rPr>
          <w:rFonts w:ascii="Times New Roman" w:hAnsi="Times New Roman"/>
          <w:sz w:val="24"/>
          <w:szCs w:val="24"/>
        </w:rPr>
        <w:t>msemmijin fil-paragrafu 13, anki</w:t>
      </w:r>
      <w:r>
        <w:rPr>
          <w:rFonts w:ascii="Times New Roman" w:hAnsi="Times New Roman"/>
          <w:sz w:val="24"/>
          <w:szCs w:val="24"/>
        </w:rPr>
        <w:t xml:space="preserve"> jekk is-sehem tad-derivattivi tagħhom ma jissodisfax il-kundizzjonijiet deskritti fil-paragrafu 10.</w:t>
      </w:r>
    </w:p>
    <w:p w14:paraId="48A7F7A1" w14:textId="00594413" w:rsidR="00242493" w:rsidRPr="000B66BC" w:rsidRDefault="0024249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Il-kriterji għad-dħul tal-Artikolu 4 ta’ dan ir-Regolament ma għandhomx japplikaw għall-paragrafu 4. L-istituzzjonijiet għandhom jibdew jirrapportaw informazzjoni mid-data ta’ referenza ta’ rapportar li jmiss meta jkunu qabżu l-limitu f’data ta’ referenza waħda ta’ rapportar.</w:t>
      </w:r>
    </w:p>
    <w:p w14:paraId="49F753AA" w14:textId="0D7F1C4D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ab/>
        <w:t>L-istituzzjonijiet huma meħtieġa jirrapportaw iċ-ċelloli msemmijin fil-paragrafu 14 jekk tintlaħaq kwalunkwe waħda minn dawn il-kundizzjonijiet:</w:t>
      </w:r>
    </w:p>
    <w:p w14:paraId="3F12E5B0" w14:textId="1FE76525" w:rsidR="00F4754B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sz w:val="24"/>
        </w:rPr>
        <w:t>il-volum tad-derivattivi ta’ kreditu msemmi fil-para</w:t>
      </w:r>
      <w:r w:rsidR="00824B87">
        <w:rPr>
          <w:sz w:val="24"/>
        </w:rPr>
        <w:t xml:space="preserve">grafu 9 ikun iktar minn EUR 300 </w:t>
      </w:r>
      <w:r>
        <w:rPr>
          <w:sz w:val="24"/>
        </w:rPr>
        <w:t>miljun;</w:t>
      </w:r>
    </w:p>
    <w:p w14:paraId="53026947" w14:textId="551E555A" w:rsidR="00675587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bCs/>
          <w:sz w:val="24"/>
        </w:rPr>
        <w:t>il-volum tad-derivattivi ta’ kreditu msemmi fi</w:t>
      </w:r>
      <w:r w:rsidR="00EE7DA3">
        <w:rPr>
          <w:bCs/>
          <w:sz w:val="24"/>
        </w:rPr>
        <w:t xml:space="preserve">l-paragrafu 9 jaqbeż il-EUR 500 </w:t>
      </w:r>
      <w:r>
        <w:rPr>
          <w:bCs/>
          <w:sz w:val="24"/>
        </w:rPr>
        <w:t>miljun.</w:t>
      </w:r>
    </w:p>
    <w:p w14:paraId="3B88084F" w14:textId="34241752" w:rsidR="00F4754B" w:rsidRPr="000B66BC" w:rsidRDefault="00242493" w:rsidP="000B66BC">
      <w:pPr>
        <w:pStyle w:val="InstructionsText2"/>
        <w:numPr>
          <w:ilvl w:val="0"/>
          <w:numId w:val="0"/>
        </w:numPr>
        <w:ind w:left="709" w:firstLine="11"/>
        <w:rPr>
          <w:sz w:val="24"/>
        </w:rPr>
      </w:pPr>
      <w:r>
        <w:rPr>
          <w:bCs/>
          <w:sz w:val="24"/>
        </w:rPr>
        <w:t>Il-kriterji għad-dħul u l-ħruġ tal-Artikolu 4 ta’ dan ir-Regolament għandhom japplikaw, ħlief għall-punt (b) fejn l-istituzzjonijiet għandhom jibdew jirrapportaw mid-data ta’ referenza ta’ rapportar li jmiss meta jkunu qabżu l-limitu f’data ta’ referenza waħda ta’ rapportar.</w:t>
      </w:r>
    </w:p>
    <w:p w14:paraId="6CB3856E" w14:textId="36C7913E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ab/>
        <w:t>Iċ-ċelloli li huma meħtieġa li jiġu rrapportati mill-istituzzjonijiet skont il-paragrafi 10 u 11 huma dawn li ġejjin: {LR1;0010;0010}, {LR1;0010;0020}, {LR1;0020;0010}, {LR1;0020;0020}, {LR1;0030;0070}, {LR1;0040;0070}, {LR1;0050;0010}, {LR1;0050;0020}, {LR1;0060;0010}, {LR1;0060;0020}, u {LR1;0060;0070}.</w:t>
      </w:r>
    </w:p>
    <w:p w14:paraId="6F47B92E" w14:textId="36B5B5EF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ab/>
        <w:t>Iċ-ċelloli li huma meħtieġa jiġu rrapportati mill-istituzzjonijiet skont il-paragrafu 12 huma dawn: {LR1;0020;0075}, {LR1;0050;0075} u {LR1;0050;0085}.</w:t>
      </w:r>
    </w:p>
    <w:p w14:paraId="00E6EF91" w14:textId="4226172D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7" w:name="_Toc359414285"/>
      <w:bookmarkStart w:id="48" w:name="_Toc423089070"/>
      <w:bookmarkStart w:id="49" w:name="_Toc322687879"/>
      <w:bookmarkStart w:id="50" w:name="_Toc315961853"/>
      <w:bookmarkStart w:id="51" w:name="_Toc58574777"/>
      <w:bookmarkEnd w:id="46"/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</w:r>
      <w:bookmarkStart w:id="52" w:name="_Toc351048506"/>
      <w:r>
        <w:rPr>
          <w:rFonts w:ascii="Times New Roman" w:hAnsi="Times New Roman"/>
          <w:b/>
          <w:sz w:val="24"/>
          <w:szCs w:val="24"/>
        </w:rPr>
        <w:t>C 47.00 – Kalkolu tal-proporzjon tal-ingranaġġ</w:t>
      </w:r>
      <w:bookmarkEnd w:id="52"/>
      <w:bookmarkEnd w:id="47"/>
      <w:r>
        <w:rPr>
          <w:rFonts w:ascii="Times New Roman" w:hAnsi="Times New Roman"/>
          <w:b/>
          <w:sz w:val="24"/>
          <w:szCs w:val="24"/>
        </w:rPr>
        <w:t xml:space="preserve"> (LRCalc)</w:t>
      </w:r>
      <w:bookmarkEnd w:id="48"/>
      <w:bookmarkEnd w:id="51"/>
    </w:p>
    <w:p w14:paraId="5579B71F" w14:textId="539B977A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ab/>
        <w:t>Din il-formola tiġbor id-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li hija meħtieġa biex jiġi kkalkolat il-proporzjon ta’ ingranaġġ kif definit fil-Parti Sebgħa CRR. </w:t>
      </w:r>
    </w:p>
    <w:p w14:paraId="0E7DE041" w14:textId="23463C95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ab/>
        <w:t>L-istituzzjonijiet għandhom iwettqu r-rapportar tal-proporzjon ta’ ingranaġġ fuq bażi trimestrali. F’kull trimestru, il-valur ‘fid-data ta’ rapportar ta’ referenza’ għandu jkun il-valur fl-aħħar jum kalendarju tat-tielet xahar tat-trimestru rispettiv.</w:t>
      </w:r>
    </w:p>
    <w:p w14:paraId="36716E2F" w14:textId="501E6CBB" w:rsidR="00941862" w:rsidRPr="000B66BC" w:rsidRDefault="008B4710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ab/>
        <w:t>L-istituzzjonijiet għandhom jirrapportaw l-entrati fit-taqsima dwar il-valuri tal-Iskoperturi b’sinjal pożittiv skont il-konvenzjoni tas-sinjali fil-paragrafu 9 tal-Parti I ta’ dan l-Anness (minbarra {LRCalc;0270;0010} u {LRCalc;0280;0010}), daqslikieku l-entrati b’sinjal negattiv (pereżempju eżenzjonijiet/tnaqqis) skont il-konvenzjoni tas-sinjali fil-paragrafu 9 tal-Parti I ta’ dan l-Anness ma kinux japplikaw.</w:t>
      </w:r>
    </w:p>
    <w:p w14:paraId="725F2D82" w14:textId="2BEB62D8" w:rsidR="00720503" w:rsidRPr="000B66BC" w:rsidRDefault="006F588E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18.</w:t>
      </w:r>
      <w:r>
        <w:rPr>
          <w:sz w:val="24"/>
        </w:rPr>
        <w:tab/>
        <w:t>Kwalunkwe ammont li jżid il-fondi proprji jew l-iskopertura tal-proporzjon ta’ ingranaġġ għandu jkun irrapportat bħala ċifra pożittiva. Għall-kuntrarju, kwalunkwe ammont li jnaqqas il-fondi proprji totali jew l-iskopertura tal-proporzjon ta’ ingranaġġ għandu jiġi rrapportat bħala ċifra negattiva. Meta jkun hemm sinjal negattiv (-) qabel it-</w:t>
      </w:r>
      <w:r>
        <w:rPr>
          <w:sz w:val="24"/>
        </w:rPr>
        <w:lastRenderedPageBreak/>
        <w:t>tikketta ta’ entrata, ma jkun mistenni li tiġi rrapportata l-ebda ċifra pożittiva għal dik l-entrata.</w:t>
      </w:r>
    </w:p>
    <w:p w14:paraId="69E62B50" w14:textId="029D4159" w:rsidR="00EC3422" w:rsidRPr="000B66BC" w:rsidRDefault="006A4991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19.  Fejn ammont jista’ jikkwalifika għal tnaqqis għal raġunijiet multipli, l-ammont għandu jitnaqqas biss mill-iskopertura f’waħda mir-ringieli tal-formola C47.00.</w:t>
      </w:r>
    </w:p>
    <w:tbl>
      <w:tblPr>
        <w:tblW w:w="91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8"/>
        <w:gridCol w:w="7513"/>
        <w:gridCol w:w="49"/>
      </w:tblGrid>
      <w:tr w:rsidR="00AE2798" w:rsidRPr="00E75BB8" w14:paraId="5579CB50" w14:textId="77777777" w:rsidTr="00C7202A">
        <w:trPr>
          <w:trHeight w:val="304"/>
        </w:trPr>
        <w:tc>
          <w:tcPr>
            <w:tcW w:w="1531" w:type="dxa"/>
            <w:shd w:val="clear" w:color="auto" w:fill="D9D9D9"/>
          </w:tcPr>
          <w:p w14:paraId="0C50BBA6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shd w:val="clear" w:color="auto" w:fill="D9D9D9"/>
          </w:tcPr>
          <w:p w14:paraId="103B7EBD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AE2798" w:rsidRPr="00E75BB8" w14:paraId="699B1E0D" w14:textId="77777777" w:rsidTr="00C7202A">
        <w:trPr>
          <w:trHeight w:val="304"/>
        </w:trPr>
        <w:tc>
          <w:tcPr>
            <w:tcW w:w="1531" w:type="dxa"/>
            <w:shd w:val="clear" w:color="auto" w:fill="D9D9D9" w:themeFill="background1" w:themeFillShade="D9"/>
          </w:tcPr>
          <w:p w14:paraId="3C798DC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Ringiela u kolonna</w:t>
            </w:r>
          </w:p>
        </w:tc>
        <w:tc>
          <w:tcPr>
            <w:tcW w:w="7590" w:type="dxa"/>
            <w:gridSpan w:val="3"/>
            <w:shd w:val="clear" w:color="auto" w:fill="D9D9D9" w:themeFill="background1" w:themeFillShade="D9"/>
          </w:tcPr>
          <w:p w14:paraId="1E421E8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Valuri tal-Iskopertura</w:t>
            </w:r>
          </w:p>
        </w:tc>
      </w:tr>
      <w:tr w:rsidR="00AE2798" w:rsidRPr="00E75BB8" w14:paraId="2DE0B580" w14:textId="77777777" w:rsidTr="004F0BFB">
        <w:trPr>
          <w:trHeight w:val="304"/>
        </w:trPr>
        <w:tc>
          <w:tcPr>
            <w:tcW w:w="1531" w:type="dxa"/>
            <w:shd w:val="clear" w:color="auto" w:fill="auto"/>
          </w:tcPr>
          <w:p w14:paraId="7EDCCB36" w14:textId="20E5281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590" w:type="dxa"/>
            <w:gridSpan w:val="3"/>
            <w:shd w:val="clear" w:color="auto" w:fill="auto"/>
          </w:tcPr>
          <w:p w14:paraId="776CC56F" w14:textId="3D6EA3A4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SFTs: Valur tal-iskopertura </w:t>
            </w:r>
          </w:p>
          <w:p w14:paraId="24BF7807" w14:textId="130EFDB0" w:rsidR="00962812" w:rsidRPr="000B66BC" w:rsidRDefault="009628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 ) tal-paragrafu (1) u l-paragrafi (4) u (5) tal-Artikolu 429b CRR</w:t>
            </w:r>
          </w:p>
          <w:p w14:paraId="4DADBAA1" w14:textId="10047C4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L-iskopertura għall-SFTs hija kkalkolata skont il-punt (b) tal-paragrafu (1) u l-paragrafi (4) u (5) tal-Artikolu 429b CRR. </w:t>
            </w:r>
          </w:p>
          <w:p w14:paraId="7B519931" w14:textId="77725FC0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f’din iċ-ċellola tranżazzjonijiet skont il-punt (c) tal-Artikolu 429e(7) CRR.</w:t>
            </w:r>
          </w:p>
          <w:p w14:paraId="2DB53AA1" w14:textId="46DA276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F’din iċ-ċellola, l-istituzzjonijiet ma għandhomx jinkludu flus riċevuti jew xi titolu li huwa pprovdut lil kontroparti permezz tat-tranżazzjonijiet imsemmijin iktar ’il fuq u li jinżamm fil-karta tal-bilanċ (jiġifieri ma jintlaħqux il-kriterji tal-kontabbiltà għad-dekontabilizzar). Minflok, l-istituzzjonijiet għandhom jinkludu dawk l-entrati f’{0190;0010}.</w:t>
            </w:r>
          </w:p>
          <w:p w14:paraId="3B9A69FC" w14:textId="79D0444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jinkludu f’din iċ-ċellola SFTs aġenti fejn l-istituzzjoni tipprovdi indennizz jew garanzija lil klijent jew kontroparti limitata għal kwalunkwe differenza bejn il-valur tat-titolu jew flus li l-klijent ikun silef u l-valur tal-kollateral li l-mutwatarju jkun ipprovda skont il-punt (a) tal-Artikolu 429e(7) CRR.</w:t>
            </w:r>
          </w:p>
        </w:tc>
      </w:tr>
      <w:tr w:rsidR="00AE2798" w:rsidRPr="00E75BB8" w14:paraId="76B5A234" w14:textId="77777777" w:rsidTr="004F0BFB">
        <w:trPr>
          <w:trHeight w:val="304"/>
        </w:trPr>
        <w:tc>
          <w:tcPr>
            <w:tcW w:w="1531" w:type="dxa"/>
          </w:tcPr>
          <w:p w14:paraId="209FB7E2" w14:textId="457D251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590" w:type="dxa"/>
            <w:gridSpan w:val="3"/>
          </w:tcPr>
          <w:p w14:paraId="2A5E1E69" w14:textId="77777777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SFTs: Supplimentazzjoni għar-riskju ta’ kreditu tal-kontroparti</w:t>
            </w:r>
          </w:p>
          <w:p w14:paraId="54D8230E" w14:textId="45D95268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429e(1) CRR</w:t>
            </w:r>
          </w:p>
          <w:p w14:paraId="74373937" w14:textId="3D3B332D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Is-supplimentazzjoni għal riskju ta’ kreditu tal-kontroparti għal SFTs, inkluż dawk li ma jidhrux fil-karta tal-bilanċ, determinati skont il-paragrafu (2) jew (3) u l-paragrafu (4) tal-Artikolu 429e CRR, kif applikabbli.</w:t>
            </w:r>
          </w:p>
          <w:p w14:paraId="22B58EAB" w14:textId="2327258F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f’din iċ-ċellola tranżazzjonijiet skont il-punt (c) tal-Artikolu 429e(7) CRR.</w:t>
            </w:r>
          </w:p>
          <w:p w14:paraId="68CF607E" w14:textId="2FD89B1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jinkludu f’din iċ-ċellola SFTs aġenti fejn l-istituzzjoni tipprovdi indennizz jew garanzija lil klijent jew kontroparti limitata għal kwalunkwe differenza bejn il-valur tat-titolu jew flus li l-klijent ikun silef u l-valur tal-kollateral li l-mutwatarju jkun ipprovda skont il-punt (a) tal-Artikolu 429e(7) CRR. Minflok, l-istituzzjonijiet għandhom jinkludu dawk l-entrati f’{0040;0010}.</w:t>
            </w:r>
          </w:p>
        </w:tc>
      </w:tr>
      <w:tr w:rsidR="00AE2798" w:rsidRPr="00E75BB8" w14:paraId="0276DE00" w14:textId="77777777" w:rsidTr="004F0BFB">
        <w:trPr>
          <w:trHeight w:val="304"/>
        </w:trPr>
        <w:tc>
          <w:tcPr>
            <w:tcW w:w="1531" w:type="dxa"/>
          </w:tcPr>
          <w:p w14:paraId="311C9C54" w14:textId="6BFA55D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{0030;0010}</w:t>
            </w:r>
          </w:p>
          <w:p w14:paraId="31A60AAC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49F43F40" w14:textId="23C3A245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Deroga għall-SFTs: Supplimentazzjoni skont l-Artikoli 429e(5) u 222 CRR</w:t>
            </w:r>
          </w:p>
          <w:p w14:paraId="2D39F187" w14:textId="2334F8C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429e(5) u 222 CRR</w:t>
            </w:r>
          </w:p>
          <w:p w14:paraId="738B5B54" w14:textId="42389740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għal SFTs, inkluż dawk li ma jidhrux fil-karta tal-bilanċ ikkalkolati skont l-Artikolu 222 CRR, soġġetti għal minimu ta’ 20 % għall-ponderazzjoni tar-riskju applikabbli. </w:t>
            </w:r>
          </w:p>
          <w:p w14:paraId="3D5D2C18" w14:textId="100F4B7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f’din iċ-ċellola tranżazzjonijiet skont il-punt (c) tal-Artikolu 429e(7) CRR.</w:t>
            </w:r>
          </w:p>
          <w:p w14:paraId="29AD8FEA" w14:textId="35CFE110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iqisu f’din iċ-ċellola tranżazzjonijiet li għalihom il-parti supplimentari tal-iskopertura tal-proporzjon ta’ ingranaġġ hija determinata skont il-metodu msemmi fl-Artikolu 429e(1) CRR.</w:t>
            </w:r>
          </w:p>
        </w:tc>
      </w:tr>
      <w:tr w:rsidR="00AE2798" w:rsidRPr="00E75BB8" w14:paraId="5E04553E" w14:textId="77777777" w:rsidTr="004F0BFB">
        <w:trPr>
          <w:trHeight w:val="304"/>
        </w:trPr>
        <w:tc>
          <w:tcPr>
            <w:tcW w:w="1531" w:type="dxa"/>
          </w:tcPr>
          <w:p w14:paraId="252F5F3F" w14:textId="40B73EF4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{0040;0010}</w:t>
            </w:r>
          </w:p>
        </w:tc>
        <w:tc>
          <w:tcPr>
            <w:tcW w:w="7590" w:type="dxa"/>
            <w:gridSpan w:val="3"/>
          </w:tcPr>
          <w:p w14:paraId="2565C50A" w14:textId="2E53ED69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Riskju ta’ kreditu tal-kontroparti ta’ tranżazzjonijiet tal-aġenti SFT </w:t>
            </w:r>
          </w:p>
          <w:p w14:paraId="475F166E" w14:textId="02F9F6D0" w:rsidR="00E1045E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 ) tal-paragrafu (7) u l-paragrafi (2) u (3) tal-Artikolu 429e CRR</w:t>
            </w:r>
          </w:p>
          <w:p w14:paraId="1619B100" w14:textId="65C7F38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għall-SFTs bl-aġent li fihom l-istituzzjoni tipprovdi indennizz jew garanzija lil klijent jew kontroparti limitat għal kull differenza bejn il-valur tat-titolu jew tal-flus li l-klijent ikun silef u l-valur tal-kollateral li l-mutwatarju jkun ipprovda f’konformità mal-punt (a) tal-Artikolu 429e(7) CRR, jikkonsisti biss fis-supplimentazzjoni ddeterminata f’konformità mal-paragrafu (2) jew (3) tal-Artikolu 429e CRR, kif applikabbli.</w:t>
            </w:r>
          </w:p>
          <w:p w14:paraId="138E8801" w14:textId="61A2D011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jinkludu f’din iċ-ċellola tranżazzjonijiet skont il-punt (c) tal-Artikolu 429e(7). Minflok, l-istituzzjonijiet għandhom jinkludu dawn l-entrati f’{0010;0010} u {0020;0010} jew {0010;0010} u {0030;0010}, kif applikabbli.</w:t>
            </w:r>
          </w:p>
        </w:tc>
      </w:tr>
      <w:tr w:rsidR="00AE2798" w:rsidRPr="00E75BB8" w14:paraId="730C9B47" w14:textId="77777777" w:rsidTr="004F0BFB">
        <w:trPr>
          <w:trHeight w:val="304"/>
        </w:trPr>
        <w:tc>
          <w:tcPr>
            <w:tcW w:w="1531" w:type="dxa"/>
          </w:tcPr>
          <w:p w14:paraId="67472548" w14:textId="3E8951DA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{0050;0010}</w:t>
            </w:r>
          </w:p>
        </w:tc>
        <w:tc>
          <w:tcPr>
            <w:tcW w:w="7590" w:type="dxa"/>
            <w:gridSpan w:val="3"/>
          </w:tcPr>
          <w:p w14:paraId="2F6E1B5E" w14:textId="77777777" w:rsidR="00AE2798" w:rsidRPr="000B66BC" w:rsidRDefault="005556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Komponent eżentat ta’ CCP tal-iskoperturi SFT ikklirjati għall-klijent</w:t>
            </w:r>
          </w:p>
          <w:p w14:paraId="1B6574CC" w14:textId="42D64A0D" w:rsidR="00AE2798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u l-punt (c) tal-Artikolu 306(1) CRR</w:t>
            </w:r>
          </w:p>
          <w:p w14:paraId="5E6D8E3F" w14:textId="31E39D8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Il-komponent eżentat tas-CCP ta’ skoperturi ta’ negozju kklirjati għall-klijent ta’ SFTs, diment li dawk l-entrati jissodisfaw il-kundizzjonijiet stabbiliti fil-punt (c) tal-Artikolu 306(1) CRR.</w:t>
            </w:r>
          </w:p>
          <w:p w14:paraId="39011247" w14:textId="04201958" w:rsidR="004052F0" w:rsidRPr="000B66BC" w:rsidRDefault="00405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l-komponent eżentat għas-CCP ikun titolu, dan ma għandux jiġi rrapportat f’din iċ-ċellola sakemm ma jkunx titolu mirhun mill-ġdid li fil-qafas kontabilistiku applikabbli (jiġifieri skont l-ewwel sentenza tal-Artikolu 111(1) CRR) ikun inkluż bil-valur sħiħ.</w:t>
            </w:r>
          </w:p>
          <w:p w14:paraId="0885E19A" w14:textId="61C30BC1" w:rsidR="00AF6C6D" w:rsidRPr="000B66BC" w:rsidRDefault="005A1D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jinkludu wkoll l-ammont irrapportat f’din iċ-ċellola f’{0010;0010}, {0020;0010} u {0030;0010} daqslikieku ma tapplika l-ebda eżenzjoni, u, jekk ikun titolu mirhun mill-ġdid li skont il-qafas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kontabilistiku applikabbli jkun inkluż bil-valur sħiħ, addizzjonalment f’{0190;0010}.</w:t>
            </w:r>
          </w:p>
          <w:p w14:paraId="2D82192D" w14:textId="03F34C36" w:rsidR="00AE2798" w:rsidRPr="000B66BC" w:rsidRDefault="00AF6C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jkun hemm marġni inizjali mdaħħal mill-istituzzjoni għal komponent eżentat ta’ SFT li jkun irrapportat f’{0190;0010} u mhux irrapportat f’{0020;0010} jew {0030;0010}, l-istituzzjoni tista’ tirrapportah f’din iċ-ċellola.</w:t>
            </w:r>
          </w:p>
        </w:tc>
      </w:tr>
      <w:tr w:rsidR="00AA0445" w:rsidRPr="00E75BB8" w14:paraId="22358CE2" w14:textId="77777777" w:rsidTr="004F0BFB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5ADDB05" w14:textId="0401F47D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{0061;0010}</w:t>
            </w:r>
          </w:p>
          <w:p w14:paraId="39B81BC5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0E1CF2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23795B97" w14:textId="5A0D0C24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Derivattivi: kontribuzzjoni għall-ispejjeż ta’ sostituzzjoni taħt l-SA-CCR (mingħajr l-effett ta’ kollateral fuq l-NICA) </w:t>
            </w:r>
          </w:p>
          <w:p w14:paraId="303004A2" w14:textId="5E7906C1" w:rsidR="00AA0445" w:rsidRPr="000B66BC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429c(1) CRR</w:t>
            </w:r>
          </w:p>
          <w:p w14:paraId="3B8148BD" w14:textId="4488FC8E" w:rsidR="000864F6" w:rsidRPr="000B66BC" w:rsidRDefault="004E204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L-ispiża tas-sostituzzjoni skont l-Artikolu 275 CRR mingħajr l-effett tal-kollateral fuq l-NICA, u mingħajr l-effett ta’ kwalunkwe marġni ta’ varjazzjoni. L-istituzzjonijiet ma għandhomx japplikaw id-derogi tal-paragrafi (3) u (4) tal-Artikolu 429c u l-punt (g) tal-Artikolu 429a(1) CRR għall-finijiet ta’ din iċ-ċellola. L-ammont għandu jiġi rrapportat bil-fattur alfa ta’ 1,4 applikat kif speċifikat fl-Artikolu 274(2) CRR.</w:t>
            </w:r>
          </w:p>
          <w:p w14:paraId="69D03BFF" w14:textId="6A39C111" w:rsidR="000864F6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Kif determinat mill-Artikolu 429c(1) CRR, l-istituzzjonijiet jistgħu jqisu wkoll l-effetti tal-kuntratti għal novazzjoni u ftehimiet oħrajn ta’ netting skont l-Artikolu 295 CRR. In-netting bejn prodotti differenti ma japplikax. Madankollu, l-istituzzjonijiet jistgħu jinnettjaw fi ħdan il-kategorija ta’ prodott imsemmija fil-punt (25)(c) tal-Artikolu 272 CRR u d-derivattivi tal-kreditu meta jkunu soġġetti għal ftehim kuntrattwali ta’ netting bejn il-prodotti msemmi fl-Artikolu 295(c) CRR.</w:t>
            </w:r>
          </w:p>
          <w:p w14:paraId="68582320" w14:textId="76F97D55" w:rsidR="00AA0445" w:rsidRPr="000B66BC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d-derivattivi ta’ kreditu kollha, mhux biss dawk fil-portafoll tan-negozjar.</w:t>
            </w:r>
          </w:p>
          <w:p w14:paraId="2DFB7147" w14:textId="5C4A2661" w:rsidR="00AA0445" w:rsidRPr="000B66BC" w:rsidRDefault="008C45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l-kuntratti mkejla bl-applikazzjoni tal-approċċ standardizzat simplifikat jew il-metodu tal-iskopertura oriġinali.</w:t>
            </w:r>
          </w:p>
        </w:tc>
      </w:tr>
      <w:tr w:rsidR="00AA0445" w:rsidRPr="00E75BB8" w14:paraId="6839640F" w14:textId="77777777" w:rsidTr="004F0BFB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B6A76A4" w14:textId="48C3F79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{0065;0010}</w:t>
            </w:r>
          </w:p>
          <w:p w14:paraId="3E5668CA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EE6ED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4EDC7E6" w14:textId="3E0D75A1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tar-rikonoxximent tal-kollateral fuq l-NICA fuq tranżazzjonijiet ikklirjati għall-klijent tal-QCCP (SA-CCR - kost tas-sostituzzjoni)</w:t>
            </w:r>
          </w:p>
          <w:p w14:paraId="4393A5C2" w14:textId="44B0A794" w:rsidR="00AA0445" w:rsidRPr="000B66BC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429c(4) CRR</w:t>
            </w:r>
          </w:p>
          <w:p w14:paraId="5BDFEC31" w14:textId="1F5B39A9" w:rsidR="00AA0445" w:rsidRPr="000B66BC" w:rsidRDefault="00143A3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Applikazzjoni tad-deroga ta’ 429c(4) CRR fuq il-kalkolu tal-kost tas-sostituzzjoni għal kuntratti tad-derivattivi ma’ klijenti meta dawk il-kuntratti jiġu kklirjati minn QCCP. L-ammont għandu jiġi rrapportat bil-fattur alfa ta’ 1,4 applikat kif speċifikat fl-Artikolu 274(2) CRR.</w:t>
            </w:r>
          </w:p>
          <w:p w14:paraId="71B5D857" w14:textId="283FD4E4" w:rsidR="00860608" w:rsidRPr="000B66BC" w:rsidRDefault="00C622B3" w:rsidP="00824B87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irrapportat f’din iċ-ċellola ank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f’{0061;0010} daqslikieku ma tapplika l-ebda deroga.</w:t>
            </w:r>
          </w:p>
        </w:tc>
      </w:tr>
      <w:tr w:rsidR="00B451A5" w:rsidRPr="00E75BB8" w14:paraId="708471F4" w14:textId="77777777" w:rsidTr="004F0BFB">
        <w:trPr>
          <w:gridAfter w:val="1"/>
          <w:wAfter w:w="49" w:type="dxa"/>
          <w:trHeight w:val="30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902" w14:textId="77777777" w:rsidR="00B451A5" w:rsidRPr="000B66BC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{0071;0010}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DD9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tal-marġni ta’ varjazzjoni ta’ flus eliġibbli riċevut paċut kontra l-valur tas-suq tad-derivattivi (SA-CCR - kost tas-sostituzzjoni)</w:t>
            </w:r>
          </w:p>
          <w:p w14:paraId="1A368C0C" w14:textId="09BFCDA2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429c(3) CRR</w:t>
            </w:r>
          </w:p>
          <w:p w14:paraId="04F99B6B" w14:textId="28A3BA0D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Marġni ta’ varjazzjoni riċevut fi flus mingħand il-kontroparti eliġibbli biex ipaċi kontra s-sehem tal-kost tas-sostituzzjoni tal-iskopertura tad-derivattivi skont l-Artikolu 429c(3) CRR. L-ammont għandu jiġi rrapportat bil-fattur alfa ta’ 1,4 applikat kif speċifikat fl-Artikolu 274(2) CRR.</w:t>
            </w:r>
          </w:p>
          <w:p w14:paraId="0D6BE08A" w14:textId="2C255F03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Kwalunkwe marġni ta’ varjazzjoni fi flus riċevut fuq komponent eżentat għal CCP skont il-punt (g) tal-Artikolu 429a(1) CRR ma għandux ikun irrapportat.</w:t>
            </w:r>
          </w:p>
          <w:p w14:paraId="3C49A67A" w14:textId="7257C7F3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f’{0061;0010} daqslikieku ma japplika l-ebda tnaqqis tal-marġni ta’ varjazzjoni fi flus.</w:t>
            </w:r>
          </w:p>
        </w:tc>
      </w:tr>
      <w:tr w:rsidR="00B451A5" w:rsidRPr="00E75BB8" w14:paraId="2A6BC469" w14:textId="77777777" w:rsidTr="004F0BFB">
        <w:trPr>
          <w:gridAfter w:val="1"/>
          <w:wAfter w:w="49" w:type="dxa"/>
          <w:trHeight w:val="30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B0D5" w14:textId="77777777" w:rsidR="00B451A5" w:rsidRPr="000B66BC" w:rsidDel="002D1CE8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{0081;0010}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B90B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tal-komponent eżentat għal CCP ta’ skoperturi ta’ negozju kklirjati għall-klijent (SA-CCR -kost tas-sostituzzjoni)</w:t>
            </w:r>
          </w:p>
          <w:p w14:paraId="4B3A4644" w14:textId="30BACB36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2F8AB13D" w14:textId="294275A2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Is-sehem tal-kost tas-sostituzzjoni ta’ skoperturi ta’ negozju eżentati għal QCCP minn tranżazzjonijiet derivattivi kklirjati għall-klijent, diment li dawk l-entrati jissodisfaw il-kundizzjonijiet stabbiliti fil-punt (c) tal-Artikolu 306(1) CRR. Dan l-ammont għandu jkun irrapportat gross bil-marġni ta’ varjazzjoni tal-flus riċevuti f’dan il-komponent. L-ammont għandu jiġi rrapportat bil-fattur alfa ta’ 1,4 applikat kif speċifikat fl-Artikolu 274(2) CRR.</w:t>
            </w:r>
          </w:p>
          <w:p w14:paraId="3D70C614" w14:textId="785C2A58" w:rsidR="00B451A5" w:rsidRPr="000B66BC" w:rsidDel="002D1CE8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f’{0061;0010} daqslikieku ma tapplika l-ebda eżenzjoni.</w:t>
            </w:r>
          </w:p>
        </w:tc>
      </w:tr>
      <w:tr w:rsidR="00BE4B9E" w:rsidRPr="00E75BB8" w14:paraId="21C5C5EE" w14:textId="77777777" w:rsidTr="004F0BFB">
        <w:trPr>
          <w:trHeight w:val="304"/>
        </w:trPr>
        <w:tc>
          <w:tcPr>
            <w:tcW w:w="1531" w:type="dxa"/>
          </w:tcPr>
          <w:p w14:paraId="12F2B1DD" w14:textId="54C860E8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{0091;0010}</w:t>
            </w:r>
          </w:p>
        </w:tc>
        <w:tc>
          <w:tcPr>
            <w:tcW w:w="7590" w:type="dxa"/>
            <w:gridSpan w:val="3"/>
          </w:tcPr>
          <w:p w14:paraId="039E3624" w14:textId="7777777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Derivattivi: Kontribuzzjoni tal-iskopertura futura potenzjali skont l-SA-CCR (multiplikatur f’1) </w:t>
            </w:r>
          </w:p>
          <w:p w14:paraId="11FEB8DF" w14:textId="75A77E79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429c(5) CRR</w:t>
            </w:r>
          </w:p>
          <w:p w14:paraId="77480A73" w14:textId="1B8D6CC2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Skopertura futura potenzjali skont l-Artikolu 278 CRR bis-suppożizzjoni ta’ multiplikatur ta’ 1, jiġifieri mingħajr l-applikazzjoni tad-deroga rigward kuntratti ma’ klijenti meta dawk il-kuntratti jiġu kklirjati minn QCCP ta’ 429c(5) CRR. L-ammont għandu jiġi rrapportat bil-fattur alfa ta’ 1,4 applikat kif speċifikat fl-Artikolu 274(2) CRR.</w:t>
            </w:r>
          </w:p>
        </w:tc>
      </w:tr>
      <w:tr w:rsidR="00BE4B9E" w:rsidRPr="00E75BB8" w14:paraId="1F0CF2B9" w14:textId="77777777" w:rsidTr="004F0BFB">
        <w:trPr>
          <w:trHeight w:val="304"/>
        </w:trPr>
        <w:tc>
          <w:tcPr>
            <w:tcW w:w="1531" w:type="dxa"/>
          </w:tcPr>
          <w:p w14:paraId="3B470185" w14:textId="419934C4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{0092;0010}</w:t>
            </w:r>
          </w:p>
        </w:tc>
        <w:tc>
          <w:tcPr>
            <w:tcW w:w="7590" w:type="dxa"/>
            <w:gridSpan w:val="3"/>
          </w:tcPr>
          <w:p w14:paraId="2E121ECA" w14:textId="7777777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tal-multiplikatur iktar baxx għal tranżazzjonijiet ikklirjati għall-klijent tal-QCCP fuq il-kontribuzzjoni PFE (SA-CCR - Skopertura futura potenzjali)</w:t>
            </w:r>
          </w:p>
          <w:p w14:paraId="51309425" w14:textId="1B921FC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429c(5) CRR</w:t>
            </w:r>
          </w:p>
          <w:p w14:paraId="36AD83FD" w14:textId="716DD9EF" w:rsidR="00BE4B9E" w:rsidRPr="000B66BC" w:rsidRDefault="0033453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L-applikazzjoni tad-deroga tal-Artikolu 429c(5) CRR dwar il-kalkolu tal-PFE għal kuntratti tad-derivattivi ma’ klijenti meta dawk il-kuntratti jiġu kklirjati minn QCCP. L-ammont għandu jiġi rrapportat bil-fattur alfa ta’ 1,4 applikat kif speċifikat fl-Artikolu 274(2) CRR.</w:t>
            </w:r>
          </w:p>
          <w:p w14:paraId="69C754CC" w14:textId="1F9BE8FE" w:rsidR="00334535" w:rsidRPr="000B66BC" w:rsidRDefault="00C622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f’{0091;0010} daqslikieku ma tapplika l-ebda deroga.</w:t>
            </w:r>
          </w:p>
        </w:tc>
      </w:tr>
      <w:tr w:rsidR="00721D6C" w:rsidRPr="00E75BB8" w14:paraId="337DFBE3" w14:textId="77777777" w:rsidTr="004F0BFB">
        <w:trPr>
          <w:trHeight w:val="304"/>
        </w:trPr>
        <w:tc>
          <w:tcPr>
            <w:tcW w:w="1531" w:type="dxa"/>
          </w:tcPr>
          <w:p w14:paraId="4EC86A2A" w14:textId="23F426EB" w:rsidR="00721D6C" w:rsidRPr="000B66BC" w:rsidRDefault="00721D6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{0093;0010}</w:t>
            </w:r>
          </w:p>
        </w:tc>
        <w:tc>
          <w:tcPr>
            <w:tcW w:w="7590" w:type="dxa"/>
            <w:gridSpan w:val="3"/>
          </w:tcPr>
          <w:p w14:paraId="799DA79E" w14:textId="77777777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tal-komponent eżentat tas-CCP ta’ skoperturi ta’ negozju kklirjati għall-klijent (approċċ SA-CCR-skopertura futura potenzjali)</w:t>
            </w:r>
          </w:p>
          <w:p w14:paraId="638E19CF" w14:textId="1E4E9612" w:rsidR="00721D6C" w:rsidRPr="000B66BC" w:rsidRDefault="002F3BA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3C911695" w14:textId="73D0B866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L-iskopertura futura potenzjali ta’ skoperturi ta’ negozju eżentati għal QCCP minn tranżazzjonijiet derivattivi kklirjati għall-klijent, diment li dawn l-entrati jissodisfaw il-kundizzjonijiet stabbiliti fil-punt (c) tal-Artikolu 306(1) CRR. L-ammont għandu jiġi rrapportat bil-fattur alfa ta’ 1,4 applikat kif speċifikat fl-Artikolu 274(2) CRR.</w:t>
            </w:r>
          </w:p>
          <w:p w14:paraId="5DC396D3" w14:textId="1F75B0EB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f’{0091;0010} daqslikieku ma tapplika l-ebda eżenzjoni.</w:t>
            </w:r>
          </w:p>
        </w:tc>
      </w:tr>
      <w:tr w:rsidR="001D7778" w:rsidRPr="00E75BB8" w14:paraId="7D779BBC" w14:textId="77777777" w:rsidTr="001D7778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254" w14:textId="77777777" w:rsidR="001D7778" w:rsidRPr="000B66BC" w:rsidRDefault="001D777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{0101;0010}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E3AE" w14:textId="77777777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Deroga għad-derivattivi: kontribuzzjoni tal-kostijiet ta’ sostituzzjoni skont l-approċċ standardizzat simplifikat </w:t>
            </w:r>
          </w:p>
          <w:p w14:paraId="729E4C3C" w14:textId="293F0A55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L-Artikoli 429c(6) u 281 CRR</w:t>
            </w:r>
          </w:p>
          <w:p w14:paraId="4582CAFD" w14:textId="74D8FDBB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tipprovdi l-kejl tal-iskopertura tal-kuntratti elenkati fil-punti 1 u 2 tal-Anness II CRR ikkalkolat skont l-approċċ standardizzat simplifikat stabbilit fl-Artikolu 281 CRR. L-ammont għandu jiġi rrapportat bil-fattur alfa ta’ 1,4 applikat kif speċifikat fl-Artikolu 274(2) CRR.</w:t>
            </w:r>
          </w:p>
          <w:p w14:paraId="6AF43C3C" w14:textId="2A7E11FA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li japplikaw l-approċċ standardizzat simplifikat ma għandhomx inaqqsu l-miżura tal-iskopertura totali bl-ammont ta’ marġni riċevut skont l-Artikolu 429c(6) CRR. Għalhekk l-eċċezzjoni għall-kuntratti tad-derivattivi ma’ klijenti meta dawk il-kuntratti jiġu kklirjati minn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 xml:space="preserve"> QCCP fl-Artikolu 429c(4) CRR ma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għandhiex tapplika.</w:t>
            </w:r>
          </w:p>
          <w:p w14:paraId="41A54C94" w14:textId="0C57DFAA" w:rsidR="001D7778" w:rsidRPr="000B66BC" w:rsidRDefault="00824B8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ma </w:t>
            </w:r>
            <w:r w:rsidR="001D7778">
              <w:rPr>
                <w:rFonts w:ascii="Times New Roman" w:hAnsi="Times New Roman"/>
                <w:bCs/>
                <w:sz w:val="24"/>
                <w:szCs w:val="24"/>
              </w:rPr>
              <w:t>għandhomx jikkunsidraw f’din iċ-ċellola kuntratti mkejla bl-applikazzjoni tal-SA-CCR jew il-metodu tal-iskopertura oriġinali.</w:t>
            </w:r>
          </w:p>
        </w:tc>
      </w:tr>
      <w:tr w:rsidR="00CB48CC" w:rsidRPr="00E75BB8" w14:paraId="177E0E57" w14:textId="77777777" w:rsidTr="004F0BFB">
        <w:trPr>
          <w:trHeight w:val="304"/>
        </w:trPr>
        <w:tc>
          <w:tcPr>
            <w:tcW w:w="1531" w:type="dxa"/>
          </w:tcPr>
          <w:p w14:paraId="1A21B8B9" w14:textId="3A3A59D4" w:rsidR="00CB48CC" w:rsidRPr="000B66BC" w:rsidRDefault="001F3E8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{0102;0010}</w:t>
            </w:r>
          </w:p>
        </w:tc>
        <w:tc>
          <w:tcPr>
            <w:tcW w:w="7590" w:type="dxa"/>
            <w:gridSpan w:val="3"/>
          </w:tcPr>
          <w:p w14:paraId="1AB84BA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tal-komponent eżentat tas-CCP ta’ skoperturi ta’ negozju kklirjati għall-klijent (approċċ standardizzat simplifikat - kostijiet tas-sostituzzjoni)</w:t>
            </w:r>
          </w:p>
          <w:p w14:paraId="145D251C" w14:textId="06EB3B14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577C5D50" w14:textId="635DFE2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Is-sehem tal-kost tas-sostituzzjoni ta’ skoperturi ta’ negozju eżentati għal QCCP minn tranżazzjonijiet derivattivi kklirjati għall-klijent, diment li dawk l-entrati jissodisfaw il-kundizzjonijiet stabbiliti fil-punt (c) tal-Artikolu 306(1) CRR. Dan l-ammont għandu jkun irrapportat gross bil-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marġni ta’ varjazzjoni tal-flus riċevuti f’dan il-komponent. L-ammont għandu jiġi rrapportat bil-fattur alfa ta’ 1,4 applikat kif speċifikat fl-Artikolu 274(2) CRR. </w:t>
            </w:r>
          </w:p>
          <w:p w14:paraId="217819AF" w14:textId="072BCE6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f’{0101;0010} daqslikieku ma tapplika l-ebda eżenzjoni.</w:t>
            </w:r>
          </w:p>
        </w:tc>
      </w:tr>
      <w:tr w:rsidR="00CB48CC" w:rsidRPr="00E75BB8" w14:paraId="77B81E13" w14:textId="77777777" w:rsidTr="004F0BFB">
        <w:trPr>
          <w:trHeight w:val="304"/>
        </w:trPr>
        <w:tc>
          <w:tcPr>
            <w:tcW w:w="1531" w:type="dxa"/>
          </w:tcPr>
          <w:p w14:paraId="59F8E92F" w14:textId="10EA442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{0103;0010}</w:t>
            </w:r>
          </w:p>
        </w:tc>
        <w:tc>
          <w:tcPr>
            <w:tcW w:w="7590" w:type="dxa"/>
            <w:gridSpan w:val="3"/>
          </w:tcPr>
          <w:p w14:paraId="3D169826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Deroga għad-derivattivi: Kontribuzzjoni tal-iskopertura futura potenzjali skont l-approċċ standardizzat simplifikat (multiplikatur ta’ 1) </w:t>
            </w:r>
          </w:p>
          <w:p w14:paraId="39DE43B2" w14:textId="27EAECF7" w:rsidR="009E7F70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(f) tal-Artikolu 281(2) u l-Artikolu 429c(6) CRR</w:t>
            </w:r>
          </w:p>
          <w:p w14:paraId="5B7322DC" w14:textId="3B678E1F" w:rsidR="00201339" w:rsidRPr="000B66BC" w:rsidRDefault="009E7F70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L-iskopertura futura potenzjali skont l-approċċ standardizzat simplifikat stabbilit fl-Artikolu 281 CRR, bis-suppożizzjoni ta’ multiplikatur ta’ 1. L-ammont għandu jiġi rrapportat bil-fattur alfa ta’ 1,4 applikat kif speċifikat fl-Artikolu 274(2) CRR.</w:t>
            </w:r>
          </w:p>
          <w:p w14:paraId="3AE17E54" w14:textId="0EC4110F" w:rsidR="00CB48CC" w:rsidRPr="000B66BC" w:rsidRDefault="00201339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li japplikaw l-approċċ standardizzat simplifikat ma għandhomx inaqqsu l-miżura tal-iskopertura totali bl-ammont ta’ marġni riċevut skont l-Artikolu 429c(6) CRR.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1595A" w:rsidRPr="00E75BB8" w14:paraId="65B70708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96" w14:textId="77777777" w:rsidR="00E1595A" w:rsidRPr="000B66BC" w:rsidRDefault="00E1595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{0104;0010}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8B96" w14:textId="77777777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L-effett tal-komponent eżentat tas-CCP ta’ skoperturi ta’ negozju kklirjati għall-klijent (approċċ standardizzat simplifikat - skopertura futura potenzjali)</w:t>
            </w:r>
          </w:p>
          <w:p w14:paraId="350D0B05" w14:textId="12CF1F1B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7020C299" w14:textId="3AD30A29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L-iskopertura futura potenzjali ta’ skoperturi ta’ negozju eżentati għal QCCP minn tranżazzjonijiet derivattivi kklirjati għall-klijent, diment li dawn l-entrati jissodisfaw il-kundizzjonijiet stabbiliti fil-punt (c) tal-Artikolu 306(1) CRR. L-ammont għandu jiġi rrapportat bil-fattur alfa ta’ 1,4 applikat kif speċifikat fl-Artikolu 274(2) CRR.</w:t>
            </w:r>
          </w:p>
          <w:p w14:paraId="419E01C7" w14:textId="634D2C08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rrapportat f’din iċ-ċellola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f’{0103;0010} daqslikieku ma tapplika l-ebda eżenzjoni.</w:t>
            </w:r>
          </w:p>
        </w:tc>
      </w:tr>
      <w:tr w:rsidR="00CB48CC" w:rsidRPr="00E75BB8" w14:paraId="28BF0347" w14:textId="77777777" w:rsidTr="00E1595A">
        <w:trPr>
          <w:trHeight w:val="304"/>
        </w:trPr>
        <w:tc>
          <w:tcPr>
            <w:tcW w:w="1531" w:type="dxa"/>
          </w:tcPr>
          <w:p w14:paraId="313EA046" w14:textId="430415F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</w:t>
            </w:r>
          </w:p>
          <w:p w14:paraId="4A976476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CF5E433" w14:textId="00E40A8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Deroga għad-derivattivi: metodu ta’ skopertura oriġinali</w:t>
            </w:r>
          </w:p>
          <w:p w14:paraId="6E5CD50D" w14:textId="4D39910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L-Artikoli 429c(6) u 282 CRR</w:t>
            </w:r>
          </w:p>
          <w:p w14:paraId="394FA10D" w14:textId="263FAF7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tipprovdi l-kejl tal-iskopertura tal-kuntratti elenkati fil-punti 1 u 2 tal-Anness II CRR ikkalkolat skont il-metodu ta’ skopertura oriġinali stabbilit fl-Artikolu 282 CRR.</w:t>
            </w:r>
          </w:p>
          <w:p w14:paraId="0B0A4108" w14:textId="743A74B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li japplikaw il-metodu ta’ skopertura oriġinali ma għandhomx inaqqsu l-kejl tal-iskopertura totali bl-ammont tal-marġni riċevut skont l-Artikolu 429c(6) CRR.</w:t>
            </w:r>
          </w:p>
          <w:p w14:paraId="39B54B07" w14:textId="5E193AC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li ma jużawx il-metodu ta’ skopertura oriġinali ma għandhomx jirrapportaw din iċ-ċellola.</w:t>
            </w:r>
          </w:p>
          <w:p w14:paraId="1981EF1E" w14:textId="08F03AC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kuntratti mkejla bl-applikazzjoni tal-SA-CCR jew l-approċċ standardizzat simplifikat.</w:t>
            </w:r>
          </w:p>
        </w:tc>
      </w:tr>
      <w:tr w:rsidR="00CB48CC" w:rsidRPr="00E75BB8" w14:paraId="3B7D8618" w14:textId="77777777" w:rsidTr="00E1595A">
        <w:trPr>
          <w:trHeight w:val="304"/>
        </w:trPr>
        <w:tc>
          <w:tcPr>
            <w:tcW w:w="1531" w:type="dxa"/>
          </w:tcPr>
          <w:p w14:paraId="42ED892B" w14:textId="40D1913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{0120;0010}</w:t>
            </w:r>
          </w:p>
        </w:tc>
        <w:tc>
          <w:tcPr>
            <w:tcW w:w="7590" w:type="dxa"/>
            <w:gridSpan w:val="3"/>
          </w:tcPr>
          <w:p w14:paraId="6FE290CC" w14:textId="030BF2B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Komponent eżentat tas-CCP ta’ skoperturi ta’ negozju kklirjati għall-klijent (metodu ta’ skopertura oriġinali)</w:t>
            </w:r>
          </w:p>
          <w:p w14:paraId="7A371D92" w14:textId="019B80B2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6CD3BE79" w14:textId="63B5BA0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Il-komponent eżentat tas-CCP ta’ skoperturi ta’ negozju kklirjati għall-klijent meta jkun applikat il-metodu ta’ skopertura oriġinali kif stipulat fl-Artikolu 282 CRR, diment li dawk l-entrati jissodisfaw il-kundizzjonijiet stabbiliti fil-punt (c) tal-Artikolu 306(1) CRR.</w:t>
            </w:r>
          </w:p>
          <w:p w14:paraId="18D8428B" w14:textId="00BA577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l-ammont irrapportat f’din iċ-ċ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ellola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f’{0110;0010} daqslikieku ma tapplika l-ebda eżenzjoni.</w:t>
            </w:r>
          </w:p>
        </w:tc>
      </w:tr>
      <w:tr w:rsidR="00CB48CC" w:rsidRPr="00E75BB8" w14:paraId="5029F8E7" w14:textId="77777777" w:rsidTr="00E1595A">
        <w:trPr>
          <w:trHeight w:val="304"/>
        </w:trPr>
        <w:tc>
          <w:tcPr>
            <w:tcW w:w="1531" w:type="dxa"/>
          </w:tcPr>
          <w:p w14:paraId="598E1804" w14:textId="3350632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590" w:type="dxa"/>
            <w:gridSpan w:val="3"/>
          </w:tcPr>
          <w:p w14:paraId="0ECB889E" w14:textId="0C2B43C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Ammont nozzjonali limitat tad-derivattivi ta’ kreditu sottoskritti</w:t>
            </w:r>
          </w:p>
          <w:p w14:paraId="3144DF47" w14:textId="4DAEFC5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429d CRR</w:t>
            </w:r>
          </w:p>
          <w:p w14:paraId="7435D499" w14:textId="4D131588" w:rsidR="00CB48CC" w:rsidRPr="000B66BC" w:rsidRDefault="00E75BB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jiddeterminaw l-ammont nozzjonali limitat ta’ derivattivi ta’ kreditu sottoskritti, kif definit fl-Artikolu 429d(1), b’konformità mal-Artikolu 429d CRR.</w:t>
            </w:r>
          </w:p>
        </w:tc>
      </w:tr>
      <w:tr w:rsidR="00CB48CC" w:rsidRPr="00E75BB8" w14:paraId="5DA0B9DC" w14:textId="77777777" w:rsidTr="00E1595A">
        <w:trPr>
          <w:trHeight w:val="304"/>
        </w:trPr>
        <w:tc>
          <w:tcPr>
            <w:tcW w:w="1531" w:type="dxa"/>
          </w:tcPr>
          <w:p w14:paraId="753E918D" w14:textId="3CA2220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{0140;0010}</w:t>
            </w:r>
          </w:p>
        </w:tc>
        <w:tc>
          <w:tcPr>
            <w:tcW w:w="7590" w:type="dxa"/>
            <w:gridSpan w:val="3"/>
          </w:tcPr>
          <w:p w14:paraId="7C62D40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Derivattivi ta’ kreditu mixtrija eliġibbli li tpaċew ma’ derivattivi ta’ kreditu sottoskritti</w:t>
            </w:r>
          </w:p>
          <w:p w14:paraId="64C8DF12" w14:textId="702DD54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429d CRR</w:t>
            </w:r>
          </w:p>
          <w:p w14:paraId="444D1EBB" w14:textId="45DE543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nozzjonali limitat ta’ derivattivi ta’ kreditu mixtrijin (jiġifieri meta l-istituzzjoni tkun qed tixtri protezzjoni ta’ kreditu mingħand kontroparti) bl-istess ismijiet ta’ referenza bħal dawk id-derivattivi ta’ kreditu sottoskritti mill-istituzzjoni, meta l-maturità li jifdal tal-protezzjoni mixtrija tkun daqs jew ikbar mill-maturità li jifdal tal-protezzjoni mibjugħa. Għalhekk, il-valur ma għandux ikun ikbar mill-valur imdaħħal f’{0130;0010} għal kull isem ta’ referenza.</w:t>
            </w:r>
          </w:p>
        </w:tc>
      </w:tr>
      <w:tr w:rsidR="00CB48CC" w:rsidRPr="00E75BB8" w14:paraId="31F41404" w14:textId="77777777" w:rsidTr="00E1595A">
        <w:trPr>
          <w:trHeight w:val="983"/>
        </w:trPr>
        <w:tc>
          <w:tcPr>
            <w:tcW w:w="1531" w:type="dxa"/>
          </w:tcPr>
          <w:p w14:paraId="7A070329" w14:textId="158316A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{0150;0010}</w:t>
            </w:r>
          </w:p>
          <w:p w14:paraId="7A113EB7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4E086B7E" w14:textId="295BDA9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Entrati li ma jidhrux fil-karta tal-bilanċ b’CCF ta’ 10 % skont l-Artikolu 429f CRR</w:t>
            </w:r>
          </w:p>
          <w:p w14:paraId="7C110152" w14:textId="43DD859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429f , il-punt (d) tal-Artikolu 111(1) u l-Artikolu 166(9) CRR</w:t>
            </w:r>
          </w:p>
          <w:p w14:paraId="6707D5C8" w14:textId="4D87213B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tal-iskopertura, skont l-Artikoli 429f u l-punt (d) tal-Artikolu 111(1) CRR, ta’ entrati ta’ riskju baxx barra l-karta tal-bilanċ li jkunu assenjati fattur ta’ konverżjoni tal-kreditu ta’ 0 % imsemmi fil-punti 4(a) sa (c) tal-Anness I CRR (bħala tfakkira, il-valur tal-iskopertura hawnhekk għandu jkun ta’ 10 % tal-valur nominali).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Dan ifisser impenji li jistgħu jkunu kkanċellati inkondizzjonalment fi kwalunkwe waqt mill-istituzzjoni mingħajr avviż minn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qabel (UCC), jew li effettivament jipprovdu għal kanċellazzjoni awtomatika minħabba deterjorament fl-affidabbiltà kreditizja ta’ mutwatarju.</w:t>
            </w:r>
          </w:p>
          <w:p w14:paraId="7057DD3E" w14:textId="56EEEB5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Bħala tfakkira, il-valur nominali ma għandux jitnaqqas bl-aġġustamenti speċifiċi tar-riskju ta’ kreditu.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Minflok, kif indikat fl-Artikolu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34359CD8" w14:textId="5412C36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impenn jirreferi għall-estensjoni ta’ impenn ieħor, għandu jintuża l-iktar fattur ta’ konverżjoni baxx mit-tnejn assoċjati mal-impenn individwali skont l-Artikolu 166(9) CRR.</w:t>
            </w:r>
          </w:p>
          <w:p w14:paraId="2398A4B9" w14:textId="00F3B502" w:rsidR="00CB48CC" w:rsidRPr="000B66BC" w:rsidRDefault="00CB48CC" w:rsidP="0061658B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kuntratti elenkati fl-Anness II CRR, derivattivi ta’ kreditu, SFTs u pożizzjonijiet imsemmija fl-Artikolu 429d skont l-Artikolu 429f CRR.</w:t>
            </w:r>
          </w:p>
        </w:tc>
      </w:tr>
      <w:tr w:rsidR="00CB48CC" w:rsidRPr="00E75BB8" w14:paraId="736A5471" w14:textId="77777777" w:rsidTr="00E1595A">
        <w:trPr>
          <w:trHeight w:val="712"/>
        </w:trPr>
        <w:tc>
          <w:tcPr>
            <w:tcW w:w="1531" w:type="dxa"/>
          </w:tcPr>
          <w:p w14:paraId="7BB0A9E0" w14:textId="321744D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{0160;0010}</w:t>
            </w:r>
          </w:p>
        </w:tc>
        <w:tc>
          <w:tcPr>
            <w:tcW w:w="7590" w:type="dxa"/>
            <w:gridSpan w:val="3"/>
          </w:tcPr>
          <w:p w14:paraId="079FCB69" w14:textId="2073AC3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Entrati li ma jidhrux fil-karta tal-bilanċ b’CCF ta’ 20% skont l-Artikolu 429f CRR</w:t>
            </w:r>
          </w:p>
          <w:p w14:paraId="1808F2C6" w14:textId="10A2DDC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429f, il-punt (c) tal-Artikolu 111(1) u l-Artikolu 166(9) CRR</w:t>
            </w:r>
          </w:p>
          <w:p w14:paraId="4A175A4A" w14:textId="7B7E24FD" w:rsidR="00494A67" w:rsidRPr="000B66BC" w:rsidRDefault="00CB48CC" w:rsidP="000B66BC">
            <w:pPr>
              <w:pStyle w:val="BodyText1"/>
              <w:spacing w:after="24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tal-iskopertura, skont l-Artikoli 429f u l-punt (c) tal-Artikolu 111(1) CRR, ta’ entrati ta’ riskju medju/baxx li ma jidhrux fil-karta tal-bilanċ li jkunu assenjati fattur ta’ konverżjoni tal-kreditu ta’ 20 % imsemmi fil-punti 3(a) u (b) tal-Anness I CRR (bħala tfakkira, il-valur tal-iskopertura hawnhekk għandu jkun ta’ 20 % tal-valur nominali) .</w:t>
            </w:r>
            <w:r>
              <w:rPr>
                <w:sz w:val="24"/>
                <w:szCs w:val="24"/>
              </w:rPr>
              <w:t xml:space="preserve"> </w:t>
            </w:r>
          </w:p>
          <w:p w14:paraId="130864F0" w14:textId="3274315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Bħala tfakkira, il-valur nominali ma għandux jitnaqqas bl-aġġustamenti speċifiċi tar-riskju ta’ kreditu. Minflok, kif indikat fl-Artikolu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771B332A" w14:textId="315DE50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impenn jirreferi għall-estensjoni ta’ impenn ieħor, għandu jintuża l-iktar fattur ta’ konverżjoni baxx mit-tnejn assoċjati mal-impenn individwali skont l-Artikolu 166(9) CRR.</w:t>
            </w:r>
          </w:p>
          <w:p w14:paraId="6986CCC3" w14:textId="57BAE945" w:rsidR="003A5EB5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kuntratti elenkati fl-Anness II CRR, derivattivi ta’ kreditu, SFTs u pożizzjonijiet imsemmija fl-Artikolu 429d skont l-Artikolu 429f CRR.</w:t>
            </w:r>
          </w:p>
        </w:tc>
      </w:tr>
      <w:tr w:rsidR="00CB48CC" w:rsidRPr="00E75BB8" w14:paraId="3354B9C5" w14:textId="77777777" w:rsidTr="00E1595A">
        <w:trPr>
          <w:trHeight w:val="304"/>
        </w:trPr>
        <w:tc>
          <w:tcPr>
            <w:tcW w:w="1531" w:type="dxa"/>
          </w:tcPr>
          <w:p w14:paraId="513659B4" w14:textId="6E2AF1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{0170;0010}</w:t>
            </w:r>
          </w:p>
          <w:p w14:paraId="2D1C228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B65BAF0" w14:textId="3893E66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Entrati li ma jidhrux fil-karta tal-bilanċ b’CCF ta’ 50 % skont l-Artikolu 429f CRR</w:t>
            </w:r>
          </w:p>
          <w:p w14:paraId="7DA0F3D2" w14:textId="1CFA5A8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429f, il-punt (b) tal-Artikolu 111(1) u l-Artikolu 166(9) CRR</w:t>
            </w:r>
          </w:p>
          <w:p w14:paraId="54C0DA6B" w14:textId="73FA95BD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Il-valur tal-iskopertura, skont l-Artikoli 429f u l-punt (b) tal-Artikolu 111(1) CRR, ta’ entrati ta’ riskju medju barra l-karta tal-bilanċ li jkunu assenjati fattur ta’ konverżjoni tal-kreditu ta’ 50 % kif definit fl-Approċċ Standardizzat għar-riskju ta’ kreditu msemmi fil-punti 2(a) u (b) tal-Anness I CRR (bħala tfakkira, il-valur tal-iskopertura hawnhekk għandu jkun ta’ 50 % tal-valur nominali).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12D74AD" w14:textId="4740EE8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Bħala tfakkira, il-valur nominali ma għandux jitnaqqas bl-aġġustamenti speċifiċi tar-riskju ta’ kreditu. Minflok, kif indikat fl-Artikolu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116B0E4F" w14:textId="6F4F5E4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tinkludi faċilitajiet ta’ likwidità u impenji oħra għal titolizzazzjonijiet. Fi kliem ieħor, is-CCF għall-faċilitajiet kollha ta’ likwidità skont l-Artikolu 255 CRR huwa 50 % indipendentement mill-maturità.</w:t>
            </w:r>
          </w:p>
          <w:p w14:paraId="4339295A" w14:textId="52E0DC4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impenn jirreferi għall-estensjoni ta’ impenn ieħor, għandu jintuża l-iktar fattur ta’ konverżjoni baxx mit-tnejn assoċjati mal-impenn individwali skont l-Artikolu 166(9) CRR.</w:t>
            </w:r>
          </w:p>
          <w:p w14:paraId="6DDC311B" w14:textId="28D5364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kuntratti elenkati fl-Anness II CRR, derivattivi ta’ kreditu, SFTs u pożizzjonijiet imsemmija fl-Artikolu 429d skont l-Artikolu 429f CRR.</w:t>
            </w:r>
          </w:p>
        </w:tc>
      </w:tr>
      <w:tr w:rsidR="00CB48CC" w:rsidRPr="00E75BB8" w14:paraId="0A0BB45E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46786C4" w14:textId="1D71B0C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{0180;0010}</w:t>
            </w:r>
          </w:p>
          <w:p w14:paraId="22AA02F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F41926D" w14:textId="169040F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Entrati li ma jidhrux fil-karta tal-bilanċ b’CCF ta’ 100 % skont l-Artikolu 429f CRR </w:t>
            </w:r>
          </w:p>
          <w:p w14:paraId="603EE80E" w14:textId="3718671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429f, il-punt (a) tal-Artikolu 111(1) u l-Artikolu 166(9) CRR</w:t>
            </w:r>
          </w:p>
          <w:p w14:paraId="42AF30B9" w14:textId="258E5ABE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tal-iskopertura, skont l-Artikoli 429f u l-punt (a) tal-Artikolu 111(1) CRR, ta’ entrati ta’ riskju għoli li ma jidhrux fil-karta tal-bilanċ li jkunu assenjati fattur ta’ konverżjoni tal-kreditu ta’ 100 % kif imsemmi fil-punti 1(a) sa (k) tal-Anness I CRR (bħala tfakkira, il-valur tal-iskopertura hawnhekk għandu jkun ta’ 100% tal-valur nominali).</w:t>
            </w:r>
          </w:p>
          <w:p w14:paraId="02A01DC2" w14:textId="2A8279D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Bħala tfakkira, il-valur nominali ma għandux jitnaqqas bl-aġġustamenti speċifiċi tar-riskju ta’ kreditu. Minflok, kif indikat fl-Artikolu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12BC0F57" w14:textId="6A8A33B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tinkludi faċilitajiet ta’ likwidità u impenji oħra għal titolizzazzjonijiet.</w:t>
            </w:r>
          </w:p>
          <w:p w14:paraId="01861A93" w14:textId="613C01B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Meta impenn jirreferi għall-estensjoni ta’ impenn ieħor, għandu jintuża l-iktar fattur ta’ konverżjoni baxx mit-tnejn assoċjati mal-impenn individwali skont l-Artikolu 166(9) CRR.</w:t>
            </w:r>
          </w:p>
          <w:p w14:paraId="37DBE5CD" w14:textId="57E127F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kuntratti elenkati fl-Anness II CRR, derivattivi ta’ kreditu, SFTs u pożizzjonijiet imsemmija fl-Artikolu 429d skont l-Artikolu 429f CRR.</w:t>
            </w:r>
          </w:p>
        </w:tc>
      </w:tr>
      <w:tr w:rsidR="00CB48CC" w:rsidRPr="00E75BB8" w14:paraId="36A7A2B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132F7E" w14:textId="5BAF48E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{0181;0010}</w:t>
            </w:r>
          </w:p>
          <w:p w14:paraId="4112019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AD2D6D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(-) Aġġustamenti ġenerali għar-riskju ta’ kreditu għal entrati li ma jidhrux fil-karta tal-bilanċ </w:t>
            </w:r>
          </w:p>
          <w:p w14:paraId="62AD4ABC" w14:textId="73C7D36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429(4) CRR</w:t>
            </w:r>
          </w:p>
          <w:p w14:paraId="301E11EC" w14:textId="5405DCA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ta’ aġġustamenti ġenerali għar-riskju ta’ kreditu li jikkorrispondi għal entrati barra l-karta tal-bilanċ imsemmijin fil-punt (d) tal-Artikolu 429(4), li l-istituzzjonijiet inaqqsu skont l-aħħar paragrafu tal-Artikolu 429(4) CRR.</w:t>
            </w:r>
          </w:p>
          <w:p w14:paraId="2059F8B9" w14:textId="5CF2B1A7" w:rsidR="00CB48CC" w:rsidRPr="000B66BC" w:rsidRDefault="00CB48CC" w:rsidP="0061658B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ma għandux jitqies bħala tnaqqis fil-kalkolu tal-entrati li ma jidhrux fil-karta tal-bilanċ irrapportati fir-ringieli minn {0150;0010} sa {0180;0010}.</w:t>
            </w:r>
          </w:p>
        </w:tc>
      </w:tr>
      <w:tr w:rsidR="00CB48CC" w:rsidRPr="00E75BB8" w14:paraId="1DF5F072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81AAB63" w14:textId="5DF88AB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{0185;0010}</w:t>
            </w:r>
          </w:p>
          <w:p w14:paraId="122DCB6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1E22C55" w14:textId="2D97797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Xiri u bejgħ fi żmien regolari li qed jistennew saldu: Valur kontabilistiku skont il-kontabbiltà tad-data tan-negozju </w:t>
            </w:r>
          </w:p>
          <w:p w14:paraId="4C694246" w14:textId="7FEDC79A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429g(1) CRR</w:t>
            </w:r>
          </w:p>
          <w:p w14:paraId="7D206739" w14:textId="0B1BCEAC" w:rsidR="00272017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It-total ta’:</w:t>
            </w:r>
          </w:p>
          <w:p w14:paraId="5F24E6D9" w14:textId="600F6B36" w:rsidR="00995F8D" w:rsidRPr="000B66BC" w:rsidRDefault="00995F8D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L-ammont ta’ flus relatat ma’ xirjiet fi żmien regolari li jibqgħu fil-karta tal-bilanċ sad-data tas-saldu bħala assi skont il-punt (a) tal-Artikolu 429(4) CRR;</w:t>
            </w:r>
          </w:p>
          <w:p w14:paraId="72B0EC2C" w14:textId="4A90D1A8" w:rsidR="00995F8D" w:rsidRPr="000B66BC" w:rsidRDefault="00272017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Ir-riċevibbli fi flus relatati ma’ bejgħ fi żmien regolari li jibqgħu fil-karta tal-bilanċ bħala assi sad-data tas-saldu b’konformità mal-punt (a) tal-Artikolu 429(4) CRR. Dan l-ammont huwa wara l-effett tat-tpaċija bejn flus riċevibbli għal bejgħ fi żmien regolari li jkun qed jistenna s-saldu u ammonti pagabbli fi flus għal xiri fi żmien regolari li jkun qed jistenna saldu, kif permess skont il-qafas tal-kontabbiltà applikabbli.</w:t>
            </w:r>
          </w:p>
          <w:p w14:paraId="5C35FB48" w14:textId="30C7E81C" w:rsidR="00CB48CC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li jsegwu l-kontabbiltà tad-data tan-negozju għandhom jirrapportaw is-somma msemmija hawn fuq f’din iċ-ċellola minflok fir-ringiela 0190 “assi oħrajn”, filwaqt li għandhom jirrapportaw it-titoli relatati max-xiri fi żmien regolari fir-ringiela 0190.</w:t>
            </w:r>
          </w:p>
        </w:tc>
      </w:tr>
      <w:tr w:rsidR="00CB48CC" w:rsidRPr="00E75BB8" w14:paraId="5102550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F15FF7B" w14:textId="4280A8CB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{0186;0010}</w:t>
            </w:r>
          </w:p>
          <w:p w14:paraId="09F7091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525B26A" w14:textId="3753174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Bejgħ fi żmien regolari li qed jistenna saldu: Treġġigħ lura ta’ tpaċija kontabilistika skont il-kontabbiltà tad-data tan-negozju</w:t>
            </w:r>
          </w:p>
          <w:p w14:paraId="20327055" w14:textId="002037FE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L-Artikolu 429g(2) CRR</w:t>
            </w:r>
          </w:p>
          <w:p w14:paraId="4A0C32B6" w14:textId="15F13BC7" w:rsidR="002B0AA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L-ammont paċut bejn flus riċevibbli għal bejgħ fi żmien regolari li jistenna saldu u ammonti pagabbli fi flus għal xiri fi żmien regolari li jistenna saldu permess skont il-qafas tal-kontabbiltà.</w:t>
            </w:r>
          </w:p>
        </w:tc>
      </w:tr>
      <w:tr w:rsidR="00195426" w:rsidRPr="00E75BB8" w14:paraId="78EEA43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1857A89" w14:textId="623EBF8F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{0187;0010}</w:t>
            </w:r>
          </w:p>
          <w:p w14:paraId="58BAB70E" w14:textId="77777777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510C554" w14:textId="6F10B921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Bejgħ fi żmien regolari li qed jistenna saldu: tpaċija b’konformità ma’ 429 g(2) CRR</w:t>
            </w:r>
          </w:p>
          <w:p w14:paraId="416B6808" w14:textId="6F9B071F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429g(2) CRR</w:t>
            </w:r>
          </w:p>
          <w:p w14:paraId="057F1FAB" w14:textId="296D1A49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paċut bejn riċevibbli fi flus u pagabbli fi flus meta kemm il-bejgħ kif ukoll ix-xiri fi żmien regolari relatati jiġu saldati fuq bażi ta’ konsenja kontra ħlas b’konformità mal-Artikolu 429g(2) CRR.</w:t>
            </w:r>
          </w:p>
        </w:tc>
      </w:tr>
      <w:tr w:rsidR="00CB48CC" w:rsidRPr="00E75BB8" w14:paraId="664DB6E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61F65B7" w14:textId="0803C63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{0188;0010}</w:t>
            </w:r>
          </w:p>
          <w:p w14:paraId="2D8E081B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CD9B991" w14:textId="1F5C665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Xiri fi żmien regolari li qed jistenna saldu: Rikonoxximent sħiħ tal-impenji li jridu jitħallsu skont il-kontabbiltà tad-data tas-saldu </w:t>
            </w:r>
          </w:p>
          <w:p w14:paraId="0305F981" w14:textId="59963D42" w:rsidR="00CB48CC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429g(3) CRR</w:t>
            </w:r>
          </w:p>
          <w:p w14:paraId="1741865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Il-valur nominali sħiħ tal-impenji li jridu jitħallsu relatati max-xiri fi żmien regolari, għall-istituzzjonijiet li, skont il-qafas tal-kontabbiltà applikabbli, japplikaw kontabbiltà tad-data tas-saldu għal xiri u bejgħ fi żmien regolari.</w:t>
            </w:r>
          </w:p>
          <w:p w14:paraId="59B3EB10" w14:textId="3BF06932" w:rsidR="00CB48CC" w:rsidRPr="000B66BC" w:rsidRDefault="003718C7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Titoli relatati ma’ bejgħ fi żmien regolari għandhom jiġu rrapportati fir-ringiela 0190 “assi oħrajn”.</w:t>
            </w:r>
          </w:p>
        </w:tc>
      </w:tr>
      <w:tr w:rsidR="00CB48CC" w:rsidRPr="00E75BB8" w14:paraId="061A339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E6F9470" w14:textId="411DE5F9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{0189;0010}</w:t>
            </w:r>
          </w:p>
          <w:p w14:paraId="299E6D9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DDE4E8F" w14:textId="73B8E58A" w:rsidR="00974BCC" w:rsidRPr="000B66BC" w:rsidRDefault="00974B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Xiri fi żmien regolari li qed jistenna saldu: tpaċija għal impenji ta’ ħlas skont il-kontabbiltà tad-data tas-saldu skont 429 g(3) CRR</w:t>
            </w:r>
          </w:p>
          <w:p w14:paraId="0155689A" w14:textId="174AD3CD" w:rsidR="0049459B" w:rsidRPr="000B66BC" w:rsidRDefault="0049459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L-Artikolu 429g(3) CRR </w:t>
            </w:r>
          </w:p>
          <w:p w14:paraId="795D29D1" w14:textId="5F51921B" w:rsidR="0049459B" w:rsidRPr="000B66BC" w:rsidRDefault="00DC347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Il-parti tal-ammont irrapportat fir-ringiela 0188 paċuta mill-valur nominali sħiħ ta’ riċevibbli fi flus relatati ma’ bejgħ fi żmien regolari li jistenna saldu skont l-Artikolu 429g(3) CRR.</w:t>
            </w:r>
          </w:p>
        </w:tc>
      </w:tr>
      <w:tr w:rsidR="00CB48CC" w:rsidRPr="00E75BB8" w14:paraId="7F056AC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63AA4BD" w14:textId="49D24DA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{0190;0010}</w:t>
            </w:r>
          </w:p>
          <w:p w14:paraId="02CEC1E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50F25DB7" w14:textId="09597DDD" w:rsidR="00CB48CC" w:rsidRPr="000B66BC" w:rsidRDefault="00824B8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 oħrajn</w:t>
            </w:r>
          </w:p>
          <w:p w14:paraId="6BF56BA7" w14:textId="2F396D65" w:rsidR="00CB48CC" w:rsidRPr="000B66BC" w:rsidRDefault="009716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unt (a) tal-Artikolu 429(4) CRR</w:t>
            </w:r>
          </w:p>
          <w:p w14:paraId="412FDEE7" w14:textId="6411B5E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L-assi kollha minbarra l-kuntratti tad-derivattivi elenkati fl-Anness II CRR, derivattivi ta’ kreditu u SFTs (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eż. fost l-oħrajn assi li jridu jiġu rrapportati f’din iċ-ċellola huma kontijiet riċevibbli għall-marġni ta’ varjazzjoni tal-flus fejn rikonoxxut fil-qafas kontabilistiku operattiv, assi likwidi kif definiti skont il-proporzjon tal-kopertura tal-likwidità, tranżazzjonijiet li fallew jew mhux saldati). L-istituzzjonijiet għandhom jibbażaw il-valwazzjoni fuq il-prinċipji stabbiliti fl-Artikolu 429b(1) u 429(7) CRR.</w:t>
            </w:r>
          </w:p>
          <w:p w14:paraId="1C53A1E2" w14:textId="60CEF539" w:rsidR="00BA46B1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F’din iċ-ċellola, l-istituzzjonijiet għandhom jinkludu flus riċevuti jew kwalunkwe titolu li jingħata lil kontroparti permezz ta’ SFTs u li jinżamm fuq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il-karta tal-bilanċ (jiġifieri l-kriterji ta’ kontabbiltà għad-dekontabilizzar ma jkunux issodisfati). Barra minn hekk, l-istituzzjonijiet għandhom jirrikonoxxu entrati li huma mnaqqsin minn entrati tas-CET1 u tal-Grad 1 Addizzjonali (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eż. intanġibbli, assi ta’ taxxa differita eċċ.) hawnhekk.</w:t>
            </w:r>
          </w:p>
          <w:p w14:paraId="0030E8E6" w14:textId="45C780A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 xml:space="preserve">rtat fir-ringiela {0191;0010} ma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għandux jitqies bħala tnaqqis fil-kalkolu ta’ din ir-ringiela.</w:t>
            </w:r>
          </w:p>
          <w:p w14:paraId="52C58829" w14:textId="00F0E87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L-arranġamenti ta’ ppuljar ta’ flus għandhom jiġu rrapportati fir-ringieli {0193;0010}, {0194;0010}, {0195;0010}, {0196;0010}, {0197;0010} u {0198;0010} u mhux hawn.</w:t>
            </w:r>
          </w:p>
        </w:tc>
      </w:tr>
      <w:tr w:rsidR="00CB48CC" w:rsidRPr="00E75BB8" w14:paraId="5EC0060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DDE44FD" w14:textId="3414868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{0191;0010}</w:t>
            </w:r>
          </w:p>
          <w:p w14:paraId="2309589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8980839" w14:textId="55C2851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Aġġustamenti ġenerali għar-riskju ta’ kreditu għ</w:t>
            </w:r>
            <w:r w:rsidR="00824B8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al entrati fil-karta tal-bilanċ</w:t>
            </w:r>
          </w:p>
          <w:p w14:paraId="1CDF58F3" w14:textId="71BFFFC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 429(4) CRR</w:t>
            </w:r>
          </w:p>
          <w:p w14:paraId="7E1379BD" w14:textId="22A9A35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ta’ aġġustamenti ġenerali għar-riskju ta’ kreditu li jikkorrispondi għal entrati tal-karta tal-bilanċ imsemmija fil-punt (a) tal-Artikolu 429(4) CRR, li l-istituzzjonijiet inaqqsu skont l-aħħar paragrafu tal-Artikolu 429(4) CRR.</w:t>
            </w:r>
          </w:p>
          <w:p w14:paraId="58EB87A7" w14:textId="5FEB470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ma għandux jitqies bħala tnaqqis fil-kalkolu ta’ assi oħrajn irrapportati f’{0190;0010}.</w:t>
            </w:r>
          </w:p>
        </w:tc>
      </w:tr>
      <w:tr w:rsidR="006E0322" w:rsidRPr="00E75BB8" w14:paraId="2DB04EEA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7B43E1F" w14:textId="12AF740D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{0193;0010}</w:t>
            </w:r>
          </w:p>
          <w:p w14:paraId="28BFDD3E" w14:textId="77777777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3974CEB" w14:textId="77777777" w:rsidR="00103B23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Arranġamenti ta’ ppuljar ta’ flus li ma jistgħux jiġu nnettjati b’mod prudenti: valur fil-qafas kontabilistiku</w:t>
            </w:r>
          </w:p>
          <w:p w14:paraId="01265E9F" w14:textId="60EBA375" w:rsidR="00103B23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Il-paragrafi (2) u (3) tal-Artikolu 429b CRR</w:t>
            </w:r>
          </w:p>
          <w:p w14:paraId="421B559D" w14:textId="4AEAA674" w:rsidR="006E0322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Il-valur kontabilistiku tal-arranġamenti ta’ ppuljar ta’ flus, jiġifieri ta’ arranġamenti li bihom il-bilanċi ta’ kreditu jew ta’ debitu ta’ bosta kontijiet individwali huma kkombinati għall-finijiet ta’ ġestjoni tal-flus jew tal-likwidità, li ma jistgħux jiġu nnettjati skont il-paragrafi (2) u (3) tal-Artikolu 429b CRR.</w:t>
            </w:r>
          </w:p>
        </w:tc>
      </w:tr>
      <w:tr w:rsidR="00CB48CC" w:rsidRPr="00E75BB8" w14:paraId="26F1512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FD0298B" w14:textId="2215C9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{0194;0010}</w:t>
            </w:r>
          </w:p>
          <w:p w14:paraId="4FD69EB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7940841" w14:textId="77777777" w:rsidR="00103B23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Arranġamenti ta’ ppuljar ta’ flus li ma jistgħux jiġu nnettjati b’mod prudenti: l-effett tal-aggregazzjoni tan-netting applikat fil-qafas kontabilistiku</w:t>
            </w:r>
          </w:p>
          <w:p w14:paraId="390CF1DE" w14:textId="2700A00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L-Artikolu 429(7)(b) u l-paragrafi (2) u (3) ta’ 429b CRR</w:t>
            </w:r>
          </w:p>
          <w:p w14:paraId="7AC9B352" w14:textId="40BB7FB2" w:rsidR="00CB48CC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innettjat skont il-qafas kontabilistiku applikabbli fuq l-arranġamenti ta’ ppuljar ta’ flus li ma jistgħux jiġu nnettjati b’mod prudenti, irrapportat f’{0193;0010}.</w:t>
            </w:r>
          </w:p>
        </w:tc>
      </w:tr>
      <w:tr w:rsidR="00CB48CC" w:rsidRPr="00E75BB8" w14:paraId="751549C0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2C2B1C4" w14:textId="60D4BAFE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{0195;0010}</w:t>
            </w:r>
          </w:p>
          <w:p w14:paraId="522A5DF4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E634AD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Arranġamenti ta’ ppuljar ta’ flus li jistgħu jiġu nnettjati b’mod prudenti: valur fil-qafas kontabilistiku</w:t>
            </w:r>
          </w:p>
          <w:p w14:paraId="444FD556" w14:textId="5E074DD5" w:rsidR="00CB48CC" w:rsidRPr="000B66BC" w:rsidRDefault="0073197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Il-paragrafi (2) u (3) tal-Artikolu 429b CRR</w:t>
            </w:r>
          </w:p>
          <w:p w14:paraId="5FF92BE1" w14:textId="5941CDC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Il-valur kontabilistiku tal-arranġamenti ta’ ppuljar ta’ flus, jiġifieri ta’ arranġamenti li bihom il-bilanċi ta’ kreditu jew ta’ debitu ta’ bosta kontijiet individwali huma kkombinati għall-finijiet ta’ ġestjoni tal-flus jew tal-likwidità, li jistgħu jiġu nnettjati skont il-paragrafi (2) u (3) tal-Artikolu 429b CRR.</w:t>
            </w:r>
          </w:p>
        </w:tc>
      </w:tr>
      <w:tr w:rsidR="00CB48CC" w:rsidRPr="00E75BB8" w14:paraId="0FD5A27F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CBB43FC" w14:textId="18B8DCA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{0196;0010}</w:t>
            </w:r>
          </w:p>
          <w:p w14:paraId="472BF07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BB5D25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Arranġamenti ta’ ppuljar ta’ flus li jistgħu jiġu nnettjati b’mod prudenti: l-effett tal-aggregazzjoni tan-netting applikat fil-qafas kontabilistiku</w:t>
            </w:r>
          </w:p>
          <w:p w14:paraId="770F0F10" w14:textId="4C81211E" w:rsidR="00CB48CC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Il-paragrafi (2) u (3) tal-Artikolu 429b CRR</w:t>
            </w:r>
          </w:p>
          <w:p w14:paraId="4F594E25" w14:textId="2FF29B12" w:rsidR="00864866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innettjat skont il-qafas kontabilistiku applikabbli fuq l-arranġamenti ta’ ppuljar ta’ flus li jistgħu jiġu nnettjati b’mod prudenti, irrapportat f’{0195;0010}.</w:t>
            </w:r>
          </w:p>
          <w:p w14:paraId="14E77DE6" w14:textId="4279D111" w:rsidR="00CB48CC" w:rsidRPr="000B66BC" w:rsidRDefault="00166A6F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Meta l-istituzzjoni tissodisfa l-punt (b) tal-Artikolu 429b(2), ma għandhomx japplikaw il-gross-up f’din ir-ringiela għal bilanċi mitmuma fuq il-bażi tal-proċess stabbilit fil-punt (a) tal-Artikolu 429b(2).</w:t>
            </w:r>
          </w:p>
        </w:tc>
      </w:tr>
      <w:tr w:rsidR="00CB48CC" w:rsidRPr="00E75BB8" w14:paraId="6C59845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1C78F9F" w14:textId="649683A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{0197;0010}</w:t>
            </w:r>
          </w:p>
          <w:p w14:paraId="2FDD840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01FD6E4" w14:textId="10E0481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Arranġamenti ta’ ppuljar ta’ flus li jistgħu jiġu nnettjati b’mod prudenti: Rikonoxximent tan-netting skont l-Artikolu 429b(2) CRR</w:t>
            </w:r>
          </w:p>
          <w:p w14:paraId="52C1DAD6" w14:textId="073ADCE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429b(2) CRR</w:t>
            </w:r>
          </w:p>
          <w:p w14:paraId="6514DC6F" w14:textId="4B1A16D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innettjat mill-iskopertura grossa relatata mal-arranġamenti ta’ ppuljar ta’ flus (is-somma tar-ringieli 0195 u 0196) f’konformità mal-Artikolu 429b(2).</w:t>
            </w:r>
          </w:p>
        </w:tc>
      </w:tr>
      <w:tr w:rsidR="00CB48CC" w:rsidRPr="00E75BB8" w14:paraId="6681A52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136B44E" w14:textId="263B95A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{0198;0010}</w:t>
            </w:r>
          </w:p>
          <w:p w14:paraId="6AAFDEE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806A066" w14:textId="78381F2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Arranġamenti ta’ ppuljar ta’ flus li jistgħu jiġu nnettjati b’mod prudenti: Rikonoxximent tal-innettjar skont l-Artikolu 429b(3) CRR</w:t>
            </w:r>
          </w:p>
          <w:p w14:paraId="4EC11D08" w14:textId="1C108B6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429b(3) CRR</w:t>
            </w:r>
          </w:p>
          <w:p w14:paraId="10AA0B56" w14:textId="114633D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innettjat mill-iskopertura grossa relatata mal-arranġamenti ta’ ppuljar ta’ flus (is-somma tar-ringieli 0195 u 0196) f’konformità mal-Artikolu 429b(3).</w:t>
            </w:r>
          </w:p>
        </w:tc>
      </w:tr>
      <w:tr w:rsidR="00CB48CC" w:rsidRPr="00E75BB8" w14:paraId="3E08AE3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6A9AAE1" w14:textId="7B5874E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60D27D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Ammont gross għall-kollateral tad-derivattivi pprovdut</w:t>
            </w:r>
          </w:p>
          <w:p w14:paraId="2AA08714" w14:textId="41C03BF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429c(2) CRR</w:t>
            </w:r>
          </w:p>
          <w:p w14:paraId="6B6AC708" w14:textId="06CA4FC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ta’ kwalunkwe kollateral tad-derivattivi pprovdut meta l-provvediment ta’ dak il-kollateral inaqqas l-ammont tal-assi fil-qafas applikabbli tal-kontabbiltà, kif stabbilit fl-Artikolu 429c(2) CRR.</w:t>
            </w:r>
          </w:p>
          <w:p w14:paraId="3815F945" w14:textId="1A622F6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ma għandhomx jinkludu f’din iċ-ċellola l-marġni inizjali għal tranżazzjonijiet derivattivi kklirjati għall-klijent b’CCP kwalifikanti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(QCCP) jew marġni ta’ varjazzjoni eliġibbli fi flus, kif definit fl-Artikolu 429c(3) CRR.</w:t>
            </w:r>
          </w:p>
        </w:tc>
      </w:tr>
      <w:tr w:rsidR="00CB48CC" w:rsidRPr="00E75BB8" w14:paraId="5CAE26A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E109898" w14:textId="552996B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{0210;0010}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DBB01E6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Riċevibbli għall-marġni ta’ varjazzjoni fil-flus ipprovduti fi tranżazjonijiet ta’ derivattivi</w:t>
            </w:r>
          </w:p>
          <w:p w14:paraId="353AEF67" w14:textId="43C03950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(c) tal-Artikolu 429c(3) CRR</w:t>
            </w:r>
          </w:p>
          <w:p w14:paraId="43A45BE7" w14:textId="406377D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Ir-riċevibbli għall-marġni ta’ varjazzjoni mħallas fi flus lill-kontroparti fi tranżazzjonijiet derivattivi jekk l-istituzzjoni tkun meħtieġa, fil-qafas kontabilistiku applikabbli, li tirrikonoxxi dawn ir-riċevibbli bħala assi, diment li jkunu ssodisfati l-kundizzjonijiet fil-punti (a) sa (e) tal-Artikolu 429c(3) CRR.</w:t>
            </w:r>
          </w:p>
          <w:p w14:paraId="5E1EBFBA" w14:textId="5DE4D17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7004E9E4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00E881A" w14:textId="0436C5A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8880B5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Komponent eżentat tas-CCP tal-iskoperturi ta’ negozju kklirjati għall-klijent (marġni inizjali)</w:t>
            </w:r>
          </w:p>
          <w:p w14:paraId="3E812C65" w14:textId="42F89140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(g) tal-Artikolu 429a(1) CRR</w:t>
            </w:r>
          </w:p>
          <w:p w14:paraId="5FE3535A" w14:textId="54E9158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Is-sehem tal-marġni inizjali (imdaħħal) tal-iskoperturi ta’ negozju eżentati għal QCCP minn tranżazzjonijiet derivattivi kklirjati għall-klijent, diment li dawk l-entrati jissodisfaw il-kundizzjonijiet stabbiliti fil-punt (c) tal-Artikolu 306(1) CRR.</w:t>
            </w:r>
          </w:p>
          <w:p w14:paraId="6C360905" w14:textId="21F19BE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49F39ED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78DD162" w14:textId="26EF1E5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6A6525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Aġġustamenti għal tranżazzjonijiet kontabilistiċi ta’ bejgħ bħala SFT</w:t>
            </w:r>
          </w:p>
          <w:p w14:paraId="46B4994C" w14:textId="0CEC78C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429e(6) CRR</w:t>
            </w:r>
          </w:p>
          <w:p w14:paraId="05B69EB8" w14:textId="4CF799C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tat-titoli msellfa fi tranżazzjoni ta’ riakkwist li huma dekontabilizzati minħabba tranżazzjoni ta’ kontabbiltà tal-bejgħ fil-qafas kontabilistiku applikabbli.</w:t>
            </w:r>
          </w:p>
        </w:tc>
      </w:tr>
      <w:tr w:rsidR="00CB48CC" w:rsidRPr="00E75BB8" w14:paraId="5CBC395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2212EBE" w14:textId="01A07AD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E0AEEEF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(-) Tnaqqis tal-valur tal-iskopertura ta’ prefinanzjament jew self intermedju </w:t>
            </w:r>
          </w:p>
          <w:p w14:paraId="44C18D39" w14:textId="66E20065" w:rsidR="00131C70" w:rsidRPr="000B66BC" w:rsidRDefault="00131C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429(8) CRR</w:t>
            </w:r>
          </w:p>
          <w:p w14:paraId="211507FA" w14:textId="073612F0" w:rsidR="00131C70" w:rsidRPr="000B66BC" w:rsidRDefault="00131C70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imnaqqas mill-valur tal-iskopertura ta’ self ta’ prefinanzjament jew self intermedju, skont l-Artikolu 429(8) CRR.</w:t>
            </w:r>
          </w:p>
          <w:p w14:paraId="28E46325" w14:textId="539EE861" w:rsidR="00131C70" w:rsidRPr="000B66BC" w:rsidRDefault="00266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fl-assi l-oħrajn irrapportati f’{0190;0010}.</w:t>
            </w:r>
          </w:p>
        </w:tc>
      </w:tr>
      <w:tr w:rsidR="00CB48CC" w:rsidRPr="00E75BB8" w14:paraId="18C57782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BF18418" w14:textId="18069978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B65685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Assi fiduċjarji</w:t>
            </w:r>
          </w:p>
          <w:p w14:paraId="7B749386" w14:textId="40813869" w:rsidR="00CB48CC" w:rsidRPr="000B66BC" w:rsidRDefault="00520E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Il-punt (i) tal-Artikolu 429a(1) CRR</w:t>
            </w:r>
          </w:p>
          <w:p w14:paraId="0AD4C34E" w14:textId="385DE8F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tal-assi fiduċjarji li huma rikonoxxuti fuq il-karta tal-bilanċ tal-istituzzjoni skont il-prinċipji tal-kontabbiltà ġeneralment aċċettati, jissodisfaw il-kriterji tal-IFRS 9 għad-dekontabilizzar u, fejn applikabbli, l-IFRS 10 għad-dekonsolidazzjoni, skont l-Artikolu 429a(1) CRR, meta ma jiġi supponut ebda effett ta’ netting kontabilistiku jew effett CRM ieħor (jiġifieri kull effett li jirriżulta min-netting kontabilistiku jew CRM li kellu impatt fuq il-valur kontabilistiku għandu jitreġġa’ lura).</w:t>
            </w:r>
          </w:p>
          <w:p w14:paraId="3BDFEE4B" w14:textId="1245B02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6FE4C90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A867BE8" w14:textId="56A136F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{0250;0010}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444C70A3" w14:textId="05BF16E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Skoperturi intragrupp (bażi individwali) eżentati skont il-punt (c) tal-Artikolu 429a(1) CRR</w:t>
            </w:r>
          </w:p>
          <w:p w14:paraId="1E2E0D64" w14:textId="0EDDBD10" w:rsidR="00CB48CC" w:rsidRPr="000B66BC" w:rsidRDefault="0001056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(c) tal-Artikolu 429a(1) u l-Artikolu 113(6) CRR</w:t>
            </w:r>
          </w:p>
          <w:p w14:paraId="76D582E8" w14:textId="112B9FB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Skoperturi li ma kinux konsolidati fil-livell applikabbli ta’ konsolidazzjoni, li jistgħu jibbenefikaw mit-trattament stipulat fl-Artikolu 113(6) CRR, diment li jkunu ssodisfati l-kundizzjonijiet kollha stipulati fil-punti (a) sa (e) tal-Artikolu 113(6) CRR u meta l-awtoritajiet kompetenti jkunu taw l-approvazzjoni tagħhom.</w:t>
            </w:r>
          </w:p>
          <w:p w14:paraId="01853F94" w14:textId="1684672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38D7A9B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70147EC" w14:textId="12EDC22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{0251;0010}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4730EC18" w14:textId="519AD492" w:rsidR="00CB48CC" w:rsidRPr="000B66BC" w:rsidRDefault="00CB48CC" w:rsidP="000B66BC">
            <w:pPr>
              <w:spacing w:after="24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(-) Skoperturi IPS eżentati skont il-punt (c) tal-Artikolu 429a(1) CRR </w:t>
            </w:r>
          </w:p>
          <w:p w14:paraId="7A5F0217" w14:textId="3BD9BB82" w:rsidR="00CB48CC" w:rsidRPr="000B66BC" w:rsidRDefault="009433A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 ) tal-Artikolu 429a(1) u l-Artikolu 113(7) CRR</w:t>
            </w:r>
          </w:p>
          <w:p w14:paraId="16C42B04" w14:textId="0235EB7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Skoperturi li jistgħu jibbenefikaw mit-trattament stipulat fl-Artikolu 113(7) CRR, diment li jkunu ssodisfati l-kundizzjonijiet kollha stipulati fil-punti (a) sa (i) tal-Artikolu 113(7) CRR u meta l-awtoritajiet kompetenti jkunu taw l-approvazzjoni tagħhom.</w:t>
            </w:r>
          </w:p>
          <w:p w14:paraId="3349FF66" w14:textId="7075C42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1D8BFA6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496E47D" w14:textId="20CF4394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{0252;0010}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BC877C8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(-) Partijiet garantiti ta’ skoperturi esklużi li jirriżultaw minn krediti għall-esportazzjoni </w:t>
            </w:r>
          </w:p>
          <w:p w14:paraId="43FFAEEA" w14:textId="6996A4DE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(f) tal-Artikolu 429a(1) CRR</w:t>
            </w:r>
          </w:p>
          <w:p w14:paraId="0F2E3189" w14:textId="533FCFC9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Il-partijiet garantiti tal-iskoperturi li jirriżultaw minn krediti għall-esportazzjoni li jistgħu jiġu esklużi meta jiġu ssodisfati l-kundizzjonijiet tal-punt (f) tal-Artikolu 429a(1) CRR.</w:t>
            </w:r>
          </w:p>
          <w:p w14:paraId="4BBC9AD0" w14:textId="70F280C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AD87F00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E11F6EB" w14:textId="7777777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3A635F" w14:textId="34C01B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{0253;0010}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50310BA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Kollateral eċċessiv eskluż depożitat ma’ aġenti tripartitiċi</w:t>
            </w:r>
          </w:p>
          <w:p w14:paraId="209C179F" w14:textId="52133B85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(k) tal-Artikolu 429a(1) CRR</w:t>
            </w:r>
          </w:p>
          <w:p w14:paraId="64B746C7" w14:textId="3E23835E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Il-kollateral eċċessiv depożitat ma’ aġenti tripartitiċi li ma jkunx ingħata b’self, li jista’ jiġi eskluż skont il-punt (k) tal-Artikolu 429a(1).</w:t>
            </w:r>
          </w:p>
          <w:p w14:paraId="7D107153" w14:textId="22433B1F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54166E91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E8D1AF5" w14:textId="6DF49680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{0254;0010}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65021DC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(-) Skoperturi titolizzati esklużi li jirrappreżentaw trasferiment ta’ riskju sinifikanti </w:t>
            </w:r>
          </w:p>
          <w:p w14:paraId="69C77F33" w14:textId="46DF2D91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(m) tal-Artikolu 429a(1) CRR</w:t>
            </w:r>
          </w:p>
          <w:p w14:paraId="17E7D3CF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L-iskoperturi titolizzati minn titolizzazzjonijiet tradizzjonali li jissodisfaw il-kondizzjonijiet għat-trasferiment ta’ riskju sinifikanti stipulati fl-Artikolu 244(2).</w:t>
            </w:r>
          </w:p>
          <w:p w14:paraId="56BAB74A" w14:textId="083FCC3D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069054A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B9CA4F6" w14:textId="3C428D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3716DF9" w14:textId="7AE3DBC1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Skoperturi għall-bank ċentrali eżentati skont il-punt (n) tal-Artikolu 429a(1) CRR</w:t>
            </w:r>
          </w:p>
          <w:p w14:paraId="737C879F" w14:textId="12727147" w:rsidR="00EC6F1E" w:rsidRPr="000B66BC" w:rsidRDefault="00DE248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(n) tal-Artikolu 429a(1) CRR</w:t>
            </w:r>
          </w:p>
          <w:p w14:paraId="300950AF" w14:textId="128AE793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54E0401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7FCDF2C" w14:textId="69109565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{0256;0010}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B0A550F" w14:textId="4B707580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Servizzi anċillari ta’ tip bankarju ta’ CSD/istituzzjonijiet esklużi skont il-punt (o) tal-Artikolu 429a(1) CRR</w:t>
            </w:r>
          </w:p>
          <w:p w14:paraId="5D17ABE6" w14:textId="34589EFF" w:rsidR="00EC6F1E" w:rsidRPr="000B66BC" w:rsidRDefault="00F826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(o) tal-Artikolu 429a(1) CRR</w:t>
            </w:r>
          </w:p>
          <w:p w14:paraId="2A59DF82" w14:textId="75E2BAB5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96C7E6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A077F3C" w14:textId="5BBF63E4" w:rsidR="00EC6F1E" w:rsidRPr="000B66BC" w:rsidRDefault="0001312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{0257;0010}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CA8E235" w14:textId="46D85AE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Servizzi anċillari ta’ tip bankarju ta’ istituzzjonijiet magħżula esklużi skont il-punt (p) tal-Artikolu 429a(1) CRR</w:t>
            </w:r>
          </w:p>
          <w:p w14:paraId="290DEB1D" w14:textId="75242795" w:rsidR="00F82681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(p) tal-Artikolu 429a(1) CRR</w:t>
            </w:r>
          </w:p>
          <w:p w14:paraId="302E407B" w14:textId="2195E524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759771C3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23A3FCF" w14:textId="6DF532E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1FAED4EC" w14:textId="070F6CE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(-) Skoperturi eżentati skont il-punt (j ) tal-Artikolu 429a(1) CRR</w:t>
            </w:r>
          </w:p>
          <w:p w14:paraId="218BC8E5" w14:textId="75D19170" w:rsidR="00CB48CC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Il-punt (j ) tal-Artikolu 429a(1) CRR</w:t>
            </w:r>
          </w:p>
          <w:p w14:paraId="3A1ACCB0" w14:textId="03C5666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Skoperturi eżentati skont il-punt (j ) ta’ 429a(1) CRR sakemm il-kundizzjonijiet imsemmija fih jiġu ssodisfati.</w:t>
            </w:r>
          </w:p>
          <w:p w14:paraId="639566D9" w14:textId="70FB6A4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4D2ECF1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DF44B5D" w14:textId="2AAC5E7C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{0261;0010}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117C87C" w14:textId="7829B627" w:rsidR="00743C1E" w:rsidRPr="000B66BC" w:rsidRDefault="009D46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Skoperturi esklużi ta’ istituzzjonijiet ta’ kreditu għall-iżvilupp pubbliku - Investimenti fis-settur pubbliku</w:t>
            </w:r>
          </w:p>
          <w:p w14:paraId="387343FE" w14:textId="46F57845" w:rsidR="00743C1E" w:rsidRPr="000B66BC" w:rsidRDefault="0099354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tal-paragrafu (1) u l-paragrafu (2) tal-Artikolu 429a CRR</w:t>
            </w:r>
          </w:p>
          <w:p w14:paraId="740BFE27" w14:textId="5213D185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L-iskoperturi li jirriżultaw minn assi li jikkostitwixxu pretensjonijiet fuq gvernijiet ċentrali, gvernijiet reġjonali, awtoritajiet lokali jew entitajiet tas-settur pubbliku fir-rigward ta’ investimenti fis-settur pubbliku, li jistgħu jiġu esklużi skont il-punt (d) tal-Artikolu 429a(1) CRR.</w:t>
            </w:r>
          </w:p>
          <w:p w14:paraId="0B2209FE" w14:textId="596A2475" w:rsidR="000F5958" w:rsidRPr="000B66BC" w:rsidRDefault="000F595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Fejn il-pretensjoni tikkwalifika wkoll bħala self promozzjonali skont l-Artikolu 429a(3), din ma għandhiex tiġi rrapportata f’din iċ-ċellola iżda taħt ir-ringieli 0262-0264 kif applikabbli.</w:t>
            </w:r>
          </w:p>
          <w:p w14:paraId="1F103E32" w14:textId="51AB418A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53C01F2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7CB97C6" w14:textId="5334142B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{0262;0010}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88A486A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Skoperturi esklużi ta’ istituzzjonijiet ta’ kreditu għall-iżvilupp pubbliku - Self Promozzjonali mogħti minn istituzzjoni ta’ kreditu għall-iżvilupp pubbliku</w:t>
            </w:r>
          </w:p>
          <w:p w14:paraId="30828A29" w14:textId="58056F73" w:rsidR="00743C1E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tal-paragrafu (1) u l-paragrafi (2) u (3) tal-Artikolu 429a CRR</w:t>
            </w:r>
          </w:p>
          <w:p w14:paraId="672E00E2" w14:textId="5CD76206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L-iskoperturi li jirriżultaw minn self promozzjonali, inkluż self promozzjonali ta’ trasferiment, mogħti minn istituzzjoni ta’ kreditu għall-iżvilupp pubbliku, li jistgħu jiġu esklużi skont il-punt (d) tal-Artikolu 429a(1) CRR. </w:t>
            </w:r>
            <w:r>
              <w:rPr>
                <w:rFonts w:ascii="Times New Roman" w:hAnsi="Times New Roman"/>
                <w:sz w:val="24"/>
                <w:szCs w:val="24"/>
              </w:rPr>
              <w:t>L-iskoperturi tal-unità ta’ istituzzjoni li hija ttrattata bħala istituzzjoni ta’ kreditu għall-iżvilupp pubbliku minn awtorità kompetenti skont l-aħħar paragrafu tal-Artikolu 429a(2) CRR, għandhom jiġu kkunsidrati wkoll.</w:t>
            </w:r>
          </w:p>
          <w:p w14:paraId="64C77AD5" w14:textId="227981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00B60DD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C78434F" w14:textId="7703C49F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{0263;0010}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CBAF840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Skoperturi esklużi ta’ istituzzjonijiet ta’ kreditu għall-iżvilupp pubbliku - Self promozzjonali mogħti minn entità stabbilita direttament mill-gvern ċentrali, gvernijiet reġjonali jew awtoritajiet lokali ta’ Stat Membru</w:t>
            </w:r>
          </w:p>
          <w:p w14:paraId="4B17F8AE" w14:textId="4DD878AA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tal-paragrafu (1) u l-paragrafi (2) u (3) tal-Artikolu 429a CRR.</w:t>
            </w:r>
          </w:p>
          <w:p w14:paraId="6FAF30DE" w14:textId="69B451A9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L-iskoperturi li jirriżultaw minn self promozzjonali, inkluż self promozzjonali ta’ trasferiment, mogħti minn entità stabbilita direttament mill-gvern ċentrali, gvernijiet reġjonali jew awtoritajiet lokali ta’ Stat Membru, li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jistgħu jiġu esklużi skont il-punt (d) tal-Artikolu 429a(1).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L-iskoperturi tal-unità ta’ istituzzjoni li hija ttrattata bħala istituzzjoni ta’ kreditu għall-iżvilupp pubbliku minn awtorità kompetenti skont l-aħħar paragrafu tal-Artikolu 429a(2), għandhom jiġu kkunsidrati wkoll.</w:t>
            </w:r>
          </w:p>
          <w:p w14:paraId="5A3364FC" w14:textId="2A7576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2491127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33E837E" w14:textId="64229AC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{0264;0010}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047590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Skoperturi esklużi ta’ istituzzjonijiet ta’ kreditu għall-iżvilupp pubbliku - Self promozzjonali mogħti minn entità stabbilita mill-gvern ċentrali, gvernijiet reġjonali jew awtoritajiet lokali ta’ Stat Membru permezz ta’ istituzzjoni ta’ kreditu intermedjarja</w:t>
            </w:r>
          </w:p>
          <w:p w14:paraId="6754B207" w14:textId="0499EE99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tal-paragrafu (1) u l-paragrafi (2) u (3) tal-Artikolu 429a CRR.</w:t>
            </w:r>
          </w:p>
          <w:p w14:paraId="77D97E64" w14:textId="0FCAF836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L-iskoperturi li jirriżultaw minn self promozzjonali, inkluż self promozzjonali ta’ trasferiment, mogħti minn entità stabbilita mill-gvern ċentrali, gvernijiet reġjonali jew awtoritajiet lokali ta’ Stat Membru permezz ta’ istituzzjoni ta’ kreditu intermedjarja, li jistgħu jiġu esklużi skont il-punt (d) tal-Artikolu 429a(1).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L-iskoperturi tal-unità ta’ istituzzjoni li hija ttrattata bħala istituzzjoni ta’ kreditu għall-iżvilupp pubbliku minn awtorità kompetenti skont l-aħħar paragrafu tal-Artikolu 429a(2), għandhom jiġu kkunsidrati wkoll.</w:t>
            </w:r>
          </w:p>
          <w:p w14:paraId="318709D6" w14:textId="775B94CC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337CD92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C7E09CA" w14:textId="166BCBE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3A4A6AD1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Esklużi l-iskoperturi ta’ self promozzjonali ttrasferit minn istituzzjonijiet (jew unitajiet) ta’ kreditu għall-iżvilupp mhux pubbliku - Self promozzjonali mogħti minn istituzzjoni ta’ kreditu għall-iżvilupp pubbliku</w:t>
            </w:r>
          </w:p>
          <w:p w14:paraId="51F998E0" w14:textId="20631915" w:rsidR="009D46F6" w:rsidRPr="000B66BC" w:rsidRDefault="0079137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(e) tal-paragrafu (1) u l-paragrafi (2) u (3) tal-Artikolu 429a CRR</w:t>
            </w:r>
          </w:p>
          <w:p w14:paraId="6B9968E8" w14:textId="7DFDBBBB" w:rsidR="00743C1E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Il-partijiet tal-iskoperturi li jirriżultaw minn self promozzjonali ttrasferit lil istituzzjonijiet ta’ kreditu oħrajn, meta s-self promozzjonali jkun ingħata minn istituzzjoni ta’ kreditu għall-iżvilupp pubbliku. </w:t>
            </w:r>
            <w:r>
              <w:rPr>
                <w:rFonts w:ascii="Times New Roman" w:hAnsi="Times New Roman"/>
                <w:sz w:val="24"/>
                <w:szCs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1CF30E6B" w14:textId="322E3C8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02D7386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7A4063C" w14:textId="06DE7FF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{0266;0010}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A900DC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Esklużi l-iskoperturi ta’ self promozzjonali ttrasferit minn istituzzjonijiet (jew unitajiet) ta’ kreditu għall-iżvilupp mhux pubbliku - Self promozzjonali mogħti minn entità stabbilita direttament mill-gvern ċentrali, gvernijiet reġjonali jew awtoritajiet lokali ta’ Stat Membru</w:t>
            </w:r>
          </w:p>
          <w:p w14:paraId="003BD5E4" w14:textId="14C608A2" w:rsidR="00743C1E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Il-punt (e) tal-paragrafu (1) u l-paragrafi (2) u (3) tal-Artikolu 429a CRR</w:t>
            </w:r>
          </w:p>
          <w:p w14:paraId="128930FF" w14:textId="4A97FBF9" w:rsidR="00415D69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Il-partijiet tal-iskoperturi li jirriżultaw minn self promozzjonali ttrasferit lil istituzzjonijiet ta’ kreditu oħrajn, meta s-self promozzjonali jkun ingħata minn entità stabbilita direttament mill-gvern ċentrali, il-gvernijiet reġjonali jew l-awtoritajiet lokali ta’ Stat Membru. </w:t>
            </w:r>
            <w:r>
              <w:rPr>
                <w:rFonts w:ascii="Times New Roman" w:hAnsi="Times New Roman"/>
                <w:sz w:val="24"/>
                <w:szCs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4DD1C09D" w14:textId="67B346B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78DBF21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59B9A71" w14:textId="29511FD8" w:rsidR="00946138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{0267;0010}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D809E6C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(-) Esklużi l-iskoperturi ta’ self promozzjonali ttrasferit minn istituzzjonijiet (jew unitajiet) ta’ kreditu għall-iżvilupp mhux pubbliku - Self promozzjonali mogħti minn entità stabbilita mill-gvern ċentrali, gvernijiet reġjonali jew awtoritajiet lokali ta’ Stat Membru permezz ta’ istituzzjoni ta’ kreditu intermedjarja</w:t>
            </w:r>
          </w:p>
          <w:p w14:paraId="30EAE7BC" w14:textId="0C45E5B4" w:rsidR="009D46F6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(e) tal-paragrafu (1) u l-paragrafi (2) u (3) tal-Artikolu 429a CRR</w:t>
            </w:r>
          </w:p>
          <w:p w14:paraId="3DE31CDF" w14:textId="7B1B92C9" w:rsidR="00743C1E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Il-partijiet ta’ skoperturi li jirriżultaw minn self promozzjonali ttrasferit lil istituzzjonijiet ta’ kreditu oħrajn, meta s-self promozzjonali jkun ingħata minn entità stabbilita mill-gvern ċentrali, gvernijiet reġjonali jew awtoritajiet lokali ta’ Stat Membru permezz ta’ istituzzjoni ta’ kreditu intermedjarja. </w:t>
            </w:r>
            <w:r>
              <w:rPr>
                <w:rFonts w:ascii="Times New Roman" w:hAnsi="Times New Roman"/>
                <w:sz w:val="24"/>
                <w:szCs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53C99EBF" w14:textId="67514C6D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39D281E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8E3E527" w14:textId="64B2DB2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{0270;0010}</w:t>
            </w:r>
          </w:p>
          <w:p w14:paraId="49DAE00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CD09A92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(-) Ammont ta’ assi mnaqqas - Kapital tal-Grad 1 - definizzjoni stabbilita</w:t>
            </w:r>
          </w:p>
          <w:p w14:paraId="7786B29A" w14:textId="7089DC5D" w:rsidR="00CB48CC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 ) tal-Artikolu 429a(1) u l-punt (a) tal-Artikolu 499(1) CRR</w:t>
            </w:r>
          </w:p>
          <w:p w14:paraId="675D8B7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Dan jinkludi l-aġġustamenti kollha mmirati lejn il-valur ta’ assi u li huma meħtieġa minn:</w:t>
            </w:r>
          </w:p>
          <w:p w14:paraId="0ABD1D78" w14:textId="73D7E1E7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l-Artikoli 32 sa 35 CRR, jew </w:t>
            </w:r>
          </w:p>
          <w:p w14:paraId="14203D05" w14:textId="3C026084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l-Artikoli 36 sa 47 CRR, jew</w:t>
            </w:r>
          </w:p>
          <w:p w14:paraId="33D193AD" w14:textId="423D7CB2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l-Artikoli 56 sa 60 CRR,</w:t>
            </w:r>
          </w:p>
          <w:p w14:paraId="0A1B29C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kif japplika.</w:t>
            </w:r>
          </w:p>
          <w:p w14:paraId="75E8D9BE" w14:textId="4CD30EC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iqisu l-eżenzjonijiet, l-alternattivi u r-rinunzji għal dan it-tnaqqis stabbiliti fl-Artikoli 48, 49 u 79 CRR, mingħajr ma jqisu d-deroga stabbilita fil-Kapitoli 1, 2 u 4 tat-Titolu I tal-Parti Għaxra CRR.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Sabiex jiġi evitat għadd doppju, l-istituzzjonijiet ma għandhomx jirrapportaw aġġustamenti diġà applikati skont l-Artikolu 111 CRR meta jikkalkulaw il-valur tal-iskopertura f’{0010;0010} sa {0267;0010}, u lanqas ma għandhom jirrapportaw xi aġġustament li ma jnaqqasx il-valur ta’ assi speċifiċi.</w:t>
            </w:r>
          </w:p>
          <w:p w14:paraId="36ECE9CF" w14:textId="32731BE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Minħabba li dawn l-ammonti huma diġà mnaqqsin mill-kejl kapitali, dawn inaqqsu l-iskopertura tal-proporzjon tal-ingranaġġ u għandhom ikunu rrapportati bħala ċifra negattiva.</w:t>
            </w:r>
          </w:p>
        </w:tc>
      </w:tr>
      <w:tr w:rsidR="00CB48CC" w:rsidRPr="00E75BB8" w14:paraId="7042885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BCE2B05" w14:textId="02607C2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{0280;0010}</w:t>
            </w:r>
          </w:p>
          <w:p w14:paraId="0F55503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56F1EE18" w14:textId="4A88898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Ammont tal-assi mnaqqas (-) jew miżjud (+) - Kapital tal-Grad 1 - definizzjoni tranżitorja</w:t>
            </w:r>
          </w:p>
          <w:p w14:paraId="552CF68D" w14:textId="57EABD56" w:rsidR="00CB48CC" w:rsidRPr="000B66BC" w:rsidRDefault="006F5F1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Il-punt (b ) tal-Artikolu 429a(1) u l-punt (a) tal-Artikolu 499(1) CRR</w:t>
            </w:r>
          </w:p>
          <w:p w14:paraId="1C7AD92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Dan jinkludi l-aġġustamenti kollha li jaġġustaw il-valur ta’ assi u li huma meħtieġa minn:</w:t>
            </w:r>
          </w:p>
          <w:p w14:paraId="2FE9C127" w14:textId="636E6C4C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L-Artikoli 32 sa 35 CRR, jew </w:t>
            </w:r>
          </w:p>
          <w:p w14:paraId="35A3C50B" w14:textId="1E3D9A92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L-Artikoli 36 sa 47 CRR, jew </w:t>
            </w:r>
          </w:p>
          <w:p w14:paraId="66CB0299" w14:textId="3C5F894A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L-Artikoli 56 sa 60 CRR,</w:t>
            </w:r>
          </w:p>
          <w:p w14:paraId="152F8BF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kif japplika.</w:t>
            </w:r>
          </w:p>
          <w:p w14:paraId="730A3940" w14:textId="2DF593AF" w:rsidR="00D9327B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l-eżenzjonijiet, l-alternattivi u r-rinunzji għal tali tnaqqis kif stabbiliti fl-Artikoli 48, 49 u 79 CRR, apparti li jqisu d-derogi stabbiliti fil-Kapitoli 1, 2 u 4 tat-Titolu I tal-Parti Għaxra CRR. Sabiex jevitaw għadd doppju, l-istituzzjonijiet ma għandhomx jirrapportaw aġġustamenti diġà applikati skont l-Artikolu 111 CRR meta jikkalkolaw il-valur tal-iskopertura f’{0010;0010} sa {0267;0010} u lanqas ma għandhom jirrapportaw xi aġġustament li ma jnaqqasx il-valur ta’ assi speċifiċi.</w:t>
            </w:r>
          </w:p>
          <w:p w14:paraId="33460AF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Minħabba li dawn l-ammonti huma diġà mnaqqsin mill-kejl kapitali, dawn inaqqsu l-iskopertura tal-proporzjon tal-ingranaġġ u għandhom ikunu rrapportati bħala ċifra negattiva.</w:t>
            </w:r>
          </w:p>
          <w:p w14:paraId="5A75B235" w14:textId="511418BF" w:rsidR="00CB48CC" w:rsidRPr="000B66BC" w:rsidRDefault="00D9327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Barra minn hekk, l-istituzzjonijiet jirrapportaw f’din ir-ringiela bħala valur pożittiv l-ammonti li għandhom jingħaddu lura mal-kejl tal-iskopertura tal-proporzjon ta’ ingranaġġ skont l-Artikolu 473a(7) CRR u 473a(7a) CRR.</w:t>
            </w:r>
          </w:p>
        </w:tc>
      </w:tr>
      <w:tr w:rsidR="00CB48CC" w:rsidRPr="00E75BB8" w14:paraId="2854FA9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375AA27" w14:textId="5FEC739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{0290;0010}</w:t>
            </w:r>
          </w:p>
          <w:p w14:paraId="140D82B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55BA90C" w14:textId="6C41950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Kejl tal-iskopertura tal-Proporzjon ta’ Ingranaġġ totali - bl-użu ta’ definizzjoni stabbilita ta’ kapital tal-Grad 1</w:t>
            </w:r>
          </w:p>
          <w:p w14:paraId="18A90C99" w14:textId="73B21DC6" w:rsidR="00CB48CC" w:rsidRPr="000B66BC" w:rsidRDefault="0026270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is-somma tar-ringieli kollha minn 0010 sa 0267 u r-ringiela 0270.</w:t>
            </w:r>
          </w:p>
        </w:tc>
      </w:tr>
      <w:tr w:rsidR="00CB48CC" w:rsidRPr="00E75BB8" w14:paraId="16865D6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F1E1E63" w14:textId="6C4A4D9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{0300;0010}</w:t>
            </w:r>
          </w:p>
          <w:p w14:paraId="2180AA4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62C2DC4" w14:textId="132D1D7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Kejl tal-iskopertura tal-Proporzjon ta’ Ingranaġġ totali - bl-użu ta’ definizzjoni tranżitorja ta’ kapital tal-Grad 1</w:t>
            </w:r>
          </w:p>
          <w:p w14:paraId="247E260C" w14:textId="44CFD3F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is-somma tar-ringieli kollha minn 0010 sa 0267 u r-ringiela 0280.</w:t>
            </w:r>
          </w:p>
        </w:tc>
      </w:tr>
      <w:tr w:rsidR="00CB48CC" w:rsidRPr="00E75BB8" w14:paraId="25B9F129" w14:textId="77777777" w:rsidTr="00E1595A">
        <w:trPr>
          <w:trHeight w:val="304"/>
        </w:trPr>
        <w:tc>
          <w:tcPr>
            <w:tcW w:w="1531" w:type="dxa"/>
            <w:shd w:val="pct25" w:color="auto" w:fill="auto"/>
          </w:tcPr>
          <w:p w14:paraId="069EB129" w14:textId="740388F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Ringiela u kolonna</w:t>
            </w:r>
          </w:p>
        </w:tc>
        <w:tc>
          <w:tcPr>
            <w:tcW w:w="7590" w:type="dxa"/>
            <w:gridSpan w:val="3"/>
            <w:shd w:val="pct25" w:color="auto" w:fill="auto"/>
          </w:tcPr>
          <w:p w14:paraId="10FF1AF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Kapital </w:t>
            </w:r>
          </w:p>
        </w:tc>
      </w:tr>
      <w:tr w:rsidR="00CB48CC" w:rsidRPr="00E75BB8" w14:paraId="448FE1D7" w14:textId="77777777" w:rsidTr="00E1595A">
        <w:trPr>
          <w:trHeight w:val="304"/>
        </w:trPr>
        <w:tc>
          <w:tcPr>
            <w:tcW w:w="1531" w:type="dxa"/>
          </w:tcPr>
          <w:p w14:paraId="696588A9" w14:textId="3F9C3A8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  <w:p w14:paraId="7738A24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F0EFDF6" w14:textId="46AB3F1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Kapital tal-Grad 1 - definizzjoni stabbilita</w:t>
            </w:r>
          </w:p>
          <w:p w14:paraId="6D31890D" w14:textId="0B0630D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429(3) u l-punt (a) tal-Artikolu 499(1) CRR</w:t>
            </w:r>
          </w:p>
          <w:p w14:paraId="49E3D5DA" w14:textId="44EEF3F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Dan huwa l-ammont ta’ kapital tal-Grad 1 kif ikkalkolat skont l-Artikolu 25 CRR, mingħajr ma titqies id-deroga stabbilita fil-Kapitoli 1, 2 u 4 tat-Titolu I tal-Parti Għaxra CRR.</w:t>
            </w:r>
          </w:p>
        </w:tc>
      </w:tr>
      <w:tr w:rsidR="00CB48CC" w:rsidRPr="00E75BB8" w14:paraId="2B054486" w14:textId="77777777" w:rsidTr="00E1595A">
        <w:trPr>
          <w:trHeight w:val="304"/>
        </w:trPr>
        <w:tc>
          <w:tcPr>
            <w:tcW w:w="1531" w:type="dxa"/>
          </w:tcPr>
          <w:p w14:paraId="5ED7C02F" w14:textId="7A8D781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  <w:p w14:paraId="15F4A511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656D366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Kapital tal-Grad 1 - definizzjoni tranżitorja</w:t>
            </w:r>
          </w:p>
          <w:p w14:paraId="5041E493" w14:textId="1E11F0B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429(3) u l-punt (b) tal-Artikolu 499(1) CRR</w:t>
            </w:r>
          </w:p>
          <w:p w14:paraId="3270C368" w14:textId="63AAD12A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Dan għandu jkun l-ammont ta’ kapital tal-Grad 1 kif ikkalkolat skont l-Artikolu 25 CRR, wara li tqieset id-deroga stabbilita fil-Kapitoli 1, 2 u 4 tat-Titolu I tal-Parti Għaxra CRR.</w:t>
            </w:r>
          </w:p>
        </w:tc>
      </w:tr>
      <w:tr w:rsidR="00CB48CC" w:rsidRPr="00E75BB8" w14:paraId="30D5612D" w14:textId="77777777" w:rsidTr="00E1595A">
        <w:trPr>
          <w:trHeight w:val="304"/>
        </w:trPr>
        <w:tc>
          <w:tcPr>
            <w:tcW w:w="1531" w:type="dxa"/>
            <w:shd w:val="clear" w:color="auto" w:fill="D9D9D9" w:themeFill="background1" w:themeFillShade="D9"/>
          </w:tcPr>
          <w:p w14:paraId="3E09CDC7" w14:textId="4222548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Ringiela u kolonna</w:t>
            </w:r>
          </w:p>
        </w:tc>
        <w:tc>
          <w:tcPr>
            <w:tcW w:w="7590" w:type="dxa"/>
            <w:gridSpan w:val="3"/>
            <w:shd w:val="clear" w:color="auto" w:fill="D9D9D9" w:themeFill="background1" w:themeFillShade="D9"/>
          </w:tcPr>
          <w:p w14:paraId="19280F08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Proporzjon ta’ Ingranaġġ</w:t>
            </w:r>
          </w:p>
        </w:tc>
      </w:tr>
      <w:tr w:rsidR="00CB48CC" w:rsidRPr="00E75BB8" w14:paraId="7E720607" w14:textId="77777777" w:rsidTr="00E1595A">
        <w:trPr>
          <w:trHeight w:val="304"/>
        </w:trPr>
        <w:tc>
          <w:tcPr>
            <w:tcW w:w="1531" w:type="dxa"/>
          </w:tcPr>
          <w:p w14:paraId="04FDC8D4" w14:textId="563122E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{0330;0010}</w:t>
            </w:r>
          </w:p>
        </w:tc>
        <w:tc>
          <w:tcPr>
            <w:tcW w:w="7590" w:type="dxa"/>
            <w:gridSpan w:val="3"/>
          </w:tcPr>
          <w:p w14:paraId="170E197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Proporzjon ta’ Ingranaġġ – bl-użu ta’ definizzjoni stabbilita ta’ kapital tal-Grad 1</w:t>
            </w:r>
          </w:p>
          <w:p w14:paraId="14103416" w14:textId="2B27362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429(2) u 499(1) CRR</w:t>
            </w:r>
          </w:p>
          <w:p w14:paraId="13640073" w14:textId="1BB24A76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Dan għandu jkun il-proporzjon ta’ ingranaġġ kif ikkalkolat skont il-paragrafu 4 tal-Parti II ta’ dan l-Anness.</w:t>
            </w:r>
          </w:p>
        </w:tc>
      </w:tr>
      <w:tr w:rsidR="00CB48CC" w:rsidRPr="00E75BB8" w14:paraId="58F7E1A1" w14:textId="77777777" w:rsidTr="00E1595A">
        <w:trPr>
          <w:trHeight w:val="304"/>
        </w:trPr>
        <w:tc>
          <w:tcPr>
            <w:tcW w:w="1531" w:type="dxa"/>
          </w:tcPr>
          <w:p w14:paraId="775E3AF8" w14:textId="15CC0D8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{0340;0010}</w:t>
            </w:r>
          </w:p>
        </w:tc>
        <w:tc>
          <w:tcPr>
            <w:tcW w:w="7590" w:type="dxa"/>
            <w:gridSpan w:val="3"/>
          </w:tcPr>
          <w:p w14:paraId="750922D1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Proporzjon ta’ Ingranaġġ – bl-użu ta’ definizzjoni tranżitorja ta’ kapital tal-Grad 1</w:t>
            </w:r>
          </w:p>
          <w:p w14:paraId="26098DFB" w14:textId="1A54BC8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429(2) u 499(1) CRR</w:t>
            </w:r>
          </w:p>
          <w:p w14:paraId="173B4CA4" w14:textId="217771DE" w:rsidR="000A486B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għandu jkun il-proporzjon ta’ ingranaġġ kif ikkalkolat skont il-paragrafu 5 tal-Parti II ta’ dan l-Anness.</w:t>
            </w:r>
          </w:p>
        </w:tc>
      </w:tr>
      <w:tr w:rsidR="00CB48CC" w:rsidRPr="00E75BB8" w14:paraId="39DF531E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4F4CF2" w14:textId="395C0A7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Ringiela u kolonna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7A70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Rekwiżiti: ammonti</w:t>
            </w:r>
          </w:p>
        </w:tc>
      </w:tr>
      <w:tr w:rsidR="00E36E71" w:rsidRPr="00E75BB8" w14:paraId="49D3F110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79BE" w14:textId="15CB491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{0350;0010}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51A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Rekwiżit tal-Pilastru 2 (P2R) biex jiġu indirizzati r-riskji ta’ ingranaġġ eċċessiv</w:t>
            </w:r>
          </w:p>
          <w:p w14:paraId="52420558" w14:textId="7D11CF9E" w:rsidR="00E36E71" w:rsidRPr="000B66BC" w:rsidRDefault="008B096D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L-Artikolu 104 u 104a CRD; </w:t>
            </w:r>
            <w:r>
              <w:rPr>
                <w:rFonts w:ascii="Times New Roman" w:hAnsi="Times New Roman"/>
                <w:sz w:val="24"/>
                <w:szCs w:val="24"/>
              </w:rPr>
              <w:t>fondi proprji addizzjonali meħtieġa mill-awtorità kompetenti biex jindirizzaw ir-riskji ta’ ingranaġġ eċċessiv, kif imsemmi fl-Artikolu 104 CRD</w:t>
            </w:r>
          </w:p>
        </w:tc>
      </w:tr>
      <w:tr w:rsidR="00E36E71" w:rsidRPr="00E75BB8" w14:paraId="5E2FEE39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276" w14:textId="64F853E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{0360;0010}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45DE" w14:textId="659EEC38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li minnhom: irid ikun magħmul minn kapital tal-Grad 1 ta’ ekwità komuni (CET1)</w:t>
            </w:r>
          </w:p>
          <w:p w14:paraId="118609BA" w14:textId="66E6068C" w:rsidR="008E21B3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tal-P2R, imsemmi fir-ringiela 0350, li hija meħtieġa mill-awtorità kompetenti li tinżamm fil-forma ta’ kapital CET1.</w:t>
            </w:r>
          </w:p>
        </w:tc>
      </w:tr>
      <w:tr w:rsidR="00E36E71" w:rsidRPr="00E75BB8" w14:paraId="050776B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4369" w14:textId="61BE47A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{0370;0010}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DE4" w14:textId="4DD14E6A" w:rsidR="008E21B3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Bafer tal-proporzjon ta’ ingranaġġ tal-G-SII</w:t>
            </w:r>
          </w:p>
          <w:p w14:paraId="2DF708A7" w14:textId="2F56CC99" w:rsidR="008E21B3" w:rsidRPr="000B66BC" w:rsidRDefault="008E21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92(1a) CRR</w:t>
            </w:r>
          </w:p>
          <w:p w14:paraId="04DDCD79" w14:textId="2FF3C826" w:rsidR="008E21B3" w:rsidRPr="000B66BC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Il-G-SIIs għandhom jirrapportaw il-valur tas-suppliment ta’ G-SII għall-proporzjon ta’ ingranaġġ determinat skont l-Artikolu 92(1a) CRR.</w:t>
            </w:r>
          </w:p>
          <w:p w14:paraId="10B82F9E" w14:textId="4585213B" w:rsidR="00E36E71" w:rsidRPr="000B66BC" w:rsidRDefault="008E21B3" w:rsidP="000B66BC">
            <w:pPr>
              <w:pStyle w:val="BodyText1"/>
              <w:spacing w:after="24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Il-G-SIIs għandhom jirrapportaw dan l-ammont mid-data tal-applikazzjoni tal-bafer wara s-CRR.</w:t>
            </w:r>
          </w:p>
        </w:tc>
      </w:tr>
      <w:tr w:rsidR="00E36E71" w:rsidRPr="00E75BB8" w14:paraId="756B6F5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523" w14:textId="5BD07284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{0380;0010}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9F97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Gwida tal-Pilastru 2 (P2G) biex jiġu indirizzati r-riskji ta’ ingranaġġ eċċessiv</w:t>
            </w:r>
          </w:p>
          <w:p w14:paraId="0B3B1A45" w14:textId="1A1C051A" w:rsidR="00E36E71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L-Artikolu 104b tas-CRD; fondi proprji addizzjonali kkomunikati mill-awtorità kompetenti biex jiġu indirizzati r-riskji ta’ ingranaġġ eċċessiv, kif imsemmi fl-Artikolu 104b tas-CRD</w:t>
            </w:r>
          </w:p>
        </w:tc>
      </w:tr>
      <w:tr w:rsidR="00E36E71" w:rsidRPr="00E75BB8" w14:paraId="5FB7C0D6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C8EE" w14:textId="66C6146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{0390;0010}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2868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li minnhom: irid ikun magħmul minn kapital tal-Grad 1 ta’ ekwità komuni (CET1)</w:t>
            </w:r>
          </w:p>
          <w:p w14:paraId="3318F690" w14:textId="590855DB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tal-P2G, imsemmija fir-ringiela 0380, li l-awtorità kompetenti titlob li tinżamm fil-forma ta’ kapital CET1</w:t>
            </w:r>
          </w:p>
        </w:tc>
      </w:tr>
      <w:tr w:rsidR="00E36E71" w:rsidRPr="00E75BB8" w14:paraId="65AB50BB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95F" w14:textId="0B1F3FB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{0400;0010}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1BE" w14:textId="2AF2CC4F" w:rsidR="00FB31D6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li minnhom: irid ikun magħmul minn kapital tal-Grad 1</w:t>
            </w:r>
          </w:p>
          <w:p w14:paraId="69A1223C" w14:textId="5FB61961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tal-P2G, imsemmija fir-ringiela 0380, li l-awtorità kompetenti titlob li tinżamm fil-forma ta’ kapital tal-Grad 1</w:t>
            </w:r>
          </w:p>
        </w:tc>
      </w:tr>
      <w:tr w:rsidR="00E36E71" w:rsidRPr="00E75BB8" w14:paraId="0EAD8BE9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6857C" w14:textId="480AB7BD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Ringiela u kolonna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B8FE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Rekwiżiti: proporzjonijiet</w:t>
            </w:r>
          </w:p>
        </w:tc>
      </w:tr>
      <w:tr w:rsidR="00CB48CC" w:rsidRPr="00E75BB8" w14:paraId="297BFBE3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33B" w14:textId="17E35BD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{0410;0010}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B3A5" w14:textId="5E37AED7" w:rsidR="00CB48C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Rekwiżit tal-Proporzjon ta’ Ingranaġġ tal-Pilastru 1 </w:t>
            </w:r>
          </w:p>
          <w:p w14:paraId="75955E40" w14:textId="08AE4879" w:rsidR="00B70EBF" w:rsidRDefault="006F5F1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(d) tal-Artikolu 92(1), l-Artikolu 429a(7) u l-punt (n) tal-Artikolu 429a(1) CRR; il-proporzjon ta’ ingranaġġ meħtieġ biex jindirizza r-riskji ta’ ingranaġġ eċċessiv, kif imsemmi fil-punt (d) tal-Artikolu 92(1) CRR</w:t>
            </w:r>
          </w:p>
          <w:p w14:paraId="2ACA2F0E" w14:textId="211F02E8" w:rsidR="00CB48CC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li jeskludu skoperturi għall-bank ċentrali tal-istituzzjoni kif imsemmi fil-punt (n) tal-paragrafu 1 tal-Artikolu 429a għandhom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jirrapportaw ir-rekwiżit tal-Proporzjon ta’ Ingranaġġ Aġġustat skont l-Artikolu 429a(7) CRR.</w:t>
            </w:r>
          </w:p>
        </w:tc>
      </w:tr>
      <w:tr w:rsidR="00E36E71" w:rsidRPr="00E75BB8" w14:paraId="18E64DF4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81A" w14:textId="0848022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{0420;0010}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F9B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Rekwiżit totali tal-proporzjon ta’ ingranaġġ SREP (TSLRR)</w:t>
            </w:r>
          </w:p>
          <w:p w14:paraId="58E6C4BD" w14:textId="3DBF338E" w:rsidR="00FB31D6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104 u 104a CRD</w:t>
            </w:r>
          </w:p>
          <w:p w14:paraId="010497B2" w14:textId="77777777" w:rsidR="00FB31D6" w:rsidRPr="000B66BC" w:rsidRDefault="00FB31D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It-total ta’ (i) u (ii) kif ġej:</w:t>
            </w:r>
          </w:p>
          <w:p w14:paraId="2BCF2D92" w14:textId="4D8870D5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ir-Rekwiżit tal-Proporzjon ta’ Ingranaġġ tal-Pilastru 1 kif irrapportat fir-ringiela 0410;</w:t>
            </w:r>
          </w:p>
          <w:p w14:paraId="4613F532" w14:textId="6B29AE0B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il-proporzjon ta’ fondi proprji addizzjonali meħtieġ mill-awtorità kompetenti (P2R) biex jiġu indirizzati r-riskji ta’ ingranaġġ eċċessiv, kif imsemmi fl-Artikolu 104 CRD.</w:t>
            </w:r>
          </w:p>
          <w:p w14:paraId="4F1A1488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{0350;0010}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128BD13A" w14:textId="3F8F4801" w:rsidR="00FB31D6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Jekk l-ebda rekwiżit ta’ fondi proprji addizzjonali ma jkun ġie kkomunikat mill-awtorità kompetenti, f’dak il-każ għandu jiġi rrapportat biss il-punt (i).</w:t>
            </w:r>
          </w:p>
        </w:tc>
      </w:tr>
      <w:tr w:rsidR="00E36E71" w:rsidRPr="00E75BB8" w14:paraId="0482CAD5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3FBD" w14:textId="065D783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{0430;0010}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150B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TSLRR: irid ikun magħmul minn kapital tal-Grad 1 ta’ ekwità komuni (CET1)</w:t>
            </w:r>
          </w:p>
          <w:p w14:paraId="7473B81A" w14:textId="78011C71" w:rsidR="00780634" w:rsidRPr="000B66BC" w:rsidRDefault="00A070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tal-proporzjon ta’ fondi proprji addizzjonali, imsemmi fil-punt (ii) tar-ringiela 0420, li l-awtorità kompetenti titlob li tinżamm fil-forma ta’ kapital CET1</w:t>
            </w:r>
          </w:p>
          <w:p w14:paraId="17146566" w14:textId="4E043C22" w:rsidR="00E36E71" w:rsidRPr="000B66BC" w:rsidRDefault="007806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dan il-valur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{0360;0010}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</w:p>
        </w:tc>
      </w:tr>
      <w:tr w:rsidR="00E36E71" w:rsidRPr="00E75BB8" w14:paraId="769316AF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5FF" w14:textId="7241185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{0440;0010}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666F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Rekwiżit ġenerali tal-proporzjon ta’ ingranaġġ (OLRR)</w:t>
            </w:r>
          </w:p>
          <w:p w14:paraId="42BE8CD3" w14:textId="3906C592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92(1a) CRR</w:t>
            </w:r>
          </w:p>
          <w:p w14:paraId="1BB646F8" w14:textId="77777777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It-total ta’ (i) u (ii) kif ġej:</w:t>
            </w:r>
          </w:p>
          <w:p w14:paraId="3ACD46ED" w14:textId="4650EB7F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it-TSLRR imsemmi fir-ringiela 0420;</w:t>
            </w:r>
          </w:p>
          <w:p w14:paraId="7026B9BA" w14:textId="53D64954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il-bafer tal-proporzjon ta’ ingranaġġ G-SII skont l-Artikolu 92(1a) CRR, espress bħala perċentwal tal-iskopertura totali tal-proporzjon ta’ ingranaġġ.</w:t>
            </w:r>
          </w:p>
          <w:p w14:paraId="2D72E728" w14:textId="77777777" w:rsidR="00B70EBF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{0370;0010}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</w:p>
          <w:p w14:paraId="341458F5" w14:textId="1339DA28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Il-punt (ii) għandu jittieħed f’kunsiderazzjoni biss minn G-SIIs mid-data tal-applikazzjoni tal-bafer wara s-CRR.</w:t>
            </w:r>
          </w:p>
          <w:p w14:paraId="0AEE6486" w14:textId="71BAF399" w:rsidR="00136A9C" w:rsidRPr="000B66BC" w:rsidRDefault="00136A9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Jekk l-ebda suppliment ta’ G-SII ma jkun applikabbli, għandu jiġi rrapportat biss il-punt (i).</w:t>
            </w:r>
          </w:p>
        </w:tc>
      </w:tr>
      <w:tr w:rsidR="00E36E71" w:rsidRPr="00E75BB8" w14:paraId="700506B4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5A6" w14:textId="7BC3EB01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{0450;0010}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0973" w14:textId="44BB98C0" w:rsidR="00136A9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Rekwiżit ġenerali tal-proporzjon ta’ ingranaġġ (OLRR) u proporzjon tal-Gwida tal-Pilastru 2 (P2G)</w:t>
            </w:r>
          </w:p>
          <w:p w14:paraId="022B6350" w14:textId="5EC80CCE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104b CRD</w:t>
            </w:r>
          </w:p>
          <w:p w14:paraId="358F5440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It-total ta’ (i) u (ii) kif ġej:</w:t>
            </w:r>
          </w:p>
          <w:p w14:paraId="4E42EACA" w14:textId="261B723C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l-OLRR imsemmi fir-ringiela 0440;</w:t>
            </w:r>
          </w:p>
          <w:p w14:paraId="51B081D7" w14:textId="3BA02D41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fondi proprji addizzjonali kkomunikati mill-awtorità kompetenti biex jiġu indirizzati r-riskji ta’ ingranaġġ eċċessiv, kif imsemmi fl-Artikolu 104b CRD, espressi bħala perċentwal tal-iskopertura totali tal-proporzjon ta’ ingranaġġ.</w:t>
            </w:r>
          </w:p>
          <w:p w14:paraId="1C4745E4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{0380;0010}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14:paraId="6E55E37C" w14:textId="5108C444" w:rsidR="00136A9C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Jekk l-ebda P2G ma tkun ġiet ikkomunikata mill-awtorità kompetenti, f’dak il-każ għandu jiġi rrapportat biss il-punt (i).</w:t>
            </w:r>
          </w:p>
        </w:tc>
      </w:tr>
      <w:tr w:rsidR="00E36E71" w:rsidRPr="00E75BB8" w14:paraId="680EF640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0E92" w14:textId="6C47A0CC" w:rsidR="00E36E71" w:rsidRPr="000B66BC" w:rsidRDefault="009573B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{0460;0010}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2A" w14:textId="3A51D2AA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OLRR u P2G: irid ikun magħmul minn kapital tal-Grad 1 ta’ ekwità komuni (CET1)</w:t>
            </w:r>
          </w:p>
          <w:p w14:paraId="76E51CBF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It-total ta’ (i) u (ii) kif ġej:</w:t>
            </w:r>
          </w:p>
          <w:p w14:paraId="4E8CC957" w14:textId="6092A4C3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tal-proporzjon tal-fondi proprji addizzjonali li hija meħtieġa mill-awtorità kompetenti li tinżamm fil-forma ta’ kapital CET1, kif imsemmi fir-ringiela 0430;</w:t>
            </w:r>
          </w:p>
          <w:p w14:paraId="611A5895" w14:textId="6EB99D1C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tal-proporzjon P2G, imsemmija fil-punt (ii) tar-ringiela 0450, li l-awtorità kompetenti tkun avżat li għandha tinżamm fil-forma ta’ kapital CET1.</w:t>
            </w:r>
          </w:p>
          <w:p w14:paraId="30A327FA" w14:textId="77777777" w:rsidR="003E3C45" w:rsidRDefault="00780634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{0390;0010}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32685844" w14:textId="531CB8FD" w:rsidR="00E36E71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Jekk l-ebda P2G ma tkun ġiet ikkomunikata mill-awtorità kompetenti, f’dak il-każ għandu jiġi rrapportat biss il-punt (i).</w:t>
            </w:r>
          </w:p>
        </w:tc>
      </w:tr>
      <w:tr w:rsidR="00E36E71" w:rsidRPr="00E75BB8" w14:paraId="5CCACDA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561" w14:textId="5D20E85A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{0470;0010}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4F2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OLRR u P2G: irid ikun magħmul minn kapital tal-Grad 1</w:t>
            </w:r>
          </w:p>
          <w:p w14:paraId="7E7156A9" w14:textId="787E9B54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It-total ta’ (i), (ii) u (iii) kif ġej:</w:t>
            </w:r>
          </w:p>
          <w:p w14:paraId="5D168708" w14:textId="116662AF" w:rsidR="00136A9C" w:rsidRPr="000B66BC" w:rsidRDefault="00843D9B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ir-rekwiżit totali tal-proporzjon ta’ ingranaġġ SREP, kif imsemmi fir-ringiela 0420;</w:t>
            </w:r>
          </w:p>
          <w:p w14:paraId="44471EA4" w14:textId="0AF4D81B" w:rsidR="00843D9B" w:rsidRPr="000B66BC" w:rsidRDefault="00843D9B" w:rsidP="000B66BC">
            <w:pPr>
              <w:pStyle w:val="ListParagraph"/>
              <w:numPr>
                <w:ilvl w:val="0"/>
                <w:numId w:val="32"/>
              </w:numPr>
              <w:spacing w:after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il-bafer tal-proporzjon ta’ ingranaġġ G-SII skont l-Artikolu 92(1a) CRR, espress bħala perċentwal tal-iskopertura totali tal-proporzjon ta’ ingranaġġ.</w:t>
            </w:r>
          </w:p>
          <w:p w14:paraId="776F4028" w14:textId="5132AE58" w:rsidR="00136A9C" w:rsidRPr="000B66BC" w:rsidRDefault="00136A9C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 tal-proporzjon P2G, imsemmija fil-punt (ii) tar-ringiela 0450, li l-awtorità kompetenti titlob li tinżamm fil-forma ta’ kapital tal-Grad 1.</w:t>
            </w:r>
          </w:p>
          <w:p w14:paraId="26F19755" w14:textId="77777777" w:rsidR="003E3C45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{0370;0010}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</w:p>
          <w:p w14:paraId="2313052B" w14:textId="77777777" w:rsidR="003E3C45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jikkalkulaw il-punt (iii) billi jiddividu l-valur f’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{0400;0010} b’dak f’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{0300;0010}.</w:t>
            </w:r>
          </w:p>
          <w:p w14:paraId="6BF7BD0F" w14:textId="49D247A3" w:rsidR="00843D9B" w:rsidRPr="000B66BC" w:rsidRDefault="00843D9B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Jekk ma jkun applikabbli l-ebda suppliment ta’ G-SII, għandhom jiġu rrapportati biss il-punti (i) u (iii).</w:t>
            </w:r>
          </w:p>
          <w:p w14:paraId="784A7DD8" w14:textId="6852D82B" w:rsidR="00E36E71" w:rsidRPr="000B66BC" w:rsidRDefault="00136A9C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Jekk l-ebda P2G ma tkun ġiet ikkomunikata mill-awtorità kompetenti, f’dak il-każ għandhom jiġu rrapportati biss il-punti (i) u (ii).</w:t>
            </w:r>
          </w:p>
        </w:tc>
      </w:tr>
      <w:tr w:rsidR="00E524FC" w:rsidRPr="00E75BB8" w14:paraId="601424AF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FD45C" w14:textId="1021D48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Ringiela u kolonna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2BB32" w14:textId="7777777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Entrati ta’ memorandum</w:t>
            </w:r>
          </w:p>
        </w:tc>
      </w:tr>
      <w:tr w:rsidR="00E524FC" w:rsidRPr="00E75BB8" w14:paraId="66E51847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3E43" w14:textId="0903377D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{0480;0010}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7BC" w14:textId="55DA8CC4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Proporzjon ta’ ingranaġġ daqslikieku l-IFRS 9 jew arranġamenti tranżitorji analogi tal-ECL ma kinux ġew applikati</w:t>
            </w:r>
          </w:p>
          <w:p w14:paraId="56553E75" w14:textId="6E132DD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L-Artikolu 473a(8) CRR</w:t>
            </w:r>
          </w:p>
          <w:p w14:paraId="7576BAB1" w14:textId="70D28D7C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li ddeċidew li japplikaw l-arranġamenti tranżitorji stabbiliti fl-Artikolu 473a CRR għandhom jirrapportaw il-proporzjon ta’ ingranaġġ li kien ikollhom f’każ li ma kellhomx japplikaw dan l-Artikolu.</w:t>
            </w:r>
          </w:p>
        </w:tc>
      </w:tr>
      <w:tr w:rsidR="00E524FC" w:rsidRPr="00E75BB8" w14:paraId="12DDA6F6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EEB" w14:textId="7EBFE2F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{0490;0010}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C97D" w14:textId="7B6565CA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Proporzjon ta’ ingranaġġ daqslikieku t-trattament temporanju ta’ qligħ u telf mhux realizzati mkejjel bil-valur ġust permezz ta’ introjtu komprensiv ieħor ma ġiex applikat</w:t>
            </w:r>
          </w:p>
          <w:p w14:paraId="22FC70A7" w14:textId="588ABBF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L-Artikolu 468(5) CRR</w:t>
            </w:r>
          </w:p>
          <w:p w14:paraId="787A9CC8" w14:textId="5D59DE8D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li ddeċidew li japplikaw it-trattament temporanju stabbilit fil-paragrafu 1 tal-Artikolu 468 CRR għandhom jirrapportaw il-proporzjon ta’ ingranaġġ li kien ikollhom f’każ li ma kellhomx japplikaw dak it-trattament.</w:t>
            </w:r>
          </w:p>
        </w:tc>
      </w:tr>
    </w:tbl>
    <w:p w14:paraId="6B40D8E2" w14:textId="77777777" w:rsidR="00AE2798" w:rsidRPr="000B66BC" w:rsidRDefault="00AE279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94CE395" w14:textId="173F43D2" w:rsidR="00700DA6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53" w:name="_Toc359414286"/>
      <w:bookmarkStart w:id="54" w:name="_Toc423089071"/>
      <w:bookmarkStart w:id="55" w:name="_Toc58574778"/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ab/>
      </w:r>
      <w:bookmarkStart w:id="56" w:name="_Toc351048507"/>
      <w:r>
        <w:rPr>
          <w:rFonts w:ascii="Times New Roman" w:hAnsi="Times New Roman"/>
          <w:b/>
          <w:sz w:val="24"/>
          <w:szCs w:val="24"/>
        </w:rPr>
        <w:t>C 40.00 – Trattament alternattiv tal-Kejl tal-Iskopertura</w:t>
      </w:r>
      <w:bookmarkEnd w:id="49"/>
      <w:bookmarkEnd w:id="56"/>
      <w:bookmarkEnd w:id="53"/>
      <w:r>
        <w:rPr>
          <w:rFonts w:ascii="Times New Roman" w:hAnsi="Times New Roman"/>
          <w:b/>
          <w:sz w:val="24"/>
          <w:szCs w:val="24"/>
        </w:rPr>
        <w:t xml:space="preserve"> (LR1)</w:t>
      </w:r>
      <w:bookmarkEnd w:id="54"/>
      <w:bookmarkEnd w:id="55"/>
    </w:p>
    <w:p w14:paraId="0FB337CA" w14:textId="47825928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ab/>
        <w:t xml:space="preserve">Din il-parti tar-rapportar tiġbor 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dwar it-trattament alternattiv tad-derivattivi, SFTs, entrati li ma jidhrux fil-karta tal-bilanċ, investimenti eżentati fis-settur pubbliku u skoperturi eżentati għal self promozzjonali. </w:t>
      </w:r>
    </w:p>
    <w:p w14:paraId="0801E40E" w14:textId="5BBBAFAC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21.</w:t>
      </w:r>
      <w:r>
        <w:rPr>
          <w:rFonts w:ascii="Times New Roman" w:hAnsi="Times New Roman"/>
          <w:sz w:val="24"/>
          <w:szCs w:val="24"/>
        </w:rPr>
        <w:tab/>
        <w:t xml:space="preserve">L-istituzzjonijiet għandhom jiddeterminaw il-“valuri kontabilistiċi tal-karta tal-bilanċ” f’LR1 fuq il-bażi tal-qafas kontabilistiku applikabbli b’konformità mal-punt (77) tal-Artikolu 4(1) CRR. “Valur kontabilistiku jekk ma jiġu supponuti ebda netting jew CRM oħra” tirreferi għall-valur kontabilistiku tal-karta tal-bilanċ li ma jqis ebda effett ta’ netting jew mitigazzjoni oħra tar-riskju tal-kreditu. </w:t>
      </w:r>
    </w:p>
    <w:p w14:paraId="6A1F4290" w14:textId="209D6435" w:rsidR="005556DC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ab/>
        <w:t>L-istituzzjonijiet għandhom jirrapportaw l-entrati LR1 bħallikieku l-entrati b’sinjal negattiv fil-formola LRCalc (pereżempju eżenzjonijiet/tnaqqis) skont il-konvenzjoni tas-sinjali fil-paragrafu 9 tal-Parti I ta’ dan l-Anness, ħlief ir-ringieli </w:t>
      </w:r>
      <w:r>
        <w:rPr>
          <w:rFonts w:ascii="Times New Roman" w:hAnsi="Times New Roman"/>
          <w:bCs/>
          <w:sz w:val="24"/>
          <w:szCs w:val="24"/>
        </w:rPr>
        <w:t>{0270;0010} {0280;0010},</w:t>
      </w:r>
      <w:r>
        <w:rPr>
          <w:rFonts w:ascii="Times New Roman" w:hAnsi="Times New Roman"/>
          <w:sz w:val="24"/>
          <w:szCs w:val="24"/>
        </w:rPr>
        <w:t xml:space="preserve"> ma kinux japplikaw.</w:t>
      </w:r>
    </w:p>
    <w:p w14:paraId="3B5DA19A" w14:textId="2845E321" w:rsidR="00201643" w:rsidRPr="000B66BC" w:rsidRDefault="0020164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>
        <w:rPr>
          <w:rFonts w:ascii="Times New Roman" w:hAnsi="Times New Roman"/>
          <w:sz w:val="24"/>
          <w:szCs w:val="24"/>
        </w:rPr>
        <w:tab/>
        <w:t>{r0410;c0010} fil-formola 40.00 għandu jiġi rrapportat biss minn:</w:t>
      </w:r>
    </w:p>
    <w:p w14:paraId="120D67B7" w14:textId="7350FC6D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istituzzjonijiet kbar li huma jew G-SIIs jew li ħarġu titoli li huma ammessi għan-negozjar f’suq regolat bi frekwenza semi-annwali, </w:t>
      </w:r>
    </w:p>
    <w:p w14:paraId="275097FF" w14:textId="4F3F0B8E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istituzzjonijiet kbar għajr G-SIIs li huma istituzzjonijiet mhux elenkati bi frekwenza annwali,</w:t>
      </w:r>
    </w:p>
    <w:p w14:paraId="59E3D42C" w14:textId="64FE3358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istituzzjonijiet oħra għajr istituzzjonijiet kbar u istituzzjonijiet żgħar u mhux kumplessi, li ħarġu titoli li huma ammessi għan-negozjar f’suq regolat bi frekwenza annwali. 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E75BB8" w14:paraId="26421155" w14:textId="77777777" w:rsidTr="00C7202A">
        <w:tc>
          <w:tcPr>
            <w:tcW w:w="1418" w:type="dxa"/>
            <w:shd w:val="clear" w:color="auto" w:fill="D9D9D9" w:themeFill="background1" w:themeFillShade="D9"/>
          </w:tcPr>
          <w:p w14:paraId="08FB450D" w14:textId="524E5A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Ringiela u kolonna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A94B72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Referenzi legali u struzzjonijiet</w:t>
            </w:r>
          </w:p>
        </w:tc>
      </w:tr>
      <w:tr w:rsidR="00F4754B" w:rsidRPr="00E75BB8" w14:paraId="361F248A" w14:textId="77777777" w:rsidTr="00776650">
        <w:tc>
          <w:tcPr>
            <w:tcW w:w="1418" w:type="dxa"/>
          </w:tcPr>
          <w:p w14:paraId="4F9FA107" w14:textId="57BE6A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620" w:type="dxa"/>
          </w:tcPr>
          <w:p w14:paraId="39F1576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– Il-valur kontabilistiku tal-karta tal-bilanċ</w:t>
            </w:r>
          </w:p>
          <w:p w14:paraId="7F9C9C25" w14:textId="151D2509" w:rsidR="000A643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{0020;010}, {0050;0010} u {0060;0010}.</w:t>
            </w:r>
          </w:p>
        </w:tc>
      </w:tr>
      <w:tr w:rsidR="00F4754B" w:rsidRPr="00E75BB8" w14:paraId="1D231FFA" w14:textId="77777777" w:rsidTr="00776650">
        <w:tc>
          <w:tcPr>
            <w:tcW w:w="1418" w:type="dxa"/>
          </w:tcPr>
          <w:p w14:paraId="63C98797" w14:textId="06C6C9D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620" w:type="dxa"/>
          </w:tcPr>
          <w:p w14:paraId="4563944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– Il-valur kontabilistiku jekk ma jiġu supponuti ebda netting jew CRM oħra</w:t>
            </w:r>
          </w:p>
          <w:p w14:paraId="7E68FF9D" w14:textId="3AAE9DFF" w:rsidR="00FF3AC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{0020;0020}, {0050;0020} u {0060;0020}.</w:t>
            </w:r>
          </w:p>
        </w:tc>
      </w:tr>
      <w:tr w:rsidR="00F4754B" w:rsidRPr="00E75BB8" w14:paraId="56F668DB" w14:textId="77777777" w:rsidTr="00776650">
        <w:tc>
          <w:tcPr>
            <w:tcW w:w="1418" w:type="dxa"/>
          </w:tcPr>
          <w:p w14:paraId="678E69B3" w14:textId="4CB766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{0010;0070}</w:t>
            </w:r>
          </w:p>
        </w:tc>
        <w:tc>
          <w:tcPr>
            <w:tcW w:w="7620" w:type="dxa"/>
          </w:tcPr>
          <w:p w14:paraId="5D79D47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– L-ammont nozzjonali</w:t>
            </w:r>
          </w:p>
          <w:p w14:paraId="2AECBC09" w14:textId="2F33E45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{0020;0070}, {0050;0070} u {0060;0070}.</w:t>
            </w:r>
          </w:p>
        </w:tc>
      </w:tr>
      <w:tr w:rsidR="00F4754B" w:rsidRPr="00E75BB8" w14:paraId="6B45BB27" w14:textId="77777777" w:rsidTr="00776650">
        <w:tc>
          <w:tcPr>
            <w:tcW w:w="1418" w:type="dxa"/>
          </w:tcPr>
          <w:p w14:paraId="46216D41" w14:textId="7412E93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620" w:type="dxa"/>
          </w:tcPr>
          <w:p w14:paraId="0B692C5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 – Il-valur kontabilistiku tal-karta tal-bilanċ</w:t>
            </w:r>
          </w:p>
          <w:p w14:paraId="0232A08C" w14:textId="4A4F3B44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tad-derivattivi ta’ kreditu meta l-istituzzjoni tkun qed tbigħ protezzjoni ta’ kreditu lil kontroparti u l-kuntratt ikun rikonoxxut bħala assi fuq il-karta tal-bilanċ</w:t>
            </w:r>
          </w:p>
        </w:tc>
      </w:tr>
      <w:tr w:rsidR="00F4754B" w:rsidRPr="00E75BB8" w14:paraId="78089643" w14:textId="77777777" w:rsidTr="00776650">
        <w:tc>
          <w:tcPr>
            <w:tcW w:w="1418" w:type="dxa"/>
          </w:tcPr>
          <w:p w14:paraId="6D29AC05" w14:textId="21326B2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{0020;0020}</w:t>
            </w:r>
          </w:p>
        </w:tc>
        <w:tc>
          <w:tcPr>
            <w:tcW w:w="7620" w:type="dxa"/>
          </w:tcPr>
          <w:p w14:paraId="47C4979D" w14:textId="1C2E617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 – Il-valur kontabilistiku jekk ma jiġu supponuti ebda netting jew CRM oħra</w:t>
            </w:r>
          </w:p>
          <w:p w14:paraId="379F5EE7" w14:textId="5CA17B1D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Il-punt (77) tal-Artikolu 4(1) CRR; il-valur kontabilistiku tal-karta tal-bilanċ skont il-qafas kontabilistiku applikabbli tad-derivattivi ta’ kreditu meta l-istituzzjoni tkun qed tbigħ protezzjoni ta’ kreditu lil kontroparti u l-kuntratt ikun rikonoxxut bħala assi fuq il-karta tal-bilanċ jekk ma jiġu supponuti ebda effett prudenzjali jew ta’ netting kontabilistiku jew ta’ CRM oħra (jiġifieri kull effett ta’ netting kontabilistiku jew CRM li kellu effett fuq il-valur kontabilistiku għandu jitreġġa’ lura)</w:t>
            </w:r>
          </w:p>
        </w:tc>
      </w:tr>
      <w:tr w:rsidR="00F4754B" w:rsidRPr="00E75BB8" w14:paraId="6F14FFAF" w14:textId="77777777" w:rsidTr="00776650">
        <w:tc>
          <w:tcPr>
            <w:tcW w:w="1418" w:type="dxa"/>
          </w:tcPr>
          <w:p w14:paraId="7C797A14" w14:textId="4C6AAC2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{0020;0070}</w:t>
            </w:r>
          </w:p>
        </w:tc>
        <w:tc>
          <w:tcPr>
            <w:tcW w:w="7620" w:type="dxa"/>
          </w:tcPr>
          <w:p w14:paraId="5B4D474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 – L-ammont nozzjonali</w:t>
            </w:r>
          </w:p>
          <w:p w14:paraId="79F96141" w14:textId="45B474E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taċ-ċelloli {0030;0070} u {0040;0070}</w:t>
            </w:r>
          </w:p>
        </w:tc>
      </w:tr>
      <w:tr w:rsidR="00410E47" w:rsidRPr="00E75BB8" w14:paraId="3223F811" w14:textId="77777777" w:rsidTr="00776650">
        <w:tc>
          <w:tcPr>
            <w:tcW w:w="1418" w:type="dxa"/>
          </w:tcPr>
          <w:p w14:paraId="13A1CD32" w14:textId="73B22E89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{0020;0075}</w:t>
            </w:r>
          </w:p>
        </w:tc>
        <w:tc>
          <w:tcPr>
            <w:tcW w:w="7620" w:type="dxa"/>
          </w:tcPr>
          <w:p w14:paraId="4149AAF1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 – L-ammont nozzjonali limitat</w:t>
            </w:r>
          </w:p>
          <w:p w14:paraId="0C4AF19E" w14:textId="54E04166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l-ammont nozzjonali referenzjat mid-derivattivi tal-kreditu (protezzjoni mibjugħa) bħal f’{0020; 0070} wara tnaqqis bi kwalunkwe tibdil negattiv fil-valur ġust li kien inkorporat fil-kapital tal-Grad 1 fir-rigward tad-derivattiv ta’ kreditu sottoskritt.</w:t>
            </w:r>
          </w:p>
        </w:tc>
      </w:tr>
      <w:tr w:rsidR="00F56B61" w:rsidRPr="00E75BB8" w14:paraId="01AA1F98" w14:textId="77777777" w:rsidTr="00F56B6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FE0" w14:textId="29A35CD8" w:rsidR="00F56B61" w:rsidRPr="000B66BC" w:rsidRDefault="00F56B6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1D07" w14:textId="36F4ADB6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mibjugħa), li huma soġġetti għal klawżola ta’ għeluq – L-ammont nozzjonali</w:t>
            </w:r>
          </w:p>
          <w:p w14:paraId="018BEF1F" w14:textId="22289BB3" w:rsidR="00F56B61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l-ammont nozzjonali referenzjat minn derivattivi tal-kreditu meta l-istituzzjoni tkun qed tbigħ protezzjoni tal-kreditu lil kontroparti soġġetta għal klawżola ta’ għeluq.</w:t>
            </w:r>
          </w:p>
          <w:p w14:paraId="5A116C41" w14:textId="488FF38F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Il-klawżola ta’ għeluq għandha tiġi ddefinita bħala klawżola li tipprovdi lill-parti mhux inadempjenti d-dritt li ttemm u tagħlaq fil-ħin kull tranżazzjoni skont il-ftehim f’każ ta’ inadempjenza, anki fil-każ ta’ insolvenza jew falliment tal-kontroparti.</w:t>
            </w:r>
          </w:p>
          <w:p w14:paraId="7931AC41" w14:textId="557F8233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d-derivattivi ta’ kreditu kollha, u mhux biss dawk assenjati lill-portafoll tan-negozjar.</w:t>
            </w:r>
          </w:p>
        </w:tc>
      </w:tr>
      <w:tr w:rsidR="00410E47" w:rsidRPr="00E75BB8" w14:paraId="758B12D8" w14:textId="77777777" w:rsidTr="00F56B61">
        <w:tc>
          <w:tcPr>
            <w:tcW w:w="1418" w:type="dxa"/>
          </w:tcPr>
          <w:p w14:paraId="25EB07E0" w14:textId="122C486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{0040;0070}</w:t>
            </w:r>
          </w:p>
        </w:tc>
        <w:tc>
          <w:tcPr>
            <w:tcW w:w="7620" w:type="dxa"/>
          </w:tcPr>
          <w:p w14:paraId="6050FB9E" w14:textId="17B2C2C9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mibjugħa), li mhumiex soġġetti għal klawżola ta’ għeluq – L-ammont nozzjonali</w:t>
            </w:r>
          </w:p>
          <w:p w14:paraId="1DD1CCDE" w14:textId="0B30797B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l-ammont nozzjonali referenzjat minn derivattivi ta’ kreditu meta l-istituzzjoni tkun qed tbigħ protezzjoni ta’ kreditu lil kontroparti mhux soġġetta għal “klawżola ta’ għeluq”.</w:t>
            </w:r>
          </w:p>
          <w:p w14:paraId="35F31007" w14:textId="3FE74DD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Il-klawżola ta’ għeluq għandha tiġi ddefinita bħala klawżola li tipprovdi lill-parti mhux inadempjenti d-dritt li ttemm u tagħlaq fil-ħin kull tranżazzjoni skont il-ftehim f’każ ta’ inadempjenza, anki fil-każ ta’ insolvenza jew falliment tal-kontroparti.</w:t>
            </w:r>
          </w:p>
          <w:p w14:paraId="3D6F6539" w14:textId="27A2337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6FD3F9A1" w14:textId="77777777" w:rsidTr="00F56B61">
        <w:tc>
          <w:tcPr>
            <w:tcW w:w="1418" w:type="dxa"/>
          </w:tcPr>
          <w:p w14:paraId="735EF22F" w14:textId="3084E84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{0050;0010}</w:t>
            </w:r>
          </w:p>
        </w:tc>
        <w:tc>
          <w:tcPr>
            <w:tcW w:w="7620" w:type="dxa"/>
          </w:tcPr>
          <w:p w14:paraId="1C7DEFE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mixtrija) – Valur kontabilistiku tal-karta tal-bilanċ</w:t>
            </w:r>
          </w:p>
          <w:p w14:paraId="253831D8" w14:textId="39FCF874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ta’ derivattivi ta’ kreditu meta l-istituzzjoni tkun qed tixtri protezzjoni ta’ kreditu minn kontroparti u l-kuntratt ikun rikonoxxut bħala assi fil-karta tal-bilanċ.</w:t>
            </w:r>
          </w:p>
          <w:p w14:paraId="702252EB" w14:textId="057F95B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7D57309E" w14:textId="77777777" w:rsidTr="00F56B61">
        <w:tc>
          <w:tcPr>
            <w:tcW w:w="1418" w:type="dxa"/>
          </w:tcPr>
          <w:p w14:paraId="321C83DC" w14:textId="405C105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{0050;0020}</w:t>
            </w:r>
          </w:p>
        </w:tc>
        <w:tc>
          <w:tcPr>
            <w:tcW w:w="7620" w:type="dxa"/>
          </w:tcPr>
          <w:p w14:paraId="0AFB57D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mixtrija) – Il-valur kontabilistiku filwaqt li ma jiġu supponuti ebda netting jew CRM oħra</w:t>
            </w:r>
          </w:p>
          <w:p w14:paraId="269D2982" w14:textId="38D449B7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ta’ derivattivi ta’ kreditu meta l-istituzzjoni tkun qed tixtri protezzjoni ta’ kreditu minn kontroparti u l-kuntratt ikun rikonoxxut bħala assi fuq il-karta tal-bilanċ jekk ma jiġi supponut l-ebda effett prudenzjali jew netting kontabilistiku jew CRM (jiġifieri kull effett tan-netting kontabilistiku jew ta’ CRM li kellu effett fuq il-valur kontabilistiku għandu jitreġġa’ lura).</w:t>
            </w:r>
          </w:p>
          <w:p w14:paraId="2E8D49DB" w14:textId="0AA0000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66D4DF42" w14:textId="77777777" w:rsidTr="00776650">
        <w:tc>
          <w:tcPr>
            <w:tcW w:w="1418" w:type="dxa"/>
          </w:tcPr>
          <w:p w14:paraId="14F12A57" w14:textId="14E0A38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{0050;0070}</w:t>
            </w:r>
          </w:p>
          <w:p w14:paraId="02F218B6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1CAAAE1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mixtrija) – L-ammont nozzjonali</w:t>
            </w:r>
          </w:p>
          <w:p w14:paraId="1671DB5D" w14:textId="3D6728B4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jirrapportaw l-ammont nozzjonali referenzjat mid-derivattivi ta’ kreditu meta l-istituzzjoni tkun qed tixtri protezzjoni tal-kreditu mingħand kontroparti. </w:t>
            </w:r>
          </w:p>
          <w:p w14:paraId="38DBE45F" w14:textId="372DBEE5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05C9F42E" w14:textId="77777777" w:rsidTr="00776650">
        <w:tc>
          <w:tcPr>
            <w:tcW w:w="1418" w:type="dxa"/>
          </w:tcPr>
          <w:p w14:paraId="0F85E383" w14:textId="5077338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{0050;0075}</w:t>
            </w:r>
          </w:p>
        </w:tc>
        <w:tc>
          <w:tcPr>
            <w:tcW w:w="7620" w:type="dxa"/>
          </w:tcPr>
          <w:p w14:paraId="1E75C7B9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mixtrija) – L-ammont nozzjonali limitat</w:t>
            </w:r>
          </w:p>
          <w:p w14:paraId="34A0542C" w14:textId="20F92B9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l-ammont nozzjonali referenzjat mid-derivattivi ta’ kreditu (protezzjoni mixtrija) bħal f’{0050;0070} wara t-tnaqqis minn kwalunkwe tibdil pożittiv fil-valur ġust li kien inkorporat fil-kapital tal-Grad 1 fir-rigward tad-derivattiva ta’ kreditu mixtrija.</w:t>
            </w:r>
          </w:p>
        </w:tc>
      </w:tr>
      <w:tr w:rsidR="00410E47" w:rsidRPr="00E75BB8" w14:paraId="3D24D0EB" w14:textId="77777777" w:rsidTr="00776650">
        <w:tc>
          <w:tcPr>
            <w:tcW w:w="1418" w:type="dxa"/>
          </w:tcPr>
          <w:p w14:paraId="2FA9342C" w14:textId="1D5DB6D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{0050;0085}</w:t>
            </w:r>
          </w:p>
          <w:p w14:paraId="09433CF3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7385FC42" w14:textId="77777777" w:rsidR="00410E47" w:rsidRPr="000B66BC" w:rsidRDefault="00ED74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ta’ kreditu (protezzjoni mixtrija) – L-ammont nozzjonali limitat (l-istess isem ta’ referenza)</w:t>
            </w:r>
          </w:p>
          <w:p w14:paraId="797BBD79" w14:textId="03DB955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l-ammont nozzjonali referenzjat mid-derivattivi ta’ kreditu meta l-istituzzjoni tkun qed tixtri protezzjoni tal-kreditu bl-istess isem ta’ referenza sottostanti bħal dawk id-derivattivi ta’ kreditu sottoskritti mill-istituzzjoni tar-rapportar.</w:t>
            </w:r>
          </w:p>
          <w:p w14:paraId="55CDE23E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Għall-finijiet tar-rapportar tal-valur ta’ din iċ-ċellola, l-ismijiet ta’ referenza sottostanti jitqiesu l-istess jekk jirreferu għall-istess entità ġuridika u livell ta’ superjorità. </w:t>
            </w:r>
          </w:p>
          <w:p w14:paraId="2F022BB9" w14:textId="3144A560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Il-protezzjoni tal-kreditu mixtrija fuq pula ta’ entitajiet referenzjarji għandha titqies l-istess jekk din il-protezzjoni tkun ekonomikament ekwivalenti għax-xiri tal-protezzjoni b’mod separat fuq kull wieħed mill-ismijiet individwali fil-pula.</w:t>
            </w:r>
          </w:p>
          <w:p w14:paraId="0154314D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Jekk istituzzjoni qed tixtri protezzjoni tal-kreditu fuq pula ta’ ismijiet ta’ referenza, f’dak il-każ din il-protezzjoni tal-kreditu titqies l-istess biss jekk il-protezzjoni tal-kreditu mixtrija tkopri kull subsett tal-pula li fuqu nbiegħet il-protezzjoni tal-kreditu. Fi kliem ieħor, it-tpaċija tista’ tiġi rikonoxxuta biss meta l-pula ta’ entitajiet referenzjarji u l-livell ta’ subordinazzjoni fiż-żewġ tranżazzjonijiet ikunu identiċi. </w:t>
            </w:r>
          </w:p>
          <w:p w14:paraId="52D47F4F" w14:textId="120567C7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 kull isem ta’ referenza, l-ammonti nozzjonali ta’ protezzjoni tal-kreditu li jitqiesu f’din iċ-ċellola għal skopijiet ta’ rapportar ma għandhomx jaqbżu l-ammonti rrapportati f’{0020;0075} u {0050;0075}.</w:t>
            </w:r>
          </w:p>
        </w:tc>
      </w:tr>
      <w:tr w:rsidR="00410E47" w:rsidRPr="00E75BB8" w14:paraId="679A8A87" w14:textId="77777777" w:rsidTr="00776650">
        <w:tc>
          <w:tcPr>
            <w:tcW w:w="1418" w:type="dxa"/>
          </w:tcPr>
          <w:p w14:paraId="486F8B55" w14:textId="7C0C134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{0060;0010}</w:t>
            </w:r>
          </w:p>
        </w:tc>
        <w:tc>
          <w:tcPr>
            <w:tcW w:w="7620" w:type="dxa"/>
          </w:tcPr>
          <w:p w14:paraId="7A410C0D" w14:textId="15D05203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finanzjarji – Il-valur kontabilistiku tal-karta tal-bilanċ</w:t>
            </w:r>
          </w:p>
          <w:p w14:paraId="6FA0DDE8" w14:textId="431CC793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</w:t>
            </w:r>
          </w:p>
          <w:p w14:paraId="5A64C9B2" w14:textId="422120ED" w:rsidR="00410E47" w:rsidRPr="000B66BC" w:rsidRDefault="00E2413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il-valur kontabilistiku tal-karta tal-bilanċ skont il-qafas kontabilistiku applikabbli tal-kuntratti elenkati fl-Anness II CRR meta l-kuntratti jkunu rikonoxxuti bħala assi fuq il-karta tal-bilanċ.</w:t>
            </w:r>
          </w:p>
        </w:tc>
      </w:tr>
      <w:tr w:rsidR="00410E47" w:rsidRPr="00E75BB8" w14:paraId="64AB4D96" w14:textId="77777777" w:rsidTr="00776650">
        <w:tc>
          <w:tcPr>
            <w:tcW w:w="1418" w:type="dxa"/>
          </w:tcPr>
          <w:p w14:paraId="2EC14738" w14:textId="4D7985E6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{0060;0020}</w:t>
            </w:r>
          </w:p>
        </w:tc>
        <w:tc>
          <w:tcPr>
            <w:tcW w:w="7620" w:type="dxa"/>
          </w:tcPr>
          <w:p w14:paraId="47D5F19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finanzjarji – Il-valur kontabilistiku filwaqt li ma jiġu supponuti ebda netting jew CRM oħra</w:t>
            </w:r>
          </w:p>
          <w:p w14:paraId="00EB79C6" w14:textId="6C439A10" w:rsidR="00410E47" w:rsidRPr="000B66BC" w:rsidRDefault="006D682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tal-kuntratti elenkati fl-Anness II CRR meta l-kuntratti jkunu rikonoxxuti bħala assi fuq il-karta tal-bilanċ jekk ma jiġi supponut l-ebda effett ta’ netting prudenzjali jew kontabilistiku jew CRM ieħor (jiġifieri kwalunkwe effett ta’ netting kontabilistiku jew ta’ CRM li kellu effett fuq il-valur kontabilistiku għandu jitreġġa’ lura).</w:t>
            </w:r>
          </w:p>
        </w:tc>
      </w:tr>
      <w:tr w:rsidR="00410E47" w:rsidRPr="00E75BB8" w14:paraId="24EE0FAD" w14:textId="77777777" w:rsidTr="00776650">
        <w:tc>
          <w:tcPr>
            <w:tcW w:w="1418" w:type="dxa"/>
          </w:tcPr>
          <w:p w14:paraId="1ACC573A" w14:textId="679E5400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{0060;0070}</w:t>
            </w:r>
          </w:p>
        </w:tc>
        <w:tc>
          <w:tcPr>
            <w:tcW w:w="7620" w:type="dxa"/>
          </w:tcPr>
          <w:p w14:paraId="2C3B01F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Id-derivattivi finanzjarji – L-ammont nozzjonali</w:t>
            </w:r>
          </w:p>
          <w:p w14:paraId="64E79FE5" w14:textId="787A3A31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għandha tinkludi l-ammont nozzjonali referenzjat mill-kuntratti elenkati fl-Anness II CRR.</w:t>
            </w:r>
          </w:p>
        </w:tc>
      </w:tr>
      <w:tr w:rsidR="007B7914" w:rsidRPr="00E75BB8" w14:paraId="77E61D46" w14:textId="77777777" w:rsidTr="007B79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4B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{0071;0010}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17E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Tranżazzjonijiet ta’ Finanzjament tat-Titoli - Il-valur kontabilistiku tal-karta tal-bilanċ</w:t>
            </w:r>
          </w:p>
          <w:p w14:paraId="0D6AB751" w14:textId="041756AD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tal-SFTs skont il-qafas kontabilistiku applikabbli fejn il-kuntratti huma rikonoxxuti bħala assi fil-karta tal-bilanċ</w:t>
            </w:r>
          </w:p>
          <w:p w14:paraId="2235756A" w14:textId="4A4EF690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F’din iċ-ċellola, l-istituzzjonijiet ma għandhomx jinkludu flus riċevuti jew xi titolu li huwa pprovdut lil kontroparti permezz tat-tranżazzjonijiet imsemmijin iktar ’il fuq u li jinżamm fil-karta tal-bilanċ (jiġifieri ma jintlaħqux il-kriterji tal-kontabbiltà għad-dekontabilizzar). Minflok, l-istituzzjonijiet għandhom jinkludu dan f’{0090,0010}.</w:t>
            </w:r>
          </w:p>
        </w:tc>
      </w:tr>
      <w:tr w:rsidR="007B7914" w:rsidRPr="00E75BB8" w14:paraId="4906EC4F" w14:textId="77777777" w:rsidTr="007B79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85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{0071;0020}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63B4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Tranżazzjonijiet ta’ Finanzjament tat-Titoli - Il-valur kontabilistiku filwaqt li ma jiġu supponuti ebda netting jew CRM oħra</w:t>
            </w:r>
          </w:p>
          <w:p w14:paraId="07F0EA6D" w14:textId="0E64DB7B" w:rsidR="00474B43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Il-punt (77) tal-Artikolu 4(1) CRR; il-valur kontabilistiku tal-karta tal-bilanċ skont il-qafas kontabilistiku applikabbli meta l-kuntratti jkunu rikonoxxuti bħala assi fuq il-karta tal-bilanċ jekk ma jiġi supponut l-ebda effett ta’ netting prudenzjali jew kontabilistiku jew CRM ieħor (jiġifieri kwalunkwe effett ta’ netting kontabilistiku jew ta’ CRM li kellu effett fuq il-valur kontabilistiku għandu jitreġġa’ lura). </w:t>
            </w:r>
          </w:p>
          <w:p w14:paraId="04F4C292" w14:textId="292EA0BD" w:rsidR="007B7914" w:rsidRPr="000B66BC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tinkiseb kontabbiltà tal-bejgħ għal SFT skont il-qafas applikabbli tal-kontabbiltà, l-istituzzjonijiet għandhom ireġġgħu lura kull entrata tal-kontabbiltà relatata mal-bejgħ.</w:t>
            </w:r>
          </w:p>
          <w:p w14:paraId="072F9F82" w14:textId="5255D9A3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F’din iċ-ċellola, l-istituzzjonijiet ma għandhomx jinkludu flus riċevuti jew xi titolu li huwa pprovdut lil kontroparti permezz tat-tranżazzjonijiet imsemmijin iktar ’il fuq u li jinżamm fil-karta tal-bilanċ (jiġifieri ma jintlaħqux il-kriterji tal-kontabbiltà għad-dekontabilizzar). Minflok, l-istituzzjonijiet għandhom jinkludu dan f’{0090,0020}.</w:t>
            </w:r>
          </w:p>
        </w:tc>
      </w:tr>
      <w:tr w:rsidR="00410E47" w:rsidRPr="00E75BB8" w14:paraId="2BD078C3" w14:textId="77777777" w:rsidTr="00FC2664">
        <w:tc>
          <w:tcPr>
            <w:tcW w:w="1418" w:type="dxa"/>
          </w:tcPr>
          <w:p w14:paraId="793DC72B" w14:textId="19D262D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{0090;0010}</w:t>
            </w:r>
          </w:p>
        </w:tc>
        <w:tc>
          <w:tcPr>
            <w:tcW w:w="7620" w:type="dxa"/>
          </w:tcPr>
          <w:p w14:paraId="520EA2A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 oħra – Il-valur kontabilistiku tal-karta tal-bilanċ</w:t>
            </w:r>
          </w:p>
          <w:p w14:paraId="6BEE30BB" w14:textId="3BA3AB32" w:rsidR="00410E47" w:rsidRPr="000B66BC" w:rsidRDefault="0084728D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tal-assi kollha minbarra l-kuntratti elenkati fl-Anness II CRR, derivattivi ta’ kreditu, u SFTs.</w:t>
            </w:r>
          </w:p>
        </w:tc>
      </w:tr>
      <w:tr w:rsidR="00410E47" w:rsidRPr="00E75BB8" w14:paraId="2A9CFA05" w14:textId="77777777" w:rsidTr="00FC2664">
        <w:tc>
          <w:tcPr>
            <w:tcW w:w="1418" w:type="dxa"/>
          </w:tcPr>
          <w:p w14:paraId="77B58A02" w14:textId="5206339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{0090;0020}</w:t>
            </w:r>
          </w:p>
        </w:tc>
        <w:tc>
          <w:tcPr>
            <w:tcW w:w="7620" w:type="dxa"/>
          </w:tcPr>
          <w:p w14:paraId="0A7C5F46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 oħra – Il-valur kontabilistiku filwaqt li ma jiġu supponuti ebda netting jew CRM oħra</w:t>
            </w:r>
          </w:p>
          <w:p w14:paraId="398E7EA3" w14:textId="36213D70" w:rsidR="00410E47" w:rsidRPr="000B66BC" w:rsidRDefault="00E20CD8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 (77) tal-Artikolu 4(1) CRR; il-valur kontabilistiku tal-karta tal-bilanċ skont il-qafas kontabilistiku applikabbli tal-assi kollha għajr il-kuntratti elenkati fl-Anness II CRR, derivattivi ta’ kreditu u SFTs jekk ma jiġi supponut l-ebda effett ta’ netting kontabilistiku jew ta’ CRM ieħor (jiġifieri kwalunkwe effett tan-netting kontabilistiku jew CRM li kellu effett fuq il-valur kontabilistiku għandu jitreġġa’ lura)</w:t>
            </w:r>
          </w:p>
        </w:tc>
      </w:tr>
      <w:tr w:rsidR="00D5649D" w:rsidRPr="00E75BB8" w14:paraId="6FD4B7E9" w14:textId="77777777" w:rsidTr="00D5649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263B" w14:textId="77777777" w:rsidR="00D5649D" w:rsidRPr="000B66BC" w:rsidDel="00764219" w:rsidRDefault="00D5649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{0095;0070}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604" w14:textId="77777777" w:rsidR="00D5649D" w:rsidRPr="000B66BC" w:rsidRDefault="00D5649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Entrati li ma jidhrux fil-karta tal-bilanċ</w:t>
            </w:r>
          </w:p>
          <w:p w14:paraId="75A062FE" w14:textId="5F4AEDAA" w:rsidR="00D5649D" w:rsidRPr="000B66BC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il-valur nominali tal-entrati li ma jidhrux fil-karta tal-bilanċ. Dan il-valur ma għandux jiġi mnaqqas bl-aġġustamenti speċifiċi għar-riskju ta’ kreditu.</w:t>
            </w:r>
          </w:p>
          <w:p w14:paraId="76247621" w14:textId="685AA87B" w:rsidR="00D5649D" w:rsidRPr="000B66BC" w:rsidDel="00764219" w:rsidRDefault="00D5649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ma għandhomx iqisu f’din iċ-ċellola l-kuntratti elenkati fl-Anness II CRR, derivattivi ta’ kreditu u SFTs skont l-Artikolu 429f(1) CRR.</w:t>
            </w:r>
          </w:p>
        </w:tc>
      </w:tr>
      <w:tr w:rsidR="00410E47" w:rsidRPr="00E75BB8" w14:paraId="0FBB579D" w14:textId="77777777" w:rsidTr="00086398">
        <w:tc>
          <w:tcPr>
            <w:tcW w:w="1418" w:type="dxa"/>
          </w:tcPr>
          <w:p w14:paraId="28FDBFBD" w14:textId="613B5E0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{0210;0020}</w:t>
            </w:r>
          </w:p>
        </w:tc>
        <w:tc>
          <w:tcPr>
            <w:tcW w:w="7620" w:type="dxa"/>
          </w:tcPr>
          <w:p w14:paraId="29B185C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Kollateral fi flus riċevut fi tranżazzjonijiet ta’ derivattivi – Valur kontabilistiku jekk ma jiġu supponuti ebda netting jew CRM oħra</w:t>
            </w:r>
          </w:p>
          <w:p w14:paraId="39EDF297" w14:textId="273BC4C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kontabilistiku tal-karta tal-bilanċ skont il-qafas kontabilistiku applikabbli ta’ kollateral fi flus riċevut fi tranżazzjonijiet ta’ derivattivi jekk ma jiġi supponut l-ebda effett ta’ netting kontabilistiku jew ta’ CRM ieħor (jiġifieri kull effett li jirriżulta min-netting kontabilistiku jew CRM li kellu impatt fuq il-valur kontabilistiku għandu jitreġġa’ lura)</w:t>
            </w:r>
          </w:p>
          <w:p w14:paraId="2131D4BF" w14:textId="59EC9867" w:rsidR="00410E47" w:rsidRPr="000B66BC" w:rsidRDefault="00410E47" w:rsidP="00474B43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ta’ din iċ-ċellola, il-flus huma ddefiniti bħala l-ammont totali ta’ flus inklużi muniti u karti tal-flus/valuta. L-ammont totali ta’ depożiti fil-banek ċentrali għandu jiġi inkluż sakemm dawn id-depożiti jkunu jistgħu jiġu prelevati fi żminijiet ta’ stress. L-istituzzjonijiet ma għandhomx jirrapportaw flus depożitati ma’ istituzzjonijiet oħra f’din iċ-ċellola.</w:t>
            </w:r>
          </w:p>
        </w:tc>
      </w:tr>
      <w:tr w:rsidR="00410E47" w:rsidRPr="00E75BB8" w14:paraId="53DF6927" w14:textId="77777777" w:rsidTr="00086398">
        <w:tc>
          <w:tcPr>
            <w:tcW w:w="1418" w:type="dxa"/>
          </w:tcPr>
          <w:p w14:paraId="211CECAA" w14:textId="44AF716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{0220;0020}</w:t>
            </w:r>
          </w:p>
        </w:tc>
        <w:tc>
          <w:tcPr>
            <w:tcW w:w="7620" w:type="dxa"/>
          </w:tcPr>
          <w:p w14:paraId="6DB00C4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Riċevibbli għal kollateral fi flus imdaħħlin fi tranżazzjonijiet ta’ derivattivi – Valur kontabilistiku jekk ma jiġu supponuti ebda netting jew CRM oħra</w:t>
            </w:r>
          </w:p>
          <w:p w14:paraId="7D33E862" w14:textId="047F9D4A" w:rsidR="00474B43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kontabilistiku tal-karta tal-bilanċ skont il-qafas kontabilistiku applikabbli ta’ riċevibbli għal kollateral fi flus iddepożitat kontra tranżazzjonijiet ta’ derivattivi jekk ma jiġi supponut l-ebda effett ta’ netting kontabilistiku jew ta’ CRM (jiġifieri kull effett li jirriżulta minn netting kontabilistiku jew CRM li kellu impatt fuq il-valur kontabilistiku għandu jitreġġa’ lura) </w:t>
            </w:r>
          </w:p>
          <w:p w14:paraId="7CD00868" w14:textId="0996E74B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li huma awtorizzati skont il-qafas kontabilistiku applikabbli biex jinnettjaw ir-riċevibbli għal kollateral fi flus iddepożitat kontra l-obbligazzjoni derivattiva relatata (valur ġust negattiv) u li jagħżlu li jagħmlu dan għandhom ireġġgħu lura n-netting u jirrapportaw ir-riċevibbli fi flus netti.</w:t>
            </w:r>
          </w:p>
        </w:tc>
      </w:tr>
      <w:tr w:rsidR="00410E47" w:rsidRPr="00E75BB8" w14:paraId="56CCADD2" w14:textId="77777777" w:rsidTr="00086398">
        <w:tc>
          <w:tcPr>
            <w:tcW w:w="1418" w:type="dxa"/>
          </w:tcPr>
          <w:p w14:paraId="3CD1E23F" w14:textId="2F79B69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{0230;0020}</w:t>
            </w:r>
          </w:p>
        </w:tc>
        <w:tc>
          <w:tcPr>
            <w:tcW w:w="7620" w:type="dxa"/>
          </w:tcPr>
          <w:p w14:paraId="5AE16600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Titoli riċevuti f’SFT li huma rikonoxxuti bħala assi – Valur kontabilistiku jekk ma jiġu supponuti ebda netting jew CRM oħra</w:t>
            </w:r>
          </w:p>
          <w:p w14:paraId="28A4D6AF" w14:textId="5C43B50B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kontabilistiku tal-karta tal-bilanċ skont il-qafas kontabilistiku applikabbli tat-titoli riċevuti f’SFT li huma rikonoxxuti bħala assi skont il-qafas kontabilitstiku applikabbli jekk ma jiġi supponut l-ebda effett ta’ netting kontabilistiku jew ta’ CRM ieħor (jiġifieri kwalunkwe effett tan-netting kontabilistiku jew ta’ CRM li kellu effett fuq il-valur kontabilistiku għandu jitreġġa’ lura)</w:t>
            </w:r>
          </w:p>
        </w:tc>
      </w:tr>
      <w:tr w:rsidR="00410E47" w:rsidRPr="00E75BB8" w14:paraId="73AB9A4D" w14:textId="77777777" w:rsidTr="00086398">
        <w:tc>
          <w:tcPr>
            <w:tcW w:w="1418" w:type="dxa"/>
          </w:tcPr>
          <w:p w14:paraId="05353E9D" w14:textId="466C38AA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{0240;0020}</w:t>
            </w:r>
          </w:p>
        </w:tc>
        <w:tc>
          <w:tcPr>
            <w:tcW w:w="7620" w:type="dxa"/>
          </w:tcPr>
          <w:p w14:paraId="66AFC109" w14:textId="7777777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b’veikolu ta’ flus SFT (flus riċevibbli) – Valur kontabilistiku filwaqt li ma jiġu supponuti ebda netting jew CRM oħra</w:t>
            </w:r>
          </w:p>
          <w:p w14:paraId="6B9D4FF6" w14:textId="6535800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kontabilistiku tal-karta tal-bilanċ skont il-qafas kontabilistiku applikabbli tar-riċevibbli fi flus għall-flus mogħtijin b’self lill-proprjetarju tat-titoli fi tranżazzjoni kwalifikattiva ta’ self b’veikolu fi flus (cash conduit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lending transaction, CCLT) jekk ma jiġi supponut l-ebda effett ta’ netting kontabilistiku jew ta’ CRM ieħor (jiġifieri kull effett li jirriżulta min-netting kontabilistiku jew CRM li kellu impatt fuq il-valur kontabilistiku għandu jitreġġa’ lura)</w:t>
            </w:r>
          </w:p>
          <w:p w14:paraId="748B124D" w14:textId="5207C93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ta’ din iċ-ċellola, il-flus huma ddefiniti bħala l-ammont totali ta’ flus inklużi muniti u karti tal-flus/valuta. L-ammont totali ta’ depożiti fil-banek ċentrali għandu jiġi inkluż sakemm dawn id-depożiti jkunu jistgħu jiġu prelevati fi żminijiet ta’ stress. L-istituzzjonijiet ma għandhomx jirrapportaw flus depożitati ma’ istituzzjonijiet oħrajn f’din iċ-ċellola.</w:t>
            </w:r>
          </w:p>
          <w:p w14:paraId="334DF029" w14:textId="5385364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Is-CCLT gandha tiġi ddefinita bħala taħlita ta’ żewġ tranżazzjonijiet li fihom istituzzjoni tieħu b’self titoli mill-proprjeatrju tat-titoli u terġa’ tislef it-titoli lill-mutwatarju tat-titoli. Fl-istess waqt, l-istituzzjoni tirċievi kollateral fi flus mill-mutwatarju tat-titoli u terġa’ tislef il-flus riċevuti lill-proprjetarju tat-titoli. CCLT kwalifikattiva għandha tikkonforma mal-kundizzjonijiet li ġejjin:</w:t>
            </w:r>
          </w:p>
          <w:p w14:paraId="2544528C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(a)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iż-żewġ tranżazzjonijiet individwali li jinkludu s-CCLT kwalifikanti għandhom isiru fl-istess data tan-negozju, jew għal tranżazzjonijiet internazzjonali f’jiem ta’ negozju li jaħbtu wara xulxin;</w:t>
            </w:r>
          </w:p>
          <w:p w14:paraId="491F9748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meta t-tranżazzjonijiet involuti fiha ma jispeċifikawx maturità, l-istituzzjoni għandu jkollha d-dritt ġuridiku li tagħlaq kwalunkwe naħa tas-CCLT, jiġifieri ż-żewġ tranżazzjonijiet involuti fiha, fi kwalunkwe waqt u mingħajr avviż minn qabel;</w:t>
            </w:r>
          </w:p>
          <w:p w14:paraId="5BFB7780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(c)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fejn it-tranżazzjonijiet involuti tagħha jispeċifikaw maturità, is-CCLT ma għandhiex twassal għal spariġġ fil-maturità għall-istituzzjoni; l-istituzzjoni għandu jkollha d-dritt ġuridiku li tagħlaq kwalunkwe naħa tas-CCLT, jiġifieri ż-żewġ tranżazzjonijiet involuti fiha, fi kwalunkwe waqt u mingħajr avviż minn qabel;</w:t>
            </w:r>
          </w:p>
          <w:p w14:paraId="62CD2905" w14:textId="1AEDC3DC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(d)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hija ma twassalx għal xi skopertura inkrementali oħra.</w:t>
            </w:r>
          </w:p>
        </w:tc>
      </w:tr>
      <w:tr w:rsidR="00142881" w:rsidRPr="00E75BB8" w14:paraId="12EB77F9" w14:textId="77777777" w:rsidTr="003B3824">
        <w:tc>
          <w:tcPr>
            <w:tcW w:w="1418" w:type="dxa"/>
          </w:tcPr>
          <w:p w14:paraId="2EC98E8B" w14:textId="4055F8C1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57" w:name="_Toc322687882"/>
            <w:bookmarkEnd w:id="50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{0270;0010}</w:t>
            </w:r>
          </w:p>
        </w:tc>
        <w:tc>
          <w:tcPr>
            <w:tcW w:w="7620" w:type="dxa"/>
          </w:tcPr>
          <w:p w14:paraId="056E429E" w14:textId="1C4A54EB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Investimenti fis-settur pubbliku- Pretensjonijiet fuq gvernijiet ċentrali - Valur kontabilistiku tal-karta tal-bilanċ</w:t>
            </w:r>
          </w:p>
          <w:p w14:paraId="62173A01" w14:textId="7BC7EE77" w:rsidR="00474B43" w:rsidRDefault="001428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Meta l-istituzzjoni tkun istituzzjoni ta’ kreditu għall-iżvilupp pubbliku, il-valur kontabilistiku tal-karta tal-bilanċ skont il-qafas kontabilistiku applikabbli tal-assi li jikkostitwixxu pretensjonijiet fuq gvernijiet ċentrali fir-rigward tal-investimenti tas-settur pubbliku </w:t>
            </w:r>
          </w:p>
          <w:p w14:paraId="4B86F17F" w14:textId="318E21E8" w:rsidR="00142881" w:rsidRPr="000B66BC" w:rsidRDefault="007A5EF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65A561BA" w14:textId="77777777" w:rsidTr="003B3824">
        <w:tc>
          <w:tcPr>
            <w:tcW w:w="1418" w:type="dxa"/>
          </w:tcPr>
          <w:p w14:paraId="6E6645F9" w14:textId="7051B924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{0280;0010}</w:t>
            </w:r>
          </w:p>
        </w:tc>
        <w:tc>
          <w:tcPr>
            <w:tcW w:w="7620" w:type="dxa"/>
          </w:tcPr>
          <w:p w14:paraId="64975C56" w14:textId="4DD757EC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Investimenti fis-settur pubbliku- Pretensjonijiet fuq gvernijiet reġjonali – Valur kontabilistiku tal-karta tal-bilanċ</w:t>
            </w:r>
          </w:p>
          <w:p w14:paraId="13E2AB70" w14:textId="21F74962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Meta l-istituzzjoni tkun istituzzjoni ta’ kreditu għall-iżvilupp pubbliku, il-valur kontabilistiku tal-karta tal-bilanċ skont il-qafas kontabilistiku applikabbli tal-assi li jikkostitwixxu pretensjonijiet fuq il-gvernijiet reġjonali fir-rigward tal-investimenti tas-settur pubbliku </w:t>
            </w:r>
          </w:p>
          <w:p w14:paraId="440096C8" w14:textId="4D2E5EED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178B01CC" w14:textId="77777777" w:rsidTr="003B3824">
        <w:tc>
          <w:tcPr>
            <w:tcW w:w="1418" w:type="dxa"/>
          </w:tcPr>
          <w:p w14:paraId="14A30C11" w14:textId="09FC39C8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{0290;0010}</w:t>
            </w:r>
          </w:p>
        </w:tc>
        <w:tc>
          <w:tcPr>
            <w:tcW w:w="7620" w:type="dxa"/>
          </w:tcPr>
          <w:p w14:paraId="4E12A671" w14:textId="20EE5DA6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Investimenti fis-settur pubbliku – Pretensjonijiet fuq l-awtoritajiet lokali – Valur kontabilistiku tal-karta tal-bilanċ</w:t>
            </w:r>
          </w:p>
          <w:p w14:paraId="1993F59B" w14:textId="77777777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l-awtoritajiet lokali fir-rigward tal-investimenti tas-settur pubbliku</w:t>
            </w:r>
          </w:p>
          <w:p w14:paraId="3AEC5523" w14:textId="32E213BF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6B4A4FFD" w14:textId="77777777" w:rsidTr="003B3824">
        <w:tc>
          <w:tcPr>
            <w:tcW w:w="1418" w:type="dxa"/>
          </w:tcPr>
          <w:p w14:paraId="4AD0C008" w14:textId="06F13C4A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{0300;0010}</w:t>
            </w:r>
          </w:p>
        </w:tc>
        <w:tc>
          <w:tcPr>
            <w:tcW w:w="7620" w:type="dxa"/>
          </w:tcPr>
          <w:p w14:paraId="00BE052E" w14:textId="3ADFA117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Investimenti fis-settur pubbliku- Pretensjonijiet fuq entitajiet tas-settur pubbliku – Valur kontabilistiku tal-karta tal-bilanċ</w:t>
            </w:r>
          </w:p>
          <w:p w14:paraId="4C818D07" w14:textId="23446733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entitajiet tas-settur pubbliku fir-rigward tal-investimenti tas-settur pubbliku</w:t>
            </w:r>
          </w:p>
          <w:p w14:paraId="7115C598" w14:textId="32973285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5655180E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E0CF" w14:textId="68555762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077" w14:textId="4AFA1485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– Pretensjonijiet fuq gvernijiet ċentrali – Valur kontabilistiku tal-karta tal-bilanċ</w:t>
            </w:r>
          </w:p>
          <w:p w14:paraId="23369FCD" w14:textId="74E86023" w:rsidR="006E4F4E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Meta l-istituzzjoni tkun istituzzjoni ta’ kreditu għall-iżvilupp pubbliku, il-valur kontabilistiku tal-karta tal-bilanċ skont il-qafas kontabilistiku applikabbli tal-assi li jikkostitwixxu pretensjonijiet fuq gvernijiet ċentrali fir-rigward ta’ self promozzjonali </w:t>
            </w:r>
          </w:p>
          <w:p w14:paraId="57D9B72D" w14:textId="5104929D" w:rsidR="00D126C3" w:rsidRPr="000B66BC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E5A9A" w:rsidRPr="00E75BB8" w14:paraId="31EDB1F9" w14:textId="77777777" w:rsidTr="00E631B4">
        <w:tc>
          <w:tcPr>
            <w:tcW w:w="1418" w:type="dxa"/>
          </w:tcPr>
          <w:p w14:paraId="1988C1B5" w14:textId="4DEDEE5A" w:rsidR="001E5A9A" w:rsidRPr="000B66BC" w:rsidRDefault="001E5A9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{0310;0070}</w:t>
            </w:r>
          </w:p>
        </w:tc>
        <w:tc>
          <w:tcPr>
            <w:tcW w:w="7620" w:type="dxa"/>
          </w:tcPr>
          <w:p w14:paraId="63C478B7" w14:textId="76F217EB" w:rsidR="001E5A9A" w:rsidRPr="000B66BC" w:rsidRDefault="001E5A9A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– Pretensjonijiet fuq il-gvernijiet ċentrali – Ammont nozzjonali/ valur nominali</w:t>
            </w:r>
          </w:p>
          <w:p w14:paraId="7A0E36C1" w14:textId="77777777" w:rsidR="006E4F4E" w:rsidRDefault="001E5A9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entraturi li ma jidhrux fil-karta tal-bilanċ fir-rigward tal-parti mhux prelevata tas-self promozzjonali mogħti lill-gvernijiet ċentrali</w:t>
            </w:r>
          </w:p>
          <w:p w14:paraId="60CCF55C" w14:textId="65935CC3" w:rsidR="001E5A9A" w:rsidRPr="000B66BC" w:rsidRDefault="001E5A9A" w:rsidP="006E4F4E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4CD3F0D4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7859" w14:textId="476A44FC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E03" w14:textId="67E09130" w:rsidR="00D126C3" w:rsidRPr="000B66BC" w:rsidRDefault="003B79B4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gvernijiet reġjonali - Valur kontabilistiku tal-karta tal-bilanċ</w:t>
            </w:r>
          </w:p>
          <w:p w14:paraId="23DFAEA6" w14:textId="77777777" w:rsidR="006E4F4E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gvernijiet reġjonali fir-rigward ta’ self promozzjonali</w:t>
            </w:r>
          </w:p>
          <w:p w14:paraId="5822DF0E" w14:textId="16DA8EF0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44874BFB" w14:textId="77777777" w:rsidTr="00E631B4">
        <w:tc>
          <w:tcPr>
            <w:tcW w:w="1418" w:type="dxa"/>
          </w:tcPr>
          <w:p w14:paraId="79CADF8F" w14:textId="0B21C100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{0320;0070}</w:t>
            </w:r>
          </w:p>
        </w:tc>
        <w:tc>
          <w:tcPr>
            <w:tcW w:w="7620" w:type="dxa"/>
          </w:tcPr>
          <w:p w14:paraId="5C83E384" w14:textId="76BED22D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gvernijiet reġjonali - Ammont nozzjonali/ valur nominali</w:t>
            </w:r>
          </w:p>
          <w:p w14:paraId="645C841D" w14:textId="1E4EDCB5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entrati li ma jidhrux fil-karta tal-bilanċ fir-rigward tal-parti mhux prelevata tas-self promozzjonali mogħti lill-gvernijiet reġjonali</w:t>
            </w:r>
          </w:p>
          <w:p w14:paraId="2D66318A" w14:textId="19721B69" w:rsidR="000A486B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31B79207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B5A7" w14:textId="6C4B4A9D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{0330;0010}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422" w14:textId="267967C6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awtoritajiet lokali - Valur kontabilistiku tal-karta tal-bilanċ</w:t>
            </w:r>
          </w:p>
          <w:p w14:paraId="04327041" w14:textId="6CF71B42" w:rsidR="006918E9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l-awtoritajiet lokali fir-rigward ta’ self promozzjonali</w:t>
            </w:r>
          </w:p>
          <w:p w14:paraId="3B5B1EC0" w14:textId="304F0DBC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0ABE486A" w14:textId="77777777" w:rsidTr="00E631B4">
        <w:tc>
          <w:tcPr>
            <w:tcW w:w="1418" w:type="dxa"/>
          </w:tcPr>
          <w:p w14:paraId="6A69EE0F" w14:textId="4A68D204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{0330;0070}</w:t>
            </w:r>
          </w:p>
        </w:tc>
        <w:tc>
          <w:tcPr>
            <w:tcW w:w="7620" w:type="dxa"/>
          </w:tcPr>
          <w:p w14:paraId="0211D136" w14:textId="747BD7FE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l-awtoritajiet lokali - Ammont nozzjonali/ valur nominali</w:t>
            </w:r>
          </w:p>
          <w:p w14:paraId="38BCF0DC" w14:textId="6D975688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entrati li ma jidhrux fil-karta tal-bilanċ fir-rigward tal-parti mhux prelevata tas-self promozzjonali mogħti lill-awtoritajiet lokali</w:t>
            </w:r>
          </w:p>
          <w:p w14:paraId="4054A803" w14:textId="7D1F66F0" w:rsidR="001943A2" w:rsidRPr="000B66BC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429a(2), għandhom jiġu kkunsidrati wkoll.</w:t>
            </w:r>
          </w:p>
        </w:tc>
      </w:tr>
      <w:tr w:rsidR="00D126C3" w:rsidRPr="00E75BB8" w14:paraId="7024E473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C43" w14:textId="4FD45966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{0340;0010}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403F" w14:textId="5A0EBB01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entitajiet tas-settur pubbliku - Valur kontabilistiku tal-karta tal-bilanċ</w:t>
            </w:r>
          </w:p>
          <w:p w14:paraId="01C18437" w14:textId="77777777" w:rsidR="006918E9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entitajiet tas-settur pubbliku fir-rigward ta’ self promozzjonali</w:t>
            </w:r>
          </w:p>
          <w:p w14:paraId="271873F2" w14:textId="69D63A33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5E7DDD36" w14:textId="77777777" w:rsidTr="00E631B4">
        <w:tc>
          <w:tcPr>
            <w:tcW w:w="1418" w:type="dxa"/>
          </w:tcPr>
          <w:p w14:paraId="525D124D" w14:textId="765B9FDB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{0340;0070}</w:t>
            </w:r>
          </w:p>
        </w:tc>
        <w:tc>
          <w:tcPr>
            <w:tcW w:w="7620" w:type="dxa"/>
          </w:tcPr>
          <w:p w14:paraId="6383FA4C" w14:textId="78CEFFA7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entitajiet tas-settur pubbliku - Ammont nozzjonali/ valur nominali</w:t>
            </w:r>
          </w:p>
          <w:p w14:paraId="5C047141" w14:textId="77777777" w:rsidR="006918E9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entrati li ma jidhrux fil-karta tal-bilanċ fir-rigward tal-parti mhux prelevata ta’ self promozzjonali mogħti lil entitajiet tas-settur pubbliku</w:t>
            </w:r>
          </w:p>
          <w:p w14:paraId="28AF0C76" w14:textId="43B760BA" w:rsidR="001943A2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29DF5E7A" w14:textId="77777777" w:rsidTr="00E631B4">
        <w:tc>
          <w:tcPr>
            <w:tcW w:w="1418" w:type="dxa"/>
          </w:tcPr>
          <w:p w14:paraId="1D9C525C" w14:textId="680B64DF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{0350;0010}</w:t>
            </w:r>
          </w:p>
        </w:tc>
        <w:tc>
          <w:tcPr>
            <w:tcW w:w="7620" w:type="dxa"/>
          </w:tcPr>
          <w:p w14:paraId="3CAFC6DC" w14:textId="096127A3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korporazzjonijiet mhux finanzjarji - Valur kontabilistiku tal-karta tal-bilanċ</w:t>
            </w:r>
          </w:p>
          <w:p w14:paraId="38EC1D3F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korporazzjonijiet mhux finanzjarji fir-rigward ta’ self promozzjonali</w:t>
            </w:r>
          </w:p>
          <w:p w14:paraId="6BF179ED" w14:textId="2C4CB2A0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A7136D" w:rsidRPr="00E75BB8" w14:paraId="12870EEF" w14:textId="77777777" w:rsidTr="00E631B4">
        <w:tc>
          <w:tcPr>
            <w:tcW w:w="1418" w:type="dxa"/>
          </w:tcPr>
          <w:p w14:paraId="79383F04" w14:textId="29554F65" w:rsidR="00A7136D" w:rsidRPr="000B66BC" w:rsidRDefault="00A7136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{0350;0070}</w:t>
            </w:r>
          </w:p>
        </w:tc>
        <w:tc>
          <w:tcPr>
            <w:tcW w:w="7620" w:type="dxa"/>
          </w:tcPr>
          <w:p w14:paraId="26540368" w14:textId="2C1D23F7" w:rsidR="00A7136D" w:rsidRPr="000B66BC" w:rsidRDefault="00A7136D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korporazzjonijiet mhux finanzjarji - Ammont nozzjonali/ valur nominali</w:t>
            </w:r>
          </w:p>
          <w:p w14:paraId="054BF407" w14:textId="212AEBBD" w:rsidR="00A7136D" w:rsidRPr="000B66BC" w:rsidRDefault="00A713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entrati barra l-karta tal-bilanċ fir-rigward tal-parti mhux prelevata ta’ self promozzjonali mogħti lil korporazzjonijiet mhux finanzjarji</w:t>
            </w:r>
          </w:p>
          <w:p w14:paraId="41A92F44" w14:textId="7D39B959" w:rsidR="00A7136D" w:rsidRPr="000B66BC" w:rsidRDefault="00A7136D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1F6E7CB4" w14:textId="77777777" w:rsidTr="00E631B4">
        <w:tc>
          <w:tcPr>
            <w:tcW w:w="1418" w:type="dxa"/>
          </w:tcPr>
          <w:p w14:paraId="6254A862" w14:textId="004992B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{0360;0010}</w:t>
            </w:r>
          </w:p>
        </w:tc>
        <w:tc>
          <w:tcPr>
            <w:tcW w:w="7620" w:type="dxa"/>
          </w:tcPr>
          <w:p w14:paraId="1C554FC7" w14:textId="1F3CBF52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unitajiet domestiċi - Valur kontabilistiku tal-karta tal-bilanċ</w:t>
            </w:r>
          </w:p>
          <w:p w14:paraId="55D67008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tal-assi li jikkostitwixxu pretensjonijiet fuq unitajiet domestiċi fir-rigward ta’ self promozzjonali</w:t>
            </w:r>
          </w:p>
          <w:p w14:paraId="77B96BEE" w14:textId="794E8F25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18F55D0D" w14:textId="77777777" w:rsidTr="00E631B4">
        <w:tc>
          <w:tcPr>
            <w:tcW w:w="1418" w:type="dxa"/>
          </w:tcPr>
          <w:p w14:paraId="6CB2C6F3" w14:textId="0D17F3B9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{0360;0070}</w:t>
            </w:r>
          </w:p>
        </w:tc>
        <w:tc>
          <w:tcPr>
            <w:tcW w:w="7620" w:type="dxa"/>
          </w:tcPr>
          <w:p w14:paraId="5FFB5CC5" w14:textId="0AFA9088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- Pretensjonijiet fuq unitajiet domestiċi - Ammont nozzjonali/ valur nominali</w:t>
            </w:r>
          </w:p>
          <w:p w14:paraId="5C098B17" w14:textId="561EFEA4" w:rsidR="00D126C3" w:rsidRPr="000B66BC" w:rsidRDefault="00D126C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Meta l-istituzzjoni tkun istituzzjoni ta’ kreditu għall-iżvilupp pubbliku, l-ammont nominali ta’ entrati li ma jidhrux fil-karta tal-bilanċ fir-rigward tal-parti mhux prelevata tas-self promozzjonali mogħti lill-unitajiet domestiċi</w:t>
            </w:r>
          </w:p>
          <w:p w14:paraId="635041B3" w14:textId="7B16BC5F" w:rsidR="00D126C3" w:rsidRPr="000B66BC" w:rsidRDefault="00D126C3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44E1C677" w14:textId="77777777" w:rsidTr="00E631B4">
        <w:tc>
          <w:tcPr>
            <w:tcW w:w="1418" w:type="dxa"/>
          </w:tcPr>
          <w:p w14:paraId="17FF7A37" w14:textId="4D384D9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{0370;0010}</w:t>
            </w:r>
          </w:p>
        </w:tc>
        <w:tc>
          <w:tcPr>
            <w:tcW w:w="7620" w:type="dxa"/>
          </w:tcPr>
          <w:p w14:paraId="3F005630" w14:textId="77777777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– Ittrasferit- Valur kontabilistiku tal-karta tal-bilanċ</w:t>
            </w:r>
          </w:p>
          <w:p w14:paraId="77AE875C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l-istituzzjoni tkun istituzzjoni ta’ kreditu għall-iżvilupp pubbliku, il-valur kontabilistiku tal-karta tal-bilanċ skont il-qafas kontabilistiku applikabbli tas-self promozzjonali ttrasferit, meta s-self promozzjonali ma jkunx ingħata mill-istituzzjoni nnifisha</w:t>
            </w:r>
          </w:p>
          <w:p w14:paraId="13D74794" w14:textId="2A0E0A51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A107B" w:rsidRPr="00E75BB8" w14:paraId="09331359" w14:textId="77777777" w:rsidTr="00E631B4">
        <w:tc>
          <w:tcPr>
            <w:tcW w:w="1418" w:type="dxa"/>
          </w:tcPr>
          <w:p w14:paraId="073777C0" w14:textId="772CDEDA" w:rsidR="004A107B" w:rsidRPr="000B66BC" w:rsidRDefault="004A107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{0370;0070}</w:t>
            </w:r>
          </w:p>
        </w:tc>
        <w:tc>
          <w:tcPr>
            <w:tcW w:w="7620" w:type="dxa"/>
          </w:tcPr>
          <w:p w14:paraId="0CA54233" w14:textId="2370225D" w:rsidR="004A107B" w:rsidRPr="000B66BC" w:rsidRDefault="004A107B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Self promozzjonali – Ittrasferit- Ammont nozzjonali/ valur nominali</w:t>
            </w:r>
          </w:p>
          <w:p w14:paraId="67DCF513" w14:textId="77777777" w:rsidR="006918E9" w:rsidRDefault="004A107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l-istituzzjoni tkun istituzzjoni ta’ kreditu għall-iżvilupp pubbliku, l-ammont nominali ta’ entrati li ma jidhrux fil-karta tal-bilanċ fir-rigward tal-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parti mhux prelevata tas-self promozzjonali ttrasferit, meta s-self promozzjonali ma jkunx ingħata mill-istituzzjoni nnifisha</w:t>
            </w:r>
          </w:p>
          <w:p w14:paraId="75F9BF76" w14:textId="0F97AE35" w:rsidR="004A107B" w:rsidRPr="000B66BC" w:rsidRDefault="0033642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703CC2" w:rsidRPr="00E75BB8" w14:paraId="5432666E" w14:textId="77777777" w:rsidTr="000C01E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B29" w14:textId="23478B5E" w:rsidR="00703CC2" w:rsidRPr="000B66BC" w:rsidRDefault="007F38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{0380;0010}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A2BC" w14:textId="0B7E2413" w:rsidR="00703CC2" w:rsidRPr="000B66BC" w:rsidRDefault="00703CC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tal-bank ċentrali - Valur kontabilistiku tal-karta tal-bilanċ</w:t>
            </w:r>
          </w:p>
          <w:p w14:paraId="68FD6F4B" w14:textId="013AB044" w:rsidR="007F3838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jirrapportaw, f’konformità mal-qafas kontabilistiku applikabbli, il-valur tal-iskoperturi li ġejjin lill-bank ċentrali tal-istituzzjoni: (i) muniti u karti tal-flus li jikkostitwixxu munita legali fil-ġurisdizzjoni tal-bank ċentrali; (ii) assi li jirrappreżentaw pretensjonijiet fuq il-bank ċentrali, inkluż riżervi miżmuma fil-bank ċentrali.</w:t>
            </w:r>
          </w:p>
          <w:p w14:paraId="6DEE1984" w14:textId="4388DF7E" w:rsidR="009F67E9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jinkludu biss skoperturi li jissodisfaw iż-żewġ kundizzjonijiet li ġejjin: (a) huma denominati fl-istess munita bħad-depożiti meħuda mill-istituzzjoni; (b) il-maturità medja tagħhom ma taqbiżx b’mod sinifikanti l-maturità medja tad-depożiti meħuda mill-istituzzjoni.</w:t>
            </w:r>
          </w:p>
          <w:p w14:paraId="1572123D" w14:textId="78FE5C22" w:rsidR="007F3838" w:rsidRPr="000B66BC" w:rsidRDefault="009F67E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dawn l-iskoperturi irrispettivament minn jekk humiex eżentati mill-miżura tal-iskopertura totali skont l-Artikolu 429a(5) u (6) CRR.</w:t>
            </w:r>
          </w:p>
        </w:tc>
      </w:tr>
      <w:tr w:rsidR="00086398" w:rsidRPr="00E75BB8" w14:paraId="2FC50208" w14:textId="77777777" w:rsidTr="0008639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2019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{0390;0140}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D8C3" w14:textId="5121824E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Il-valur tal-iskoperturi tal-bank ċentrali użat għall-kalkolu tar-rekwiżit tal-proporzjon ta’ ingranaġġ aġġustat imsemmi fl-Artikolu 429a(7) CRR - Ammont tal-iskopertura tal-proporzjon ta’ ingranaġġ</w:t>
            </w:r>
          </w:p>
          <w:p w14:paraId="0EDC2D5D" w14:textId="07B6ED85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totali medju ta’ kuljum tal-iskoperturi tal-istituzzjoni għall-bank ċentrali tagħha, ikkalkulat tul il-perijodu sħiħ ta’ żamma ta’ riservi tal-bank ċentrali immedjatament qabel id-data msemmija fil-punt (c) tal-Artikolu 429a(5) CRR, li huma eliġibbli li jiġu esklużi skont il-punt (n) tal-Artikolu 429a(1) CRR.</w:t>
            </w:r>
          </w:p>
        </w:tc>
      </w:tr>
      <w:tr w:rsidR="00086398" w:rsidRPr="00E75BB8" w14:paraId="49595092" w14:textId="77777777" w:rsidTr="0008639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E0E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{0400;0140}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4B7" w14:textId="0FC2C62F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Kejl tal-iskopertura tal-proporzjon ta’ ingranaġġ użat għall-kalkolu tar-rekwiżit tal-proporzjon ta’ ingranaġġ aġġustat imsemmi fl-Artikolu 429a(7) CRR - Ammont tal-iskopertura tal-proporzjon ta’ ingranaġġ</w:t>
            </w:r>
          </w:p>
          <w:p w14:paraId="7F49B2B2" w14:textId="358A1863" w:rsidR="000A486B" w:rsidRPr="000B66BC" w:rsidRDefault="00DD51E7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Il-kejl tal-iskopertura totali tal-istituzzjoni kif definita fl-Artikolu 429(4) CRR, inkluża kwalunkwe skopertura eskluża skont il-punt (n) tal-Artikolu 429(1) CRR, fid-data msemmija fil-punt (c) tal-Artikolu 429a(5) CRR</w:t>
            </w:r>
          </w:p>
        </w:tc>
      </w:tr>
      <w:tr w:rsidR="000C01E8" w:rsidRPr="00E75BB8" w14:paraId="2AF78942" w14:textId="77777777" w:rsidTr="000C01E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ECA9" w14:textId="5DFC5643" w:rsidR="000C01E8" w:rsidRPr="000B66BC" w:rsidRDefault="000C01E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592" w14:textId="77777777" w:rsidR="000C01E8" w:rsidRPr="000B66BC" w:rsidRDefault="000C01E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Assi totali </w:t>
            </w:r>
          </w:p>
          <w:p w14:paraId="6B941506" w14:textId="67257FB8" w:rsidR="00086398" w:rsidRPr="000B66BC" w:rsidRDefault="000C01E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f’din l-entrata l-assi totali skont l-ambitu użat fir-rapporti finanzjarji ppubblikati.</w:t>
            </w:r>
          </w:p>
        </w:tc>
      </w:tr>
    </w:tbl>
    <w:p w14:paraId="03B5554A" w14:textId="77777777" w:rsidR="00462408" w:rsidRPr="000B66BC" w:rsidRDefault="00462408" w:rsidP="000B66BC">
      <w:pPr>
        <w:pStyle w:val="BodyText1"/>
        <w:spacing w:after="240"/>
        <w:rPr>
          <w:rFonts w:ascii="Times New Roman" w:hAnsi="Times New Roman"/>
          <w:b/>
          <w:sz w:val="24"/>
          <w:szCs w:val="24"/>
        </w:rPr>
      </w:pPr>
      <w:bookmarkStart w:id="58" w:name="_Toc338669922"/>
      <w:bookmarkStart w:id="59" w:name="_Toc338669923"/>
      <w:bookmarkStart w:id="60" w:name="_Toc338669924"/>
      <w:bookmarkStart w:id="61" w:name="_Toc338669925"/>
      <w:bookmarkStart w:id="62" w:name="_Toc338669926"/>
      <w:bookmarkStart w:id="63" w:name="_Toc338669927"/>
      <w:bookmarkStart w:id="64" w:name="_Toc338669928"/>
      <w:bookmarkEnd w:id="58"/>
      <w:bookmarkEnd w:id="59"/>
      <w:bookmarkEnd w:id="60"/>
      <w:bookmarkEnd w:id="61"/>
      <w:bookmarkEnd w:id="62"/>
      <w:bookmarkEnd w:id="63"/>
      <w:bookmarkEnd w:id="64"/>
    </w:p>
    <w:p w14:paraId="5E95AFC7" w14:textId="71198216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5" w:name="_Toc338669914"/>
      <w:bookmarkStart w:id="66" w:name="_Toc338669915"/>
      <w:bookmarkStart w:id="67" w:name="_Toc338669918"/>
      <w:bookmarkStart w:id="68" w:name="_Toc322687900"/>
      <w:bookmarkStart w:id="69" w:name="_Toc351048510"/>
      <w:bookmarkStart w:id="70" w:name="_Toc359414289"/>
      <w:bookmarkStart w:id="71" w:name="_Toc423089074"/>
      <w:bookmarkStart w:id="72" w:name="_Toc322533879"/>
      <w:bookmarkStart w:id="73" w:name="_Toc58574779"/>
      <w:bookmarkEnd w:id="57"/>
      <w:bookmarkEnd w:id="65"/>
      <w:bookmarkEnd w:id="66"/>
      <w:bookmarkEnd w:id="67"/>
      <w:r>
        <w:rPr>
          <w:rFonts w:ascii="Times New Roman" w:hAnsi="Times New Roman"/>
          <w:b/>
          <w:sz w:val="24"/>
          <w:szCs w:val="24"/>
        </w:rPr>
        <w:lastRenderedPageBreak/>
        <w:t>5.</w:t>
      </w:r>
      <w:r>
        <w:rPr>
          <w:rFonts w:ascii="Times New Roman" w:hAnsi="Times New Roman"/>
          <w:b/>
          <w:sz w:val="24"/>
          <w:szCs w:val="24"/>
        </w:rPr>
        <w:tab/>
        <w:t>C 43.00 – Diżaggregazzjoni alternattiva ta’ komponenti tal-kejl tal-iskopertura tal-proporzjon ta’ ingranaġġ</w:t>
      </w:r>
      <w:bookmarkEnd w:id="68"/>
      <w:bookmarkEnd w:id="69"/>
      <w:bookmarkEnd w:id="70"/>
      <w:r>
        <w:rPr>
          <w:rFonts w:ascii="Times New Roman" w:hAnsi="Times New Roman"/>
          <w:b/>
          <w:sz w:val="24"/>
          <w:szCs w:val="24"/>
        </w:rPr>
        <w:t xml:space="preserve"> (LR4)</w:t>
      </w:r>
      <w:bookmarkEnd w:id="71"/>
      <w:bookmarkEnd w:id="73"/>
    </w:p>
    <w:p w14:paraId="28B96BA9" w14:textId="5AF52E0B" w:rsidR="004E437E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>
        <w:rPr>
          <w:rFonts w:ascii="Times New Roman" w:hAnsi="Times New Roman"/>
          <w:sz w:val="24"/>
          <w:szCs w:val="24"/>
        </w:rPr>
        <w:tab/>
        <w:t>L-istituzzjonijiet għandhom jirrapportaw il-valuri tal-iskopertura tal-proporzjon ta’ ingranaġġ f’LR4 wara l-applikazzjoni ta’ eżenzjonijiet u tnaqqis fil-formola LRCalc, jiġifieri l-entrati b’sinjal negattiv f’konformità mal-konvenzjoni tas-sinjali fil-paragrafu 9 tal-Parti I ta’ dan l-Anness, ħlief ir-ringieli {0270;0010} {0280;0010}.</w:t>
      </w:r>
    </w:p>
    <w:p w14:paraId="69B9194E" w14:textId="636E268C" w:rsidR="00A54449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>
        <w:rPr>
          <w:rFonts w:ascii="Times New Roman" w:hAnsi="Times New Roman"/>
          <w:sz w:val="24"/>
          <w:szCs w:val="24"/>
        </w:rPr>
        <w:tab/>
        <w:t>Sabiex jevitaw għadd doppju, l-istituzzjonijiet għandhom iżommu din l-ekwazzjoni li ġejja:</w:t>
      </w:r>
    </w:p>
    <w:p w14:paraId="6C63F05C" w14:textId="680D603A" w:rsidR="00F4754B" w:rsidRPr="000B66BC" w:rsidRDefault="00287E34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Is-somma tar-ringieli kollha minn {0010; 0010}</w:t>
      </w:r>
      <w:r>
        <w:rPr>
          <w:rFonts w:ascii="Times New Roman" w:hAnsi="Times New Roman"/>
          <w:bCs/>
          <w:sz w:val="24"/>
          <w:szCs w:val="24"/>
        </w:rPr>
        <w:t xml:space="preserve"> sa </w:t>
      </w:r>
      <w:r>
        <w:rPr>
          <w:rFonts w:ascii="Times New Roman" w:hAnsi="Times New Roman"/>
          <w:sz w:val="24"/>
          <w:szCs w:val="24"/>
        </w:rPr>
        <w:t>{0</w:t>
      </w:r>
      <w:r>
        <w:rPr>
          <w:rFonts w:ascii="Times New Roman" w:hAnsi="Times New Roman"/>
          <w:bCs/>
          <w:sz w:val="24"/>
          <w:szCs w:val="24"/>
        </w:rPr>
        <w:t>267;</w:t>
      </w:r>
      <w:r>
        <w:rPr>
          <w:rFonts w:ascii="Times New Roman" w:hAnsi="Times New Roman"/>
          <w:sz w:val="24"/>
          <w:szCs w:val="24"/>
        </w:rPr>
        <w:t>0010}</w:t>
      </w:r>
      <w:r>
        <w:rPr>
          <w:rFonts w:ascii="Times New Roman" w:hAnsi="Times New Roman"/>
          <w:bCs/>
          <w:sz w:val="24"/>
          <w:szCs w:val="24"/>
        </w:rPr>
        <w:t xml:space="preserve"> fil-formola LRCalc għandha tkun ugwali għal</w:t>
      </w:r>
      <w:r>
        <w:rPr>
          <w:rFonts w:ascii="Times New Roman" w:hAnsi="Times New Roman"/>
          <w:sz w:val="24"/>
          <w:szCs w:val="24"/>
        </w:rPr>
        <w:t xml:space="preserve"> = [{LR4;0010;0010} + {LR4;0040;0010} + {LR4;0050;0010} + {LR4;0060;0010} + {LR4;0065;0010} + {LR4;0070;0010} + {LR4;0080;0010} + {LR40;080;0020} + {LR4;0090;0010} + {LR4;00090;0020} + {LR4;0140;0010} + {LR4;0140;0020} + {LR4;0180;0010} + {LR4;0180;0020} + {LR4;190;0010} + {LR4;0190;0020} + {LR4;0210;0010} + {LR4;0210;0020} + {LR4;0230;0010} + {LR4;0230;0020} + {LR4;0280;0010} + {LR4;0280;0020} + {LR4;0290;0010} + {LR4;0290;0020}].</w:t>
      </w:r>
    </w:p>
    <w:p w14:paraId="5BDC94CE" w14:textId="5304C6DC" w:rsidR="00675587" w:rsidRPr="000B66BC" w:rsidRDefault="00143C6A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>
        <w:rPr>
          <w:rFonts w:ascii="Times New Roman" w:hAnsi="Times New Roman"/>
          <w:sz w:val="24"/>
          <w:szCs w:val="24"/>
        </w:rPr>
        <w:tab/>
        <w:t>Sabiex ikunu konsistenti mal-valuri tal-iskopertura tal-proporzjon ta’ ingranaġġ, l-ammonti ta’ skoperturi ponderati għar-riskju għandhom jiġu rrapportati wkoll b’mod gradwali.</w:t>
      </w:r>
    </w:p>
    <w:p w14:paraId="794DC095" w14:textId="689BE33F" w:rsidR="003B1611" w:rsidRPr="000B66BC" w:rsidRDefault="003B1611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L-istituzzjonijiet għandhom jirrapportaw il-kontroparti fir-rigward tal-RWEA wara t-tekniki tal-mitigazzjoni tar-riskju ta’ kreditu (credit risk mitigation, CRM) u l-effetti tas-sostituzzjoni tiegħu. L-istituzzjonijiet għandhom jirrapportaw il-kontroparti fir-rigward tal-LRE f’konformità mal-kontroparti oriġinali, jiġifieri mingħajr ma jqisu kwalunkwe CRM jew effett ta’ sostituzzjoni applikabbli għall-RWEA.  </w:t>
      </w:r>
    </w:p>
    <w:tbl>
      <w:tblPr>
        <w:tblW w:w="896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59"/>
        <w:gridCol w:w="7406"/>
      </w:tblGrid>
      <w:tr w:rsidR="002A54FF" w:rsidRPr="00E75BB8" w14:paraId="69CF6F62" w14:textId="77777777" w:rsidTr="000B66BC">
        <w:trPr>
          <w:trHeight w:val="297"/>
        </w:trPr>
        <w:tc>
          <w:tcPr>
            <w:tcW w:w="1559" w:type="dxa"/>
            <w:shd w:val="clear" w:color="auto" w:fill="D9D9D9" w:themeFill="background1" w:themeFillShade="D9"/>
          </w:tcPr>
          <w:p w14:paraId="5F424E32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Ringiela u kolonna</w:t>
            </w:r>
          </w:p>
        </w:tc>
        <w:tc>
          <w:tcPr>
            <w:tcW w:w="7406" w:type="dxa"/>
            <w:shd w:val="clear" w:color="auto" w:fill="D9D9D9" w:themeFill="background1" w:themeFillShade="D9"/>
          </w:tcPr>
          <w:p w14:paraId="0DBEBFC4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Referenzi legali u struzzjonijiet</w:t>
            </w:r>
          </w:p>
        </w:tc>
      </w:tr>
      <w:tr w:rsidR="002A54FF" w:rsidRPr="00E75BB8" w14:paraId="7949D943" w14:textId="77777777" w:rsidTr="000B66BC">
        <w:trPr>
          <w:trHeight w:val="445"/>
        </w:trPr>
        <w:tc>
          <w:tcPr>
            <w:tcW w:w="1559" w:type="dxa"/>
            <w:shd w:val="clear" w:color="auto" w:fill="FFFFFF"/>
          </w:tcPr>
          <w:p w14:paraId="55F0F0BF" w14:textId="2E63969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06" w:type="dxa"/>
            <w:shd w:val="clear" w:color="auto" w:fill="FFFFFF"/>
          </w:tcPr>
          <w:p w14:paraId="1750A9AE" w14:textId="2B686C4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Entrati li ma jidhrux fil-karta tal-bilanċ– Valur tal-Iskopertura tal-Proporzjon ta’ Ingranaġġ</w:t>
            </w:r>
          </w:p>
          <w:p w14:paraId="158DBAF4" w14:textId="0DD65B8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ikkalkolat bħala s-somma ta’ {LRCalc;0150;0010}, {LRCalc;0160;0010}, {LRCalc;0170;0010} u {LRCalc;0180;0010} esklużi l-iskoperturi intragrupp rispettivi (fuq bażi individwali) eżentati skont il-punt (c) tal-Artikolu 429a(1) CRR.</w:t>
            </w:r>
          </w:p>
        </w:tc>
      </w:tr>
      <w:tr w:rsidR="002A54FF" w:rsidRPr="00E75BB8" w14:paraId="5C714FF5" w14:textId="77777777" w:rsidTr="000B66BC">
        <w:trPr>
          <w:trHeight w:val="1179"/>
        </w:trPr>
        <w:tc>
          <w:tcPr>
            <w:tcW w:w="1559" w:type="dxa"/>
            <w:shd w:val="clear" w:color="auto" w:fill="FFFFFF"/>
          </w:tcPr>
          <w:p w14:paraId="2120C924" w14:textId="781A0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406" w:type="dxa"/>
            <w:shd w:val="clear" w:color="auto" w:fill="FFFFFF"/>
          </w:tcPr>
          <w:p w14:paraId="01D12FD7" w14:textId="094E74C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Entrati li ma jidhrux fil-karta tal-bilanċ– RWEA</w:t>
            </w:r>
          </w:p>
          <w:p w14:paraId="672047D9" w14:textId="51654D8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L-ammont tal-iskopertura ponderat għar-riskju ta’ entrati li ma jidhrux fil-karta tal-bilanċ – esklużi l-SFTs u d-derivattivi – bħal fl-Approċċ Standardizzat u l-Approċċ IRB.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Għal skoperturi skont l-Approċċ Standardizzat, l-istituzzjonijiet għandhom jiddeterminaw l-ammont tal-iskopertura ponderat għar-riskju skont il-Kapitolu 2 tat-Titolu II tal-Parti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Tlieta CRR.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Għal skoperturi skont l-Approċċ IRB, l-istituzzjonijiet għandhom jiddeterminaw l-ammont tal-iskopertura ponderat għar-riskju skont il-Kapitolu 3 tat-Titolu II tal-Parti Tlieta CRR.</w:t>
            </w:r>
          </w:p>
        </w:tc>
      </w:tr>
      <w:tr w:rsidR="002A54FF" w:rsidRPr="00E75BB8" w14:paraId="3A2B982B" w14:textId="77777777" w:rsidTr="000B66BC">
        <w:trPr>
          <w:trHeight w:val="741"/>
        </w:trPr>
        <w:tc>
          <w:tcPr>
            <w:tcW w:w="1559" w:type="dxa"/>
            <w:shd w:val="clear" w:color="auto" w:fill="FFFFFF"/>
          </w:tcPr>
          <w:p w14:paraId="02155B13" w14:textId="2421AAB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{0020;0010}</w:t>
            </w:r>
          </w:p>
        </w:tc>
        <w:tc>
          <w:tcPr>
            <w:tcW w:w="7406" w:type="dxa"/>
            <w:shd w:val="clear" w:color="auto" w:fill="FFFFFF"/>
          </w:tcPr>
          <w:p w14:paraId="08539F0E" w14:textId="34DD4FEA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Finanzjament tal-Kummerċ;– Valur tal-Iskopertura tal-Proporzjon ta’ Ingranaġġ</w:t>
            </w:r>
          </w:p>
          <w:p w14:paraId="645ACACC" w14:textId="77777777" w:rsidR="00F21A85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tal-entrati li ma jidhrux fil-karta tal-bilanċ relatati ma’ finanzjament tal-kummerċ</w:t>
            </w:r>
          </w:p>
          <w:p w14:paraId="133382BF" w14:textId="754E9FF1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tar-rapportar f’LR4, entrati li ma jidhrux fil-karta tal-bilanċ relatati ma’ finanzjament ta’ kummerċ għandhom ikunu relatati ma’ ittri ta’ kreditu ta’ importazzjoni u esportazzjoni maħruġin u kkonfermati ta’ terminu qasir u awtolikwidanti, u ma’ tranżazzjonijiet simili.</w:t>
            </w:r>
          </w:p>
        </w:tc>
      </w:tr>
      <w:tr w:rsidR="002A54FF" w:rsidRPr="00E75BB8" w14:paraId="76EF75CF" w14:textId="77777777" w:rsidTr="000B66BC">
        <w:trPr>
          <w:trHeight w:val="1038"/>
        </w:trPr>
        <w:tc>
          <w:tcPr>
            <w:tcW w:w="1559" w:type="dxa"/>
            <w:shd w:val="clear" w:color="auto" w:fill="FFFFFF"/>
          </w:tcPr>
          <w:p w14:paraId="35797C75" w14:textId="0565FF1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{0020;0020}</w:t>
            </w:r>
          </w:p>
        </w:tc>
        <w:tc>
          <w:tcPr>
            <w:tcW w:w="7406" w:type="dxa"/>
            <w:shd w:val="clear" w:color="auto" w:fill="FFFFFF"/>
          </w:tcPr>
          <w:p w14:paraId="249BC5D0" w14:textId="48587F9F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Finanzjament tal-Kummerċ– RWEA</w:t>
            </w:r>
          </w:p>
          <w:p w14:paraId="6D7F09A8" w14:textId="77777777" w:rsidR="006918E9" w:rsidRDefault="00F4754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ponderat għar-riskju ta’ entrati li ma jidhrux fil-karta tal-bilanċ – esklużi l-SFTs u d-derivattivi – relatati mal-finanzjament tal-kummerċ</w:t>
            </w:r>
          </w:p>
          <w:p w14:paraId="38C84AEF" w14:textId="78316124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tar-rapportar f’LR4, entrati li ma jidhrux fil-karta tal-bilanċ relatati ma’ finanzjament ta’ kummerċ għandhom ikunu relatati ma’ ittri ta’ kreditu ta’ importazzjoni u esportazzjoni maħruġin u kkonfermati ta’ terminu qasir u awtolikwidanti, u ma’ tranżazzjonijiet simili.</w:t>
            </w:r>
          </w:p>
        </w:tc>
      </w:tr>
      <w:tr w:rsidR="002A54FF" w:rsidRPr="00E75BB8" w14:paraId="277256CF" w14:textId="77777777" w:rsidTr="000B66BC">
        <w:trPr>
          <w:trHeight w:val="1030"/>
        </w:trPr>
        <w:tc>
          <w:tcPr>
            <w:tcW w:w="1559" w:type="dxa"/>
            <w:shd w:val="clear" w:color="auto" w:fill="FFFFFF"/>
          </w:tcPr>
          <w:p w14:paraId="5B876EDF" w14:textId="3902F51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{0030;0010}</w:t>
            </w:r>
          </w:p>
        </w:tc>
        <w:tc>
          <w:tcPr>
            <w:tcW w:w="7406" w:type="dxa"/>
            <w:shd w:val="clear" w:color="auto" w:fill="FFFFFF"/>
          </w:tcPr>
          <w:p w14:paraId="48F51CF2" w14:textId="4EB6A65B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Skont l-iskema uffiċjali tal-assigurazzjoni ta’ kreditu għall-esportazzjoni – Valur tal-Iskopertura tal-Proporzjon ta’ Ingranaġġ</w:t>
            </w:r>
          </w:p>
          <w:p w14:paraId="6B70A020" w14:textId="3C72A663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entrati li ma jidhrux fuq il-karta tal-bilanċ relatati mal-finanzjament tal-kummerċ taħt l-iskema uffiċjali tal-assigurazzjoni ta’ kreditu għall-esportazzjoni</w:t>
            </w:r>
          </w:p>
          <w:p w14:paraId="71BE2A86" w14:textId="52B3D7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</w:t>
            </w:r>
          </w:p>
        </w:tc>
      </w:tr>
      <w:tr w:rsidR="002A54FF" w:rsidRPr="00E75BB8" w14:paraId="46968C9B" w14:textId="77777777" w:rsidTr="000B66BC">
        <w:trPr>
          <w:trHeight w:val="601"/>
        </w:trPr>
        <w:tc>
          <w:tcPr>
            <w:tcW w:w="1559" w:type="dxa"/>
            <w:shd w:val="clear" w:color="auto" w:fill="FFFFFF"/>
          </w:tcPr>
          <w:p w14:paraId="68790E0D" w14:textId="23854C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{0030;0020}</w:t>
            </w:r>
          </w:p>
        </w:tc>
        <w:tc>
          <w:tcPr>
            <w:tcW w:w="7406" w:type="dxa"/>
            <w:shd w:val="clear" w:color="auto" w:fill="FFFFFF"/>
          </w:tcPr>
          <w:p w14:paraId="071CF42C" w14:textId="4BD5D1B3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Taħt l-iskema uffiċjali tal-assigurazzjoni ta’ kreditu għall-esportazzjoni – RWEA</w:t>
            </w:r>
          </w:p>
          <w:p w14:paraId="0E7BC811" w14:textId="6F1A953F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ponderat għar-riskju ta’ entrati li ma jidhrux fil-karta tal-bilanċ – bl-esklużjoni tal-SFTs u d-derivattivi – relatati mal-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finanzjament tal-kummerċ skont skema uffiċjali tal-assigurazzjoni ta’ kreditu għall-esportazzjoni</w:t>
            </w:r>
          </w:p>
          <w:p w14:paraId="2D3ADF55" w14:textId="478E84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</w:t>
            </w:r>
          </w:p>
        </w:tc>
      </w:tr>
      <w:tr w:rsidR="002A54FF" w:rsidRPr="00E75BB8" w14:paraId="46D6302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CF026" w14:textId="3E532BF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{0040;0010}</w:t>
            </w:r>
          </w:p>
        </w:tc>
        <w:tc>
          <w:tcPr>
            <w:tcW w:w="7406" w:type="dxa"/>
            <w:shd w:val="clear" w:color="auto" w:fill="FFFFFF"/>
          </w:tcPr>
          <w:p w14:paraId="70B328B5" w14:textId="418FD16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Derivattivi u SFTs soġġetti għal ftehim ta’ netting bejn prodotti differenti – Valur tal-Iskopertura tal-Proporzjon ta’ Ingranaġġ</w:t>
            </w:r>
          </w:p>
          <w:p w14:paraId="04D3A7BA" w14:textId="365CD172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derivattivi u SFTs jekk ikunu soġġetti għal ftehim ta’ netting bejn prodotti differenti kif definit fl-Artikolu 272(25) CRR</w:t>
            </w:r>
          </w:p>
        </w:tc>
      </w:tr>
      <w:tr w:rsidR="002A54FF" w:rsidRPr="00E75BB8" w14:paraId="71AC64B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035BF5" w14:textId="02E9D93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{0040;0020}</w:t>
            </w:r>
          </w:p>
        </w:tc>
        <w:tc>
          <w:tcPr>
            <w:tcW w:w="7406" w:type="dxa"/>
            <w:shd w:val="clear" w:color="auto" w:fill="FFFFFF"/>
          </w:tcPr>
          <w:p w14:paraId="6A93DC52" w14:textId="5A4C870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Derivattivi u SFTs soġġetti għal ftehim ta’ netting bejn prodotti differenti – RWEA</w:t>
            </w:r>
          </w:p>
          <w:p w14:paraId="2D88BC4B" w14:textId="09DCE3F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tal-iskopertura ponderata għar-riskju, għar-riskju ta’ kreditu u ta’ kreditu tal-kontroparti kif ikkalkolati skont it-Titolu II tal-Parti Tlieta CRR tad-derivattivi u tal-SFTs, inklużi dawk li ma jidhrux fil-karta tal-bilanċ, jekk soġġetti għal ftehim ta’ netting bejn prodotti differenti kif definit fl-Artikolu 272(25) CRR</w:t>
            </w:r>
          </w:p>
        </w:tc>
      </w:tr>
      <w:tr w:rsidR="002A54FF" w:rsidRPr="00E75BB8" w14:paraId="6FAD68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A151D1" w14:textId="1DC2294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{0050;0010}</w:t>
            </w:r>
          </w:p>
        </w:tc>
        <w:tc>
          <w:tcPr>
            <w:tcW w:w="7406" w:type="dxa"/>
            <w:shd w:val="clear" w:color="auto" w:fill="FFFFFF"/>
          </w:tcPr>
          <w:p w14:paraId="37A53F91" w14:textId="1692A46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Derivattivi mhux soġġetti għal ftehim ta’ netting bejn prodotti differenti – Valur tal-Iskopertura tal-Proporzjon ta’ Ingranaġġ</w:t>
            </w:r>
          </w:p>
          <w:p w14:paraId="48BC0234" w14:textId="7A21C23B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derivattivi jekk mhumiex soġġetti għal ftehim ta’ netting bejn prodotti differenti kif definit fl-Artikolu 272(25) CRR</w:t>
            </w:r>
          </w:p>
        </w:tc>
      </w:tr>
      <w:tr w:rsidR="002A54FF" w:rsidRPr="00E75BB8" w14:paraId="109BE50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A1CBE3" w14:textId="7C7D547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{0050;0020}</w:t>
            </w:r>
          </w:p>
        </w:tc>
        <w:tc>
          <w:tcPr>
            <w:tcW w:w="7406" w:type="dxa"/>
            <w:shd w:val="clear" w:color="auto" w:fill="FFFFFF"/>
          </w:tcPr>
          <w:p w14:paraId="128CF8E8" w14:textId="0277DB7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Derivattivi mhux soġġetti għal ftehim ta’ netting bejn prodotti differenti – RWEA</w:t>
            </w:r>
          </w:p>
          <w:p w14:paraId="328E1A83" w14:textId="3EF8E91E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tal-iskopertura ponderata għar-riskju għal riskju ta’ kreditu u ta’ kreditu tal-kontroparti kif ikkalkolati skont it-Titolu II tal-Parti Tlieta CRR, inklużi dawk li ma jidhrux fil-karta tal-bilanċ, jekk mhumiex soġġetti għal ftehim ta’ netting bejn prodotti differenti kif definit fl-Artikolu 272(25) CRR</w:t>
            </w:r>
          </w:p>
        </w:tc>
      </w:tr>
      <w:tr w:rsidR="002A54FF" w:rsidRPr="00E75BB8" w14:paraId="250886B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7AE751E" w14:textId="7CC2059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{0060;0010}</w:t>
            </w:r>
          </w:p>
        </w:tc>
        <w:tc>
          <w:tcPr>
            <w:tcW w:w="7406" w:type="dxa"/>
            <w:shd w:val="clear" w:color="auto" w:fill="FFFFFF"/>
          </w:tcPr>
          <w:p w14:paraId="62FDB809" w14:textId="5F25550B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SFTs mhux soġġetti għal ftehim ta’ netting bejn prodotti differenti – Valur tal-Iskopertura tal-Proporzjon ta’ Ingranaġġ</w:t>
            </w:r>
          </w:p>
          <w:p w14:paraId="621A4651" w14:textId="6E13F664" w:rsidR="000A486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Il-valur tal-iskopertura tal-proporzjon ta’ ingranaġġ ta’ skoperturi ta’ SFTs jekk mhumiex soġġetti għal ftehim ta’ netting bejn prodotti differenti kif definit fl-Artikolu 272(25) CRR</w:t>
            </w:r>
          </w:p>
        </w:tc>
      </w:tr>
      <w:tr w:rsidR="002A54FF" w:rsidRPr="00E75BB8" w14:paraId="02CE5A4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23F20A" w14:textId="5C57C5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{0060;0020}</w:t>
            </w:r>
          </w:p>
        </w:tc>
        <w:tc>
          <w:tcPr>
            <w:tcW w:w="7406" w:type="dxa"/>
            <w:shd w:val="clear" w:color="auto" w:fill="FFFFFF"/>
          </w:tcPr>
          <w:p w14:paraId="25095D40" w14:textId="2E4D9B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SFTs mhux soġġetti għal ftehim ta’ netting bejn prodotti differenti – RWEA</w:t>
            </w:r>
          </w:p>
          <w:p w14:paraId="0358DACB" w14:textId="4FE9C5FC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tal-iskopertura ponderata għar-riskju għal riskju ta’ kreditu u ta’ kreditu tal-kontroparti ta’ SFTs, kif ikkalkolati skont it-Titolu II tal-Parti Tlieta CRR, inklużi dawk li ma jidhrux fil-karta tal-bilanċ, jekk mhumiex soġġetti għal ftehim ta’ netting bejn prodotti differenti kif definit fl-Artikolu 272(25) CRR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A54FF" w:rsidRPr="00E75BB8" w14:paraId="53E747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16A99BB" w14:textId="71684C56" w:rsidR="00465521" w:rsidRPr="000B66BC" w:rsidRDefault="0046552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{0065;0010}</w:t>
            </w:r>
          </w:p>
        </w:tc>
        <w:tc>
          <w:tcPr>
            <w:tcW w:w="7406" w:type="dxa"/>
            <w:shd w:val="clear" w:color="auto" w:fill="FFFFFF"/>
          </w:tcPr>
          <w:p w14:paraId="40B65940" w14:textId="26A29B28" w:rsidR="004968DF" w:rsidRPr="000B66BC" w:rsidRDefault="004968D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Ammonti ta’ skopertura li jirriżultaw mit-trattament addizzjonali għad-derivattivi ta’ kreditu – Valur tal-Iskopertura tal-Proporzjon ta’ Ingranaġġ</w:t>
            </w:r>
          </w:p>
          <w:p w14:paraId="1E879EE4" w14:textId="565D246B" w:rsidR="00EC2C14" w:rsidRPr="000B66BC" w:rsidRDefault="000D397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iċ-ċellola għandha tkun daqs id-differenza bejn {LRCalc;0130;0010} u {LRCalc;0140;0010} bl-esklużjoni tal-iskoperturi intragrupp rispettivi (fuq bażi individwali) eżentati skont il-punt (c) tal-Artikolu 429a(1) CRR.</w:t>
            </w:r>
          </w:p>
        </w:tc>
      </w:tr>
      <w:tr w:rsidR="002A54FF" w:rsidRPr="00E75BB8" w14:paraId="07289AF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B8700E" w14:textId="3A0BBEE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{0070;0010}</w:t>
            </w:r>
          </w:p>
        </w:tc>
        <w:tc>
          <w:tcPr>
            <w:tcW w:w="7406" w:type="dxa"/>
            <w:shd w:val="clear" w:color="auto" w:fill="FFFFFF"/>
          </w:tcPr>
          <w:p w14:paraId="330EEA74" w14:textId="3FC00B7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Assi oħrajn li jappartjenu għall-portafoll tan-negozjar – Valur tal-Iskopertura tal-Proporzjon ta’ Ingranaġġ</w:t>
            </w:r>
          </w:p>
          <w:p w14:paraId="1E037EEA" w14:textId="4585B1F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tal-entrati rrapportati f’{LRCalc;0190;0010} bl-esklużjoni tal-entrati fil-portafoll mhux tan-negozjar.</w:t>
            </w:r>
          </w:p>
        </w:tc>
      </w:tr>
      <w:tr w:rsidR="002A54FF" w:rsidRPr="00E75BB8" w14:paraId="5791503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BCDEC45" w14:textId="088A2CC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{0070;0020}</w:t>
            </w:r>
          </w:p>
        </w:tc>
        <w:tc>
          <w:tcPr>
            <w:tcW w:w="7406" w:type="dxa"/>
            <w:shd w:val="clear" w:color="auto" w:fill="FFFFFF"/>
          </w:tcPr>
          <w:p w14:paraId="6FF1BCA1" w14:textId="350A599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 oħrajn li jappartjenu għall-portafoll tan-negozjar – RWEA</w:t>
            </w:r>
          </w:p>
          <w:p w14:paraId="17C0B94C" w14:textId="4E4B0ED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Ir-rekwiżiti ta’ fondi proprji multiplikati bi 12.5 tal-entrati soġġetti għat-Titolu IV tal-Parti Tlieta CRR</w:t>
            </w:r>
          </w:p>
        </w:tc>
      </w:tr>
      <w:tr w:rsidR="002A54FF" w:rsidRPr="00E75BB8" w14:paraId="30AD69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CBED28C" w14:textId="1FF404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</w:t>
            </w:r>
          </w:p>
        </w:tc>
        <w:tc>
          <w:tcPr>
            <w:tcW w:w="7406" w:type="dxa"/>
            <w:shd w:val="clear" w:color="auto" w:fill="FFFFFF"/>
          </w:tcPr>
          <w:p w14:paraId="02FC2330" w14:textId="1076147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Bonds koperti – Valur tal-Iskopertura tal-Proporzjon ta’ Ingranaġġ – Skoperturi SA</w:t>
            </w:r>
          </w:p>
          <w:p w14:paraId="7DABED3A" w14:textId="30850C2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li huma skoperturi SA fil-forma ta’ bonds koperti kif definiti fl-Artikolu 129 CRR. </w:t>
            </w:r>
          </w:p>
          <w:p w14:paraId="1426D45B" w14:textId="0DF44122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6ECC5B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B311B6" w14:textId="2F59A0E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{0080;0020}</w:t>
            </w:r>
          </w:p>
        </w:tc>
        <w:tc>
          <w:tcPr>
            <w:tcW w:w="7406" w:type="dxa"/>
            <w:shd w:val="clear" w:color="auto" w:fill="FFFFFF"/>
          </w:tcPr>
          <w:p w14:paraId="7BBB17A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Bonds koperti – Valur tal-Iskopertura tal-Proporzjon ta’ Ingranaġġ – Skoperturi IRB</w:t>
            </w:r>
          </w:p>
          <w:p w14:paraId="31EFC20D" w14:textId="7B2FD090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fil-forma ta’ bonds koperti kif definiti fil-punt (d) tal-Artikolu 161(1) CRR</w:t>
            </w:r>
          </w:p>
          <w:p w14:paraId="69149D8B" w14:textId="5AF9D0A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in-nett tal-iskoperturi IRB inadempjenti.</w:t>
            </w:r>
          </w:p>
        </w:tc>
      </w:tr>
      <w:tr w:rsidR="002A54FF" w:rsidRPr="00E75BB8" w14:paraId="1CBCAE5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46A1715" w14:textId="2259578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{0080;0030}</w:t>
            </w:r>
          </w:p>
        </w:tc>
        <w:tc>
          <w:tcPr>
            <w:tcW w:w="7406" w:type="dxa"/>
            <w:shd w:val="clear" w:color="auto" w:fill="FFFFFF"/>
          </w:tcPr>
          <w:p w14:paraId="05046869" w14:textId="5880D72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Bonds koperti – RWEA – Skoperturi SA</w:t>
            </w:r>
          </w:p>
          <w:p w14:paraId="6C4B05A8" w14:textId="74611E7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fil-forma ta’ bonds koperti kif definiti fl-Artikolu 129 CRR</w:t>
            </w:r>
          </w:p>
          <w:p w14:paraId="44B63283" w14:textId="34A33B6E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9349EC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794F3F" w14:textId="2F016AE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{0080;0040}</w:t>
            </w:r>
          </w:p>
        </w:tc>
        <w:tc>
          <w:tcPr>
            <w:tcW w:w="7406" w:type="dxa"/>
            <w:shd w:val="clear" w:color="auto" w:fill="FFFFFF"/>
          </w:tcPr>
          <w:p w14:paraId="513DAEE1" w14:textId="752BA96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Bonds koperti – RWEA – Skoperturi IRB</w:t>
            </w:r>
          </w:p>
          <w:p w14:paraId="466ABC6A" w14:textId="4CD9D84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fil-forma ta’ bonds koperti kif definiti fil-punt (d) tal-Artikolu 161(1) CRR</w:t>
            </w:r>
          </w:p>
          <w:p w14:paraId="64310FB6" w14:textId="6BA4916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00C56C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BCBE3F" w14:textId="6D5D74E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{0090,0010}</w:t>
            </w:r>
          </w:p>
        </w:tc>
        <w:tc>
          <w:tcPr>
            <w:tcW w:w="7406" w:type="dxa"/>
            <w:shd w:val="clear" w:color="auto" w:fill="FFFFFF"/>
          </w:tcPr>
          <w:p w14:paraId="7C0C026C" w14:textId="236A8C0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ttrattati bħala sovrani – Valur tal-Iskopertura tal-Proporzjon ta’ Ingranaġġ – Skoperturi SA</w:t>
            </w:r>
          </w:p>
          <w:p w14:paraId="0909B157" w14:textId="2673F0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taċ-ċelloli minn {0100,0010} sa {0130,0010}.</w:t>
            </w:r>
          </w:p>
          <w:p w14:paraId="144D9E7A" w14:textId="795F478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12BA9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E94DE7" w14:textId="72315A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{0090;0020}</w:t>
            </w:r>
          </w:p>
        </w:tc>
        <w:tc>
          <w:tcPr>
            <w:tcW w:w="7406" w:type="dxa"/>
            <w:shd w:val="clear" w:color="auto" w:fill="FFFFFF"/>
          </w:tcPr>
          <w:p w14:paraId="015E56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ttrattati bħala sovrani – Valur tal-Iskopertura tal-Proporzjon ta’ Ingranaġġ – Skoperturi IRB</w:t>
            </w:r>
          </w:p>
          <w:p w14:paraId="361C00EC" w14:textId="191A9CA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taċ-ċelloli minn {0100,0020} sa {0130,0020}.</w:t>
            </w:r>
          </w:p>
          <w:p w14:paraId="4CE96745" w14:textId="2CF889E3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0C1D33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3140D6A" w14:textId="181D4B9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{0090;0030}</w:t>
            </w:r>
          </w:p>
        </w:tc>
        <w:tc>
          <w:tcPr>
            <w:tcW w:w="7406" w:type="dxa"/>
            <w:shd w:val="clear" w:color="auto" w:fill="FFFFFF"/>
          </w:tcPr>
          <w:p w14:paraId="63538621" w14:textId="36E9198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ttrattati bħala sovrani – RWEA – Skoperturi SA</w:t>
            </w:r>
          </w:p>
          <w:p w14:paraId="2FE3A5A6" w14:textId="0A48A5C7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taċ-ċelloli minn {0100,0030} sa {0130,0030}.</w:t>
            </w:r>
          </w:p>
          <w:p w14:paraId="576656CF" w14:textId="7109E0F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6675B4A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74B53A3" w14:textId="5AEDFC5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{0090;0040}</w:t>
            </w:r>
          </w:p>
        </w:tc>
        <w:tc>
          <w:tcPr>
            <w:tcW w:w="7406" w:type="dxa"/>
            <w:shd w:val="clear" w:color="auto" w:fill="FFFFFF"/>
          </w:tcPr>
          <w:p w14:paraId="7FD46908" w14:textId="76F6E5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ttrattati bħala sovrani – RWEA – Skoperturi IRB</w:t>
            </w:r>
          </w:p>
          <w:p w14:paraId="0EE39545" w14:textId="4A51FB5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taċ-ċelloli minn {0100,0040} sa {0130,0040}.</w:t>
            </w:r>
          </w:p>
          <w:p w14:paraId="21E4ED70" w14:textId="10D77DF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DDC06E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9F879D" w14:textId="3D24C7C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{0100;0010}</w:t>
            </w:r>
          </w:p>
        </w:tc>
        <w:tc>
          <w:tcPr>
            <w:tcW w:w="7406" w:type="dxa"/>
            <w:shd w:val="clear" w:color="auto" w:fill="FFFFFF"/>
          </w:tcPr>
          <w:p w14:paraId="1F2266E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ċentrali u banek ċentrali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Valur tal-Iskopertura tal-Proporzjon ta’ Ingranaġġ – Skoperturi SA</w:t>
            </w:r>
          </w:p>
          <w:p w14:paraId="6613A997" w14:textId="5C49EB30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gvernijiet ċentrali jew banek ċentrali kif definit fl-Artikolu 114 CRR.</w:t>
            </w:r>
          </w:p>
          <w:p w14:paraId="7F55138D" w14:textId="75576E6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0B4E656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0291ED" w14:textId="3AD060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{0100;0020}</w:t>
            </w:r>
          </w:p>
        </w:tc>
        <w:tc>
          <w:tcPr>
            <w:tcW w:w="7406" w:type="dxa"/>
            <w:shd w:val="clear" w:color="auto" w:fill="FFFFFF"/>
          </w:tcPr>
          <w:p w14:paraId="66A53D9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ċentrali u banek ċentrali – Valur tal-Iskopertura tal-Proporzjon ta’ Ingranaġġ – Skoperturi IRB</w:t>
            </w:r>
          </w:p>
          <w:p w14:paraId="517FD145" w14:textId="1AD0656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li huma skoperturi IRB għal gvernijiet ċentrali jew banek ċentrali kif definit fil-punt (a) tal-Artikolu 147(2) CRR </w:t>
            </w:r>
          </w:p>
          <w:p w14:paraId="0885AD1A" w14:textId="0035770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3380BA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953201" w14:textId="4A0778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{0100;0030}</w:t>
            </w:r>
          </w:p>
        </w:tc>
        <w:tc>
          <w:tcPr>
            <w:tcW w:w="7406" w:type="dxa"/>
            <w:shd w:val="clear" w:color="auto" w:fill="FFFFFF"/>
          </w:tcPr>
          <w:p w14:paraId="26718359" w14:textId="1E245CA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ċentrali u banek ċentrali – RWEA – Skoperturi SA</w:t>
            </w:r>
          </w:p>
          <w:p w14:paraId="1057171E" w14:textId="47CF1FDF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gvernijiet ċentrali jew banek ċentrali kif definit fl-Artikolu 114 CRR</w:t>
            </w:r>
          </w:p>
          <w:p w14:paraId="47506B7A" w14:textId="150E5BC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C79231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823C176" w14:textId="232097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{0100;0040}</w:t>
            </w:r>
          </w:p>
        </w:tc>
        <w:tc>
          <w:tcPr>
            <w:tcW w:w="7406" w:type="dxa"/>
            <w:shd w:val="clear" w:color="auto" w:fill="FFFFFF"/>
          </w:tcPr>
          <w:p w14:paraId="1EC1A3E9" w14:textId="3460668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ċentrali u banek ċentrali – RWEA – Skoperturi IRB</w:t>
            </w:r>
          </w:p>
          <w:p w14:paraId="47A75B9C" w14:textId="700686B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gvernijiet ċentrali jew banek ċentrali kif definit fil-punt (a) tal-Artikolu 147(2) CRR</w:t>
            </w:r>
          </w:p>
          <w:p w14:paraId="58C303E4" w14:textId="75B02A1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B8E285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E43D3FD" w14:textId="0F5E5E7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</w:t>
            </w:r>
          </w:p>
        </w:tc>
        <w:tc>
          <w:tcPr>
            <w:tcW w:w="7406" w:type="dxa"/>
            <w:shd w:val="clear" w:color="auto" w:fill="FFFFFF"/>
          </w:tcPr>
          <w:p w14:paraId="0A9C6204" w14:textId="024ADD9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ttrattati bħala sovrani – Valur tal-Iskopertura tal-Proporzjon ta’ Ingranaġġ – Skoperturi SA</w:t>
            </w:r>
          </w:p>
          <w:p w14:paraId="5294E5EC" w14:textId="456B69CF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gvernijiet reġjonali u awtoritajiet lokali ttrattati bħala sovrani li jaqgħu taħt il-paragrafu (2) u (4) tal-Artikolu 115 CRR</w:t>
            </w:r>
          </w:p>
          <w:p w14:paraId="42456706" w14:textId="2E28EB9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964D3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7ADB526" w14:textId="2E03421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{0110;0020}</w:t>
            </w:r>
          </w:p>
        </w:tc>
        <w:tc>
          <w:tcPr>
            <w:tcW w:w="7406" w:type="dxa"/>
            <w:shd w:val="clear" w:color="auto" w:fill="FFFFFF"/>
          </w:tcPr>
          <w:p w14:paraId="7E0B20E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ttrattati bħala sovrani – Valur tal-Iskopertura tal-Proporzjon ta’ Ingranaġġ – Skoperturi IRB</w:t>
            </w:r>
          </w:p>
          <w:p w14:paraId="02346C27" w14:textId="44C6F4C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Il-valur tal-iskopertura tal-proporzjon ta’ ingranaġġ ta’ assi li huma skoperturi IRB għal gvernijiet reġjonali u awtoritajiet lokali li jaqgħu taħt il-punt (a) tal-Artikolu 147(3) CRR.</w:t>
            </w:r>
          </w:p>
          <w:p w14:paraId="3496D48C" w14:textId="78A5578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038F08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19855D" w14:textId="4D9B42F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{0110;0030}</w:t>
            </w:r>
          </w:p>
        </w:tc>
        <w:tc>
          <w:tcPr>
            <w:tcW w:w="7406" w:type="dxa"/>
            <w:shd w:val="clear" w:color="auto" w:fill="FFFFFF"/>
          </w:tcPr>
          <w:p w14:paraId="0A1E21BF" w14:textId="5863EAF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reġjonali u awtoritajiet lokali ttrattati bħala sovrani – RWEA – Skoperturi SA</w:t>
            </w:r>
          </w:p>
          <w:p w14:paraId="38C283FD" w14:textId="1FA85FB0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gvernijiet reġjonali u awtoritajiet lokali ttrattati bħala sovrani li jaqgħu taħt il-paragrafi (2) u (4) tal-Artikolu 115 CRR</w:t>
            </w:r>
          </w:p>
          <w:p w14:paraId="6D7AEF3D" w14:textId="0D5AC65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BE41E6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70E83A" w14:textId="1FE6323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{0110;0040}</w:t>
            </w:r>
          </w:p>
        </w:tc>
        <w:tc>
          <w:tcPr>
            <w:tcW w:w="7406" w:type="dxa"/>
            <w:shd w:val="clear" w:color="auto" w:fill="FFFFFF"/>
          </w:tcPr>
          <w:p w14:paraId="0A1135F8" w14:textId="6E78745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Gvernijiet reġjonali u awtoritajiet lokali ttrattati bħala sovrani – RWEA – Skoperturi IRB</w:t>
            </w:r>
          </w:p>
          <w:p w14:paraId="099D799F" w14:textId="196BB90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L-ammont tal-iskopertura ponderat għar-riskju ta’ assi li huma skoperturi IRB għal gvernijiet reġjonali u awtoritajiet lokali li jaqgħu taħt il-punt (a) tal-Artikolu 147(3) CRR </w:t>
            </w:r>
          </w:p>
          <w:p w14:paraId="77DFB307" w14:textId="152C7BA5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E6380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6E85C5" w14:textId="5E9760D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</w:t>
            </w:r>
          </w:p>
        </w:tc>
        <w:tc>
          <w:tcPr>
            <w:tcW w:w="7406" w:type="dxa"/>
            <w:shd w:val="clear" w:color="auto" w:fill="FFFFFF"/>
          </w:tcPr>
          <w:p w14:paraId="4E16BD03" w14:textId="66901F1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MDBs u organizzazzjonijiet internazzjonali ttrattati bħala sovrani – Valur tal-Iskopertura tal-Proporzjon ta’ Ingranaġġ – Skoperturi SA</w:t>
            </w:r>
          </w:p>
          <w:p w14:paraId="595E0D3B" w14:textId="54A6366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li huma skoperturi SA għal banek multilaterali tal-iżvilupp u organizzazzjonijiet internazzjonali li jaqgħu taħt l-Artikoli 117(2) u 118 CRR </w:t>
            </w:r>
          </w:p>
          <w:p w14:paraId="4013B069" w14:textId="0EB1BF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630225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A4EAF45" w14:textId="12E4FA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{0120;0020}</w:t>
            </w:r>
          </w:p>
        </w:tc>
        <w:tc>
          <w:tcPr>
            <w:tcW w:w="7406" w:type="dxa"/>
            <w:shd w:val="clear" w:color="auto" w:fill="FFFFFF"/>
          </w:tcPr>
          <w:p w14:paraId="76A1CB53" w14:textId="541DA8F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MDBs u organizzazzjonijiet internazzjonali ttrattati bħala sovrani – Valur tal-Iskopertura tal-Proporzjon ta’ Ingranaġġ – Skoperturi IRB</w:t>
            </w:r>
          </w:p>
          <w:p w14:paraId="3802319A" w14:textId="0783019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banek multilaterali tal-iżvilupp u organizzazzjonijiet internazzjonali li jaqgħu taħt il-punt (b) u (c) tal-Artikolu 147(3) CRR</w:t>
            </w:r>
          </w:p>
          <w:p w14:paraId="4070105A" w14:textId="4FC040B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3B2553E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FA22EB0" w14:textId="05DF8D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{0120;0030}</w:t>
            </w:r>
          </w:p>
        </w:tc>
        <w:tc>
          <w:tcPr>
            <w:tcW w:w="7406" w:type="dxa"/>
            <w:shd w:val="clear" w:color="auto" w:fill="FFFFFF"/>
          </w:tcPr>
          <w:p w14:paraId="297278EC" w14:textId="1D7EC442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MDBs u organizzazzjonijiet internazzjonali ttrattati bħala sovrani – RWEA – Skoperturi SA</w:t>
            </w:r>
          </w:p>
          <w:p w14:paraId="37FB9B14" w14:textId="47E0B95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L-ammont tal-iskopertura ponderat għar-riskju ta’ assi li huma skoperturi SA għal banek multilaterali tal-iżvilupp u organizzazzjonijiet internazzjonali li jaqgħu taħt l-Artikoli 117(2) u 118 CRR</w:t>
            </w:r>
          </w:p>
          <w:p w14:paraId="21D9C9F4" w14:textId="49EA3C70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7DE53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10C2F3" w14:textId="0756556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{1020;0040}</w:t>
            </w:r>
          </w:p>
        </w:tc>
        <w:tc>
          <w:tcPr>
            <w:tcW w:w="7406" w:type="dxa"/>
            <w:shd w:val="clear" w:color="auto" w:fill="FFFFFF"/>
          </w:tcPr>
          <w:p w14:paraId="25AE3663" w14:textId="3A1D7E0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MDBs u organizzazzjonijiet internazzjonali ttrattati bħala sovrani – RWEA – Skoperturi IRB</w:t>
            </w:r>
          </w:p>
          <w:p w14:paraId="0A7C504F" w14:textId="13336DB7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banek multilaterali tal-iżvilupp u organizzazzjonijiet internazzjonali li jaqgħu taħt il-punt (b) u (c) tal-Artikolu 147(3) CRR</w:t>
            </w:r>
          </w:p>
          <w:p w14:paraId="4B60B3CB" w14:textId="76329F3C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31E48A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29DCCA" w14:textId="1813AB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406" w:type="dxa"/>
            <w:shd w:val="clear" w:color="auto" w:fill="FFFFFF"/>
          </w:tcPr>
          <w:p w14:paraId="03377C61" w14:textId="0F13B63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ittrattati bħala sovrani – Valur tal-Iskopertura tal-Proporzjon ta’ Ingranaġġ – Skoperturi SA</w:t>
            </w:r>
          </w:p>
          <w:p w14:paraId="7D8203A3" w14:textId="3704CBE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entitajiet tas-settur pubbliku li jaqgħu taħt l-Artikolu 116(4) CRR</w:t>
            </w:r>
          </w:p>
          <w:p w14:paraId="4AA47B62" w14:textId="393B657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CE3539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D4FCC9" w14:textId="4A185F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{0130;0020}</w:t>
            </w:r>
          </w:p>
        </w:tc>
        <w:tc>
          <w:tcPr>
            <w:tcW w:w="7406" w:type="dxa"/>
            <w:shd w:val="clear" w:color="auto" w:fill="FFFFFF"/>
          </w:tcPr>
          <w:p w14:paraId="3B63499B" w14:textId="36B14D4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ittrattati bħala sovrani – Valur tal-Iskopertura tal-Proporzjon ta’ Ingranaġġ – Skoperturi IRB</w:t>
            </w:r>
          </w:p>
          <w:p w14:paraId="6B0B91A7" w14:textId="4E0F9FF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tal-proporzjon ta’ ingranaġġ ta’ assi li huma skoperturi IRB għal entitajiet tas-settur pubbliku li jaqgħu taħt il-punt (a) tal-Artikolu 147(3) CRR</w:t>
            </w:r>
          </w:p>
          <w:p w14:paraId="359554CF" w14:textId="52EF4F2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66BBD64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0B22F1" w14:textId="38F11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{0130;0030}</w:t>
            </w:r>
          </w:p>
        </w:tc>
        <w:tc>
          <w:tcPr>
            <w:tcW w:w="7406" w:type="dxa"/>
            <w:shd w:val="clear" w:color="auto" w:fill="FFFFFF"/>
          </w:tcPr>
          <w:p w14:paraId="1DD3711A" w14:textId="41BC0A5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PSEs ittrattati bħala sovrani – RWEA – Skoperturi SA</w:t>
            </w:r>
          </w:p>
          <w:p w14:paraId="53A6C1B8" w14:textId="48784C9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entitajiet tas-settur pubbliku li jaqgħu taħt l-Artikolu 116(4) CRR</w:t>
            </w:r>
          </w:p>
          <w:p w14:paraId="432B1470" w14:textId="36FFD5B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6BE8DD3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17D6C7" w14:textId="60A1BB8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{0130;0040}</w:t>
            </w:r>
          </w:p>
        </w:tc>
        <w:tc>
          <w:tcPr>
            <w:tcW w:w="7406" w:type="dxa"/>
            <w:shd w:val="clear" w:color="auto" w:fill="FFFFFF"/>
          </w:tcPr>
          <w:p w14:paraId="60977598" w14:textId="37A519F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PSEs ittrattati bħala sovrani – RWEA – Skoperturi IRB</w:t>
            </w:r>
          </w:p>
          <w:p w14:paraId="0EAECD4A" w14:textId="4A1E83AF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entitajiet tas-settur pubbliku li jaqgħu taħt il-punt (a) tal-Artikolu 147(3) CRR</w:t>
            </w:r>
          </w:p>
          <w:p w14:paraId="05B42B2C" w14:textId="7B404A8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in-nett tal-iskoperturi IRB inadempjenti.</w:t>
            </w:r>
          </w:p>
        </w:tc>
      </w:tr>
      <w:tr w:rsidR="002A54FF" w:rsidRPr="00E75BB8" w14:paraId="35BDD4D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AB96E" w14:textId="4B2E707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{0140;0010}</w:t>
            </w:r>
          </w:p>
        </w:tc>
        <w:tc>
          <w:tcPr>
            <w:tcW w:w="7406" w:type="dxa"/>
            <w:shd w:val="clear" w:color="auto" w:fill="FFFFFF"/>
          </w:tcPr>
          <w:p w14:paraId="68676BE2" w14:textId="6C78BF9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għal gvernijiet reġjonali, MDBs, organizzazzjonijiet internazzjonali u PSEs mhux ittrattati bħala sovrani – Valur tal-Iskopertura tal-Proporzjon ta’ Ingranaġġ – Skoperturi SA</w:t>
            </w:r>
          </w:p>
          <w:p w14:paraId="16F7D104" w14:textId="442558D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Din għandha tkun is-somma taċ-ċelloli minn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{0150,0010} sa {0170,0010}.</w:t>
            </w:r>
          </w:p>
          <w:p w14:paraId="56668309" w14:textId="21D6A0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401556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9A7359" w14:textId="71A72E6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{0140;0020}</w:t>
            </w:r>
          </w:p>
        </w:tc>
        <w:tc>
          <w:tcPr>
            <w:tcW w:w="7406" w:type="dxa"/>
            <w:shd w:val="clear" w:color="auto" w:fill="FFFFFF"/>
          </w:tcPr>
          <w:p w14:paraId="16480F3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għal gvernijiet reġjonali, MDBs, organizzazzjonijiet internazzjonali u PSE mhux ittrattati bħala sovrani – Valur tal-Iskopertura tal-Proporzjon ta’ Ingranaġġ – Skoperturi IRB</w:t>
            </w:r>
          </w:p>
          <w:p w14:paraId="01EFE154" w14:textId="3715624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taċ-ċelloli minn {0150,0020} sa {0170,0020}.</w:t>
            </w:r>
          </w:p>
          <w:p w14:paraId="4BA214B6" w14:textId="386C4F7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32DCABE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236D8C3" w14:textId="2D8D1C9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{0140;0030}</w:t>
            </w:r>
          </w:p>
        </w:tc>
        <w:tc>
          <w:tcPr>
            <w:tcW w:w="7406" w:type="dxa"/>
            <w:shd w:val="clear" w:color="auto" w:fill="FFFFFF"/>
          </w:tcPr>
          <w:p w14:paraId="6D26AA72" w14:textId="198DF3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L-iskoperturi għal gvernijiet reġjonali, MDBs, organizzazzjonijiet internazzjonali u PSEs mhux ittrattati bħala sovrani – RWEA – Skoperturi SA</w:t>
            </w:r>
          </w:p>
          <w:p w14:paraId="001A76CB" w14:textId="449CD5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taċ-ċelloli minn {0150,0030} sa {0170,0030}.</w:t>
            </w:r>
          </w:p>
          <w:p w14:paraId="0666DA98" w14:textId="42DCAEA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9788CF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BC83A9" w14:textId="067E36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{0140;0040}</w:t>
            </w:r>
          </w:p>
        </w:tc>
        <w:tc>
          <w:tcPr>
            <w:tcW w:w="7406" w:type="dxa"/>
            <w:shd w:val="clear" w:color="auto" w:fill="FFFFFF"/>
          </w:tcPr>
          <w:p w14:paraId="28502CF8" w14:textId="2725454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L-iskoperturi għal gvernijiet reġjonali, MDBs, organizzazzjonijiet internazzjonali u PSEs mhux ittrattati bħala sovrani – RWEA – Skoperturi IRB</w:t>
            </w:r>
          </w:p>
          <w:p w14:paraId="26D9E4F6" w14:textId="3F28B51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taċ-ċelloli minn {0150,0040} sa {0170,0040}.</w:t>
            </w:r>
          </w:p>
          <w:p w14:paraId="6B0E2A45" w14:textId="73754F9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FF2685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0C55306" w14:textId="22F0579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{0150;0010}</w:t>
            </w:r>
          </w:p>
        </w:tc>
        <w:tc>
          <w:tcPr>
            <w:tcW w:w="7406" w:type="dxa"/>
            <w:shd w:val="clear" w:color="auto" w:fill="FFFFFF"/>
          </w:tcPr>
          <w:p w14:paraId="6E882A95" w14:textId="42A5BAA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mhux ittrattati bħala sovrani – Valur tal-Iskopertura tal-Proporzjon ta’ Ingranaġġ – Skoperturi SA</w:t>
            </w:r>
          </w:p>
          <w:p w14:paraId="5997608A" w14:textId="0FAEBA1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gvernijiet reġjonali u awtoritajiet lokali mhux ittrattati bħala sovrani li jaqgħu taħt il-paragrafi (1), (3) u (5) tal-Artikolu 115 CRR</w:t>
            </w:r>
          </w:p>
          <w:p w14:paraId="2E409DCC" w14:textId="6CDA3B7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422BA4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19A75AE" w14:textId="3BC5962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{0150;0020}</w:t>
            </w:r>
          </w:p>
        </w:tc>
        <w:tc>
          <w:tcPr>
            <w:tcW w:w="7406" w:type="dxa"/>
            <w:shd w:val="clear" w:color="auto" w:fill="FFFFFF"/>
          </w:tcPr>
          <w:p w14:paraId="6DA1492F" w14:textId="7777777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mhux ittrattati bħala sovrani – Valur tal-Iskopertura tal-Proporzjon ta’ Ingranaġġ – Skoperturi IRB</w:t>
            </w:r>
          </w:p>
          <w:p w14:paraId="05330C07" w14:textId="3D253B2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gvernijiet reġjonali u awtoritajiet lokali mhux ittrattati bħala sovrani li jaqgħu taħt il-punt (a) tal-Artikolu 147(4) CRR</w:t>
            </w:r>
          </w:p>
          <w:p w14:paraId="64866D79" w14:textId="278A91F6" w:rsidR="00F4754B" w:rsidRPr="000B66BC" w:rsidDel="00F559E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jirrapportaw in-nett tal-iskoperturi IRB inadempjenti. </w:t>
            </w:r>
          </w:p>
        </w:tc>
      </w:tr>
      <w:tr w:rsidR="002A54FF" w:rsidRPr="00E75BB8" w14:paraId="49B34BA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350671F" w14:textId="6CF3F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{0150;0030}</w:t>
            </w:r>
          </w:p>
        </w:tc>
        <w:tc>
          <w:tcPr>
            <w:tcW w:w="7406" w:type="dxa"/>
            <w:shd w:val="clear" w:color="auto" w:fill="FFFFFF"/>
          </w:tcPr>
          <w:p w14:paraId="0E90CE61" w14:textId="6590FBE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mhux ittrattati bħala sovrani – RWEA – Skoperturi SA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C1281BF" w14:textId="585B0F3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gvernijiet reġjonali u awtoritajiet lokali mhux ittrattati bħala sovrani li jaqgħu taħt il-paragrafi (1), (3) u (5) tal-Artikolu 115 CRR</w:t>
            </w:r>
          </w:p>
          <w:p w14:paraId="594F13B1" w14:textId="615E628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18100D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6979FD" w14:textId="4EA4998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{0150;0040}</w:t>
            </w:r>
          </w:p>
        </w:tc>
        <w:tc>
          <w:tcPr>
            <w:tcW w:w="7406" w:type="dxa"/>
            <w:shd w:val="clear" w:color="auto" w:fill="FFFFFF"/>
          </w:tcPr>
          <w:p w14:paraId="2F79CD95" w14:textId="1BA3728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Gvernijiet reġjonali u awtoritajiet lokali mhux ittrattati bħala sovrani – RWEA – Skoperturi IRB</w:t>
            </w:r>
          </w:p>
          <w:p w14:paraId="51863919" w14:textId="3864DA0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gvernijiet reġjonali u awtoritajiet lokali mhux ittrattati bħala sovrani li jaqgħu taħt il-punt (a) tal-Artikolu 147(4) CRR</w:t>
            </w:r>
          </w:p>
          <w:p w14:paraId="2CE67E1E" w14:textId="02F8044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37E8E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D0A1DEE" w14:textId="580C324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{0160;0010}</w:t>
            </w:r>
          </w:p>
        </w:tc>
        <w:tc>
          <w:tcPr>
            <w:tcW w:w="7406" w:type="dxa"/>
            <w:shd w:val="clear" w:color="auto" w:fill="FFFFFF"/>
          </w:tcPr>
          <w:p w14:paraId="382B2DE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MDBs mhux ittrattati bħala sovrani – Valur tal-Iskopertura tal-Proporzjon ta’ Ingranaġġ – Skoperturi SA</w:t>
            </w:r>
          </w:p>
          <w:p w14:paraId="07928584" w14:textId="100DE95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li huma skoperturi SA għal banek multilaterali tal-iżvilupp li jaqgħu taħt il-paragrafi (1) u (3) tal-Artikolu 117 CRR </w:t>
            </w:r>
          </w:p>
          <w:p w14:paraId="01E4041D" w14:textId="00B0727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62B19F9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9210C52" w14:textId="06EBFC7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{0160;0020}</w:t>
            </w:r>
          </w:p>
        </w:tc>
        <w:tc>
          <w:tcPr>
            <w:tcW w:w="7406" w:type="dxa"/>
            <w:shd w:val="clear" w:color="auto" w:fill="FFFFFF"/>
          </w:tcPr>
          <w:p w14:paraId="13E28A9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MDBs </w:t>
            </w:r>
            <w:r w:rsidRPr="00951AA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mhux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ittrattati bħala sovrani – Valur tal-Iskopertura tal-Proporzjon ta’ Ingranaġġ – Skoperturi IRB</w:t>
            </w:r>
          </w:p>
          <w:p w14:paraId="6D2C0352" w14:textId="00BE309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banek multilaterali tal-iżvilupp mhux ittrattati bħala sovrani li jaqgħu taħt il-punt (c) tal-Artikolu 147(4) CRR</w:t>
            </w:r>
          </w:p>
          <w:p w14:paraId="74CFCB27" w14:textId="063441C0" w:rsidR="009C4E79" w:rsidRPr="000B66BC" w:rsidDel="009A4B38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3B7489D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451B08" w14:textId="0717E11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{0160;0030}</w:t>
            </w:r>
          </w:p>
        </w:tc>
        <w:tc>
          <w:tcPr>
            <w:tcW w:w="7406" w:type="dxa"/>
            <w:shd w:val="clear" w:color="auto" w:fill="FFFFFF"/>
          </w:tcPr>
          <w:p w14:paraId="1D2AE94F" w14:textId="3A23504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MDBs mhux ittrattati bħala sovrani – RWEA – Skoperturi SA</w:t>
            </w:r>
          </w:p>
          <w:p w14:paraId="4B127308" w14:textId="1B5AACE2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ta’ skopertura ponderat għar-riskju ta’ assi li huma skoperturi SA għal banek multilaterali tal-iżvilupp li jaqgħu taħt il-paragrafi (1) u (3) tal-Artikolu 117 CRR</w:t>
            </w:r>
          </w:p>
          <w:p w14:paraId="6288F6E5" w14:textId="481F4915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4D6EB6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0D96829" w14:textId="555FD61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{0160;0040}</w:t>
            </w:r>
          </w:p>
        </w:tc>
        <w:tc>
          <w:tcPr>
            <w:tcW w:w="7406" w:type="dxa"/>
            <w:shd w:val="clear" w:color="auto" w:fill="FFFFFF"/>
          </w:tcPr>
          <w:p w14:paraId="00619AFE" w14:textId="73438BF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MDBs mhux ittrattati bħala sovrani – RWEA – Skoperturi IRB</w:t>
            </w:r>
          </w:p>
          <w:p w14:paraId="466ECD88" w14:textId="00A70B09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ponderata għar-riskju ta’ assi li huma skoperturi IRB għal banek multilaterali tal-iżvilupp mhux ittrattati bħala sovrani li jaqgħu taħt il-punt (c) tal-Artikolu 147(4) CRR</w:t>
            </w:r>
          </w:p>
          <w:p w14:paraId="72DDDF92" w14:textId="6FAD844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533E38A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412E3DC" w14:textId="71F1E57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{0170;0010}</w:t>
            </w:r>
          </w:p>
        </w:tc>
        <w:tc>
          <w:tcPr>
            <w:tcW w:w="7406" w:type="dxa"/>
            <w:shd w:val="clear" w:color="auto" w:fill="FFFFFF"/>
          </w:tcPr>
          <w:p w14:paraId="63BC1CE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mhux ittrattati bħala sovrani – Valur tal-Iskopertura tal-Proporzjon ta’ Ingranaġġ – Skoperturi SA</w:t>
            </w:r>
          </w:p>
          <w:p w14:paraId="3FF6AAF1" w14:textId="235F085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entitajiet tas-settur pubbliku li jaqgħu taħt il-paragrafi (1), (2), (3) u (5) tal-Artikolu 116 CRR</w:t>
            </w:r>
          </w:p>
          <w:p w14:paraId="7DF5A169" w14:textId="79FB274E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A5C331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10FE52" w14:textId="0733B66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{0170;0020}</w:t>
            </w:r>
          </w:p>
        </w:tc>
        <w:tc>
          <w:tcPr>
            <w:tcW w:w="7406" w:type="dxa"/>
            <w:shd w:val="clear" w:color="auto" w:fill="FFFFFF"/>
          </w:tcPr>
          <w:p w14:paraId="426AE44C" w14:textId="331FC92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mhux ittrattati bħala sovrani – Valur tal-Iskopertura tal-Proporzjon ta’ Ingranaġġ – Skoperturi IRB</w:t>
            </w:r>
          </w:p>
          <w:p w14:paraId="19C4FD72" w14:textId="0FCFA5F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entitajiet tas-settur pubbliku mhux ittrattati bħala sovrani li jaqgħu taħt il-punt (b) tal-Artikolu 147(4) CRR</w:t>
            </w:r>
          </w:p>
          <w:p w14:paraId="21D9C4B6" w14:textId="738536C0" w:rsidR="009C4E79" w:rsidRPr="000B66BC" w:rsidDel="00973F19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BE427F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1FC872" w14:textId="1CF85BB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{0170;0030}</w:t>
            </w:r>
          </w:p>
        </w:tc>
        <w:tc>
          <w:tcPr>
            <w:tcW w:w="7406" w:type="dxa"/>
            <w:shd w:val="clear" w:color="auto" w:fill="FFFFFF"/>
          </w:tcPr>
          <w:p w14:paraId="2459C33D" w14:textId="7EE3423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mhux ittrattati bħala sovrani – RWEA – Skoperturi SA</w:t>
            </w:r>
          </w:p>
          <w:p w14:paraId="7ED0D977" w14:textId="2C1E025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L-ammont tal-iskopertura ponderat għar-riskju ta’ assi li huma skoperturi SA għal entitajiet tas-settur pubbliku li jaqgħu taħt il-paragrafi (1), (2), (3) u (5) tal-Artikolu 116 CRR </w:t>
            </w:r>
          </w:p>
          <w:p w14:paraId="2E4EB0DF" w14:textId="0395937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6C878C4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ADDF71D" w14:textId="4FD509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{0170;0040}</w:t>
            </w:r>
          </w:p>
        </w:tc>
        <w:tc>
          <w:tcPr>
            <w:tcW w:w="7406" w:type="dxa"/>
            <w:shd w:val="clear" w:color="auto" w:fill="FFFFFF"/>
          </w:tcPr>
          <w:p w14:paraId="505DD8D8" w14:textId="3ADF109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PSEs mhux ittrattati bħala sovrani – RWEA – Skoperturi IRB</w:t>
            </w:r>
          </w:p>
          <w:p w14:paraId="3B167735" w14:textId="164BA94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L-ammont tal-iskopertura ponderat għar-riskju ta’ assi li huma skoperturi IRB għal entitajiet tas-settur pubbliku mhux ittrattati bħala sovrani li jaqgħu taħt il-punt (b) tal-Artikolu 147(4) CRR </w:t>
            </w:r>
          </w:p>
          <w:p w14:paraId="786F9A83" w14:textId="4738A29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C6FA8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71E316D" w14:textId="22F0A69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{0180;0010}</w:t>
            </w:r>
          </w:p>
        </w:tc>
        <w:tc>
          <w:tcPr>
            <w:tcW w:w="7406" w:type="dxa"/>
            <w:shd w:val="clear" w:color="auto" w:fill="FFFFFF"/>
          </w:tcPr>
          <w:p w14:paraId="4C5AF924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Istituzzjonijiet – Valur tal-Iskopertura tal-Proporzjon ta’ Ingranaġġ – Skoperturi SA</w:t>
            </w:r>
          </w:p>
          <w:p w14:paraId="285DE0DE" w14:textId="6FA8F58E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istituzzjonijiet li jaqgħu taħt l-Artikoli 119 sa 121 CRR</w:t>
            </w:r>
          </w:p>
          <w:p w14:paraId="718668CE" w14:textId="4B228AF6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F4516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9BBA0D" w14:textId="3387B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{0180;0020}</w:t>
            </w:r>
          </w:p>
        </w:tc>
        <w:tc>
          <w:tcPr>
            <w:tcW w:w="7406" w:type="dxa"/>
            <w:shd w:val="clear" w:color="auto" w:fill="FFFFFF"/>
          </w:tcPr>
          <w:p w14:paraId="5B3D67A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Istituzzjonijiet – Valur tal-Iskopertura tal-Proporzjon ta’ Ingranaġġ – Skoperturi IRB</w:t>
            </w:r>
          </w:p>
          <w:p w14:paraId="50027CF2" w14:textId="5DE9B6F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assi li huma skoperturi IRB għal istituzzjonijiet li jaqgħu taħt il-punt (b) tal-Artikolu 147(2) CRR u li mhumiex skoperturi fil-forma ta’ bonds koperti skont il-punt (d) tal-Artikolu 161(1) CRR u li ma jaqgħux taħt il-punti (a) sa (c) tal-Artikolu 147(4) CRR</w:t>
            </w:r>
          </w:p>
          <w:p w14:paraId="74D3DFFE" w14:textId="50B07F0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63DBCD4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01B11" w14:textId="0DF0567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{0180;0030}</w:t>
            </w:r>
          </w:p>
        </w:tc>
        <w:tc>
          <w:tcPr>
            <w:tcW w:w="7406" w:type="dxa"/>
            <w:shd w:val="clear" w:color="auto" w:fill="FFFFFF"/>
          </w:tcPr>
          <w:p w14:paraId="6B6B1A57" w14:textId="58330F9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Istituzzjonijiet – RWEA – Skoperturi SA</w:t>
            </w:r>
          </w:p>
          <w:p w14:paraId="7CE29C3B" w14:textId="6A1C833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istituzzjonijiet li jaqgħu taħt l-Artikoli 119 sa 121 CRR</w:t>
            </w:r>
          </w:p>
          <w:p w14:paraId="6FA68F7E" w14:textId="7949A67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EFD30D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5E39D1" w14:textId="03E4A4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{0180;0040}</w:t>
            </w:r>
          </w:p>
        </w:tc>
        <w:tc>
          <w:tcPr>
            <w:tcW w:w="7406" w:type="dxa"/>
            <w:shd w:val="clear" w:color="auto" w:fill="FFFFFF"/>
          </w:tcPr>
          <w:p w14:paraId="73DCBC6C" w14:textId="7593C5D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Istituzzjonijiet – RWEA – Skoperturi IRB</w:t>
            </w:r>
          </w:p>
          <w:p w14:paraId="5E814575" w14:textId="0DDF0FD0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għal istituzzjonijiet li jaqgħu taħt il-punt (b) tal-Artikolu 147(2) CRR u li mhumiex skoperturi fil-forma ta’ bonds koperti skont il-punt (d) tal-Artikolu 161(1) CRR u li ma jaqgħux taħt il-punti (a) sa (c) tal-Artikolu 147(4) CRR</w:t>
            </w:r>
          </w:p>
          <w:p w14:paraId="1830B0D9" w14:textId="127A973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3B7F5DF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47E1A0" w14:textId="091D4A6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{0190;0010}</w:t>
            </w:r>
          </w:p>
        </w:tc>
        <w:tc>
          <w:tcPr>
            <w:tcW w:w="7406" w:type="dxa"/>
            <w:shd w:val="clear" w:color="auto" w:fill="FFFFFF"/>
          </w:tcPr>
          <w:p w14:paraId="1DB57456" w14:textId="040805E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Iggarantiti b’ipoteki fuq proprjetajiet immobbli – Valur tal-Iskopertura tal-Proporzjon ta’ Ingranaġġ – Skoperturi SA</w:t>
            </w:r>
          </w:p>
          <w:p w14:paraId="17D67F5E" w14:textId="416E544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Il-valur tal-iskopertura tal-proporzjon ta’ ingranaġġ ta’ assi li huma skoperturi SA ggarantiti b’ipoteki fuq proprjetà immobbli li jaqgħu taħt l-Artikolu 124 CRR</w:t>
            </w:r>
          </w:p>
          <w:p w14:paraId="4640B57D" w14:textId="7B28B7DF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6FBD0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044B99B" w14:textId="7BA570D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{0190;0020}</w:t>
            </w:r>
          </w:p>
        </w:tc>
        <w:tc>
          <w:tcPr>
            <w:tcW w:w="7406" w:type="dxa"/>
            <w:shd w:val="clear" w:color="auto" w:fill="FFFFFF"/>
          </w:tcPr>
          <w:p w14:paraId="65802FBC" w14:textId="6422ED6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Iggarantiti b’ipoteki fuq proprjetajiet immobbli – Valur tal-Iskopertura tal-Proporzjon ta’ Ingranaġġ – Skoperturi IRB</w:t>
            </w:r>
          </w:p>
          <w:p w14:paraId="763AB99D" w14:textId="7BBAC17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korporattivi skont il-punt (c) tal-Artikolu 147(2) jew skoperturi fil-livell tal-konsumatur skont il-punt (d) tal-Artikolu 147(2) CRR jekk dawn l-iskoperturi huma ggarantiti b’ipoteki fuq proprjetà immobbli b’konformità mal-punt (a) tal-Artikolu 199(1) CRR</w:t>
            </w:r>
          </w:p>
          <w:p w14:paraId="1A4EAAD1" w14:textId="69A57E6E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502C4EF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681D38" w14:textId="06E026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{0190;0030}</w:t>
            </w:r>
          </w:p>
        </w:tc>
        <w:tc>
          <w:tcPr>
            <w:tcW w:w="7406" w:type="dxa"/>
            <w:shd w:val="clear" w:color="auto" w:fill="FFFFFF"/>
          </w:tcPr>
          <w:p w14:paraId="660D9FEE" w14:textId="0CF0300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Iggarantiti b’ipoteki fuq proprjetajiet immobbli – RWEA – Skoperturi SA</w:t>
            </w:r>
          </w:p>
          <w:p w14:paraId="7FD54199" w14:textId="469C0BE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ggarantiti b’ipoteki fuq proprjetà immobbli li jaqgħu taħt l-Artikolu 124 CRR</w:t>
            </w:r>
          </w:p>
          <w:p w14:paraId="19AB0004" w14:textId="5017684F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23C1CD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DDB4A4" w14:textId="1F5C859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{0190;0040}</w:t>
            </w:r>
          </w:p>
        </w:tc>
        <w:tc>
          <w:tcPr>
            <w:tcW w:w="7406" w:type="dxa"/>
            <w:shd w:val="clear" w:color="auto" w:fill="FFFFFF"/>
          </w:tcPr>
          <w:p w14:paraId="2A67D4CA" w14:textId="4683836A" w:rsidR="00F4754B" w:rsidRPr="000B66BC" w:rsidRDefault="00F4754B" w:rsidP="000B66BC">
            <w:pPr>
              <w:pStyle w:val="BodyText1"/>
              <w:tabs>
                <w:tab w:val="left" w:pos="6382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Iggarantiti b’ipoteki fuq proprjetajiet immobbli – RWEA – Skoperturi IRB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14:paraId="7F2995F6" w14:textId="3D8AD73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korporattivi skont il-punt (c) tal-Artikolu 147(2) jew skoperturi fil-livell tal-konsumatur skont il-punt (d) tal-Artikolu 147(2) CRR jekk dawn l-iskoperturi jkunu ggarantiti b’ipoteki fuq proprjetà immobbli b’konformità mal-punt (a) tal-Artikolu 199(1) CRR</w:t>
            </w:r>
          </w:p>
          <w:p w14:paraId="7586DF94" w14:textId="6150818F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9F6725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72A2EB4" w14:textId="70F516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{0200;0010}</w:t>
            </w:r>
          </w:p>
        </w:tc>
        <w:tc>
          <w:tcPr>
            <w:tcW w:w="7406" w:type="dxa"/>
            <w:shd w:val="clear" w:color="auto" w:fill="FFFFFF"/>
          </w:tcPr>
          <w:p w14:paraId="584E92BF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Iggarantiti b’ipoteki fuq proprjetajiet residenzjali – Valur tal-Iskopertura tal-Proporzjon ta’ Ingranaġġ – Skoperturi SA</w:t>
            </w:r>
          </w:p>
          <w:p w14:paraId="6D68CB80" w14:textId="126E83C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ggarantiti bis-sħiħ u kompletament b’ipoteki fuq proprjetà residenzjali li jaqgħu taħt l-Artikolu 125 CRR</w:t>
            </w:r>
          </w:p>
          <w:p w14:paraId="76AD85E4" w14:textId="268C492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9B9499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8E4168" w14:textId="098FD0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{0200;0020}</w:t>
            </w:r>
          </w:p>
        </w:tc>
        <w:tc>
          <w:tcPr>
            <w:tcW w:w="7406" w:type="dxa"/>
            <w:shd w:val="clear" w:color="auto" w:fill="FFFFFF"/>
          </w:tcPr>
          <w:p w14:paraId="32703B14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Iggarantiti b’ipoteki fuq proprjetajiet residenzjali – Valur tal-Iskopertura tal-Proporzjon ta’ Ingranaġġ – Skoperturi IRB</w:t>
            </w:r>
          </w:p>
          <w:p w14:paraId="225F5A50" w14:textId="29D03D2B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korporattivi skont il-punt (c) tal-Artikolu 147(2) jew skoperturi fil-livell tal-konsumatur skont il-punt (d) tal-Artikolu 147(2) CRR jekk dawn l-iskoperturi huma ggarantiti b’ipoteki fuq proprjetà residenzjali b’konformità mal-punt (a) tal-Artikolu 199(1) CRR</w:t>
            </w:r>
          </w:p>
          <w:p w14:paraId="3F187E7D" w14:textId="2026D8AC" w:rsidR="004B064A" w:rsidRPr="000B66BC" w:rsidDel="003A59D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4374F6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4481671" w14:textId="4931896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{0200;0030}</w:t>
            </w:r>
          </w:p>
        </w:tc>
        <w:tc>
          <w:tcPr>
            <w:tcW w:w="7406" w:type="dxa"/>
            <w:shd w:val="clear" w:color="auto" w:fill="FFFFFF"/>
          </w:tcPr>
          <w:p w14:paraId="1C91D3EE" w14:textId="0C703C50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Iggarantiti b’ipoteki fuq proprjetajiet residenzjali – RWEA – Skoperturi SA</w:t>
            </w:r>
          </w:p>
          <w:p w14:paraId="2432C156" w14:textId="34C7700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ggarantiti bis-sħiħ u kompletament b’ipoteki fuq proprjetà residenzjali li jaqgħu taħt l-Artikolu 125 CRR</w:t>
            </w:r>
          </w:p>
          <w:p w14:paraId="26D9FFCE" w14:textId="4577953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0D3A4E3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8ED62BB" w14:textId="034112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{0200;0040}</w:t>
            </w:r>
          </w:p>
        </w:tc>
        <w:tc>
          <w:tcPr>
            <w:tcW w:w="7406" w:type="dxa"/>
            <w:shd w:val="clear" w:color="auto" w:fill="FFFFFF"/>
          </w:tcPr>
          <w:p w14:paraId="35F16AA3" w14:textId="7277D856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Iggarantiti b’ipoteki fuq proprjetajiet residenzjali – RWEA – Skoperturi IRB</w:t>
            </w:r>
          </w:p>
          <w:p w14:paraId="17020383" w14:textId="4F39B3F9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IRB għal korporattivi skont il-punt (c) tal-Artikolu 147(2) jew skoperturi fil-livell tal-konsumatur skont il-punt (d) tal-Artikolu 147(2) CRR jekk dawn l-iskoperturi huma ggarantiti b’ipoteki fuq proprjetà residenzjali b’konformità mal-punt (a) tal-Artikolu 199(1) CRR</w:t>
            </w:r>
          </w:p>
          <w:p w14:paraId="434D72CF" w14:textId="69DE627D" w:rsidR="004250C0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8D713C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0D72D62" w14:textId="3E2307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{0210;0010}</w:t>
            </w:r>
          </w:p>
        </w:tc>
        <w:tc>
          <w:tcPr>
            <w:tcW w:w="7406" w:type="dxa"/>
            <w:shd w:val="clear" w:color="auto" w:fill="FFFFFF"/>
          </w:tcPr>
          <w:p w14:paraId="29F4D22F" w14:textId="0AFB67C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fil-livell tal-konsumatur – Valur tal-Iskopertura tal-Proporzjon ta’ Ingranaġġ – Skoperturi SA</w:t>
            </w:r>
          </w:p>
          <w:p w14:paraId="1C50F3CF" w14:textId="73BA35F0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fil-livell tal-konsumatur li jaqgħu taħt l-Artikolu 123 CRR</w:t>
            </w:r>
          </w:p>
          <w:p w14:paraId="467BDCEC" w14:textId="6EA2353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9E5C48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1E0B5E" w14:textId="70EE57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{0210;0020}</w:t>
            </w:r>
          </w:p>
        </w:tc>
        <w:tc>
          <w:tcPr>
            <w:tcW w:w="7406" w:type="dxa"/>
            <w:shd w:val="clear" w:color="auto" w:fill="FFFFFF"/>
          </w:tcPr>
          <w:p w14:paraId="31A6BB5D" w14:textId="22D5A81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fil-livell tal-konsumatur – Valur tal-Iskopertura tal-Proporzjon ta’ Ingranaġġ – Skoperturi IRB</w:t>
            </w:r>
          </w:p>
          <w:p w14:paraId="2F48B2D6" w14:textId="222C02C5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tal-iskopertura tal-proporzjon ta’ ingranaġġ ta’ assi li huma skoperturi IRB fil-livell tal-konsumatur skont il-punt (d) tal-Artikolu 147(2) CRR jekk dawn l-iskoperturi ma jkunux iggarantiti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b’ipoteki fuq proprjetà immobbli b’konformità mal-punt (a) tal-Artikolu 199(1) CRR</w:t>
            </w:r>
          </w:p>
          <w:p w14:paraId="3E24EEB1" w14:textId="56A3B7C1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494CE4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EB17324" w14:textId="4693281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{0210;0030}</w:t>
            </w:r>
          </w:p>
        </w:tc>
        <w:tc>
          <w:tcPr>
            <w:tcW w:w="7406" w:type="dxa"/>
            <w:shd w:val="clear" w:color="auto" w:fill="FFFFFF"/>
          </w:tcPr>
          <w:p w14:paraId="289B0ED6" w14:textId="3F634A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fil-livell tal-konsumatur – RWEA – Skoperturi SA</w:t>
            </w:r>
          </w:p>
          <w:p w14:paraId="078B0D1B" w14:textId="0D72FEA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fil-livell tal-konsumatur li jaqgħu taħt l-Artikolu 123 CRR</w:t>
            </w:r>
          </w:p>
          <w:p w14:paraId="32C0AC0A" w14:textId="1D4C9F4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076433D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BBA610A" w14:textId="7E09D9E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{0210;0040}</w:t>
            </w:r>
          </w:p>
        </w:tc>
        <w:tc>
          <w:tcPr>
            <w:tcW w:w="7406" w:type="dxa"/>
            <w:shd w:val="clear" w:color="auto" w:fill="FFFFFF"/>
          </w:tcPr>
          <w:p w14:paraId="3829C860" w14:textId="1B4CBE3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fil-livell tal-konsumatur – RWEA – Skoperturi IRB</w:t>
            </w:r>
          </w:p>
          <w:p w14:paraId="270C61EF" w14:textId="135B9C9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fil-livell tal-konsumatur skont il-punt (d) tal-Artikolu 147(2) CRR jekk dawn l-iskoperturi ma jkunux iggarantiti b’ipoteki fuq proprjetà immobbli b’konformità mal-punt (a) tal-Artikolu 199(1) CRR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6460615" w14:textId="10D3075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0AAA69A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A257B46" w14:textId="42862C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{0220;0010}</w:t>
            </w:r>
          </w:p>
        </w:tc>
        <w:tc>
          <w:tcPr>
            <w:tcW w:w="7406" w:type="dxa"/>
            <w:shd w:val="clear" w:color="auto" w:fill="FFFFFF"/>
          </w:tcPr>
          <w:p w14:paraId="7AF700CC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SMEs fil-livell tal-konsumatur – Valur tal-Iskopertura tal-Proporzjon ta’ Ingranaġġ – Skoperturi SA</w:t>
            </w:r>
          </w:p>
          <w:p w14:paraId="30054418" w14:textId="3C92223F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fil-livell tal-konsumatur għal intrapriżi żgħar u medji li jaqgħu taħt l-Artikolu 123 CRR</w:t>
            </w:r>
          </w:p>
          <w:p w14:paraId="55120FDB" w14:textId="4D388DDF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4231C6F4" w14:textId="7E0CACE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C0D95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6A37ABD" w14:textId="2C88404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{0220;0020}</w:t>
            </w:r>
          </w:p>
        </w:tc>
        <w:tc>
          <w:tcPr>
            <w:tcW w:w="7406" w:type="dxa"/>
            <w:shd w:val="clear" w:color="auto" w:fill="FFFFFF"/>
          </w:tcPr>
          <w:p w14:paraId="08A88D6A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SMEs fil-livell tal-konsumatur – Valur tal-Iskopertura tal-Proporzjon ta’ Ingranaġġ – Skoperturi IRB</w:t>
            </w:r>
          </w:p>
          <w:p w14:paraId="781E0C73" w14:textId="285C356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assi li huma skoperturi IRB fil-livell tal-konsumatur skont il-punt (d) tal-Artikolu 147(2) CRR jekk dawn l-iskoperturi huma skoperturi għal intrapriżi żgħar u medji u mhumiex iggarantiti b’ipoteki fuq proprjetà immobbli b’konformità mal-punt (a) tal-Artikolu 199(1) CRR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3D07FA1" w14:textId="74790914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04884D64" w14:textId="75E640A6" w:rsidR="002509B1" w:rsidRPr="000B66BC" w:rsidDel="00EC6E42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in-nett tal-iskoperturi IRB inadempjenti.</w:t>
            </w:r>
          </w:p>
        </w:tc>
      </w:tr>
      <w:tr w:rsidR="002A54FF" w:rsidRPr="00E75BB8" w14:paraId="7A8F06D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1DBA86" w14:textId="0C22B55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{0220;0030}</w:t>
            </w:r>
          </w:p>
        </w:tc>
        <w:tc>
          <w:tcPr>
            <w:tcW w:w="7406" w:type="dxa"/>
            <w:shd w:val="clear" w:color="auto" w:fill="FFFFFF"/>
          </w:tcPr>
          <w:p w14:paraId="54B8F22A" w14:textId="1D4B13D9" w:rsidR="002509B1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SMEs fil-livell tal-konsumatur – RWEA – Skoperturi SA</w:t>
            </w:r>
          </w:p>
          <w:p w14:paraId="6A3FD743" w14:textId="625E369B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fil-livell tal-konsumatur għal intrapriżi żgħar u medji li jaqgħu taħt l-Artikolu 123 CRR</w:t>
            </w:r>
          </w:p>
          <w:p w14:paraId="550AD4D7" w14:textId="5361B957" w:rsidR="00086A8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1B6B32F8" w14:textId="14F01D19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0291C49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057F01" w14:textId="210C1BD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{0220;0040}</w:t>
            </w:r>
          </w:p>
        </w:tc>
        <w:tc>
          <w:tcPr>
            <w:tcW w:w="7406" w:type="dxa"/>
            <w:shd w:val="clear" w:color="auto" w:fill="FFFFFF"/>
          </w:tcPr>
          <w:p w14:paraId="59E62599" w14:textId="6893B06F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SME fil-livell tal-konsumatur – RWEA – Skoperturi IRB</w:t>
            </w:r>
          </w:p>
          <w:p w14:paraId="4092922E" w14:textId="70D13036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fil-livell tal-konsumatur skont il-punt (d) tal-Artikolu 147(2) CRR jekk dawn l-iskoperturi huma skoperturi għal intrapriżi żgħar u medji u mhumiex iggarantiti b’ipoteki fuq proprjetà immobbli b’konformità mal-punt (a) tal-Artikolu 199(1) CRR</w:t>
            </w:r>
          </w:p>
          <w:p w14:paraId="51FEC3D4" w14:textId="243379CF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15449195" w14:textId="06E7A313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2E0911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2EB46F" w14:textId="6C0287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{0230;0010}</w:t>
            </w:r>
          </w:p>
        </w:tc>
        <w:tc>
          <w:tcPr>
            <w:tcW w:w="7406" w:type="dxa"/>
            <w:shd w:val="clear" w:color="auto" w:fill="FFFFFF"/>
          </w:tcPr>
          <w:p w14:paraId="73CCE449" w14:textId="775C5A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Korporattivi – Valur tal-Iskopertura tal-Proporzjon ta’ Ingranaġġ – Skoperturi SA</w:t>
            </w:r>
          </w:p>
          <w:p w14:paraId="4918C822" w14:textId="3B8F07B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ta’ {0240,0010} u {0250,0010}.</w:t>
            </w:r>
          </w:p>
          <w:p w14:paraId="0E0CFA07" w14:textId="6CB7CDA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2DD0BF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C2C1D0B" w14:textId="454CE52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{0230;0020}</w:t>
            </w:r>
          </w:p>
        </w:tc>
        <w:tc>
          <w:tcPr>
            <w:tcW w:w="7406" w:type="dxa"/>
            <w:shd w:val="clear" w:color="auto" w:fill="FFFFFF"/>
          </w:tcPr>
          <w:p w14:paraId="6362ED1C" w14:textId="48ECB6B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Korporattivi – Valur tal-Iskopertura tal-Proporzjon ta’ Ingranaġġ – Skoperturi IRB</w:t>
            </w:r>
          </w:p>
          <w:p w14:paraId="3219ACC2" w14:textId="4FF4B09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ta’ {0240,0020} u {0250,0020}.</w:t>
            </w:r>
          </w:p>
          <w:p w14:paraId="4E2F97BD" w14:textId="057F74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AA657C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522036A" w14:textId="1BC453B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{0230;0030}</w:t>
            </w:r>
          </w:p>
        </w:tc>
        <w:tc>
          <w:tcPr>
            <w:tcW w:w="7406" w:type="dxa"/>
            <w:shd w:val="clear" w:color="auto" w:fill="FFFFFF"/>
          </w:tcPr>
          <w:p w14:paraId="44E9C1D0" w14:textId="47E578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Korporattivi – RWEA – Skoperturi SA</w:t>
            </w:r>
          </w:p>
          <w:p w14:paraId="327E6857" w14:textId="7197BBC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ta’ {0240,0030} u {0250,0030}.</w:t>
            </w:r>
          </w:p>
          <w:p w14:paraId="730ED24A" w14:textId="291AC1E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in-nett tal-iskoperturi SA inadempjenti.</w:t>
            </w:r>
          </w:p>
        </w:tc>
      </w:tr>
      <w:tr w:rsidR="002A54FF" w:rsidRPr="00E75BB8" w14:paraId="0C1B471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A82EAC6" w14:textId="7CFA6B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{0230;0040}</w:t>
            </w:r>
          </w:p>
        </w:tc>
        <w:tc>
          <w:tcPr>
            <w:tcW w:w="7406" w:type="dxa"/>
            <w:shd w:val="clear" w:color="auto" w:fill="FFFFFF"/>
          </w:tcPr>
          <w:p w14:paraId="0B759A94" w14:textId="0A1DE6F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Korporattivi– RWEA – Skoperturi IRB</w:t>
            </w:r>
          </w:p>
          <w:p w14:paraId="1D494120" w14:textId="6A9832C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għandha tkun is-somma ta’ {0240,0040} u {0250,0040}.</w:t>
            </w:r>
          </w:p>
          <w:p w14:paraId="1F4A9AA4" w14:textId="53069870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5D9FF2D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822794" w14:textId="69E077E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{0240;0010}</w:t>
            </w:r>
          </w:p>
        </w:tc>
        <w:tc>
          <w:tcPr>
            <w:tcW w:w="7406" w:type="dxa"/>
            <w:shd w:val="clear" w:color="auto" w:fill="FFFFFF"/>
          </w:tcPr>
          <w:p w14:paraId="6E90DECA" w14:textId="3F12F29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Finanzjarji – Valur tal-Iskopertura tal-Proporzjon ta’ Ingranaġġ – Skoperturi SA</w:t>
            </w:r>
          </w:p>
          <w:p w14:paraId="7CAB4F9A" w14:textId="65D4CD25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korporattivi finanzjarji li jaqgħu taħt l-Artikolu 122 CRR</w:t>
            </w:r>
          </w:p>
          <w:p w14:paraId="48ACEE9F" w14:textId="2FCEE13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definiti fil-punt (27) tal-Artikolu 4(1) CRR minbarra l-istituzzjonijiet imsemmijin f’{0180;0010}. </w:t>
            </w:r>
          </w:p>
          <w:p w14:paraId="34C751F5" w14:textId="603A895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897B4F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338C26" w14:textId="03E777A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{0240;0020}</w:t>
            </w:r>
          </w:p>
        </w:tc>
        <w:tc>
          <w:tcPr>
            <w:tcW w:w="7406" w:type="dxa"/>
            <w:shd w:val="clear" w:color="auto" w:fill="FFFFFF"/>
          </w:tcPr>
          <w:p w14:paraId="4094858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Finanzjarji – Valur tal-Iskopertura tal-Proporzjon ta’ Ingranaġġ – Skoperturi IRB</w:t>
            </w:r>
          </w:p>
          <w:p w14:paraId="058EB000" w14:textId="25CE5D25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assi li huma skoperturi IRB għal korporattivi finanzjarji skont il-punt (c) tal-Artikolu 147(2) CRR jekk dawn l-iskoperturi mhumiex iggarantiti b’ipoteki fuq proprjetà immobbli b’konformità mal-punt (a) tal-Artikolu 199(1) CRR</w:t>
            </w:r>
          </w:p>
          <w:p w14:paraId="07B8C8CE" w14:textId="78D80AE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 fil-punt (27) tal-Artikolu 4(1) CRR minbarra l-istituzzjonijiet imsemmijin f’{0180;0010}. </w:t>
            </w:r>
          </w:p>
          <w:p w14:paraId="51655C6D" w14:textId="31474CF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7E381EE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F071D43" w14:textId="5D1456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{0240;0030}</w:t>
            </w:r>
          </w:p>
        </w:tc>
        <w:tc>
          <w:tcPr>
            <w:tcW w:w="7406" w:type="dxa"/>
            <w:shd w:val="clear" w:color="auto" w:fill="FFFFFF"/>
          </w:tcPr>
          <w:p w14:paraId="3EFA5487" w14:textId="705A466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Finanzjarji – RWEA – Skoperturi SA</w:t>
            </w:r>
          </w:p>
          <w:p w14:paraId="08FF6980" w14:textId="13278EDF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L-ammont tal-iskopertura ponderat għar-riskju ta’ assi li huma skoperturi SA għal korporattivi finanzjarji li jaqgħu taħt l-Artikolu 122 CRR</w:t>
            </w:r>
          </w:p>
          <w:p w14:paraId="4DE325F6" w14:textId="6FA0CF2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 fil-punt (27) tal-Artikolu 4(1) CRR minbarra l-istituzzjonijiet imsemmijin f’{0180;0010}. </w:t>
            </w:r>
          </w:p>
          <w:p w14:paraId="6B38D45F" w14:textId="591397C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E13A8B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A07187A" w14:textId="59A5E64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{0240;0040}</w:t>
            </w:r>
          </w:p>
        </w:tc>
        <w:tc>
          <w:tcPr>
            <w:tcW w:w="7406" w:type="dxa"/>
            <w:shd w:val="clear" w:color="auto" w:fill="FFFFFF"/>
          </w:tcPr>
          <w:p w14:paraId="0D42EAF2" w14:textId="4C7FF3C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Finanzjarji – RWEA – Skoperturi IRB</w:t>
            </w:r>
          </w:p>
          <w:p w14:paraId="2E63CDE0" w14:textId="1470CD3F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għal korporattivi finanzjarji skont il-punt (c) tal-Artikolu 147(2) CRR jekk dawn l-iskoperturi mhumiex iggarantiti b’ipoteki fuq proprjetà immobbli b’konformità mal-punt (a) tal-Artikolu 199(1) CRR</w:t>
            </w:r>
          </w:p>
          <w:p w14:paraId="717CB3D1" w14:textId="467EB1F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 fil-punt (27) tal-Artikolu 4(1) CRR minbarra l-istituzzjonijiet imsemmijin f’{0180;0010}.</w:t>
            </w:r>
          </w:p>
          <w:p w14:paraId="46CE9414" w14:textId="0957AC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D9775D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3C726F" w14:textId="47DF85C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{0250;0010}</w:t>
            </w:r>
          </w:p>
        </w:tc>
        <w:tc>
          <w:tcPr>
            <w:tcW w:w="7406" w:type="dxa"/>
            <w:shd w:val="clear" w:color="auto" w:fill="FFFFFF"/>
          </w:tcPr>
          <w:p w14:paraId="50FEF333" w14:textId="081F5C0C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Mhux finanzjarji – Valur tal-Iskopertura tal-Proporzjon ta’ Ingranaġġ – Skoperturi SA</w:t>
            </w:r>
          </w:p>
          <w:p w14:paraId="79750DB3" w14:textId="057E46E5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assi li huma skoperturi SA għal korporattivi mhux finanzjarji li jaqgħu taħt l-Artikolu 122 CRR</w:t>
            </w:r>
          </w:p>
          <w:p w14:paraId="1A9B7F32" w14:textId="42798EB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{0260,0010} u {0270,0010}.</w:t>
            </w:r>
          </w:p>
          <w:p w14:paraId="69CDF75C" w14:textId="4C652EE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729124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917946" w14:textId="5C76670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{0250;0020}</w:t>
            </w:r>
          </w:p>
        </w:tc>
        <w:tc>
          <w:tcPr>
            <w:tcW w:w="7406" w:type="dxa"/>
            <w:shd w:val="clear" w:color="auto" w:fill="FFFFFF"/>
          </w:tcPr>
          <w:p w14:paraId="25E6520A" w14:textId="3CB20E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Mhux finanzjarji – Valur tal-Iskopertura tal-Proporzjon ta’ Ingranaġġ – Skoperturi IRB</w:t>
            </w:r>
          </w:p>
          <w:p w14:paraId="1615C090" w14:textId="3C381E2E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assi li huma skoperturi IRB għal korporattivi mhux finanzjarji skont il-punt (c) tal-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Artikolu 147(2) CRR jekk dawn l-iskoperturi mhumiex iggarantiti b’ipoteki fuq proprjetà immobbli b’konformità mal-punt (a) tal-Artikolu 199(1) CRR</w:t>
            </w:r>
          </w:p>
          <w:p w14:paraId="5B891D71" w14:textId="425CD8A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{0260,0020} u {0270,0020}.</w:t>
            </w:r>
          </w:p>
          <w:p w14:paraId="4A94BD25" w14:textId="7EF0446C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569EBB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AE0AFA" w14:textId="313B4A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{0250;0030}</w:t>
            </w:r>
          </w:p>
        </w:tc>
        <w:tc>
          <w:tcPr>
            <w:tcW w:w="7406" w:type="dxa"/>
            <w:shd w:val="clear" w:color="auto" w:fill="FFFFFF"/>
          </w:tcPr>
          <w:p w14:paraId="68E7D79C" w14:textId="33D6CD05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Mhux finanzjarji – RWEA – Skoperturi SA</w:t>
            </w:r>
          </w:p>
          <w:p w14:paraId="49E48609" w14:textId="4FEA8D1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SA għal korporattivi mhux finanzjarji li jaqgħu taħt l-Artikolu 122 CRR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11F55E3D" w14:textId="2D4C4F8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{0260,0030} u {0270,0030}.</w:t>
            </w:r>
          </w:p>
          <w:p w14:paraId="153E6308" w14:textId="63943BB8" w:rsidR="002509B1" w:rsidRPr="000B66BC" w:rsidDel="00504CFF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27F0C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B83D193" w14:textId="507086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{0250;0040}</w:t>
            </w:r>
          </w:p>
        </w:tc>
        <w:tc>
          <w:tcPr>
            <w:tcW w:w="7406" w:type="dxa"/>
            <w:shd w:val="clear" w:color="auto" w:fill="FFFFFF"/>
          </w:tcPr>
          <w:p w14:paraId="2B0BB9F0" w14:textId="041EA5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Mhux finanzjarji – RWEA – Skoperturi IRB</w:t>
            </w:r>
          </w:p>
          <w:p w14:paraId="4DD9CC03" w14:textId="02A760CF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għal korporattivi mhux finanzjarji skont il-punt (c) tal-Artikolu 147(2) CRR jekk dawn l-iskoperturi mhumiex iggarantiti b’ipoteki fuq proprjetà immobbli b’konformità mal-punt (a) tal-Artikolu 199(1) CRR</w:t>
            </w:r>
          </w:p>
          <w:p w14:paraId="072F6C8B" w14:textId="7E5B0C7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għandha tkun is-somma ta’ {0260,0040} u {0270,0040}.</w:t>
            </w:r>
          </w:p>
          <w:p w14:paraId="2B36DB12" w14:textId="48954611" w:rsidR="002509B1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9E5887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FCE46D" w14:textId="4434901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{0260;0010}</w:t>
            </w:r>
          </w:p>
        </w:tc>
        <w:tc>
          <w:tcPr>
            <w:tcW w:w="7406" w:type="dxa"/>
            <w:shd w:val="clear" w:color="auto" w:fill="FFFFFF"/>
          </w:tcPr>
          <w:p w14:paraId="16D3DD8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għall-SMEs – Valur tal-Iskopertura tal-Proporzjon ta’ Ingranaġġ – Skoperturi SA</w:t>
            </w:r>
          </w:p>
          <w:p w14:paraId="1237A324" w14:textId="6A398AE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li huma skoperturi SA għal korporattivi fil-forma ta’ intrapriżi żgħar u medji li jaqgħu taħt l-Artikolu 122 CRR </w:t>
            </w:r>
          </w:p>
          <w:p w14:paraId="5E29251B" w14:textId="3C920E51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5FAEA464" w14:textId="7B77BBC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13131DF5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5B0110D" w14:textId="74C0B6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{0260;0020}</w:t>
            </w:r>
          </w:p>
        </w:tc>
        <w:tc>
          <w:tcPr>
            <w:tcW w:w="7406" w:type="dxa"/>
            <w:shd w:val="clear" w:color="auto" w:fill="FFFFFF"/>
          </w:tcPr>
          <w:p w14:paraId="4E8AC37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għall-SMEs – Valur tal-Iskopertura tal-Proporzjon ta’ Ingranaġġ – Skoperturi IRB</w:t>
            </w:r>
          </w:p>
          <w:p w14:paraId="16526905" w14:textId="7FC431F7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tal-iskopertura tal-proporzjon ta’ ingranaġġ ta’ assi li huma skoperturi IRB għal korporattivi skont il-punt (c) tal-Artikolu 147(2) CRR jekk dawn l-iskoperturi huma skoperturi għal intrapriżi żgħar u ta’ daqs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medju u mhumiex iggarantiti b’ipoteki fuq proprjetà immobbli b’konformità mal-punt (a) tal-Artikolu 199(1) CRR</w:t>
            </w:r>
          </w:p>
          <w:p w14:paraId="729394D8" w14:textId="24BDBF7A" w:rsidR="002509B1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542463BD" w14:textId="165C2619" w:rsidR="009C4E79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50044C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100BE" w14:textId="2ACB4AD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{0260;0030}</w:t>
            </w:r>
          </w:p>
        </w:tc>
        <w:tc>
          <w:tcPr>
            <w:tcW w:w="7406" w:type="dxa"/>
            <w:shd w:val="clear" w:color="auto" w:fill="FFFFFF"/>
          </w:tcPr>
          <w:p w14:paraId="0D365078" w14:textId="540263E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għall-SMEs – RWEA – Skoperturi SA</w:t>
            </w:r>
          </w:p>
          <w:p w14:paraId="47967B81" w14:textId="1E6770C8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korporattivi fil-forma ta’ intrapriżi żgħar u ta’ daqs medju li jaqgħu taħt l-Artikolu 122 CRR</w:t>
            </w:r>
          </w:p>
          <w:p w14:paraId="4E35047C" w14:textId="015E6ABF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2B25463D" w14:textId="56CC7FB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DB0057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FE83BB" w14:textId="4650F9F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{0260;0040}</w:t>
            </w:r>
          </w:p>
        </w:tc>
        <w:tc>
          <w:tcPr>
            <w:tcW w:w="7406" w:type="dxa"/>
            <w:shd w:val="clear" w:color="auto" w:fill="FFFFFF"/>
          </w:tcPr>
          <w:p w14:paraId="72107293" w14:textId="2B92F95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għall-SMEs – RWEA – Skoperturi IRB</w:t>
            </w:r>
          </w:p>
          <w:p w14:paraId="61D071ED" w14:textId="79F0A63F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għal korporattivi skont il-punt (c) tal-Artikolu 147(2) CRR jekk dawn l-iskoperturi huma skoperturi għal intrapriżi żgħar u ta’ daqs medju u li mhumiex iggarantiti b’ipoteki fuq proprjetà immobbli b’konformità mal-punt (a) tal-Artikolu 199(1) CRR</w:t>
            </w:r>
          </w:p>
          <w:p w14:paraId="14AF8756" w14:textId="2026BB4F" w:rsidR="004F39F5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Għall-finijiet ta’ din iċ-ċellola, l-istituzzjonijiet għandhom jużaw it-terminu “intrapriża żgħira u medja” kif definit fil-punt (b) tal-Artikolu 501(2) CRR.</w:t>
            </w:r>
          </w:p>
          <w:p w14:paraId="0EF08F24" w14:textId="18E4DC9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47B23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4CF42BC" w14:textId="0762963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{0270;0010}</w:t>
            </w:r>
          </w:p>
        </w:tc>
        <w:tc>
          <w:tcPr>
            <w:tcW w:w="7406" w:type="dxa"/>
            <w:shd w:val="clear" w:color="auto" w:fill="FFFFFF"/>
          </w:tcPr>
          <w:p w14:paraId="368904F3" w14:textId="1EEE993E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minbarra skoperturi għall-SMEs – Valur tal-Iskopertura tal-Proporzjon ta’ Ingranaġġ – Skoperturi SA</w:t>
            </w:r>
          </w:p>
          <w:p w14:paraId="41FBC40B" w14:textId="08EC7DAD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korporattivi li jaqgħu taħt l-Artikolu 122 CRR u li mhumiex irrapportati f’{0230;0040} u {0250;0040}</w:t>
            </w:r>
          </w:p>
          <w:p w14:paraId="01FC3B49" w14:textId="5139686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B6432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017660" w14:textId="3B06C10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{0270;0020}</w:t>
            </w:r>
          </w:p>
        </w:tc>
        <w:tc>
          <w:tcPr>
            <w:tcW w:w="7406" w:type="dxa"/>
            <w:shd w:val="clear" w:color="auto" w:fill="FFFFFF"/>
          </w:tcPr>
          <w:p w14:paraId="2A27297A" w14:textId="77777777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minbarra skoperturi għall-SMEs – Valur tal-Iskopertura tal-Proporzjon ta’ Ingranaġġ – Skoperturi IRB</w:t>
            </w:r>
          </w:p>
          <w:p w14:paraId="585E711E" w14:textId="0F09BBA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tal-iskopertura tal-proporzjon ta’ ingranaġġ ta’ assi li huma skoperturi IRB għal korporattivi skont il-punt (c) tal-Artikolu 147(2) CRR jekk dawn l-iskoperturi mhumiex iggarantiti b’ipoteki fuq proprjetà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immobbli skont il-punt (a) tal-Artikolu 199(1) CRR u li mhumiex irrapportati f’{0230;0040} u {0250;0040}</w:t>
            </w:r>
          </w:p>
          <w:p w14:paraId="714190FD" w14:textId="58141E5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4BE393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DF3E96B" w14:textId="78C7DD3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{0270;0030}</w:t>
            </w:r>
          </w:p>
        </w:tc>
        <w:tc>
          <w:tcPr>
            <w:tcW w:w="7406" w:type="dxa"/>
            <w:shd w:val="clear" w:color="auto" w:fill="FFFFFF"/>
          </w:tcPr>
          <w:p w14:paraId="214E8F81" w14:textId="267DF9F2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minbarra skoperturi għall-SMEs – RWEA – Skoperturi SA</w:t>
            </w:r>
          </w:p>
          <w:p w14:paraId="10BEA73F" w14:textId="03708DB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assi li huma skoperturi SA għal korporattivi li jaqgħu taħt l-Artikolu 122 CRR u li mhumiex irrapportati f’{0230;0040} u {0250;0040}</w:t>
            </w:r>
          </w:p>
          <w:p w14:paraId="3BF86EC4" w14:textId="255E5CD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284B6D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A67914" w14:textId="406392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{0270;0040}</w:t>
            </w:r>
          </w:p>
        </w:tc>
        <w:tc>
          <w:tcPr>
            <w:tcW w:w="7406" w:type="dxa"/>
            <w:shd w:val="clear" w:color="auto" w:fill="FFFFFF"/>
          </w:tcPr>
          <w:p w14:paraId="4D405A64" w14:textId="301D30BA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minbarra skoperturi għall-SMEs – RWEA – Skoperturi IRB</w:t>
            </w:r>
          </w:p>
          <w:p w14:paraId="66C72176" w14:textId="791947F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ponderat għar-riskju ta’ assi li huma skoperturi IRB għal korporattivi skont il-punt (c) tal-Artikolu 147(2) CRR jekk dawn l-iskoperturi mhumiex iggarantiti b’ipoteki fuq proprjetà immobbli skont il-punt (a) tal-Artikolu 199(1) CRR u li mhumiex irrapportati f’{0230;0040} u {0250;0040}</w:t>
            </w:r>
          </w:p>
          <w:p w14:paraId="56E24BD9" w14:textId="2304090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4078E0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678416" w14:textId="11F0757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{0280;0010}</w:t>
            </w:r>
          </w:p>
        </w:tc>
        <w:tc>
          <w:tcPr>
            <w:tcW w:w="7406" w:type="dxa"/>
            <w:shd w:val="clear" w:color="auto" w:fill="FFFFFF"/>
          </w:tcPr>
          <w:p w14:paraId="3643375B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f’inadempjenza – Valur tal-Iskopertura tal-Proporzjon ta’ Ingranaġġ — Skoperturi SA</w:t>
            </w:r>
          </w:p>
          <w:p w14:paraId="19F3FE8B" w14:textId="59E9C71C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il-valur tal-iskopertura tal-proporzjon ta’ ingranaġġ ta’ assi li huma skoperturi SA f’inadempjenza u b’hekk jaqgħu taħt l-Artikolu 127 CRR.</w:t>
            </w:r>
          </w:p>
        </w:tc>
      </w:tr>
      <w:tr w:rsidR="002A54FF" w:rsidRPr="00E75BB8" w14:paraId="6208DB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3D1BB3" w14:textId="6E8DA4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{0280;0020}</w:t>
            </w:r>
          </w:p>
        </w:tc>
        <w:tc>
          <w:tcPr>
            <w:tcW w:w="7406" w:type="dxa"/>
            <w:shd w:val="clear" w:color="auto" w:fill="FFFFFF"/>
          </w:tcPr>
          <w:p w14:paraId="5B5C9DCF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f’inadempjenza – Valur tal-Iskopertura tal-Proporzjon ta’ Ingranaġġ — Skoperturi IRB</w:t>
            </w:r>
          </w:p>
          <w:p w14:paraId="35C502CA" w14:textId="22D7D03F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il-valur tal-iskopertura tal-proporzjon ta’ ingranaġġ ta’ assi kategorizzati fil-klassijiet tal-iskoperturi elenkati fl-Artikolu 147(2) CRR jekk seħħet inadempjenza b’konformità mal-Artikolu 178 CRR.</w:t>
            </w:r>
          </w:p>
        </w:tc>
      </w:tr>
      <w:tr w:rsidR="002A54FF" w:rsidRPr="00E75BB8" w14:paraId="3AD252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CA0E26" w14:textId="78C5E6F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{0280;0030}</w:t>
            </w:r>
          </w:p>
        </w:tc>
        <w:tc>
          <w:tcPr>
            <w:tcW w:w="7406" w:type="dxa"/>
            <w:shd w:val="clear" w:color="auto" w:fill="FFFFFF"/>
          </w:tcPr>
          <w:p w14:paraId="327CD6C9" w14:textId="16A698E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f’inadempjenza – RWEA – Skoperturi SA</w:t>
            </w:r>
          </w:p>
          <w:p w14:paraId="4ECD736F" w14:textId="4C5CB842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l-ammont tal-iskopertura ponderat għar-riskju ta’ assi li huma skoperturi f’inadempjenza u b’hekk jaqgħu taħt l-Artikolu 127 CRR.</w:t>
            </w:r>
          </w:p>
        </w:tc>
      </w:tr>
      <w:tr w:rsidR="002A54FF" w:rsidRPr="00E75BB8" w14:paraId="1E9BD77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1BD5908" w14:textId="24179E5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{0280;0040}</w:t>
            </w:r>
          </w:p>
        </w:tc>
        <w:tc>
          <w:tcPr>
            <w:tcW w:w="7406" w:type="dxa"/>
            <w:shd w:val="clear" w:color="auto" w:fill="FFFFFF"/>
          </w:tcPr>
          <w:p w14:paraId="480D541C" w14:textId="3923716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f’inadempjenza – RWEA – Skoperturi IRB</w:t>
            </w:r>
          </w:p>
          <w:p w14:paraId="5EF9576D" w14:textId="04775536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l-ammont tal-iskopertura ponderat għar-riskju ta’ assi kategorizzati fil-klassijiet tal-iskoperturi elenkati fl-Artikolu 147(2) CRR jekk seħħet inadempjenza b’konformità mal-Artikolu 178 CRR.</w:t>
            </w:r>
          </w:p>
        </w:tc>
      </w:tr>
      <w:tr w:rsidR="002A54FF" w:rsidRPr="00E75BB8" w14:paraId="3AEBEAE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A625DB" w14:textId="374E40D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{0290;0010}</w:t>
            </w:r>
          </w:p>
          <w:p w14:paraId="100727C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6" w:type="dxa"/>
            <w:shd w:val="clear" w:color="auto" w:fill="FFFFFF"/>
          </w:tcPr>
          <w:p w14:paraId="7D8E3311" w14:textId="44E5148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oħrajn – Valur tal-Iskopertura tal-Proporzjon ta’ Ingranaġġ – Skoperturi SA</w:t>
            </w:r>
          </w:p>
          <w:p w14:paraId="59E2187D" w14:textId="710CB3F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Il-valur tal-iskopertura tal-proporzjon ta’ ingranaġġ ta’ assi kategorizzati fil-klassijiet tal-iskoperturi elenkati fil-paragrafi (k), (m), (n), (o), (p) u (q) tal-Artikolu 112 CRR </w:t>
            </w:r>
          </w:p>
          <w:p w14:paraId="243415E4" w14:textId="4D4A9D83" w:rsidR="002509B1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assi li huma mnaqqsin mill-fondi proprji (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eż. intanġibbli) iżda li ma jistgħu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x jiġu kkategorizzati hawn,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jekk din il-kategorizzazzjoni mhijiex meħtieġa biex jiġu stabbiliti r-rekwiżiti ta’ fondi proprji bbażati fuq ir-riskju fil-kolonni {*; 0030} u {*; 0040}.</w:t>
            </w:r>
          </w:p>
          <w:p w14:paraId="7B7E64BF" w14:textId="27D9DDDB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2E2008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9F489C" w14:textId="033B0F9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{0290;0020}</w:t>
            </w:r>
          </w:p>
        </w:tc>
        <w:tc>
          <w:tcPr>
            <w:tcW w:w="7406" w:type="dxa"/>
            <w:shd w:val="clear" w:color="auto" w:fill="FFFFFF"/>
          </w:tcPr>
          <w:p w14:paraId="04B12DFD" w14:textId="7640F74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Skoperturi oħrajn – Valur tal-Iskopertura tal-Proporzjon ta’ Ingranaġġ – Skoperturi IRB</w:t>
            </w:r>
          </w:p>
          <w:p w14:paraId="509BE205" w14:textId="0F60B8D1" w:rsidR="00482670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tal-proporzjon ta’ ingranaġġ ta’ assi kategorizzati fil-klassijiet tal-iskoperturi elenkati fil-punti (e), (f) u (g) tal-Artikolu 147(2) CRR</w:t>
            </w:r>
          </w:p>
          <w:p w14:paraId="71F126DD" w14:textId="49A9CA7B" w:rsidR="00BB388D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assi li huma mnaqqsin mill-fondi proprji (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per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eż. intanġibbli) iżda li ma jistgħu</w:t>
            </w:r>
            <w:r w:rsidR="00824B87">
              <w:rPr>
                <w:rFonts w:ascii="Times New Roman" w:hAnsi="Times New Roman"/>
                <w:bCs/>
                <w:sz w:val="24"/>
                <w:szCs w:val="24"/>
              </w:rPr>
              <w:t>x jiġu kkategorizzati hawn, anki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jekk din il-kategorizzazzjoni mhijiex meħtieġa biex jiġu stabbiliti r-rekwiżiti ta’ fondi proprji bbażati fuq ir-riskju fil-kolonni {*; 0030} u {*; 0040}.</w:t>
            </w:r>
          </w:p>
          <w:p w14:paraId="2C772C0F" w14:textId="142C485B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6B7AB2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33B4D60" w14:textId="1DECF16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{0290;0030}</w:t>
            </w:r>
          </w:p>
        </w:tc>
        <w:tc>
          <w:tcPr>
            <w:tcW w:w="7406" w:type="dxa"/>
            <w:shd w:val="clear" w:color="auto" w:fill="FFFFFF"/>
          </w:tcPr>
          <w:p w14:paraId="75145255" w14:textId="3F61541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oħrajn – RWEA – Skoperturi SA</w:t>
            </w:r>
          </w:p>
          <w:p w14:paraId="61F5D6CA" w14:textId="0C9ED25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ponderat għar-riskju ta’ assi kkategorizzati fil-klassijiet tal-iskoperturi elenkati fil-paragrafi (k), (m), (n), (o), (p) u (q) tal-Artikolu 112 CRR</w:t>
            </w:r>
          </w:p>
          <w:p w14:paraId="1A7DE9B0" w14:textId="1E7127C7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7C5A486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D10170B" w14:textId="0353A1D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{0290;0040}</w:t>
            </w:r>
          </w:p>
        </w:tc>
        <w:tc>
          <w:tcPr>
            <w:tcW w:w="7406" w:type="dxa"/>
            <w:shd w:val="clear" w:color="auto" w:fill="FFFFFF"/>
          </w:tcPr>
          <w:p w14:paraId="4D50DB6F" w14:textId="4232608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Skoperturi oħrajn – RWEA – Skoperturi IRB</w:t>
            </w:r>
          </w:p>
          <w:p w14:paraId="047D3368" w14:textId="43F71D3B" w:rsidR="00BB388D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Il-valur tal-iskopertura ponderata għar-riskju ta’ assi kategorizzati fil-klassijiet tal-iskoperturi elenkati fil-punti (e), (f) u (g) tal-Artikolu 147(2) CRR</w:t>
            </w:r>
          </w:p>
          <w:p w14:paraId="2891CC60" w14:textId="54E32862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F3D277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E979259" w14:textId="01C67E6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{0300;0010}</w:t>
            </w:r>
          </w:p>
        </w:tc>
        <w:tc>
          <w:tcPr>
            <w:tcW w:w="7406" w:type="dxa"/>
            <w:shd w:val="clear" w:color="auto" w:fill="FFFFFF"/>
          </w:tcPr>
          <w:p w14:paraId="3D18A2F9" w14:textId="29912885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Skoperturi tat-titolizzazzjoni – Valur tal-Iskopertura tal-Proporzjon ta’ Ingranaġġ – Skoperturi SA</w:t>
            </w:r>
          </w:p>
          <w:p w14:paraId="7530F6A8" w14:textId="7A2935E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SA għal titolizzazzjonijiet li jaqgħu taħt l-Artikolu 112(m) CRR.</w:t>
            </w:r>
          </w:p>
          <w:p w14:paraId="2DE0AC42" w14:textId="77A211EB" w:rsidR="009C4E79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4158C6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1F9849" w14:textId="6C8F235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{0300;0020}</w:t>
            </w:r>
          </w:p>
        </w:tc>
        <w:tc>
          <w:tcPr>
            <w:tcW w:w="7406" w:type="dxa"/>
            <w:shd w:val="clear" w:color="auto" w:fill="FFFFFF"/>
          </w:tcPr>
          <w:p w14:paraId="12C4E302" w14:textId="1F965943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Skoperturi tat-titolizzazzjoni – Valur tal-Iskopertura tal-Proporzjon ta’ Ingranaġġ – Skoperturi IRB</w:t>
            </w:r>
          </w:p>
          <w:p w14:paraId="52AFEF6A" w14:textId="1A06A89B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assi li huma skoperturi IRB għal titolizzazzjonijiet u jaqgħu taħt il-punt (f) tal-Artikolu 147(2) CRR</w:t>
            </w:r>
          </w:p>
          <w:p w14:paraId="5A4CEC64" w14:textId="084E95CE" w:rsidR="002509B1" w:rsidRPr="000B66BC" w:rsidDel="00B9734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2D8DCA0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B7F740" w14:textId="0030030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{0300;0030}</w:t>
            </w:r>
          </w:p>
        </w:tc>
        <w:tc>
          <w:tcPr>
            <w:tcW w:w="7406" w:type="dxa"/>
            <w:shd w:val="clear" w:color="auto" w:fill="FFFFFF"/>
          </w:tcPr>
          <w:p w14:paraId="0195360F" w14:textId="4CF1300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Skoperturi tat-titolizzazzjoni – RWEA – Skoperturi SA</w:t>
            </w:r>
          </w:p>
          <w:p w14:paraId="583F2964" w14:textId="0C7EFE2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L-ammont tal-iskopertura ponderat għar-riskju ta’ assi li huma skoperturi SA għal titolizzazzjonijiet li jaqgħu taħt l-Artikolu 112(m) CRR </w:t>
            </w:r>
          </w:p>
          <w:p w14:paraId="34AEB620" w14:textId="279486F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4AF9EC6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38D7286" w14:textId="4155BC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{0300;0040}</w:t>
            </w:r>
          </w:p>
        </w:tc>
        <w:tc>
          <w:tcPr>
            <w:tcW w:w="7406" w:type="dxa"/>
            <w:shd w:val="clear" w:color="auto" w:fill="FFFFFF"/>
          </w:tcPr>
          <w:p w14:paraId="546F46AF" w14:textId="111BE03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Skoperturi tat-titolizzazzjoni – RWEA – Skoperturi IRB</w:t>
            </w:r>
          </w:p>
          <w:p w14:paraId="745FCC52" w14:textId="7EE9E33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L-ammont tal-iskopertura ponderat għar-riskju ta’ assi li huma skoperturi IRB għal titolizzazzjonijiet u jaqgħu taħt il-punt (f) tal-Artikolu 147(2) CRR </w:t>
            </w:r>
          </w:p>
          <w:p w14:paraId="6DCC2024" w14:textId="3E5BF347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1998012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0EF17D6" w14:textId="2BA7366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</w:tc>
        <w:tc>
          <w:tcPr>
            <w:tcW w:w="7406" w:type="dxa"/>
            <w:shd w:val="clear" w:color="auto" w:fill="FFFFFF"/>
          </w:tcPr>
          <w:p w14:paraId="1F726694" w14:textId="75DDDC0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Finanzjament tal-kummerċ (entrata ta’ memorandum)– Valur tal-Iskopertura tal-Proporzjon ta’ Ingranaġġ – Skoperturi SA</w:t>
            </w:r>
          </w:p>
          <w:p w14:paraId="40329EE0" w14:textId="6890CB1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tal-proporzjon ta’ ingranaġġ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07887909" w14:textId="376C2A24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L-istituzzjonijiet għandhom jirrapportaw in-nett tal-iskoperturi SA inadempjenti.</w:t>
            </w:r>
          </w:p>
        </w:tc>
      </w:tr>
      <w:tr w:rsidR="002A54FF" w:rsidRPr="00E75BB8" w14:paraId="7849841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770CF17" w14:textId="209AA22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{0310;0020}</w:t>
            </w:r>
          </w:p>
        </w:tc>
        <w:tc>
          <w:tcPr>
            <w:tcW w:w="7406" w:type="dxa"/>
            <w:shd w:val="clear" w:color="auto" w:fill="FFFFFF"/>
          </w:tcPr>
          <w:p w14:paraId="3DC59FB7" w14:textId="0055417A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Finanzjament tal-kummerċ (entrata ta’ memorandum)</w:t>
            </w:r>
            <w:r w:rsidR="00951A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Valur tal-Iskopertura tal-Proporzjon ta’ Ingranaġġ – Skoperturi IRB</w:t>
            </w:r>
          </w:p>
          <w:p w14:paraId="0A442979" w14:textId="3B301CAB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tal-proporzjon ta’ ingranaġġ tal-entrati fil-karta tal-bilanċ relatati mal-għoti b’self lil esportatur jew importatur ta’ prodotti jew servizzi permezz ta’ krediti għall-importazzjoni u l-esportazzjoni u tranżazzjonijiet simili</w:t>
            </w:r>
          </w:p>
          <w:p w14:paraId="009892EF" w14:textId="4CD440BB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0944BE2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5E033C" w14:textId="299469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{0310;0030}</w:t>
            </w:r>
          </w:p>
        </w:tc>
        <w:tc>
          <w:tcPr>
            <w:tcW w:w="7406" w:type="dxa"/>
            <w:shd w:val="clear" w:color="auto" w:fill="FFFFFF"/>
          </w:tcPr>
          <w:p w14:paraId="2CAEEABE" w14:textId="362B2A0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Finanzjament tal-kummerċ (entrata ta’ memorandum) – RWEA – Skoperturi SA</w:t>
            </w:r>
          </w:p>
          <w:p w14:paraId="08DFF23E" w14:textId="3FC8943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Il-valur tal-iskopertura ponderat għar-riskju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1392FEC6" w14:textId="0CEA5EB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2EAEC4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3EEDC7" w14:textId="50ACD0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{0310;0040}</w:t>
            </w:r>
          </w:p>
        </w:tc>
        <w:tc>
          <w:tcPr>
            <w:tcW w:w="7406" w:type="dxa"/>
            <w:shd w:val="clear" w:color="auto" w:fill="FFFFFF"/>
          </w:tcPr>
          <w:p w14:paraId="6234B372" w14:textId="0FE9A0F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Finanzjament tal-kummerċ (entrata ta’ memorandum) – RWEA – Skoperturi IRB</w:t>
            </w:r>
          </w:p>
          <w:p w14:paraId="7C41D05F" w14:textId="163F70F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tal-iskopertura ponderat għar-riskju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69D1BF8F" w14:textId="1ADC695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0F47267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1A66D59" w14:textId="16BAA6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</w:tc>
        <w:tc>
          <w:tcPr>
            <w:tcW w:w="7406" w:type="dxa"/>
            <w:shd w:val="clear" w:color="auto" w:fill="FFFFFF"/>
          </w:tcPr>
          <w:p w14:paraId="68BD9684" w14:textId="77777777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Taħt skema uffiċjali tal-assigurazzjoni ta’ kreditu għall-esportazzjoni – Valur tal-Iskopertura tal-Proporzjon ta’ Ingranaġġ – Skoperturi SA</w:t>
            </w:r>
          </w:p>
          <w:p w14:paraId="77C2AA79" w14:textId="008650ED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tal-proporzjon ta’ ingranaġġ ta’ entrati fil-karta tal-bilanċ relatati mal-finanzjament tal-kummerċ taħt skema uffiċjali tal-assigurazzjoni ta’ kreditu għall-esportazzjoni</w:t>
            </w:r>
          </w:p>
          <w:p w14:paraId="724169CB" w14:textId="4B72375C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(krediti u sovvenzjonijiet), assigurazzjoni tal-kreditu u garanziji għall-esportazzjoni. </w:t>
            </w:r>
          </w:p>
          <w:p w14:paraId="6749A4E0" w14:textId="3BDB38A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324D0C1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9BEEE3" w14:textId="251ACAE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{0320;0020}</w:t>
            </w:r>
          </w:p>
        </w:tc>
        <w:tc>
          <w:tcPr>
            <w:tcW w:w="7406" w:type="dxa"/>
            <w:shd w:val="clear" w:color="auto" w:fill="FFFFFF"/>
          </w:tcPr>
          <w:p w14:paraId="487C59EC" w14:textId="64199DCF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 minnhom: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Taħt skema uffiċjali tal-assigurazzjoni ta’ kreditu għall-esportazzjoni – Valur tal-Iskopertura tal-Proporzjon ta’ Ingranaġġ – Skoperturi IRB</w:t>
            </w:r>
          </w:p>
          <w:p w14:paraId="28C477A6" w14:textId="45C80184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tal-iskopertura tal-proporzjon ta’ ingranaġġ ta’ entrati fil-karta tal-bilanċ relatati mal-finanzjament tal-kummerċ taħt skema uffiċjali ta’ assigurazzjoni ta’ kreditu għall-esportazzjoni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53591E6" w14:textId="24EEED56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</w:t>
            </w:r>
          </w:p>
          <w:p w14:paraId="121B09A0" w14:textId="7D13C18C" w:rsidR="002509B1" w:rsidRPr="000B66BC" w:rsidDel="00600AB1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  <w:tr w:rsidR="002A54FF" w:rsidRPr="00E75BB8" w14:paraId="5958CA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D523A5" w14:textId="2D5719F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{0320;0030}</w:t>
            </w:r>
          </w:p>
        </w:tc>
        <w:tc>
          <w:tcPr>
            <w:tcW w:w="7406" w:type="dxa"/>
            <w:shd w:val="clear" w:color="auto" w:fill="FFFFFF"/>
          </w:tcPr>
          <w:p w14:paraId="1BC55C9E" w14:textId="018B97B0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Taħt skema uffiċjali tal-assigurazzjoni ta’ kreditu għall-esportazzjoni – RWEA – Skoperturi SA</w:t>
            </w:r>
          </w:p>
          <w:p w14:paraId="5BDA0B92" w14:textId="79F518BC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ponderat għar-riskju ta’ entrati fil-karta tal-bilanċ relatati mal-finanzjament tal-kummerċ taħt skema uffiċjali ta’ assigurazzjoni ta’ kreditu għall-esportazzjoni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4A05DE3" w14:textId="09DF700B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 </w:t>
            </w:r>
          </w:p>
          <w:p w14:paraId="4F35ADC9" w14:textId="4AC2CE5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in-nett tal-iskoperturi SA inadempjenti.</w:t>
            </w:r>
          </w:p>
        </w:tc>
      </w:tr>
      <w:tr w:rsidR="002A54FF" w:rsidRPr="00E75BB8" w14:paraId="50DFFA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E66A2E1" w14:textId="52C5C76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{0320;0040}</w:t>
            </w:r>
          </w:p>
        </w:tc>
        <w:tc>
          <w:tcPr>
            <w:tcW w:w="7406" w:type="dxa"/>
            <w:shd w:val="clear" w:color="auto" w:fill="FFFFFF"/>
          </w:tcPr>
          <w:p w14:paraId="02837300" w14:textId="087FB5C1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 minnhom: Taħt skema uffiċjali tal-assigurazzjoni ta’ kreditu għall-esportazzjoni – RWEA – Skoperturi IRB</w:t>
            </w:r>
          </w:p>
          <w:p w14:paraId="7E51B295" w14:textId="2E71FA87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tal-iskopertura ponderat għar-riskju ta’ entrati fil-karta tal-bilanċ relatati mal-finanzjament tal-kummerċ taħt skema uffiċjali ta’ assigurazzjoni ta’ kreditu għall-esportazzjoni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2173B42" w14:textId="69585F6C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 </w:t>
            </w:r>
          </w:p>
          <w:p w14:paraId="16D3A7FB" w14:textId="65A4E59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jirrapportaw in-nett tal-iskoperturi IRB inadempjenti.</w:t>
            </w:r>
          </w:p>
        </w:tc>
      </w:tr>
    </w:tbl>
    <w:p w14:paraId="6F5938BB" w14:textId="71A3874E" w:rsidR="004C0459" w:rsidRPr="000B66BC" w:rsidRDefault="004C0459" w:rsidP="000B66BC">
      <w:pPr>
        <w:pStyle w:val="BodyText1"/>
        <w:spacing w:after="240"/>
        <w:ind w:left="720"/>
        <w:rPr>
          <w:rFonts w:ascii="Times New Roman" w:hAnsi="Times New Roman"/>
          <w:b/>
          <w:sz w:val="24"/>
          <w:szCs w:val="24"/>
        </w:rPr>
      </w:pPr>
      <w:bookmarkStart w:id="74" w:name="_Toc351048511"/>
      <w:bookmarkStart w:id="75" w:name="_Toc359414290"/>
      <w:bookmarkStart w:id="76" w:name="_Toc423089075"/>
      <w:bookmarkEnd w:id="72"/>
    </w:p>
    <w:p w14:paraId="3B957644" w14:textId="7AA08C09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77" w:name="_Toc58574780"/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  <w:t>C 44.00 – Informazzjoni ġenerali</w:t>
      </w:r>
      <w:bookmarkEnd w:id="74"/>
      <w:bookmarkEnd w:id="75"/>
      <w:r>
        <w:rPr>
          <w:rFonts w:ascii="Times New Roman" w:hAnsi="Times New Roman"/>
          <w:b/>
          <w:sz w:val="24"/>
          <w:szCs w:val="24"/>
        </w:rPr>
        <w:t xml:space="preserve"> (LR5)</w:t>
      </w:r>
      <w:bookmarkEnd w:id="76"/>
      <w:bookmarkEnd w:id="77"/>
    </w:p>
    <w:p w14:paraId="0762DA75" w14:textId="1CF4EE9B" w:rsidR="00F4754B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>
        <w:rPr>
          <w:rFonts w:ascii="Times New Roman" w:hAnsi="Times New Roman"/>
          <w:sz w:val="24"/>
          <w:szCs w:val="24"/>
        </w:rPr>
        <w:tab/>
        <w:t>Hawnhekk tinġabar informazzjoni addizzjonali għall-finijiet ta’ kategorizzazzjoni tal-attivitajiet tal-istituzzjonijiet u l-għażliet regolatorji magħżulin mill-istituzzjoni.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308"/>
      </w:tblGrid>
      <w:tr w:rsidR="00F4754B" w:rsidRPr="00E75BB8" w14:paraId="01020A4D" w14:textId="77777777" w:rsidTr="000B66BC">
        <w:tc>
          <w:tcPr>
            <w:tcW w:w="1730" w:type="dxa"/>
            <w:shd w:val="clear" w:color="auto" w:fill="D9D9D9" w:themeFill="background1" w:themeFillShade="D9"/>
          </w:tcPr>
          <w:p w14:paraId="609E7AEC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Ringiela </w:t>
            </w:r>
          </w:p>
          <w:p w14:paraId="3ADE932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 kolonna</w:t>
            </w:r>
          </w:p>
        </w:tc>
        <w:tc>
          <w:tcPr>
            <w:tcW w:w="7308" w:type="dxa"/>
            <w:shd w:val="clear" w:color="auto" w:fill="D9D9D9" w:themeFill="background1" w:themeFillShade="D9"/>
          </w:tcPr>
          <w:p w14:paraId="07C08D86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Struzzjonijiet</w:t>
            </w:r>
          </w:p>
        </w:tc>
      </w:tr>
      <w:tr w:rsidR="00F4754B" w:rsidRPr="00E75BB8" w14:paraId="55A6FD39" w14:textId="77777777" w:rsidTr="000B66BC">
        <w:tc>
          <w:tcPr>
            <w:tcW w:w="1730" w:type="dxa"/>
          </w:tcPr>
          <w:p w14:paraId="4651DD6D" w14:textId="2C8898E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308" w:type="dxa"/>
          </w:tcPr>
          <w:p w14:paraId="4DA873F1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Struttura tal-kumpanija tal-istituzzjoni</w:t>
            </w:r>
          </w:p>
          <w:p w14:paraId="64CCC79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 għandha tikklassifika l-istruttura tal-kumpanija tagħha skont il-kategoriji ta’ hawn taħt:</w:t>
            </w:r>
          </w:p>
          <w:p w14:paraId="1F1192E5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Kumpanija b’ishma konġunti;</w:t>
            </w:r>
          </w:p>
          <w:p w14:paraId="003D2706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Reċiproka/kooperattiva;</w:t>
            </w:r>
          </w:p>
          <w:p w14:paraId="6192BE9A" w14:textId="31FF6E20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Kumpanija oħra mhux b’ishma konġunti.</w:t>
            </w:r>
          </w:p>
        </w:tc>
      </w:tr>
      <w:tr w:rsidR="00F4754B" w:rsidRPr="00E75BB8" w14:paraId="0E805489" w14:textId="77777777" w:rsidTr="000B66BC">
        <w:tc>
          <w:tcPr>
            <w:tcW w:w="1730" w:type="dxa"/>
          </w:tcPr>
          <w:p w14:paraId="024D6767" w14:textId="451206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308" w:type="dxa"/>
          </w:tcPr>
          <w:p w14:paraId="6E8478E9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Trattament tad-derivattivi</w:t>
            </w:r>
          </w:p>
          <w:p w14:paraId="32814C5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 għandha tispeċifika t-trattament regolatorju tad-derivattivi skont il-kategoriji mogħtija hawn taħt:</w:t>
            </w:r>
          </w:p>
          <w:p w14:paraId="255B888B" w14:textId="1F4D3780" w:rsidR="00B04A5F" w:rsidRPr="000B66BC" w:rsidRDefault="00B04A5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 </w:t>
            </w:r>
            <w:r w:rsidR="00951AA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bookmarkStart w:id="78" w:name="_GoBack"/>
            <w:bookmarkEnd w:id="78"/>
            <w:r>
              <w:rPr>
                <w:rFonts w:ascii="Times New Roman" w:hAnsi="Times New Roman"/>
                <w:bCs/>
                <w:sz w:val="24"/>
                <w:szCs w:val="24"/>
              </w:rPr>
              <w:t>Approċċ Standardizzat għar-Riskju ta’ Kreditu tal-Kontroparti (SA-CCR);</w:t>
            </w:r>
          </w:p>
          <w:p w14:paraId="43920088" w14:textId="0DE9D45D" w:rsidR="00B04A5F" w:rsidRPr="000B66BC" w:rsidRDefault="00951A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="00B04A5F">
              <w:rPr>
                <w:rFonts w:ascii="Times New Roman" w:hAnsi="Times New Roman"/>
                <w:bCs/>
                <w:sz w:val="24"/>
                <w:szCs w:val="24"/>
              </w:rPr>
              <w:t>Approċċ Standardizzat Simplifikat għar-Riskju ta’ Kreditu tal-Kontroparti;</w:t>
            </w:r>
          </w:p>
          <w:p w14:paraId="7A9DB046" w14:textId="7690E86C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Metodu tal-iskopertura oriġinali.</w:t>
            </w:r>
          </w:p>
        </w:tc>
      </w:tr>
      <w:tr w:rsidR="00F4754B" w:rsidRPr="00E75BB8" w14:paraId="0E0C8448" w14:textId="77777777" w:rsidTr="000B66BC">
        <w:tc>
          <w:tcPr>
            <w:tcW w:w="1730" w:type="dxa"/>
          </w:tcPr>
          <w:p w14:paraId="6C37BCD8" w14:textId="7BBC71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{0040;0010}</w:t>
            </w:r>
          </w:p>
        </w:tc>
        <w:tc>
          <w:tcPr>
            <w:tcW w:w="7308" w:type="dxa"/>
          </w:tcPr>
          <w:p w14:paraId="3154A9B3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Tip ta’ istituzzjoni</w:t>
            </w:r>
          </w:p>
          <w:p w14:paraId="2C15E9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 għandha tikklassifika t-tip ta’ istituzzjoni tagħha skont il-kategoriji mogħtijin hawn taħt:</w:t>
            </w:r>
          </w:p>
          <w:p w14:paraId="5F9BB21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Servizzi bankarji universali (servizzji bankarji fil-livell tal-konsumatur/kummerċjali u ta’ investiment);</w:t>
            </w:r>
          </w:p>
          <w:p w14:paraId="730C89B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Servizzi bankarji fil-livell tal-konsumatur/kummerċjali;</w:t>
            </w:r>
          </w:p>
          <w:p w14:paraId="430C8F32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Servizzi bankarji ta’ investiment;</w:t>
            </w:r>
          </w:p>
          <w:p w14:paraId="53DE36EC" w14:textId="5929A7F1" w:rsidR="00875832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Sellief speċjalizzat;</w:t>
            </w:r>
          </w:p>
          <w:p w14:paraId="5E1BA609" w14:textId="30316771" w:rsidR="005D66B3" w:rsidRPr="000B66BC" w:rsidRDefault="0054684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    Istituzzjonijiet ta’ kreditu għall-iżvilupp pubbliku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55C552F6" w14:textId="725A2101" w:rsidR="00BE6AC4" w:rsidRPr="000B66BC" w:rsidRDefault="00875832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Mudell kummerċjali ieħor.</w:t>
            </w:r>
          </w:p>
        </w:tc>
      </w:tr>
      <w:tr w:rsidR="006316AD" w:rsidRPr="00E75BB8" w14:paraId="46E27CC1" w14:textId="77777777" w:rsidTr="000B66BC">
        <w:tc>
          <w:tcPr>
            <w:tcW w:w="1730" w:type="dxa"/>
          </w:tcPr>
          <w:p w14:paraId="113B7AA0" w14:textId="48CFB31B" w:rsidR="006316AD" w:rsidRPr="000B66BC" w:rsidRDefault="006316A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{0070;0010}</w:t>
            </w:r>
          </w:p>
        </w:tc>
        <w:tc>
          <w:tcPr>
            <w:tcW w:w="7308" w:type="dxa"/>
          </w:tcPr>
          <w:p w14:paraId="31DC1601" w14:textId="77777777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Istituzzjoni b’unità għall-iżvilupp pubbliku</w:t>
            </w:r>
          </w:p>
          <w:p w14:paraId="6D39363C" w14:textId="06B12418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li mhumiex istituzzjonijiet ta’ kreditu għall-iżvilupp pubbliku għandhom jindikaw jekk għandhomx unità għall-iżvilupp pubbliku.</w:t>
            </w:r>
          </w:p>
        </w:tc>
      </w:tr>
      <w:tr w:rsidR="003A13D1" w:rsidRPr="00E75BB8" w14:paraId="2CDC3E13" w14:textId="77777777" w:rsidTr="000B66BC">
        <w:tc>
          <w:tcPr>
            <w:tcW w:w="1730" w:type="dxa"/>
          </w:tcPr>
          <w:p w14:paraId="79D8D3BF" w14:textId="5989EBFA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{0080;0010},</w:t>
            </w:r>
          </w:p>
          <w:p w14:paraId="0E404C36" w14:textId="3C546BDB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{00090;0010},</w:t>
            </w:r>
          </w:p>
          <w:p w14:paraId="53B876FA" w14:textId="06E5D9AE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{0100;0010}</w:t>
            </w:r>
          </w:p>
        </w:tc>
        <w:tc>
          <w:tcPr>
            <w:tcW w:w="7308" w:type="dxa"/>
          </w:tcPr>
          <w:p w14:paraId="66B939F9" w14:textId="34002445" w:rsidR="003A13D1" w:rsidRPr="000B66BC" w:rsidRDefault="003A13D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Entità li tiggarantixxi l-istituzzjoni/unità ta’ kreditu għall-iżvilupp pubbliku skont il-punt (d) tal-Artikolu 429a(2) CRR: Gvern ċentrali, Gvern reġjonali, Awtorità lokali</w:t>
            </w:r>
          </w:p>
          <w:p w14:paraId="5D4C6A0E" w14:textId="404D2BB3" w:rsidR="00092325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li jew huma istituzzjoni ta’ kreditu għall-iżvilupp pubbliku jew li għandhom unità għall-iżvilupp pubbliku għandhom jirrapportaw jekk humiex garantiti minn gvern ċentrali, gvern reġjonali jew awtorità lokali</w:t>
            </w:r>
          </w:p>
          <w:p w14:paraId="493FBA55" w14:textId="6B923AA1" w:rsidR="003B054D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jindikaw “VERU” fir-ringiela li tikkorrispondi għat-tip(i) applikabbli ta’ fornitur tal-protezzjoni jew inkella “FALZ”.</w:t>
            </w:r>
          </w:p>
        </w:tc>
      </w:tr>
      <w:tr w:rsidR="00872B4A" w:rsidRPr="00E75BB8" w14:paraId="7B661A02" w14:textId="77777777" w:rsidTr="000B66BC">
        <w:tc>
          <w:tcPr>
            <w:tcW w:w="1730" w:type="dxa"/>
          </w:tcPr>
          <w:p w14:paraId="184627A9" w14:textId="01E80B34" w:rsidR="00872B4A" w:rsidRPr="000B66BC" w:rsidRDefault="008551A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</w:t>
            </w:r>
          </w:p>
        </w:tc>
        <w:tc>
          <w:tcPr>
            <w:tcW w:w="7308" w:type="dxa"/>
          </w:tcPr>
          <w:p w14:paraId="763F7485" w14:textId="7D0968A1" w:rsidR="00B04A5F" w:rsidRPr="000B66BC" w:rsidRDefault="00B132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 ċentrali li jiggarantixxi l-istituzzjonijiet/unità ta’ kreditu għall-iżvilupp pubbliku</w:t>
            </w:r>
          </w:p>
        </w:tc>
      </w:tr>
      <w:tr w:rsidR="00B132DC" w:rsidRPr="00E75BB8" w14:paraId="355B1E3D" w14:textId="77777777" w:rsidTr="000B66BC">
        <w:tc>
          <w:tcPr>
            <w:tcW w:w="1730" w:type="dxa"/>
          </w:tcPr>
          <w:p w14:paraId="1700BD22" w14:textId="1957DAF2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{0090;0010}</w:t>
            </w:r>
          </w:p>
        </w:tc>
        <w:tc>
          <w:tcPr>
            <w:tcW w:w="7308" w:type="dxa"/>
          </w:tcPr>
          <w:p w14:paraId="12648551" w14:textId="723AC193" w:rsidR="00B132DC" w:rsidRPr="000B66BC" w:rsidRDefault="000A5B0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Gvern reġjonali li jiggarantixxi l-istituzzjonijiet/unità ta’ kreditu għall-iżvilupp pubbliku</w:t>
            </w:r>
          </w:p>
        </w:tc>
      </w:tr>
      <w:tr w:rsidR="00B132DC" w:rsidRPr="00E75BB8" w14:paraId="261210F5" w14:textId="77777777" w:rsidTr="000B66BC">
        <w:tc>
          <w:tcPr>
            <w:tcW w:w="1730" w:type="dxa"/>
          </w:tcPr>
          <w:p w14:paraId="03A3CB47" w14:textId="5C79DC97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{0100;0010}</w:t>
            </w:r>
          </w:p>
        </w:tc>
        <w:tc>
          <w:tcPr>
            <w:tcW w:w="7308" w:type="dxa"/>
          </w:tcPr>
          <w:p w14:paraId="3DBA105A" w14:textId="07763F33" w:rsidR="00B132DC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Awtorità lokali li tiggarantixxi l-istituzzjonijiet/unità ta’ kreditu għall-iżvilupp pubbliku</w:t>
            </w:r>
          </w:p>
        </w:tc>
      </w:tr>
      <w:tr w:rsidR="003B054D" w:rsidRPr="00E75BB8" w14:paraId="34258127" w14:textId="77777777" w:rsidTr="000B66BC">
        <w:tc>
          <w:tcPr>
            <w:tcW w:w="1730" w:type="dxa"/>
          </w:tcPr>
          <w:p w14:paraId="35F9E1F6" w14:textId="4B3A5235" w:rsidR="003B054D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{0110;0010};</w:t>
            </w:r>
          </w:p>
          <w:p w14:paraId="4E5E6B84" w14:textId="41699235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{0120;0010};</w:t>
            </w:r>
          </w:p>
          <w:p w14:paraId="174F75EE" w14:textId="42C2EAF1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{0130;0010}</w:t>
            </w:r>
          </w:p>
        </w:tc>
        <w:tc>
          <w:tcPr>
            <w:tcW w:w="7308" w:type="dxa"/>
          </w:tcPr>
          <w:p w14:paraId="5E6BF02B" w14:textId="047C2CDB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Tip ta’ garanzija riċevuta skont il-punt (d) tal-Artikolu 429a(2) CRR</w:t>
            </w:r>
          </w:p>
          <w:p w14:paraId="6AD424FF" w14:textId="63E03310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L-istituzzjonijiet li jew huma istituzzjoni ta’ kreditu għall-iżvilupp pubbliku jew li għandhom unità għall-iżvilupp pubbliku għandhom jirrapportaw it-tip ta’ protezzjoni riċevuta</w:t>
            </w:r>
          </w:p>
          <w:p w14:paraId="70381FB6" w14:textId="2B13E154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għandhom jindikaw “VERU” fir-ringiela li tikkorrispondi għat-tip(i) ta’ protezzjoni applikabbli jew inkella “FALZ”.</w:t>
            </w:r>
          </w:p>
        </w:tc>
      </w:tr>
      <w:tr w:rsidR="004D70D0" w:rsidRPr="00E75BB8" w14:paraId="049655D5" w14:textId="77777777" w:rsidTr="000B66BC">
        <w:tc>
          <w:tcPr>
            <w:tcW w:w="1730" w:type="dxa"/>
          </w:tcPr>
          <w:p w14:paraId="1DD88EB6" w14:textId="02D4AA7C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{0110;0010}</w:t>
            </w:r>
          </w:p>
        </w:tc>
        <w:tc>
          <w:tcPr>
            <w:tcW w:w="7308" w:type="dxa"/>
          </w:tcPr>
          <w:p w14:paraId="29D5A7E2" w14:textId="34B8184D" w:rsidR="004D70D0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Obbligu li tiġi protetta l-vijabbiltà tal-istituzzjonijiet ta’ kreditu</w:t>
            </w:r>
          </w:p>
        </w:tc>
      </w:tr>
      <w:tr w:rsidR="004D70D0" w:rsidRPr="00E75BB8" w14:paraId="4796D2E1" w14:textId="77777777" w:rsidTr="000B66BC">
        <w:tc>
          <w:tcPr>
            <w:tcW w:w="1730" w:type="dxa"/>
          </w:tcPr>
          <w:p w14:paraId="16677FDC" w14:textId="37E0FCCD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</w:t>
            </w:r>
          </w:p>
        </w:tc>
        <w:tc>
          <w:tcPr>
            <w:tcW w:w="7308" w:type="dxa"/>
          </w:tcPr>
          <w:p w14:paraId="01E19ED4" w14:textId="2C530F26" w:rsidR="00F966C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Garanzija diretta tar-rekwiżiti ta’ fondi proprji tal-istituzzjonijiet ta’ kreditu, rekwiżiti ta’ finanzjament jew self promozzjonali mogħti</w:t>
            </w:r>
          </w:p>
        </w:tc>
      </w:tr>
      <w:tr w:rsidR="004D70D0" w:rsidRPr="00E75BB8" w14:paraId="5FD34A30" w14:textId="77777777" w:rsidTr="000B66BC">
        <w:tc>
          <w:tcPr>
            <w:tcW w:w="1730" w:type="dxa"/>
          </w:tcPr>
          <w:p w14:paraId="0024CD7F" w14:textId="224F79CB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308" w:type="dxa"/>
          </w:tcPr>
          <w:p w14:paraId="6809ECEE" w14:textId="15891213" w:rsidR="002C169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Garanzija indiretta tar-rekwiżiti ta’ fondi proprji tal-istituzzjonijiet ta’ kreditu, rekwiżiti ta’ finanzjament jew self promozzjonali mogħti</w:t>
            </w:r>
          </w:p>
        </w:tc>
      </w:tr>
    </w:tbl>
    <w:p w14:paraId="47D20A93" w14:textId="77777777" w:rsidR="00565261" w:rsidRPr="000B66BC" w:rsidRDefault="00565261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0E59FFDF" w14:textId="35DCDD76" w:rsidR="00700DB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79" w:name="_Toc58574781"/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ab/>
        <w:t>C 48.00 Volatilità tal-proporzjon ta’ ingranaġġ (LR6)</w:t>
      </w:r>
      <w:bookmarkEnd w:id="79"/>
    </w:p>
    <w:p w14:paraId="4D3787F1" w14:textId="2C3256EB" w:rsidR="00700DB7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>
        <w:rPr>
          <w:rFonts w:ascii="Times New Roman" w:hAnsi="Times New Roman"/>
          <w:sz w:val="24"/>
          <w:szCs w:val="24"/>
        </w:rPr>
        <w:tab/>
        <w:t xml:space="preserve">L-informazzjoni tinġabar għall-finijiet tal-monitoraġġ tal-volatilità tal-proporzjon ta’ ingranaġġ. L-informazzjoni għandha tkun irrapportata biss minn istituzzjonijiet kbar. </w:t>
      </w:r>
    </w:p>
    <w:p w14:paraId="16B16093" w14:textId="5ABFB2E9" w:rsidR="000472E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0" w:name="_Toc58574782"/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ab/>
        <w:t>C 48.01 Volatilità tal-proporzjon ta’ ingranaġġ: Valur medju għall-perjodu ta’ rapportar</w:t>
      </w:r>
      <w:bookmarkEnd w:id="80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0A7DE43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83A63B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Ringiela </w:t>
            </w:r>
          </w:p>
          <w:p w14:paraId="188CF35D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 kolonna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0E6A9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Struzzjonijiet</w:t>
            </w:r>
          </w:p>
        </w:tc>
      </w:tr>
      <w:tr w:rsidR="001D7541" w:rsidRPr="00E75BB8" w14:paraId="7E8A2B67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17E1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DCEA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Valur medju għall-perjodu ta’ rapportar - Valur tal-iskopertura tal-SFTs</w:t>
            </w:r>
          </w:p>
          <w:p w14:paraId="27CD001D" w14:textId="4B020038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għandhom jirrapportaw il-medja tal-valuri ta’ kuljum tat-trimestru tar-rapportar tal-valur tal-iskopertura tal-SFT nett tal-komponent eżentat tas-CCP tal-iskoperturi ta’ negozju kklirjati għall-klijent kif definit fir-ringieli 0010 u 0050 tal-formola C47.00.</w:t>
            </w:r>
          </w:p>
        </w:tc>
      </w:tr>
      <w:tr w:rsidR="001D7541" w:rsidRPr="00E75BB8" w14:paraId="4C36FCA0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A94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827F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Valur medju għall-perjodu ta’ rapportar – Aġġustamenti għal tranżazzjonijiet kontabilistiċi tal-bejgħ tal-SFT </w:t>
            </w:r>
          </w:p>
          <w:p w14:paraId="53B119C8" w14:textId="5C8C9F92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il-medja tal-valuri ta’ kuljum tat-trimestru tar-rapportar tal-aġġustamenti għat-tranżazzjonijiet kontabilistiċi tal-bejgħ tal-SFT kif definit fir-ringiela 0230 tal-formola C47.00.</w:t>
            </w:r>
          </w:p>
        </w:tc>
      </w:tr>
    </w:tbl>
    <w:p w14:paraId="74866056" w14:textId="69DED7CA" w:rsidR="000472E7" w:rsidRPr="000B66BC" w:rsidRDefault="000472E7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622AB7C1" w14:textId="0B8B7A60" w:rsidR="001D7541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1" w:name="_Toc58574783"/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ab/>
        <w:t>C 48.02 Volatilità tal-proporzjon ta’ ingranaġġ: Valuri ta’ kuljum għall-perjodu ta’ rapportar</w:t>
      </w:r>
      <w:bookmarkEnd w:id="81"/>
    </w:p>
    <w:p w14:paraId="1BD85257" w14:textId="38D419A9" w:rsidR="001D7541" w:rsidRPr="000B66BC" w:rsidRDefault="00FA475C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>
        <w:rPr>
          <w:rFonts w:ascii="Times New Roman" w:hAnsi="Times New Roman"/>
          <w:sz w:val="24"/>
          <w:szCs w:val="24"/>
        </w:rPr>
        <w:tab/>
        <w:t xml:space="preserve">Il-valuri ta’ kuljum matul it-trimestru għandhom jiġu rrapportati. </w:t>
      </w: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2AC7E93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717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Ringiela </w:t>
            </w:r>
          </w:p>
          <w:p w14:paraId="4A69CF6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 kolonna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6AF82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Struzzjonijiet</w:t>
            </w:r>
          </w:p>
        </w:tc>
      </w:tr>
      <w:tr w:rsidR="001D7541" w:rsidRPr="00E75BB8" w14:paraId="07392E1F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3E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BEFA" w14:textId="7EF262DA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Data ta’ referenza fil-perjodu ta’ rapportar</w:t>
            </w:r>
          </w:p>
          <w:p w14:paraId="11691437" w14:textId="6CB0BDCD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għandhom jirrapportaw id-data li għaliha jirreferi l-valur irrapportat ta’ kuljum. Kull jum tat-trimestru tar-rapportar għandu jiġi rrapportat.</w:t>
            </w:r>
          </w:p>
        </w:tc>
      </w:tr>
      <w:tr w:rsidR="001D7541" w:rsidRPr="00E75BB8" w14:paraId="1251FDD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EDA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D5C0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Valur tal-iskopertura tal-SFTs</w:t>
            </w:r>
          </w:p>
          <w:p w14:paraId="56D707C5" w14:textId="5C4FBC5B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L-istituzzjonijiet għandhom jirrapportaw il-valuri ta’ kuljum tat-trimestru tar-rapportar tal-valur tal-iskopertura tal-SFT nett mill-komponent eżentat tas-CCP tal-iskoperturi ta’ negozju kklirjati għall-klijent kif imsemmi fir-ringieli 0010 u 0050 tal-formola C47.00.</w:t>
            </w:r>
          </w:p>
        </w:tc>
      </w:tr>
      <w:tr w:rsidR="001D7541" w:rsidRPr="00E75BB8" w14:paraId="324DD46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7F5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{0010;0030}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8237" w14:textId="77777777" w:rsidR="001D7541" w:rsidRPr="000B66BC" w:rsidRDefault="00640D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Aġġustamenti għal tranżazzjonijiet kontabilistiċi ta’ bejgħ bħala SFT</w:t>
            </w:r>
          </w:p>
          <w:p w14:paraId="757C080D" w14:textId="2AD19378" w:rsidR="00926849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il-valuri ta’ kuljum tat-trimestru tar-rapportar tal-aġġustamenti għat-tranżazzjonijiet kontabilistiċi tal-bejgħ tal-SFT kif definit fir-ringiela 0230 tal-formola C 47.00.</w:t>
            </w:r>
          </w:p>
        </w:tc>
      </w:tr>
    </w:tbl>
    <w:p w14:paraId="49B21AC1" w14:textId="77777777" w:rsidR="0009615C" w:rsidRPr="000B66BC" w:rsidRDefault="0009615C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sectPr w:rsidR="0009615C" w:rsidRPr="000B66BC" w:rsidSect="005315D3">
      <w:footerReference w:type="default" r:id="rId16"/>
      <w:headerReference w:type="first" r:id="rId17"/>
      <w:footerReference w:type="first" r:id="rId18"/>
      <w:pgSz w:w="11906" w:h="16838" w:code="9"/>
      <w:pgMar w:top="1522" w:right="1418" w:bottom="1560" w:left="1418" w:header="851" w:footer="141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37872" w14:textId="77777777" w:rsidR="00881863" w:rsidRDefault="00881863">
      <w:r>
        <w:separator/>
      </w:r>
    </w:p>
  </w:endnote>
  <w:endnote w:type="continuationSeparator" w:id="0">
    <w:p w14:paraId="5FA72A43" w14:textId="77777777" w:rsidR="00881863" w:rsidRDefault="00881863">
      <w:r>
        <w:continuationSeparator/>
      </w:r>
    </w:p>
  </w:endnote>
  <w:endnote w:type="continuationNotice" w:id="1">
    <w:p w14:paraId="37556CA5" w14:textId="77777777" w:rsidR="00881863" w:rsidRDefault="00881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4BDAE" w14:textId="77777777" w:rsidR="00881863" w:rsidRDefault="008818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160F" w14:textId="2B225E98" w:rsidR="00881863" w:rsidRPr="00A772B4" w:rsidRDefault="0088186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 w:rsidRPr="00A772B4">
      <w:rPr>
        <w:rFonts w:ascii="Times New Roman" w:hAnsi="Times New Roman"/>
      </w:rPr>
      <w:fldChar w:fldCharType="end"/>
    </w:r>
  </w:p>
  <w:p w14:paraId="2D971917" w14:textId="77777777" w:rsidR="00881863" w:rsidRDefault="008818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053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7655A" w14:textId="076232ED" w:rsidR="00881863" w:rsidRDefault="008818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AA5">
          <w:rPr>
            <w:noProof/>
          </w:rPr>
          <w:t>1</w:t>
        </w:r>
        <w:r>
          <w:fldChar w:fldCharType="end"/>
        </w:r>
      </w:p>
    </w:sdtContent>
  </w:sdt>
  <w:p w14:paraId="3D7804EA" w14:textId="77777777" w:rsidR="00881863" w:rsidRDefault="0088186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17201704"/>
      <w:docPartObj>
        <w:docPartGallery w:val="Page Numbers (Bottom of Page)"/>
        <w:docPartUnique/>
      </w:docPartObj>
    </w:sdtPr>
    <w:sdtContent>
      <w:p w14:paraId="3FFD22B5" w14:textId="773160DD" w:rsidR="00881863" w:rsidRPr="009A78F0" w:rsidRDefault="00881863" w:rsidP="009A78F0">
        <w:pPr>
          <w:pStyle w:val="Footer"/>
          <w:spacing w:line="240" w:lineRule="auto"/>
          <w:jc w:val="center"/>
          <w:rPr>
            <w:rFonts w:ascii="Times New Roman" w:hAnsi="Times New Roman"/>
            <w:sz w:val="20"/>
          </w:rPr>
        </w:pPr>
        <w:r w:rsidRPr="009A78F0">
          <w:rPr>
            <w:rFonts w:ascii="Times New Roman" w:hAnsi="Times New Roman"/>
            <w:sz w:val="20"/>
          </w:rPr>
          <w:fldChar w:fldCharType="begin"/>
        </w:r>
        <w:r w:rsidRPr="009A78F0">
          <w:rPr>
            <w:rFonts w:ascii="Times New Roman" w:hAnsi="Times New Roman"/>
            <w:sz w:val="20"/>
          </w:rPr>
          <w:instrText xml:space="preserve"> PAGE   \* MERGEFORMAT </w:instrText>
        </w:r>
        <w:r w:rsidRPr="009A78F0">
          <w:rPr>
            <w:rFonts w:ascii="Times New Roman" w:hAnsi="Times New Roman"/>
            <w:sz w:val="20"/>
          </w:rPr>
          <w:fldChar w:fldCharType="separate"/>
        </w:r>
        <w:r w:rsidR="00951AA5">
          <w:rPr>
            <w:rFonts w:ascii="Times New Roman" w:hAnsi="Times New Roman"/>
            <w:noProof/>
            <w:sz w:val="20"/>
          </w:rPr>
          <w:t>71</w:t>
        </w:r>
        <w:r w:rsidRPr="009A78F0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Content>
      <w:p w14:paraId="58D08035" w14:textId="77777777" w:rsidR="00881863" w:rsidRDefault="008818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51D344E0" w14:textId="77777777" w:rsidR="00881863" w:rsidRDefault="00881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8B045" w14:textId="77777777" w:rsidR="00881863" w:rsidRPr="004D223F" w:rsidRDefault="00881863" w:rsidP="00C7701D">
      <w:r>
        <w:continuationSeparator/>
      </w:r>
    </w:p>
  </w:footnote>
  <w:footnote w:type="continuationSeparator" w:id="0">
    <w:p w14:paraId="7AD75631" w14:textId="77777777" w:rsidR="00881863" w:rsidRDefault="00881863">
      <w:r>
        <w:continuationSeparator/>
      </w:r>
    </w:p>
  </w:footnote>
  <w:footnote w:type="continuationNotice" w:id="1">
    <w:p w14:paraId="0E3C9440" w14:textId="77777777" w:rsidR="00881863" w:rsidRDefault="00881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359B9" w14:textId="77777777" w:rsidR="00881863" w:rsidRDefault="008818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F71AD" w14:textId="77777777" w:rsidR="00881863" w:rsidRPr="00B93D0F" w:rsidRDefault="00881863" w:rsidP="00B93D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32A18" w14:textId="6DF5D568" w:rsidR="00881863" w:rsidRPr="000B66BC" w:rsidRDefault="00881863" w:rsidP="000B66B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B18FA" w14:textId="77777777" w:rsidR="00881863" w:rsidRDefault="00881863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724668FC" wp14:editId="123690D9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08C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530A286E" w14:textId="77777777" w:rsidR="00881863" w:rsidRDefault="00881863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653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1F1B7365"/>
    <w:multiLevelType w:val="hybridMultilevel"/>
    <w:tmpl w:val="60F28E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25C4782E"/>
    <w:multiLevelType w:val="hybridMultilevel"/>
    <w:tmpl w:val="E9340D3E"/>
    <w:lvl w:ilvl="0" w:tplc="69B0F6B4">
      <w:start w:val="1"/>
      <w:numFmt w:val="decimal"/>
      <w:lvlText w:val="%1."/>
      <w:lvlJc w:val="left"/>
      <w:pPr>
        <w:ind w:left="107" w:hanging="432"/>
      </w:pPr>
      <w:rPr>
        <w:rFonts w:ascii="Times New Roman" w:eastAsia="Cambria" w:hAnsi="Times New Roman" w:cs="Times New Roman" w:hint="default"/>
        <w:w w:val="99"/>
        <w:sz w:val="24"/>
        <w:szCs w:val="24"/>
        <w:lang w:val="en-US" w:eastAsia="en-US" w:bidi="en-US"/>
      </w:rPr>
    </w:lvl>
    <w:lvl w:ilvl="1" w:tplc="769CDF62">
      <w:numFmt w:val="bullet"/>
      <w:lvlText w:val="•"/>
      <w:lvlJc w:val="left"/>
      <w:pPr>
        <w:ind w:left="1032" w:hanging="432"/>
      </w:pPr>
      <w:rPr>
        <w:lang w:val="en-US" w:eastAsia="en-US" w:bidi="en-US"/>
      </w:rPr>
    </w:lvl>
    <w:lvl w:ilvl="2" w:tplc="6D28036C">
      <w:numFmt w:val="bullet"/>
      <w:lvlText w:val="•"/>
      <w:lvlJc w:val="left"/>
      <w:pPr>
        <w:ind w:left="1965" w:hanging="432"/>
      </w:pPr>
      <w:rPr>
        <w:lang w:val="en-US" w:eastAsia="en-US" w:bidi="en-US"/>
      </w:rPr>
    </w:lvl>
    <w:lvl w:ilvl="3" w:tplc="A2FC0E62">
      <w:numFmt w:val="bullet"/>
      <w:lvlText w:val="•"/>
      <w:lvlJc w:val="left"/>
      <w:pPr>
        <w:ind w:left="2897" w:hanging="432"/>
      </w:pPr>
      <w:rPr>
        <w:lang w:val="en-US" w:eastAsia="en-US" w:bidi="en-US"/>
      </w:rPr>
    </w:lvl>
    <w:lvl w:ilvl="4" w:tplc="421C7C0E">
      <w:numFmt w:val="bullet"/>
      <w:lvlText w:val="•"/>
      <w:lvlJc w:val="left"/>
      <w:pPr>
        <w:ind w:left="3830" w:hanging="432"/>
      </w:pPr>
      <w:rPr>
        <w:lang w:val="en-US" w:eastAsia="en-US" w:bidi="en-US"/>
      </w:rPr>
    </w:lvl>
    <w:lvl w:ilvl="5" w:tplc="9D64ABBC">
      <w:numFmt w:val="bullet"/>
      <w:lvlText w:val="•"/>
      <w:lvlJc w:val="left"/>
      <w:pPr>
        <w:ind w:left="4762" w:hanging="432"/>
      </w:pPr>
      <w:rPr>
        <w:lang w:val="en-US" w:eastAsia="en-US" w:bidi="en-US"/>
      </w:rPr>
    </w:lvl>
    <w:lvl w:ilvl="6" w:tplc="E174AD06">
      <w:numFmt w:val="bullet"/>
      <w:lvlText w:val="•"/>
      <w:lvlJc w:val="left"/>
      <w:pPr>
        <w:ind w:left="5695" w:hanging="432"/>
      </w:pPr>
      <w:rPr>
        <w:lang w:val="en-US" w:eastAsia="en-US" w:bidi="en-US"/>
      </w:rPr>
    </w:lvl>
    <w:lvl w:ilvl="7" w:tplc="6A526752">
      <w:numFmt w:val="bullet"/>
      <w:lvlText w:val="•"/>
      <w:lvlJc w:val="left"/>
      <w:pPr>
        <w:ind w:left="6627" w:hanging="432"/>
      </w:pPr>
      <w:rPr>
        <w:lang w:val="en-US" w:eastAsia="en-US" w:bidi="en-US"/>
      </w:rPr>
    </w:lvl>
    <w:lvl w:ilvl="8" w:tplc="203ACF58">
      <w:numFmt w:val="bullet"/>
      <w:lvlText w:val="•"/>
      <w:lvlJc w:val="left"/>
      <w:pPr>
        <w:ind w:left="7560" w:hanging="432"/>
      </w:pPr>
      <w:rPr>
        <w:lang w:val="en-US" w:eastAsia="en-US" w:bidi="en-US"/>
      </w:rPr>
    </w:lvl>
  </w:abstractNum>
  <w:abstractNum w:abstractNumId="12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66497"/>
    <w:multiLevelType w:val="hybridMultilevel"/>
    <w:tmpl w:val="8A1E4BD4"/>
    <w:lvl w:ilvl="0" w:tplc="0809001B">
      <w:start w:val="1"/>
      <w:numFmt w:val="lowerRoman"/>
      <w:lvlText w:val="%1."/>
      <w:lvlJc w:val="right"/>
      <w:pPr>
        <w:ind w:left="827" w:hanging="360"/>
      </w:pPr>
    </w:lvl>
    <w:lvl w:ilvl="1" w:tplc="08090019">
      <w:start w:val="1"/>
      <w:numFmt w:val="lowerLetter"/>
      <w:lvlText w:val="%2."/>
      <w:lvlJc w:val="left"/>
      <w:pPr>
        <w:ind w:left="1547" w:hanging="360"/>
      </w:pPr>
    </w:lvl>
    <w:lvl w:ilvl="2" w:tplc="0809001B">
      <w:start w:val="1"/>
      <w:numFmt w:val="lowerRoman"/>
      <w:lvlText w:val="%3."/>
      <w:lvlJc w:val="right"/>
      <w:pPr>
        <w:ind w:left="2267" w:hanging="180"/>
      </w:pPr>
    </w:lvl>
    <w:lvl w:ilvl="3" w:tplc="0809000F">
      <w:start w:val="1"/>
      <w:numFmt w:val="decimal"/>
      <w:lvlText w:val="%4."/>
      <w:lvlJc w:val="left"/>
      <w:pPr>
        <w:ind w:left="2987" w:hanging="360"/>
      </w:pPr>
    </w:lvl>
    <w:lvl w:ilvl="4" w:tplc="08090019">
      <w:start w:val="1"/>
      <w:numFmt w:val="lowerLetter"/>
      <w:lvlText w:val="%5."/>
      <w:lvlJc w:val="left"/>
      <w:pPr>
        <w:ind w:left="3707" w:hanging="360"/>
      </w:pPr>
    </w:lvl>
    <w:lvl w:ilvl="5" w:tplc="0809001B">
      <w:start w:val="1"/>
      <w:numFmt w:val="lowerRoman"/>
      <w:lvlText w:val="%6."/>
      <w:lvlJc w:val="right"/>
      <w:pPr>
        <w:ind w:left="4427" w:hanging="180"/>
      </w:pPr>
    </w:lvl>
    <w:lvl w:ilvl="6" w:tplc="0809000F">
      <w:start w:val="1"/>
      <w:numFmt w:val="decimal"/>
      <w:lvlText w:val="%7."/>
      <w:lvlJc w:val="left"/>
      <w:pPr>
        <w:ind w:left="5147" w:hanging="360"/>
      </w:pPr>
    </w:lvl>
    <w:lvl w:ilvl="7" w:tplc="08090019">
      <w:start w:val="1"/>
      <w:numFmt w:val="lowerLetter"/>
      <w:lvlText w:val="%8."/>
      <w:lvlJc w:val="left"/>
      <w:pPr>
        <w:ind w:left="5867" w:hanging="360"/>
      </w:pPr>
    </w:lvl>
    <w:lvl w:ilvl="8" w:tplc="0809001B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1E79A8"/>
    <w:multiLevelType w:val="multilevel"/>
    <w:tmpl w:val="DE88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3057CB8"/>
    <w:multiLevelType w:val="hybridMultilevel"/>
    <w:tmpl w:val="2698E4A4"/>
    <w:lvl w:ilvl="0" w:tplc="8FD0AD34">
      <w:start w:val="1"/>
      <w:numFmt w:val="decimal"/>
      <w:pStyle w:val="InstructionsText2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2032807"/>
    <w:multiLevelType w:val="hybridMultilevel"/>
    <w:tmpl w:val="9F3423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3" w15:restartNumberingAfterBreak="0">
    <w:nsid w:val="452C66B8"/>
    <w:multiLevelType w:val="hybridMultilevel"/>
    <w:tmpl w:val="D134736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227369"/>
    <w:multiLevelType w:val="hybridMultilevel"/>
    <w:tmpl w:val="88A482EC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54905"/>
    <w:multiLevelType w:val="hybridMultilevel"/>
    <w:tmpl w:val="33709D28"/>
    <w:lvl w:ilvl="0" w:tplc="DBFAA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804A2"/>
    <w:multiLevelType w:val="hybridMultilevel"/>
    <w:tmpl w:val="E424B66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330B4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0117E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0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5" w15:restartNumberingAfterBreak="0">
    <w:nsid w:val="6A237D39"/>
    <w:multiLevelType w:val="hybridMultilevel"/>
    <w:tmpl w:val="517C8AE6"/>
    <w:lvl w:ilvl="0" w:tplc="3A5C5BF2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D76F86"/>
    <w:multiLevelType w:val="hybridMultilevel"/>
    <w:tmpl w:val="7CDEB7F8"/>
    <w:lvl w:ilvl="0" w:tplc="2510378A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52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3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FE66477"/>
    <w:multiLevelType w:val="hybridMultilevel"/>
    <w:tmpl w:val="000A00F6"/>
    <w:lvl w:ilvl="0" w:tplc="D7EC01F8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8"/>
  </w:num>
  <w:num w:numId="5">
    <w:abstractNumId w:val="3"/>
  </w:num>
  <w:num w:numId="6">
    <w:abstractNumId w:val="51"/>
  </w:num>
  <w:num w:numId="7">
    <w:abstractNumId w:val="1"/>
  </w:num>
  <w:num w:numId="8">
    <w:abstractNumId w:val="36"/>
  </w:num>
  <w:num w:numId="9">
    <w:abstractNumId w:val="50"/>
  </w:num>
  <w:num w:numId="10">
    <w:abstractNumId w:val="24"/>
  </w:num>
  <w:num w:numId="11">
    <w:abstractNumId w:val="43"/>
  </w:num>
  <w:num w:numId="12">
    <w:abstractNumId w:val="20"/>
  </w:num>
  <w:num w:numId="13">
    <w:abstractNumId w:val="49"/>
  </w:num>
  <w:num w:numId="14">
    <w:abstractNumId w:val="7"/>
  </w:num>
  <w:num w:numId="15">
    <w:abstractNumId w:val="38"/>
  </w:num>
  <w:num w:numId="16">
    <w:abstractNumId w:val="19"/>
  </w:num>
  <w:num w:numId="17">
    <w:abstractNumId w:val="29"/>
  </w:num>
  <w:num w:numId="18">
    <w:abstractNumId w:val="15"/>
  </w:num>
  <w:num w:numId="19">
    <w:abstractNumId w:val="41"/>
  </w:num>
  <w:num w:numId="20">
    <w:abstractNumId w:val="35"/>
  </w:num>
  <w:num w:numId="21">
    <w:abstractNumId w:val="17"/>
  </w:num>
  <w:num w:numId="22">
    <w:abstractNumId w:val="28"/>
  </w:num>
  <w:num w:numId="23">
    <w:abstractNumId w:val="44"/>
  </w:num>
  <w:num w:numId="24">
    <w:abstractNumId w:val="5"/>
  </w:num>
  <w:num w:numId="25">
    <w:abstractNumId w:val="32"/>
  </w:num>
  <w:num w:numId="26">
    <w:abstractNumId w:val="16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"/>
  </w:num>
  <w:num w:numId="33">
    <w:abstractNumId w:val="18"/>
  </w:num>
  <w:num w:numId="34">
    <w:abstractNumId w:val="37"/>
  </w:num>
  <w:num w:numId="35">
    <w:abstractNumId w:val="9"/>
  </w:num>
  <w:num w:numId="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23"/>
  </w:num>
  <w:num w:numId="40">
    <w:abstractNumId w:val="21"/>
  </w:num>
  <w:num w:numId="41">
    <w:abstractNumId w:val="30"/>
  </w:num>
  <w:num w:numId="42">
    <w:abstractNumId w:val="31"/>
  </w:num>
  <w:num w:numId="43">
    <w:abstractNumId w:val="39"/>
  </w:num>
  <w:num w:numId="44">
    <w:abstractNumId w:val="52"/>
  </w:num>
  <w:num w:numId="45">
    <w:abstractNumId w:val="42"/>
  </w:num>
  <w:num w:numId="46">
    <w:abstractNumId w:val="26"/>
  </w:num>
  <w:num w:numId="47">
    <w:abstractNumId w:val="40"/>
  </w:num>
  <w:num w:numId="48">
    <w:abstractNumId w:val="53"/>
  </w:num>
  <w:num w:numId="49">
    <w:abstractNumId w:val="13"/>
  </w:num>
  <w:num w:numId="50">
    <w:abstractNumId w:val="27"/>
  </w:num>
  <w:num w:numId="51">
    <w:abstractNumId w:val="48"/>
  </w:num>
  <w:num w:numId="52">
    <w:abstractNumId w:val="46"/>
  </w:num>
  <w:num w:numId="53">
    <w:abstractNumId w:val="25"/>
  </w:num>
  <w:num w:numId="54">
    <w:abstractNumId w:val="12"/>
  </w:num>
  <w:num w:numId="55">
    <w:abstractNumId w:val="4"/>
  </w:num>
  <w:num w:numId="56">
    <w:abstractNumId w:val="34"/>
  </w:num>
  <w:num w:numId="57">
    <w:abstractNumId w:val="6"/>
  </w:num>
  <w:num w:numId="58">
    <w:abstractNumId w:val="1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BE" w:vendorID="64" w:dllVersion="131078" w:nlCheck="1" w:checkStyle="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57345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6B9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0563"/>
    <w:rsid w:val="00011618"/>
    <w:rsid w:val="0001167D"/>
    <w:rsid w:val="00011688"/>
    <w:rsid w:val="00011BC9"/>
    <w:rsid w:val="00011E14"/>
    <w:rsid w:val="00012574"/>
    <w:rsid w:val="0001312C"/>
    <w:rsid w:val="0001525B"/>
    <w:rsid w:val="00015C89"/>
    <w:rsid w:val="000163CB"/>
    <w:rsid w:val="000164A2"/>
    <w:rsid w:val="00016AFB"/>
    <w:rsid w:val="00017C5E"/>
    <w:rsid w:val="00020486"/>
    <w:rsid w:val="00022D49"/>
    <w:rsid w:val="000236FF"/>
    <w:rsid w:val="00024D91"/>
    <w:rsid w:val="00026A1A"/>
    <w:rsid w:val="00030988"/>
    <w:rsid w:val="00030A95"/>
    <w:rsid w:val="00030CFF"/>
    <w:rsid w:val="00031FAA"/>
    <w:rsid w:val="00032D3D"/>
    <w:rsid w:val="00032DC0"/>
    <w:rsid w:val="0003735D"/>
    <w:rsid w:val="00037947"/>
    <w:rsid w:val="000448DD"/>
    <w:rsid w:val="00046DCF"/>
    <w:rsid w:val="000472E7"/>
    <w:rsid w:val="0004746E"/>
    <w:rsid w:val="00047A5F"/>
    <w:rsid w:val="000515A8"/>
    <w:rsid w:val="00053DFD"/>
    <w:rsid w:val="000544EF"/>
    <w:rsid w:val="000567CE"/>
    <w:rsid w:val="00057794"/>
    <w:rsid w:val="00057ECF"/>
    <w:rsid w:val="00057FDE"/>
    <w:rsid w:val="00060AEF"/>
    <w:rsid w:val="00060D86"/>
    <w:rsid w:val="00061569"/>
    <w:rsid w:val="00061696"/>
    <w:rsid w:val="00061FBE"/>
    <w:rsid w:val="0006345F"/>
    <w:rsid w:val="00064698"/>
    <w:rsid w:val="00070797"/>
    <w:rsid w:val="000708BE"/>
    <w:rsid w:val="0007247B"/>
    <w:rsid w:val="00072F44"/>
    <w:rsid w:val="0007350B"/>
    <w:rsid w:val="00075B1D"/>
    <w:rsid w:val="0007729E"/>
    <w:rsid w:val="00080B5B"/>
    <w:rsid w:val="00081D1E"/>
    <w:rsid w:val="00082D23"/>
    <w:rsid w:val="00082FFF"/>
    <w:rsid w:val="00083934"/>
    <w:rsid w:val="0008603A"/>
    <w:rsid w:val="00086398"/>
    <w:rsid w:val="00086418"/>
    <w:rsid w:val="000864F6"/>
    <w:rsid w:val="00086A8A"/>
    <w:rsid w:val="00087C56"/>
    <w:rsid w:val="00090312"/>
    <w:rsid w:val="00092325"/>
    <w:rsid w:val="00092348"/>
    <w:rsid w:val="000956D3"/>
    <w:rsid w:val="0009615C"/>
    <w:rsid w:val="000965C1"/>
    <w:rsid w:val="000971AD"/>
    <w:rsid w:val="000A14BE"/>
    <w:rsid w:val="000A1DC4"/>
    <w:rsid w:val="000A2489"/>
    <w:rsid w:val="000A32B5"/>
    <w:rsid w:val="000A359B"/>
    <w:rsid w:val="000A4658"/>
    <w:rsid w:val="000A486B"/>
    <w:rsid w:val="000A599E"/>
    <w:rsid w:val="000A5B0A"/>
    <w:rsid w:val="000A6437"/>
    <w:rsid w:val="000A6584"/>
    <w:rsid w:val="000A715B"/>
    <w:rsid w:val="000A7286"/>
    <w:rsid w:val="000A7330"/>
    <w:rsid w:val="000A78A1"/>
    <w:rsid w:val="000A7B45"/>
    <w:rsid w:val="000B0D11"/>
    <w:rsid w:val="000B108D"/>
    <w:rsid w:val="000B1619"/>
    <w:rsid w:val="000B2DD8"/>
    <w:rsid w:val="000B3EAC"/>
    <w:rsid w:val="000B46C7"/>
    <w:rsid w:val="000B4762"/>
    <w:rsid w:val="000B5580"/>
    <w:rsid w:val="000B5761"/>
    <w:rsid w:val="000B66BC"/>
    <w:rsid w:val="000B74A7"/>
    <w:rsid w:val="000B7D01"/>
    <w:rsid w:val="000C01E8"/>
    <w:rsid w:val="000C04BB"/>
    <w:rsid w:val="000C0B89"/>
    <w:rsid w:val="000C0D0F"/>
    <w:rsid w:val="000C216B"/>
    <w:rsid w:val="000C3F11"/>
    <w:rsid w:val="000C5068"/>
    <w:rsid w:val="000C6AAC"/>
    <w:rsid w:val="000D0106"/>
    <w:rsid w:val="000D1636"/>
    <w:rsid w:val="000D1827"/>
    <w:rsid w:val="000D1E6C"/>
    <w:rsid w:val="000D3973"/>
    <w:rsid w:val="000D44A0"/>
    <w:rsid w:val="000D5823"/>
    <w:rsid w:val="000D5FF7"/>
    <w:rsid w:val="000D6138"/>
    <w:rsid w:val="000D64CA"/>
    <w:rsid w:val="000D6823"/>
    <w:rsid w:val="000D6D58"/>
    <w:rsid w:val="000D77FB"/>
    <w:rsid w:val="000E083F"/>
    <w:rsid w:val="000E2D94"/>
    <w:rsid w:val="000E4713"/>
    <w:rsid w:val="000E4A3F"/>
    <w:rsid w:val="000E4B8D"/>
    <w:rsid w:val="000E5AAE"/>
    <w:rsid w:val="000E62A7"/>
    <w:rsid w:val="000E6617"/>
    <w:rsid w:val="000E6BF5"/>
    <w:rsid w:val="000E715A"/>
    <w:rsid w:val="000F1F74"/>
    <w:rsid w:val="000F26EF"/>
    <w:rsid w:val="000F4A4A"/>
    <w:rsid w:val="000F4B74"/>
    <w:rsid w:val="000F5958"/>
    <w:rsid w:val="000F5F49"/>
    <w:rsid w:val="000F74E8"/>
    <w:rsid w:val="000F7613"/>
    <w:rsid w:val="00100493"/>
    <w:rsid w:val="001005A7"/>
    <w:rsid w:val="00103902"/>
    <w:rsid w:val="00103B23"/>
    <w:rsid w:val="00110007"/>
    <w:rsid w:val="00110BC7"/>
    <w:rsid w:val="0011104F"/>
    <w:rsid w:val="00111F80"/>
    <w:rsid w:val="001120BB"/>
    <w:rsid w:val="001133CE"/>
    <w:rsid w:val="00114345"/>
    <w:rsid w:val="0011649C"/>
    <w:rsid w:val="00117248"/>
    <w:rsid w:val="00117791"/>
    <w:rsid w:val="001227AD"/>
    <w:rsid w:val="00123F45"/>
    <w:rsid w:val="00124715"/>
    <w:rsid w:val="00125BAF"/>
    <w:rsid w:val="00125CA1"/>
    <w:rsid w:val="00127AC7"/>
    <w:rsid w:val="001305CF"/>
    <w:rsid w:val="00130DD7"/>
    <w:rsid w:val="00130EEF"/>
    <w:rsid w:val="00131057"/>
    <w:rsid w:val="00131C70"/>
    <w:rsid w:val="00132069"/>
    <w:rsid w:val="00132855"/>
    <w:rsid w:val="00132A0E"/>
    <w:rsid w:val="00132FD2"/>
    <w:rsid w:val="00133533"/>
    <w:rsid w:val="00134551"/>
    <w:rsid w:val="00136A9C"/>
    <w:rsid w:val="00136C36"/>
    <w:rsid w:val="00136DF0"/>
    <w:rsid w:val="001376F7"/>
    <w:rsid w:val="001407E1"/>
    <w:rsid w:val="00141CCF"/>
    <w:rsid w:val="00141FF2"/>
    <w:rsid w:val="0014246F"/>
    <w:rsid w:val="00142881"/>
    <w:rsid w:val="00142ED4"/>
    <w:rsid w:val="00143338"/>
    <w:rsid w:val="00143A3F"/>
    <w:rsid w:val="00143C6A"/>
    <w:rsid w:val="0014449A"/>
    <w:rsid w:val="00145BAD"/>
    <w:rsid w:val="00146CA4"/>
    <w:rsid w:val="001475A2"/>
    <w:rsid w:val="00151462"/>
    <w:rsid w:val="00151D33"/>
    <w:rsid w:val="0015208B"/>
    <w:rsid w:val="001526B8"/>
    <w:rsid w:val="0015292D"/>
    <w:rsid w:val="00153F16"/>
    <w:rsid w:val="00154FCE"/>
    <w:rsid w:val="001572C1"/>
    <w:rsid w:val="0016100A"/>
    <w:rsid w:val="001612FD"/>
    <w:rsid w:val="001622F5"/>
    <w:rsid w:val="00162ABC"/>
    <w:rsid w:val="00164A3E"/>
    <w:rsid w:val="00164A9A"/>
    <w:rsid w:val="0016680C"/>
    <w:rsid w:val="00166A6F"/>
    <w:rsid w:val="00166C41"/>
    <w:rsid w:val="00167041"/>
    <w:rsid w:val="00167C21"/>
    <w:rsid w:val="00171C3F"/>
    <w:rsid w:val="00171C76"/>
    <w:rsid w:val="001720F3"/>
    <w:rsid w:val="001721BF"/>
    <w:rsid w:val="0017297A"/>
    <w:rsid w:val="00173FAA"/>
    <w:rsid w:val="00174252"/>
    <w:rsid w:val="001753D7"/>
    <w:rsid w:val="0017558C"/>
    <w:rsid w:val="00175A51"/>
    <w:rsid w:val="00180521"/>
    <w:rsid w:val="001807E9"/>
    <w:rsid w:val="001807ED"/>
    <w:rsid w:val="00180FB9"/>
    <w:rsid w:val="00181A8D"/>
    <w:rsid w:val="001849BA"/>
    <w:rsid w:val="00184D76"/>
    <w:rsid w:val="00185539"/>
    <w:rsid w:val="001857D7"/>
    <w:rsid w:val="001865CF"/>
    <w:rsid w:val="00186774"/>
    <w:rsid w:val="0018771D"/>
    <w:rsid w:val="00187E4B"/>
    <w:rsid w:val="00187ECA"/>
    <w:rsid w:val="001905AF"/>
    <w:rsid w:val="00191467"/>
    <w:rsid w:val="001914C6"/>
    <w:rsid w:val="00193425"/>
    <w:rsid w:val="001934AC"/>
    <w:rsid w:val="00193A99"/>
    <w:rsid w:val="001943A2"/>
    <w:rsid w:val="00195426"/>
    <w:rsid w:val="00197F19"/>
    <w:rsid w:val="001A012D"/>
    <w:rsid w:val="001A2ABA"/>
    <w:rsid w:val="001A46E4"/>
    <w:rsid w:val="001A7665"/>
    <w:rsid w:val="001A78C1"/>
    <w:rsid w:val="001B1458"/>
    <w:rsid w:val="001B2410"/>
    <w:rsid w:val="001B2D84"/>
    <w:rsid w:val="001B34D0"/>
    <w:rsid w:val="001B3BF0"/>
    <w:rsid w:val="001B7535"/>
    <w:rsid w:val="001C123F"/>
    <w:rsid w:val="001C2254"/>
    <w:rsid w:val="001C2537"/>
    <w:rsid w:val="001C27BF"/>
    <w:rsid w:val="001C50A4"/>
    <w:rsid w:val="001C5613"/>
    <w:rsid w:val="001C597D"/>
    <w:rsid w:val="001C791E"/>
    <w:rsid w:val="001D0DCE"/>
    <w:rsid w:val="001D1678"/>
    <w:rsid w:val="001D1AE1"/>
    <w:rsid w:val="001D36C8"/>
    <w:rsid w:val="001D386D"/>
    <w:rsid w:val="001D39F5"/>
    <w:rsid w:val="001D4A4A"/>
    <w:rsid w:val="001D4EC2"/>
    <w:rsid w:val="001D5CFB"/>
    <w:rsid w:val="001D629F"/>
    <w:rsid w:val="001D6F2F"/>
    <w:rsid w:val="001D7541"/>
    <w:rsid w:val="001D7778"/>
    <w:rsid w:val="001E19C2"/>
    <w:rsid w:val="001E1E08"/>
    <w:rsid w:val="001E4710"/>
    <w:rsid w:val="001E4BA5"/>
    <w:rsid w:val="001E58D0"/>
    <w:rsid w:val="001E5A9A"/>
    <w:rsid w:val="001E5F9C"/>
    <w:rsid w:val="001E7ADE"/>
    <w:rsid w:val="001F0676"/>
    <w:rsid w:val="001F0ECD"/>
    <w:rsid w:val="001F28C3"/>
    <w:rsid w:val="001F28E7"/>
    <w:rsid w:val="001F3810"/>
    <w:rsid w:val="001F3E84"/>
    <w:rsid w:val="001F4281"/>
    <w:rsid w:val="001F6203"/>
    <w:rsid w:val="001F7C68"/>
    <w:rsid w:val="001F7D7C"/>
    <w:rsid w:val="00201339"/>
    <w:rsid w:val="0020137F"/>
    <w:rsid w:val="00201643"/>
    <w:rsid w:val="00201AC3"/>
    <w:rsid w:val="002023F9"/>
    <w:rsid w:val="0020297E"/>
    <w:rsid w:val="002042A7"/>
    <w:rsid w:val="00204A81"/>
    <w:rsid w:val="00205B21"/>
    <w:rsid w:val="00206A85"/>
    <w:rsid w:val="00207482"/>
    <w:rsid w:val="00207901"/>
    <w:rsid w:val="002143BB"/>
    <w:rsid w:val="00214915"/>
    <w:rsid w:val="002149E4"/>
    <w:rsid w:val="00214D62"/>
    <w:rsid w:val="002161E2"/>
    <w:rsid w:val="002162B5"/>
    <w:rsid w:val="002172CC"/>
    <w:rsid w:val="00217B44"/>
    <w:rsid w:val="00217D1F"/>
    <w:rsid w:val="00220AA0"/>
    <w:rsid w:val="00222753"/>
    <w:rsid w:val="0022283C"/>
    <w:rsid w:val="0022597B"/>
    <w:rsid w:val="002262E5"/>
    <w:rsid w:val="002304E0"/>
    <w:rsid w:val="00231EBE"/>
    <w:rsid w:val="002323A0"/>
    <w:rsid w:val="00233A74"/>
    <w:rsid w:val="00235FBA"/>
    <w:rsid w:val="00237588"/>
    <w:rsid w:val="0023791C"/>
    <w:rsid w:val="00237DD1"/>
    <w:rsid w:val="0024092A"/>
    <w:rsid w:val="00240BF0"/>
    <w:rsid w:val="0024218B"/>
    <w:rsid w:val="00242493"/>
    <w:rsid w:val="00242D31"/>
    <w:rsid w:val="00243937"/>
    <w:rsid w:val="0024434F"/>
    <w:rsid w:val="00244966"/>
    <w:rsid w:val="0024511B"/>
    <w:rsid w:val="00245B16"/>
    <w:rsid w:val="00245CB1"/>
    <w:rsid w:val="00245EE3"/>
    <w:rsid w:val="002461BA"/>
    <w:rsid w:val="00247954"/>
    <w:rsid w:val="002509B1"/>
    <w:rsid w:val="00252F75"/>
    <w:rsid w:val="00253D80"/>
    <w:rsid w:val="00254983"/>
    <w:rsid w:val="00255202"/>
    <w:rsid w:val="002573FC"/>
    <w:rsid w:val="00260D4F"/>
    <w:rsid w:val="0026270F"/>
    <w:rsid w:val="0026336E"/>
    <w:rsid w:val="00264409"/>
    <w:rsid w:val="002662F0"/>
    <w:rsid w:val="002706B3"/>
    <w:rsid w:val="00270DBA"/>
    <w:rsid w:val="002710BE"/>
    <w:rsid w:val="00272017"/>
    <w:rsid w:val="00272210"/>
    <w:rsid w:val="00272715"/>
    <w:rsid w:val="0027305C"/>
    <w:rsid w:val="0027308B"/>
    <w:rsid w:val="002736E3"/>
    <w:rsid w:val="00275254"/>
    <w:rsid w:val="00275423"/>
    <w:rsid w:val="00275435"/>
    <w:rsid w:val="0027548E"/>
    <w:rsid w:val="00276DB0"/>
    <w:rsid w:val="00281660"/>
    <w:rsid w:val="0028217E"/>
    <w:rsid w:val="00286279"/>
    <w:rsid w:val="00287297"/>
    <w:rsid w:val="00287E34"/>
    <w:rsid w:val="002909B6"/>
    <w:rsid w:val="00291B93"/>
    <w:rsid w:val="002925F0"/>
    <w:rsid w:val="00292FC3"/>
    <w:rsid w:val="0029415C"/>
    <w:rsid w:val="002946C4"/>
    <w:rsid w:val="00294990"/>
    <w:rsid w:val="00295D7B"/>
    <w:rsid w:val="00297715"/>
    <w:rsid w:val="00297BC1"/>
    <w:rsid w:val="002A07A2"/>
    <w:rsid w:val="002A2841"/>
    <w:rsid w:val="002A28A2"/>
    <w:rsid w:val="002A29B1"/>
    <w:rsid w:val="002A536D"/>
    <w:rsid w:val="002A54FF"/>
    <w:rsid w:val="002A6ADE"/>
    <w:rsid w:val="002A6B55"/>
    <w:rsid w:val="002B009A"/>
    <w:rsid w:val="002B071B"/>
    <w:rsid w:val="002B0879"/>
    <w:rsid w:val="002B0936"/>
    <w:rsid w:val="002B0A4B"/>
    <w:rsid w:val="002B0AAC"/>
    <w:rsid w:val="002B34A4"/>
    <w:rsid w:val="002B3BEC"/>
    <w:rsid w:val="002B3FF4"/>
    <w:rsid w:val="002B70BC"/>
    <w:rsid w:val="002B7189"/>
    <w:rsid w:val="002B74C8"/>
    <w:rsid w:val="002C07EA"/>
    <w:rsid w:val="002C169A"/>
    <w:rsid w:val="002C1F24"/>
    <w:rsid w:val="002C4B54"/>
    <w:rsid w:val="002C5729"/>
    <w:rsid w:val="002C5782"/>
    <w:rsid w:val="002C5EF2"/>
    <w:rsid w:val="002C6238"/>
    <w:rsid w:val="002C6479"/>
    <w:rsid w:val="002C6D46"/>
    <w:rsid w:val="002C72C2"/>
    <w:rsid w:val="002D0276"/>
    <w:rsid w:val="002D1CE8"/>
    <w:rsid w:val="002D2944"/>
    <w:rsid w:val="002D3764"/>
    <w:rsid w:val="002D378E"/>
    <w:rsid w:val="002E1083"/>
    <w:rsid w:val="002E3728"/>
    <w:rsid w:val="002E3ED1"/>
    <w:rsid w:val="002E3FD6"/>
    <w:rsid w:val="002E6BDF"/>
    <w:rsid w:val="002E6BEF"/>
    <w:rsid w:val="002E721E"/>
    <w:rsid w:val="002F2179"/>
    <w:rsid w:val="002F3BA4"/>
    <w:rsid w:val="00300AA7"/>
    <w:rsid w:val="00300E22"/>
    <w:rsid w:val="0030136E"/>
    <w:rsid w:val="00301469"/>
    <w:rsid w:val="00301BEE"/>
    <w:rsid w:val="003027FE"/>
    <w:rsid w:val="00302FB6"/>
    <w:rsid w:val="003032DF"/>
    <w:rsid w:val="0030524E"/>
    <w:rsid w:val="0030642D"/>
    <w:rsid w:val="00307B4B"/>
    <w:rsid w:val="003113EE"/>
    <w:rsid w:val="00314716"/>
    <w:rsid w:val="00315160"/>
    <w:rsid w:val="00316050"/>
    <w:rsid w:val="003167BD"/>
    <w:rsid w:val="00316905"/>
    <w:rsid w:val="00317861"/>
    <w:rsid w:val="00317BCB"/>
    <w:rsid w:val="00321B6C"/>
    <w:rsid w:val="00321D7D"/>
    <w:rsid w:val="003231FC"/>
    <w:rsid w:val="0032369D"/>
    <w:rsid w:val="003236C2"/>
    <w:rsid w:val="00324840"/>
    <w:rsid w:val="00324993"/>
    <w:rsid w:val="003260D7"/>
    <w:rsid w:val="003264FC"/>
    <w:rsid w:val="0032786A"/>
    <w:rsid w:val="003310AE"/>
    <w:rsid w:val="003335A9"/>
    <w:rsid w:val="00334535"/>
    <w:rsid w:val="0033504B"/>
    <w:rsid w:val="003353A9"/>
    <w:rsid w:val="003355CE"/>
    <w:rsid w:val="003358B6"/>
    <w:rsid w:val="0033642B"/>
    <w:rsid w:val="003371AF"/>
    <w:rsid w:val="003405E7"/>
    <w:rsid w:val="00340711"/>
    <w:rsid w:val="003411F8"/>
    <w:rsid w:val="00341560"/>
    <w:rsid w:val="003418AD"/>
    <w:rsid w:val="0034348F"/>
    <w:rsid w:val="00344611"/>
    <w:rsid w:val="00345499"/>
    <w:rsid w:val="003475AF"/>
    <w:rsid w:val="00350419"/>
    <w:rsid w:val="00350D74"/>
    <w:rsid w:val="00352D4B"/>
    <w:rsid w:val="00354188"/>
    <w:rsid w:val="003546F2"/>
    <w:rsid w:val="0036007F"/>
    <w:rsid w:val="00360553"/>
    <w:rsid w:val="00360A3D"/>
    <w:rsid w:val="00361101"/>
    <w:rsid w:val="00364DD5"/>
    <w:rsid w:val="0037059A"/>
    <w:rsid w:val="003706AB"/>
    <w:rsid w:val="00371745"/>
    <w:rsid w:val="003718C7"/>
    <w:rsid w:val="003723CD"/>
    <w:rsid w:val="003732F8"/>
    <w:rsid w:val="00373CFA"/>
    <w:rsid w:val="003758DF"/>
    <w:rsid w:val="00376911"/>
    <w:rsid w:val="0037735D"/>
    <w:rsid w:val="00381146"/>
    <w:rsid w:val="00381582"/>
    <w:rsid w:val="00384B0B"/>
    <w:rsid w:val="00384D30"/>
    <w:rsid w:val="00385061"/>
    <w:rsid w:val="003869D4"/>
    <w:rsid w:val="00386CDA"/>
    <w:rsid w:val="00387DC5"/>
    <w:rsid w:val="00390B64"/>
    <w:rsid w:val="00390B7F"/>
    <w:rsid w:val="00391EF9"/>
    <w:rsid w:val="00392036"/>
    <w:rsid w:val="003937EE"/>
    <w:rsid w:val="00393D7A"/>
    <w:rsid w:val="00394D11"/>
    <w:rsid w:val="00395FEB"/>
    <w:rsid w:val="00397B00"/>
    <w:rsid w:val="003A13D1"/>
    <w:rsid w:val="003A3804"/>
    <w:rsid w:val="003A5995"/>
    <w:rsid w:val="003A5B2A"/>
    <w:rsid w:val="003A5EB5"/>
    <w:rsid w:val="003A6DAC"/>
    <w:rsid w:val="003B054D"/>
    <w:rsid w:val="003B0870"/>
    <w:rsid w:val="003B08DC"/>
    <w:rsid w:val="003B0909"/>
    <w:rsid w:val="003B09C0"/>
    <w:rsid w:val="003B1279"/>
    <w:rsid w:val="003B1611"/>
    <w:rsid w:val="003B23B9"/>
    <w:rsid w:val="003B2DDA"/>
    <w:rsid w:val="003B2E88"/>
    <w:rsid w:val="003B3015"/>
    <w:rsid w:val="003B3824"/>
    <w:rsid w:val="003B4192"/>
    <w:rsid w:val="003B472A"/>
    <w:rsid w:val="003B555D"/>
    <w:rsid w:val="003B5CD9"/>
    <w:rsid w:val="003B61F5"/>
    <w:rsid w:val="003B79B4"/>
    <w:rsid w:val="003B7BEC"/>
    <w:rsid w:val="003C4CC8"/>
    <w:rsid w:val="003C544C"/>
    <w:rsid w:val="003C6064"/>
    <w:rsid w:val="003C66FA"/>
    <w:rsid w:val="003C6829"/>
    <w:rsid w:val="003C7123"/>
    <w:rsid w:val="003C7E9B"/>
    <w:rsid w:val="003D04AD"/>
    <w:rsid w:val="003D0536"/>
    <w:rsid w:val="003D118F"/>
    <w:rsid w:val="003D2141"/>
    <w:rsid w:val="003D433B"/>
    <w:rsid w:val="003D7A5E"/>
    <w:rsid w:val="003E12AE"/>
    <w:rsid w:val="003E1D33"/>
    <w:rsid w:val="003E1E0E"/>
    <w:rsid w:val="003E23B1"/>
    <w:rsid w:val="003E3C45"/>
    <w:rsid w:val="003E4DEE"/>
    <w:rsid w:val="003E4F6D"/>
    <w:rsid w:val="003E56A4"/>
    <w:rsid w:val="003E624B"/>
    <w:rsid w:val="003E62FE"/>
    <w:rsid w:val="003F1BF6"/>
    <w:rsid w:val="003F37CB"/>
    <w:rsid w:val="003F51BD"/>
    <w:rsid w:val="003F598C"/>
    <w:rsid w:val="003F5D42"/>
    <w:rsid w:val="003F6C06"/>
    <w:rsid w:val="003F7811"/>
    <w:rsid w:val="0040194F"/>
    <w:rsid w:val="00401A21"/>
    <w:rsid w:val="00403798"/>
    <w:rsid w:val="00404AA3"/>
    <w:rsid w:val="004050A1"/>
    <w:rsid w:val="004052F0"/>
    <w:rsid w:val="004055B3"/>
    <w:rsid w:val="00406605"/>
    <w:rsid w:val="00407426"/>
    <w:rsid w:val="00407A0F"/>
    <w:rsid w:val="00410E47"/>
    <w:rsid w:val="00413A7F"/>
    <w:rsid w:val="004148B2"/>
    <w:rsid w:val="00414EB6"/>
    <w:rsid w:val="00415D69"/>
    <w:rsid w:val="0041676D"/>
    <w:rsid w:val="00417210"/>
    <w:rsid w:val="004178C8"/>
    <w:rsid w:val="00421540"/>
    <w:rsid w:val="004220C8"/>
    <w:rsid w:val="004229C1"/>
    <w:rsid w:val="00422C76"/>
    <w:rsid w:val="00423769"/>
    <w:rsid w:val="0042419F"/>
    <w:rsid w:val="00424A0A"/>
    <w:rsid w:val="00424BB8"/>
    <w:rsid w:val="00424F61"/>
    <w:rsid w:val="004250C0"/>
    <w:rsid w:val="00426A00"/>
    <w:rsid w:val="00430CAC"/>
    <w:rsid w:val="00433529"/>
    <w:rsid w:val="00433E1A"/>
    <w:rsid w:val="00434439"/>
    <w:rsid w:val="00436233"/>
    <w:rsid w:val="004379F7"/>
    <w:rsid w:val="00437E78"/>
    <w:rsid w:val="00440847"/>
    <w:rsid w:val="004446C2"/>
    <w:rsid w:val="004466D5"/>
    <w:rsid w:val="0044777F"/>
    <w:rsid w:val="00447EB1"/>
    <w:rsid w:val="00451BA1"/>
    <w:rsid w:val="00452A27"/>
    <w:rsid w:val="0045378E"/>
    <w:rsid w:val="00453BD6"/>
    <w:rsid w:val="0045405A"/>
    <w:rsid w:val="00455A2F"/>
    <w:rsid w:val="004573B6"/>
    <w:rsid w:val="00460502"/>
    <w:rsid w:val="004612B9"/>
    <w:rsid w:val="004618EC"/>
    <w:rsid w:val="00462168"/>
    <w:rsid w:val="0046231D"/>
    <w:rsid w:val="00462408"/>
    <w:rsid w:val="00463240"/>
    <w:rsid w:val="0046362B"/>
    <w:rsid w:val="004645D1"/>
    <w:rsid w:val="00465521"/>
    <w:rsid w:val="00467C7D"/>
    <w:rsid w:val="00467F98"/>
    <w:rsid w:val="00470082"/>
    <w:rsid w:val="00470C9E"/>
    <w:rsid w:val="00471639"/>
    <w:rsid w:val="004719F6"/>
    <w:rsid w:val="00472209"/>
    <w:rsid w:val="00472EC7"/>
    <w:rsid w:val="00473173"/>
    <w:rsid w:val="00474B43"/>
    <w:rsid w:val="00476B94"/>
    <w:rsid w:val="00477D43"/>
    <w:rsid w:val="004804A2"/>
    <w:rsid w:val="00481854"/>
    <w:rsid w:val="004818ED"/>
    <w:rsid w:val="00482670"/>
    <w:rsid w:val="00483334"/>
    <w:rsid w:val="004835BD"/>
    <w:rsid w:val="00484555"/>
    <w:rsid w:val="0048526F"/>
    <w:rsid w:val="00485706"/>
    <w:rsid w:val="00486D4C"/>
    <w:rsid w:val="0049025A"/>
    <w:rsid w:val="00491D9A"/>
    <w:rsid w:val="00492435"/>
    <w:rsid w:val="004924B2"/>
    <w:rsid w:val="0049459B"/>
    <w:rsid w:val="00494A67"/>
    <w:rsid w:val="0049578C"/>
    <w:rsid w:val="004968DF"/>
    <w:rsid w:val="004A107B"/>
    <w:rsid w:val="004A15F0"/>
    <w:rsid w:val="004A18A4"/>
    <w:rsid w:val="004A1A27"/>
    <w:rsid w:val="004A296A"/>
    <w:rsid w:val="004A3009"/>
    <w:rsid w:val="004A347E"/>
    <w:rsid w:val="004A4633"/>
    <w:rsid w:val="004A4C19"/>
    <w:rsid w:val="004A4C67"/>
    <w:rsid w:val="004A5220"/>
    <w:rsid w:val="004A61B4"/>
    <w:rsid w:val="004A623C"/>
    <w:rsid w:val="004B064A"/>
    <w:rsid w:val="004B1ADF"/>
    <w:rsid w:val="004B331D"/>
    <w:rsid w:val="004B44F1"/>
    <w:rsid w:val="004B5877"/>
    <w:rsid w:val="004B653A"/>
    <w:rsid w:val="004B6D3B"/>
    <w:rsid w:val="004B7616"/>
    <w:rsid w:val="004C0459"/>
    <w:rsid w:val="004C2916"/>
    <w:rsid w:val="004C2CFB"/>
    <w:rsid w:val="004C3157"/>
    <w:rsid w:val="004C3560"/>
    <w:rsid w:val="004C531C"/>
    <w:rsid w:val="004C56D9"/>
    <w:rsid w:val="004C587B"/>
    <w:rsid w:val="004C6361"/>
    <w:rsid w:val="004D12DC"/>
    <w:rsid w:val="004D14B5"/>
    <w:rsid w:val="004D223F"/>
    <w:rsid w:val="004D2325"/>
    <w:rsid w:val="004D36F1"/>
    <w:rsid w:val="004D47F0"/>
    <w:rsid w:val="004D53AC"/>
    <w:rsid w:val="004D70D0"/>
    <w:rsid w:val="004D7C73"/>
    <w:rsid w:val="004D7FD7"/>
    <w:rsid w:val="004E0132"/>
    <w:rsid w:val="004E043C"/>
    <w:rsid w:val="004E0DC5"/>
    <w:rsid w:val="004E100C"/>
    <w:rsid w:val="004E1CC0"/>
    <w:rsid w:val="004E204E"/>
    <w:rsid w:val="004E26E2"/>
    <w:rsid w:val="004E36C4"/>
    <w:rsid w:val="004E437E"/>
    <w:rsid w:val="004E59DD"/>
    <w:rsid w:val="004F0060"/>
    <w:rsid w:val="004F038C"/>
    <w:rsid w:val="004F0B0E"/>
    <w:rsid w:val="004F0BFB"/>
    <w:rsid w:val="004F0C5D"/>
    <w:rsid w:val="004F39F5"/>
    <w:rsid w:val="004F4212"/>
    <w:rsid w:val="004F4B70"/>
    <w:rsid w:val="004F782C"/>
    <w:rsid w:val="00500508"/>
    <w:rsid w:val="00505096"/>
    <w:rsid w:val="00505AEE"/>
    <w:rsid w:val="00505D21"/>
    <w:rsid w:val="0050602F"/>
    <w:rsid w:val="005063DE"/>
    <w:rsid w:val="00506444"/>
    <w:rsid w:val="00506596"/>
    <w:rsid w:val="00507878"/>
    <w:rsid w:val="00510FE5"/>
    <w:rsid w:val="00512342"/>
    <w:rsid w:val="00512B5A"/>
    <w:rsid w:val="00513244"/>
    <w:rsid w:val="00514EAE"/>
    <w:rsid w:val="005170CA"/>
    <w:rsid w:val="00520804"/>
    <w:rsid w:val="00520E26"/>
    <w:rsid w:val="00521326"/>
    <w:rsid w:val="005230DE"/>
    <w:rsid w:val="00523570"/>
    <w:rsid w:val="005254CB"/>
    <w:rsid w:val="00526EBD"/>
    <w:rsid w:val="0053018F"/>
    <w:rsid w:val="00530472"/>
    <w:rsid w:val="00530B7F"/>
    <w:rsid w:val="005315D3"/>
    <w:rsid w:val="00531A77"/>
    <w:rsid w:val="00532B92"/>
    <w:rsid w:val="0053335C"/>
    <w:rsid w:val="005334AA"/>
    <w:rsid w:val="00534FED"/>
    <w:rsid w:val="005357EF"/>
    <w:rsid w:val="005403C7"/>
    <w:rsid w:val="00540765"/>
    <w:rsid w:val="00541DA7"/>
    <w:rsid w:val="00542529"/>
    <w:rsid w:val="00542741"/>
    <w:rsid w:val="005441C9"/>
    <w:rsid w:val="00544664"/>
    <w:rsid w:val="00546848"/>
    <w:rsid w:val="00546D9F"/>
    <w:rsid w:val="00550D82"/>
    <w:rsid w:val="00553B13"/>
    <w:rsid w:val="00554069"/>
    <w:rsid w:val="0055482B"/>
    <w:rsid w:val="005550ED"/>
    <w:rsid w:val="005555FD"/>
    <w:rsid w:val="005556DC"/>
    <w:rsid w:val="00555B13"/>
    <w:rsid w:val="00556C46"/>
    <w:rsid w:val="00557776"/>
    <w:rsid w:val="00562EE5"/>
    <w:rsid w:val="005637C9"/>
    <w:rsid w:val="00563970"/>
    <w:rsid w:val="00564147"/>
    <w:rsid w:val="00564469"/>
    <w:rsid w:val="0056452F"/>
    <w:rsid w:val="00565261"/>
    <w:rsid w:val="005677F5"/>
    <w:rsid w:val="005706FB"/>
    <w:rsid w:val="00572698"/>
    <w:rsid w:val="00573517"/>
    <w:rsid w:val="0057423E"/>
    <w:rsid w:val="00574827"/>
    <w:rsid w:val="00575A17"/>
    <w:rsid w:val="0057624C"/>
    <w:rsid w:val="0057643F"/>
    <w:rsid w:val="00576B1D"/>
    <w:rsid w:val="00577108"/>
    <w:rsid w:val="00580256"/>
    <w:rsid w:val="005810D1"/>
    <w:rsid w:val="0058174D"/>
    <w:rsid w:val="0058289F"/>
    <w:rsid w:val="00583DD0"/>
    <w:rsid w:val="00590FFA"/>
    <w:rsid w:val="00592197"/>
    <w:rsid w:val="00594532"/>
    <w:rsid w:val="0059457E"/>
    <w:rsid w:val="00594D94"/>
    <w:rsid w:val="005954BF"/>
    <w:rsid w:val="005959BF"/>
    <w:rsid w:val="00595A81"/>
    <w:rsid w:val="005962EA"/>
    <w:rsid w:val="005A052D"/>
    <w:rsid w:val="005A0FE7"/>
    <w:rsid w:val="005A1569"/>
    <w:rsid w:val="005A1732"/>
    <w:rsid w:val="005A1D6D"/>
    <w:rsid w:val="005A23B9"/>
    <w:rsid w:val="005A28BE"/>
    <w:rsid w:val="005A5B50"/>
    <w:rsid w:val="005B1C10"/>
    <w:rsid w:val="005B26E3"/>
    <w:rsid w:val="005B7B00"/>
    <w:rsid w:val="005C09F7"/>
    <w:rsid w:val="005C1136"/>
    <w:rsid w:val="005C3639"/>
    <w:rsid w:val="005C3647"/>
    <w:rsid w:val="005C5A30"/>
    <w:rsid w:val="005C5DE5"/>
    <w:rsid w:val="005C5E78"/>
    <w:rsid w:val="005C624B"/>
    <w:rsid w:val="005C69DE"/>
    <w:rsid w:val="005C6F27"/>
    <w:rsid w:val="005D0068"/>
    <w:rsid w:val="005D0BA3"/>
    <w:rsid w:val="005D0D88"/>
    <w:rsid w:val="005D1F91"/>
    <w:rsid w:val="005D5E9E"/>
    <w:rsid w:val="005D66B3"/>
    <w:rsid w:val="005D7EDA"/>
    <w:rsid w:val="005E0567"/>
    <w:rsid w:val="005E0E4A"/>
    <w:rsid w:val="005E11D1"/>
    <w:rsid w:val="005E14DF"/>
    <w:rsid w:val="005E1C85"/>
    <w:rsid w:val="005E2F5D"/>
    <w:rsid w:val="005E3C4A"/>
    <w:rsid w:val="005E3DFA"/>
    <w:rsid w:val="005E3E56"/>
    <w:rsid w:val="005E4C56"/>
    <w:rsid w:val="005E5BB9"/>
    <w:rsid w:val="005E615B"/>
    <w:rsid w:val="005E73EB"/>
    <w:rsid w:val="005E7B71"/>
    <w:rsid w:val="005F2987"/>
    <w:rsid w:val="005F3AC8"/>
    <w:rsid w:val="005F4574"/>
    <w:rsid w:val="005F45A9"/>
    <w:rsid w:val="005F5504"/>
    <w:rsid w:val="005F557E"/>
    <w:rsid w:val="005F6E30"/>
    <w:rsid w:val="005F704F"/>
    <w:rsid w:val="006033AB"/>
    <w:rsid w:val="00603579"/>
    <w:rsid w:val="00603F44"/>
    <w:rsid w:val="00603F66"/>
    <w:rsid w:val="00605108"/>
    <w:rsid w:val="0060741B"/>
    <w:rsid w:val="0060766D"/>
    <w:rsid w:val="00607A1B"/>
    <w:rsid w:val="0061104D"/>
    <w:rsid w:val="0061109E"/>
    <w:rsid w:val="0061403A"/>
    <w:rsid w:val="006162F0"/>
    <w:rsid w:val="0061658B"/>
    <w:rsid w:val="006171B4"/>
    <w:rsid w:val="0062069D"/>
    <w:rsid w:val="00621B0F"/>
    <w:rsid w:val="00623E45"/>
    <w:rsid w:val="0062501E"/>
    <w:rsid w:val="00625DC4"/>
    <w:rsid w:val="0062777A"/>
    <w:rsid w:val="00627E07"/>
    <w:rsid w:val="0063109A"/>
    <w:rsid w:val="006316AD"/>
    <w:rsid w:val="0063223E"/>
    <w:rsid w:val="00633D3F"/>
    <w:rsid w:val="00634086"/>
    <w:rsid w:val="00634337"/>
    <w:rsid w:val="00636093"/>
    <w:rsid w:val="00637945"/>
    <w:rsid w:val="0064027F"/>
    <w:rsid w:val="00640D9C"/>
    <w:rsid w:val="00641C67"/>
    <w:rsid w:val="00642285"/>
    <w:rsid w:val="006423CC"/>
    <w:rsid w:val="0064368C"/>
    <w:rsid w:val="00643B49"/>
    <w:rsid w:val="006463CA"/>
    <w:rsid w:val="006470A6"/>
    <w:rsid w:val="00650723"/>
    <w:rsid w:val="00651CD1"/>
    <w:rsid w:val="00652361"/>
    <w:rsid w:val="006537BB"/>
    <w:rsid w:val="00655C0D"/>
    <w:rsid w:val="00655EC7"/>
    <w:rsid w:val="00656442"/>
    <w:rsid w:val="00657F8D"/>
    <w:rsid w:val="006604D8"/>
    <w:rsid w:val="00661667"/>
    <w:rsid w:val="006622A7"/>
    <w:rsid w:val="0066353E"/>
    <w:rsid w:val="00663F8B"/>
    <w:rsid w:val="00663F9A"/>
    <w:rsid w:val="00664684"/>
    <w:rsid w:val="006646F1"/>
    <w:rsid w:val="00665AE3"/>
    <w:rsid w:val="00665BBB"/>
    <w:rsid w:val="0067137A"/>
    <w:rsid w:val="00672131"/>
    <w:rsid w:val="00673A97"/>
    <w:rsid w:val="00675587"/>
    <w:rsid w:val="00675B54"/>
    <w:rsid w:val="00676352"/>
    <w:rsid w:val="00676811"/>
    <w:rsid w:val="00677250"/>
    <w:rsid w:val="0068073E"/>
    <w:rsid w:val="0068104A"/>
    <w:rsid w:val="006825D8"/>
    <w:rsid w:val="00682A11"/>
    <w:rsid w:val="00684733"/>
    <w:rsid w:val="00684A92"/>
    <w:rsid w:val="00687851"/>
    <w:rsid w:val="006914A2"/>
    <w:rsid w:val="006918E9"/>
    <w:rsid w:val="00691A5C"/>
    <w:rsid w:val="00691DAA"/>
    <w:rsid w:val="0069203D"/>
    <w:rsid w:val="00694498"/>
    <w:rsid w:val="006944D1"/>
    <w:rsid w:val="00694982"/>
    <w:rsid w:val="00697252"/>
    <w:rsid w:val="00697380"/>
    <w:rsid w:val="006A0010"/>
    <w:rsid w:val="006A0DFB"/>
    <w:rsid w:val="006A2D2A"/>
    <w:rsid w:val="006A32F5"/>
    <w:rsid w:val="006A3C49"/>
    <w:rsid w:val="006A4045"/>
    <w:rsid w:val="006A4991"/>
    <w:rsid w:val="006A4EA8"/>
    <w:rsid w:val="006A5A49"/>
    <w:rsid w:val="006A5CC4"/>
    <w:rsid w:val="006A5E20"/>
    <w:rsid w:val="006A70F4"/>
    <w:rsid w:val="006A79D4"/>
    <w:rsid w:val="006B0848"/>
    <w:rsid w:val="006B0C51"/>
    <w:rsid w:val="006B3B83"/>
    <w:rsid w:val="006B3F16"/>
    <w:rsid w:val="006B5730"/>
    <w:rsid w:val="006B5E42"/>
    <w:rsid w:val="006B5EBA"/>
    <w:rsid w:val="006B71C3"/>
    <w:rsid w:val="006B78F4"/>
    <w:rsid w:val="006C011A"/>
    <w:rsid w:val="006C030C"/>
    <w:rsid w:val="006C0659"/>
    <w:rsid w:val="006C07C1"/>
    <w:rsid w:val="006C0C0A"/>
    <w:rsid w:val="006C1A7F"/>
    <w:rsid w:val="006C3615"/>
    <w:rsid w:val="006C40B3"/>
    <w:rsid w:val="006C69BD"/>
    <w:rsid w:val="006C7AC2"/>
    <w:rsid w:val="006D1BFE"/>
    <w:rsid w:val="006D1C09"/>
    <w:rsid w:val="006D3F98"/>
    <w:rsid w:val="006D5CF9"/>
    <w:rsid w:val="006D6827"/>
    <w:rsid w:val="006D7886"/>
    <w:rsid w:val="006D78A0"/>
    <w:rsid w:val="006D7B47"/>
    <w:rsid w:val="006E0322"/>
    <w:rsid w:val="006E1E69"/>
    <w:rsid w:val="006E259E"/>
    <w:rsid w:val="006E26BD"/>
    <w:rsid w:val="006E2997"/>
    <w:rsid w:val="006E3FAB"/>
    <w:rsid w:val="006E4EE7"/>
    <w:rsid w:val="006E4F4E"/>
    <w:rsid w:val="006E5CAA"/>
    <w:rsid w:val="006E657C"/>
    <w:rsid w:val="006E721B"/>
    <w:rsid w:val="006E7944"/>
    <w:rsid w:val="006F0266"/>
    <w:rsid w:val="006F112E"/>
    <w:rsid w:val="006F3775"/>
    <w:rsid w:val="006F4457"/>
    <w:rsid w:val="006F44FE"/>
    <w:rsid w:val="006F46E7"/>
    <w:rsid w:val="006F4788"/>
    <w:rsid w:val="006F4938"/>
    <w:rsid w:val="006F588E"/>
    <w:rsid w:val="006F5E81"/>
    <w:rsid w:val="006F5F1F"/>
    <w:rsid w:val="006F63EA"/>
    <w:rsid w:val="006F6CC7"/>
    <w:rsid w:val="006F6EA7"/>
    <w:rsid w:val="006F7AAD"/>
    <w:rsid w:val="006F7D8B"/>
    <w:rsid w:val="00700DA6"/>
    <w:rsid w:val="00700DB7"/>
    <w:rsid w:val="00701CFD"/>
    <w:rsid w:val="007020BF"/>
    <w:rsid w:val="007022DC"/>
    <w:rsid w:val="00702510"/>
    <w:rsid w:val="0070279B"/>
    <w:rsid w:val="00703CC2"/>
    <w:rsid w:val="00703D5A"/>
    <w:rsid w:val="0070569C"/>
    <w:rsid w:val="007057EB"/>
    <w:rsid w:val="0070583C"/>
    <w:rsid w:val="00706750"/>
    <w:rsid w:val="007100CC"/>
    <w:rsid w:val="00711173"/>
    <w:rsid w:val="00711488"/>
    <w:rsid w:val="00711599"/>
    <w:rsid w:val="007129B2"/>
    <w:rsid w:val="00712ECA"/>
    <w:rsid w:val="007134F6"/>
    <w:rsid w:val="00713ABC"/>
    <w:rsid w:val="00714306"/>
    <w:rsid w:val="00714E9C"/>
    <w:rsid w:val="007157C8"/>
    <w:rsid w:val="007161DB"/>
    <w:rsid w:val="00716F26"/>
    <w:rsid w:val="00717454"/>
    <w:rsid w:val="007200D9"/>
    <w:rsid w:val="00720503"/>
    <w:rsid w:val="00720943"/>
    <w:rsid w:val="00721D6C"/>
    <w:rsid w:val="00723994"/>
    <w:rsid w:val="00725978"/>
    <w:rsid w:val="007260A0"/>
    <w:rsid w:val="00727D79"/>
    <w:rsid w:val="00727F02"/>
    <w:rsid w:val="007307B3"/>
    <w:rsid w:val="00731216"/>
    <w:rsid w:val="0073197F"/>
    <w:rsid w:val="00731C96"/>
    <w:rsid w:val="00732A34"/>
    <w:rsid w:val="00732A8A"/>
    <w:rsid w:val="00732FC0"/>
    <w:rsid w:val="0073358A"/>
    <w:rsid w:val="007348B9"/>
    <w:rsid w:val="00735D76"/>
    <w:rsid w:val="00736CA8"/>
    <w:rsid w:val="00743C1E"/>
    <w:rsid w:val="00743C77"/>
    <w:rsid w:val="0074473F"/>
    <w:rsid w:val="007449D7"/>
    <w:rsid w:val="00746D86"/>
    <w:rsid w:val="00750606"/>
    <w:rsid w:val="00750C66"/>
    <w:rsid w:val="00751355"/>
    <w:rsid w:val="00751DEF"/>
    <w:rsid w:val="00754246"/>
    <w:rsid w:val="00754943"/>
    <w:rsid w:val="00754D85"/>
    <w:rsid w:val="00754E86"/>
    <w:rsid w:val="0075510E"/>
    <w:rsid w:val="007573D4"/>
    <w:rsid w:val="007611CF"/>
    <w:rsid w:val="007625FE"/>
    <w:rsid w:val="00762C69"/>
    <w:rsid w:val="00764219"/>
    <w:rsid w:val="00765E8F"/>
    <w:rsid w:val="00766E97"/>
    <w:rsid w:val="007673B7"/>
    <w:rsid w:val="00767FB7"/>
    <w:rsid w:val="0077078C"/>
    <w:rsid w:val="00770AF5"/>
    <w:rsid w:val="0077269C"/>
    <w:rsid w:val="00772B95"/>
    <w:rsid w:val="007737A3"/>
    <w:rsid w:val="00773BB8"/>
    <w:rsid w:val="007748A3"/>
    <w:rsid w:val="007749D9"/>
    <w:rsid w:val="0077517E"/>
    <w:rsid w:val="0077565E"/>
    <w:rsid w:val="00775A75"/>
    <w:rsid w:val="00776491"/>
    <w:rsid w:val="007765A0"/>
    <w:rsid w:val="00776650"/>
    <w:rsid w:val="007772F8"/>
    <w:rsid w:val="0077762D"/>
    <w:rsid w:val="00777EDA"/>
    <w:rsid w:val="00780634"/>
    <w:rsid w:val="0078115E"/>
    <w:rsid w:val="0078134B"/>
    <w:rsid w:val="007817BA"/>
    <w:rsid w:val="00781E1E"/>
    <w:rsid w:val="00782B6B"/>
    <w:rsid w:val="007833AC"/>
    <w:rsid w:val="00783CC3"/>
    <w:rsid w:val="007840A3"/>
    <w:rsid w:val="00785F3B"/>
    <w:rsid w:val="00790554"/>
    <w:rsid w:val="0079137A"/>
    <w:rsid w:val="00791A7B"/>
    <w:rsid w:val="00791FF9"/>
    <w:rsid w:val="007934F7"/>
    <w:rsid w:val="00793EE3"/>
    <w:rsid w:val="0079404A"/>
    <w:rsid w:val="00794935"/>
    <w:rsid w:val="007952BA"/>
    <w:rsid w:val="007A001B"/>
    <w:rsid w:val="007A0B0D"/>
    <w:rsid w:val="007A0E3A"/>
    <w:rsid w:val="007A1271"/>
    <w:rsid w:val="007A4D96"/>
    <w:rsid w:val="007A5EF2"/>
    <w:rsid w:val="007B0654"/>
    <w:rsid w:val="007B37F0"/>
    <w:rsid w:val="007B65AA"/>
    <w:rsid w:val="007B7393"/>
    <w:rsid w:val="007B7914"/>
    <w:rsid w:val="007C0838"/>
    <w:rsid w:val="007C09C7"/>
    <w:rsid w:val="007C178B"/>
    <w:rsid w:val="007C27EF"/>
    <w:rsid w:val="007C2D57"/>
    <w:rsid w:val="007C3DF7"/>
    <w:rsid w:val="007C68B3"/>
    <w:rsid w:val="007C74A8"/>
    <w:rsid w:val="007D227C"/>
    <w:rsid w:val="007D264E"/>
    <w:rsid w:val="007D2D5E"/>
    <w:rsid w:val="007D4A1E"/>
    <w:rsid w:val="007D4B43"/>
    <w:rsid w:val="007D5470"/>
    <w:rsid w:val="007D6824"/>
    <w:rsid w:val="007E15B2"/>
    <w:rsid w:val="007E1F46"/>
    <w:rsid w:val="007E2989"/>
    <w:rsid w:val="007E2A41"/>
    <w:rsid w:val="007E3631"/>
    <w:rsid w:val="007E52B2"/>
    <w:rsid w:val="007E64C7"/>
    <w:rsid w:val="007E65E8"/>
    <w:rsid w:val="007F3838"/>
    <w:rsid w:val="007F3CC5"/>
    <w:rsid w:val="007F4863"/>
    <w:rsid w:val="007F4D50"/>
    <w:rsid w:val="007F58C1"/>
    <w:rsid w:val="007F5C5C"/>
    <w:rsid w:val="007F617B"/>
    <w:rsid w:val="007F737A"/>
    <w:rsid w:val="007F789D"/>
    <w:rsid w:val="007F78A7"/>
    <w:rsid w:val="007F7E5F"/>
    <w:rsid w:val="00800FD8"/>
    <w:rsid w:val="00801179"/>
    <w:rsid w:val="008011A3"/>
    <w:rsid w:val="00803EDD"/>
    <w:rsid w:val="008043B3"/>
    <w:rsid w:val="00804D98"/>
    <w:rsid w:val="00805D12"/>
    <w:rsid w:val="00805DD8"/>
    <w:rsid w:val="00806216"/>
    <w:rsid w:val="00806A26"/>
    <w:rsid w:val="00810EDB"/>
    <w:rsid w:val="00811D20"/>
    <w:rsid w:val="0081485B"/>
    <w:rsid w:val="008153CE"/>
    <w:rsid w:val="00817D32"/>
    <w:rsid w:val="0082289C"/>
    <w:rsid w:val="00822B8F"/>
    <w:rsid w:val="00823913"/>
    <w:rsid w:val="0082401E"/>
    <w:rsid w:val="0082480F"/>
    <w:rsid w:val="00824B87"/>
    <w:rsid w:val="008252BC"/>
    <w:rsid w:val="00825312"/>
    <w:rsid w:val="00825376"/>
    <w:rsid w:val="0082585A"/>
    <w:rsid w:val="00826E34"/>
    <w:rsid w:val="00826FA0"/>
    <w:rsid w:val="008272B2"/>
    <w:rsid w:val="00830E69"/>
    <w:rsid w:val="0083234B"/>
    <w:rsid w:val="008345C8"/>
    <w:rsid w:val="0083515B"/>
    <w:rsid w:val="00835E98"/>
    <w:rsid w:val="00836521"/>
    <w:rsid w:val="0083687A"/>
    <w:rsid w:val="00836A89"/>
    <w:rsid w:val="00837EA8"/>
    <w:rsid w:val="00837F1A"/>
    <w:rsid w:val="0084062C"/>
    <w:rsid w:val="00840B52"/>
    <w:rsid w:val="00840C29"/>
    <w:rsid w:val="008416A0"/>
    <w:rsid w:val="00842AA5"/>
    <w:rsid w:val="008434F0"/>
    <w:rsid w:val="00843C83"/>
    <w:rsid w:val="00843D9B"/>
    <w:rsid w:val="00844A35"/>
    <w:rsid w:val="0084699F"/>
    <w:rsid w:val="00846CCB"/>
    <w:rsid w:val="0084728D"/>
    <w:rsid w:val="00847EDD"/>
    <w:rsid w:val="00850E5E"/>
    <w:rsid w:val="0085372E"/>
    <w:rsid w:val="00854D51"/>
    <w:rsid w:val="008551A7"/>
    <w:rsid w:val="008552F5"/>
    <w:rsid w:val="00855566"/>
    <w:rsid w:val="0085686D"/>
    <w:rsid w:val="00856EFC"/>
    <w:rsid w:val="00857EEA"/>
    <w:rsid w:val="00860608"/>
    <w:rsid w:val="00860FBF"/>
    <w:rsid w:val="008619C3"/>
    <w:rsid w:val="00861FEC"/>
    <w:rsid w:val="00862A5A"/>
    <w:rsid w:val="00863FA6"/>
    <w:rsid w:val="008646BB"/>
    <w:rsid w:val="0086471C"/>
    <w:rsid w:val="00864866"/>
    <w:rsid w:val="00865326"/>
    <w:rsid w:val="00865F2E"/>
    <w:rsid w:val="008717E3"/>
    <w:rsid w:val="008725D5"/>
    <w:rsid w:val="00872B4A"/>
    <w:rsid w:val="00873845"/>
    <w:rsid w:val="0087430D"/>
    <w:rsid w:val="00875832"/>
    <w:rsid w:val="008765F7"/>
    <w:rsid w:val="00877186"/>
    <w:rsid w:val="00877421"/>
    <w:rsid w:val="00881863"/>
    <w:rsid w:val="00881AE2"/>
    <w:rsid w:val="00882BCA"/>
    <w:rsid w:val="008838D5"/>
    <w:rsid w:val="00883C1E"/>
    <w:rsid w:val="00884D28"/>
    <w:rsid w:val="00884E41"/>
    <w:rsid w:val="00886704"/>
    <w:rsid w:val="00886AC4"/>
    <w:rsid w:val="00891072"/>
    <w:rsid w:val="00891776"/>
    <w:rsid w:val="00891B6F"/>
    <w:rsid w:val="008934A4"/>
    <w:rsid w:val="008934D6"/>
    <w:rsid w:val="008936E9"/>
    <w:rsid w:val="00893B15"/>
    <w:rsid w:val="00894C36"/>
    <w:rsid w:val="00897B7D"/>
    <w:rsid w:val="008A01A8"/>
    <w:rsid w:val="008A0524"/>
    <w:rsid w:val="008A36F8"/>
    <w:rsid w:val="008A5C87"/>
    <w:rsid w:val="008A6888"/>
    <w:rsid w:val="008B0457"/>
    <w:rsid w:val="008B096D"/>
    <w:rsid w:val="008B2084"/>
    <w:rsid w:val="008B3855"/>
    <w:rsid w:val="008B4710"/>
    <w:rsid w:val="008B509E"/>
    <w:rsid w:val="008B54AB"/>
    <w:rsid w:val="008B54D5"/>
    <w:rsid w:val="008B570C"/>
    <w:rsid w:val="008C04F9"/>
    <w:rsid w:val="008C2320"/>
    <w:rsid w:val="008C24B6"/>
    <w:rsid w:val="008C451E"/>
    <w:rsid w:val="008C4E32"/>
    <w:rsid w:val="008C5950"/>
    <w:rsid w:val="008C5D3D"/>
    <w:rsid w:val="008C7B98"/>
    <w:rsid w:val="008D076A"/>
    <w:rsid w:val="008D23C0"/>
    <w:rsid w:val="008D5977"/>
    <w:rsid w:val="008D70E9"/>
    <w:rsid w:val="008E0A50"/>
    <w:rsid w:val="008E1038"/>
    <w:rsid w:val="008E21B3"/>
    <w:rsid w:val="008E267D"/>
    <w:rsid w:val="008E3B69"/>
    <w:rsid w:val="008E57C0"/>
    <w:rsid w:val="008E5B2E"/>
    <w:rsid w:val="008E5E14"/>
    <w:rsid w:val="008E5E99"/>
    <w:rsid w:val="008E5EFD"/>
    <w:rsid w:val="008E6E25"/>
    <w:rsid w:val="008E7068"/>
    <w:rsid w:val="008F0D15"/>
    <w:rsid w:val="008F3C25"/>
    <w:rsid w:val="008F3E64"/>
    <w:rsid w:val="008F431B"/>
    <w:rsid w:val="008F4A14"/>
    <w:rsid w:val="008F5AFD"/>
    <w:rsid w:val="008F6658"/>
    <w:rsid w:val="008F7723"/>
    <w:rsid w:val="008F79EC"/>
    <w:rsid w:val="00901759"/>
    <w:rsid w:val="00902868"/>
    <w:rsid w:val="00902B05"/>
    <w:rsid w:val="009031A0"/>
    <w:rsid w:val="0090331B"/>
    <w:rsid w:val="0090360B"/>
    <w:rsid w:val="00904AD1"/>
    <w:rsid w:val="009063C7"/>
    <w:rsid w:val="00910D99"/>
    <w:rsid w:val="009112BB"/>
    <w:rsid w:val="00913141"/>
    <w:rsid w:val="009140DC"/>
    <w:rsid w:val="0091485A"/>
    <w:rsid w:val="00916C6C"/>
    <w:rsid w:val="009201F5"/>
    <w:rsid w:val="00920B86"/>
    <w:rsid w:val="00920DD9"/>
    <w:rsid w:val="0092237F"/>
    <w:rsid w:val="00922F82"/>
    <w:rsid w:val="009235D8"/>
    <w:rsid w:val="00924955"/>
    <w:rsid w:val="00924DD1"/>
    <w:rsid w:val="0092607B"/>
    <w:rsid w:val="009264ED"/>
    <w:rsid w:val="00926849"/>
    <w:rsid w:val="009310D6"/>
    <w:rsid w:val="00932AE8"/>
    <w:rsid w:val="00932CC4"/>
    <w:rsid w:val="009339D1"/>
    <w:rsid w:val="00936AEC"/>
    <w:rsid w:val="009370D9"/>
    <w:rsid w:val="00937EE2"/>
    <w:rsid w:val="00941862"/>
    <w:rsid w:val="009433A7"/>
    <w:rsid w:val="009436BE"/>
    <w:rsid w:val="00943D4A"/>
    <w:rsid w:val="00943EEE"/>
    <w:rsid w:val="009449FE"/>
    <w:rsid w:val="00944D36"/>
    <w:rsid w:val="00945030"/>
    <w:rsid w:val="00946138"/>
    <w:rsid w:val="00946540"/>
    <w:rsid w:val="009479A1"/>
    <w:rsid w:val="0095041F"/>
    <w:rsid w:val="00950BE9"/>
    <w:rsid w:val="0095144F"/>
    <w:rsid w:val="00951AA5"/>
    <w:rsid w:val="00951CDE"/>
    <w:rsid w:val="00952538"/>
    <w:rsid w:val="009544FF"/>
    <w:rsid w:val="00954A86"/>
    <w:rsid w:val="00955105"/>
    <w:rsid w:val="009564BF"/>
    <w:rsid w:val="009573B2"/>
    <w:rsid w:val="009622D7"/>
    <w:rsid w:val="00962812"/>
    <w:rsid w:val="00962BDA"/>
    <w:rsid w:val="00965236"/>
    <w:rsid w:val="009657F4"/>
    <w:rsid w:val="009663E2"/>
    <w:rsid w:val="00966AFA"/>
    <w:rsid w:val="00967213"/>
    <w:rsid w:val="00970990"/>
    <w:rsid w:val="00970A0D"/>
    <w:rsid w:val="0097168A"/>
    <w:rsid w:val="0097367A"/>
    <w:rsid w:val="00974BCC"/>
    <w:rsid w:val="009751DA"/>
    <w:rsid w:val="00975FC6"/>
    <w:rsid w:val="00976466"/>
    <w:rsid w:val="00976643"/>
    <w:rsid w:val="009832C9"/>
    <w:rsid w:val="009837F5"/>
    <w:rsid w:val="00984DE4"/>
    <w:rsid w:val="009850CF"/>
    <w:rsid w:val="00985356"/>
    <w:rsid w:val="0098545C"/>
    <w:rsid w:val="009865E6"/>
    <w:rsid w:val="0099040F"/>
    <w:rsid w:val="00991498"/>
    <w:rsid w:val="00993549"/>
    <w:rsid w:val="0099406F"/>
    <w:rsid w:val="00994DCE"/>
    <w:rsid w:val="009958C0"/>
    <w:rsid w:val="00995F8D"/>
    <w:rsid w:val="009A1D61"/>
    <w:rsid w:val="009A298D"/>
    <w:rsid w:val="009A32AB"/>
    <w:rsid w:val="009A3377"/>
    <w:rsid w:val="009A78F0"/>
    <w:rsid w:val="009B2324"/>
    <w:rsid w:val="009B296B"/>
    <w:rsid w:val="009B57DC"/>
    <w:rsid w:val="009B66E6"/>
    <w:rsid w:val="009B69A0"/>
    <w:rsid w:val="009B6F6B"/>
    <w:rsid w:val="009B7D2C"/>
    <w:rsid w:val="009C086F"/>
    <w:rsid w:val="009C2536"/>
    <w:rsid w:val="009C4705"/>
    <w:rsid w:val="009C4D9B"/>
    <w:rsid w:val="009C4E79"/>
    <w:rsid w:val="009C513C"/>
    <w:rsid w:val="009C6B06"/>
    <w:rsid w:val="009C7FE7"/>
    <w:rsid w:val="009D0C2D"/>
    <w:rsid w:val="009D1E48"/>
    <w:rsid w:val="009D46F6"/>
    <w:rsid w:val="009D4E52"/>
    <w:rsid w:val="009D5E42"/>
    <w:rsid w:val="009D7791"/>
    <w:rsid w:val="009E0542"/>
    <w:rsid w:val="009E077F"/>
    <w:rsid w:val="009E1365"/>
    <w:rsid w:val="009E28D4"/>
    <w:rsid w:val="009E3A9F"/>
    <w:rsid w:val="009E6F32"/>
    <w:rsid w:val="009E74C1"/>
    <w:rsid w:val="009E7F70"/>
    <w:rsid w:val="009F3379"/>
    <w:rsid w:val="009F40E2"/>
    <w:rsid w:val="009F54CD"/>
    <w:rsid w:val="009F64CC"/>
    <w:rsid w:val="009F67E9"/>
    <w:rsid w:val="009F6A59"/>
    <w:rsid w:val="00A007CB"/>
    <w:rsid w:val="00A04558"/>
    <w:rsid w:val="00A05126"/>
    <w:rsid w:val="00A057A8"/>
    <w:rsid w:val="00A05B9C"/>
    <w:rsid w:val="00A0709E"/>
    <w:rsid w:val="00A11F42"/>
    <w:rsid w:val="00A12EA5"/>
    <w:rsid w:val="00A13791"/>
    <w:rsid w:val="00A13F81"/>
    <w:rsid w:val="00A141DB"/>
    <w:rsid w:val="00A14836"/>
    <w:rsid w:val="00A14C6C"/>
    <w:rsid w:val="00A14F42"/>
    <w:rsid w:val="00A15D28"/>
    <w:rsid w:val="00A16F39"/>
    <w:rsid w:val="00A17302"/>
    <w:rsid w:val="00A177F0"/>
    <w:rsid w:val="00A20586"/>
    <w:rsid w:val="00A210F0"/>
    <w:rsid w:val="00A2267A"/>
    <w:rsid w:val="00A235A7"/>
    <w:rsid w:val="00A23AD5"/>
    <w:rsid w:val="00A2529A"/>
    <w:rsid w:val="00A270ED"/>
    <w:rsid w:val="00A273DC"/>
    <w:rsid w:val="00A276D6"/>
    <w:rsid w:val="00A3054F"/>
    <w:rsid w:val="00A30899"/>
    <w:rsid w:val="00A32213"/>
    <w:rsid w:val="00A332EF"/>
    <w:rsid w:val="00A334A3"/>
    <w:rsid w:val="00A340C7"/>
    <w:rsid w:val="00A352C2"/>
    <w:rsid w:val="00A35F23"/>
    <w:rsid w:val="00A3608A"/>
    <w:rsid w:val="00A36A43"/>
    <w:rsid w:val="00A36AD7"/>
    <w:rsid w:val="00A40786"/>
    <w:rsid w:val="00A42B1A"/>
    <w:rsid w:val="00A442D0"/>
    <w:rsid w:val="00A446E2"/>
    <w:rsid w:val="00A450A6"/>
    <w:rsid w:val="00A45762"/>
    <w:rsid w:val="00A45B87"/>
    <w:rsid w:val="00A46D40"/>
    <w:rsid w:val="00A46F6B"/>
    <w:rsid w:val="00A47578"/>
    <w:rsid w:val="00A478D1"/>
    <w:rsid w:val="00A5038E"/>
    <w:rsid w:val="00A50489"/>
    <w:rsid w:val="00A514CD"/>
    <w:rsid w:val="00A51BD1"/>
    <w:rsid w:val="00A5222F"/>
    <w:rsid w:val="00A5254F"/>
    <w:rsid w:val="00A52AE9"/>
    <w:rsid w:val="00A5375E"/>
    <w:rsid w:val="00A538C3"/>
    <w:rsid w:val="00A5392D"/>
    <w:rsid w:val="00A54449"/>
    <w:rsid w:val="00A54499"/>
    <w:rsid w:val="00A5467D"/>
    <w:rsid w:val="00A55C01"/>
    <w:rsid w:val="00A57D1B"/>
    <w:rsid w:val="00A60C43"/>
    <w:rsid w:val="00A60C77"/>
    <w:rsid w:val="00A6148A"/>
    <w:rsid w:val="00A615BA"/>
    <w:rsid w:val="00A62293"/>
    <w:rsid w:val="00A64697"/>
    <w:rsid w:val="00A6512A"/>
    <w:rsid w:val="00A663D7"/>
    <w:rsid w:val="00A6673B"/>
    <w:rsid w:val="00A66B6F"/>
    <w:rsid w:val="00A67C2D"/>
    <w:rsid w:val="00A70014"/>
    <w:rsid w:val="00A7136D"/>
    <w:rsid w:val="00A743BD"/>
    <w:rsid w:val="00A753F2"/>
    <w:rsid w:val="00A7572B"/>
    <w:rsid w:val="00A759BF"/>
    <w:rsid w:val="00A77381"/>
    <w:rsid w:val="00A77A1A"/>
    <w:rsid w:val="00A80007"/>
    <w:rsid w:val="00A81A47"/>
    <w:rsid w:val="00A8295E"/>
    <w:rsid w:val="00A83AF9"/>
    <w:rsid w:val="00A84D67"/>
    <w:rsid w:val="00A8587C"/>
    <w:rsid w:val="00A85E7C"/>
    <w:rsid w:val="00A860E1"/>
    <w:rsid w:val="00A867EB"/>
    <w:rsid w:val="00A86BA8"/>
    <w:rsid w:val="00A87263"/>
    <w:rsid w:val="00A901E0"/>
    <w:rsid w:val="00A918C7"/>
    <w:rsid w:val="00A930B0"/>
    <w:rsid w:val="00A95282"/>
    <w:rsid w:val="00A963A5"/>
    <w:rsid w:val="00A97A21"/>
    <w:rsid w:val="00AA005C"/>
    <w:rsid w:val="00AA0445"/>
    <w:rsid w:val="00AA2D36"/>
    <w:rsid w:val="00AA395E"/>
    <w:rsid w:val="00AA4004"/>
    <w:rsid w:val="00AA40B0"/>
    <w:rsid w:val="00AA44E1"/>
    <w:rsid w:val="00AA473C"/>
    <w:rsid w:val="00AA4BCF"/>
    <w:rsid w:val="00AA6293"/>
    <w:rsid w:val="00AA64ED"/>
    <w:rsid w:val="00AA6D35"/>
    <w:rsid w:val="00AA709C"/>
    <w:rsid w:val="00AA7A07"/>
    <w:rsid w:val="00AB1695"/>
    <w:rsid w:val="00AB1B33"/>
    <w:rsid w:val="00AB1EC7"/>
    <w:rsid w:val="00AB28E5"/>
    <w:rsid w:val="00AB2BDD"/>
    <w:rsid w:val="00AB4BC0"/>
    <w:rsid w:val="00AB5052"/>
    <w:rsid w:val="00AB52F3"/>
    <w:rsid w:val="00AB69EE"/>
    <w:rsid w:val="00AC1954"/>
    <w:rsid w:val="00AC2CA3"/>
    <w:rsid w:val="00AC3257"/>
    <w:rsid w:val="00AC406C"/>
    <w:rsid w:val="00AC4CDD"/>
    <w:rsid w:val="00AC500E"/>
    <w:rsid w:val="00AC7D2C"/>
    <w:rsid w:val="00AD0941"/>
    <w:rsid w:val="00AD1CB9"/>
    <w:rsid w:val="00AD319D"/>
    <w:rsid w:val="00AD3649"/>
    <w:rsid w:val="00AD5AB0"/>
    <w:rsid w:val="00AD6150"/>
    <w:rsid w:val="00AD77C1"/>
    <w:rsid w:val="00AE10DE"/>
    <w:rsid w:val="00AE2798"/>
    <w:rsid w:val="00AE3214"/>
    <w:rsid w:val="00AE3377"/>
    <w:rsid w:val="00AE3A4A"/>
    <w:rsid w:val="00AE3BD5"/>
    <w:rsid w:val="00AE424D"/>
    <w:rsid w:val="00AE4A88"/>
    <w:rsid w:val="00AE70B4"/>
    <w:rsid w:val="00AF0071"/>
    <w:rsid w:val="00AF007D"/>
    <w:rsid w:val="00AF11F1"/>
    <w:rsid w:val="00AF6C6D"/>
    <w:rsid w:val="00AF70A5"/>
    <w:rsid w:val="00AF7A0B"/>
    <w:rsid w:val="00B0001B"/>
    <w:rsid w:val="00B011A0"/>
    <w:rsid w:val="00B02080"/>
    <w:rsid w:val="00B02419"/>
    <w:rsid w:val="00B030B3"/>
    <w:rsid w:val="00B04987"/>
    <w:rsid w:val="00B04A5F"/>
    <w:rsid w:val="00B0685A"/>
    <w:rsid w:val="00B07342"/>
    <w:rsid w:val="00B07D82"/>
    <w:rsid w:val="00B07F02"/>
    <w:rsid w:val="00B10107"/>
    <w:rsid w:val="00B10AFE"/>
    <w:rsid w:val="00B11C43"/>
    <w:rsid w:val="00B132DC"/>
    <w:rsid w:val="00B13B66"/>
    <w:rsid w:val="00B14A33"/>
    <w:rsid w:val="00B14E1C"/>
    <w:rsid w:val="00B16CF0"/>
    <w:rsid w:val="00B224F2"/>
    <w:rsid w:val="00B25881"/>
    <w:rsid w:val="00B266E8"/>
    <w:rsid w:val="00B3014E"/>
    <w:rsid w:val="00B318A9"/>
    <w:rsid w:val="00B328C3"/>
    <w:rsid w:val="00B329C6"/>
    <w:rsid w:val="00B33C3B"/>
    <w:rsid w:val="00B33D65"/>
    <w:rsid w:val="00B34328"/>
    <w:rsid w:val="00B343F4"/>
    <w:rsid w:val="00B3549C"/>
    <w:rsid w:val="00B35D9E"/>
    <w:rsid w:val="00B36FA6"/>
    <w:rsid w:val="00B416F0"/>
    <w:rsid w:val="00B41FD3"/>
    <w:rsid w:val="00B42046"/>
    <w:rsid w:val="00B43466"/>
    <w:rsid w:val="00B451A5"/>
    <w:rsid w:val="00B45EE1"/>
    <w:rsid w:val="00B46733"/>
    <w:rsid w:val="00B54E92"/>
    <w:rsid w:val="00B572B5"/>
    <w:rsid w:val="00B60297"/>
    <w:rsid w:val="00B60E64"/>
    <w:rsid w:val="00B617F9"/>
    <w:rsid w:val="00B63250"/>
    <w:rsid w:val="00B64C27"/>
    <w:rsid w:val="00B66A92"/>
    <w:rsid w:val="00B66BD0"/>
    <w:rsid w:val="00B67376"/>
    <w:rsid w:val="00B70EBF"/>
    <w:rsid w:val="00B72700"/>
    <w:rsid w:val="00B73746"/>
    <w:rsid w:val="00B749EA"/>
    <w:rsid w:val="00B7631C"/>
    <w:rsid w:val="00B76BB7"/>
    <w:rsid w:val="00B80059"/>
    <w:rsid w:val="00B80594"/>
    <w:rsid w:val="00B80609"/>
    <w:rsid w:val="00B80B7C"/>
    <w:rsid w:val="00B82D1A"/>
    <w:rsid w:val="00B83F3F"/>
    <w:rsid w:val="00B8400B"/>
    <w:rsid w:val="00B8416D"/>
    <w:rsid w:val="00B84DC3"/>
    <w:rsid w:val="00B85438"/>
    <w:rsid w:val="00B86FAE"/>
    <w:rsid w:val="00B90346"/>
    <w:rsid w:val="00B90C20"/>
    <w:rsid w:val="00B90CB5"/>
    <w:rsid w:val="00B9185D"/>
    <w:rsid w:val="00B92777"/>
    <w:rsid w:val="00B92BB0"/>
    <w:rsid w:val="00B93D0F"/>
    <w:rsid w:val="00B95087"/>
    <w:rsid w:val="00B9736E"/>
    <w:rsid w:val="00BA0C4C"/>
    <w:rsid w:val="00BA35F8"/>
    <w:rsid w:val="00BA422E"/>
    <w:rsid w:val="00BA46B1"/>
    <w:rsid w:val="00BA4907"/>
    <w:rsid w:val="00BA59EB"/>
    <w:rsid w:val="00BA5B5B"/>
    <w:rsid w:val="00BA69D3"/>
    <w:rsid w:val="00BB0B64"/>
    <w:rsid w:val="00BB1A8F"/>
    <w:rsid w:val="00BB26C9"/>
    <w:rsid w:val="00BB31BD"/>
    <w:rsid w:val="00BB388D"/>
    <w:rsid w:val="00BB3F0F"/>
    <w:rsid w:val="00BB3FA1"/>
    <w:rsid w:val="00BB4B8A"/>
    <w:rsid w:val="00BB4F8E"/>
    <w:rsid w:val="00BB5324"/>
    <w:rsid w:val="00BB55DC"/>
    <w:rsid w:val="00BB5E84"/>
    <w:rsid w:val="00BB71B3"/>
    <w:rsid w:val="00BB7DB0"/>
    <w:rsid w:val="00BC107F"/>
    <w:rsid w:val="00BC1513"/>
    <w:rsid w:val="00BC1EDC"/>
    <w:rsid w:val="00BC2711"/>
    <w:rsid w:val="00BC33FD"/>
    <w:rsid w:val="00BC3DCA"/>
    <w:rsid w:val="00BC49E8"/>
    <w:rsid w:val="00BC4A62"/>
    <w:rsid w:val="00BC5BAA"/>
    <w:rsid w:val="00BD1584"/>
    <w:rsid w:val="00BD1CFF"/>
    <w:rsid w:val="00BD24F1"/>
    <w:rsid w:val="00BD3534"/>
    <w:rsid w:val="00BD608A"/>
    <w:rsid w:val="00BD793A"/>
    <w:rsid w:val="00BD7A36"/>
    <w:rsid w:val="00BE473C"/>
    <w:rsid w:val="00BE4B9E"/>
    <w:rsid w:val="00BE6AC4"/>
    <w:rsid w:val="00BE6E00"/>
    <w:rsid w:val="00BF0C32"/>
    <w:rsid w:val="00BF230D"/>
    <w:rsid w:val="00BF2CB9"/>
    <w:rsid w:val="00BF30BD"/>
    <w:rsid w:val="00BF36E0"/>
    <w:rsid w:val="00BF3FBC"/>
    <w:rsid w:val="00BF58A3"/>
    <w:rsid w:val="00BF5AE5"/>
    <w:rsid w:val="00BF6F73"/>
    <w:rsid w:val="00C00AF2"/>
    <w:rsid w:val="00C03080"/>
    <w:rsid w:val="00C0429A"/>
    <w:rsid w:val="00C048A0"/>
    <w:rsid w:val="00C04A4C"/>
    <w:rsid w:val="00C04E9D"/>
    <w:rsid w:val="00C0500B"/>
    <w:rsid w:val="00C06D24"/>
    <w:rsid w:val="00C07802"/>
    <w:rsid w:val="00C07EA0"/>
    <w:rsid w:val="00C100AC"/>
    <w:rsid w:val="00C106CB"/>
    <w:rsid w:val="00C1091E"/>
    <w:rsid w:val="00C12B9B"/>
    <w:rsid w:val="00C12F0F"/>
    <w:rsid w:val="00C131E4"/>
    <w:rsid w:val="00C13FE9"/>
    <w:rsid w:val="00C14323"/>
    <w:rsid w:val="00C150A9"/>
    <w:rsid w:val="00C151ED"/>
    <w:rsid w:val="00C156F7"/>
    <w:rsid w:val="00C1708E"/>
    <w:rsid w:val="00C170A1"/>
    <w:rsid w:val="00C17BEA"/>
    <w:rsid w:val="00C2008B"/>
    <w:rsid w:val="00C2142A"/>
    <w:rsid w:val="00C21642"/>
    <w:rsid w:val="00C21DB4"/>
    <w:rsid w:val="00C223C7"/>
    <w:rsid w:val="00C22792"/>
    <w:rsid w:val="00C23186"/>
    <w:rsid w:val="00C23B6D"/>
    <w:rsid w:val="00C23CB8"/>
    <w:rsid w:val="00C23F6D"/>
    <w:rsid w:val="00C24459"/>
    <w:rsid w:val="00C263AA"/>
    <w:rsid w:val="00C30164"/>
    <w:rsid w:val="00C30968"/>
    <w:rsid w:val="00C3241C"/>
    <w:rsid w:val="00C33245"/>
    <w:rsid w:val="00C3388C"/>
    <w:rsid w:val="00C3404B"/>
    <w:rsid w:val="00C34DB3"/>
    <w:rsid w:val="00C3587A"/>
    <w:rsid w:val="00C368B6"/>
    <w:rsid w:val="00C368E3"/>
    <w:rsid w:val="00C36AC0"/>
    <w:rsid w:val="00C41835"/>
    <w:rsid w:val="00C432E8"/>
    <w:rsid w:val="00C43568"/>
    <w:rsid w:val="00C44497"/>
    <w:rsid w:val="00C446D8"/>
    <w:rsid w:val="00C46DA4"/>
    <w:rsid w:val="00C51086"/>
    <w:rsid w:val="00C51C1B"/>
    <w:rsid w:val="00C53D72"/>
    <w:rsid w:val="00C54069"/>
    <w:rsid w:val="00C57A31"/>
    <w:rsid w:val="00C60D60"/>
    <w:rsid w:val="00C613F3"/>
    <w:rsid w:val="00C61779"/>
    <w:rsid w:val="00C620FD"/>
    <w:rsid w:val="00C622B3"/>
    <w:rsid w:val="00C62E9A"/>
    <w:rsid w:val="00C644A4"/>
    <w:rsid w:val="00C700A2"/>
    <w:rsid w:val="00C702BB"/>
    <w:rsid w:val="00C71C58"/>
    <w:rsid w:val="00C7202A"/>
    <w:rsid w:val="00C72591"/>
    <w:rsid w:val="00C72632"/>
    <w:rsid w:val="00C7343B"/>
    <w:rsid w:val="00C73AE8"/>
    <w:rsid w:val="00C73CFF"/>
    <w:rsid w:val="00C743F2"/>
    <w:rsid w:val="00C75F43"/>
    <w:rsid w:val="00C7701D"/>
    <w:rsid w:val="00C80164"/>
    <w:rsid w:val="00C8023D"/>
    <w:rsid w:val="00C80D86"/>
    <w:rsid w:val="00C81710"/>
    <w:rsid w:val="00C817CB"/>
    <w:rsid w:val="00C847AC"/>
    <w:rsid w:val="00C8493C"/>
    <w:rsid w:val="00C85958"/>
    <w:rsid w:val="00C86D33"/>
    <w:rsid w:val="00C9026A"/>
    <w:rsid w:val="00C9062C"/>
    <w:rsid w:val="00C9084A"/>
    <w:rsid w:val="00C90B14"/>
    <w:rsid w:val="00C92CF4"/>
    <w:rsid w:val="00C93876"/>
    <w:rsid w:val="00C94ABE"/>
    <w:rsid w:val="00C94DC2"/>
    <w:rsid w:val="00C950C3"/>
    <w:rsid w:val="00C95D0B"/>
    <w:rsid w:val="00C970CE"/>
    <w:rsid w:val="00C97698"/>
    <w:rsid w:val="00CA0F6B"/>
    <w:rsid w:val="00CA1693"/>
    <w:rsid w:val="00CA219F"/>
    <w:rsid w:val="00CA3196"/>
    <w:rsid w:val="00CA3F4F"/>
    <w:rsid w:val="00CA50C7"/>
    <w:rsid w:val="00CA5142"/>
    <w:rsid w:val="00CA5546"/>
    <w:rsid w:val="00CA58B0"/>
    <w:rsid w:val="00CA6A32"/>
    <w:rsid w:val="00CA6BB3"/>
    <w:rsid w:val="00CB0249"/>
    <w:rsid w:val="00CB1B74"/>
    <w:rsid w:val="00CB2F77"/>
    <w:rsid w:val="00CB32B5"/>
    <w:rsid w:val="00CB35C1"/>
    <w:rsid w:val="00CB45C5"/>
    <w:rsid w:val="00CB48CC"/>
    <w:rsid w:val="00CB48F7"/>
    <w:rsid w:val="00CB7D2F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904"/>
    <w:rsid w:val="00CD1DA1"/>
    <w:rsid w:val="00CD3444"/>
    <w:rsid w:val="00CD3873"/>
    <w:rsid w:val="00CD3BDC"/>
    <w:rsid w:val="00CD3CAD"/>
    <w:rsid w:val="00CD6982"/>
    <w:rsid w:val="00CD7C54"/>
    <w:rsid w:val="00CE0003"/>
    <w:rsid w:val="00CE2E03"/>
    <w:rsid w:val="00CE32D9"/>
    <w:rsid w:val="00CE3FB5"/>
    <w:rsid w:val="00CE4259"/>
    <w:rsid w:val="00CE4421"/>
    <w:rsid w:val="00CE448E"/>
    <w:rsid w:val="00CE4DFD"/>
    <w:rsid w:val="00CE5508"/>
    <w:rsid w:val="00CE594E"/>
    <w:rsid w:val="00CF29D2"/>
    <w:rsid w:val="00CF2C30"/>
    <w:rsid w:val="00CF306A"/>
    <w:rsid w:val="00CF31A7"/>
    <w:rsid w:val="00CF3C75"/>
    <w:rsid w:val="00CF46B2"/>
    <w:rsid w:val="00CF4BD1"/>
    <w:rsid w:val="00CF66B5"/>
    <w:rsid w:val="00D00B5A"/>
    <w:rsid w:val="00D01084"/>
    <w:rsid w:val="00D01712"/>
    <w:rsid w:val="00D0274E"/>
    <w:rsid w:val="00D03534"/>
    <w:rsid w:val="00D0594D"/>
    <w:rsid w:val="00D06296"/>
    <w:rsid w:val="00D06A7C"/>
    <w:rsid w:val="00D06CB2"/>
    <w:rsid w:val="00D07F77"/>
    <w:rsid w:val="00D121CF"/>
    <w:rsid w:val="00D126C3"/>
    <w:rsid w:val="00D12AB6"/>
    <w:rsid w:val="00D12AD3"/>
    <w:rsid w:val="00D12DAF"/>
    <w:rsid w:val="00D1314A"/>
    <w:rsid w:val="00D1379B"/>
    <w:rsid w:val="00D15CF3"/>
    <w:rsid w:val="00D162AB"/>
    <w:rsid w:val="00D1728E"/>
    <w:rsid w:val="00D2098D"/>
    <w:rsid w:val="00D218E5"/>
    <w:rsid w:val="00D22033"/>
    <w:rsid w:val="00D2248D"/>
    <w:rsid w:val="00D22A7D"/>
    <w:rsid w:val="00D22E11"/>
    <w:rsid w:val="00D23044"/>
    <w:rsid w:val="00D23658"/>
    <w:rsid w:val="00D23B3B"/>
    <w:rsid w:val="00D25150"/>
    <w:rsid w:val="00D25252"/>
    <w:rsid w:val="00D25AB2"/>
    <w:rsid w:val="00D26C77"/>
    <w:rsid w:val="00D27261"/>
    <w:rsid w:val="00D27375"/>
    <w:rsid w:val="00D32471"/>
    <w:rsid w:val="00D34DD6"/>
    <w:rsid w:val="00D34E3B"/>
    <w:rsid w:val="00D35851"/>
    <w:rsid w:val="00D36C61"/>
    <w:rsid w:val="00D37876"/>
    <w:rsid w:val="00D37F32"/>
    <w:rsid w:val="00D40E57"/>
    <w:rsid w:val="00D41D29"/>
    <w:rsid w:val="00D439DF"/>
    <w:rsid w:val="00D43C67"/>
    <w:rsid w:val="00D453EB"/>
    <w:rsid w:val="00D45B27"/>
    <w:rsid w:val="00D4622E"/>
    <w:rsid w:val="00D46D80"/>
    <w:rsid w:val="00D471EF"/>
    <w:rsid w:val="00D50683"/>
    <w:rsid w:val="00D509F4"/>
    <w:rsid w:val="00D50BF9"/>
    <w:rsid w:val="00D52702"/>
    <w:rsid w:val="00D527FA"/>
    <w:rsid w:val="00D53A53"/>
    <w:rsid w:val="00D55DF4"/>
    <w:rsid w:val="00D5649D"/>
    <w:rsid w:val="00D603D3"/>
    <w:rsid w:val="00D6096D"/>
    <w:rsid w:val="00D60F06"/>
    <w:rsid w:val="00D61481"/>
    <w:rsid w:val="00D6268C"/>
    <w:rsid w:val="00D63B0D"/>
    <w:rsid w:val="00D64669"/>
    <w:rsid w:val="00D648F5"/>
    <w:rsid w:val="00D6607E"/>
    <w:rsid w:val="00D66716"/>
    <w:rsid w:val="00D66A5D"/>
    <w:rsid w:val="00D700FC"/>
    <w:rsid w:val="00D70263"/>
    <w:rsid w:val="00D744FF"/>
    <w:rsid w:val="00D755C5"/>
    <w:rsid w:val="00D76974"/>
    <w:rsid w:val="00D81003"/>
    <w:rsid w:val="00D810C3"/>
    <w:rsid w:val="00D82BE4"/>
    <w:rsid w:val="00D84468"/>
    <w:rsid w:val="00D8468F"/>
    <w:rsid w:val="00D84B96"/>
    <w:rsid w:val="00D85101"/>
    <w:rsid w:val="00D85B72"/>
    <w:rsid w:val="00D86445"/>
    <w:rsid w:val="00D86A52"/>
    <w:rsid w:val="00D86A70"/>
    <w:rsid w:val="00D878CB"/>
    <w:rsid w:val="00D87F26"/>
    <w:rsid w:val="00D905E0"/>
    <w:rsid w:val="00D91BC3"/>
    <w:rsid w:val="00D9327B"/>
    <w:rsid w:val="00D94D86"/>
    <w:rsid w:val="00D95693"/>
    <w:rsid w:val="00D96E24"/>
    <w:rsid w:val="00D97C06"/>
    <w:rsid w:val="00DA1771"/>
    <w:rsid w:val="00DA248E"/>
    <w:rsid w:val="00DA2D19"/>
    <w:rsid w:val="00DA32B4"/>
    <w:rsid w:val="00DA38BF"/>
    <w:rsid w:val="00DA48CE"/>
    <w:rsid w:val="00DA5C34"/>
    <w:rsid w:val="00DB01EC"/>
    <w:rsid w:val="00DB033A"/>
    <w:rsid w:val="00DB2944"/>
    <w:rsid w:val="00DB2CC7"/>
    <w:rsid w:val="00DB38A5"/>
    <w:rsid w:val="00DB42CE"/>
    <w:rsid w:val="00DB61A5"/>
    <w:rsid w:val="00DB7DDB"/>
    <w:rsid w:val="00DC1AFB"/>
    <w:rsid w:val="00DC235A"/>
    <w:rsid w:val="00DC2C28"/>
    <w:rsid w:val="00DC3476"/>
    <w:rsid w:val="00DC423C"/>
    <w:rsid w:val="00DC493F"/>
    <w:rsid w:val="00DC5C08"/>
    <w:rsid w:val="00DD0923"/>
    <w:rsid w:val="00DD0B71"/>
    <w:rsid w:val="00DD0B97"/>
    <w:rsid w:val="00DD20E4"/>
    <w:rsid w:val="00DD51E7"/>
    <w:rsid w:val="00DD6D69"/>
    <w:rsid w:val="00DE0D29"/>
    <w:rsid w:val="00DE0F90"/>
    <w:rsid w:val="00DE1455"/>
    <w:rsid w:val="00DE182E"/>
    <w:rsid w:val="00DE1AED"/>
    <w:rsid w:val="00DE1B03"/>
    <w:rsid w:val="00DE1CC9"/>
    <w:rsid w:val="00DE1EB5"/>
    <w:rsid w:val="00DE2482"/>
    <w:rsid w:val="00DE2D37"/>
    <w:rsid w:val="00DE3017"/>
    <w:rsid w:val="00DE3A39"/>
    <w:rsid w:val="00DE3B51"/>
    <w:rsid w:val="00DE4426"/>
    <w:rsid w:val="00DE522A"/>
    <w:rsid w:val="00DE586C"/>
    <w:rsid w:val="00DE604F"/>
    <w:rsid w:val="00DE60C3"/>
    <w:rsid w:val="00DE64B2"/>
    <w:rsid w:val="00DE7355"/>
    <w:rsid w:val="00DE7D0C"/>
    <w:rsid w:val="00DF04F7"/>
    <w:rsid w:val="00DF0DF3"/>
    <w:rsid w:val="00DF20D1"/>
    <w:rsid w:val="00DF379D"/>
    <w:rsid w:val="00DF53AC"/>
    <w:rsid w:val="00DF58DD"/>
    <w:rsid w:val="00DF5A86"/>
    <w:rsid w:val="00DF6990"/>
    <w:rsid w:val="00DF7649"/>
    <w:rsid w:val="00DF7A39"/>
    <w:rsid w:val="00E016A2"/>
    <w:rsid w:val="00E01821"/>
    <w:rsid w:val="00E0206C"/>
    <w:rsid w:val="00E03538"/>
    <w:rsid w:val="00E03C20"/>
    <w:rsid w:val="00E0409F"/>
    <w:rsid w:val="00E04821"/>
    <w:rsid w:val="00E052C6"/>
    <w:rsid w:val="00E068F8"/>
    <w:rsid w:val="00E1045E"/>
    <w:rsid w:val="00E10A87"/>
    <w:rsid w:val="00E1344C"/>
    <w:rsid w:val="00E153DB"/>
    <w:rsid w:val="00E1595A"/>
    <w:rsid w:val="00E16C9F"/>
    <w:rsid w:val="00E176E7"/>
    <w:rsid w:val="00E17E52"/>
    <w:rsid w:val="00E20CD8"/>
    <w:rsid w:val="00E227A1"/>
    <w:rsid w:val="00E22856"/>
    <w:rsid w:val="00E234C7"/>
    <w:rsid w:val="00E24137"/>
    <w:rsid w:val="00E24E43"/>
    <w:rsid w:val="00E30095"/>
    <w:rsid w:val="00E30607"/>
    <w:rsid w:val="00E319F5"/>
    <w:rsid w:val="00E31D0D"/>
    <w:rsid w:val="00E32E4A"/>
    <w:rsid w:val="00E335A2"/>
    <w:rsid w:val="00E3420D"/>
    <w:rsid w:val="00E34F87"/>
    <w:rsid w:val="00E364AC"/>
    <w:rsid w:val="00E36559"/>
    <w:rsid w:val="00E36E71"/>
    <w:rsid w:val="00E40713"/>
    <w:rsid w:val="00E40D66"/>
    <w:rsid w:val="00E40E0D"/>
    <w:rsid w:val="00E41CDC"/>
    <w:rsid w:val="00E43085"/>
    <w:rsid w:val="00E441A8"/>
    <w:rsid w:val="00E44ED7"/>
    <w:rsid w:val="00E45650"/>
    <w:rsid w:val="00E46E7D"/>
    <w:rsid w:val="00E47748"/>
    <w:rsid w:val="00E51573"/>
    <w:rsid w:val="00E5168C"/>
    <w:rsid w:val="00E5248C"/>
    <w:rsid w:val="00E524FC"/>
    <w:rsid w:val="00E53044"/>
    <w:rsid w:val="00E53091"/>
    <w:rsid w:val="00E536FF"/>
    <w:rsid w:val="00E5591F"/>
    <w:rsid w:val="00E56D4B"/>
    <w:rsid w:val="00E611A7"/>
    <w:rsid w:val="00E61562"/>
    <w:rsid w:val="00E62134"/>
    <w:rsid w:val="00E62451"/>
    <w:rsid w:val="00E631B4"/>
    <w:rsid w:val="00E63D63"/>
    <w:rsid w:val="00E65541"/>
    <w:rsid w:val="00E665C9"/>
    <w:rsid w:val="00E66F02"/>
    <w:rsid w:val="00E677C7"/>
    <w:rsid w:val="00E71E2E"/>
    <w:rsid w:val="00E74AE9"/>
    <w:rsid w:val="00E75BB8"/>
    <w:rsid w:val="00E761A1"/>
    <w:rsid w:val="00E77839"/>
    <w:rsid w:val="00E77D62"/>
    <w:rsid w:val="00E80DEB"/>
    <w:rsid w:val="00E818E9"/>
    <w:rsid w:val="00E8206D"/>
    <w:rsid w:val="00E82218"/>
    <w:rsid w:val="00E830AC"/>
    <w:rsid w:val="00E84813"/>
    <w:rsid w:val="00E849C2"/>
    <w:rsid w:val="00E860EA"/>
    <w:rsid w:val="00E86315"/>
    <w:rsid w:val="00E86340"/>
    <w:rsid w:val="00E90379"/>
    <w:rsid w:val="00E909E2"/>
    <w:rsid w:val="00E9143E"/>
    <w:rsid w:val="00E91440"/>
    <w:rsid w:val="00E91D94"/>
    <w:rsid w:val="00E92E3E"/>
    <w:rsid w:val="00E93854"/>
    <w:rsid w:val="00E940DF"/>
    <w:rsid w:val="00E94154"/>
    <w:rsid w:val="00EA2EE1"/>
    <w:rsid w:val="00EA339B"/>
    <w:rsid w:val="00EA3F3F"/>
    <w:rsid w:val="00EA3F88"/>
    <w:rsid w:val="00EA630C"/>
    <w:rsid w:val="00EA6568"/>
    <w:rsid w:val="00EB0C28"/>
    <w:rsid w:val="00EB5ECF"/>
    <w:rsid w:val="00EB6A20"/>
    <w:rsid w:val="00EB7F64"/>
    <w:rsid w:val="00EC030F"/>
    <w:rsid w:val="00EC1B93"/>
    <w:rsid w:val="00EC2827"/>
    <w:rsid w:val="00EC2C14"/>
    <w:rsid w:val="00EC3422"/>
    <w:rsid w:val="00EC3FCB"/>
    <w:rsid w:val="00EC45E9"/>
    <w:rsid w:val="00EC4CF2"/>
    <w:rsid w:val="00EC4D93"/>
    <w:rsid w:val="00EC4E6F"/>
    <w:rsid w:val="00EC6544"/>
    <w:rsid w:val="00EC6F1E"/>
    <w:rsid w:val="00ED009A"/>
    <w:rsid w:val="00ED09F6"/>
    <w:rsid w:val="00ED1434"/>
    <w:rsid w:val="00ED1F3E"/>
    <w:rsid w:val="00ED6D08"/>
    <w:rsid w:val="00ED6FE2"/>
    <w:rsid w:val="00ED7412"/>
    <w:rsid w:val="00ED7455"/>
    <w:rsid w:val="00ED76D2"/>
    <w:rsid w:val="00EE00B8"/>
    <w:rsid w:val="00EE2696"/>
    <w:rsid w:val="00EE5B34"/>
    <w:rsid w:val="00EE6CA0"/>
    <w:rsid w:val="00EE76BD"/>
    <w:rsid w:val="00EE771E"/>
    <w:rsid w:val="00EE7DA3"/>
    <w:rsid w:val="00EF2098"/>
    <w:rsid w:val="00EF31F8"/>
    <w:rsid w:val="00EF662C"/>
    <w:rsid w:val="00EF6BC2"/>
    <w:rsid w:val="00EF77D7"/>
    <w:rsid w:val="00EF7B4B"/>
    <w:rsid w:val="00F033FF"/>
    <w:rsid w:val="00F054BF"/>
    <w:rsid w:val="00F05E14"/>
    <w:rsid w:val="00F063BE"/>
    <w:rsid w:val="00F06923"/>
    <w:rsid w:val="00F06DE0"/>
    <w:rsid w:val="00F0756A"/>
    <w:rsid w:val="00F101E3"/>
    <w:rsid w:val="00F10F54"/>
    <w:rsid w:val="00F124B4"/>
    <w:rsid w:val="00F13DB0"/>
    <w:rsid w:val="00F1460A"/>
    <w:rsid w:val="00F148E9"/>
    <w:rsid w:val="00F1797F"/>
    <w:rsid w:val="00F20010"/>
    <w:rsid w:val="00F21015"/>
    <w:rsid w:val="00F21A85"/>
    <w:rsid w:val="00F231BC"/>
    <w:rsid w:val="00F232E7"/>
    <w:rsid w:val="00F2347A"/>
    <w:rsid w:val="00F23C45"/>
    <w:rsid w:val="00F2424E"/>
    <w:rsid w:val="00F25D8A"/>
    <w:rsid w:val="00F26F4A"/>
    <w:rsid w:val="00F27448"/>
    <w:rsid w:val="00F30F33"/>
    <w:rsid w:val="00F31806"/>
    <w:rsid w:val="00F32DD2"/>
    <w:rsid w:val="00F33C09"/>
    <w:rsid w:val="00F350C0"/>
    <w:rsid w:val="00F356A6"/>
    <w:rsid w:val="00F35FA2"/>
    <w:rsid w:val="00F360A2"/>
    <w:rsid w:val="00F36D5B"/>
    <w:rsid w:val="00F37CE3"/>
    <w:rsid w:val="00F37DEF"/>
    <w:rsid w:val="00F413E1"/>
    <w:rsid w:val="00F43BE7"/>
    <w:rsid w:val="00F45CD9"/>
    <w:rsid w:val="00F46A1B"/>
    <w:rsid w:val="00F4754B"/>
    <w:rsid w:val="00F477BE"/>
    <w:rsid w:val="00F50AD6"/>
    <w:rsid w:val="00F522ED"/>
    <w:rsid w:val="00F56B61"/>
    <w:rsid w:val="00F573EA"/>
    <w:rsid w:val="00F57807"/>
    <w:rsid w:val="00F624B0"/>
    <w:rsid w:val="00F62568"/>
    <w:rsid w:val="00F62ED1"/>
    <w:rsid w:val="00F64530"/>
    <w:rsid w:val="00F671B2"/>
    <w:rsid w:val="00F67941"/>
    <w:rsid w:val="00F67A47"/>
    <w:rsid w:val="00F67B96"/>
    <w:rsid w:val="00F70A83"/>
    <w:rsid w:val="00F70E9A"/>
    <w:rsid w:val="00F71081"/>
    <w:rsid w:val="00F71479"/>
    <w:rsid w:val="00F71FE6"/>
    <w:rsid w:val="00F7244B"/>
    <w:rsid w:val="00F75CB4"/>
    <w:rsid w:val="00F76339"/>
    <w:rsid w:val="00F77BCC"/>
    <w:rsid w:val="00F77F20"/>
    <w:rsid w:val="00F8212C"/>
    <w:rsid w:val="00F82681"/>
    <w:rsid w:val="00F82D6D"/>
    <w:rsid w:val="00F83EAF"/>
    <w:rsid w:val="00F86377"/>
    <w:rsid w:val="00F86BA8"/>
    <w:rsid w:val="00F873CC"/>
    <w:rsid w:val="00F878FF"/>
    <w:rsid w:val="00F90BC8"/>
    <w:rsid w:val="00F91CE8"/>
    <w:rsid w:val="00F922EC"/>
    <w:rsid w:val="00F93012"/>
    <w:rsid w:val="00F95821"/>
    <w:rsid w:val="00F966CA"/>
    <w:rsid w:val="00FA0C1C"/>
    <w:rsid w:val="00FA1055"/>
    <w:rsid w:val="00FA1A9C"/>
    <w:rsid w:val="00FA1C7B"/>
    <w:rsid w:val="00FA2451"/>
    <w:rsid w:val="00FA2520"/>
    <w:rsid w:val="00FA475C"/>
    <w:rsid w:val="00FA578F"/>
    <w:rsid w:val="00FA71DB"/>
    <w:rsid w:val="00FB04A6"/>
    <w:rsid w:val="00FB0537"/>
    <w:rsid w:val="00FB0896"/>
    <w:rsid w:val="00FB26DB"/>
    <w:rsid w:val="00FB2738"/>
    <w:rsid w:val="00FB3007"/>
    <w:rsid w:val="00FB31D6"/>
    <w:rsid w:val="00FB436C"/>
    <w:rsid w:val="00FB43CF"/>
    <w:rsid w:val="00FB45D7"/>
    <w:rsid w:val="00FB5801"/>
    <w:rsid w:val="00FC0528"/>
    <w:rsid w:val="00FC0600"/>
    <w:rsid w:val="00FC11C1"/>
    <w:rsid w:val="00FC2664"/>
    <w:rsid w:val="00FC2E96"/>
    <w:rsid w:val="00FC35B5"/>
    <w:rsid w:val="00FC43EA"/>
    <w:rsid w:val="00FC5086"/>
    <w:rsid w:val="00FC5FB0"/>
    <w:rsid w:val="00FC6D06"/>
    <w:rsid w:val="00FC7AB0"/>
    <w:rsid w:val="00FD0E5B"/>
    <w:rsid w:val="00FD16FC"/>
    <w:rsid w:val="00FD1C7A"/>
    <w:rsid w:val="00FD2C06"/>
    <w:rsid w:val="00FD350F"/>
    <w:rsid w:val="00FD430C"/>
    <w:rsid w:val="00FD4F10"/>
    <w:rsid w:val="00FD551E"/>
    <w:rsid w:val="00FD5C02"/>
    <w:rsid w:val="00FD6667"/>
    <w:rsid w:val="00FD7AB0"/>
    <w:rsid w:val="00FE002E"/>
    <w:rsid w:val="00FE04FF"/>
    <w:rsid w:val="00FE0FF1"/>
    <w:rsid w:val="00FE3696"/>
    <w:rsid w:val="00FE3A1B"/>
    <w:rsid w:val="00FE476F"/>
    <w:rsid w:val="00FE4F22"/>
    <w:rsid w:val="00FE5A45"/>
    <w:rsid w:val="00FE69A6"/>
    <w:rsid w:val="00FE78CD"/>
    <w:rsid w:val="00FF01D7"/>
    <w:rsid w:val="00FF0397"/>
    <w:rsid w:val="00FF0D9E"/>
    <w:rsid w:val="00FF2091"/>
    <w:rsid w:val="00FF27C2"/>
    <w:rsid w:val="00FF306D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6CC0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numberedparagraph">
    <w:name w:val="numbered paragraph"/>
    <w:basedOn w:val="Normal"/>
    <w:qFormat/>
    <w:rsid w:val="00C46DA4"/>
    <w:pPr>
      <w:numPr>
        <w:numId w:val="41"/>
      </w:numPr>
      <w:spacing w:before="240" w:after="120" w:line="276" w:lineRule="auto"/>
      <w:jc w:val="both"/>
    </w:pPr>
    <w:rPr>
      <w:rFonts w:asciiTheme="minorHAnsi" w:eastAsiaTheme="minorEastAsia" w:hAnsiTheme="minorHAnsi" w:cstheme="minorBidi"/>
      <w:color w:val="auto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552C3-4C8A-4AA6-B74A-007EE11284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12D869-C3CE-4F48-911E-3D3431FDA9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053F01-EB30-4518-AE8E-8DE48F99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17560</Words>
  <Characters>133676</Characters>
  <Application>Microsoft Office Word</Application>
  <DocSecurity>0</DocSecurity>
  <Lines>3108</Lines>
  <Paragraphs>1758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149478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2020-12-11T10:02:00Z</dcterms:created>
  <dcterms:modified xsi:type="dcterms:W3CDTF">2020-12-11T10:02:00Z</dcterms:modified>
</cp:coreProperties>
</file>