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XXIII. MELLÉKLET</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ÚTMUTATÓ A LEJÁRATI TÁBLÁRA VONATKOZÓ ADATSZOLGÁLTATÁSHOZ</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3990C87A" w14:textId="6A13744F" w:rsidR="0019272B" w:rsidRPr="0019272B" w:rsidRDefault="00391EF9">
      <w:pPr>
        <w:pStyle w:val="TOC1"/>
        <w:rPr>
          <w:rFonts w:asciiTheme="minorHAnsi" w:eastAsiaTheme="minorEastAsia" w:hAnsiTheme="minorHAnsi" w:cstheme="minorBidi"/>
          <w:color w:val="auto"/>
          <w:sz w:val="24"/>
          <w:szCs w:val="24"/>
          <w:lang w:val="en-US"/>
        </w:rPr>
      </w:pPr>
      <w:r w:rsidRPr="0019272B">
        <w:rPr>
          <w:rFonts w:ascii="Times New Roman" w:hAnsi="Times New Roman"/>
          <w:b/>
          <w:sz w:val="24"/>
          <w:szCs w:val="24"/>
        </w:rPr>
        <w:fldChar w:fldCharType="begin"/>
      </w:r>
      <w:r w:rsidRPr="0019272B">
        <w:rPr>
          <w:rFonts w:ascii="Times New Roman" w:hAnsi="Times New Roman"/>
          <w:b/>
          <w:sz w:val="24"/>
          <w:szCs w:val="24"/>
        </w:rPr>
        <w:instrText xml:space="preserve"> TOC \o "1-3" \h \z \u </w:instrText>
      </w:r>
      <w:r w:rsidRPr="0019272B">
        <w:rPr>
          <w:rFonts w:ascii="Times New Roman" w:hAnsi="Times New Roman"/>
          <w:b/>
          <w:sz w:val="24"/>
          <w:szCs w:val="24"/>
        </w:rPr>
        <w:fldChar w:fldCharType="separate"/>
      </w:r>
      <w:hyperlink w:anchor="_Toc58852098" w:history="1">
        <w:r w:rsidR="0019272B" w:rsidRPr="0019272B">
          <w:rPr>
            <w:rStyle w:val="Hyperlink"/>
            <w:rFonts w:ascii="Times New Roman" w:hAnsi="Times New Roman"/>
            <w:b/>
            <w:sz w:val="24"/>
            <w:szCs w:val="24"/>
          </w:rPr>
          <w:t>I. RÉSZ: ÁLTALÁNOS ÚTMUTATÓ</w:t>
        </w:r>
        <w:r w:rsidR="0019272B" w:rsidRPr="0019272B">
          <w:rPr>
            <w:webHidden/>
            <w:sz w:val="24"/>
            <w:szCs w:val="24"/>
          </w:rPr>
          <w:tab/>
        </w:r>
        <w:r w:rsidR="0019272B" w:rsidRPr="0019272B">
          <w:rPr>
            <w:webHidden/>
            <w:sz w:val="24"/>
            <w:szCs w:val="24"/>
          </w:rPr>
          <w:fldChar w:fldCharType="begin"/>
        </w:r>
        <w:r w:rsidR="0019272B" w:rsidRPr="0019272B">
          <w:rPr>
            <w:webHidden/>
            <w:sz w:val="24"/>
            <w:szCs w:val="24"/>
          </w:rPr>
          <w:instrText xml:space="preserve"> PAGEREF _Toc58852098 \h </w:instrText>
        </w:r>
        <w:r w:rsidR="0019272B" w:rsidRPr="0019272B">
          <w:rPr>
            <w:webHidden/>
            <w:sz w:val="24"/>
            <w:szCs w:val="24"/>
          </w:rPr>
        </w:r>
        <w:r w:rsidR="0019272B" w:rsidRPr="0019272B">
          <w:rPr>
            <w:webHidden/>
            <w:sz w:val="24"/>
            <w:szCs w:val="24"/>
          </w:rPr>
          <w:fldChar w:fldCharType="separate"/>
        </w:r>
        <w:r w:rsidR="0019272B" w:rsidRPr="0019272B">
          <w:rPr>
            <w:webHidden/>
            <w:sz w:val="24"/>
            <w:szCs w:val="24"/>
          </w:rPr>
          <w:t>2</w:t>
        </w:r>
        <w:r w:rsidR="0019272B" w:rsidRPr="0019272B">
          <w:rPr>
            <w:webHidden/>
            <w:sz w:val="24"/>
            <w:szCs w:val="24"/>
          </w:rPr>
          <w:fldChar w:fldCharType="end"/>
        </w:r>
      </w:hyperlink>
    </w:p>
    <w:p w14:paraId="0267C511" w14:textId="1A620899" w:rsidR="0019272B" w:rsidRPr="0019272B" w:rsidRDefault="0019272B">
      <w:pPr>
        <w:pStyle w:val="TOC1"/>
        <w:rPr>
          <w:rFonts w:asciiTheme="minorHAnsi" w:eastAsiaTheme="minorEastAsia" w:hAnsiTheme="minorHAnsi" w:cstheme="minorBidi"/>
          <w:color w:val="auto"/>
          <w:sz w:val="24"/>
          <w:szCs w:val="24"/>
          <w:lang w:val="en-US"/>
        </w:rPr>
      </w:pPr>
      <w:hyperlink w:anchor="_Toc58852099" w:history="1">
        <w:r w:rsidRPr="0019272B">
          <w:rPr>
            <w:rStyle w:val="Hyperlink"/>
            <w:rFonts w:ascii="Times New Roman" w:hAnsi="Times New Roman"/>
            <w:b/>
            <w:sz w:val="24"/>
            <w:szCs w:val="24"/>
          </w:rPr>
          <w:t>II. RÉSZ: A TÁBLA EGYES SORAIRA VONATKOZÓ ÚTMUTATÓ</w:t>
        </w:r>
        <w:r w:rsidRPr="0019272B">
          <w:rPr>
            <w:webHidden/>
            <w:sz w:val="24"/>
            <w:szCs w:val="24"/>
          </w:rPr>
          <w:tab/>
        </w:r>
        <w:r w:rsidRPr="0019272B">
          <w:rPr>
            <w:webHidden/>
            <w:sz w:val="24"/>
            <w:szCs w:val="24"/>
          </w:rPr>
          <w:fldChar w:fldCharType="begin"/>
        </w:r>
        <w:r w:rsidRPr="0019272B">
          <w:rPr>
            <w:webHidden/>
            <w:sz w:val="24"/>
            <w:szCs w:val="24"/>
          </w:rPr>
          <w:instrText xml:space="preserve"> PAGEREF _Toc58852099 \h </w:instrText>
        </w:r>
        <w:r w:rsidRPr="0019272B">
          <w:rPr>
            <w:webHidden/>
            <w:sz w:val="24"/>
            <w:szCs w:val="24"/>
          </w:rPr>
        </w:r>
        <w:r w:rsidRPr="0019272B">
          <w:rPr>
            <w:webHidden/>
            <w:sz w:val="24"/>
            <w:szCs w:val="24"/>
          </w:rPr>
          <w:fldChar w:fldCharType="separate"/>
        </w:r>
        <w:r w:rsidRPr="0019272B">
          <w:rPr>
            <w:webHidden/>
            <w:sz w:val="24"/>
            <w:szCs w:val="24"/>
          </w:rPr>
          <w:t>5</w:t>
        </w:r>
        <w:r w:rsidRPr="0019272B">
          <w:rPr>
            <w:webHidden/>
            <w:sz w:val="24"/>
            <w:szCs w:val="24"/>
          </w:rPr>
          <w:fldChar w:fldCharType="end"/>
        </w:r>
      </w:hyperlink>
    </w:p>
    <w:p w14:paraId="323DFBA7" w14:textId="5140AF45" w:rsidR="000D338D" w:rsidRPr="001A280E" w:rsidRDefault="00391EF9" w:rsidP="00347FF0">
      <w:pPr>
        <w:pStyle w:val="BodyText1"/>
        <w:rPr>
          <w:rFonts w:ascii="Times New Roman" w:hAnsi="Times New Roman"/>
          <w:sz w:val="24"/>
          <w:szCs w:val="24"/>
        </w:rPr>
      </w:pPr>
      <w:r w:rsidRPr="0019272B">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852098"/>
      <w:r>
        <w:rPr>
          <w:rFonts w:ascii="Times New Roman" w:hAnsi="Times New Roman"/>
          <w:b/>
          <w:sz w:val="24"/>
          <w:szCs w:val="24"/>
        </w:rPr>
        <w:lastRenderedPageBreak/>
        <w:t>I. RÉSZ:</w:t>
      </w:r>
      <w:bookmarkEnd w:id="0"/>
      <w:r>
        <w:rPr>
          <w:rFonts w:ascii="Times New Roman" w:hAnsi="Times New Roman"/>
          <w:b/>
          <w:sz w:val="24"/>
          <w:szCs w:val="24"/>
        </w:rPr>
        <w:t xml:space="preserve"> ÁLTALÁNOS ÚTMUTATÓ</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rPr>
      </w:pPr>
      <w:bookmarkStart w:id="5" w:name="_Toc264038399"/>
      <w:bookmarkStart w:id="6" w:name="_Toc294018834"/>
      <w:r>
        <w:rPr>
          <w:bCs/>
          <w:sz w:val="24"/>
        </w:rPr>
        <w:t>1.</w:t>
      </w:r>
      <w:r>
        <w:tab/>
      </w:r>
      <w:r>
        <w:rPr>
          <w:bCs/>
          <w:sz w:val="24"/>
        </w:rPr>
        <w:t>Az intézmények tevékenységében mutatkozó lejárati eltérések („lejárati tábla”) XXII. mellékletben történő bemutatása érdekében az intézmények az e mellékletben meghatározott útmutatót alkalmazzák.</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A lejárati tábla monitorozási eszköz, amely a szerződéses áramlásokat és a függő kiáramlásokat tartalmazza. A jogilag kötelező erejű megállapodásokból eredő szerződéses áramlásokról és az adatszolgáltatás időpontjától számított hátralévő futamidőről az adott megállapodások rendelkezéseinek megfelelően kell adatot szolgáltatni.</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Az intézmények a beáramlásokat nem vehetik többszörösen figyelembe.</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A „Nyitó állomány” oszlopban az adatszolgáltatás időpontjában meglévő állományt kell feltüntetni.</w:t>
      </w:r>
      <w:bookmarkStart w:id="7" w:name="_GoBack"/>
      <w:bookmarkEnd w:id="7"/>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A XXII. mellékletben található táblában kizárólag az üres fehér mezőket kell kitölteni.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A lejárati tábla „Kiáramlások” és „Beáramlások” szakasza tartalmazza valamennyi mérlegen belüli és mérlegen kívüli tételből származó jövőbeli szerződéses pénzáramlásokat. Csak az adatszolgáltatás időpontjában érvényes szerződések szerinti kiáramlásokat és beáramlásokat kell feltüntetni.</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A lejárati tábla „Kiegyensúlyozó kapacitás” című szakaszában azon meg nem terhelt eszközállományt vagy egyéb finanszírozási forrást kell megjeleníteni, amely az adatszolgáltatás időpontjában jogilag és gyakorlatilag az intézmény rendelkezésére áll a potenciális finanszírozási hiányok fedezésére. Csak az adatszolgáltatás időpontjában létező szerződések szerinti kiáramlásokat és beáramlásokat kell feltüntetni.</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A pénzeszköz-kiáramlásokat és -beáramlásokat a megfelelő „Kiáramlások”, illetve „Beáramlások” szakaszban bruttó értéken, pozitív előjellel kell szerepeltetni. A kifizetendő és jóváírandó összegeket a „Kiáramlások”, illetve „Beáramlások” szakaszban kell feltüntetni.</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A lejárati tábla „Kiegyensúlyozó kapacitás” című szakaszában a kiáramlásokat negatív, a beáramlásokat pozitív előjellel, mindkét esetben nettó értéken kell szerepeltetni. A pénzáramlások esetében az esedékes összeget kell feltüntetni. Az értékpapír-áramlásokat aktuális piaci értéken kell szerepeltetni. A hitel- és likviditási keretekben történő áramlásokat a szerződés szerint rendelkezésre álló összeggel kell szerepeltetni.</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A szerződéses áramlásokat hátralévő futamidejük szerint kell megosztani a huszonkét lejárati sáv között; a napok naptári napokat jelentenek.</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Adatot kell szolgáltatni valamennyi szerződéses áramlásról, ezen belül valamennyi nem pénzügyi tevékenységből származó, lényeges pénzáramlásról (adóról, bónuszról, osztalékról és járadékról).</w:t>
      </w:r>
    </w:p>
    <w:p w14:paraId="69B1B78B" w14:textId="77777777" w:rsidR="003A5275" w:rsidRPr="001A280E" w:rsidRDefault="003A5275" w:rsidP="00746E56">
      <w:pPr>
        <w:pStyle w:val="InstructionsText2"/>
        <w:ind w:left="720" w:hanging="360"/>
        <w:rPr>
          <w:rFonts w:eastAsia="Times New Roman"/>
          <w:bCs/>
          <w:sz w:val="24"/>
        </w:rPr>
      </w:pPr>
      <w:r>
        <w:rPr>
          <w:bCs/>
          <w:sz w:val="24"/>
        </w:rPr>
        <w:lastRenderedPageBreak/>
        <w:t>12.</w:t>
      </w:r>
      <w:r>
        <w:tab/>
      </w:r>
      <w:r>
        <w:rPr>
          <w:bCs/>
          <w:sz w:val="24"/>
        </w:rPr>
        <w:t>Az áramlások szerződéses lejáratainak meghatározása során érvényesítendő konzervatív megközelítés érdekében az intézmények biztosítják a következőket:</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fizetési halasztásra vagy bejövő előlegkifizetésre vonatkozó opció esetében azt kell feltételezni, hogy az opciót lehívják, amennyiben ez az intézményből történő kiáramlások előrehozásához vagy az intézménybe történő beáramlások halasztásához vezet;</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amennyiben az intézményből történő kiáramlások előrehozására vonatkozó opció gyakorlása kizárólag az intézmény mérlegelési jogkörébe tartozik, csak akkor feltételezhető, hogy az opciót lehívják, ha ez megfelel az intézménnyel kapcsolatos piaci várakozásnak. Nem feltételezhető, hogy az opciót lehívják, amennyiben ez az intézménybe történő beáramlások előrehozásához vagy az intézményből történő kiáramlások halasztásához vezet. A beáramlással azonos napon kell szerepeltetni az olyan pénzeszköz-kiáramlást, amelyet szerződés alapján a beáramlás idéz elő (pl. közvetítő finanszírozás esetében);</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valamennyi látra szóló és lejárat nélküli betétet egynaposként, a 020-as oszlopban kell szerepeltetni;</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a nyitott repókat, a fordított repókat és a hasonló, bármely fél által bármely napon lezárható ügyleteket egynapos lejáratúnak kell tekinteni, kivéve akkor, ha a felmondási idő egy napnál hosszabb; ebben az esetben a felmondási időnek megfelelő lejárati sávban kell őket feltüntetni;</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feltételezni kell, hogy a lejárat előtti felmondási opcióval rendelkező lekötött lakossági betétek abban az időszakban járnak le, amikor a lejárat előtti felmondás nem jár az (EU) 2015/61 felhatalmazáson alapuló rendelet 25. cikke (4) bekezdésének b) pontja szerinti büntetéssel;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amennyiben az intézmény az e bekezdésben meghatározott szabályok alapján nem képes megállapítani valamely adott tétel vagy annak egy része vonatkozásában a szerződéses kifizetési ütemezés egy minimális menetrendjét, úgy a tételt vagy annak adott részét öt évnél hosszabb lejáratú tételként a 220-as oszlopban tünteti fel.</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A kamatok minden mérlegen belüli és mérlegen kívüli instrumentumból származó ki- és -beáramlását szerepeltetni kell a „kiáramlások” és a „beáramlások” szakasz valamennyi megfelelő tételében.</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A lejáró devizacsere-ügyleteknél a keresztdevizás csereügyletek, a határidős devizaügyletek és a ki nem egyenlített azonnali devizamegállapodások lejáratkori névértékét a tábla vonatkozó lejárati sávjában kell feltüntetni.</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A ki nem egyenlített ügyletekből származó pénzáramlásokat a kiegyenlítésüket megelőző rövid időszakban a megfelelő sorokban és lejárati sávokban kell szerepeltetni.</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Üresen kell hagyni azokat a tételeket, amelyeknél az intézmény nem végez alapul szolgáló üzleti tevékenységet, például egy adott kategóriában nem rendelkezik betéttel.</w:t>
      </w:r>
    </w:p>
    <w:p w14:paraId="3C2CC015" w14:textId="77777777" w:rsidR="003A5275" w:rsidRPr="001A280E" w:rsidRDefault="003A5275" w:rsidP="00746E56">
      <w:pPr>
        <w:pStyle w:val="InstructionsText2"/>
        <w:ind w:left="720" w:hanging="360"/>
        <w:rPr>
          <w:rFonts w:eastAsia="Times New Roman"/>
          <w:bCs/>
          <w:sz w:val="24"/>
        </w:rPr>
      </w:pPr>
      <w:r>
        <w:rPr>
          <w:bCs/>
          <w:sz w:val="24"/>
        </w:rPr>
        <w:lastRenderedPageBreak/>
        <w:t>17.</w:t>
      </w:r>
      <w:r>
        <w:tab/>
      </w:r>
      <w:r>
        <w:rPr>
          <w:bCs/>
          <w:sz w:val="24"/>
        </w:rPr>
        <w:t>Nem kell jelenteni a késedelmes tételeket és azokat a tételeket, amelyek esetében az intézménynek oka van nemteljesítést feltételezni.</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Amennyiben a kapott biztosítékot olyan ügyletben zálogosítják újra el, amelynek lejárata későbbi, mint azé az ügyleté, amelyben az intézmény megkapta a biztosítékot, a kapott biztosíték valós értékének összegével megegyező értékpapír-kiáramlást kell feltüntetni a biztosíték fogadásához vezető ügylet lejáratának megfelelő lejárati sáv kiegyensúlyozó kapacitásra vonatkozó szakaszában.</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A csoporton belüli tételek nem érintik a konszolidált alapon történő adatszolgáltatást.</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5"/>
      <w:bookmarkEnd w:id="6"/>
      <w:bookmarkEnd w:id="8"/>
      <w:r>
        <w:br w:type="page"/>
      </w:r>
      <w:bookmarkStart w:id="10" w:name="_Toc351048504"/>
      <w:bookmarkStart w:id="11" w:name="_Toc359414281"/>
      <w:bookmarkStart w:id="12" w:name="_Toc58852099"/>
      <w:r>
        <w:rPr>
          <w:rFonts w:ascii="Times New Roman" w:hAnsi="Times New Roman"/>
          <w:b/>
          <w:sz w:val="24"/>
          <w:szCs w:val="24"/>
        </w:rPr>
        <w:lastRenderedPageBreak/>
        <w:t>II. RÉSZ: A TÁBLA EGYES SORAIRA VONATKOZÓ ÚTMUTATÓ</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Sor</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Jogszabályi hivatkozások és útmutató</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KIÁRAMLÁSOK</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szCs w:val="24"/>
              </w:rPr>
              <w:t>A pénzeszköz-kiáramlások teljes összegét az alábbi alkategóriákban kell feltüntetni:</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Kibocsátott értékpapírokból eredő kötelezettségek</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Az adatot szolgáltató intézmény által kibocsátott, hitelviszonyt megtestesítő értékpapírokból (vagyis saját kibocsátásból) származó pénzeszköz-kiáramlások.</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lejáró fedezetlen kötvények</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010-es sorban feltüntetett, olyan kibocsátott értékpapírokból származó pénzeszköz-kiáramlások összege, amely értékpapírok az adatot szolgáltató intézmény által harmadik fél részére kibocsátott fedezetlen adósságinstrumentumok</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szabályozott fedezett kötvények</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010-es sorban feltüntetett, olyan kibocsátott értékpapírokból származó pénzeszköz-kiáramlások összege, amely értékpapírok az 575/2013/EU rendelet 129. cikkének (4) vagy (5) bekezdése vagy a 2009/65/EK irányelv 52. cikkének (4) bekezdése szerint kezelhető kötvények.</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lejáró értékpapírosítások</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010-es sorban feltüntetett, olyan kibocsátott értékpapírokból származó pénzeszköz-kiáramlások összege, amely értékpapírok harmadik féllel végrehajtott, az 575/2013/EU rendelet 4. cikke (1) bekezdésének 61. pontja szerinti értékpapírosítások</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egyéb</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010-es sorban feltüntetett, olyan kibocsátott értékpapírokból származó pénzeszköz-kiáramlások összege, amely értékpapírok nem sorolhatók a fenti alkategóriák egyikébe sem.</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rPr>
              <w:t>1.2 Fedezett kölcsönügyletekből és tőkepiac-vezérelt ügyletekből eredő kötelezettségek, a következőkkel fedezve:</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Az 575/2013/EU rendelet 192. cikkében meghatározott fedezett </w:t>
            </w:r>
            <w:r>
              <w:rPr>
                <w:rFonts w:ascii="Times New Roman" w:hAnsi="Times New Roman"/>
                <w:sz w:val="24"/>
                <w:szCs w:val="24"/>
              </w:rPr>
              <w:lastRenderedPageBreak/>
              <w:t>kölcsönügyletből és tőkepiac-vezérelt ügyletből származó összes pénzeszköz-kiáramlás teljes összege.</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Az intézményeknek csak a pénzáramlásokat kell feltüntetniük. A fedezett kölcsönügylethez és a tőkepiac-vezérelt ügyletekhez kapcsolódó értékpapír-áramlásokat a „kiegyensúlyozó kapacitás” szakaszban kell szerepeltetni.</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1. szintű forgalomképes eszközök</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A 070-es sorban feltüntetett olyan pénzeszköz-kiáramlások összege, amelyet olyan forgalomképes eszköz fedez, amely megfelelne az (EU) 2015/61 felhatalmazáson alapuló rendelet 7., 8. és 10. cikkében meghatározott követelményeknek, ha nem az adott ügyletet fedezné.</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1. szintű eszköznek minősülő részvényeit vagy befektetési jegyeit az alábbi alkategóriákban, az alapterméküknek megfelelően kell feltüntetni.</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1. szintű eszközök a fedezett kötvények kivételével</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070-es sorban feltüntetett olyan pénzeszköz-kiáramlások összege, amelyet nem fedezett kötvény fedez.</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1. szintű központi banki eszközök</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080-as sorban feltüntetett olyan pénzeszköz-kiáramlások összege, amelyet központi bankokkal szembeni vagy általuk garantált követeléseket képviselő eszköz fedez.</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1. szintű eszközök (CQS1)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080-as sorban feltüntetett, a 090-es sorban feltüntetetteken kívüli olyan pénzeszköz-kiáramlások összege, amelyet kijelölt külső hitelminősítő intézettől 1-es hitelminőségi besorolást kapott kibocsátóval vagy garantőrrel szembeni vagy általa garantált követeléseket képviselő eszköz fedez.</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1. szintű eszközök (CQS2, CQS3)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080-as sorban feltüntetett, a 090-es sorban feltüntetetteken kívüli olyan pénzeszköz-kiáramlások összege, amelyet kijelölt külső hitelminősítő intézettől 2-es vagy 3-as hitelminőségi besorolást kapott kibocsátóval vagy garantőrrel szembeni vagy általa garantált követeléseket képviselő eszköz fedez.</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1. szintű eszközök (CQS4+)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080-as sorban feltüntetett, a 090-es sorban feltüntetetteken kívüli olyan pénzeszköz-kiáramlások összege, amelyet kijelölt külső hitelminősítő intézettől 4-es vagy rosszabb hitelminőségi besorolást kapott kibocsátóval vagy garantőrrel szembeni vagy általa garantált követeléseket képviselő eszköz fedez.</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1. szintű fedezett kötvények (CQS1)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A 070-es sorban feltüntetett olyan pénzeszköz-kiáramlások összege, amelyet fedezett kötvény fedez.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10. cikke (1) bekezdése f) pontjának megfelelően csak az 1-es hitelminőségi besorolással rendelkező fedezett kötvények minősülhetnek 1. szintű eszköznek.</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2A. szintű forgalomképes eszközök</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060-as sorban feltüntetett olyan pénzeszköz-kiáramlások összege, amelyet olyan forgalomképes eszköz fedez, amely megfelelne az (EU) 2015/61 felhatalmazáson alapuló rendelet 7., 8. és 11. cikkében meghatározott követelményeknek, ha nem az adott ügyletet fedezné.</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2A. szintű eszköznek minősülő részvényeit vagy befektetési jegyeit az alábbi alkategóriákban, az alapterméküknek megfelelően kell feltüntetni.</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2A. szintű vállalati kötvények (CQS1)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140-es sorban feltüntetett olyan pénzeszköz-kiáramlások összege, amelyet kijelölt külső hitelminősítő intézettől 1-es hitelminőségi besorolást kapott vállalati kötvény fedez.</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2A. szintű fedezett kötvények (CQS1, CQS2)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140-es sorban feltüntetett olyan pénzeszköz-kiáramlások összege, amelyet kijelölt külső hitelminősítő intézettől 1-es vagy 2-es hitelminőségi besorolást kapott fedezett kötvény fedez.</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2A. szintű közszektorbeli intézményi eszközök (CQS1, CQS2)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A 140-es sorban feltüntetett olyan pénzeszköz-kiáramlások összege, amelyet központi kormányzatokkal, központi bankokkal, regionális kormányzatokkal, helyi hatóságokkal vagy közszektorbeli intézményekkel </w:t>
            </w:r>
            <w:r>
              <w:rPr>
                <w:rFonts w:ascii="Times New Roman" w:hAnsi="Times New Roman"/>
                <w:sz w:val="24"/>
                <w:szCs w:val="24"/>
              </w:rPr>
              <w:lastRenderedPageBreak/>
              <w:t>szembeni vagy általuk garantált követeléseket képviselő eszköz fedez.</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11. cikke (1) bekezdése a) és b) pontjának megfelelően csak az 1-es és 2-es hitelminőségi besorolással rendelkező közszektorbeli eszközök minősülhetnek 2A. szintű eszköznek.</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2B. szintű forgalomképes eszközök</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A 060-as sorban feltüntetett olyan pénzeszköz-kiáramlások összege, amelyet olyan forgalomképes eszköz fedez, amely megfelelne az (EU) 2015/61 felhatalmazáson alapuló rendelet 7., 8. és 12. vagy 13. cikkében meghatározott követelményeknek, ha nem az adott ügyletet fedezné.</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 KBF-ek az (EU) 2015/61 felhatalmazáson alapuló rendelet 15. cikkének megfelelő, 2B. szintű eszköznek minősülő részvényeit vagy befektetési jegyeit az alábbi alkategóriákban, az alapterméküknek megfelelően kell feltüntetni.</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2B. szintű eszközfedezetű értékpapírok (ABS) (CQS1)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A 180-as sorban feltüntetett olyan pénzeszköz-kiáramlások összege, amelyet eszközfedezetű értékpapír fedez, utóbbiak közé értve a lakóingatlannal fedezett értékpapírokat is.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Az (EU) 2015/61 felhatalmazáson alapuló rendelet 13. cikke (2) bekezdése a) pontjának megfelelően csak az 1-es hitelminőségi besorolással rendelkező eszközfedezetű értékpapírok minősülhetnek 2B. szintű eszköznek.</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2B. szintű fedezett kötvények (CQS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180-as sorban feltüntetett olyan pénzeszköz-kiáramlások összege, amelyet fedezett kötvény fedez.</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2B. szintű vállalati kötvények (CQS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180-as sorban feltüntetett olyan pénzeszköz-kiáramlások összege, amelyet hitelviszonyt megtestesítő vállalati értékpapír fedez.</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2B. szintű részvények</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180-as sorban feltüntetett olyan pénzeszköz-kiáramlások összege, amelyet részvény fedez</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2B. szintű közszektorbeli intézményi eszközök (CQS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A 180-as sorban feltüntetett olyan pénzeszköz-kiáramlások összege, amelyet a 190–220-as sorban nem feltüntetett 2B. szintű eszköz fedez.</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egyéb forgalomképes eszközök</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060-as sorban feltüntetett olyan pénzeszköz-kiáramlások összege, amelyet a 070-es, 140-es vagy 180-as sorban nem feltüntetett forgalomképes eszköz fedez.</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egyéb eszközök</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060-as sorban feltüntetett pénzeszköz-kiáramlások összege, amelyet a 070-es, 140-es, 180-as vagy 240-es sorban nem feltüntetett eszközök fedeznek.</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rPr>
              <w:t>1.3 A kapott betétekből származó, az 1.2. pontban nem szereplő kötelezettségek (a biztosítékként kapott betétek kivételével)</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A kapott betétekből származó pénzeszköz-kiáramlások a 060-as sorban feltüntetett kiáramlások és a biztosítékként elhelyezett betétek kivételével.</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A származtatott ügyletekből származó pénzeszköz-kiáramlásokat a 350-es vagy 360-as sorban kell feltüntetni.</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 betéteket a szerződés szerinti legkorábbi lejárati napnak megfelelően kell szerepeltetni. Az előzetes figyelmeztetés nélkül, azonnal felvehető betéteket („látra szóló betétek”) és a lejárat nélküli betéteket az „egynapos” lejárati sávban kell feltüntetni.</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 lakossági betétek</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 260-as sorban feltüntetett, az (EU) 2015/61 felhatalmazáson alapuló rendelet 3. cikkének 8. pontja és 24. cikke szerinti lakossági betétekből származó pénzeszköz-kiáramlások összege.</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egyéb lakossági betétek</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260-as sorban feltüntetett, az (EU) 2015/61 felhatalmazáson alapuló rendelet 3. cikkének 8. pontja szerinti lakossági betétekből származó pénzeszköz-kiáramlások összege, a 270-es sorban feltüntetett kiáramlások kivételével.</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operatív betétek</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260-as sorban feltüntetett, az (EU) 2015/61 felhatalmazáson alapuló rendelet 27. cikke szerinti operatív betétekből származó pénzeszköz-</w:t>
            </w:r>
            <w:r>
              <w:rPr>
                <w:rFonts w:ascii="Times New Roman" w:hAnsi="Times New Roman"/>
                <w:sz w:val="24"/>
                <w:szCs w:val="24"/>
              </w:rPr>
              <w:lastRenderedPageBreak/>
              <w:t>kiáramlások összege.</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hitelintézetektől származó nem operatív betétek</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260-as sorban feltüntetett, hitelintézeti betétekből származó pénzeszköz-kiáramlások összege, a 290-es sorban feltüntetett kiáramlások kivételével.</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egyéb pénzügyi ügyfelektől származó nem operatív betétek</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260-as sorban feltüntetett, pénzügyi ügyfelektől származó betétekből eredő, a 290-es és a 300-as sorban feltüntetett kiáramlásoktól eltérő pénzeszköz-kiáramlások összege.</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központi bankoktól származó nem operatív betétek</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260-as sorban feltüntetett, központi bankok által elhelyezett nem operatív betétekből származó pénzeszköz-kiáramlások összege.</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nem pénzügyi vállalatoktól származó nem operatív betétek</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260-as sorban feltüntetett, nem pénzügyi vállalatok által elhelyezett nem operatív betétekből származó pénzeszköz-kiáramlások összege.</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egyéb partnerektől származó nem operatív betétek</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260-as sorban feltüntetett olyan pénzeszköz-kiáramlások összege, amelyek nem a 270–330-as sorban feltüntetett betétekből származnak.</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Lejáró devizacsere-ügylet</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devizacsere-ügyletek lejáratából, például a tőkeösszegek lejáratkori cseréjéből származó pénzeszköz-kiáramlások teljes összege.</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Az 1.4. pontban nem szereplő, származtatott ügyletekből eredő kötelezettségek összege</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Az 575/2013/EU rendelet II. mellékletében felsorolt szerződések alapján fizetendő, származtatott pozíciókból származó pénzeszköz-kiáramlások teljes összege, kivéve a lejáró devizacsere-ügyletekből származó kiáramlásokat, amelyeket a 350-es sorban kell szerepeltetni.</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A teljes összegnek a kiegyenlítési összegeket kell mutatnia az adatszolgáltatás időpontjában nem teljesített letéti felhívásokkal együtt.</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A teljes összegnek az alábbi 1. és 2. elem összegét kell mutatnia a különböző lejárati sávokban:</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lastRenderedPageBreak/>
              <w:t>1.</w:t>
            </w:r>
            <w:r>
              <w:tab/>
            </w:r>
            <w:r>
              <w:rPr>
                <w:rFonts w:ascii="Times New Roman" w:hAnsi="Times New Roman"/>
                <w:sz w:val="24"/>
                <w:szCs w:val="24"/>
              </w:rPr>
              <w:t>A lejárati tábla egyik táblájában sem szerepeltethető az olyan származtatott ügyletekhez kapcsolódó pénz- és értékpapír-áramlás, amelyre vonatkozóan biztosítéki megállapodás írja elő a partnerkockázat teljes vagy arányos fedezetét. Ez azt jelenti, hogy a táblákban egyáltalán nem szerepeltethető az ilyen származtatott ügyletekhez kapcsolódó pénz-, értékpapír-, készpénzfedezet- és értékpapírfedezet-áramlás. Nem tüntethető fel továbbá a lejárati tábla kiegyensúlyozó kapacitást mutató 3. szakaszának „állomány” oszlopában a fedezett származtatott ügylet keretében korábban kapott vagy nyújtott készpénz- és értékpapír-fedezet állománya, kivéve a letéti felhívások nyomán bekövetkező esedékes, de még nem teljesített pénz- és értékpapír-áramlást („készpénzfedezet- és értékpapírfedezet-áramlás”). Utóbbiak közül a készpénzfedezetet az 1.5. és a 2.4. sorban („származtatott ügyletekhez kapcsolódó pénzeszköz-kiáramlások” és „származtatott ügyletekhez kapcsolódó pénzeszköz-beáramlások”), az értékpapír-fedezetet a 3. szakaszban („kiegyensúlyozó kapacitás”) kell kimutatni.</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A pénzeszközök és értékpapírok olyan származtatott ügyletekhez kapcsolódó be- és kiáramlása esetében, amelyekre nem vonatkozik biztosítéki megállapodás vagy csak részleges fedezet szükséges, meg kell különböztetni az opcionalitást tartalmazó és egyéb szerződéseket:</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az opció jellegű származtatott ügyletekhez kapcsolódó áramlások csak akkor szerepeltethetők, ha vételi opció esetén a lehívási ár a piaci árnál alacsonyabb vagy eladási opció esetén annál magasabb (azaz az opció nyereséges). Ezek az áramlások a következők közül mindkettő együttes alkalmazásával közelíthetők:</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a szerződés aktuális piaci értékét vagy nettó jelenértékét a lejárati tábla 2.4. sorában („származtatott ügyletekhez kapcsolódó pénzeszköz-beáramlások”) az opció legkésőbbi lehívási napjával beáramlásként kell szerepeltetni, ha az opció lehívására a bank jogosult;</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a szerződés aktuális piaci értékét vagy nettó jelenértékét a lejárati tábla 1.5. sorában („származtatott ügyletekhez kapcsolódó pénzeszköz-kiáramlások”) az opció legkorábbi lehívási napjával kiáramlásként kell szerepeltetni, ha az opció lehívására a bank partnere jogosult;</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az a) pontban említettől eltérő szerződésekhez kapcsolódó áramlások esetében a bruttó szerződéses pénzáramlásokat az 1.5. sor („származtatott ügyletekhez kapcsolódó pénzeszköz-kiáramlások”) és a 2.4. sor („származtatott ügyletekhez kapcsolódó pénzeszköz-beáramlások”) megfelelő lejárati sávjában, a likvid értékpapírok szerződéses áramlásait pedig a lejárati tábla kiegyensúlyozó kapacitást mutató szakaszában – még nem rögzített összegek esetében az adatszolgáltatás időpontjában alkalmazandó aktuális, piac által </w:t>
            </w:r>
            <w:r>
              <w:rPr>
                <w:rFonts w:ascii="Times New Roman" w:hAnsi="Times New Roman"/>
                <w:sz w:val="24"/>
                <w:szCs w:val="24"/>
              </w:rPr>
              <w:lastRenderedPageBreak/>
              <w:t>implikált határidős kamatlábak használatával – kell szerepeltetni.</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Egyéb kiáramlások</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A 010-es, 060-as, 260-as, 350-es vagy 360-as sorban nem szereplő valamennyi egyéb pénzeszköz-kiáramlás teljes összege. A függő kiáramlások itt nem szerepeltethetők.</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Kiáramlások összesen</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010-es, 060-as, 260-as, 350-es, 360-as és 370-es sorban szereplő valamennyi egyéb pénzeszköz-kiáramlás teljes összege.</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BEÁRAMLÁSOK</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rPr>
              <w:t>2.1. Fedezett kölcsönügyletekből és tőkepiac-vezérelt ügyletekből esedékes összegek, a következőkkel fedezve:</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Az 575/2013/EU rendelet 192. cikkében meghatározott fedezett kölcsönügyletből és tőkepiac-vezérelt ügyletből származó pénzeszköz-beáramlás</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Itt kizárólag a pénzáramlásokat kell feltüntetni, a fedezett kölcsönügylethez és a tőkepiac-vezérelt ügylethez kapcsolódó értékpapír-áramlásokat a „kiegyensúlyozó kapacitás” szakaszban kell szerepeltetni.</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1. szintű forgalomképes eszközök</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sorban feltüntetett, az (EU) 2015/61 felhatalmazáson alapuló rendelet 7., 8. és 10. cikke szerinti forgalomképes eszközökkel fedezett pénzeszköz-beáramlások összege.</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1. szintű eszköznek minősülő részvényeit vagy befektetési jegyeit az alábbi alkategóriákban, az alapterméküknek megfelelően kell feltüntetni.</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1. szintű eszközök a fedezett kötvények kivételével</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400-as sorban feltüntetett olyan pénzeszköz-beáramlások összege, amelyet nem fedezett kötvény fedez.</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1. szintű központi banki eszközök</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 410-es sorban feltüntetett olyan pénzeszköz-beáramlások összege, amelyet központi bankokkal szembeni vagy általuk garantált követeléseket </w:t>
            </w:r>
            <w:r>
              <w:rPr>
                <w:rFonts w:ascii="Times New Roman" w:hAnsi="Times New Roman"/>
                <w:sz w:val="24"/>
                <w:szCs w:val="24"/>
              </w:rPr>
              <w:lastRenderedPageBreak/>
              <w:t>képviselő eszköz fedez.</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1. szintű eszközök (CQS1)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410-es sorban feltüntetett, a 420-as sorban feltüntetetteken kívüli olyan pénzeszköz-beáramlások összege, amelyet kijelölt külső hitelminősítő intézettől 1-es hitelminőségi besorolást kapott kibocsátóval vagy garantőrrel szembeni vagy általa garantált követeléseket képviselő eszköz fedez.</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1. szintű eszközök (CQS2, CQS3)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410-es sorban feltüntetett, a 420-as sorban feltüntetetteken kívüli olyan pénzeszköz-beáramlások összege, amelyet kijelölt külső hitelminősítő intézettől 2-es vagy 3-as hitelminőségi besorolást kapott kibocsátóval vagy garantőrrel szembeni vagy általa garantált követeléseket képviselő eszköz fedez.</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1. szintű eszközök (CQS4+)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410-es sorban feltüntetett, a 420-as sorban feltüntetetteken kívüli olyan pénzeszköz-beáramlások összege, amelyet kijelölt külső hitelminősítő intézettől 4-es vagy rosszabb hitelminőségi besorolást kapott kibocsátóval vagy garantőrrel szembeni vagy általa garantált követeléseket képviselő eszköz fedez.</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1. szintű fedezett kötvények (CQS1)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A 400-as sorban feltüntetett olyan pénzeszköz-beáramlások összege, amelyet fedezett kötvény fedez.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10. cikke (1) bekezdése f) pontjának megfelelően csak az 1-es hitelminőségi besorolással rendelkező fedezett kötvények minősülhetnek 1. szintű eszköznek.</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2A. szintű forgalomképes eszközök</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sorban feltüntetett, az (EU) 2015/61 felhatalmazáson alapuló rendelet 7., 8. és 11. cikke szerinti forgalomképes eszközökkel fedezett pénzeszköz-beáramlások összege.</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2A. szintű eszköznek minősülő részvényeit vagy befektetési jegyeit az alábbi alkategóriákban, az alapterméküknek megfelelően kell feltüntetni.</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2A. szintű vállalati kötvények (CQS1)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470-es sorban feltüntetett olyan pénzeszköz-beáramlások összege, amelyet kijelölt külső hitelminősítő intézettől 1-es hitelminőségi besorolást kapott vállalati kötvény fedez.</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2A. szintű fedezett kötvények (CQS1, CQS2)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470-es sorban feltüntetett olyan pénzeszköz-beáramlások összege, amelyet kijelölt külső hitelminősítő intézettől 1-es vagy 2-es hitelminőségi besorolást kapott fedezett kötvény fedez.</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2A. szintű közszektorbeli intézményi eszközök (CQS1, CQS2)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 470-es sorban feltüntetett olyan pénzeszköz-beáramlások összege, amelyet központi kormányzatokkal, központi bankokkal, regionális kormányzatokkal, helyi hatóságokkal vagy közszektorbeli intézményekkel szembeni vagy általuk garantált követeléseket képviselő eszköz fedez.</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11. cikke (1) bekezdése a) és b) pontjának megfelelően csak az 1-es és 2-es hitelminőségi besorolással rendelkező közszektorbeli eszközök minősülhetnek 2A. szintű eszköznek.</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2B. szintű forgalomképes eszközök</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sorban feltüntetett, az (EU) 2015/61 felhatalmazáson alapuló rendelet 7., 8. és 12. vagy 13. cikke szerinti forgalomképes eszközökkel fedezett pénzeszköz-beáramlások összege.</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2B. szintű eszköznek minősülő részvényeit vagy befektetési jegyeit az alábbi alkategóriákban, az alapterméküknek megfelelően kell feltüntetni.</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2B. szintű eszközfedezetű értékpapírok (ABS) (CQS1)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510-es sorban feltüntetett olyan pénzeszköz-beáramlások összege, amelyet eszközfedezetű értékpapír fedez, utóbbiak közé értve a lakóingatlannal fedezett értékpapírokat is.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2B. szintű fedezett kötvények (CQS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510-es sorban feltüntetett olyan pénzeszköz-beáramlások összege, amelyet fedezett kötvény fedez.</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2B. szintű vállalati kötvények (CQS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510-es sorban feltüntetett olyan pénzeszköz-beáramlások összege, amelyet hitelviszonyt megtestesítő vállalati értékpapír fedez.</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2B. szintű részvények</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510-es sorban feltüntetett olyan pénzeszköz-beáramlások összege, amelyet részvény fedez</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2B. szintű közszektorbeli intézményi eszközök (CQS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510-es sorban feltüntetett olyan pénzeszköz-beáramlások összege, amelyet az 520–550-es sorban nem feltüntetett 2B. szintű eszköz fedez.</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egyéb forgalomképes eszközök</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sorban feltüntetett olyan pénzeszköz-beáramlások összege, amelyet a 400-as, 470-es vagy 510-es sorban nem feltüntetett forgalomképes eszköz fedez.</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egyéb eszközök</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sorban feltüntetett pénzeszköz-beáramlások összege, amelyet a 400-as, 470-es, 510-es vagy 570-es sorban nem feltüntetett eszközök fedeznek.</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Hitelekből és előlegekből eredő, a 2.1. pontban nem szereplő esedékes összegek a következő ügyfelektől:</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Hitelekből és előlegekből származó beáramlások.</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pénzeszköz-beáramlásokat a szerződés szerinti legkésőbbi törlesztési nappal kell feltüntetni. Rulírozó hitelkeretek esetében feltételezni kell, hogy a meglévő hitelt megújítják, a fennmaradó egyenleg pedig folyósítási kötelezettséget tartalmazó keretként kezelendő.</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lakossági ügyfelek</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590-es sorban feltüntetett, az (EU) 2015/61 felhatalmazáson alapuló rendelet 3. cikkének 8. pontja szerinti, természetes személytől vagy kkv-tól származó pénzeszköz-beáramlások összege.</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nem pénzügyi vállalatok</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Az 590-es sorban feltüntetett, nem pénzügyi vállalatoktól származó </w:t>
            </w:r>
            <w:r>
              <w:rPr>
                <w:rFonts w:ascii="Times New Roman" w:hAnsi="Times New Roman"/>
                <w:sz w:val="24"/>
                <w:szCs w:val="24"/>
              </w:rPr>
              <w:lastRenderedPageBreak/>
              <w:t>pénzeszköz-beáramlások összege.</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hitelintézetek</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590-es sorban feltüntetett, hitelintézetektől származó pénzeszköz-beáramlások összege.</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egyéb pénzügyi ügyfelek</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590-es sorban feltüntetett, az (EU) 2015/61 felhatalmazáson alapuló rendelet 3. cikkének 9. pontja szerinti lakossági betétekből származó pénzeszköz-beáramlások összege, a 620-as sorban feltüntetett beáramlások kivételével.</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központi bankok</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590-es sorban feltüntetett, központi bankoktól származó pénzeszköz-beáramlások összege.</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egyéb partnerek</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590-es sorban feltüntetett, a 2.2.1–2.2.5. pontban nem említett egyéb szervezetektől származó pénzeszköz-beáramlások összege.</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Lejáró devizacsere-ügylet</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devizacsere-ügyletek lejáratából, például a tőkeösszegek lejáratkori cseréjéből származó szerződéses pénzeszköz-beáramlások teljes összege.</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tábla megfelelő lejárati sávjaiban szereplő keresztdevizás csereügyletek és határidős devizaügyletek lejáratkori névértékét a tábla vonatkozó lejárati sávjában kell feltüntetni.</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A 2.3. pontban nem szereplő, származtatott ügyletekből eredő követelések összege</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Az 575/2013/EU rendelet II. mellékletében felsorolt szerződések alapján követelést képező származtatott pozíciókból származó pénzeszköz-beáramlások teljes összege, kivéve a lejáró devizacsere-ügyletekből származó beáramlásokat, amelyeket a 2.3. pontban kell szerepeltetni.</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A teljes összegnek a kiegyenlítési összegeket kell mutatnia az adatszolgáltatás időpontjában nem teljesített letéti felhívásokkal együtt.</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A teljes összegnek az alábbi 1. és 2. elem összegét kell mutatnia a különböző lejárati sávokban:</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lastRenderedPageBreak/>
              <w:t>1.</w:t>
            </w:r>
            <w:r>
              <w:tab/>
            </w:r>
            <w:r>
              <w:rPr>
                <w:rFonts w:ascii="Times New Roman" w:hAnsi="Times New Roman"/>
                <w:sz w:val="24"/>
                <w:szCs w:val="24"/>
              </w:rPr>
              <w:t>A lejárati táblában nem szerepeltethető az olyan származtatott ügyletekhez kapcsolódó pénz- és értékpapír-áramlás, amelyre vonatkozóan biztosítéki megállapodás írja elő a partnerkockázat teljes vagy arányos fedezetét, és ugyancsak nem szerepeltethető a táblában az ilyen származtatott ügyletekhez kapcsolódó semmilyen pénz-, értékpapír-, készpénzfedezet- és értékpapírfedezet-áramlás. Nem tüntethető fel továbbá a lejárati tábla kiegyensúlyozó kapacitást mutató 3. szakaszának „állomány” oszlopában a fedezett származtatott ügylet keretében korábban kapott vagy nyújtott készpénz- és értékpapír-fedezet állománya, kivéve a letéti felhívások nyomán bekövetkező esedékes, de még nem teljesített pénz- és értékpapír-áramlást. Utóbbiak közül a készpénzfedezetet az 1.5. és a 2.4. sorban („származtatott ügyletekhez kapcsolódó pénzeszköz-kiáramlások” és „származtatott ügyletekhez kapcsolódó pénzeszköz-beáramlások”), a lejárati táblában levő értékpapír-fedezetet a 3. szakaszban („kiegyensúlyozó kapacitás”) kell kimutatni;</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a pénzeszközök és értékpapírok olyan származtatott ügyletekhez kapcsolódó be- és kiáramlása esetében, amelyekre nem vonatkozik biztosítéki megállapodás vagy csak részleges fedezet szükséges, meg kell különböztetni az opcionalitást tartalmazó és egyéb szerződéseket:</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az opció jellegű származtatott ügyletekhez kapcsolódó áramlások csak akkor szerepeltethetők, ha az opció nyereséges. Ezek az áramlások a következők közül mindkettő együttes alkalmazásával közelíthetők:</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a szerződés aktuális piaci értékét vagy nettó jelenértékét a lejárati tábla 2.4. sorában („származtatott ügyletekhez kapcsolódó pénzeszköz-beáramlások”) az opció legkésőbbi lehívási napjával beáramlásként kell szerepeltetni, ha az opció lehívására a bank jogosult;</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a szerződés aktuális piaci értékét vagy nettó jelenértékét a lejárati tábla 1.5. sorában („származtatott ügyletekhez kapcsolódó pénzeszköz-kiáramlások”) az opció legkorábbi lehívási napjával kiáramlásként kell szerepeltetni, ha az opció lehívására a bank partnere jogosult;</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az a) pontban említettől eltérő szerződésekhez kapcsolódó áramlások esetében a bruttó szerződéses pénzáramlásokat az 1.5. sor („származtatott ügyletekhez kapcsolódó pénzeszköz-kiáramlások”) és a 2.4. sor („származtatott ügyletekhez kapcsolódó pénzeszköz-beáramlások”) megfelelő lejárati sávjában, az értékpapírok szerződéses áramlásait pedig a lejárati tábla kiegyensúlyozó kapacitást mutató szakaszában – még nem rögzített összegek esetében az adatszolgáltatás időpontjában alkalmazandó aktuális, piac által implikált határidős kamatlábak használatával – kell szerepeltetni.</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Saját portfólióban tartott, lejáró értékpapír</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A kötvényekben végrehajtott saját befektetésekből eredő, a szerződés szerinti hátralévő futamidővel szerepeltetett, esedékes tőketörlesztésből származó beáramlások összege.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tétel magában foglalja a kiegyensúlyozó kapacitásban szerepeltetett lejáró értékpapírokból származó pénzeszköz-beáramlást. Azaz amennyiben egy értékpapír lejár, értékpapír-kiáramlásként kell feltüntetni a kiegyensúlyozó kapacitásra vonatkozó táblában, és pénzeszköz-beáramlásként itt.</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Egyéb beáramlások</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A 390-es, 590-es, 660-as, 670-es vagy 680-as sorban nem feltüntetett egyéb pénzeszköz-beáramlások teljes összege.</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függő beáramlások nem szerepeltethetők.</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Beáramlások összesen</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390-es, 590-es, 660-as, 670-es, 680-as és 690-es sorban feltüntetett beáramlások összege.</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Nettó finanszírozási eltérés (gap)</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700-as sorban szereplő beáramlások összértéke csökkentve a 380-as sorban szereplő kiáramlások összértékével.</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Halmozott nettó finanszírozási eltérés (gap)</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Halmozott nettó szerződéses hiány az adatszolgáltatás időpontjától a vonatkozó lejárati sáv végéig.</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 – 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KIEGYENSÚLYOZÓ KAPACITÁS</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lejárati tábla „kiegyensúlyozó kapacitás” táblája az intézmény különböző likviditású eszközállományainak alakulásáról nyújt tájékoztatást, köztük a forgalomképes eszközökről, a központi bank által elfogadható eszközökről, valamint az intézmény által kapott, folyósítási kötelezettséget tartalmazó keretekről.</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Konszolidált szintű adatszolgáltatás esetén a központi bank általi elfogadhatóságnak az egyes konszolidált intézményekre a saját joghatóságukban alkalmazandó szabályait kell figyelembe venni.</w:t>
            </w:r>
          </w:p>
          <w:p w14:paraId="359D8D72" w14:textId="55501F3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 kiegyensúlyozó kapacitásban azokat a forgalomképes eszközöket kell </w:t>
            </w:r>
            <w:r>
              <w:rPr>
                <w:rFonts w:ascii="Times New Roman" w:hAnsi="Times New Roman"/>
                <w:sz w:val="24"/>
                <w:szCs w:val="24"/>
              </w:rPr>
              <w:lastRenderedPageBreak/>
              <w:t>szerepeltetni,</w:t>
            </w:r>
            <w:r w:rsidR="00634419">
              <w:rPr>
                <w:rFonts w:ascii="Times New Roman" w:hAnsi="Times New Roman"/>
                <w:sz w:val="24"/>
                <w:szCs w:val="24"/>
              </w:rPr>
              <w:t xml:space="preserve"> </w:t>
            </w:r>
            <w:r>
              <w:rPr>
                <w:rFonts w:ascii="Times New Roman" w:hAnsi="Times New Roman"/>
                <w:sz w:val="24"/>
                <w:szCs w:val="24"/>
              </w:rPr>
              <w:t>amelyeket kiterjedt, mély és aktív, alacsony koncentrációs szintű repo- vagy készpénzpiacokon forgalmaznak.</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kiegyensúlyozó kapacitás tábla oszlopaiban csak olyan meg nem terhelt eszközök szerepelhetnek, amelyeket az intézmény bármikor készpénzre válthat, hogy megszüntethesse az adott időtávon történő pénzeszköz-beáramlások és -kiáramlások közötti szerződéses hiányt. A megterhelt eszközök fogalommeghatározása tekintetében az (EU) 2015/61 felhatalmazáson alapuló bizottsági rendelet alkalmazandó. Az eszközök nem használhatók hitelminőség-javításra strukturált ügyletekben, nem használhatók fel működési költségek (például járadékok, bérek) finanszírozására, és azokat egyértelműen és kizárólagosan függő finanszírozási forrásként kell kezelni.</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fordított repoügyletek és az értékpapír-finanszírozási ügyletek (SFT) keretében az intézmény által biztosítékként kapott eszközök figyelembe vehetők a kiegyensúlyozó kapacitásban akkor, ha azokat az intézmény tartja, azokat újból nem zálogosították el, és azok jogszabály és szerződés alapján az intézmény rendelkezésére állnak.</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többszörös figyelembevétel elkerülése érdekében, ha az intézmény a 3.1–3.7. pontban elkülönített eszközöket szerepeltet, az e keretekhez kapcsolódó kapacitást nem szerepelteti a 3.8. pontban.</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Az eszközöket a nyitó állományban, a 010-es oszlopban kell feltüntetni, ha megfelelnek a sor leírásának és az adatszolgáltatás időpontjában rendelkezésre állnak.</w:t>
            </w:r>
          </w:p>
          <w:p w14:paraId="12C3E180" w14:textId="15512C9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 020–220-as oszlopok a kiegyensúlyozó kapacitáson belüli szerződéses áramlásokat tartalmazzák. Ha egy intézmény repoügyletet kötött, a kirepózott eszközt értékpapír-beáramlásként kell visszavezetni a repoügylet lejáratának megfelelő lejárati sávban. Ugyanígy a lejáró repoügyletből származó pénzeszköz-kiáramlást az 1.2. pont megfelelő pénzeszköz-kiáramlási lejárati sávjában kell feltüntetni. Ha egy intézmény fordított repoügyletet kötött, a </w:t>
            </w:r>
            <w:r w:rsidR="00175131">
              <w:rPr>
                <w:rFonts w:ascii="Times New Roman" w:hAnsi="Times New Roman"/>
                <w:sz w:val="24"/>
                <w:szCs w:val="24"/>
              </w:rPr>
              <w:t>berepózott</w:t>
            </w:r>
            <w:r>
              <w:rPr>
                <w:rFonts w:ascii="Times New Roman" w:hAnsi="Times New Roman"/>
                <w:sz w:val="24"/>
                <w:szCs w:val="24"/>
              </w:rPr>
              <w:t xml:space="preserve"> eszközt értékpapír-kiáramlásként kell visszavezetni a repoügylet lejáratának megfelelő lejárati sávban. Ugyanígy a lejáró repoügyletből származó pénzeszköz-kiáramlást a 2.1. pont megfelelő pénzeszköz-beáramlási lejárati sávjában kell feltüntetni. A biztosítéki csereügyleteket szerződéses értékpapír-beáramlásokként és értékpapír-kiáramlásokként, a csereügyletek lejárata szerinti lejárati sávban kell feltüntetni a kiegyensúlyozó kapacitás szakaszban.</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 3.8. pontban szereplő hitel- és likviditási keretek szerződés szerint rendelkezésre álló összegének változását a megfelelő lejárati sávban áramlásként kell feltüntetni. Ha egy intézmény egynapos betétet helyez el központi banknál, akkor a betét összegét a 3.2. pontban nyitó állományként, továbbá a tételre vonatkozó „egynapos” lejárati kategóriában pénzeszköz-kiáramlásként kell szerepeltetni. Ennek megfelelően a keletkező </w:t>
            </w:r>
            <w:r>
              <w:rPr>
                <w:rFonts w:ascii="Times New Roman" w:hAnsi="Times New Roman"/>
                <w:sz w:val="24"/>
                <w:szCs w:val="24"/>
              </w:rPr>
              <w:lastRenderedPageBreak/>
              <w:t>pénzeszköz-beáramlást a 2.2.5. pontban kell feltüntetni.</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kiegyensúlyozó kapacitáson belül a lejáró értékpapírokat szerződés szerinti lejáratuk alapján kell szerepeltetni. Egy értékpapír lejáratakor azt el kell távolítani abból az eszközkategóriából, amelyben eredetileg szerepelt, azaz értékpapír-kiáramlásként kell kezelni, a keletkező pénzeszköz-beáramlást pedig a 2.5. pontban kell feltüntetni.</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megfelelő sávban valamennyi értékpapírt aktuális piaci értéken kell szerepeltetni.</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3.8. pontban kizárólag a szerződés szerint rendelkezésre álló összegek szerepeltethetők.</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többszörös figyelembevétel elkerülése érdekében a pénzeszköz-beáramlások nem számolhatók el a kiegyensúlyozó kapacitás 3.1. vagy 3.2. pontjában.</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kiegyensúlyozó kapacitás tételeit az alábbi alkategóriákban kell feltüntetni:</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Pénzérmék és bankjegyek</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pénzérmék és bankjegyek alkotta készpénz teljes összege.</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Lehívható központi banki tartalékok</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legkésőbb egy napon belül lehívható, az (EU) 2015/61 felhatalmazáson alapuló rendelet 10. cikke (1) bekezdése b) pontjának iii. alpontja szerinti központi banknál elhelyezett tartalékok teljes összege.</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központi bankokkal szembeni vagy általuk biztosított követeléseket képviselő értékpapírok itt nem szerepeltethetők.</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1. szintű forgalomképes eszközök</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7., 8. és 10. cikke szerinti forgalomképes eszközök piaci értéke.</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1. szintű eszköznek minősülő részvényeit vagy befektetési jegyeit az alábbi alkategóriákban, az alapterméküknek megfelelően kell feltüntetni.</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1. szintű eszközök a fedezett kötvények kivételével</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750-es sorban feltüntetett összeg, a fedezett kötvények kivételével.</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1. szintű központi banki eszközök</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760-as sorban feltüntetett azon összeg, amely központi bankokkal szembeni vagy általuk garantált követeléseket képvisel.</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1. szintű eszközök (CQS1)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760-as sorban feltüntetett, a 770-es sorban feltüntetetteken kívüli azon összeg, amely kijelölt külső hitelminősítő intézettől 1-es hitelminőségi besorolást kapott kibocsátóval vagy garantőrrel szembeni vagy általa garantált követeléseket képviselő eszköz.</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1. szintű eszközök (CQS2, CQS3)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760-as sorban feltüntetett, a 770-es sorban feltüntetetteken kívüli azon összeg, amelyet kijelölt külső hitelminősítő intézettől 2-es vagy 3-as hitelminőségi besorolást kapott kibocsátóval vagy garantőrrel szembeni vagy általa garantált követeléseket képviselő eszköz fedez.</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1. szintű eszközök (CQS4+)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760-as sorban feltüntetett, a 770-es sorban feltüntetetteken kívüli azon összeg, amely kijelölt külső hitelminősítő intézettől 4-es vagy rosszabb hitelminőségi besorolást kapott kibocsátóval vagy garantőrrel szembeni vagy általa garantált követeléseket képviselő eszköz.</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1 szintű fedezett kötvények (CQS1)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A 750-es sorban feltüntetett azon összeg, amely fedezett kötvény.</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10. cikke (1) bekezdése f) pontjának megfelelően csak az 1-es hitelminőségi besorolással rendelkező fedezett kötvények minősülhetnek 1. szintű eszköznek.</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2A. szintű forgalomképes eszközök</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7., 8. és 11. cikke szerinti forgalomképes eszközök piaci értéke.</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2A. szintű eszköznek minősülő részvényeit vagy befektetési jegyeit az alábbi alkategóriákban, az alapterméküknek megfelelően kell feltüntetni.</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2A. szintű vállalati kötvények (CQS1)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A 820-as sorban feltüntetett azon összeg, amely kijelölt külső hitelminősítő intézettől 1-es hitelminőségi besorolást kapott vállalati kötvény.</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2A. szintű fedezett kötvények (CQS1, CQS2)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820-as sorban feltüntetett azon összeg, amely kijelölt külső hitelminősítő intézettől 1-es vagy 2-es hitelminőségi besorolást kapott fedezett kötvény.</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2A. szintű közszektorbeli intézményi eszközök (CQS1, CQS2)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A 820-as sorban feltüntetett azon összeg, amely központi kormányzatokkal, központi bankokkal, regionális kormányzatokkal, helyi hatóságokkal vagy közszektorbeli intézményekkel szembeni vagy általuk garantált követeléseket képvisel.</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11. cikke (1) bekezdése a) és b) pontjának megfelelően csak az 1-es és 2-es hitelminőségi besorolással rendelkező közszektorbeli eszközök minősülhetnek 2A. szintű eszköznek.</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2B. szintű forgalomképes eszközök</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7., 8. és 12. vagy 13. cikke szerinti forgalomképes eszközök piaci értéke.</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 KBF-ek az (EU) 2015/61 felhatalmazáson alapuló rendelet 15. cikkének megfelelő, 2B. szintű eszköznek minősülő részvényeit vagy befektetési jegyeit az alábbi alkategóriákban, az alapterméküknek megfelelően kell feltüntetni.</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2B. szintű eszközfedezetű értékpapírok (ABS) (CQS1)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A 860-as sorban feltüntetett azon összeg, amely eszközfedezetű értékpapír, ideértve a lakóingatlannal fedezett értékpapírokat is.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2015/61 felhatalmazáson alapuló rendelet 13. cikke (2) bekezdése a) pontjának megfelelően csak az 1-es hitelminőségi besorolással rendelkező eszközfedezetű értékpapírok minősülhetnek 2B. szintű eszköznek.</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2B. szintű fedezett kötvények (CQS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860-as sorban feltüntetett azon összeg, amely fedezett kötvény.</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2B szintű vállalati kötvények (CQS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A 860-as sorban feltüntetett azon összeg, amely hitelviszonyt megtestesítő </w:t>
            </w:r>
            <w:r>
              <w:rPr>
                <w:rFonts w:ascii="Times New Roman" w:hAnsi="Times New Roman"/>
                <w:sz w:val="24"/>
                <w:szCs w:val="24"/>
              </w:rPr>
              <w:lastRenderedPageBreak/>
              <w:t>vállalati értékpapír.</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2B. szintű részvények</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860-as sorban feltüntetett azon összeg, amely részvény.</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2B. szintű közszektorbeli intézményi eszközök (CQS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 860-as sorban feltüntetett összeg, amely a 3.5.1–3.5.4. pontban nem szereplő 2B. szintű eszköz.</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egyéb forgalomképes eszközök</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750-es, 820-a és 860-as sorban feltüntetett forgalomképes eszközökön kívüli forgalomképes eszközök piaci értéke.</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kiegyensúlyozó kapacitásban nem szerepeltethetők a csoporton belüli vagy saját kibocsátású egyéb forgalomképes eszközökből származó értékpapír-áramlások és értékpapírok. Az ilyen tételekből származó pénzeszköz-áramlásokat a tábla 1. és 2. szakaszában kell feltüntetni.</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központi kormányzat (CQS1)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kijelölt külső hitelminősítő intézettől 1-es hitelminőségi besorolást kapott központi kormányzattal szembeni vagy általa garantált követeléseket képvisel.</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központi kormányzat (CQS2-3)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kijelölt külső hitelminősítő intézettől 2-es vagy 3-as hitelminőségi besorolást kapott központi kormányzattal szembeni vagy általa garantált követeléseket képvisel.</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részvények</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részvény.</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fedezett kötvények</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fedezett kötvény.</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eszközfedezetű értékpapírok</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eszközfedezetű értékpapír.</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egyéb forgalomképes eszközök</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920-as sorban feltüntetett azon összeg, amely a 930–970-es sorban nem szereplő egyéb forgalomképes eszköz.</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Központi bank által elfogadható nem forgalomképes eszközök</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intézmény számára konszolidációs szintjén közvetlenül hozzáférhető azon nem forgalomképes eszközök könyv szerinti értéke, amelyek elfogadható fedezetet képeznek a központi bank szokásos likviditási műveleteihez.</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2015/233 bizottsági végrehajtási rendelet</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mellékletében szereplő olyan pénznemben denominált eszközök esetében, amelyek tekintetében rendkívül szűk a központi bank által elfogadható fedezetek köre, a mezőt üresen kell hagyni. A kiegyensúlyozó kapacitásban nem szerepeltethetők a csoporton belüli vagy saját kibocsátású egyéb forgalomképes eszközökből származó értékpapír-áramlások és értékpapírok. Az ilyen tételekből származó pénzeszköz-áramlásokat a tábla 1. és 2. szakaszában kell feltüntetni.</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Kapott, le nem hívott, folyósítási kötelezettséget tartalmazó keretek</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Az adatot szolgáltató intézmény rendelkezésére tartott, le nem hívott, folyósítási kötelezettséget tartalmazó keretek teljes összege.</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Magában foglalja a szerződés alapján visszavonhatatlan kereteket. Az intézményeknek csökkentett összeget kell feltüntetniük akkor, ha a lehívás esetleges biztosítékigénye meghaladja a rendelkezésre álló biztosítékokat.</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többszörös figyelembevétel elkerülése érdekében akkor, ha az adatszolgáltató intézmény eszközöket különített el valamely le nem hívott keret biztosítékaként, és ezeket az eszközöket a 730–990-es sorban már feltüntette, ezek a keretek az 1000-es sorban nem tüntethetők fel. Ugyanez vonatkozik azokra az esetekre, amikor az adatszolgáltató intézménynek esetlegesen biztosítékként eszközöket kell elkülönítenie az ebben a mezőben szerepeltetett lehívások érdekében.</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1. szintű keretek</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1000-es sorban feltüntetett azon összeg, amely az (EU) 2015/61 felhatalmazáson alapuló rendelet 19. cikke (1) bekezdésének b) pontja szerinti központi banki keret.</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2B. szintű korlátozott felhasználású keretek</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1000-es sorban feltüntetett azon összeg, amely az (EU) 2015/61 felhatalmazáson alapuló rendelet 14. cikke szerinti keretből származik.</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2B. szintű, intézményvédelmi rendszerbeli keretek</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1000-es sorban feltüntetett azon összeg, amely az (EU) 2015/61 felhatalmazáson alapuló rendelet 16. cikkének (2) bekezdése szerinti likviditásfinanszírozási forrás.</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Egyéb keretek</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1000-es sorban feltüntetett azon összeg, amely az 1010–1030-as sorban nem szerepel.</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csoporton belüli partnerektől</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1040-es sorban feltüntetett azon összeg, amelynek esetében a partner az intézmény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egyéb partnerektől</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Az 1040-es sorban feltüntetett azon összeg, amely az 1050-es sorban nem szerepel.</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A kiegyensúlyozó kapacitás nettó változása</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Ezen a soron a 3.2., 3.3., 3.4., valamint a 3.5., 3.6. 3.7. és a 3.8. pontban említett tételekkel, azaz az adott lejárati sávban a központi bankkal, értékpapír-áramlásokkal és folyósítási kötelezettséget tartalmazó hitelkeretekkel szembeni kitettségek nettó változását kell feltüntetni.</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Halmozott kiegyensúlyozó kapacitás</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Halmozott kiegyensúlyozó kapacitás az adatszolgáltatás időpontjától a vonatkozó lejárati sáv végéig.</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 –</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lastRenderedPageBreak/>
              <w:t>4 FÜGGŐ TÉTELEK</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A lejárati tábla „Függő tételek” szakasza a függő kiáramlásokra vonatkozó információkat tartalmazza.</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Folyósítási kötelezettséget tartalmazó keretekből származó kiáramlások</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Folyósítási kötelezettséget tartalmazó keretekből származó pénzeszköz-kiáramlások.</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intézményeknek az egy adott időszakban lehívható maximális összeget kell feltüntetniük kiáramlásként. Rulírozó hitelkeretek esetében csak a meglévő hitelen felüli összeget kell feltüntetni.</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Folyósítási kötelezettséget tartalmazó hitelkeretek</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1090-es sorban feltüntetett azon összeg, amely az (EU) 2015/61 felhatalmazáson alapuló rendelet 31. cikke szerinti folyósítási kötelezettséget tartalmazó hitelkeretből származik.</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a kedvezményezett által 2B. szintűnek tekintett</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1100-as sorban feltüntetett azon összeg, amelyet az (EU) 2015/61 felhatalmazáson alapuló rendelet 16. cikkének (2) bekezdése szerinti likviditásfinanszírozási forrásnak tekintenek.</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egyéb</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1100-as sorban feltüntetett azon összeg, amely az 1110-es sorban nem szerepel.</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Likviditási keretek</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1090-es sorban feltüntetett azon összeg, amely az (EU) 2015/61 felhatalmazáson alapuló rendelet 31. cikke szerinti likviditási keretekből származik.</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Leminősítés miatti kiáramlások</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Ezen a soron az intézmények az intézmény hitelminőségének jelentős, külső hitelminősítésének legalább három fokozattal történő csökkentésének megfelelő romlásából származó hatást tüntetik fel.</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 pozitív értékek függő kiáramlásokat jelentenek, a negatív értékek pedig az eredeti kötelezettség csökkenését jelentik.</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Ha a leminősítés hatása a meglévő kötelezettségek lejárat előtti visszaváltása, az érintett kötelezettségeket negatív előjellel kell feltüntetni </w:t>
            </w:r>
            <w:r>
              <w:rPr>
                <w:rFonts w:ascii="Times New Roman" w:hAnsi="Times New Roman"/>
                <w:sz w:val="24"/>
                <w:szCs w:val="24"/>
              </w:rPr>
              <w:lastRenderedPageBreak/>
              <w:t>abban az idősávban, amelyben az 1. pontban jelentik azokat, valamint egyidejűleg pozitív előjellel abban az idősávban, amelyben a kötelezettség esedékes lesz, amennyiben a leminősítés hatása az adatszolgáltatás időpontjában alkalmazandóvá válik.</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Ha a leminősítés hatása letéti felhívás, az elhelyezendő fedezet piaci értékét pozitív előjellel kell feltüntetni abban az idősávban, amelyikben a fedezetet el kell helyezni, amennyiben a leminősítés hatása az adatszolgáltatás időpontjában alkalmazandóvá válik.</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Ha a leminősítés hatása a partnerektől biztosítékként kapott értékpapírok újra-elzálogosítási jogának változása, az érintett értékpapírok piaci értékét pozitív előjellel kell feltüntetni abban az idősávban, amelyikben az értékpapírok megszűnnek az adatszolgáltató intézmény számára rendelkezésre állni, amennyiben a leminősítés hatása az adatszolgáltatás időpontjában alkalmazandóvá válik.</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 –</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TÁJÉKOZTATÓ ADATOK</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Csoporton belüli vagy intézményvédelmi rendszeren belüli kiáramlások (a devizaügyletek kivételével)</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010-es, 060-as, 260-as, 360-as, 370-es sorban feltüntetett azon kiáramlások összege, amelyek esetében a partner az intézmény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Csoporton belüli vagy intézményvédelmi rendszeren belüli beáramlások (a devizaügyletek és a lejáró értékpapírok kivételével)</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390-es, 590-es, 670-es, 690-es sorban feltüntetett azon beáramlások összege, amelyek esetében a partner az intézmény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Csoporton belüli vagy intézményvédelmi rendszeren belüli beáramlások lejáró értékpapírokból</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680-as sorban feltüntetett azon beáramlások összege, amelyek esetében a partner az intézmény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Központi bank által elismert magas minőségű likvid eszközök</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750-es, 820-as és 860-as sorban feltüntetett értékek összege, amely elfogadható fedezetet képez azon központi bank szokásos likviditási műveleteihez, amely az intézmény számára konszolidációs szintjén közvetlenül hozzáférhető.</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2015/233 rendelet mellékletében szereplő olyan pénznemben denominált eszközök esetében, amelynek tekintetében rendkívül szűk a központi bank által elfogadható fedezetek köre, a mezőt üresen kell hagyni.</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Központi bank által elismert nem magas minőségű likvid eszközök</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Az alábbiak összege:</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A 920-as sorban feltüntetett azon összegek, amelyek elfogadható fedezetet képeznek azon központi bank szokásos likviditási műveleteihez, amely az intézmény számára konszolidációs szintjén közvetlenül hozzáférhető;</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azon saját kibocsátású eszközök, amelyek elfogadható fedezetet képeznek azon központi bank szokásos likviditási műveleteihez, amely az intézmény számára konszolidációs szintjén közvetlenül hozzáférhető.</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(EU) 2015/233 rendeletben szereplő olyan pénznemben denominált eszközök esetében, amelynek tekintetében rendkívül szűk a központi bank által elfogadható fedezetek köre, a mezőt üresen kell hagyni.</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Betétekből származó kiáramlások – modellezett, viselkedés szerint</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 260-as sorban feltüntetett, a viselkedési lejárat szerint – szokásos üzletmenet alapon – az egyes idősávokba újraelosztott összeg, amelyet az adatszolgáltató intézmény a likviditási kockázat kezelésére használ.</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 mező alkalmazásában a „szokásos üzletmenet” kifejezés olyan helyzetet </w:t>
            </w:r>
            <w:r>
              <w:rPr>
                <w:rFonts w:ascii="Times New Roman" w:hAnsi="Times New Roman"/>
                <w:sz w:val="24"/>
                <w:szCs w:val="24"/>
              </w:rPr>
              <w:lastRenderedPageBreak/>
              <w:t>jelöl, amelyben nincs likviditási stressz.</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elosztásnak a betétek „ragadósságát” kell tükröznie.</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Ez a tétel nem tükröz üzleti tervvel kapcsolatos feltételezéseket, így nem tartalmazhat új üzleti tevékenységekkel kapcsolatos információkat.</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egyes idősávokba történő elosztás során a belső célokra használt granularitást kell követni. Következésképpen nem feltétlenül kell minden idősávot kitölteni.</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Hitelekből és előlegekből származó beáramlások – modellezett, viselkedés szerint</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Az 590-es sorban feltüntetett, a viselkedési lejárat szerint – szokásos üzletmenet alapon – az egyes idősávokba újraelosztott összeg, amelyet az adatszolgáltató intézmény a likviditási kockázat kezelésére használ.</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 mező alkalmazásában a „szokásos üzletmenet” kifejezés olyan helyzetet jelöl, amelyben nincs likviditási stressz.</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Ez a tétel nem tükröz üzleti tervvel kapcsolatos feltételezéseket, így nem vesz tekintetbe új üzleti tevékenységeket.</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egyes idősávokba történő elosztás során a belső célokra használt granularitást kell követni. Következésképpen nem feltétlenül kell minden idősávot kitölteni.</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Folyósítási kötelezettséget tartalmazó keretek lehívása – modellezett, viselkedés szerint</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Az 1090-es sorban feltüntetett, a lehívások magatartási szintje és az adódó likviditási igények szerint – szokásos üzletmenet alapon – az egyes idősávokba újraelosztott összeg, amelyet az adatszolgáltató intézmény a likviditási kockázat kezelésére használ.</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E mező alkalmazásában a „szokásos üzletmenet” kifejezés olyan helyzetet jelöl, amelyben nincs likviditási stressz.</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Ez a tétel nem tükröz üzleti tervvel kapcsolatos feltételezéseket, így nem vesz tekintetbe új üzleti tevékenységeket.</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Az egyes idősávokba történő elosztás során a belső célokra használt granularitást kell követni. Következésképpen nem feltétlenül kell minden idősávot kitölteni.</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A613F0" w:rsidRDefault="00A613F0">
      <w:r>
        <w:separator/>
      </w:r>
    </w:p>
  </w:endnote>
  <w:endnote w:type="continuationSeparator" w:id="0">
    <w:p w14:paraId="53992D04" w14:textId="77777777" w:rsidR="00A613F0" w:rsidRDefault="00A613F0">
      <w:r>
        <w:continuationSeparator/>
      </w:r>
    </w:p>
  </w:endnote>
  <w:endnote w:type="continuationNotice" w:id="1">
    <w:p w14:paraId="3CE2EFE4" w14:textId="77777777" w:rsidR="00A613F0" w:rsidRDefault="00A61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A613F0" w:rsidRDefault="00A61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35E7E6E6" w:rsidR="00A613F0" w:rsidRDefault="00A613F0">
        <w:pPr>
          <w:pStyle w:val="Footer"/>
          <w:jc w:val="right"/>
        </w:pPr>
        <w:r>
          <w:fldChar w:fldCharType="begin"/>
        </w:r>
        <w:r>
          <w:instrText xml:space="preserve"> PAGE   \* MERGEFORMAT </w:instrText>
        </w:r>
        <w:r>
          <w:fldChar w:fldCharType="separate"/>
        </w:r>
        <w:r w:rsidR="0019272B">
          <w:rPr>
            <w:noProof/>
          </w:rPr>
          <w:t>4</w:t>
        </w:r>
        <w:r>
          <w:fldChar w:fldCharType="end"/>
        </w:r>
      </w:p>
    </w:sdtContent>
  </w:sdt>
  <w:p w14:paraId="4B030B2F" w14:textId="77777777" w:rsidR="00A613F0" w:rsidRDefault="00A61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A613F0" w:rsidRDefault="00A613F0">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A613F0" w:rsidRDefault="00A61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A613F0" w:rsidRPr="004D223F" w:rsidRDefault="00A613F0" w:rsidP="00C7701D">
      <w:r>
        <w:continuationSeparator/>
      </w:r>
    </w:p>
  </w:footnote>
  <w:footnote w:type="continuationSeparator" w:id="0">
    <w:p w14:paraId="386C71B3" w14:textId="77777777" w:rsidR="00A613F0" w:rsidRDefault="00A613F0">
      <w:r>
        <w:continuationSeparator/>
      </w:r>
    </w:p>
  </w:footnote>
  <w:footnote w:type="continuationNotice" w:id="1">
    <w:p w14:paraId="06529B1A" w14:textId="77777777" w:rsidR="00A613F0" w:rsidRDefault="00A613F0"/>
  </w:footnote>
  <w:footnote w:id="2">
    <w:p w14:paraId="5CFDF0D3" w14:textId="77777777" w:rsidR="00A613F0" w:rsidRPr="00E9222D" w:rsidRDefault="00A613F0">
      <w:pPr>
        <w:pStyle w:val="FootnoteText"/>
      </w:pPr>
      <w:r>
        <w:rPr>
          <w:rStyle w:val="FootnoteReference"/>
        </w:rPr>
        <w:footnoteRef/>
      </w:r>
      <w:r>
        <w:t xml:space="preserve"> </w:t>
      </w:r>
      <w:hyperlink r:id="rId1" w:history="1">
        <w:r>
          <w:rPr>
            <w:rStyle w:val="Hyperlink"/>
          </w:rPr>
          <w:t>http://eur-lex.europa.eu/legal-content/HU/TXT/?uri=CELEX%3A32015R0233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A613F0" w:rsidRDefault="00A61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A613F0" w:rsidRPr="001A280E" w:rsidRDefault="00A613F0"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A613F0" w:rsidRDefault="00A613F0">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A613F0" w:rsidRDefault="00A613F0">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131"/>
    <w:rsid w:val="0017558C"/>
    <w:rsid w:val="00175A51"/>
    <w:rsid w:val="0017706B"/>
    <w:rsid w:val="00180521"/>
    <w:rsid w:val="00180FB9"/>
    <w:rsid w:val="00181A8D"/>
    <w:rsid w:val="001820FB"/>
    <w:rsid w:val="001849BA"/>
    <w:rsid w:val="00184D76"/>
    <w:rsid w:val="00186774"/>
    <w:rsid w:val="00187E4B"/>
    <w:rsid w:val="0019272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4419"/>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3F0"/>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u-HU"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u-HU"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u-HU"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HU/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8C0C8-010C-473A-BEC2-D1A9A750B98F}">
  <ds:schemaRefs>
    <ds:schemaRef ds:uri="http://schemas.openxmlformats.org/officeDocument/2006/bibliography"/>
  </ds:schemaRefs>
</ds:datastoreItem>
</file>

<file path=customXml/itemProps2.xml><?xml version="1.0" encoding="utf-8"?>
<ds:datastoreItem xmlns:ds="http://schemas.openxmlformats.org/officeDocument/2006/customXml" ds:itemID="{8C02CED2-C2D0-4F7D-AAAE-A5169DF34417}">
  <ds:schemaRefs>
    <ds:schemaRef ds:uri="http://schemas.openxmlformats.org/officeDocument/2006/bibliography"/>
  </ds:schemaRefs>
</ds:datastoreItem>
</file>

<file path=customXml/itemProps3.xml><?xml version="1.0" encoding="utf-8"?>
<ds:datastoreItem xmlns:ds="http://schemas.openxmlformats.org/officeDocument/2006/customXml" ds:itemID="{225F5D38-10D7-4EC4-A0E1-950753B1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29</Pages>
  <Words>6504</Words>
  <Characters>48278</Characters>
  <Application>Microsoft Office Word</Application>
  <DocSecurity>0</DocSecurity>
  <Lines>1072</Lines>
  <Paragraphs>558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54224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MOLNAR Nora (DGT)</cp:lastModifiedBy>
  <cp:revision>7</cp:revision>
  <cp:lastPrinted>2015-04-10T08:05:00Z</cp:lastPrinted>
  <dcterms:created xsi:type="dcterms:W3CDTF">2020-12-02T17:03:00Z</dcterms:created>
  <dcterms:modified xsi:type="dcterms:W3CDTF">2020-12-14T14:29:00Z</dcterms:modified>
</cp:coreProperties>
</file>