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XXVII. melléklet</w:t>
      </w:r>
    </w:p>
    <w:p w14:paraId="644BA8AC" w14:textId="5AF5235F" w:rsidR="002648B0" w:rsidRPr="00EC067D" w:rsidRDefault="002648B0" w:rsidP="00C87CEE">
      <w:pPr>
        <w:jc w:val="center"/>
        <w:rPr>
          <w:rFonts w:ascii="Times New Roman" w:hAnsi="Times New Roman"/>
          <w:b/>
          <w:sz w:val="24"/>
        </w:rPr>
      </w:pPr>
      <w:proofErr w:type="spellStart"/>
      <w:r>
        <w:rPr>
          <w:rFonts w:ascii="Times New Roman" w:hAnsi="Times New Roman"/>
          <w:b/>
          <w:sz w:val="24"/>
        </w:rPr>
        <w:t>Úmutató</w:t>
      </w:r>
      <w:proofErr w:type="spellEnd"/>
      <w:r>
        <w:rPr>
          <w:rFonts w:ascii="Times New Roman" w:hAnsi="Times New Roman"/>
          <w:b/>
          <w:sz w:val="24"/>
        </w:rPr>
        <w:t xml:space="preserve"> a </w:t>
      </w:r>
      <w:proofErr w:type="gramStart"/>
      <w:r>
        <w:rPr>
          <w:rFonts w:ascii="Times New Roman" w:hAnsi="Times New Roman"/>
          <w:b/>
          <w:sz w:val="24"/>
        </w:rPr>
        <w:t>globálisan</w:t>
      </w:r>
      <w:proofErr w:type="gramEnd"/>
      <w:r>
        <w:rPr>
          <w:rFonts w:ascii="Times New Roman" w:hAnsi="Times New Roman"/>
          <w:b/>
          <w:sz w:val="24"/>
        </w:rPr>
        <w:t xml:space="preserve"> rendszerszinten jelentős intézményekre vonatkozó pufferráták meghatározásával és hozzárendelésével </w:t>
      </w:r>
      <w:r w:rsidR="0071080F">
        <w:rPr>
          <w:rFonts w:ascii="Times New Roman" w:hAnsi="Times New Roman"/>
          <w:b/>
          <w:sz w:val="24"/>
        </w:rPr>
        <w:t>kapcsolatos adatszolgáltatáshoz</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Tartalomjegyzék</w:t>
      </w:r>
    </w:p>
    <w:p w14:paraId="6913394F" w14:textId="7AF33639" w:rsidR="008332DC" w:rsidRDefault="00745369">
      <w:pPr>
        <w:pStyle w:val="TOC2"/>
        <w:rPr>
          <w:rFonts w:asciiTheme="minorHAnsi" w:eastAsiaTheme="minorEastAsia" w:hAnsiTheme="minorHAnsi" w:cstheme="minorBidi"/>
          <w:b w:val="0"/>
          <w:smallCaps w:val="0"/>
          <w:sz w:val="22"/>
          <w:lang w:eastAsia="hu-HU"/>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47984" w:history="1">
        <w:r w:rsidR="008332DC" w:rsidRPr="001A0AE4">
          <w:rPr>
            <w:rStyle w:val="Hyperlink"/>
          </w:rPr>
          <w:t>I. RÉSZ: ÁLTALÁNOS ÚTMUTATÓ</w:t>
        </w:r>
        <w:r w:rsidR="008332DC">
          <w:rPr>
            <w:webHidden/>
          </w:rPr>
          <w:tab/>
        </w:r>
        <w:r w:rsidR="008332DC">
          <w:rPr>
            <w:webHidden/>
          </w:rPr>
          <w:fldChar w:fldCharType="begin"/>
        </w:r>
        <w:r w:rsidR="008332DC">
          <w:rPr>
            <w:webHidden/>
          </w:rPr>
          <w:instrText xml:space="preserve"> PAGEREF _Toc58847984 \h </w:instrText>
        </w:r>
        <w:r w:rsidR="008332DC">
          <w:rPr>
            <w:webHidden/>
          </w:rPr>
        </w:r>
        <w:r w:rsidR="008332DC">
          <w:rPr>
            <w:webHidden/>
          </w:rPr>
          <w:fldChar w:fldCharType="separate"/>
        </w:r>
        <w:r w:rsidR="0071080F">
          <w:rPr>
            <w:webHidden/>
          </w:rPr>
          <w:t>2</w:t>
        </w:r>
        <w:r w:rsidR="008332DC">
          <w:rPr>
            <w:webHidden/>
          </w:rPr>
          <w:fldChar w:fldCharType="end"/>
        </w:r>
      </w:hyperlink>
    </w:p>
    <w:p w14:paraId="218A8589" w14:textId="5E6A39E8" w:rsidR="008332DC" w:rsidRDefault="00C6623D">
      <w:pPr>
        <w:pStyle w:val="TOC2"/>
        <w:rPr>
          <w:rFonts w:asciiTheme="minorHAnsi" w:eastAsiaTheme="minorEastAsia" w:hAnsiTheme="minorHAnsi" w:cstheme="minorBidi"/>
          <w:b w:val="0"/>
          <w:smallCaps w:val="0"/>
          <w:sz w:val="22"/>
          <w:lang w:eastAsia="hu-HU"/>
        </w:rPr>
      </w:pPr>
      <w:hyperlink w:anchor="_Toc58847985" w:history="1">
        <w:r w:rsidR="008332DC" w:rsidRPr="001A0AE4">
          <w:rPr>
            <w:rStyle w:val="Hyperlink"/>
          </w:rPr>
          <w:t>1.1</w:t>
        </w:r>
        <w:r w:rsidR="008332DC">
          <w:rPr>
            <w:rFonts w:asciiTheme="minorHAnsi" w:eastAsiaTheme="minorEastAsia" w:hAnsiTheme="minorHAnsi" w:cstheme="minorBidi"/>
            <w:b w:val="0"/>
            <w:smallCaps w:val="0"/>
            <w:sz w:val="22"/>
            <w:lang w:eastAsia="hu-HU"/>
          </w:rPr>
          <w:tab/>
        </w:r>
        <w:r w:rsidR="008332DC" w:rsidRPr="001A0AE4">
          <w:rPr>
            <w:rStyle w:val="Hyperlink"/>
          </w:rPr>
          <w:t>1. Felépítés és szabályok</w:t>
        </w:r>
        <w:r w:rsidR="008332DC">
          <w:rPr>
            <w:webHidden/>
          </w:rPr>
          <w:tab/>
        </w:r>
        <w:r w:rsidR="008332DC">
          <w:rPr>
            <w:webHidden/>
          </w:rPr>
          <w:fldChar w:fldCharType="begin"/>
        </w:r>
        <w:r w:rsidR="008332DC">
          <w:rPr>
            <w:webHidden/>
          </w:rPr>
          <w:instrText xml:space="preserve"> PAGEREF _Toc58847985 \h </w:instrText>
        </w:r>
        <w:r w:rsidR="008332DC">
          <w:rPr>
            <w:webHidden/>
          </w:rPr>
        </w:r>
        <w:r w:rsidR="008332DC">
          <w:rPr>
            <w:webHidden/>
          </w:rPr>
          <w:fldChar w:fldCharType="separate"/>
        </w:r>
        <w:r w:rsidR="0071080F">
          <w:rPr>
            <w:webHidden/>
          </w:rPr>
          <w:t>2</w:t>
        </w:r>
        <w:r w:rsidR="008332DC">
          <w:rPr>
            <w:webHidden/>
          </w:rPr>
          <w:fldChar w:fldCharType="end"/>
        </w:r>
      </w:hyperlink>
    </w:p>
    <w:p w14:paraId="5A319995" w14:textId="7FDC5D02" w:rsidR="008332DC" w:rsidRDefault="00C6623D">
      <w:pPr>
        <w:pStyle w:val="TOC2"/>
        <w:rPr>
          <w:rFonts w:asciiTheme="minorHAnsi" w:eastAsiaTheme="minorEastAsia" w:hAnsiTheme="minorHAnsi" w:cstheme="minorBidi"/>
          <w:b w:val="0"/>
          <w:smallCaps w:val="0"/>
          <w:sz w:val="22"/>
          <w:lang w:eastAsia="hu-HU"/>
        </w:rPr>
      </w:pPr>
      <w:hyperlink w:anchor="_Toc58847986" w:history="1">
        <w:r w:rsidR="008332DC" w:rsidRPr="001A0AE4">
          <w:rPr>
            <w:rStyle w:val="Hyperlink"/>
          </w:rPr>
          <w:t>2.1</w:t>
        </w:r>
        <w:r w:rsidR="008332DC">
          <w:rPr>
            <w:rFonts w:asciiTheme="minorHAnsi" w:eastAsiaTheme="minorEastAsia" w:hAnsiTheme="minorHAnsi" w:cstheme="minorBidi"/>
            <w:b w:val="0"/>
            <w:smallCaps w:val="0"/>
            <w:sz w:val="22"/>
            <w:lang w:eastAsia="hu-HU"/>
          </w:rPr>
          <w:tab/>
        </w:r>
        <w:r w:rsidR="008332DC" w:rsidRPr="001A0AE4">
          <w:rPr>
            <w:rStyle w:val="Hyperlink"/>
          </w:rPr>
          <w:t>1.1. Felépítés</w:t>
        </w:r>
        <w:r w:rsidR="008332DC">
          <w:rPr>
            <w:webHidden/>
          </w:rPr>
          <w:tab/>
        </w:r>
        <w:r w:rsidR="008332DC">
          <w:rPr>
            <w:webHidden/>
          </w:rPr>
          <w:fldChar w:fldCharType="begin"/>
        </w:r>
        <w:r w:rsidR="008332DC">
          <w:rPr>
            <w:webHidden/>
          </w:rPr>
          <w:instrText xml:space="preserve"> PAGEREF _Toc58847986 \h </w:instrText>
        </w:r>
        <w:r w:rsidR="008332DC">
          <w:rPr>
            <w:webHidden/>
          </w:rPr>
        </w:r>
        <w:r w:rsidR="008332DC">
          <w:rPr>
            <w:webHidden/>
          </w:rPr>
          <w:fldChar w:fldCharType="separate"/>
        </w:r>
        <w:r w:rsidR="0071080F">
          <w:rPr>
            <w:webHidden/>
          </w:rPr>
          <w:t>2</w:t>
        </w:r>
        <w:r w:rsidR="008332DC">
          <w:rPr>
            <w:webHidden/>
          </w:rPr>
          <w:fldChar w:fldCharType="end"/>
        </w:r>
      </w:hyperlink>
    </w:p>
    <w:p w14:paraId="3BDDC78A" w14:textId="26884E55" w:rsidR="008332DC" w:rsidRDefault="00C6623D">
      <w:pPr>
        <w:pStyle w:val="TOC2"/>
        <w:rPr>
          <w:rFonts w:asciiTheme="minorHAnsi" w:eastAsiaTheme="minorEastAsia" w:hAnsiTheme="minorHAnsi" w:cstheme="minorBidi"/>
          <w:b w:val="0"/>
          <w:smallCaps w:val="0"/>
          <w:sz w:val="22"/>
          <w:lang w:eastAsia="hu-HU"/>
        </w:rPr>
      </w:pPr>
      <w:hyperlink w:anchor="_Toc58847987" w:history="1">
        <w:r w:rsidR="008332DC" w:rsidRPr="001A0AE4">
          <w:rPr>
            <w:rStyle w:val="Hyperlink"/>
          </w:rPr>
          <w:t>3.1</w:t>
        </w:r>
        <w:r w:rsidR="008332DC">
          <w:rPr>
            <w:rFonts w:asciiTheme="minorHAnsi" w:eastAsiaTheme="minorEastAsia" w:hAnsiTheme="minorHAnsi" w:cstheme="minorBidi"/>
            <w:b w:val="0"/>
            <w:smallCaps w:val="0"/>
            <w:sz w:val="22"/>
            <w:lang w:eastAsia="hu-HU"/>
          </w:rPr>
          <w:tab/>
        </w:r>
        <w:r w:rsidR="008332DC" w:rsidRPr="001A0AE4">
          <w:rPr>
            <w:rStyle w:val="Hyperlink"/>
          </w:rPr>
          <w:t>1.2. Számozási szabályok</w:t>
        </w:r>
        <w:r w:rsidR="008332DC">
          <w:rPr>
            <w:webHidden/>
          </w:rPr>
          <w:tab/>
        </w:r>
        <w:r w:rsidR="008332DC">
          <w:rPr>
            <w:webHidden/>
          </w:rPr>
          <w:fldChar w:fldCharType="begin"/>
        </w:r>
        <w:r w:rsidR="008332DC">
          <w:rPr>
            <w:webHidden/>
          </w:rPr>
          <w:instrText xml:space="preserve"> PAGEREF _Toc58847987 \h </w:instrText>
        </w:r>
        <w:r w:rsidR="008332DC">
          <w:rPr>
            <w:webHidden/>
          </w:rPr>
        </w:r>
        <w:r w:rsidR="008332DC">
          <w:rPr>
            <w:webHidden/>
          </w:rPr>
          <w:fldChar w:fldCharType="separate"/>
        </w:r>
        <w:r w:rsidR="0071080F">
          <w:rPr>
            <w:webHidden/>
          </w:rPr>
          <w:t>2</w:t>
        </w:r>
        <w:r w:rsidR="008332DC">
          <w:rPr>
            <w:webHidden/>
          </w:rPr>
          <w:fldChar w:fldCharType="end"/>
        </w:r>
      </w:hyperlink>
    </w:p>
    <w:p w14:paraId="463CCDE0" w14:textId="16385FA0" w:rsidR="008332DC" w:rsidRDefault="00C6623D">
      <w:pPr>
        <w:pStyle w:val="TOC2"/>
        <w:rPr>
          <w:rFonts w:asciiTheme="minorHAnsi" w:eastAsiaTheme="minorEastAsia" w:hAnsiTheme="minorHAnsi" w:cstheme="minorBidi"/>
          <w:b w:val="0"/>
          <w:smallCaps w:val="0"/>
          <w:sz w:val="22"/>
          <w:lang w:eastAsia="hu-HU"/>
        </w:rPr>
      </w:pPr>
      <w:hyperlink w:anchor="_Toc58847988" w:history="1">
        <w:r w:rsidR="008332DC" w:rsidRPr="001A0AE4">
          <w:rPr>
            <w:rStyle w:val="Hyperlink"/>
          </w:rPr>
          <w:t>4.1</w:t>
        </w:r>
        <w:r w:rsidR="008332DC">
          <w:rPr>
            <w:rFonts w:asciiTheme="minorHAnsi" w:eastAsiaTheme="minorEastAsia" w:hAnsiTheme="minorHAnsi" w:cstheme="minorBidi"/>
            <w:b w:val="0"/>
            <w:smallCaps w:val="0"/>
            <w:sz w:val="22"/>
            <w:lang w:eastAsia="hu-HU"/>
          </w:rPr>
          <w:tab/>
        </w:r>
        <w:r w:rsidR="008332DC" w:rsidRPr="001A0AE4">
          <w:rPr>
            <w:rStyle w:val="Hyperlink"/>
          </w:rPr>
          <w:t>1.3. Előjelre vonatkozó szabályok</w:t>
        </w:r>
        <w:r w:rsidR="008332DC">
          <w:rPr>
            <w:webHidden/>
          </w:rPr>
          <w:tab/>
        </w:r>
        <w:r w:rsidR="008332DC">
          <w:rPr>
            <w:webHidden/>
          </w:rPr>
          <w:fldChar w:fldCharType="begin"/>
        </w:r>
        <w:r w:rsidR="008332DC">
          <w:rPr>
            <w:webHidden/>
          </w:rPr>
          <w:instrText xml:space="preserve"> PAGEREF _Toc58847988 \h </w:instrText>
        </w:r>
        <w:r w:rsidR="008332DC">
          <w:rPr>
            <w:webHidden/>
          </w:rPr>
        </w:r>
        <w:r w:rsidR="008332DC">
          <w:rPr>
            <w:webHidden/>
          </w:rPr>
          <w:fldChar w:fldCharType="separate"/>
        </w:r>
        <w:r w:rsidR="0071080F">
          <w:rPr>
            <w:webHidden/>
          </w:rPr>
          <w:t>2</w:t>
        </w:r>
        <w:r w:rsidR="008332DC">
          <w:rPr>
            <w:webHidden/>
          </w:rPr>
          <w:fldChar w:fldCharType="end"/>
        </w:r>
      </w:hyperlink>
    </w:p>
    <w:p w14:paraId="25B2F4ED" w14:textId="5AEEAA24" w:rsidR="008332DC" w:rsidRDefault="00C6623D">
      <w:pPr>
        <w:pStyle w:val="TOC2"/>
        <w:rPr>
          <w:rFonts w:asciiTheme="minorHAnsi" w:eastAsiaTheme="minorEastAsia" w:hAnsiTheme="minorHAnsi" w:cstheme="minorBidi"/>
          <w:b w:val="0"/>
          <w:smallCaps w:val="0"/>
          <w:sz w:val="22"/>
          <w:lang w:eastAsia="hu-HU"/>
        </w:rPr>
      </w:pPr>
      <w:hyperlink w:anchor="_Toc58847989" w:history="1">
        <w:r w:rsidR="008332DC" w:rsidRPr="001A0AE4">
          <w:rPr>
            <w:rStyle w:val="Hyperlink"/>
          </w:rPr>
          <w:t>5.1</w:t>
        </w:r>
        <w:r w:rsidR="008332DC">
          <w:rPr>
            <w:rFonts w:asciiTheme="minorHAnsi" w:eastAsiaTheme="minorEastAsia" w:hAnsiTheme="minorHAnsi" w:cstheme="minorBidi"/>
            <w:b w:val="0"/>
            <w:smallCaps w:val="0"/>
            <w:sz w:val="22"/>
            <w:lang w:eastAsia="hu-HU"/>
          </w:rPr>
          <w:tab/>
        </w:r>
        <w:r w:rsidR="008332DC" w:rsidRPr="001A0AE4">
          <w:rPr>
            <w:rStyle w:val="Hyperlink"/>
          </w:rPr>
          <w:t>1.4. Rövidítések</w:t>
        </w:r>
        <w:r w:rsidR="008332DC">
          <w:rPr>
            <w:webHidden/>
          </w:rPr>
          <w:tab/>
        </w:r>
        <w:r w:rsidR="008332DC">
          <w:rPr>
            <w:webHidden/>
          </w:rPr>
          <w:fldChar w:fldCharType="begin"/>
        </w:r>
        <w:r w:rsidR="008332DC">
          <w:rPr>
            <w:webHidden/>
          </w:rPr>
          <w:instrText xml:space="preserve"> PAGEREF _Toc58847989 \h </w:instrText>
        </w:r>
        <w:r w:rsidR="008332DC">
          <w:rPr>
            <w:webHidden/>
          </w:rPr>
        </w:r>
        <w:r w:rsidR="008332DC">
          <w:rPr>
            <w:webHidden/>
          </w:rPr>
          <w:fldChar w:fldCharType="separate"/>
        </w:r>
        <w:r w:rsidR="0071080F">
          <w:rPr>
            <w:webHidden/>
          </w:rPr>
          <w:t>2</w:t>
        </w:r>
        <w:r w:rsidR="008332DC">
          <w:rPr>
            <w:webHidden/>
          </w:rPr>
          <w:fldChar w:fldCharType="end"/>
        </w:r>
      </w:hyperlink>
    </w:p>
    <w:p w14:paraId="5D6AE6D0" w14:textId="65078325" w:rsidR="008332DC" w:rsidRDefault="00C6623D">
      <w:pPr>
        <w:pStyle w:val="TOC2"/>
        <w:rPr>
          <w:rFonts w:asciiTheme="minorHAnsi" w:eastAsiaTheme="minorEastAsia" w:hAnsiTheme="minorHAnsi" w:cstheme="minorBidi"/>
          <w:b w:val="0"/>
          <w:smallCaps w:val="0"/>
          <w:sz w:val="22"/>
          <w:lang w:eastAsia="hu-HU"/>
        </w:rPr>
      </w:pPr>
      <w:hyperlink w:anchor="_Toc58847990" w:history="1">
        <w:r w:rsidR="008332DC" w:rsidRPr="001A0AE4">
          <w:rPr>
            <w:rStyle w:val="Hyperlink"/>
          </w:rPr>
          <w:t>II. RÉSZ: A TÁBLÁHOZ KAPCSOLÓDÓ ÚTMUTATÓ</w:t>
        </w:r>
        <w:r w:rsidR="008332DC">
          <w:rPr>
            <w:webHidden/>
          </w:rPr>
          <w:tab/>
        </w:r>
        <w:r w:rsidR="008332DC">
          <w:rPr>
            <w:webHidden/>
          </w:rPr>
          <w:fldChar w:fldCharType="begin"/>
        </w:r>
        <w:r w:rsidR="008332DC">
          <w:rPr>
            <w:webHidden/>
          </w:rPr>
          <w:instrText xml:space="preserve"> PAGEREF _Toc58847990 \h </w:instrText>
        </w:r>
        <w:r w:rsidR="008332DC">
          <w:rPr>
            <w:webHidden/>
          </w:rPr>
        </w:r>
        <w:r w:rsidR="008332DC">
          <w:rPr>
            <w:webHidden/>
          </w:rPr>
          <w:fldChar w:fldCharType="separate"/>
        </w:r>
        <w:r w:rsidR="0071080F">
          <w:rPr>
            <w:webHidden/>
          </w:rPr>
          <w:t>3</w:t>
        </w:r>
        <w:r w:rsidR="008332DC">
          <w:rPr>
            <w:webHidden/>
          </w:rPr>
          <w:fldChar w:fldCharType="end"/>
        </w:r>
      </w:hyperlink>
    </w:p>
    <w:p w14:paraId="692594AC" w14:textId="590CD632" w:rsidR="008332DC" w:rsidRDefault="00C6623D">
      <w:pPr>
        <w:pStyle w:val="TOC2"/>
        <w:rPr>
          <w:rFonts w:asciiTheme="minorHAnsi" w:eastAsiaTheme="minorEastAsia" w:hAnsiTheme="minorHAnsi" w:cstheme="minorBidi"/>
          <w:b w:val="0"/>
          <w:smallCaps w:val="0"/>
          <w:sz w:val="22"/>
          <w:lang w:eastAsia="hu-HU"/>
        </w:rPr>
      </w:pPr>
      <w:hyperlink w:anchor="_Toc58847991" w:history="1">
        <w:r w:rsidR="008332DC" w:rsidRPr="001A0AE4">
          <w:rPr>
            <w:rStyle w:val="Hyperlink"/>
          </w:rPr>
          <w:t>6.1</w:t>
        </w:r>
        <w:r w:rsidR="008332DC">
          <w:rPr>
            <w:rFonts w:asciiTheme="minorHAnsi" w:eastAsiaTheme="minorEastAsia" w:hAnsiTheme="minorHAnsi" w:cstheme="minorBidi"/>
            <w:b w:val="0"/>
            <w:smallCaps w:val="0"/>
            <w:sz w:val="22"/>
            <w:lang w:eastAsia="hu-HU"/>
          </w:rPr>
          <w:tab/>
        </w:r>
        <w:r w:rsidR="008332DC" w:rsidRPr="001A0AE4">
          <w:rPr>
            <w:rStyle w:val="Hyperlink"/>
          </w:rPr>
          <w:t>1. Általános megjegyzések</w:t>
        </w:r>
        <w:r w:rsidR="008332DC">
          <w:rPr>
            <w:webHidden/>
          </w:rPr>
          <w:tab/>
        </w:r>
        <w:r w:rsidR="008332DC">
          <w:rPr>
            <w:webHidden/>
          </w:rPr>
          <w:fldChar w:fldCharType="begin"/>
        </w:r>
        <w:r w:rsidR="008332DC">
          <w:rPr>
            <w:webHidden/>
          </w:rPr>
          <w:instrText xml:space="preserve"> PAGEREF _Toc58847991 \h </w:instrText>
        </w:r>
        <w:r w:rsidR="008332DC">
          <w:rPr>
            <w:webHidden/>
          </w:rPr>
        </w:r>
        <w:r w:rsidR="008332DC">
          <w:rPr>
            <w:webHidden/>
          </w:rPr>
          <w:fldChar w:fldCharType="separate"/>
        </w:r>
        <w:r w:rsidR="0071080F">
          <w:rPr>
            <w:webHidden/>
          </w:rPr>
          <w:t>3</w:t>
        </w:r>
        <w:r w:rsidR="008332DC">
          <w:rPr>
            <w:webHidden/>
          </w:rPr>
          <w:fldChar w:fldCharType="end"/>
        </w:r>
      </w:hyperlink>
    </w:p>
    <w:p w14:paraId="61C585E4" w14:textId="0963D2F7" w:rsidR="008332DC" w:rsidRDefault="00C6623D">
      <w:pPr>
        <w:pStyle w:val="TOC2"/>
        <w:rPr>
          <w:rFonts w:asciiTheme="minorHAnsi" w:eastAsiaTheme="minorEastAsia" w:hAnsiTheme="minorHAnsi" w:cstheme="minorBidi"/>
          <w:b w:val="0"/>
          <w:smallCaps w:val="0"/>
          <w:sz w:val="22"/>
          <w:lang w:eastAsia="hu-HU"/>
        </w:rPr>
      </w:pPr>
      <w:hyperlink w:anchor="_Toc58847992" w:history="1">
        <w:r w:rsidR="008332DC" w:rsidRPr="001A0AE4">
          <w:rPr>
            <w:rStyle w:val="Hyperlink"/>
          </w:rPr>
          <w:t>7.1</w:t>
        </w:r>
        <w:r w:rsidR="008332DC">
          <w:rPr>
            <w:rFonts w:asciiTheme="minorHAnsi" w:eastAsiaTheme="minorEastAsia" w:hAnsiTheme="minorHAnsi" w:cstheme="minorBidi"/>
            <w:b w:val="0"/>
            <w:smallCaps w:val="0"/>
            <w:sz w:val="22"/>
            <w:lang w:eastAsia="hu-HU"/>
          </w:rPr>
          <w:tab/>
        </w:r>
        <w:r w:rsidR="008332DC" w:rsidRPr="001A0AE4">
          <w:rPr>
            <w:rStyle w:val="Hyperlink"/>
          </w:rPr>
          <w:t>2. Az egyes pozíciókra vonatkozó útmutató</w:t>
        </w:r>
        <w:r w:rsidR="008332DC">
          <w:rPr>
            <w:webHidden/>
          </w:rPr>
          <w:tab/>
        </w:r>
        <w:r w:rsidR="008332DC">
          <w:rPr>
            <w:webHidden/>
          </w:rPr>
          <w:fldChar w:fldCharType="begin"/>
        </w:r>
        <w:r w:rsidR="008332DC">
          <w:rPr>
            <w:webHidden/>
          </w:rPr>
          <w:instrText xml:space="preserve"> PAGEREF _Toc58847992 \h </w:instrText>
        </w:r>
        <w:r w:rsidR="008332DC">
          <w:rPr>
            <w:webHidden/>
          </w:rPr>
        </w:r>
        <w:r w:rsidR="008332DC">
          <w:rPr>
            <w:webHidden/>
          </w:rPr>
          <w:fldChar w:fldCharType="separate"/>
        </w:r>
        <w:r w:rsidR="0071080F">
          <w:rPr>
            <w:webHidden/>
          </w:rPr>
          <w:t>3</w:t>
        </w:r>
        <w:r w:rsidR="008332DC">
          <w:rPr>
            <w:webHidden/>
          </w:rPr>
          <w:fldChar w:fldCharType="end"/>
        </w:r>
      </w:hyperlink>
    </w:p>
    <w:p w14:paraId="7AC7042C" w14:textId="1CCC6A35"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847984"/>
      <w:r>
        <w:lastRenderedPageBreak/>
        <w:t>I. RÉSZ:</w:t>
      </w:r>
      <w:bookmarkEnd w:id="2"/>
      <w:r>
        <w:t xml:space="preserve"> ÁLTALÁNOS ÚTMUTATÓ</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847985"/>
      <w:r>
        <w:rPr>
          <w:sz w:val="24"/>
        </w:rPr>
        <w:t>1.</w:t>
      </w:r>
      <w:r>
        <w:tab/>
      </w:r>
      <w:r>
        <w:rPr>
          <w:sz w:val="24"/>
        </w:rPr>
        <w:t>Felépítés és szabályok</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847986"/>
      <w:bookmarkStart w:id="12" w:name="_Toc264038399"/>
      <w:bookmarkStart w:id="13" w:name="_Toc294018834"/>
      <w:r>
        <w:rPr>
          <w:sz w:val="24"/>
        </w:rPr>
        <w:t>1.1.</w:t>
      </w:r>
      <w:r>
        <w:tab/>
      </w:r>
      <w:r>
        <w:rPr>
          <w:sz w:val="24"/>
        </w:rPr>
        <w:t>Felépítés</w:t>
      </w:r>
      <w:bookmarkEnd w:id="9"/>
      <w:bookmarkEnd w:id="10"/>
      <w:bookmarkEnd w:id="11"/>
    </w:p>
    <w:p w14:paraId="6C67B776" w14:textId="5BE94C55" w:rsidR="005643EA" w:rsidRPr="00EC067D" w:rsidRDefault="00125707" w:rsidP="00004542">
      <w:pPr>
        <w:pStyle w:val="InstructionsText2"/>
        <w:numPr>
          <w:ilvl w:val="0"/>
          <w:numId w:val="0"/>
        </w:numPr>
        <w:ind w:left="993"/>
      </w:pPr>
      <w:r>
        <w:t>1.</w:t>
      </w:r>
      <w:r>
        <w:tab/>
        <w:t xml:space="preserve">Ez az adatszolgáltatási keret egyetlen táblát tartalmaz, amelyben a </w:t>
      </w:r>
      <w:proofErr w:type="gramStart"/>
      <w:r>
        <w:t>globális</w:t>
      </w:r>
      <w:proofErr w:type="gramEnd"/>
      <w:r>
        <w:t xml:space="preserve"> rendszerszintű jelentőségre vonatkozó mutatókkal és egyedi tételekkel kapcsolatos azon információkat kell feltüntetni, amelyek a globálisan rendszerszinten jelentős intézmények azonosítására és a rájuk vonatkozó megfelelő pufferráta hozzárendelésére szolgáló uniós módszertan alkalmazásához szükségesek.</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847987"/>
      <w:r>
        <w:rPr>
          <w:sz w:val="24"/>
        </w:rPr>
        <w:t>1.2.</w:t>
      </w:r>
      <w:r>
        <w:tab/>
      </w:r>
      <w:r>
        <w:rPr>
          <w:sz w:val="24"/>
        </w:rPr>
        <w:t>Számozási szabályok</w:t>
      </w:r>
      <w:bookmarkEnd w:id="14"/>
      <w:bookmarkEnd w:id="15"/>
      <w:bookmarkEnd w:id="16"/>
    </w:p>
    <w:p w14:paraId="3C0F0268" w14:textId="5212C39C" w:rsidR="002648B0" w:rsidRPr="00EC067D" w:rsidRDefault="006137FD" w:rsidP="00004542">
      <w:pPr>
        <w:pStyle w:val="InstructionsText2"/>
        <w:numPr>
          <w:ilvl w:val="0"/>
          <w:numId w:val="0"/>
        </w:numPr>
        <w:ind w:left="993"/>
      </w:pPr>
      <w:r>
        <w:t>2.</w:t>
      </w:r>
      <w:r>
        <w:tab/>
        <w:t xml:space="preserve">A táblák oszlopaira, soraira és celláira való hivatkozáskor a </w:t>
      </w:r>
      <w:proofErr w:type="gramStart"/>
      <w:r>
        <w:t>dokumentum</w:t>
      </w:r>
      <w:proofErr w:type="gramEnd"/>
      <w:r>
        <w:t xml:space="preserve"> a 3–5. pontban meghatározott jelölési szabályokat követi. A numerikus kódokat kimerítően használják a </w:t>
      </w:r>
      <w:proofErr w:type="spellStart"/>
      <w:r>
        <w:t>validálási</w:t>
      </w:r>
      <w:proofErr w:type="spellEnd"/>
      <w:r>
        <w:t xml:space="preserve"> szabályok.</w:t>
      </w:r>
    </w:p>
    <w:p w14:paraId="26DC2799" w14:textId="2C43513E" w:rsidR="005643EA" w:rsidRPr="00EC067D" w:rsidRDefault="006137FD" w:rsidP="00004542">
      <w:pPr>
        <w:pStyle w:val="InstructionsText2"/>
        <w:numPr>
          <w:ilvl w:val="0"/>
          <w:numId w:val="0"/>
        </w:numPr>
        <w:ind w:left="993"/>
      </w:pPr>
      <w:r>
        <w:t>3.</w:t>
      </w:r>
      <w:r>
        <w:tab/>
        <w:t>Az útmutató a következő általános jelölést követi: {Tábla; Sor; Oszlop}.</w:t>
      </w:r>
    </w:p>
    <w:p w14:paraId="6A9F72AA" w14:textId="1B191E59" w:rsidR="005643EA" w:rsidRPr="00EC067D" w:rsidRDefault="006137FD" w:rsidP="00004542">
      <w:pPr>
        <w:pStyle w:val="InstructionsText2"/>
        <w:numPr>
          <w:ilvl w:val="0"/>
          <w:numId w:val="0"/>
        </w:numPr>
        <w:ind w:left="993"/>
      </w:pPr>
      <w:r>
        <w:t>4.</w:t>
      </w:r>
      <w:r>
        <w:tab/>
        <w:t>Olyan táblán belüli hivatkozások esetén, amelyeknél az adott táblából csak adatpontokat használunk, a jelölés nem hivatkozik a táblára: {Sor; Oszlop}. Az olyan táblák esetében, amelyek csak egy oszlopot tartalmaznak, a jelölés csak a sorokra hivatkozik: {Tábla; Sor}.</w:t>
      </w:r>
    </w:p>
    <w:p w14:paraId="01FECE3C" w14:textId="482B71E1" w:rsidR="002648B0" w:rsidRPr="00EC067D" w:rsidRDefault="006137FD" w:rsidP="00004542">
      <w:pPr>
        <w:pStyle w:val="InstructionsText2"/>
        <w:numPr>
          <w:ilvl w:val="0"/>
          <w:numId w:val="0"/>
        </w:numPr>
        <w:ind w:left="993"/>
      </w:pPr>
      <w:r>
        <w:t>5.</w:t>
      </w:r>
      <w:r>
        <w:tab/>
        <w:t>Csillag jelöli, hogy a hivatkozás korábban meghatározott sorra vagy oszlopra vonatkozik.</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58847988"/>
      <w:r>
        <w:rPr>
          <w:sz w:val="24"/>
        </w:rPr>
        <w:t>1.3.</w:t>
      </w:r>
      <w:r>
        <w:tab/>
      </w:r>
      <w:r>
        <w:rPr>
          <w:sz w:val="24"/>
        </w:rPr>
        <w:t>Előjelre vonatkozó szabályok</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t>6.</w:t>
      </w:r>
      <w:r>
        <w:tab/>
        <w:t>A mutató, az eszközök, a kötelezettségek vagy a kitettségek értékét növelő bármely összeget pozitív számként, az azokat csökkentő bármely összeget pedig negatív számként kell feltüntetni. Ha egy tétel megnevezése előtt mínuszjel (–) található, akkor az adott tételről nem szolgáltatható pozitív adat.</w:t>
      </w:r>
    </w:p>
    <w:p w14:paraId="318F1B9B" w14:textId="19EFDD0F" w:rsidR="00304CA5" w:rsidRPr="00EC067D" w:rsidRDefault="00304CA5" w:rsidP="00EC067D">
      <w:pPr>
        <w:pStyle w:val="Instructionsberschrift2"/>
        <w:rPr>
          <w:rFonts w:cs="Times New Roman"/>
          <w:sz w:val="24"/>
        </w:rPr>
      </w:pPr>
      <w:bookmarkStart w:id="20" w:name="_Toc58847989"/>
      <w:r>
        <w:rPr>
          <w:sz w:val="24"/>
        </w:rPr>
        <w:t>1.4.</w:t>
      </w:r>
      <w:r>
        <w:tab/>
      </w:r>
      <w:r>
        <w:rPr>
          <w:sz w:val="24"/>
        </w:rPr>
        <w:t>Rövidítések</w:t>
      </w:r>
      <w:bookmarkEnd w:id="20"/>
    </w:p>
    <w:p w14:paraId="5A22E3D2" w14:textId="07D28013" w:rsidR="00304CA5" w:rsidRPr="00EC067D" w:rsidRDefault="006137FD" w:rsidP="00004542">
      <w:pPr>
        <w:pStyle w:val="InstructionsText2"/>
        <w:numPr>
          <w:ilvl w:val="0"/>
          <w:numId w:val="0"/>
        </w:numPr>
        <w:ind w:left="993"/>
      </w:pPr>
      <w:r>
        <w:t>7. E melléklet alkalmazásában az 575/2013/EU európai parlamenti és tanácsi rendeletre</w:t>
      </w:r>
      <w:r>
        <w:rPr>
          <w:rStyle w:val="FootnoteReference"/>
          <w:rFonts w:ascii="Times New Roman" w:hAnsi="Times New Roman"/>
          <w:sz w:val="24"/>
          <w:szCs w:val="24"/>
          <w:vertAlign w:val="superscript"/>
        </w:rPr>
        <w:footnoteReference w:id="2"/>
      </w:r>
      <w:r>
        <w:t xml:space="preserve"> CRR-ként, a 2013/36/EU európai parlamenti és tanácsi irányelvre</w:t>
      </w:r>
      <w:r>
        <w:rPr>
          <w:rStyle w:val="FootnoteReference"/>
          <w:rFonts w:ascii="Times New Roman" w:hAnsi="Times New Roman"/>
          <w:sz w:val="24"/>
          <w:szCs w:val="24"/>
          <w:vertAlign w:val="superscript"/>
        </w:rPr>
        <w:footnoteReference w:id="3"/>
      </w:r>
      <w:r>
        <w:t xml:space="preserve"> pedig CRD-ként történik hivatkozás.</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EC067D" w:rsidRDefault="002648B0" w:rsidP="00EC067D">
      <w:pPr>
        <w:pStyle w:val="Heading2"/>
      </w:pPr>
      <w:bookmarkStart w:id="22" w:name="_Toc360188322"/>
      <w:bookmarkStart w:id="23" w:name="_Toc473560870"/>
      <w:bookmarkStart w:id="24" w:name="_Toc58847990"/>
      <w:r>
        <w:lastRenderedPageBreak/>
        <w:t>II. RÉSZ: A TÁBLÁHOZ KAPCSOLÓDÓ ÚTMUTATÓ</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58847991"/>
      <w:r>
        <w:rPr>
          <w:sz w:val="24"/>
        </w:rPr>
        <w:t>1.</w:t>
      </w:r>
      <w:r>
        <w:tab/>
      </w:r>
      <w:bookmarkStart w:id="28" w:name="_Toc308175819"/>
      <w:bookmarkStart w:id="29" w:name="_Toc360188324"/>
      <w:bookmarkStart w:id="30" w:name="_Toc473560872"/>
      <w:bookmarkEnd w:id="25"/>
      <w:bookmarkEnd w:id="26"/>
      <w:r>
        <w:rPr>
          <w:sz w:val="24"/>
        </w:rPr>
        <w:t>Általános megjegyzések</w:t>
      </w:r>
      <w:bookmarkEnd w:id="27"/>
      <w:bookmarkEnd w:id="28"/>
      <w:bookmarkEnd w:id="29"/>
      <w:bookmarkEnd w:id="30"/>
    </w:p>
    <w:p w14:paraId="410557ED" w14:textId="635C6BBD" w:rsidR="006137FD" w:rsidRPr="00EC067D" w:rsidRDefault="00004542" w:rsidP="00004542">
      <w:pPr>
        <w:pStyle w:val="InstructionsText2"/>
        <w:numPr>
          <w:ilvl w:val="0"/>
          <w:numId w:val="0"/>
        </w:numPr>
        <w:ind w:left="993"/>
      </w:pPr>
      <w:r>
        <w:t>8.</w:t>
      </w:r>
      <w:r>
        <w:tab/>
        <w:t xml:space="preserve">A tábla két részből áll. A </w:t>
      </w:r>
      <w:proofErr w:type="gramStart"/>
      <w:r>
        <w:t>globálisan</w:t>
      </w:r>
      <w:proofErr w:type="gramEnd"/>
      <w:r>
        <w:t xml:space="preserve"> rendszerszinten jelentős intézményekkel kapcsolatos mutatókra vonatkozó felső rész tartalmazza a Bázeli Bankfelügyeleti Bizottság által kidolgozott módszertan szerinti, a globálisan rendszerszinten jelentős intézmények azonosítására szolgáló mutatókat. Az alsó rész olyan tételeket tartalmaz, amelyekre a releváns mutatóknak a CRD 131. cikkének (18) bekezdése alapján meghatározott módszertan szeri</w:t>
      </w:r>
      <w:r w:rsidR="0071080F">
        <w:t>nti kiszámításához van szükség.</w:t>
      </w:r>
    </w:p>
    <w:p w14:paraId="285BFC5F" w14:textId="50F4BAE2" w:rsidR="005643EA" w:rsidRPr="00EC067D" w:rsidRDefault="00004542" w:rsidP="00004542">
      <w:pPr>
        <w:pStyle w:val="InstructionsText2"/>
        <w:numPr>
          <w:ilvl w:val="0"/>
          <w:numId w:val="0"/>
        </w:numPr>
        <w:ind w:left="993"/>
      </w:pPr>
      <w:r>
        <w:t>9.</w:t>
      </w:r>
      <w:r>
        <w:tab/>
        <w:t>Adott esetben az e táblában feltüntetett adatoknak meg kell egyezniük az érintett hatóságok számára benyújtott azon adatokkal, amelyekre e hatóságoknak a mutatóértékekkel kapcsolatos, az 1222/2014/EU felhatalmazáson alapuló bizottsági rendelet 3. cikkének (2) bekezdése szerinti adatgyűjtéshez szükségük van.</w:t>
      </w:r>
    </w:p>
    <w:p w14:paraId="1640AAF5" w14:textId="0F89A136" w:rsidR="002648B0" w:rsidRPr="00C638EE" w:rsidRDefault="00125707" w:rsidP="00EC067D">
      <w:pPr>
        <w:pStyle w:val="Instructionsberschrift2"/>
        <w:rPr>
          <w:rFonts w:cs="Times New Roman"/>
          <w:sz w:val="24"/>
        </w:rPr>
      </w:pPr>
      <w:bookmarkStart w:id="31" w:name="_Toc310414968"/>
      <w:bookmarkStart w:id="32" w:name="_Toc360188326"/>
      <w:bookmarkStart w:id="33" w:name="_Toc473560874"/>
      <w:bookmarkStart w:id="34" w:name="_Toc58847992"/>
      <w:r>
        <w:rPr>
          <w:sz w:val="24"/>
        </w:rPr>
        <w:t>2.</w:t>
      </w:r>
      <w:r>
        <w:tab/>
      </w:r>
      <w:bookmarkStart w:id="35" w:name="_Toc308175821"/>
      <w:r w:rsidRPr="00C638EE">
        <w:rPr>
          <w:sz w:val="24"/>
        </w:rPr>
        <w:t xml:space="preserve">Az egyes </w:t>
      </w:r>
      <w:proofErr w:type="gramStart"/>
      <w:r w:rsidRPr="00C638EE">
        <w:rPr>
          <w:sz w:val="24"/>
        </w:rPr>
        <w:t>pozíciókra</w:t>
      </w:r>
      <w:proofErr w:type="gramEnd"/>
      <w:r w:rsidRPr="00C638EE">
        <w:rPr>
          <w:sz w:val="24"/>
        </w:rPr>
        <w:t xml:space="preserve"> vonatkozó útmutató</w:t>
      </w:r>
      <w:bookmarkEnd w:id="31"/>
      <w:bookmarkEnd w:id="32"/>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Globálisan</w:t>
            </w:r>
            <w:proofErr w:type="gramEnd"/>
            <w:r>
              <w:rPr>
                <w:rStyle w:val="InstructionsTabelleberschrift"/>
                <w:rFonts w:ascii="Times New Roman" w:hAnsi="Times New Roman"/>
                <w:sz w:val="24"/>
              </w:rPr>
              <w:t xml:space="preserve"> rendszerszinten jelentős intézményekre vonatkozó mutatók</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 mutatók fogalommeghatározása megegyezik az 1222/2014/EU felhatalmazáson alapuló bizottsági rendelet mellékletében felsorolt </w:t>
            </w:r>
            <w:proofErr w:type="gramStart"/>
            <w:r>
              <w:rPr>
                <w:rStyle w:val="FormatvorlageInstructionsTabelleText"/>
                <w:rFonts w:ascii="Times New Roman" w:hAnsi="Times New Roman"/>
                <w:sz w:val="24"/>
              </w:rPr>
              <w:t>információk</w:t>
            </w:r>
            <w:proofErr w:type="gramEnd"/>
            <w:r>
              <w:rPr>
                <w:rStyle w:val="FormatvorlageInstructionsTabelleText"/>
                <w:rFonts w:ascii="Times New Roman" w:hAnsi="Times New Roman"/>
                <w:sz w:val="24"/>
              </w:rPr>
              <w:t xml:space="preserve"> meghatározása céljából alkalmazott fogalommeghatározással.</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 módszertan módosulása esetén a pénzügyi év végi mutatóértékek meghatározására alkalmazandó módszertant kell használni az ugyanazon pénzügyi év első, második és harmadik negyedévének végére vonatkozó adatszolgáltatás céljából is.</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 xml:space="preserve">A folyamatmutatókat adott esetben a naptári év vagy pénzügyi év kezdetétől számítva </w:t>
            </w:r>
            <w:proofErr w:type="gramStart"/>
            <w:r>
              <w:rPr>
                <w:rStyle w:val="FormatvorlageInstructionsTabelleText"/>
                <w:rFonts w:ascii="Times New Roman" w:hAnsi="Times New Roman"/>
                <w:sz w:val="24"/>
              </w:rPr>
              <w:t>kumulatív</w:t>
            </w:r>
            <w:proofErr w:type="gramEnd"/>
            <w:r>
              <w:rPr>
                <w:rStyle w:val="FormatvorlageInstructionsTabelleText"/>
                <w:rFonts w:ascii="Times New Roman" w:hAnsi="Times New Roman"/>
                <w:sz w:val="24"/>
              </w:rPr>
              <w:t xml:space="preserve"> alapon kell megadni.</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Több joghatóságot érintő követelések</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Több joghatóságot érintő kötelezettségek</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kitettségérték (tőkeáttételi mutató)</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rendszeren belüli eszközök</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rendszeren belüli kötelezettségek</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Forgalomban lévő értékpapírok</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Letétbe helyezett eszközök</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Pénzforgalmi tevékenység</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Kötvény- és részvénypiaci, jegyzési </w:t>
            </w:r>
            <w:proofErr w:type="gramStart"/>
            <w:r>
              <w:rPr>
                <w:rStyle w:val="InstructionsTabelleberschrift"/>
                <w:rFonts w:ascii="Times New Roman" w:hAnsi="Times New Roman"/>
                <w:sz w:val="24"/>
              </w:rPr>
              <w:t>garanciával</w:t>
            </w:r>
            <w:proofErr w:type="gramEnd"/>
            <w:r>
              <w:rPr>
                <w:rStyle w:val="InstructionsTabelleberschrift"/>
                <w:rFonts w:ascii="Times New Roman" w:hAnsi="Times New Roman"/>
                <w:sz w:val="24"/>
              </w:rPr>
              <w:t xml:space="preserve"> biztosított ügyletek</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volumen</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Tőzsdén kívüli származtatott ügyletek névleges összege</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3. szintű eszközök</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célú és értékesíthető értékpapírok</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Bankuniós szinten összesített tételek</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Az alábbi tételek meghatározása céljából az alkalmazott fogalommeghatározásokat – amennyiben a következő utasítások nem részletesek – a lehető legnagyobb mértékben össze kell hangolni a BIS nemzetközi bankstatisztikával kapcsolatos adatszolgáltatásra vonatkozó iránymutatásában szereplő fogalommeghatározásokkal.</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Ettől eltérve, az adatszolgáltató szervezetek által a 806/2014/EU európai parlamenti és tanácsi rendelet</w:t>
            </w:r>
            <w:r>
              <w:rPr>
                <w:rStyle w:val="FootnoteReference"/>
                <w:rFonts w:ascii="Times New Roman" w:hAnsi="Times New Roman"/>
                <w:bCs/>
                <w:sz w:val="24"/>
                <w:szCs w:val="24"/>
              </w:rPr>
              <w:footnoteReference w:id="4"/>
            </w:r>
            <w:r>
              <w:t xml:space="preserve"> </w:t>
            </w:r>
            <w:r>
              <w:rPr>
                <w:rStyle w:val="FormatvorlageInstructionsTabelleText"/>
                <w:rFonts w:ascii="Times New Roman" w:hAnsi="Times New Roman"/>
                <w:sz w:val="24"/>
              </w:rPr>
              <w:t>4. cikkében említett részt vevő tagállamokban folytatott tevékenységeket nem lehet figyelembe venni ennél a tételnél, vagyis a részt vevő tagállamokat külön joghatóságoknak kell tekinteni.</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 külföldi követelés a végső kockázatviselés elve alapján</w:t>
            </w:r>
          </w:p>
          <w:p w14:paraId="3ECF379D" w14:textId="2D3C864C"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összes külföldi követelés a külföldi leányvállalatok határokon átnyúló követeléseinek és helyi vagy külföldi pénznemben fennálló helyi követeléseinek összege. A származtatott ügyletekben lévő </w:t>
            </w:r>
            <w:proofErr w:type="gramStart"/>
            <w:r>
              <w:rPr>
                <w:rStyle w:val="FormatvorlageInstructionsTabelleText"/>
                <w:rFonts w:ascii="Times New Roman" w:hAnsi="Times New Roman"/>
                <w:sz w:val="24"/>
              </w:rPr>
              <w:t>pozíciókból</w:t>
            </w:r>
            <w:proofErr w:type="gramEnd"/>
            <w:r>
              <w:rPr>
                <w:rStyle w:val="FormatvorlageInstructionsTabelleText"/>
                <w:rFonts w:ascii="Times New Roman" w:hAnsi="Times New Roman"/>
                <w:sz w:val="24"/>
              </w:rPr>
              <w:t xml:space="preserve"> eredő követeléseket nem lehet itt feltüntetni. A „követelések”, „határokon átnyúló követelések”, „külföldi leányvállalatok külföldi és helyi pénznemben fennálló helyi követelései” fogalmak jelentése megegyezik a BIS nemzetközi bankstatisztikával kapcsolatos adatszolgáltatásra vonatkozó irány</w:t>
            </w:r>
            <w:r w:rsidR="0071080F">
              <w:rPr>
                <w:rStyle w:val="FormatvorlageInstructionsTabelleText"/>
                <w:rFonts w:ascii="Times New Roman" w:hAnsi="Times New Roman"/>
                <w:sz w:val="24"/>
              </w:rPr>
              <w:t>mutatásában meghatározottakkal.</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„végső kockázatviselés elve alapján” azt jelenti, hogy annak meghatározása céljából, hogy egy követelés határokon átnyúló vagy helyi követelés-e, a </w:t>
            </w:r>
            <w:proofErr w:type="gramStart"/>
            <w:r>
              <w:rPr>
                <w:rStyle w:val="FormatvorlageInstructionsTabelleText"/>
                <w:rFonts w:ascii="Times New Roman" w:hAnsi="Times New Roman"/>
                <w:sz w:val="24"/>
              </w:rPr>
              <w:t>pozíciót</w:t>
            </w:r>
            <w:proofErr w:type="gramEnd"/>
            <w:r>
              <w:rPr>
                <w:rStyle w:val="FormatvorlageInstructionsTabelleText"/>
                <w:rFonts w:ascii="Times New Roman" w:hAnsi="Times New Roman"/>
                <w:sz w:val="24"/>
              </w:rPr>
              <w:t xml:space="preserve"> ahhoz a harmadik félhez kell rendelni – ha van ilyen –, amely szerződés alapján átvállalja az elsődleges szerződő fél adósságait vagy kötelezettségeit, amennyiben az nem teljesít. Ezt a hozzárendelést a BIS nemzetközi bankstatisztikával kapcsolatos adatszolgáltatásra vonatkozó iránymutatásának kockázatátruházási rendelkezéseivel összhangban kell elvégezni.</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ügyletekkel kapcsolatos külföldi követelések a végső kockázatviselés elve alapján</w:t>
            </w:r>
          </w:p>
          <w:p w14:paraId="0B6542C2" w14:textId="34BEFB9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összes olyan, származtatott ügylettel kapcsolatos követelés pozitív valós értéke, amely határokon átnyúló követelés, vagy külföldi leányvállalatok helyi vagy külföldi pénznemb</w:t>
            </w:r>
            <w:r w:rsidR="0071080F">
              <w:rPr>
                <w:rStyle w:val="FormatvorlageInstructionsTabelleText"/>
                <w:rFonts w:ascii="Times New Roman" w:hAnsi="Times New Roman"/>
                <w:sz w:val="24"/>
              </w:rPr>
              <w:t>en denominált helyi követelése.</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ügyletek közé tartoznak a tőzsdén kívüli határidős ügyletek, a </w:t>
            </w:r>
            <w:proofErr w:type="spellStart"/>
            <w:r>
              <w:rPr>
                <w:rStyle w:val="FormatvorlageInstructionsTabelleText"/>
                <w:rFonts w:ascii="Times New Roman" w:hAnsi="Times New Roman"/>
                <w:sz w:val="24"/>
              </w:rPr>
              <w:t>swapügyletek</w:t>
            </w:r>
            <w:proofErr w:type="spellEnd"/>
            <w:r>
              <w:rPr>
                <w:rStyle w:val="FormatvorlageInstructionsTabelleText"/>
                <w:rFonts w:ascii="Times New Roman" w:hAnsi="Times New Roman"/>
                <w:sz w:val="24"/>
              </w:rPr>
              <w:t xml:space="preserve"> és a devizaárfolyamhoz, kamatlábhoz, részvényhez, áruhoz és hiteleszközökhöz kapcsolódó opciók. Idetartoznak az eladott hitelkockázati fedezet fedezését vagy </w:t>
            </w:r>
            <w:proofErr w:type="spellStart"/>
            <w:r>
              <w:rPr>
                <w:rStyle w:val="FormatvorlageInstructionsTabelleText"/>
                <w:rFonts w:ascii="Times New Roman" w:hAnsi="Times New Roman"/>
                <w:sz w:val="24"/>
              </w:rPr>
              <w:t>nettósítását</w:t>
            </w:r>
            <w:proofErr w:type="spellEnd"/>
            <w:r>
              <w:rPr>
                <w:rStyle w:val="FormatvorlageInstructionsTabelleText"/>
                <w:rFonts w:ascii="Times New Roman" w:hAnsi="Times New Roman"/>
                <w:sz w:val="24"/>
              </w:rPr>
              <w:t xml:space="preserve"> szolgáló vagy kereskedési célból tartott vásárolt </w:t>
            </w:r>
            <w:proofErr w:type="spellStart"/>
            <w:r>
              <w:rPr>
                <w:rStyle w:val="FormatvorlageInstructionsTabelleText"/>
                <w:rFonts w:ascii="Times New Roman" w:hAnsi="Times New Roman"/>
                <w:sz w:val="24"/>
              </w:rPr>
              <w:t>hitelderivatívák</w:t>
            </w:r>
            <w:proofErr w:type="spellEnd"/>
            <w:r>
              <w:rPr>
                <w:rStyle w:val="FormatvorlageInstructionsTabelleText"/>
                <w:rFonts w:ascii="Times New Roman" w:hAnsi="Times New Roman"/>
                <w:sz w:val="24"/>
              </w:rPr>
              <w:t xml:space="preserve"> is.</w:t>
            </w:r>
          </w:p>
          <w:p w14:paraId="1C0B5693" w14:textId="685DD10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 vásárolt </w:t>
            </w:r>
            <w:proofErr w:type="spellStart"/>
            <w:r>
              <w:rPr>
                <w:rStyle w:val="FormatvorlageInstructionsTabelleText"/>
                <w:rFonts w:ascii="Times New Roman" w:hAnsi="Times New Roman"/>
                <w:sz w:val="24"/>
              </w:rPr>
              <w:t>hitelderivatívák</w:t>
            </w:r>
            <w:proofErr w:type="spellEnd"/>
            <w:r>
              <w:rPr>
                <w:rStyle w:val="FormatvorlageInstructionsTabelleText"/>
                <w:rFonts w:ascii="Times New Roman" w:hAnsi="Times New Roman"/>
                <w:sz w:val="24"/>
              </w:rPr>
              <w:t xml:space="preserve"> értéke nem korlátozható annak a közvetlen követelésnek az értékére, amel</w:t>
            </w:r>
            <w:r w:rsidR="0071080F">
              <w:rPr>
                <w:rStyle w:val="FormatvorlageInstructionsTabelleText"/>
                <w:rFonts w:ascii="Times New Roman" w:hAnsi="Times New Roman"/>
                <w:sz w:val="24"/>
              </w:rPr>
              <w:t>lyel összefüggésben vásárolták.</w:t>
            </w:r>
          </w:p>
          <w:p w14:paraId="1BF6CB23" w14:textId="336468B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 származtatott ügyletek pozitív valós értéke csak akkor </w:t>
            </w:r>
            <w:proofErr w:type="spellStart"/>
            <w:r>
              <w:rPr>
                <w:rStyle w:val="FormatvorlageInstructionsTabelleText"/>
                <w:rFonts w:ascii="Times New Roman" w:hAnsi="Times New Roman"/>
                <w:sz w:val="24"/>
              </w:rPr>
              <w:t>nettósítható</w:t>
            </w:r>
            <w:proofErr w:type="spellEnd"/>
            <w:r>
              <w:rPr>
                <w:rStyle w:val="FormatvorlageInstructionsTabelleText"/>
                <w:rFonts w:ascii="Times New Roman" w:hAnsi="Times New Roman"/>
                <w:sz w:val="24"/>
              </w:rPr>
              <w:t xml:space="preserve"> negatív valós értékkel szemben, ha a </w:t>
            </w:r>
            <w:proofErr w:type="gramStart"/>
            <w:r>
              <w:rPr>
                <w:rStyle w:val="FormatvorlageInstructionsTabelleText"/>
                <w:rFonts w:ascii="Times New Roman" w:hAnsi="Times New Roman"/>
                <w:sz w:val="24"/>
              </w:rPr>
              <w:t>pozíciók</w:t>
            </w:r>
            <w:proofErr w:type="gramEnd"/>
            <w:r>
              <w:rPr>
                <w:rStyle w:val="FormatvorlageInstructionsTabelleText"/>
                <w:rFonts w:ascii="Times New Roman" w:hAnsi="Times New Roman"/>
                <w:sz w:val="24"/>
              </w:rPr>
              <w:t xml:space="preserve"> ugyanazzal a partnerrel szemben állnak fenn, jogilag érvényesíthető </w:t>
            </w:r>
            <w:proofErr w:type="spellStart"/>
            <w:r>
              <w:rPr>
                <w:rStyle w:val="FormatvorlageInstructionsTabelleText"/>
                <w:rFonts w:ascii="Times New Roman" w:hAnsi="Times New Roman"/>
                <w:sz w:val="24"/>
              </w:rPr>
              <w:t>nettósítási</w:t>
            </w:r>
            <w:proofErr w:type="spellEnd"/>
            <w:r>
              <w:rPr>
                <w:rStyle w:val="FormatvorlageInstructionsTabelleText"/>
                <w:rFonts w:ascii="Times New Roman" w:hAnsi="Times New Roman"/>
                <w:sz w:val="24"/>
              </w:rPr>
              <w:t xml:space="preserve"> megállapodás keretében. Ebben a tételben csak pozitív értékű </w:t>
            </w:r>
            <w:proofErr w:type="spellStart"/>
            <w:r>
              <w:rPr>
                <w:rStyle w:val="FormatvorlageInstructionsTabelleText"/>
                <w:rFonts w:ascii="Times New Roman" w:hAnsi="Times New Roman"/>
                <w:sz w:val="24"/>
              </w:rPr>
              <w:t>nettós</w:t>
            </w:r>
            <w:r w:rsidR="0071080F">
              <w:rPr>
                <w:rStyle w:val="FormatvorlageInstructionsTabelleText"/>
                <w:rFonts w:ascii="Times New Roman" w:hAnsi="Times New Roman"/>
                <w:sz w:val="24"/>
              </w:rPr>
              <w:t>ítási</w:t>
            </w:r>
            <w:proofErr w:type="spellEnd"/>
            <w:r w:rsidR="0071080F">
              <w:rPr>
                <w:rStyle w:val="FormatvorlageInstructionsTabelleText"/>
                <w:rFonts w:ascii="Times New Roman" w:hAnsi="Times New Roman"/>
                <w:sz w:val="24"/>
              </w:rPr>
              <w:t xml:space="preserve"> halmazok tüntethetők fel.</w:t>
            </w:r>
          </w:p>
          <w:p w14:paraId="1D1D95FC" w14:textId="3C4225F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származtatott ügylettel kapcsolatos követeléseket a pénzbeli biz</w:t>
            </w:r>
            <w:r w:rsidR="0071080F">
              <w:rPr>
                <w:rStyle w:val="FormatvorlageInstructionsTabelleText"/>
                <w:rFonts w:ascii="Times New Roman" w:hAnsi="Times New Roman"/>
                <w:sz w:val="24"/>
              </w:rPr>
              <w:t>tosítékkal együtt kell megadni.</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végső kockázatviseléshez kapcsolódó </w:t>
            </w:r>
            <w:proofErr w:type="gramStart"/>
            <w:r>
              <w:rPr>
                <w:rStyle w:val="FormatvorlageInstructionsTabelleText"/>
                <w:rFonts w:ascii="Times New Roman" w:hAnsi="Times New Roman"/>
                <w:sz w:val="24"/>
              </w:rPr>
              <w:t>információk</w:t>
            </w:r>
            <w:proofErr w:type="gramEnd"/>
            <w:r>
              <w:rPr>
                <w:rStyle w:val="FormatvorlageInstructionsTabelleText"/>
                <w:rFonts w:ascii="Times New Roman" w:hAnsi="Times New Roman"/>
                <w:sz w:val="24"/>
              </w:rPr>
              <w:t xml:space="preserve"> feltüntetésére a következők alkalmazandók:</w:t>
            </w:r>
          </w:p>
          <w:p w14:paraId="11BDA188" w14:textId="6C3741F5"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ha a végső kockázatot a partner viseli, a származtatott ügylet akkor minősül külföldinek, ha a partner nem az adatszolgáltató szervezet székhe</w:t>
            </w:r>
            <w:r w:rsidR="0071080F">
              <w:rPr>
                <w:rStyle w:val="FormatvorlageInstructionsTabelleText"/>
                <w:rFonts w:ascii="Times New Roman" w:hAnsi="Times New Roman"/>
                <w:sz w:val="24"/>
              </w:rPr>
              <w:t>lye szerinti joghatóságban van.</w:t>
            </w:r>
          </w:p>
          <w:p w14:paraId="4EE29D54" w14:textId="70C34367" w:rsidR="000359E7" w:rsidRPr="00EC067D" w:rsidRDefault="00C638EE" w:rsidP="00C638EE">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h</w:t>
            </w:r>
            <w:r w:rsidR="000359E7">
              <w:rPr>
                <w:rStyle w:val="FormatvorlageInstructionsTabelleText"/>
                <w:rFonts w:ascii="Times New Roman" w:hAnsi="Times New Roman"/>
                <w:sz w:val="24"/>
              </w:rPr>
              <w:t xml:space="preserve">a a végső kockázatot a </w:t>
            </w:r>
            <w:proofErr w:type="spellStart"/>
            <w:r w:rsidR="000359E7">
              <w:rPr>
                <w:rStyle w:val="FormatvorlageInstructionsTabelleText"/>
                <w:rFonts w:ascii="Times New Roman" w:hAnsi="Times New Roman"/>
                <w:sz w:val="24"/>
              </w:rPr>
              <w:t>garantőr</w:t>
            </w:r>
            <w:proofErr w:type="spellEnd"/>
            <w:r w:rsidR="000359E7">
              <w:rPr>
                <w:rStyle w:val="FormatvorlageInstructionsTabelleText"/>
                <w:rFonts w:ascii="Times New Roman" w:hAnsi="Times New Roman"/>
                <w:sz w:val="24"/>
              </w:rPr>
              <w:t xml:space="preserve"> viseli, a származtatott ügylet akkor minősül külföldinek, ha a </w:t>
            </w:r>
            <w:proofErr w:type="spellStart"/>
            <w:r w:rsidR="000359E7">
              <w:rPr>
                <w:rStyle w:val="FormatvorlageInstructionsTabelleText"/>
                <w:rFonts w:ascii="Times New Roman" w:hAnsi="Times New Roman"/>
                <w:sz w:val="24"/>
              </w:rPr>
              <w:t>garantőr</w:t>
            </w:r>
            <w:proofErr w:type="spellEnd"/>
            <w:r w:rsidR="000359E7">
              <w:rPr>
                <w:rStyle w:val="FormatvorlageInstructionsTabelleText"/>
                <w:rFonts w:ascii="Times New Roman" w:hAnsi="Times New Roman"/>
                <w:sz w:val="24"/>
              </w:rPr>
              <w:t xml:space="preserve"> nem az adatszolgáltató szervezet székhelye szerinti joghatóságban van.</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Külföldi kötelezettségek a közvetlen kockázatviselés elve alapján, beleértve a származtatott ügyleteket</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külföldi kötelezettségekbe, beleértve a származtatott ügyleteket is, a külföldi kötelezettségeket és a származtatott ügyletekkel kapcsolatos külföldi kötelezettségeket kell beszámítani. Ebben a tételben nem szabad feltüntetni azokat az értékpapír-kötelezettségeket, amelyek az adatszolgáltató intézmény által kibocsátott forgalomképes pénzügyi eszközök.</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származtatott ügyletek fogalommeghatározása megegyezik a 0140-es sorra vonatkozó fogalommeghatározással.</w:t>
            </w:r>
          </w:p>
          <w:p w14:paraId="3AF86A8E" w14:textId="08F8B06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ügyletek negatív valós értéke csak akkor </w:t>
            </w:r>
            <w:proofErr w:type="spellStart"/>
            <w:r>
              <w:rPr>
                <w:rStyle w:val="FormatvorlageInstructionsTabelleText"/>
                <w:rFonts w:ascii="Times New Roman" w:hAnsi="Times New Roman"/>
                <w:sz w:val="24"/>
              </w:rPr>
              <w:t>nettósítható</w:t>
            </w:r>
            <w:proofErr w:type="spellEnd"/>
            <w:r>
              <w:rPr>
                <w:rStyle w:val="FormatvorlageInstructionsTabelleText"/>
                <w:rFonts w:ascii="Times New Roman" w:hAnsi="Times New Roman"/>
                <w:sz w:val="24"/>
              </w:rPr>
              <w:t xml:space="preserve"> pozitív valós értékkel, ha a </w:t>
            </w:r>
            <w:proofErr w:type="gramStart"/>
            <w:r>
              <w:rPr>
                <w:rStyle w:val="FormatvorlageInstructionsTabelleText"/>
                <w:rFonts w:ascii="Times New Roman" w:hAnsi="Times New Roman"/>
                <w:sz w:val="24"/>
              </w:rPr>
              <w:t>pozíciókat</w:t>
            </w:r>
            <w:proofErr w:type="gramEnd"/>
            <w:r>
              <w:rPr>
                <w:rStyle w:val="FormatvorlageInstructionsTabelleText"/>
                <w:rFonts w:ascii="Times New Roman" w:hAnsi="Times New Roman"/>
                <w:sz w:val="24"/>
              </w:rPr>
              <w:t xml:space="preserve"> ugyanazzal a partnerrel hajtották végre, jogilag érvényesíthető </w:t>
            </w:r>
            <w:proofErr w:type="spellStart"/>
            <w:r>
              <w:rPr>
                <w:rStyle w:val="FormatvorlageInstructionsTabelleText"/>
                <w:rFonts w:ascii="Times New Roman" w:hAnsi="Times New Roman"/>
                <w:sz w:val="24"/>
              </w:rPr>
              <w:t>nettósítási</w:t>
            </w:r>
            <w:proofErr w:type="spellEnd"/>
            <w:r>
              <w:rPr>
                <w:rStyle w:val="FormatvorlageInstructionsTabelleText"/>
                <w:rFonts w:ascii="Times New Roman" w:hAnsi="Times New Roman"/>
                <w:sz w:val="24"/>
              </w:rPr>
              <w:t xml:space="preserve"> megállapodás keretében. A származtatott ügyletekkel kapcsolatos kötelezettségek</w:t>
            </w:r>
            <w:bookmarkStart w:id="36" w:name="_GoBack"/>
            <w:bookmarkEnd w:id="36"/>
            <w:r>
              <w:rPr>
                <w:rStyle w:val="FormatvorlageInstructionsTabelleText"/>
                <w:rFonts w:ascii="Times New Roman" w:hAnsi="Times New Roman"/>
                <w:sz w:val="24"/>
              </w:rPr>
              <w:t>et a (pénzbeli és nem pénzbeli) biztosíté</w:t>
            </w:r>
            <w:r w:rsidR="0071080F">
              <w:rPr>
                <w:rStyle w:val="FormatvorlageInstructionsTabelleText"/>
                <w:rFonts w:ascii="Times New Roman" w:hAnsi="Times New Roman"/>
                <w:sz w:val="24"/>
              </w:rPr>
              <w:t>kokkal együtt kell feltüntetni.</w:t>
            </w:r>
          </w:p>
          <w:p w14:paraId="2F888DBB" w14:textId="0986212C"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„közvetlen kockázatviselés elve” azt jelenti, hogy annak meghatározása céljából, hogy egy követelés határokon átnyúló vagy helyi követelés-e, a </w:t>
            </w:r>
            <w:proofErr w:type="gramStart"/>
            <w:r>
              <w:rPr>
                <w:rStyle w:val="FormatvorlageInstructionsTabelleText"/>
                <w:rFonts w:ascii="Times New Roman" w:hAnsi="Times New Roman"/>
                <w:sz w:val="24"/>
              </w:rPr>
              <w:t>pozíciót</w:t>
            </w:r>
            <w:proofErr w:type="gramEnd"/>
            <w:r>
              <w:rPr>
                <w:rStyle w:val="FormatvorlageInstructionsTabelleText"/>
                <w:rFonts w:ascii="Times New Roman" w:hAnsi="Times New Roman"/>
                <w:sz w:val="24"/>
              </w:rPr>
              <w:t xml:space="preserve"> az ügyletben közvetlenül részt vevő</w:t>
            </w:r>
            <w:r w:rsidR="0071080F">
              <w:rPr>
                <w:rStyle w:val="FormatvorlageInstructionsTabelleText"/>
                <w:rFonts w:ascii="Times New Roman" w:hAnsi="Times New Roman"/>
                <w:sz w:val="24"/>
              </w:rPr>
              <w:t xml:space="preserve"> partnerhez kell hozzárendelni.</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származtatott ügyletekkel kapcsolatos külföldi kötelezettségek a közvetlen kockázatviselés elve alapján</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0160-as sor származtatott ügyletekkel kapcsolatos külföldi </w:t>
            </w:r>
            <w:proofErr w:type="spellStart"/>
            <w:r>
              <w:rPr>
                <w:rStyle w:val="FormatvorlageInstructionsTabelleText"/>
                <w:rFonts w:ascii="Times New Roman" w:hAnsi="Times New Roman"/>
                <w:sz w:val="24"/>
              </w:rPr>
              <w:t>kötelezettségekeket</w:t>
            </w:r>
            <w:proofErr w:type="spellEnd"/>
            <w:r>
              <w:rPr>
                <w:rStyle w:val="FormatvorlageInstructionsTabelleText"/>
                <w:rFonts w:ascii="Times New Roman" w:hAnsi="Times New Roman"/>
                <w:sz w:val="24"/>
              </w:rPr>
              <w:t xml:space="preserve"> tartalmazó részhalmaza.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44305" w14:textId="77777777" w:rsidR="00C6623D" w:rsidRDefault="00C6623D" w:rsidP="00D946DB">
      <w:pPr>
        <w:spacing w:before="0" w:after="0"/>
      </w:pPr>
      <w:r>
        <w:separator/>
      </w:r>
    </w:p>
  </w:endnote>
  <w:endnote w:type="continuationSeparator" w:id="0">
    <w:p w14:paraId="03C62EA7" w14:textId="77777777" w:rsidR="00C6623D" w:rsidRDefault="00C6623D" w:rsidP="00D946DB">
      <w:pPr>
        <w:spacing w:before="0" w:after="0"/>
      </w:pPr>
      <w:r>
        <w:continuationSeparator/>
      </w:r>
    </w:p>
  </w:endnote>
  <w:endnote w:type="continuationNotice" w:id="1">
    <w:p w14:paraId="2732CCCD" w14:textId="77777777" w:rsidR="00C6623D" w:rsidRDefault="00C6623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ADC60F4"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71080F">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D444DB2"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71080F">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0B5F6B0"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71080F">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600A6" w14:textId="77777777" w:rsidR="00C6623D" w:rsidRDefault="00C6623D" w:rsidP="00D946DB">
      <w:pPr>
        <w:spacing w:before="0" w:after="0"/>
      </w:pPr>
      <w:r>
        <w:separator/>
      </w:r>
    </w:p>
  </w:footnote>
  <w:footnote w:type="continuationSeparator" w:id="0">
    <w:p w14:paraId="74185DED" w14:textId="77777777" w:rsidR="00C6623D" w:rsidRDefault="00C6623D" w:rsidP="00D946DB">
      <w:pPr>
        <w:spacing w:before="0" w:after="0"/>
      </w:pPr>
      <w:r>
        <w:continuationSeparator/>
      </w:r>
    </w:p>
  </w:footnote>
  <w:footnote w:type="continuationNotice" w:id="1">
    <w:p w14:paraId="35625CFF" w14:textId="77777777" w:rsidR="00C6623D" w:rsidRDefault="00C6623D">
      <w:pPr>
        <w:spacing w:before="0" w:after="0"/>
      </w:pPr>
    </w:p>
  </w:footnote>
  <w:footnote w:id="2">
    <w:p w14:paraId="0A122620" w14:textId="77777777" w:rsidR="005E1B10" w:rsidRPr="00C638EE"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sidRPr="00C638EE">
        <w:rPr>
          <w:rFonts w:ascii="Times New Roman" w:hAnsi="Times New Roman"/>
          <w:sz w:val="20"/>
          <w:szCs w:val="20"/>
        </w:rPr>
        <w:t xml:space="preserve">Az Európai Parlament és a Tanács 575/2013/EU rendelete (2013. június 26.) a hitelintézetekre és befektetési vállalkozásokra vonatkozó </w:t>
      </w:r>
      <w:proofErr w:type="spellStart"/>
      <w:r w:rsidRPr="00C638EE">
        <w:rPr>
          <w:rFonts w:ascii="Times New Roman" w:hAnsi="Times New Roman"/>
          <w:sz w:val="20"/>
          <w:szCs w:val="20"/>
        </w:rPr>
        <w:t>prudenciális</w:t>
      </w:r>
      <w:proofErr w:type="spellEnd"/>
      <w:r w:rsidRPr="00C638EE">
        <w:rPr>
          <w:rFonts w:ascii="Times New Roman" w:hAnsi="Times New Roman"/>
          <w:sz w:val="20"/>
          <w:szCs w:val="20"/>
        </w:rPr>
        <w:t xml:space="preserve"> követelményekről és a 648/2012/EU rendelet módosításáról (HL L 176., 2013.6.27</w:t>
      </w:r>
      <w:proofErr w:type="gramStart"/>
      <w:r w:rsidRPr="00C638EE">
        <w:rPr>
          <w:rFonts w:ascii="Times New Roman" w:hAnsi="Times New Roman"/>
          <w:sz w:val="20"/>
          <w:szCs w:val="20"/>
        </w:rPr>
        <w:t>.,</w:t>
      </w:r>
      <w:proofErr w:type="gramEnd"/>
      <w:r w:rsidRPr="00C638EE">
        <w:rPr>
          <w:rFonts w:ascii="Times New Roman" w:hAnsi="Times New Roman"/>
          <w:sz w:val="20"/>
          <w:szCs w:val="20"/>
        </w:rPr>
        <w:t xml:space="preserve"> 1. o.).</w:t>
      </w:r>
    </w:p>
  </w:footnote>
  <w:footnote w:id="3">
    <w:p w14:paraId="754D5245" w14:textId="77777777" w:rsidR="005E1B10" w:rsidRPr="00C638EE" w:rsidRDefault="005E1B10" w:rsidP="00C7103D">
      <w:pPr>
        <w:pStyle w:val="FootnoteText"/>
        <w:spacing w:before="0" w:after="0" w:line="240" w:lineRule="auto"/>
        <w:ind w:left="567" w:hanging="567"/>
        <w:rPr>
          <w:rFonts w:ascii="Times New Roman" w:hAnsi="Times New Roman"/>
          <w:sz w:val="20"/>
          <w:szCs w:val="20"/>
        </w:rPr>
      </w:pPr>
      <w:r w:rsidRPr="00C638EE">
        <w:rPr>
          <w:rStyle w:val="FootnoteReference"/>
          <w:rFonts w:ascii="Times New Roman" w:hAnsi="Times New Roman"/>
          <w:sz w:val="20"/>
          <w:szCs w:val="20"/>
          <w:vertAlign w:val="superscript"/>
        </w:rPr>
        <w:footnoteRef/>
      </w:r>
      <w:r w:rsidRPr="00C638EE">
        <w:rPr>
          <w:rFonts w:ascii="Times New Roman" w:hAnsi="Times New Roman"/>
          <w:sz w:val="20"/>
          <w:szCs w:val="20"/>
        </w:rPr>
        <w:tab/>
        <w:t xml:space="preserve">Az Európai Parlament és a Tanács 2013/36/EU irányelve (2013. június 26.) a hitelintézetek tevékenységéhez való hozzáférésről és a hitelintézetek és befektetési vállalkozások </w:t>
      </w:r>
      <w:proofErr w:type="spellStart"/>
      <w:r w:rsidRPr="00C638EE">
        <w:rPr>
          <w:rFonts w:ascii="Times New Roman" w:hAnsi="Times New Roman"/>
          <w:sz w:val="20"/>
          <w:szCs w:val="20"/>
        </w:rPr>
        <w:t>prudenciális</w:t>
      </w:r>
      <w:proofErr w:type="spellEnd"/>
      <w:r w:rsidRPr="00C638EE">
        <w:rPr>
          <w:rFonts w:ascii="Times New Roman" w:hAnsi="Times New Roman"/>
          <w:sz w:val="20"/>
          <w:szCs w:val="20"/>
        </w:rPr>
        <w:t xml:space="preserve"> felügyeletéről, a 2002/87/EK irányelv módosításáról, a 2006/48/EK és a 2006/49/EK irányelv hatályon kívül helyezéséről (HL L 176., 2013.6.27</w:t>
      </w:r>
      <w:proofErr w:type="gramStart"/>
      <w:r w:rsidRPr="00C638EE">
        <w:rPr>
          <w:rFonts w:ascii="Times New Roman" w:hAnsi="Times New Roman"/>
          <w:sz w:val="20"/>
          <w:szCs w:val="20"/>
        </w:rPr>
        <w:t>.,</w:t>
      </w:r>
      <w:proofErr w:type="gramEnd"/>
      <w:r w:rsidRPr="00C638EE">
        <w:rPr>
          <w:rFonts w:ascii="Times New Roman" w:hAnsi="Times New Roman"/>
          <w:sz w:val="20"/>
          <w:szCs w:val="20"/>
        </w:rPr>
        <w:t xml:space="preserve"> 338. o.).</w:t>
      </w:r>
    </w:p>
  </w:footnote>
  <w:footnote w:id="4">
    <w:p w14:paraId="7E81C75F" w14:textId="7AFAACB8" w:rsidR="000359E7" w:rsidRPr="00EF0DDB" w:rsidRDefault="000359E7">
      <w:pPr>
        <w:pStyle w:val="FootnoteText"/>
      </w:pPr>
      <w:r>
        <w:rPr>
          <w:rStyle w:val="FootnoteReference"/>
        </w:rPr>
        <w:footnoteRef/>
      </w:r>
      <w:r>
        <w:t xml:space="preserve"> Az Európai Parlament és a Tanács 806/2014/EU rendelete (2014. július 15.) a hitelintézeteknek és bizonyos befektetési vállalkozásoknak az Egységes Szanálási Mechanizmus keretében történő szanálására vonatkozó egységes szabályok és egységes eljárás kialakításáról, valamint az Egységes Szanálási Alap létrehozásáról és az 1093/2010/EU rendelet módosításáról (HL L 225., 2014.7.30</w:t>
      </w:r>
      <w:proofErr w:type="gramStart"/>
      <w:r>
        <w:t>.,</w:t>
      </w:r>
      <w:proofErr w:type="gramEnd"/>
      <w:r>
        <w:t xml:space="preserve"> 1.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53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080F"/>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2DC"/>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38EE"/>
    <w:rsid w:val="00C64027"/>
    <w:rsid w:val="00C6623D"/>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D7A1D-C415-4099-894F-C287C92B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1148</Words>
  <Characters>8457</Characters>
  <Application>Microsoft Office Word</Application>
  <DocSecurity>0</DocSecurity>
  <Lines>192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VAMOSI Krisztian (DGT)</cp:lastModifiedBy>
  <cp:revision>5</cp:revision>
  <dcterms:created xsi:type="dcterms:W3CDTF">2020-12-02T17:25:00Z</dcterms:created>
  <dcterms:modified xsi:type="dcterms:W3CDTF">2020-12-14T15:10:00Z</dcterms:modified>
</cp:coreProperties>
</file>