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ANEXO 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Modelo único de dados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Todos os elementos informativos definidos nos anexos do presente regulamento devem ser convertidos num modelo único de dados, que constitui a base para sistemas de TI uniformes a nível das instituições e autoridades competentes.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modelo único de dados deve satisfazer os seguintes critérios: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>Fornecer uma representação estruturada de todos os elementos informativos estabelecidos nos anexos do presente regulamento;</w:t>
      </w:r>
    </w:p>
    <w:p w:rsidR="008D22AD" w:rsidRPr="00AC35AF" w:rsidRDefault="008D22AD" w:rsidP="00DB6795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 xml:space="preserve">Identificar todos os conceitos comerciais estabelecidos nos anexos do presente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regulamento;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>Fornecer um dicionário de dados que defina rótulos para os quadros, as coordenadas, os eixos, os domínios, as dimensões e os membros;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r>
        <w:rPr>
          <w:rFonts w:ascii="Times New Roman" w:hAnsi="Times New Roman"/>
          <w:sz w:val="24"/>
          <w:szCs w:val="24"/>
        </w:rPr>
        <w:t>Fornecer parâmetros que definam a propriedade ou o montante dos dados;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r>
        <w:rPr>
          <w:rFonts w:ascii="Times New Roman" w:hAnsi="Times New Roman"/>
          <w:sz w:val="24"/>
          <w:szCs w:val="24"/>
        </w:rPr>
        <w:t xml:space="preserve">Fornecer definições para os dados sob a forma de um conjunto de características que permitem identificar univocamente o conceito financeiro;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>
        <w:tab/>
      </w:r>
      <w:r>
        <w:rPr>
          <w:rFonts w:ascii="Times New Roman" w:hAnsi="Times New Roman"/>
          <w:sz w:val="24"/>
          <w:szCs w:val="24"/>
        </w:rPr>
        <w:t xml:space="preserve">Conter todas as especificações técnicas relevantes necessárias para promover a conceção de soluções de TI para a comunicação de informações que produzam dados de supervisão uniformes.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795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fr-BE" w:eastAsia="fr-BE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679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106257EB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pt-P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pt-P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pt-PT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0A8A80-36DA-4BA6-BC83-1A3998DE1B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DF328-E2AB-43E6-9238-41B282BE9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928</Characters>
  <Application>Microsoft Office Word</Application>
  <DocSecurity>0</DocSecurity>
  <Lines>19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1083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COSTA Maria (DGT)</cp:lastModifiedBy>
  <cp:revision>5</cp:revision>
  <cp:lastPrinted>2015-04-10T08:05:00Z</cp:lastPrinted>
  <dcterms:created xsi:type="dcterms:W3CDTF">2020-10-01T15:05:00Z</dcterms:created>
  <dcterms:modified xsi:type="dcterms:W3CDTF">2020-12-14T15:37:00Z</dcterms:modified>
</cp:coreProperties>
</file>