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21EAC" w14:textId="0C357907" w:rsidR="00C36E0D" w:rsidRPr="003F3461" w:rsidRDefault="00A52E51" w:rsidP="003F3461">
      <w:pPr>
        <w:pStyle w:val="Pagedecouverture"/>
      </w:pPr>
      <w:bookmarkStart w:id="0" w:name="_GoBack"/>
      <w:bookmarkEnd w:id="0"/>
      <w:r>
        <w:pict w14:anchorId="754336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D1271BA-6624-4751-B648-8F82E7E5A54C" style="width:450.65pt;height:409.45pt">
            <v:imagedata r:id="rId8" o:title=""/>
          </v:shape>
        </w:pict>
      </w:r>
    </w:p>
    <w:p w14:paraId="703F7C0E" w14:textId="77777777" w:rsidR="0004170D" w:rsidRPr="003F3461" w:rsidRDefault="0004170D">
      <w:pPr>
        <w:sectPr w:rsidR="0004170D" w:rsidRPr="003F3461" w:rsidSect="003A397C">
          <w:footerReference w:type="default" r:id="rId9"/>
          <w:pgSz w:w="11907" w:h="16839"/>
          <w:pgMar w:top="1134" w:right="1417" w:bottom="1134" w:left="1417" w:header="709" w:footer="709" w:gutter="0"/>
          <w:pgNumType w:start="0"/>
          <w:cols w:space="720"/>
          <w:docGrid w:linePitch="360"/>
        </w:sectPr>
      </w:pPr>
    </w:p>
    <w:p w14:paraId="34737ADF" w14:textId="40F5BF0E" w:rsidR="00EF57C0" w:rsidRPr="003F3461" w:rsidRDefault="003F3461" w:rsidP="003F3461">
      <w:pPr>
        <w:pStyle w:val="Typedudocument"/>
      </w:pPr>
      <w:r w:rsidRPr="003F3461">
        <w:lastRenderedPageBreak/>
        <w:t>KOMISIJAS ĪSTENOŠANAS REGULA (ES) …/..</w:t>
      </w:r>
    </w:p>
    <w:p w14:paraId="4D3D9C3F" w14:textId="5A16345B" w:rsidR="00EF57C0" w:rsidRPr="003F3461" w:rsidRDefault="003F3461" w:rsidP="003F3461">
      <w:pPr>
        <w:pStyle w:val="Datedadoption"/>
      </w:pPr>
      <w:r w:rsidRPr="003F3461">
        <w:t>(</w:t>
      </w:r>
      <w:r w:rsidRPr="003F3461">
        <w:rPr>
          <w:rStyle w:val="Marker2"/>
        </w:rPr>
        <w:t>XXX</w:t>
      </w:r>
      <w:r w:rsidRPr="003F3461">
        <w:t>),</w:t>
      </w:r>
    </w:p>
    <w:p w14:paraId="4F9FF18E" w14:textId="6AD20CFC" w:rsidR="00EF57C0" w:rsidRPr="003F3461" w:rsidRDefault="003F3461" w:rsidP="003F3461">
      <w:pPr>
        <w:pStyle w:val="Titreobjet"/>
      </w:pPr>
      <w:r w:rsidRPr="003F3461">
        <w:t xml:space="preserve">ar ko nosaka īstenošanas tehniskos standartus Eiropas Parlamenta un Padomes Regulas (ES) Nr. 575/2013 piemērošanai attiecībā uz iestāžu sniegtajiem uzraudzības pārskatiem un atceļ Īstenošanas regulu (ES) Nr. 680/2014 </w:t>
      </w:r>
      <w:r w:rsidRPr="003F3461">
        <w:br/>
      </w:r>
    </w:p>
    <w:p w14:paraId="4602B82A" w14:textId="2A69E5BB" w:rsidR="00EF57C0" w:rsidRPr="003F3461" w:rsidRDefault="003F3461" w:rsidP="003F3461">
      <w:pPr>
        <w:pStyle w:val="IntrtEEE"/>
      </w:pPr>
      <w:r w:rsidRPr="003F3461">
        <w:t>(Dokuments attiecas uz EEZ)</w:t>
      </w:r>
    </w:p>
    <w:p w14:paraId="71600C74" w14:textId="77777777" w:rsidR="00EF57C0" w:rsidRPr="003F3461" w:rsidRDefault="00EF57C0" w:rsidP="00EF57C0">
      <w:pPr>
        <w:pStyle w:val="Institutionquiagit"/>
      </w:pPr>
      <w:r w:rsidRPr="003F3461">
        <w:t>EIROPAS KOMISIJA,</w:t>
      </w:r>
    </w:p>
    <w:p w14:paraId="0CCABF3F" w14:textId="77777777" w:rsidR="00EF57C0" w:rsidRPr="003F3461" w:rsidRDefault="00EF57C0" w:rsidP="00EF57C0">
      <w:r w:rsidRPr="003F3461">
        <w:t>ņemot vērā Līgumu par Eiropas Savienības darbību,</w:t>
      </w:r>
    </w:p>
    <w:p w14:paraId="5917862A" w14:textId="77777777" w:rsidR="00EF57C0" w:rsidRPr="003F3461" w:rsidRDefault="00EF57C0" w:rsidP="00EF57C0">
      <w:pPr>
        <w:rPr>
          <w:rFonts w:eastAsia="Times New Roman"/>
          <w:noProof/>
          <w:color w:val="000000"/>
        </w:rPr>
      </w:pPr>
      <w:r w:rsidRPr="003F3461">
        <w:t>ņemot vērā Eiropas Parlamenta un Padomes Regulu (ES) Nr. 575/2013 (2013. gada 26. jūnijs) par prudenciālajām prasībām attiecībā uz kredītiestādēm un ieguldījumu brokeru sabiedrībām, un ar ko groza Regulu (ES) Nr. 648/2012</w:t>
      </w:r>
      <w:r w:rsidRPr="003F3461">
        <w:rPr>
          <w:rStyle w:val="FootnoteReference"/>
        </w:rPr>
        <w:footnoteReference w:id="1"/>
      </w:r>
      <w:r w:rsidRPr="003F3461">
        <w:t>, un jo īpaši tās 415. panta 3. punkta pirmo daļu, 415. panta 3.a punkta pirmo daļu, 430. panta 7. punkta pirmo daļu un 430. panta 9. punkta otro daļu,</w:t>
      </w:r>
    </w:p>
    <w:p w14:paraId="7682CE86" w14:textId="77777777" w:rsidR="00EF57C0" w:rsidRPr="003F3461" w:rsidRDefault="00EF57C0" w:rsidP="00EF57C0">
      <w:r w:rsidRPr="003F3461">
        <w:t>tā kā:</w:t>
      </w:r>
    </w:p>
    <w:p w14:paraId="1339DFA5" w14:textId="77777777" w:rsidR="00EF57C0" w:rsidRPr="003F3461" w:rsidRDefault="00EF57C0" w:rsidP="004F7144">
      <w:pPr>
        <w:pStyle w:val="Considrant"/>
        <w:numPr>
          <w:ilvl w:val="0"/>
          <w:numId w:val="10"/>
        </w:numPr>
      </w:pPr>
      <w:r w:rsidRPr="003F3461">
        <w:t>Neskarot kompetento iestāžu pilnvaras saskaņā ar Eiropas Parlamenta un Padomes Direktīvas 2013/36/ES</w:t>
      </w:r>
      <w:r w:rsidRPr="003F3461">
        <w:rPr>
          <w:rStyle w:val="FootnoteReference"/>
        </w:rPr>
        <w:footnoteReference w:id="2"/>
      </w:r>
      <w:r w:rsidRPr="003F3461">
        <w:t xml:space="preserve"> 104. panta 1. punkta j) apakšpunktu, Komisijas Īstenošanas regulā (ES) Nr. 680/2014</w:t>
      </w:r>
      <w:r w:rsidRPr="003F3461">
        <w:rPr>
          <w:rStyle w:val="FootnoteReference"/>
        </w:rPr>
        <w:footnoteReference w:id="3"/>
      </w:r>
      <w:r w:rsidRPr="003F3461">
        <w:t>, pamatojoties uz Regulas (ES) Nr. 575/2013 430. pantu, ir noteikta saskaņota pārskatu sniegšanas sistēma. Īstenošanas regula (ES) Nr. 680/2014 ir vairākkārt grozīta pēc grozījumiem Regulā (ES) Nr. 575/2013, kuri pieņemti, lai ieviestu, pilnveidotu vai pielāgotu prudenciālos elementus.</w:t>
      </w:r>
    </w:p>
    <w:p w14:paraId="2E458540" w14:textId="77777777" w:rsidR="00EF57C0" w:rsidRPr="003F3461" w:rsidRDefault="00EF57C0" w:rsidP="004F7144">
      <w:pPr>
        <w:pStyle w:val="Considrant"/>
        <w:numPr>
          <w:ilvl w:val="0"/>
          <w:numId w:val="10"/>
        </w:numPr>
      </w:pPr>
      <w:r w:rsidRPr="003F3461">
        <w:t>Šīs regulas noteikumi ir savstarpēji cieši saistīti, jo tie attiecas uz iestāžu pārskatu sniegšanas prasībām. Lai nodrošinātu saskaņotību starp šiem noteikumiem, kuriem vajadzētu stāties spēkā vienlaicīgi, un sekmētu to, ka personām, uz kurām attiecas šie pienākumi, ir iespējams tos visaptveroši pārskatīt un viegli tiem piekļūt, ir vēlams visus Regulā (ES) Nr. 575/2013 (KPR) paredzētos saistītos īstenošanas tehniskos standartus iekļaut vienā regulā.</w:t>
      </w:r>
    </w:p>
    <w:p w14:paraId="3C15A697" w14:textId="77777777" w:rsidR="00EF57C0" w:rsidRPr="003F3461" w:rsidRDefault="00EF57C0" w:rsidP="004F7144">
      <w:pPr>
        <w:pStyle w:val="Considrant"/>
        <w:numPr>
          <w:ilvl w:val="0"/>
          <w:numId w:val="10"/>
        </w:numPr>
      </w:pPr>
      <w:r w:rsidRPr="003F3461">
        <w:t>Ņemot vērā Bāzeles Banku uzraudzības komitejas starptautiskos standartus, ar Eiropas Parlamenta un Padomes Regulu (ES) 2019/876</w:t>
      </w:r>
      <w:r w:rsidRPr="003F3461">
        <w:rPr>
          <w:rStyle w:val="FootnoteReference"/>
        </w:rPr>
        <w:footnoteReference w:id="4"/>
      </w:r>
      <w:r w:rsidRPr="003F3461">
        <w:t xml:space="preserve"> vairākos aspektos tika grozīta Regula </w:t>
      </w:r>
      <w:r w:rsidRPr="003F3461">
        <w:lastRenderedPageBreak/>
        <w:t>(ES) Nr. 575/2013, piemēram, attiecībā uz sviras rādītāju, neto stabila finansējuma prasību, prasībām pašu kapitālam un atbilstīgajām saistībām, darījuma partnera kredītrisku, tirgus risku, riska darījumiem ar centrālajiem darījumu partneriem, riska darījumiem ar kolektīvo ieguldījumu uzņēmumiem, lieliem riska darījumiem un pārskatu sniegšanas un informācijas atklāšanas prasībām. Tāpēc būtu jāpārskata Īstenošanas regulā (ES) Nr. 680/2014 noteiktā pārskatu sniegšanas sistēma un jāatjaunina veidņu kopums informācijas vākšanai uzraudzības pārskatu sniegšanas nolūkā.</w:t>
      </w:r>
    </w:p>
    <w:p w14:paraId="25A4CD7E" w14:textId="77777777" w:rsidR="00EF57C0" w:rsidRPr="003F3461" w:rsidRDefault="00EF57C0" w:rsidP="004F7144">
      <w:pPr>
        <w:pStyle w:val="Considrant"/>
        <w:numPr>
          <w:ilvl w:val="0"/>
          <w:numId w:val="10"/>
        </w:numPr>
      </w:pPr>
      <w:r w:rsidRPr="003F3461">
        <w:t>Ar Regulu (ES) 2019/876 Regulā (ES) Nr. 575/2013 ieviesa pirmā līmeņa kapitāla sviras rādītāja prasību, kas kalibrēta 3 % apmērā, virkni pielāgojumu riska darījumu vērtības mēra aprēķināšanā sviras rādītāja vajadzībām un sviras rādītāja rezervju prasību iestādēm, kuras saskaņā ar Direktīvu 2013/36/ES identificētas kā globālas sistēmiski nozīmīgas iestādes (G-SNI). Tāpēc būtu jāatjaunina pārskatu sniegšana par sviras rādītāju, lai šīs prasības un pielāgojumus atspoguļotu riska darījumu vērtības aprēķinā.</w:t>
      </w:r>
    </w:p>
    <w:p w14:paraId="3E6C1E0F" w14:textId="77777777" w:rsidR="00EF57C0" w:rsidRPr="003F3461" w:rsidRDefault="00EF57C0" w:rsidP="004F7144">
      <w:pPr>
        <w:pStyle w:val="Considrant"/>
        <w:numPr>
          <w:ilvl w:val="0"/>
          <w:numId w:val="10"/>
        </w:numPr>
      </w:pPr>
      <w:r w:rsidRPr="003F3461">
        <w:t>Ar Regulu (ES) 2019/876 Regulā (ES) Nr. 575/2013 tika ieviestas neto stabila finansējuma rādītāja (NSFR) pārskatu sniegšanas prasības, tostarp vienkāršotās prasības. Tāpēc ir jānosaka jauns pārskatu veidņu un norāžu kopums.</w:t>
      </w:r>
    </w:p>
    <w:p w14:paraId="54CA03A2" w14:textId="77777777" w:rsidR="00EF57C0" w:rsidRPr="003F3461" w:rsidRDefault="00EF57C0" w:rsidP="004F7144">
      <w:pPr>
        <w:pStyle w:val="Considrant"/>
        <w:numPr>
          <w:ilvl w:val="0"/>
          <w:numId w:val="10"/>
        </w:numPr>
      </w:pPr>
      <w:r w:rsidRPr="003F3461">
        <w:t>Ar Regulu (ES) 2019/876 Regulā (ES) Nr. 575/2013 tika ieviests jauns atbalsta koeficients, kas jāpiemēro riska darījumiem ar infrastruktūras projektiem, un atjauninātas riska darījuma riska svērto vērtību aprēķināšanas pieejas kolektīvo ieguldījumu uzņēmumiem. Tāpēc arī saskaņā ar informācijas atklāšanas regulējumu ir jānosaka jaunas veidnes un norādes pārskatu sniegšanai par kredītrisku un jāatjaunina pašreizējās norādes.</w:t>
      </w:r>
    </w:p>
    <w:p w14:paraId="64FA440D" w14:textId="77777777" w:rsidR="00EF57C0" w:rsidRPr="003F3461" w:rsidRDefault="00EF57C0" w:rsidP="004F7144">
      <w:pPr>
        <w:pStyle w:val="Considrant"/>
        <w:numPr>
          <w:ilvl w:val="0"/>
          <w:numId w:val="10"/>
        </w:numPr>
      </w:pPr>
      <w:r w:rsidRPr="003F3461">
        <w:t>Ar Regulu (ES) 2019/876 Regulā (ES) Nr. 575/2013 standartizēto pieeju aizstāja ar riska ziņā jutīgāku standartizēto pieeju darījuma partnera kredītriskam (</w:t>
      </w:r>
      <w:r w:rsidRPr="003F3461">
        <w:rPr>
          <w:i/>
        </w:rPr>
        <w:t>SA-CCR</w:t>
      </w:r>
      <w:r w:rsidRPr="003F3461">
        <w:t xml:space="preserve">) un vienkāršotu versiju (vienkāršoto </w:t>
      </w:r>
      <w:r w:rsidRPr="003F3461">
        <w:rPr>
          <w:i/>
        </w:rPr>
        <w:t>SA-CCR</w:t>
      </w:r>
      <w:r w:rsidRPr="003F3461">
        <w:t>) iestādēm, kas atbilst iepriekš noteiktiem atbilstības kritērijiem. Lai gan sākotnējās riska darījuma vērtības metode ir pārskatīta, tā joprojām ir pieejama iestādēm, kas atbilst iepriekš noteiktiem kritērijiem. Tāpēc ir jāpievieno jaunas veidnes un norādes pārskatu sniegšanai par darījumu partnera kredītrisku un jāatjaunina pašreizējās norādes.</w:t>
      </w:r>
    </w:p>
    <w:p w14:paraId="70119DA2" w14:textId="77777777" w:rsidR="00EF57C0" w:rsidRPr="003F3461" w:rsidRDefault="00EF57C0" w:rsidP="004F7144">
      <w:pPr>
        <w:pStyle w:val="Considrant"/>
        <w:numPr>
          <w:ilvl w:val="0"/>
          <w:numId w:val="10"/>
        </w:numPr>
      </w:pPr>
      <w:r w:rsidRPr="003F3461">
        <w:t>Ar Regulu (ES) 2019/876 Regulā (ES) Nr. 575/2013 atsauces uz “atbilstošo kapitālu” lielu riska darījumu vērtības aprēķinā tika aizstātas ar atsaucēm uz “pirmā līmeņa kapitālu” un tika ieviests vēl viens slieksnis pārskatu sniegšanai par lieliem riska darījumiem konsolidētā līmenī. Tāpēc būtu jāatjaunina pārskatu sniegšana par lielajiem riska darījumiem.</w:t>
      </w:r>
    </w:p>
    <w:p w14:paraId="6ED933CE" w14:textId="77777777" w:rsidR="00EF57C0" w:rsidRPr="003F3461" w:rsidRDefault="00EF57C0" w:rsidP="004F7144">
      <w:pPr>
        <w:pStyle w:val="Considrant"/>
        <w:numPr>
          <w:ilvl w:val="0"/>
          <w:numId w:val="10"/>
        </w:numPr>
      </w:pPr>
      <w:r w:rsidRPr="003F3461">
        <w:t>Ar Eiropas Parlamenta un Padomes Regulu (ES) 2019/630</w:t>
      </w:r>
      <w:r w:rsidRPr="003F3461">
        <w:rPr>
          <w:rStyle w:val="FootnoteReference"/>
        </w:rPr>
        <w:footnoteReference w:id="5"/>
      </w:r>
      <w:r w:rsidRPr="003F3461">
        <w:t xml:space="preserve"> Regulā (ES) Nr. 575/2013 tika ieviests prudenciālais atbalsta mehānisms ieņēmumus nenesošiem riska darījumiem (</w:t>
      </w:r>
      <w:r w:rsidRPr="003F3461">
        <w:rPr>
          <w:i/>
          <w:iCs/>
        </w:rPr>
        <w:t>NPE</w:t>
      </w:r>
      <w:r w:rsidRPr="003F3461">
        <w:t xml:space="preserve">), prasot piemērot atskaitījumus no iestādes pašu kapitāla, ja </w:t>
      </w:r>
      <w:r w:rsidRPr="003F3461">
        <w:rPr>
          <w:i/>
          <w:iCs/>
        </w:rPr>
        <w:t>NPE</w:t>
      </w:r>
      <w:r w:rsidRPr="003F3461">
        <w:t xml:space="preserve"> nav pietiekoša seguma ar uzkrājumiem vai citām korekcijām, ievērojot iepriekš noteiktu grafiku, lai laika gaitā izveidotu pilnīgu segumu. Minētā prudenciālā atbalsta mehānisma pamatā ir Īstenošanas regulā (ES) Nr. 680/2014 noteiktās “ieņēmumus nenesoša riska darījuma” un “pārskatīšanas pasākumu” definīcijas. Tāpēc ir jāgroza </w:t>
      </w:r>
      <w:r w:rsidRPr="003F3461">
        <w:lastRenderedPageBreak/>
        <w:t>veidnes un norādes, lai nodrošinātu, ka pastāv vienota “ieņēmumus nenesoša riska darījuma” un “pārskatīšanas pasākumu” definīcija gan pārskatu sniegšanas, gan prudenciālā atbalsta mehānisma nolūkā. Ir vajadzīgas arī jaunas veidnes, lai vāktu informāciju atbalsta mehānisma aprēķinam.</w:t>
      </w:r>
    </w:p>
    <w:p w14:paraId="1DA54BAA" w14:textId="77777777" w:rsidR="00EF57C0" w:rsidRPr="003F3461" w:rsidRDefault="00EF57C0" w:rsidP="004F7144">
      <w:pPr>
        <w:pStyle w:val="Considrant"/>
        <w:numPr>
          <w:ilvl w:val="0"/>
          <w:numId w:val="10"/>
        </w:numPr>
      </w:pPr>
      <w:r w:rsidRPr="003F3461">
        <w:t>Ar Eiropas Parlamenta un Padomes Regulu (ES) 2019/2033</w:t>
      </w:r>
      <w:r w:rsidRPr="003F3461">
        <w:rPr>
          <w:rStyle w:val="FootnoteReference"/>
        </w:rPr>
        <w:footnoteReference w:id="6"/>
      </w:r>
      <w:r w:rsidRPr="003F3461">
        <w:t xml:space="preserve"> no 2026. gada 26. jūnija atceļ Regulas (ES) Nr. 575/2013 trešās daļas I sadaļas 2. iedaļas 1. nodaļu (95. līdz 98. pants). Šā iemesla dēļ noteikumi par pārskatu sniegšanu individuālā vai konsolidētā līmenī attiecībā uz grupām, kuras sastāv tikai no ieguldījumu brokeru sabiedrībām, uz kurām attiecas Regulas (ES) Nr. 575/2013 95. un 96. pants, būtu jābeidz piemērot no 2026. gada 26. jūnija.</w:t>
      </w:r>
    </w:p>
    <w:p w14:paraId="69548CE6" w14:textId="77777777" w:rsidR="00EF57C0" w:rsidRPr="003F3461" w:rsidRDefault="00EF57C0" w:rsidP="004F7144">
      <w:pPr>
        <w:pStyle w:val="Considrant"/>
        <w:numPr>
          <w:ilvl w:val="0"/>
          <w:numId w:val="10"/>
        </w:numPr>
      </w:pPr>
      <w:r w:rsidRPr="003F3461">
        <w:t>Ņemot vērā minēto grozījumu tvērumu un skaidrības labad ir lietderīgi atcelt Īstenošanas regulu (ES) Nr. 680/2014 un aizstāt to ar šo regulu.</w:t>
      </w:r>
    </w:p>
    <w:p w14:paraId="6BAE5315" w14:textId="77777777" w:rsidR="00EF57C0" w:rsidRPr="003F3461" w:rsidRDefault="00EF57C0" w:rsidP="004F7144">
      <w:pPr>
        <w:pStyle w:val="Considrant"/>
        <w:numPr>
          <w:ilvl w:val="0"/>
          <w:numId w:val="10"/>
        </w:numPr>
      </w:pPr>
      <w:r w:rsidRPr="003F3461">
        <w:t>Eiropas Parlamenta un Padomes Regula (ES) 2020/873</w:t>
      </w:r>
      <w:r w:rsidRPr="003F3461">
        <w:rPr>
          <w:rStyle w:val="FootnoteReference"/>
        </w:rPr>
        <w:footnoteReference w:id="7"/>
      </w:r>
      <w:r w:rsidRPr="003F3461">
        <w:t xml:space="preserve"> ir daļa no pasākumu kopuma ar mērķi mazināt Covid-19 pandēmijas ietekmi uz iestādēm visā Savienībā. Ar minēto regulu tika ieviesti daži grozījumi Regulā (ES) Nr. 575/2013 un Regulā (ES) 2019/876, kas ietekmē uzraudzības pārskatu sniegšanu. Tāpēc šie grozījumi būtu jāatspoguļo pārskatu sniegšanas sistēmā. </w:t>
      </w:r>
    </w:p>
    <w:p w14:paraId="19B62C51" w14:textId="77777777" w:rsidR="00EF57C0" w:rsidRPr="003F3461" w:rsidRDefault="00EF57C0" w:rsidP="004F7144">
      <w:pPr>
        <w:pStyle w:val="Considrant"/>
        <w:numPr>
          <w:ilvl w:val="0"/>
          <w:numId w:val="10"/>
        </w:numPr>
      </w:pPr>
      <w:r w:rsidRPr="003F3461">
        <w:t>Iestādēm būtu jāsāk uzraudzības pārskatu sniegšana no 2021. gada otrā ceturkšņa beigām. Tomēr pārskatu sniegšanai par sviras rādītāja rezervēm būtu jāsākas 2023. gada janvārī, jo sviras rādītāja rezervju prasību piemērošana ar Regulu (ES) 2020/873 tika atlikta uz 2023. gada janvāri.</w:t>
      </w:r>
    </w:p>
    <w:p w14:paraId="7CCED140" w14:textId="77777777" w:rsidR="00EF57C0" w:rsidRPr="003F3461" w:rsidRDefault="00EF57C0" w:rsidP="004F7144">
      <w:pPr>
        <w:pStyle w:val="Considrant"/>
        <w:numPr>
          <w:ilvl w:val="0"/>
          <w:numId w:val="10"/>
        </w:numPr>
      </w:pPr>
      <w:r w:rsidRPr="003F3461">
        <w:t>Šīs regulas pamatā ir īstenošanas tehnisko standartu projekts, ko Komisijai iesniegusi Eiropas Banku iestāde (EBI).</w:t>
      </w:r>
    </w:p>
    <w:p w14:paraId="253E7C70" w14:textId="77777777" w:rsidR="00EF57C0" w:rsidRPr="003F3461" w:rsidRDefault="00EF57C0" w:rsidP="004F7144">
      <w:pPr>
        <w:pStyle w:val="Considrant"/>
        <w:numPr>
          <w:ilvl w:val="0"/>
          <w:numId w:val="10"/>
        </w:numPr>
        <w:rPr>
          <w:noProof/>
        </w:rPr>
      </w:pPr>
      <w:r w:rsidRPr="003F3461">
        <w:t>EBI ir veikusi atklātas sabiedriskās apspriešanas par īstenošanas tehnisko standartu projektu, kas ir šīs regulas pamatā, analizējusi potenciālās saistītās izmaksas un ieguvumus un pieprasījusi atzinumu no Banku nozares ieinteresēto personu grupas, kura izveidota saskaņā ar Eiropas Parlamenta un Padomes Regulas (ES) Nr. 1093/2010</w:t>
      </w:r>
      <w:r w:rsidRPr="003F3461">
        <w:rPr>
          <w:rStyle w:val="FootnoteReference"/>
        </w:rPr>
        <w:footnoteReference w:id="8"/>
      </w:r>
      <w:r w:rsidRPr="003F3461">
        <w:t xml:space="preserve"> 37. pantu, izņemot noteikumus, kas atspoguļo ar Regulu (ES) 2020/873 veiktos grozījumus Regulā (ES) Nr. 575/2013. EBI nolēma, ka būtu bijis ļoti nesamērīgi veikt sabiedrisko apspriešanu vai izmaksu un ieguvumu analīzi par šiem noteikumiem, jo tie attiecas uz ļoti nedaudzām rindām pārskatu veidnēs par maksātspēju un sviras rādītāju un, visticamāk, būtiski neietekmēs pārskatu sniegšanas izmaksas. Turklāt šāda sabiedriskā apspriešana vai izmaksu un ieguvumu analīze neļautu uzraudzītājiem laikus saskaņoti un regulāri vākt attiecīgos datus.</w:t>
      </w:r>
    </w:p>
    <w:p w14:paraId="693895A6" w14:textId="77777777" w:rsidR="00EF57C0" w:rsidRPr="003F3461" w:rsidRDefault="00EF57C0" w:rsidP="004F7144">
      <w:pPr>
        <w:pStyle w:val="Considrant"/>
        <w:numPr>
          <w:ilvl w:val="0"/>
          <w:numId w:val="10"/>
        </w:numPr>
        <w:rPr>
          <w:noProof/>
        </w:rPr>
      </w:pPr>
      <w:r w:rsidRPr="003F3461">
        <w:t xml:space="preserve">Lai iestādēm būtu pietiekami daudz laika sagatavoties pārskatu sniegšanai saskaņā ar šo regulu, tai būtu jāstājas spēkā nākamajā dienā pēc tās publicēšanas </w:t>
      </w:r>
      <w:r w:rsidRPr="003F3461">
        <w:rPr>
          <w:i/>
        </w:rPr>
        <w:t>Eiropas Savienības Oficiālajā Vēstnesī</w:t>
      </w:r>
      <w:r w:rsidRPr="003F3461">
        <w:t xml:space="preserve">, </w:t>
      </w:r>
    </w:p>
    <w:p w14:paraId="3AD1EDA7" w14:textId="77777777" w:rsidR="00EF57C0" w:rsidRPr="003F3461" w:rsidRDefault="00EF57C0" w:rsidP="00EF57C0">
      <w:pPr>
        <w:pStyle w:val="Formuledadoption"/>
      </w:pPr>
      <w:r w:rsidRPr="003F3461">
        <w:lastRenderedPageBreak/>
        <w:t>IR PIEŅĒMUSI ŠO REGULU.</w:t>
      </w:r>
    </w:p>
    <w:p w14:paraId="2296EC2C" w14:textId="77777777" w:rsidR="00EF57C0" w:rsidRPr="003F3461" w:rsidRDefault="00EF57C0" w:rsidP="00EF57C0">
      <w:pPr>
        <w:pStyle w:val="Titrearticle"/>
      </w:pPr>
      <w:r w:rsidRPr="003F3461">
        <w:t>1. pants</w:t>
      </w:r>
    </w:p>
    <w:p w14:paraId="12EF18EC" w14:textId="77777777" w:rsidR="00EF57C0" w:rsidRPr="003F3461" w:rsidRDefault="00EF57C0" w:rsidP="00EF57C0">
      <w:pPr>
        <w:pStyle w:val="Titrearticle"/>
        <w:spacing w:before="120"/>
        <w:rPr>
          <w:b/>
          <w:i w:val="0"/>
        </w:rPr>
      </w:pPr>
      <w:r w:rsidRPr="003F3461">
        <w:rPr>
          <w:b/>
          <w:i w:val="0"/>
        </w:rPr>
        <w:t>Priekšmets un darbības joma</w:t>
      </w:r>
    </w:p>
    <w:p w14:paraId="799BCD67" w14:textId="77777777" w:rsidR="00EF57C0" w:rsidRPr="003F3461" w:rsidRDefault="00EF57C0" w:rsidP="00EF57C0">
      <w:r w:rsidRPr="003F3461">
        <w:t xml:space="preserve">Šajā regulā ir noteikti vienoti pārskatu formāti un veidnes, norādes un metodika šo veidņu izmantošanai, pārskatu sniegšanas biežums un datumi, definīcijas un IT risinājumi attiecībā uz iestāžu pārskatu sniegšanu to kompetentajām iestādēm saskaņā ar Regulas (ES) Nr. 575/2013 415. panta 3. un 3.a punktu un minētās regulas 430. panta 1.–4. punktu un 7. un 9. punktu. </w:t>
      </w:r>
    </w:p>
    <w:p w14:paraId="6923E70B" w14:textId="77777777" w:rsidR="00EF57C0" w:rsidRPr="003F3461" w:rsidRDefault="00EF57C0" w:rsidP="00EF57C0">
      <w:pPr>
        <w:pStyle w:val="Titrearticle"/>
      </w:pPr>
      <w:r w:rsidRPr="003F3461">
        <w:fldChar w:fldCharType="begin"/>
      </w:r>
      <w:r w:rsidRPr="003F3461">
        <w:instrText xml:space="preserve"> seq article </w:instrText>
      </w:r>
      <w:r w:rsidRPr="003F3461">
        <w:fldChar w:fldCharType="separate"/>
      </w:r>
      <w:r w:rsidRPr="003F3461">
        <w:t>2</w:t>
      </w:r>
      <w:r w:rsidRPr="003F3461">
        <w:fldChar w:fldCharType="end"/>
      </w:r>
      <w:r w:rsidRPr="003F3461">
        <w:t>. pants</w:t>
      </w:r>
    </w:p>
    <w:p w14:paraId="2163904D" w14:textId="77777777" w:rsidR="00EF57C0" w:rsidRPr="003F3461" w:rsidRDefault="00EF57C0" w:rsidP="00EF57C0">
      <w:pPr>
        <w:pStyle w:val="Titrearticle"/>
        <w:spacing w:before="120"/>
        <w:rPr>
          <w:b/>
          <w:i w:val="0"/>
        </w:rPr>
      </w:pPr>
      <w:r w:rsidRPr="003F3461">
        <w:rPr>
          <w:b/>
          <w:i w:val="0"/>
        </w:rPr>
        <w:t>Pārskatu atsauces datumi</w:t>
      </w:r>
    </w:p>
    <w:p w14:paraId="03A3A4C1" w14:textId="77777777" w:rsidR="00EF57C0" w:rsidRPr="003F3461" w:rsidRDefault="00EF57C0" w:rsidP="004F7144">
      <w:pPr>
        <w:pStyle w:val="NumPar1"/>
        <w:numPr>
          <w:ilvl w:val="0"/>
          <w:numId w:val="42"/>
        </w:numPr>
      </w:pPr>
      <w:r w:rsidRPr="003F3461">
        <w:t>Iestādes kompetentajām iestādēm sniedz informāciju, kāda tā ir šādos pārskatu atsauces datumos:</w:t>
      </w:r>
    </w:p>
    <w:p w14:paraId="37F43E3B" w14:textId="77777777" w:rsidR="00EF57C0" w:rsidRPr="003F3461" w:rsidRDefault="00EF57C0" w:rsidP="00EF57C0">
      <w:pPr>
        <w:pStyle w:val="Point1"/>
      </w:pPr>
      <w:r w:rsidRPr="003F3461">
        <w:t>a)</w:t>
      </w:r>
      <w:r w:rsidRPr="003F3461">
        <w:tab/>
        <w:t>mēneša pārskatus – katra mēneša pēdējā dienā;</w:t>
      </w:r>
    </w:p>
    <w:p w14:paraId="3004272A" w14:textId="77777777" w:rsidR="00EF57C0" w:rsidRPr="003F3461" w:rsidRDefault="00EF57C0" w:rsidP="00EF57C0">
      <w:pPr>
        <w:pStyle w:val="Point1"/>
      </w:pPr>
      <w:r w:rsidRPr="003F3461">
        <w:t>b)</w:t>
      </w:r>
      <w:r w:rsidRPr="003F3461">
        <w:tab/>
        <w:t>ceturkšņa pārskatus – 31. martā, 30. jūnijā, 30. septembrī un 31. decembrī;</w:t>
      </w:r>
    </w:p>
    <w:p w14:paraId="2A5F45E9" w14:textId="77777777" w:rsidR="00EF57C0" w:rsidRPr="003F3461" w:rsidRDefault="00EF57C0" w:rsidP="00EF57C0">
      <w:pPr>
        <w:pStyle w:val="Point1"/>
      </w:pPr>
      <w:r w:rsidRPr="003F3461">
        <w:t>c)</w:t>
      </w:r>
      <w:r w:rsidRPr="003F3461">
        <w:tab/>
        <w:t>pusgada pārskatus – 30. jūnijā un 31. decembrī;</w:t>
      </w:r>
    </w:p>
    <w:p w14:paraId="2409B258" w14:textId="77777777" w:rsidR="00EF57C0" w:rsidRPr="003F3461" w:rsidRDefault="00EF57C0" w:rsidP="00EF57C0">
      <w:pPr>
        <w:pStyle w:val="Point1"/>
      </w:pPr>
      <w:r w:rsidRPr="003F3461">
        <w:t>d)</w:t>
      </w:r>
      <w:r w:rsidRPr="003F3461">
        <w:tab/>
        <w:t>gada pārskatus – 31. decembrī.</w:t>
      </w:r>
    </w:p>
    <w:p w14:paraId="230BA460" w14:textId="77777777" w:rsidR="00EF57C0" w:rsidRPr="003F3461" w:rsidRDefault="00EF57C0" w:rsidP="00EF57C0">
      <w:pPr>
        <w:pStyle w:val="NumPar1"/>
      </w:pPr>
      <w:r w:rsidRPr="003F3461">
        <w:t>Informāciju, kuru sniedz atbilstoši III pielikumā un IV pielikumā noteiktajām veidnēm, ievērojot V pielikumā iekļautās norādes, un kura attiecas uz noteiktu periodu, sniedz kumulatīvi no grāmatvedības gada pirmās dienas līdz atsauces datumam.</w:t>
      </w:r>
    </w:p>
    <w:p w14:paraId="10ADB884" w14:textId="77777777" w:rsidR="00EF57C0" w:rsidRPr="003F3461" w:rsidRDefault="00EF57C0" w:rsidP="00EF57C0">
      <w:pPr>
        <w:pStyle w:val="NumPar1"/>
      </w:pPr>
      <w:r w:rsidRPr="003F3461">
        <w:t>Ja iestādēm valsts tiesību aktos ir ļauts sniegt savu finanšu informāciju, balstoties uz to grāmatvedības gada beigām, kas atšķiras no kalendārā gada, pārskatu atsauces datumus var attiecīgi pielāgot tā, lai pārskatus par finanšu informāciju un par informāciju, kuras mērķis ir identificēt globāli sistēmiski nozīmīgas iestādes (G-SNI) un noteikt G-SNI rezervju normas, sniegtu attiecīgi ik pēc trim, sešiem vai divpadsmit mēnešiem no to grāmatvedības gada beigām.</w:t>
      </w:r>
    </w:p>
    <w:p w14:paraId="738C57EC" w14:textId="77777777" w:rsidR="00EF57C0" w:rsidRPr="003F3461" w:rsidRDefault="00EF57C0" w:rsidP="00EF57C0">
      <w:pPr>
        <w:pStyle w:val="Titrearticle"/>
      </w:pPr>
      <w:r w:rsidRPr="003F3461">
        <w:t>3. pants</w:t>
      </w:r>
    </w:p>
    <w:p w14:paraId="6A15ECDF" w14:textId="77777777" w:rsidR="00EF57C0" w:rsidRPr="003F3461" w:rsidRDefault="00EF57C0" w:rsidP="00EF57C0">
      <w:pPr>
        <w:pStyle w:val="Titrearticle"/>
        <w:spacing w:before="120"/>
        <w:rPr>
          <w:b/>
          <w:i w:val="0"/>
        </w:rPr>
      </w:pPr>
      <w:r w:rsidRPr="003F3461">
        <w:rPr>
          <w:b/>
          <w:i w:val="0"/>
        </w:rPr>
        <w:t>Pārskatu nosūtīšanas datumi</w:t>
      </w:r>
    </w:p>
    <w:p w14:paraId="662D15D4" w14:textId="77777777" w:rsidR="00EF57C0" w:rsidRPr="003F3461" w:rsidRDefault="00EF57C0" w:rsidP="004F7144">
      <w:pPr>
        <w:pStyle w:val="NumPar1"/>
        <w:numPr>
          <w:ilvl w:val="0"/>
          <w:numId w:val="13"/>
        </w:numPr>
      </w:pPr>
      <w:r w:rsidRPr="003F3461">
        <w:t>Iestādes sniedz kompetentajām iestādēm informāciju līdz darba dienas beigām šādos nosūtīšanas datumos:</w:t>
      </w:r>
    </w:p>
    <w:p w14:paraId="6AAB58A7" w14:textId="77777777" w:rsidR="00EF57C0" w:rsidRPr="003F3461" w:rsidRDefault="00EF57C0" w:rsidP="00EF57C0">
      <w:pPr>
        <w:pStyle w:val="Point1"/>
      </w:pPr>
      <w:r w:rsidRPr="003F3461">
        <w:t>a)</w:t>
      </w:r>
      <w:r w:rsidRPr="003F3461">
        <w:tab/>
        <w:t>mēneša pārskatus – 15. kalendārajā dienā pēc pārskatu atsauces datuma;</w:t>
      </w:r>
    </w:p>
    <w:p w14:paraId="4A74FB6C" w14:textId="77777777" w:rsidR="00EF57C0" w:rsidRPr="003F3461" w:rsidRDefault="00EF57C0" w:rsidP="00EF57C0">
      <w:pPr>
        <w:pStyle w:val="Point1"/>
      </w:pPr>
      <w:r w:rsidRPr="003F3461">
        <w:t>b)</w:t>
      </w:r>
      <w:r w:rsidRPr="003F3461">
        <w:tab/>
        <w:t>ceturkšņa pārskatus – 12. maijā, 11. augustā, 11. novembrī un 11. februārī;</w:t>
      </w:r>
    </w:p>
    <w:p w14:paraId="04DE48A3" w14:textId="77777777" w:rsidR="00EF57C0" w:rsidRPr="003F3461" w:rsidRDefault="00EF57C0" w:rsidP="00EF57C0">
      <w:pPr>
        <w:pStyle w:val="Point1"/>
      </w:pPr>
      <w:r w:rsidRPr="003F3461">
        <w:t>c)</w:t>
      </w:r>
      <w:r w:rsidRPr="003F3461">
        <w:tab/>
        <w:t>pusgada pārskatus – 11. augustā un 11. februārī;</w:t>
      </w:r>
    </w:p>
    <w:p w14:paraId="5E9545FE" w14:textId="77777777" w:rsidR="00EF57C0" w:rsidRPr="003F3461" w:rsidRDefault="00EF57C0" w:rsidP="00EF57C0">
      <w:pPr>
        <w:pStyle w:val="Point1"/>
      </w:pPr>
      <w:r w:rsidRPr="003F3461">
        <w:t>d)</w:t>
      </w:r>
      <w:r w:rsidRPr="003F3461">
        <w:tab/>
        <w:t>gada pārskatus – 11. februārī.</w:t>
      </w:r>
    </w:p>
    <w:p w14:paraId="1FAB04A1" w14:textId="77777777" w:rsidR="00EF57C0" w:rsidRPr="003F3461" w:rsidRDefault="00EF57C0" w:rsidP="00EF57C0">
      <w:pPr>
        <w:pStyle w:val="NumPar1"/>
      </w:pPr>
      <w:r w:rsidRPr="003F3461">
        <w:t>Ja nosūtīšanas datums ir brīvdiena tās kompetentās iestādes dalībvalstī, kurai pārskats ir sniedzams, vai arī sestdiena vai svētdiena, datus sniedz nākamajā darba dienā.</w:t>
      </w:r>
    </w:p>
    <w:p w14:paraId="7EDD68C7" w14:textId="77777777" w:rsidR="00EF57C0" w:rsidRPr="003F3461" w:rsidRDefault="00EF57C0" w:rsidP="00EF57C0">
      <w:pPr>
        <w:pStyle w:val="NumPar1"/>
      </w:pPr>
      <w:r w:rsidRPr="003F3461">
        <w:t xml:space="preserve">Ja iestādes sniedz pārskatu par to finanšu informāciju vai informāciju, kuras mērķis ir identificēt G-SNI un noteikt G-SNI rezervju normas, izmantojot pielāgotus pārskatu atsauces datumus, kas balstīti uz to grāmatvedības gada beigām, kā noteikts 2. panta </w:t>
      </w:r>
      <w:r w:rsidRPr="003F3461">
        <w:lastRenderedPageBreak/>
        <w:t>3. punktā, nosūtīšanas datumus arī var attiecīgi pielāgot, lai tiktu saglabāts tas pats nosūtīšanas periods no pielāgotā pārskatu atsauces datuma.</w:t>
      </w:r>
    </w:p>
    <w:p w14:paraId="0F09A7C3" w14:textId="77777777" w:rsidR="00EF57C0" w:rsidRPr="003F3461" w:rsidRDefault="00EF57C0" w:rsidP="00EF57C0">
      <w:pPr>
        <w:pStyle w:val="NumPar1"/>
      </w:pPr>
      <w:r w:rsidRPr="003F3461">
        <w:t>Iestādes var iesniegt nerevidētus datus. Ja revidētie dati atšķiras no iesniegtajiem nerevidētajiem datiem, pārskatītos revidētos datus iesniedz bez liekas kavēšanās. Nerevidēti dati ir dati, par kuriem nav sniegts ārēja revidenta atzinums, savukārt revidēti dati ir dati, kuru revīziju ir veicis ārējs revidents, kas sniedz revīzijas atzinumu.</w:t>
      </w:r>
    </w:p>
    <w:p w14:paraId="007594EC" w14:textId="77777777" w:rsidR="00EF57C0" w:rsidRPr="003F3461" w:rsidRDefault="00EF57C0" w:rsidP="00EF57C0">
      <w:pPr>
        <w:pStyle w:val="NumPar1"/>
      </w:pPr>
      <w:r w:rsidRPr="003F3461">
        <w:t>Citus labojumus iesniegtajos pārskatos arī iesniedz kompetentajām iestādēm bez liekas kavēšanās.</w:t>
      </w:r>
    </w:p>
    <w:p w14:paraId="39DED43D" w14:textId="77777777" w:rsidR="00EF57C0" w:rsidRPr="003F3461" w:rsidRDefault="00EF57C0" w:rsidP="00EF57C0">
      <w:pPr>
        <w:pStyle w:val="Titrearticle"/>
      </w:pPr>
      <w:r w:rsidRPr="003F3461">
        <w:fldChar w:fldCharType="begin"/>
      </w:r>
      <w:r w:rsidRPr="003F3461">
        <w:instrText xml:space="preserve"> seq article </w:instrText>
      </w:r>
      <w:r w:rsidRPr="003F3461">
        <w:fldChar w:fldCharType="separate"/>
      </w:r>
      <w:r w:rsidRPr="003F3461">
        <w:t>4</w:t>
      </w:r>
      <w:r w:rsidRPr="003F3461">
        <w:fldChar w:fldCharType="end"/>
      </w:r>
      <w:r w:rsidRPr="003F3461">
        <w:t>. pants</w:t>
      </w:r>
    </w:p>
    <w:p w14:paraId="3480EBF9" w14:textId="77777777" w:rsidR="00EF57C0" w:rsidRPr="003F3461" w:rsidRDefault="00EF57C0" w:rsidP="00EF57C0">
      <w:pPr>
        <w:pStyle w:val="Titrearticle"/>
        <w:spacing w:before="120"/>
        <w:rPr>
          <w:b/>
          <w:i w:val="0"/>
        </w:rPr>
      </w:pPr>
      <w:r w:rsidRPr="003F3461">
        <w:rPr>
          <w:b/>
          <w:i w:val="0"/>
        </w:rPr>
        <w:t>Pārskatu sniegšanas sliekšņi – iekļaušanas un izslēgšanas kritēriji</w:t>
      </w:r>
    </w:p>
    <w:p w14:paraId="50E97D28" w14:textId="77777777" w:rsidR="00EF57C0" w:rsidRPr="003F3461" w:rsidRDefault="00EF57C0" w:rsidP="004F7144">
      <w:pPr>
        <w:pStyle w:val="NumPar1"/>
        <w:numPr>
          <w:ilvl w:val="0"/>
          <w:numId w:val="12"/>
        </w:numPr>
      </w:pPr>
      <w:r w:rsidRPr="003F3461">
        <w:t>Iestādes, kas atbilst Regulas (ES) Nr. 575/2013 4. panta 1. punkta 145) apakšpunktā paredzētajiem nosacījumiem, sāk sniegt informāciju kā mazas un nesarežģītas iestādes pirmajā pārskatu atsauces datumā pēc tam, kad ir izpildīti minētie nosacījumi. Ja iestādes vairs neatbilst minētajiem nosacījumiem, tās pārtrauc sniegt informāciju pirmajā sekojošajā pārskatu atsauces datumā.</w:t>
      </w:r>
    </w:p>
    <w:p w14:paraId="28734F3C" w14:textId="77777777" w:rsidR="00EF57C0" w:rsidRPr="003F3461" w:rsidRDefault="00EF57C0" w:rsidP="00EF57C0">
      <w:pPr>
        <w:pStyle w:val="NumPar1"/>
      </w:pPr>
      <w:r w:rsidRPr="003F3461">
        <w:t>Iestādes, kas atbilst Regulas (ES) Nr. 575/2013 4. panta 1. punkta 146) apakšpunktā paredzētajiem nosacījumiem, sāk sniegt informāciju kā lielas iestādes pirmajā pārskatu atsauces datumā pēc tam, kad ir izpildīti minētie nosacījumi. Ja iestādes vairs neatbilst minētajiem nosacījumiem, tās pārtrauc sniegt informāciju pirmajā sekojošajā pārskatu atsauces datumā.</w:t>
      </w:r>
    </w:p>
    <w:p w14:paraId="6AB37342" w14:textId="77777777" w:rsidR="00EF57C0" w:rsidRPr="003F3461" w:rsidRDefault="00EF57C0" w:rsidP="00EF57C0">
      <w:pPr>
        <w:pStyle w:val="NumPar1"/>
      </w:pPr>
      <w:r w:rsidRPr="003F3461">
        <w:t>Iestādes sāk sniegt informāciju, uz kuru attiecas šajā regulā noteiktie sliekšņi, no nākamā pārskatu atsauces datuma pēc tam, kad tās ir pārsniegušas minētos sliekšņus divos secīgos pārskatu atsauces datumos. Iestādes var pārtraukt sniegt informāciju, uz kuru attiecas šajā regulā noteiktie sliekšņi, no nākamā pārskatu atsauces datuma, ja tās nav pārsniegušas attiecīgos sliekšņus trijos secīgos pārskatu atsauces datumos.</w:t>
      </w:r>
    </w:p>
    <w:p w14:paraId="0159893E" w14:textId="77777777" w:rsidR="00EF57C0" w:rsidRPr="003F3461" w:rsidRDefault="00EF57C0" w:rsidP="00EF57C0">
      <w:pPr>
        <w:pStyle w:val="Titrearticle"/>
      </w:pPr>
      <w:r w:rsidRPr="003F3461">
        <w:fldChar w:fldCharType="begin"/>
      </w:r>
      <w:r w:rsidRPr="003F3461">
        <w:instrText xml:space="preserve"> seq article </w:instrText>
      </w:r>
      <w:r w:rsidRPr="003F3461">
        <w:fldChar w:fldCharType="separate"/>
      </w:r>
      <w:r w:rsidRPr="003F3461">
        <w:t>5</w:t>
      </w:r>
      <w:r w:rsidRPr="003F3461">
        <w:fldChar w:fldCharType="end"/>
      </w:r>
      <w:r w:rsidRPr="003F3461">
        <w:t>. pants</w:t>
      </w:r>
    </w:p>
    <w:p w14:paraId="62F2AFF7" w14:textId="77777777" w:rsidR="00EF57C0" w:rsidRPr="003F3461" w:rsidRDefault="00EF57C0" w:rsidP="00EF57C0">
      <w:pPr>
        <w:pStyle w:val="Titrearticle"/>
        <w:spacing w:before="120"/>
        <w:rPr>
          <w:b/>
          <w:i w:val="0"/>
        </w:rPr>
      </w:pPr>
      <w:r w:rsidRPr="003F3461">
        <w:rPr>
          <w:b/>
          <w:i w:val="0"/>
        </w:rPr>
        <w:t xml:space="preserve">Pārskatu sniegšana individuālā līmenī par pašu kapitālu un pašu kapitāla prasībām – ceturkšņa pārskati </w:t>
      </w:r>
    </w:p>
    <w:p w14:paraId="13558986" w14:textId="77777777" w:rsidR="00EF57C0" w:rsidRPr="003F3461" w:rsidRDefault="00EF57C0" w:rsidP="004F7144">
      <w:pPr>
        <w:pStyle w:val="NumPar1"/>
        <w:numPr>
          <w:ilvl w:val="0"/>
          <w:numId w:val="14"/>
        </w:numPr>
      </w:pPr>
      <w:r w:rsidRPr="003F3461">
        <w:t>Lai individuālā līmenī sniegtu informāciju par pašu kapitālu un pašu kapitāla prasībām saskaņā ar Regulas (ES) Nr. 575/2013 430. panta 1. punkta a) apakšpunktu, iestādes šajā pantā minēto informāciju iesniedz reizi ceturksnī.</w:t>
      </w:r>
    </w:p>
    <w:p w14:paraId="5389A31C" w14:textId="77777777" w:rsidR="00EF57C0" w:rsidRPr="003F3461" w:rsidRDefault="00EF57C0" w:rsidP="00EF57C0">
      <w:pPr>
        <w:pStyle w:val="NumPar1"/>
      </w:pPr>
      <w:r w:rsidRPr="003F3461">
        <w:t>Iestādes iesniedz I pielikuma 1.–5. veidnē noteikto informāciju par pašu kapitālu un pašu kapitāla prasībām, ievērojot II pielikuma II daļas 1. punktā iekļautās norādes.</w:t>
      </w:r>
    </w:p>
    <w:p w14:paraId="6243434F" w14:textId="77777777" w:rsidR="00EF57C0" w:rsidRPr="003F3461" w:rsidRDefault="00EF57C0" w:rsidP="00EF57C0">
      <w:pPr>
        <w:pStyle w:val="NumPar1"/>
      </w:pPr>
      <w:r w:rsidRPr="003F3461">
        <w:t>Iestādes iesniedz I pielikuma 7. veidnē noteikto informāciju par kredītriska un darījuma partnera kredītriska darījumiem, kam piemēro standartizēto pieeju, ievērojot II pielikuma II daļas 3.2. punktā iekļautās norādes.</w:t>
      </w:r>
    </w:p>
    <w:p w14:paraId="497A1B3E" w14:textId="77777777" w:rsidR="00EF57C0" w:rsidRPr="003F3461" w:rsidRDefault="00EF57C0" w:rsidP="00EF57C0">
      <w:pPr>
        <w:pStyle w:val="NumPar1"/>
      </w:pPr>
      <w:r w:rsidRPr="003F3461">
        <w:t>Iestādes iesniedz I pielikuma 8.1. un 8.2. veidnē noteikto informāciju par kredītrisku un darījuma partnera kredītriska darījumiem, kam piemēro uz iekšējiem reitingiem balstīto pieeju, ievērojot II pielikuma II daļas 3.3. punktā iekļautās norādes.</w:t>
      </w:r>
    </w:p>
    <w:p w14:paraId="6C7408CA" w14:textId="77777777" w:rsidR="00EF57C0" w:rsidRPr="003F3461" w:rsidRDefault="00EF57C0" w:rsidP="00EF57C0">
      <w:pPr>
        <w:pStyle w:val="NumPar1"/>
      </w:pPr>
      <w:r w:rsidRPr="003F3461">
        <w:t xml:space="preserve">Iestādes iesniedz I pielikuma 9. veidnē noteikto informāciju par riska darījumu ģeogrāfisko sadalījumu pa valstīm, kā arī apkopotajiem riska darījumiem kopējā līmenī, ievērojot II pielikuma II daļas 3.4. punktā iekļautās norādes. </w:t>
      </w:r>
    </w:p>
    <w:p w14:paraId="3A822378" w14:textId="77777777" w:rsidR="00EF57C0" w:rsidRPr="003F3461" w:rsidRDefault="00EF57C0" w:rsidP="00EF57C0">
      <w:pPr>
        <w:pStyle w:val="Text1"/>
      </w:pPr>
      <w:r w:rsidRPr="003F3461">
        <w:lastRenderedPageBreak/>
        <w:t xml:space="preserve">Iestādes iesniedz 9.1. un 9.2. veidnē noteikto informāciju un jo īpaši informāciju par riska darījumu ģeogrāfisko sadalījumu pa valstīm, ja sākotnējā riska darījumu vērtība ārpus dalībvalsts visās valstīs, kuras nav dalībvalstis, visās riska darījumu kategorijās, kas uzrādīta I pielikuma 4. veidnes 0850. rindā, ir vienāda ar vai lielāka par 10 % no sākotnējās riska darījumu vērtības dalībvalstī un ārpus dalībvalsts, kas uzrādīta I pielikuma 4. veidnes 860. rindā. Riska darījumus uzskata par riska darījumiem dalībvalstī, ja tie ir riska darījumi ar darījumu partneriem, kas atrodas tajā dalībvalstī, kurā iestāde veic uzņēmējdarbību. </w:t>
      </w:r>
    </w:p>
    <w:p w14:paraId="2D9796A0" w14:textId="77777777" w:rsidR="00EF57C0" w:rsidRPr="003F3461" w:rsidRDefault="00EF57C0" w:rsidP="00EF57C0">
      <w:pPr>
        <w:pStyle w:val="Text1"/>
      </w:pPr>
      <w:r w:rsidRPr="003F3461">
        <w:t>Piemēro 4. pantā minētos iekļaušanas un izslēgšanas kritērijus.</w:t>
      </w:r>
    </w:p>
    <w:p w14:paraId="2B7A3E69" w14:textId="77777777" w:rsidR="00EF57C0" w:rsidRPr="003F3461" w:rsidRDefault="00EF57C0" w:rsidP="00EF57C0">
      <w:pPr>
        <w:pStyle w:val="NumPar1"/>
      </w:pPr>
      <w:r w:rsidRPr="003F3461">
        <w:t>Iestādes iesniedz I pielikuma 34.01. līdz 34.05. veidnē un 34.08. līdz 34.10. veidnē noteikto informāciju par darījuma partnera kredītrisku, ievērojot II pielikuma II daļas 3.9. punktā iekļautās norādes.</w:t>
      </w:r>
    </w:p>
    <w:p w14:paraId="0BB90429" w14:textId="77777777" w:rsidR="00EF57C0" w:rsidRPr="003F3461" w:rsidRDefault="00EF57C0" w:rsidP="00EF57C0">
      <w:pPr>
        <w:pStyle w:val="NumPar1"/>
      </w:pPr>
      <w:r w:rsidRPr="003F3461">
        <w:t>Iestādes, kas darījuma partnera kredītriska darījumu vērtības aprēķināšanai piemēro standartizēto pieeju vai iekšējā modeļa metodi saskaņā ar Regulas (ES) Nr. 575/2013 trešās daļas II sadaļas 6. nodaļas 3. un 6. iedaļu, iesniedz I pielikuma 34.06. veidnē noteikto informāciju par darījuma partnera kredītrisku, ievērojot II pielikuma II daļas 3.9.7. punktā iekļautās norādes.</w:t>
      </w:r>
    </w:p>
    <w:p w14:paraId="53E14D58" w14:textId="77777777" w:rsidR="00EF57C0" w:rsidRPr="003F3461" w:rsidRDefault="00EF57C0" w:rsidP="00EF57C0">
      <w:pPr>
        <w:pStyle w:val="NumPar1"/>
      </w:pPr>
      <w:r w:rsidRPr="003F3461">
        <w:t>Iestādes iesniedz I pielikuma 10. veidnē noteikto informāciju par kapitāla vērtspapīru riska darījumiem, kam piemēro uz iekšējiem reitingiem balstīto pieeju, ievērojot II pielikuma II daļas 3.5. punktā iekļautās norādes.</w:t>
      </w:r>
    </w:p>
    <w:p w14:paraId="05610882" w14:textId="77777777" w:rsidR="00EF57C0" w:rsidRPr="003F3461" w:rsidRDefault="00EF57C0" w:rsidP="00EF57C0">
      <w:pPr>
        <w:pStyle w:val="NumPar1"/>
      </w:pPr>
      <w:r w:rsidRPr="003F3461">
        <w:t>Iestādes iesniedz I pielikuma 11. veidnē noteikto informāciju par norēķinu risku, ievērojot II pielikuma II daļas 3.6. punktā iekļautās norādes.</w:t>
      </w:r>
    </w:p>
    <w:p w14:paraId="7690070A" w14:textId="77777777" w:rsidR="00EF57C0" w:rsidRPr="003F3461" w:rsidRDefault="00EF57C0" w:rsidP="00EF57C0">
      <w:pPr>
        <w:pStyle w:val="NumPar1"/>
      </w:pPr>
      <w:r w:rsidRPr="003F3461">
        <w:t>Iestādes iesniedz I pielikuma 13.01. veidnē noteikto informāciju par vērtspapīrošanas riska darījumiem, ievērojot II pielikuma II daļas 3.7. punktā iekļautās norādes.</w:t>
      </w:r>
    </w:p>
    <w:p w14:paraId="0E6B0418" w14:textId="77777777" w:rsidR="00EF57C0" w:rsidRPr="003F3461" w:rsidRDefault="00EF57C0" w:rsidP="00EF57C0">
      <w:pPr>
        <w:pStyle w:val="NumPar1"/>
      </w:pPr>
      <w:r w:rsidRPr="003F3461">
        <w:t>Iestādes iesniedz I pielikuma 16. veidnē noteikto informāciju par pašu kapitāla prasībām un zaudējumiem saistībā ar operacionālo risku, ievērojot II pielikuma II daļas 4.1. punktā iekļautās norādes.</w:t>
      </w:r>
    </w:p>
    <w:p w14:paraId="3A88D121" w14:textId="77777777" w:rsidR="00EF57C0" w:rsidRPr="003F3461" w:rsidRDefault="00EF57C0" w:rsidP="00EF57C0">
      <w:pPr>
        <w:pStyle w:val="NumPar1"/>
      </w:pPr>
      <w:r w:rsidRPr="003F3461">
        <w:t>Iestādes iesniedz I pielikuma 18. līdz 24. veidnē noteikto informāciju par pašu kapitāla prasībām attiecībā uz tirgus risku, ievērojot II pielikuma II daļas 5.1. līdz 5.7. punktā iekļautās norādes.</w:t>
      </w:r>
    </w:p>
    <w:p w14:paraId="2DCBB29C" w14:textId="77777777" w:rsidR="00EF57C0" w:rsidRPr="003F3461" w:rsidRDefault="00EF57C0" w:rsidP="00EF57C0">
      <w:pPr>
        <w:pStyle w:val="NumPar1"/>
      </w:pPr>
      <w:r w:rsidRPr="003F3461">
        <w:t>Iestādes iesniedz I pielikuma 25. veidnē noteikto informāciju par pašu kapitāla prasībām attiecībā uz kredīta vērtības korekcijas risku, ievērojot II pielikuma II daļas 5.8. punktā iekļautās norādes.</w:t>
      </w:r>
    </w:p>
    <w:p w14:paraId="7A8FD96B" w14:textId="77777777" w:rsidR="00EF57C0" w:rsidRPr="003F3461" w:rsidRDefault="00EF57C0" w:rsidP="00EF57C0">
      <w:pPr>
        <w:pStyle w:val="NumPar1"/>
      </w:pPr>
      <w:r w:rsidRPr="003F3461">
        <w:t>Iestādes iesniedz I pielikuma 32. veidnē noteikto informāciju par piesardzīgu vērtēšanu, ievērojot II pielikuma II daļas 6. punktā iekļautās norādes, šādi:</w:t>
      </w:r>
    </w:p>
    <w:p w14:paraId="7B94DA66" w14:textId="77777777" w:rsidR="00EF57C0" w:rsidRPr="003F3461" w:rsidRDefault="00EF57C0" w:rsidP="00EF57C0">
      <w:pPr>
        <w:pStyle w:val="Point1"/>
      </w:pPr>
      <w:r w:rsidRPr="003F3461">
        <w:t>a)</w:t>
      </w:r>
      <w:r w:rsidRPr="003F3461">
        <w:tab/>
        <w:t>visas iestādes iesniedz I pielikuma 32.1. veidnē noteikto informāciju, ievērojot II pielikuma II daļas 6. punktā iekļautās norādes;</w:t>
      </w:r>
    </w:p>
    <w:p w14:paraId="188B7710" w14:textId="77777777" w:rsidR="00EF57C0" w:rsidRPr="003F3461" w:rsidRDefault="00EF57C0" w:rsidP="00EF57C0">
      <w:pPr>
        <w:pStyle w:val="Point1"/>
      </w:pPr>
      <w:r w:rsidRPr="003F3461">
        <w:t>b)</w:t>
      </w:r>
      <w:r w:rsidRPr="003F3461">
        <w:tab/>
        <w:t>iestādes, kas piemēro pamatpieeju saskaņā ar Komisijas Deleģēto regulu (ES) 2016/101</w:t>
      </w:r>
      <w:r w:rsidRPr="003F3461">
        <w:rPr>
          <w:rStyle w:val="FootnoteReference"/>
        </w:rPr>
        <w:footnoteReference w:id="9"/>
      </w:r>
      <w:r w:rsidRPr="003F3461">
        <w:t>, papildus šā punkta a) apakšpunktā minētajai informācijai sniedz I pielikuma 32.2. veidnē noteikto informāciju, ievērojot II pielikuma II daļas 6. punktā iekļautās norādes;</w:t>
      </w:r>
    </w:p>
    <w:p w14:paraId="39636BF7" w14:textId="77777777" w:rsidR="00EF57C0" w:rsidRPr="003F3461" w:rsidRDefault="00EF57C0" w:rsidP="00EF57C0">
      <w:pPr>
        <w:pStyle w:val="Point1"/>
      </w:pPr>
      <w:r w:rsidRPr="003F3461">
        <w:lastRenderedPageBreak/>
        <w:t>c)</w:t>
      </w:r>
      <w:r w:rsidRPr="003F3461">
        <w:tab/>
        <w:t>iestādes, kas piemēro pamatpieeju saskaņā ar Komisijas Deleģēto regulu (ES) 2016/101 un kas pārsniedz minētās regulas 4. panta 1. punktā noteikto robežvērtību, papildus šā punkta a) un b) apakšpunktā minētajai informācijai sniedz I pielikuma 32.3. un 32.4. veidnē noteikto informāciju, ievērojot II pielikuma II daļas 6. punktā iekļautās norādes.</w:t>
      </w:r>
    </w:p>
    <w:p w14:paraId="3631C3B0" w14:textId="77777777" w:rsidR="00EF57C0" w:rsidRPr="003F3461" w:rsidRDefault="00EF57C0" w:rsidP="00EF57C0">
      <w:pPr>
        <w:pStyle w:val="Text1"/>
      </w:pPr>
      <w:r w:rsidRPr="003F3461">
        <w:t>Šā punkta vajadzībām nepiemēro 4. pantā noteiktos iekļaušanas un izslēgšanas kritērijus.</w:t>
      </w:r>
    </w:p>
    <w:p w14:paraId="2E2D126D" w14:textId="77777777" w:rsidR="00EF57C0" w:rsidRPr="003F3461" w:rsidRDefault="00EF57C0" w:rsidP="00EF57C0">
      <w:pPr>
        <w:pStyle w:val="NumPar1"/>
      </w:pPr>
      <w:r w:rsidRPr="003F3461">
        <w:t>Iestādes iesniedz I pielikuma 35.01., 35.02. un 35.03. veidnē noteikto informāciju par prudenciālo atbalsta mehānismu ieņēmumus nenesošiem riska darījumiem (</w:t>
      </w:r>
      <w:r w:rsidRPr="003F3461">
        <w:rPr>
          <w:i/>
          <w:iCs/>
        </w:rPr>
        <w:t>NPE</w:t>
      </w:r>
      <w:r w:rsidRPr="003F3461">
        <w:t>), ievērojot II pielikuma II daļas 8. punktā iekļautās norādes.</w:t>
      </w:r>
    </w:p>
    <w:p w14:paraId="1228B11F" w14:textId="77777777" w:rsidR="00EF57C0" w:rsidRPr="003F3461" w:rsidRDefault="00EF57C0" w:rsidP="00EF57C0">
      <w:pPr>
        <w:pStyle w:val="Titrearticle"/>
      </w:pPr>
      <w:r w:rsidRPr="003F3461">
        <w:fldChar w:fldCharType="begin"/>
      </w:r>
      <w:r w:rsidRPr="003F3461">
        <w:instrText xml:space="preserve"> seq article </w:instrText>
      </w:r>
      <w:r w:rsidRPr="003F3461">
        <w:fldChar w:fldCharType="separate"/>
      </w:r>
      <w:r w:rsidRPr="003F3461">
        <w:t>6</w:t>
      </w:r>
      <w:r w:rsidRPr="003F3461">
        <w:fldChar w:fldCharType="end"/>
      </w:r>
      <w:r w:rsidRPr="003F3461">
        <w:t xml:space="preserve">. pants </w:t>
      </w:r>
    </w:p>
    <w:p w14:paraId="3E1FBDB7" w14:textId="77777777" w:rsidR="00EF57C0" w:rsidRPr="003F3461" w:rsidRDefault="00EF57C0" w:rsidP="00EF57C0">
      <w:pPr>
        <w:pStyle w:val="Titrearticle"/>
        <w:rPr>
          <w:b/>
          <w:i w:val="0"/>
        </w:rPr>
      </w:pPr>
      <w:r w:rsidRPr="003F3461">
        <w:rPr>
          <w:b/>
          <w:i w:val="0"/>
        </w:rPr>
        <w:t xml:space="preserve">Pārskatu sniegšana individuālā līmenī par pašu kapitālu un pašu kapitāla prasībām – pusgada pārskati </w:t>
      </w:r>
    </w:p>
    <w:p w14:paraId="62BDEBF2" w14:textId="77777777" w:rsidR="00EF57C0" w:rsidRPr="003F3461" w:rsidRDefault="00EF57C0" w:rsidP="004F7144">
      <w:pPr>
        <w:pStyle w:val="NumPar1"/>
        <w:numPr>
          <w:ilvl w:val="0"/>
          <w:numId w:val="11"/>
        </w:numPr>
      </w:pPr>
      <w:r w:rsidRPr="003F3461">
        <w:t xml:space="preserve">Lai individuālā līmenī sniegtu informāciju par pašu kapitālu un pašu kapitāla prasībām saskaņā ar Regulas (ES) Nr. 575/2013 430. panta 1. punkta a) apakšpunktu, iestādes šajā pantā minēto informāciju iesniedz reizi pusgadā. </w:t>
      </w:r>
    </w:p>
    <w:p w14:paraId="2B119448" w14:textId="77777777" w:rsidR="00EF57C0" w:rsidRPr="003F3461" w:rsidRDefault="00EF57C0" w:rsidP="00EF57C0">
      <w:pPr>
        <w:pStyle w:val="NumPar1"/>
      </w:pPr>
      <w:r w:rsidRPr="003F3461">
        <w:t>Iestādes iesniedz I pielikuma 14. un 14.01. veidnē noteikto informāciju par visiem vērtspapīrošanas riska darījumiem, ievērojot II pielikuma II daļas 3.8. punktā iekļautās norādes, izņemot gadījumus, kad tās pieder pie grupas tajā pašā valstī, kurā uz tām attiecas pašu kapitāla prasības.</w:t>
      </w:r>
    </w:p>
    <w:p w14:paraId="5C72612D" w14:textId="77777777" w:rsidR="00EF57C0" w:rsidRPr="003F3461" w:rsidRDefault="00EF57C0" w:rsidP="00EF57C0">
      <w:pPr>
        <w:pStyle w:val="NumPar1"/>
      </w:pPr>
      <w:r w:rsidRPr="003F3461">
        <w:t>Iestādes informāciju par riska darījumiem ar valsti iesniedz šādi:</w:t>
      </w:r>
    </w:p>
    <w:p w14:paraId="2B06DF14" w14:textId="77777777" w:rsidR="00EF57C0" w:rsidRPr="003F3461" w:rsidRDefault="00EF57C0" w:rsidP="00EF57C0">
      <w:pPr>
        <w:pStyle w:val="Point1"/>
      </w:pPr>
      <w:r w:rsidRPr="003F3461">
        <w:t>a)</w:t>
      </w:r>
      <w:r w:rsidRPr="003F3461">
        <w:tab/>
        <w:t>ja darījumu partnera sektora “Vispārējās valdības” finanšu aktīvu kopējā uzskaites vērtība ir vienāda ar vai lielāka par 1 % no “Parāda vērtspapīri” un “Aizdevumi un avansi” uzskaites vērtību kopsummas, iestādes iesniedz I pielikuma 33. veidnē noteikto informāciju, ievērojot II pielikuma II daļas 7. punktā iekļautās norādes, un, lai aprēķinātu attiecīgās vērtības, ievēro V pielikumā iekļautās norādes attiecībā uz attiecīgi III vai IV pielikuma 4. veidni;</w:t>
      </w:r>
    </w:p>
    <w:p w14:paraId="41A8D30A" w14:textId="77777777" w:rsidR="00EF57C0" w:rsidRPr="003F3461" w:rsidRDefault="00EF57C0" w:rsidP="00EF57C0">
      <w:pPr>
        <w:pStyle w:val="Point1"/>
      </w:pPr>
      <w:r w:rsidRPr="003F3461">
        <w:t>b)</w:t>
      </w:r>
      <w:r w:rsidRPr="003F3461">
        <w:tab/>
        <w:t>ja vērtība, kura norādīta par riska darījumiem dalībvalstī ar neatvasinātiem finanšu aktīviem, kā noteikts I pielikuma 33. veidnes 010. slejas 010. rindā, ir mazāka par 90 % no vērtības, kas norādīta par riska darījumiem dalībvalstī un ārpus dalībvalsts attiecībā uz to pašu datu punktu, iestādes, kuras atbilst a) apakšpunktā minētajam nosacījumam, iesniedz I pielikuma 33. veidnē noteikto informāciju, ievērojot II pielikuma II daļas 7. punktā iekļautās norādes un norādot pilnīgu sadalījumu pa valstīm;</w:t>
      </w:r>
    </w:p>
    <w:p w14:paraId="04B4F922" w14:textId="77777777" w:rsidR="00EF57C0" w:rsidRPr="003F3461" w:rsidRDefault="00EF57C0" w:rsidP="00EF57C0">
      <w:pPr>
        <w:pStyle w:val="Point1"/>
      </w:pPr>
      <w:r w:rsidRPr="003F3461">
        <w:t>c)</w:t>
      </w:r>
      <w:r w:rsidRPr="003F3461">
        <w:tab/>
        <w:t>iestādes, kas atbilst a) apakšpunktā minētajam nosacījumam, bet neatbilst b) apakšpunktā minētajam nosacījumam, iesniedz 33. veidnē noteikto  informāciju, ievērojot II pielikuma II daļas 7. punktā iekļautās norādes un riska darījumus apkopojot šādi:</w:t>
      </w:r>
    </w:p>
    <w:p w14:paraId="2DC6404E" w14:textId="77777777" w:rsidR="00EF57C0" w:rsidRPr="003F3461" w:rsidRDefault="00EF57C0" w:rsidP="00EF57C0">
      <w:pPr>
        <w:pStyle w:val="Point1"/>
        <w:ind w:firstLine="0"/>
      </w:pPr>
      <w:r w:rsidRPr="003F3461">
        <w:t>i) kopēja līmenī; un</w:t>
      </w:r>
    </w:p>
    <w:p w14:paraId="299DB798" w14:textId="77777777" w:rsidR="00EF57C0" w:rsidRPr="003F3461" w:rsidRDefault="00EF57C0" w:rsidP="00EF57C0">
      <w:pPr>
        <w:pStyle w:val="Point1"/>
        <w:ind w:firstLine="0"/>
      </w:pPr>
      <w:r w:rsidRPr="003F3461">
        <w:t>ii) dalībvalsts līmenī.</w:t>
      </w:r>
    </w:p>
    <w:p w14:paraId="22991218" w14:textId="77777777" w:rsidR="00EF57C0" w:rsidRPr="003F3461" w:rsidRDefault="00EF57C0" w:rsidP="00EF57C0">
      <w:pPr>
        <w:pStyle w:val="Text1"/>
      </w:pPr>
      <w:r w:rsidRPr="003F3461">
        <w:t>Piemēro 4. panta 3. punktā paredzētos iekļaušanas un izslēgšanas kritērijus.</w:t>
      </w:r>
    </w:p>
    <w:p w14:paraId="6557EE52" w14:textId="77777777" w:rsidR="00EF57C0" w:rsidRPr="003F3461" w:rsidRDefault="00EF57C0" w:rsidP="00EF57C0">
      <w:pPr>
        <w:pStyle w:val="NumPar1"/>
      </w:pPr>
      <w:r w:rsidRPr="003F3461">
        <w:t>Informāciju par būtiskiem zaudējumiem attiecībā uz operacionālo risku sniedz šādi:</w:t>
      </w:r>
    </w:p>
    <w:p w14:paraId="795EA431" w14:textId="77777777" w:rsidR="00EF57C0" w:rsidRPr="003F3461" w:rsidRDefault="00EF57C0" w:rsidP="00EF57C0">
      <w:pPr>
        <w:pStyle w:val="Point1"/>
      </w:pPr>
      <w:r w:rsidRPr="003F3461">
        <w:lastRenderedPageBreak/>
        <w:t>a)</w:t>
      </w:r>
      <w:r w:rsidRPr="003F3461">
        <w:tab/>
        <w:t>iestādes, kas pašu kapitāla prasības saistībā ar operacionālo risku aprēķina saskaņā ar Regulas (ES) Nr. 575/2013 trešās daļas III sadaļas 4. nodaļu, sniedz I pielikuma 17.01. un 17.02. veidnē noteikto informāciju, ievērojot II pielikuma II daļas 4.2. punktā iekļautās norādes;</w:t>
      </w:r>
    </w:p>
    <w:p w14:paraId="3ECDD4ED" w14:textId="77777777" w:rsidR="00EF57C0" w:rsidRPr="003F3461" w:rsidRDefault="00EF57C0" w:rsidP="00EF57C0">
      <w:pPr>
        <w:pStyle w:val="Point1"/>
      </w:pPr>
      <w:r w:rsidRPr="003F3461">
        <w:t>b)</w:t>
      </w:r>
      <w:r w:rsidRPr="003F3461">
        <w:tab/>
        <w:t>lielas iestādes, kas pašu kapitāla prasības saistībā ar operacionālo risku aprēķina saskaņā ar Regulas (ES) Nr. 575/2013 trešās daļas III sadaļas 3. nodaļu, sniedz I pielikuma 17.01. un 17.02. veidnē noteikto informāciju, ievērojot II pielikuma II daļas 4.2. punktā iekļautās norādes;</w:t>
      </w:r>
    </w:p>
    <w:p w14:paraId="796E5BF0" w14:textId="77777777" w:rsidR="00EF57C0" w:rsidRPr="003F3461" w:rsidRDefault="00EF57C0" w:rsidP="00EF57C0">
      <w:pPr>
        <w:pStyle w:val="Point1"/>
      </w:pPr>
      <w:r w:rsidRPr="003F3461">
        <w:t>c)</w:t>
      </w:r>
      <w:r w:rsidRPr="003F3461">
        <w:tab/>
        <w:t>iestādes, kas nav lielas iestādes un kas pašu kapitāla prasības saistībā ar operacionālo risku aprēķina saskaņā ar Regulas (ES) Nr. 575/2013 trešās daļas III sadaļas 3. nodaļu, sniedz šādu informāciju, ievērojot II pielikuma II daļas 4.2. punktā iekļautās norādes:</w:t>
      </w:r>
    </w:p>
    <w:p w14:paraId="19CA1035" w14:textId="77777777" w:rsidR="00EF57C0" w:rsidRPr="003F3461" w:rsidRDefault="00EF57C0" w:rsidP="00EF57C0">
      <w:pPr>
        <w:pStyle w:val="Point2"/>
      </w:pPr>
      <w:r w:rsidRPr="003F3461">
        <w:t>i)</w:t>
      </w:r>
      <w:r w:rsidRPr="003F3461">
        <w:tab/>
        <w:t>I pielikuma 17.01. veidnes 0080. slejā noteikto informāciju par šādām rindām:</w:t>
      </w:r>
    </w:p>
    <w:p w14:paraId="77DC8B34" w14:textId="77777777" w:rsidR="00EF57C0" w:rsidRPr="003F3461" w:rsidRDefault="00EF57C0" w:rsidP="00EF57C0">
      <w:pPr>
        <w:pStyle w:val="Point3"/>
      </w:pPr>
      <w:r w:rsidRPr="003F3461">
        <w:t>-</w:t>
      </w:r>
      <w:r w:rsidRPr="003F3461">
        <w:tab/>
        <w:t>notikumu skaits (jauni zaudējumu notikumi) (0910. rinda),</w:t>
      </w:r>
    </w:p>
    <w:p w14:paraId="62D554CE" w14:textId="77777777" w:rsidR="00EF57C0" w:rsidRPr="003F3461" w:rsidRDefault="00EF57C0" w:rsidP="00EF57C0">
      <w:pPr>
        <w:pStyle w:val="Point3"/>
      </w:pPr>
      <w:r w:rsidRPr="003F3461">
        <w:t>-</w:t>
      </w:r>
      <w:r w:rsidRPr="003F3461">
        <w:tab/>
        <w:t>bruto zaudējumu summa (jauni zaudējumu notikumi) (0920. rinda),</w:t>
      </w:r>
    </w:p>
    <w:p w14:paraId="2D235A0C" w14:textId="77777777" w:rsidR="00EF57C0" w:rsidRPr="003F3461" w:rsidRDefault="00EF57C0" w:rsidP="00EF57C0">
      <w:pPr>
        <w:pStyle w:val="Point3"/>
      </w:pPr>
      <w:r w:rsidRPr="003F3461">
        <w:t>-</w:t>
      </w:r>
      <w:r w:rsidRPr="003F3461">
        <w:tab/>
        <w:t>to notikumu skaits, uz kuriem attiecas zaudējumu korekcijas (0930. rinda),</w:t>
      </w:r>
    </w:p>
    <w:p w14:paraId="404257D3" w14:textId="77777777" w:rsidR="00EF57C0" w:rsidRPr="003F3461" w:rsidRDefault="00EF57C0" w:rsidP="00EF57C0">
      <w:pPr>
        <w:pStyle w:val="Point3"/>
      </w:pPr>
      <w:r w:rsidRPr="003F3461">
        <w:t>-</w:t>
      </w:r>
      <w:r w:rsidRPr="003F3461">
        <w:tab/>
        <w:t>zaudējumu korekcijas, kuras attiecas uz iepriekšējiem pārskata periodiem (0940. rinda),</w:t>
      </w:r>
    </w:p>
    <w:p w14:paraId="4C300ED8" w14:textId="77777777" w:rsidR="00EF57C0" w:rsidRPr="003F3461" w:rsidRDefault="00EF57C0" w:rsidP="00EF57C0">
      <w:pPr>
        <w:pStyle w:val="Point3"/>
      </w:pPr>
      <w:r w:rsidRPr="003F3461">
        <w:t>-</w:t>
      </w:r>
      <w:r w:rsidRPr="003F3461">
        <w:tab/>
        <w:t xml:space="preserve">maksimālais atsevišķais zaudējums (0950. rinda), </w:t>
      </w:r>
    </w:p>
    <w:p w14:paraId="6AB66276" w14:textId="77777777" w:rsidR="00EF57C0" w:rsidRPr="003F3461" w:rsidRDefault="00EF57C0" w:rsidP="00EF57C0">
      <w:pPr>
        <w:pStyle w:val="Point3"/>
      </w:pPr>
      <w:r w:rsidRPr="003F3461">
        <w:t>-</w:t>
      </w:r>
      <w:r w:rsidRPr="003F3461">
        <w:tab/>
        <w:t>piecu lielāko zaudējumu summa (0960. rinda),</w:t>
      </w:r>
    </w:p>
    <w:p w14:paraId="71EC3B94" w14:textId="77777777" w:rsidR="00EF57C0" w:rsidRPr="003F3461" w:rsidRDefault="00EF57C0" w:rsidP="00EF57C0">
      <w:pPr>
        <w:pStyle w:val="Point3"/>
      </w:pPr>
      <w:r w:rsidRPr="003F3461">
        <w:t>-</w:t>
      </w:r>
      <w:r w:rsidRPr="003F3461">
        <w:tab/>
        <w:t>zaudējumu tiešo atlīdzinājumu kopsumma (izņemot apdrošināšanu un citus riska pārvešanas mehānismus) (0970. rinda),</w:t>
      </w:r>
    </w:p>
    <w:p w14:paraId="0EB6A07E" w14:textId="77777777" w:rsidR="00EF57C0" w:rsidRPr="003F3461" w:rsidRDefault="00EF57C0" w:rsidP="00EF57C0">
      <w:pPr>
        <w:pStyle w:val="Point3"/>
      </w:pPr>
      <w:r w:rsidRPr="003F3461">
        <w:t>-</w:t>
      </w:r>
      <w:r w:rsidRPr="003F3461">
        <w:tab/>
        <w:t xml:space="preserve">atlīdzinājumu kopsumma no apdrošināšanas un citiem riska pārvešanas mehānismiem (0980. rinda), </w:t>
      </w:r>
    </w:p>
    <w:p w14:paraId="0F37C1D7" w14:textId="77777777" w:rsidR="00EF57C0" w:rsidRPr="003F3461" w:rsidRDefault="00EF57C0" w:rsidP="00EF57C0">
      <w:pPr>
        <w:pStyle w:val="Point2"/>
      </w:pPr>
      <w:r w:rsidRPr="003F3461">
        <w:t>(ii)</w:t>
      </w:r>
      <w:r w:rsidRPr="003F3461">
        <w:tab/>
        <w:t>I pielikuma 17.02. veidnē noteikto informāciju;</w:t>
      </w:r>
    </w:p>
    <w:p w14:paraId="69141431" w14:textId="77777777" w:rsidR="00EF57C0" w:rsidRPr="003F3461" w:rsidRDefault="00EF57C0" w:rsidP="00EF57C0">
      <w:pPr>
        <w:pStyle w:val="Point1"/>
      </w:pPr>
      <w:r w:rsidRPr="003F3461">
        <w:t>d)</w:t>
      </w:r>
      <w:r w:rsidRPr="003F3461">
        <w:tab/>
        <w:t>iestādes, kas minētas c) punktā, var sniegt pārskatu par visu I pielikuma 17.01. un 17.02. veidnē noteiktās informācijas kopumu, ievērojot II pielikuma II daļas 4.2. punktā iekļautās norādes;</w:t>
      </w:r>
    </w:p>
    <w:p w14:paraId="425799C1" w14:textId="77777777" w:rsidR="00EF57C0" w:rsidRPr="003F3461" w:rsidRDefault="00EF57C0" w:rsidP="00EF57C0">
      <w:pPr>
        <w:pStyle w:val="Point1"/>
      </w:pPr>
      <w:r w:rsidRPr="003F3461">
        <w:t>e)</w:t>
      </w:r>
      <w:r w:rsidRPr="003F3461">
        <w:tab/>
        <w:t>lielas iestādes, kas pašu kapitāla prasības saistībā ar operacionālo risku aprēķina saskaņā ar Regulas (ES) Nr. 575/2013 trešās daļas III sadaļas 2. nodaļu, sniedz I pielikuma 17.01. un 17.02. veidnē noteikto informāciju, ievērojot II pielikuma II daļas 4.2. punktā iekļautās norādes;</w:t>
      </w:r>
    </w:p>
    <w:p w14:paraId="35B267EA" w14:textId="77777777" w:rsidR="00EF57C0" w:rsidRPr="003F3461" w:rsidRDefault="00EF57C0" w:rsidP="00EF57C0">
      <w:pPr>
        <w:pStyle w:val="Point1"/>
      </w:pPr>
      <w:r w:rsidRPr="003F3461">
        <w:t>f)</w:t>
      </w:r>
      <w:r w:rsidRPr="003F3461">
        <w:tab/>
        <w:t>iestādes, kas nav lielas iestādes un kas pašu kapitāla prasības saistībā ar operacionālo risku aprēķina saskaņā ar Regulas (ES) Nr. 575/2013 trešās daļas III sadaļas 2. nodaļu, var sniegt I pielikuma 17.01. un 17.02. veidnē noteikto informāciju, ievērojot II pielikuma II daļas 4.2. punktā iekļautās norādes.</w:t>
      </w:r>
    </w:p>
    <w:p w14:paraId="18495DF1" w14:textId="77777777" w:rsidR="00EF57C0" w:rsidRPr="003F3461" w:rsidRDefault="00EF57C0" w:rsidP="00EF57C0">
      <w:pPr>
        <w:pStyle w:val="Text1"/>
      </w:pPr>
      <w:r w:rsidRPr="003F3461">
        <w:t>Piemēro 4. panta 3. punktā paredzētos iekļaušanas un izslēgšanas kritērijus.</w:t>
      </w:r>
    </w:p>
    <w:p w14:paraId="51A5A989" w14:textId="77777777" w:rsidR="00EF57C0" w:rsidRPr="003F3461" w:rsidRDefault="00EF57C0" w:rsidP="00EF57C0">
      <w:pPr>
        <w:pStyle w:val="NumPar1"/>
      </w:pPr>
      <w:r w:rsidRPr="003F3461">
        <w:t xml:space="preserve">Iestādes, kas darījuma partnera kredītriska darījumu vērtības aprēķināšanai piemēro standartizēto pieeju vai sākotnējās riska darījuma vērtības metodi saskaņā ar Regulas (ES) Nr. 575/2013 trešās daļas II sadaļas 6. nodaļas 4. un 5. iedaļu, iesniedz </w:t>
      </w:r>
      <w:r w:rsidRPr="003F3461">
        <w:lastRenderedPageBreak/>
        <w:t>I pielikuma 34.06. veidnē noteikto informāciju par darījuma partnera kredītrisku, ievērojot II pielikuma II daļas 3.9.7. punktā iekļautās norādes.</w:t>
      </w:r>
    </w:p>
    <w:p w14:paraId="5B65D571" w14:textId="77777777" w:rsidR="00EF57C0" w:rsidRPr="003F3461" w:rsidRDefault="00EF57C0" w:rsidP="00EF57C0">
      <w:pPr>
        <w:pStyle w:val="Titrearticle"/>
      </w:pPr>
      <w:r w:rsidRPr="003F3461">
        <w:fldChar w:fldCharType="begin"/>
      </w:r>
      <w:r w:rsidRPr="003F3461">
        <w:instrText xml:space="preserve"> seq article </w:instrText>
      </w:r>
      <w:r w:rsidRPr="003F3461">
        <w:fldChar w:fldCharType="separate"/>
      </w:r>
      <w:r w:rsidRPr="003F3461">
        <w:t>7</w:t>
      </w:r>
      <w:r w:rsidRPr="003F3461">
        <w:fldChar w:fldCharType="end"/>
      </w:r>
      <w:r w:rsidRPr="003F3461">
        <w:t>. pants</w:t>
      </w:r>
    </w:p>
    <w:p w14:paraId="6CBA46BC" w14:textId="77777777" w:rsidR="00EF57C0" w:rsidRPr="003F3461" w:rsidRDefault="00EF57C0" w:rsidP="00EF57C0">
      <w:pPr>
        <w:pStyle w:val="Titrearticle"/>
        <w:spacing w:before="120"/>
        <w:rPr>
          <w:b/>
          <w:i w:val="0"/>
        </w:rPr>
      </w:pPr>
      <w:r w:rsidRPr="003F3461">
        <w:rPr>
          <w:b/>
          <w:i w:val="0"/>
        </w:rPr>
        <w:t>Pārskatu sniegšana konsolidētā līmenī par pašu kapitālu un pašu kapitāla prasībām</w:t>
      </w:r>
    </w:p>
    <w:p w14:paraId="41388FB6" w14:textId="77777777" w:rsidR="00EF57C0" w:rsidRPr="003F3461" w:rsidRDefault="00EF57C0" w:rsidP="00EF57C0">
      <w:pPr>
        <w:widowControl w:val="0"/>
        <w:autoSpaceDE w:val="0"/>
        <w:autoSpaceDN w:val="0"/>
        <w:spacing w:line="228" w:lineRule="auto"/>
      </w:pPr>
      <w:r w:rsidRPr="003F3461">
        <w:t>Lai konsolidētā līmenī sniegtu informāciju par pašu kapitālu un pašu kapitāla prasībām saskaņā ar Regulas (ES) Nr. 575/2013 430. panta 1. punkta a) apakšpunktu, iestādes iesniedz informāciju, kas noteikta:</w:t>
      </w:r>
    </w:p>
    <w:p w14:paraId="31EE04DF" w14:textId="77777777" w:rsidR="00EF57C0" w:rsidRPr="003F3461" w:rsidRDefault="00EF57C0" w:rsidP="00EF57C0">
      <w:pPr>
        <w:pStyle w:val="Point1"/>
      </w:pPr>
      <w:r w:rsidRPr="003F3461">
        <w:t>a)</w:t>
      </w:r>
      <w:r w:rsidRPr="003F3461">
        <w:tab/>
        <w:t>šīs īstenošanas regulas 5. un 6. pantā, konsolidētā līmenī un tajos norādītajā biežumā; un</w:t>
      </w:r>
    </w:p>
    <w:p w14:paraId="133DAAFE" w14:textId="77777777" w:rsidR="00EF57C0" w:rsidRPr="003F3461" w:rsidRDefault="00EF57C0" w:rsidP="00EF57C0">
      <w:pPr>
        <w:pStyle w:val="Point1"/>
      </w:pPr>
      <w:r w:rsidRPr="003F3461">
        <w:t>b)</w:t>
      </w:r>
      <w:r w:rsidRPr="003F3461">
        <w:tab/>
        <w:t>I pielikuma 6. veidnē, ievērojot II pielikuma II daļas 2. punktā iekļautās norādes, attiecībā uz sabiedrībām, kas iekļautas konsolidācijas tvērumā, reizi pusgadā.</w:t>
      </w:r>
    </w:p>
    <w:p w14:paraId="3FD58CCB" w14:textId="77777777" w:rsidR="00EF57C0" w:rsidRPr="003F3461" w:rsidRDefault="00EF57C0" w:rsidP="00EF57C0">
      <w:pPr>
        <w:pStyle w:val="Titrearticle"/>
      </w:pPr>
      <w:r w:rsidRPr="003F3461">
        <w:t>8. pants</w:t>
      </w:r>
    </w:p>
    <w:p w14:paraId="7E871C43" w14:textId="77777777" w:rsidR="00EF57C0" w:rsidRPr="003F3461" w:rsidRDefault="00EF57C0" w:rsidP="00EF57C0">
      <w:pPr>
        <w:pStyle w:val="Titrearticle"/>
        <w:rPr>
          <w:b/>
          <w:i w:val="0"/>
        </w:rPr>
      </w:pPr>
      <w:r w:rsidRPr="003F3461">
        <w:rPr>
          <w:b/>
          <w:i w:val="0"/>
        </w:rPr>
        <w:t>Pārskatu sniegšana par pašu kapitālu un pašu kapitāla prasībām – papildu pārskatu sniegšanas prasības individuālā un konsolidētā līmenī</w:t>
      </w:r>
    </w:p>
    <w:p w14:paraId="20543259" w14:textId="77777777" w:rsidR="00EF57C0" w:rsidRPr="003F3461" w:rsidRDefault="00EF57C0" w:rsidP="004F7144">
      <w:pPr>
        <w:pStyle w:val="NumPar1"/>
        <w:numPr>
          <w:ilvl w:val="0"/>
          <w:numId w:val="15"/>
        </w:numPr>
      </w:pPr>
      <w:r w:rsidRPr="003F3461">
        <w:t>Iestādes, uz kurām attiecas prasība atklāt Regulas (ES) Nr. 575/2013 438. panta e) vai h) punktā vai 452. panta b), g) vai h) punktā minēto informāciju attiecīgi 433.a vai 433.c pantā noteiktajā biežumā, attiecīgi individuālā līmenī saskaņā ar 6. pantu vai konsolidētā līmenī saskaņā ar 13. pantu, iesniedz I pielikuma 8.3., 8.4., 8.5., 8.5.1., 8.6., 8.7. un 34.11. veidnē noteikto informāciju par kredītrisku un darījuma partnera kredītrisku ar tādu pašu regularitāti un tādā pašā konsolidācijas līmenī, ievērojot šīs regulas II pielikuma II daļas 3.3. un 3.9.12. punktā iekļautās norādes.</w:t>
      </w:r>
    </w:p>
    <w:p w14:paraId="591C4B7C" w14:textId="77777777" w:rsidR="00EF57C0" w:rsidRPr="003F3461" w:rsidRDefault="00EF57C0" w:rsidP="00EF57C0">
      <w:pPr>
        <w:pStyle w:val="NumPar1"/>
      </w:pPr>
      <w:r w:rsidRPr="003F3461">
        <w:t>Iestādes, uz kurām attiecas prasība atklāt Regulas (ES) Nr. 575/2013 439. panta l) punktā minēto informāciju attiecīgi 433.a vai 433.c pantā noteiktajā biežumā, attiecīgi individuālā līmenī saskaņā ar 6. pantu vai konsolidētā līmenī saskaņā ar 13. pantu, iesniedz I pielikuma 34.07. veidnē noteikto informāciju par darījuma partnera kredītrisku ar tādu pašu regularitāti un tādā pašā konsolidācijas līmenī, ievērojot šīs regulas II pielikuma II daļas 3.9.8. punktā iekļautās norādes.</w:t>
      </w:r>
    </w:p>
    <w:p w14:paraId="2D88B501" w14:textId="77777777" w:rsidR="00EF57C0" w:rsidRPr="003F3461" w:rsidRDefault="00EF57C0" w:rsidP="00EF57C0">
      <w:pPr>
        <w:pStyle w:val="Titrearticle"/>
      </w:pPr>
      <w:r w:rsidRPr="003F3461">
        <w:fldChar w:fldCharType="begin"/>
      </w:r>
      <w:r w:rsidRPr="003F3461">
        <w:instrText xml:space="preserve"> seq article </w:instrText>
      </w:r>
      <w:r w:rsidRPr="003F3461">
        <w:fldChar w:fldCharType="separate"/>
      </w:r>
      <w:r w:rsidRPr="003F3461">
        <w:t>9</w:t>
      </w:r>
      <w:r w:rsidRPr="003F3461">
        <w:fldChar w:fldCharType="end"/>
      </w:r>
      <w:r w:rsidRPr="003F3461">
        <w:t>. pants</w:t>
      </w:r>
    </w:p>
    <w:p w14:paraId="7094C2D9" w14:textId="77777777" w:rsidR="00EF57C0" w:rsidRPr="003F3461" w:rsidRDefault="00EF57C0" w:rsidP="00EF57C0">
      <w:pPr>
        <w:pStyle w:val="Titrearticle"/>
        <w:spacing w:before="120"/>
        <w:rPr>
          <w:b/>
          <w:i w:val="0"/>
        </w:rPr>
      </w:pPr>
      <w:r w:rsidRPr="003F3461">
        <w:rPr>
          <w:b/>
          <w:i w:val="0"/>
        </w:rPr>
        <w:t>Pārskatu sniegšana individuālā līmenī par pašu kapitālu un pašu kapitāla prasībām attiecībā uz ieguldījumu brokeru sabiedrībām, uz kurām attiecas Regulas (ES) Nr. 575/2013 95. un 96. pants</w:t>
      </w:r>
    </w:p>
    <w:p w14:paraId="1603F6B8" w14:textId="77777777" w:rsidR="00EF57C0" w:rsidRPr="003F3461" w:rsidRDefault="00EF57C0" w:rsidP="004F7144">
      <w:pPr>
        <w:pStyle w:val="NumPar1"/>
        <w:numPr>
          <w:ilvl w:val="0"/>
          <w:numId w:val="16"/>
        </w:numPr>
      </w:pPr>
      <w:r w:rsidRPr="003F3461">
        <w:t>Ieguldījumu brokeru sabiedrības, kas piemēro Regulas (ES) 2019/2033 57. panta 3. punkta pārejas noteikumus, iesniedz šajā pantā noteikto informāciju.</w:t>
      </w:r>
    </w:p>
    <w:p w14:paraId="311CBC4C" w14:textId="77777777" w:rsidR="00EF57C0" w:rsidRPr="003F3461" w:rsidRDefault="00EF57C0" w:rsidP="00EF57C0">
      <w:pPr>
        <w:pStyle w:val="NumPar1"/>
      </w:pPr>
      <w:r w:rsidRPr="003F3461">
        <w:t>Lai individuālā līmenī sniegtu informāciju par pašu kapitālu un pašu kapitāla prasībām saskaņā ar Regulas (ES) Nr. 575/2013 430. panta 1. punkta a) apakšpunktu, izņemot informāciju par sviras rādītāju, ieguldījumu brokeru sabiedrības, kas izmanto Regulas (ES) 2019/2033 57. panta 3. punktu, atsaucoties uz Regulas (ES) Nr. 575/2013 95. pantu, reizi ceturksnī iesniedz šīs regulas I pielikuma 1.–5. veidnē noteikto informāciju, ievērojot II pielikuma II daļas 1. punktā iekļautās norādes.</w:t>
      </w:r>
    </w:p>
    <w:p w14:paraId="36708614" w14:textId="77777777" w:rsidR="00EF57C0" w:rsidRPr="003F3461" w:rsidRDefault="00EF57C0" w:rsidP="00EF57C0">
      <w:pPr>
        <w:pStyle w:val="NumPar1"/>
      </w:pPr>
      <w:r w:rsidRPr="003F3461">
        <w:lastRenderedPageBreak/>
        <w:t>Lai individuālā līmenī sniegtu informāciju par pašu kapitālu un pašu kapitāla prasībām saskaņā ar Regulas (ES) Nr. 575/2013 430. panta 1. punkta a) apakšpunktu, ieguldījumu brokeru sabiedrības, kas izmanto Regulas (ES) 2019/2033 57. panta 3. punktu, atsaucoties uz Regulas (ES) Nr. 575/2013 96. pantu, informāciju, kas noteikta šīs regulas 5. panta 1. līdz 5. punktā un 8. līdz 13. punktā un 6. panta 2. punktā, iesniedz ar minētajos pantos noteikto regularitāti.</w:t>
      </w:r>
    </w:p>
    <w:p w14:paraId="15D47846" w14:textId="77777777" w:rsidR="00EF57C0" w:rsidRPr="003F3461" w:rsidRDefault="00EF57C0" w:rsidP="00EF57C0">
      <w:pPr>
        <w:pStyle w:val="Titrearticle"/>
      </w:pPr>
      <w:r w:rsidRPr="003F3461">
        <w:fldChar w:fldCharType="begin"/>
      </w:r>
      <w:r w:rsidRPr="003F3461">
        <w:instrText xml:space="preserve"> seq article </w:instrText>
      </w:r>
      <w:r w:rsidRPr="003F3461">
        <w:fldChar w:fldCharType="separate"/>
      </w:r>
      <w:r w:rsidRPr="003F3461">
        <w:t>10</w:t>
      </w:r>
      <w:r w:rsidRPr="003F3461">
        <w:fldChar w:fldCharType="end"/>
      </w:r>
      <w:r w:rsidRPr="003F3461">
        <w:t>. pants</w:t>
      </w:r>
    </w:p>
    <w:p w14:paraId="1316C217" w14:textId="77777777" w:rsidR="00EF57C0" w:rsidRPr="003F3461" w:rsidRDefault="00EF57C0" w:rsidP="00EF57C0">
      <w:pPr>
        <w:pStyle w:val="Titrearticle"/>
        <w:spacing w:before="120"/>
        <w:rPr>
          <w:b/>
          <w:i w:val="0"/>
        </w:rPr>
      </w:pPr>
      <w:r w:rsidRPr="003F3461">
        <w:rPr>
          <w:b/>
          <w:i w:val="0"/>
        </w:rPr>
        <w:t>Pārskatu sniegšana konsolidētā līmenī par pašu kapitālu un pašu kapitāla prasībām attiecībā uz grupām, kuras sastāv tikai no ieguldījumu brokeru sabiedrībām, uz kurām attiecas Regulas (ES) Nr. 575/2013 95. un 96. pants</w:t>
      </w:r>
    </w:p>
    <w:p w14:paraId="6B20A9B8" w14:textId="77777777" w:rsidR="00EF57C0" w:rsidRPr="003F3461" w:rsidRDefault="00EF57C0" w:rsidP="004F7144">
      <w:pPr>
        <w:pStyle w:val="NumPar1"/>
        <w:numPr>
          <w:ilvl w:val="0"/>
          <w:numId w:val="17"/>
        </w:numPr>
      </w:pPr>
      <w:r w:rsidRPr="003F3461">
        <w:t>Ieguldījumu brokeru sabiedrības, kas piemēro Regulas (ES) 2019/2033 57. panta 3. punkta pārejas noteikumus, iesniedz šajā pantā noteikto informāciju.</w:t>
      </w:r>
    </w:p>
    <w:p w14:paraId="5F1BEEFA" w14:textId="77777777" w:rsidR="00EF57C0" w:rsidRPr="003F3461" w:rsidRDefault="00EF57C0" w:rsidP="00EF57C0">
      <w:pPr>
        <w:pStyle w:val="NumPar1"/>
      </w:pPr>
      <w:r w:rsidRPr="003F3461">
        <w:t>Lai konsolidētā līmenī sniegtu informāciju par pašu kapitālu un pašu kapitāla prasībām saskaņā ar Regulas (ES) Nr. 575/2013 430. panta 1. punkta a) apakšpunktu, izņemot informāciju par sviras rādītāju, tādu grupu ieguldījumu brokeru sabiedrības, kas sastāv tikai no ieguldījumu brokeru sabiedrībām, kuras izmanto Regulas (ES) 2019/2033 57. panta 3. punktu, atsaucoties uz Regulas (ES) Nr. 575/2013 95. pantu, konsolidētā līmenī iesniedz šādu informāciju:</w:t>
      </w:r>
    </w:p>
    <w:p w14:paraId="4DABE5D4" w14:textId="77777777" w:rsidR="00EF57C0" w:rsidRPr="003F3461" w:rsidRDefault="00EF57C0" w:rsidP="00EF57C0">
      <w:pPr>
        <w:pStyle w:val="Point1"/>
      </w:pPr>
      <w:r w:rsidRPr="003F3461">
        <w:t>a)</w:t>
      </w:r>
      <w:r w:rsidRPr="003F3461">
        <w:tab/>
        <w:t>I pielikuma 1.–5. veidnē noteikto informāciju par pašu kapitālu un pašu kapitāla prasībām, ievērojot II pielikuma II daļas 1. punktā iekļautās norādes, reizi ceturksnī;</w:t>
      </w:r>
    </w:p>
    <w:p w14:paraId="569CDD44" w14:textId="77777777" w:rsidR="00EF57C0" w:rsidRPr="003F3461" w:rsidRDefault="00EF57C0" w:rsidP="00EF57C0">
      <w:pPr>
        <w:pStyle w:val="Point1"/>
      </w:pPr>
      <w:r w:rsidRPr="003F3461">
        <w:t>b)</w:t>
      </w:r>
      <w:r w:rsidRPr="003F3461">
        <w:tab/>
        <w:t>I pielikuma 6. veidnē noteikto informāciju par pašu kapitālu un pašu kapitāla prasībām attiecībā uz sabiedrībām, kas iekļautas konsolidācijas tvērumā, ievērojot II pielikuma II daļas 2. punktā iekļautās norādes, reizi pusgadā.</w:t>
      </w:r>
    </w:p>
    <w:p w14:paraId="5AE15F14" w14:textId="77777777" w:rsidR="00EF57C0" w:rsidRPr="003F3461" w:rsidRDefault="00EF57C0" w:rsidP="00EF57C0">
      <w:pPr>
        <w:pStyle w:val="NumPar1"/>
      </w:pPr>
      <w:r w:rsidRPr="003F3461">
        <w:t>Lai konsolidētā līmenī sniegtu informāciju par pašu kapitālu un pašu kapitāla prasībām saskaņā ar Regulas (ES) Nr. 575/2013 430. panta 1. punkta a) apakšpunktu, tādu grupu ieguldījumu brokeru sabiedrības, kas sastāv tikai no ieguldījumu brokeru sabiedrībām, uz kurām attiecas 95. pants, un ieguldījumu brokeru sabiedrībām, uz kurām attiecas 96. pants, vai tādu grupu ieguldījumu brokeru sabiedrības, kas sastāv tikai no ieguldījumu brokeru sabiedrībām, kuras izmanto Regulas (ES) 2019/2033 57. panta 3. punktu, atsaucoties uz Regulas (ES) Nr. 575/2013 96. pantu, konsolidētā līmenī iesniedz šādu informāciju:</w:t>
      </w:r>
    </w:p>
    <w:p w14:paraId="13097941" w14:textId="77777777" w:rsidR="00EF57C0" w:rsidRPr="003F3461" w:rsidRDefault="00EF57C0" w:rsidP="00EF57C0">
      <w:pPr>
        <w:pStyle w:val="Point1"/>
      </w:pPr>
      <w:r w:rsidRPr="003F3461">
        <w:t>a)</w:t>
      </w:r>
      <w:r w:rsidRPr="003F3461">
        <w:tab/>
        <w:t>informāciju, kas noteikta šīs regulas 5. panta 1. līdz 5. punktā un 8. līdz 13. punktā un 6. panta 2. punktā, ar minētajos pantos noteikto regularitāti;</w:t>
      </w:r>
    </w:p>
    <w:p w14:paraId="6D7D772C" w14:textId="77777777" w:rsidR="00EF57C0" w:rsidRPr="003F3461" w:rsidRDefault="00EF57C0" w:rsidP="00EF57C0">
      <w:pPr>
        <w:pStyle w:val="Point1"/>
      </w:pPr>
      <w:r w:rsidRPr="003F3461">
        <w:t>b)</w:t>
      </w:r>
      <w:r w:rsidRPr="003F3461">
        <w:tab/>
        <w:t>I pielikuma 6. veidnē noteikto informāciju par sabiedrībām, kas iekļautas konsolidācijas tvērumā, ievērojot II pielikuma II daļas 2. punktā iekļautās norādes, reizi pusgadā.</w:t>
      </w:r>
    </w:p>
    <w:p w14:paraId="0151B48C" w14:textId="77777777" w:rsidR="00EF57C0" w:rsidRPr="003F3461" w:rsidRDefault="00EF57C0" w:rsidP="00EF57C0">
      <w:pPr>
        <w:pStyle w:val="Titrearticle"/>
      </w:pPr>
      <w:r w:rsidRPr="003F3461">
        <w:lastRenderedPageBreak/>
        <w:fldChar w:fldCharType="begin"/>
      </w:r>
      <w:r w:rsidRPr="003F3461">
        <w:instrText xml:space="preserve"> seq article </w:instrText>
      </w:r>
      <w:r w:rsidRPr="003F3461">
        <w:fldChar w:fldCharType="separate"/>
      </w:r>
      <w:r w:rsidRPr="003F3461">
        <w:t>11</w:t>
      </w:r>
      <w:r w:rsidRPr="003F3461">
        <w:fldChar w:fldCharType="end"/>
      </w:r>
      <w:r w:rsidRPr="003F3461">
        <w:t>. pants</w:t>
      </w:r>
    </w:p>
    <w:p w14:paraId="3687FF28" w14:textId="77777777" w:rsidR="00EF57C0" w:rsidRPr="003F3461" w:rsidRDefault="00EF57C0" w:rsidP="00EF57C0">
      <w:pPr>
        <w:pStyle w:val="Titrearticle"/>
        <w:spacing w:before="120"/>
        <w:rPr>
          <w:b/>
          <w:i w:val="0"/>
        </w:rPr>
      </w:pPr>
      <w:r w:rsidRPr="003F3461">
        <w:rPr>
          <w:b/>
          <w:i w:val="0"/>
        </w:rPr>
        <w:t>Finanšu informācijas pārskati konsolidētā līmenī, kurus sniedz iestādes, uz kurām attiecas</w:t>
      </w:r>
      <w:r w:rsidRPr="003F3461">
        <w:t xml:space="preserve"> </w:t>
      </w:r>
      <w:r w:rsidRPr="003F3461">
        <w:rPr>
          <w:b/>
          <w:i w:val="0"/>
        </w:rPr>
        <w:t>Eiropas Parlamenta un Padomes Regula (EK) Nr. 1606/2002</w:t>
      </w:r>
      <w:r w:rsidRPr="003F3461">
        <w:rPr>
          <w:rStyle w:val="FootnoteReference"/>
          <w:b/>
          <w:i w:val="0"/>
        </w:rPr>
        <w:footnoteReference w:id="10"/>
      </w:r>
      <w:r w:rsidRPr="003F3461">
        <w:rPr>
          <w:b/>
          <w:i w:val="0"/>
        </w:rPr>
        <w:t xml:space="preserve"> </w:t>
      </w:r>
    </w:p>
    <w:p w14:paraId="1A546006" w14:textId="77777777" w:rsidR="00EF57C0" w:rsidRPr="003F3461" w:rsidRDefault="00EF57C0" w:rsidP="004F7144">
      <w:pPr>
        <w:pStyle w:val="NumPar1"/>
        <w:numPr>
          <w:ilvl w:val="0"/>
          <w:numId w:val="18"/>
        </w:numPr>
      </w:pPr>
      <w:r w:rsidRPr="003F3461">
        <w:t xml:space="preserve">Lai konsolidētā līmenī sniegtu finanšu informāciju saskaņā ar Regulas (ES) Nr. 575/2013 430. panta 3. vai 4. punktu, iestādes konsolidētā līmenī iesniedz III pielikumā noteikto informāciju, ievērojot V pielikumā iekļautās norādes. </w:t>
      </w:r>
    </w:p>
    <w:p w14:paraId="31F497DA" w14:textId="77777777" w:rsidR="00EF57C0" w:rsidRPr="003F3461" w:rsidRDefault="00EF57C0" w:rsidP="00EF57C0">
      <w:pPr>
        <w:pStyle w:val="NumPar1"/>
      </w:pPr>
      <w:r w:rsidRPr="003F3461">
        <w:t>Informāciju, kas minēta 1. punktā, iesniedz šādi:</w:t>
      </w:r>
    </w:p>
    <w:p w14:paraId="0F725F97" w14:textId="77777777" w:rsidR="00EF57C0" w:rsidRPr="003F3461" w:rsidRDefault="00EF57C0" w:rsidP="00EF57C0">
      <w:pPr>
        <w:pStyle w:val="Point1"/>
      </w:pPr>
      <w:r w:rsidRPr="003F3461">
        <w:t>a)</w:t>
      </w:r>
      <w:r w:rsidRPr="003F3461">
        <w:tab/>
        <w:t>III pielikuma 1. daļā noteikto informāciju iesniedz reizi ceturksnī;</w:t>
      </w:r>
    </w:p>
    <w:p w14:paraId="31C9CBB8" w14:textId="77777777" w:rsidR="00EF57C0" w:rsidRPr="003F3461" w:rsidRDefault="00EF57C0" w:rsidP="00EF57C0">
      <w:pPr>
        <w:pStyle w:val="Point1"/>
      </w:pPr>
      <w:r w:rsidRPr="003F3461">
        <w:t>b)</w:t>
      </w:r>
      <w:r w:rsidRPr="003F3461">
        <w:tab/>
        <w:t>III pielikuma 3. daļā noteikto informāciju iesniedz reizi pusgadā.</w:t>
      </w:r>
    </w:p>
    <w:p w14:paraId="25991D99" w14:textId="77777777" w:rsidR="00EF57C0" w:rsidRPr="003F3461" w:rsidRDefault="00EF57C0" w:rsidP="00EF57C0">
      <w:pPr>
        <w:pStyle w:val="Point1"/>
      </w:pPr>
      <w:r w:rsidRPr="003F3461">
        <w:t>c)</w:t>
      </w:r>
      <w:r w:rsidRPr="003F3461">
        <w:tab/>
        <w:t>III pielikuma 4. daļā noteikto informāciju, izņemot 47. veidnē noteikto informāciju, iesniedz reizi gadā;</w:t>
      </w:r>
    </w:p>
    <w:p w14:paraId="7E11428E" w14:textId="77777777" w:rsidR="00EF57C0" w:rsidRPr="003F3461" w:rsidRDefault="00EF57C0" w:rsidP="00EF57C0">
      <w:pPr>
        <w:pStyle w:val="Point1"/>
      </w:pPr>
      <w:r w:rsidRPr="003F3461">
        <w:t>d)</w:t>
      </w:r>
      <w:r w:rsidRPr="003F3461">
        <w:tab/>
        <w:t>III pielikuma 2. daļas 20. veidnē noteikto informāciju iesniedz reizi ceturksnī, ja iestāde pārsniedz 5. panta 5. punkta otrajā daļā noteikto robežvērtību;</w:t>
      </w:r>
    </w:p>
    <w:p w14:paraId="773348D4" w14:textId="77777777" w:rsidR="00EF57C0" w:rsidRPr="003F3461" w:rsidRDefault="00EF57C0" w:rsidP="00EF57C0">
      <w:pPr>
        <w:pStyle w:val="Point1"/>
      </w:pPr>
      <w:r w:rsidRPr="003F3461">
        <w:t>e)</w:t>
      </w:r>
      <w:r w:rsidRPr="003F3461">
        <w:tab/>
        <w:t>III pielikuma 2. daļas 21. veidnē noteikto informāciju iesniedz reizi ceturksnī, ja operatīvās nomas materiālie aktīvi ir vienādi ar vai lielāki par 10 % no visiem materiālajiem aktīviem, kas uzrādīti III pielikuma 1. daļas 1.1. veidnē;</w:t>
      </w:r>
    </w:p>
    <w:p w14:paraId="057DE7FA" w14:textId="77777777" w:rsidR="00EF57C0" w:rsidRPr="003F3461" w:rsidRDefault="00EF57C0" w:rsidP="00EF57C0">
      <w:pPr>
        <w:pStyle w:val="Point1"/>
      </w:pPr>
      <w:r w:rsidRPr="003F3461">
        <w:t>f)</w:t>
      </w:r>
      <w:r w:rsidRPr="003F3461">
        <w:tab/>
        <w:t>III pielikuma 2. daļas 22. veidnē noteikto informāciju iesniedz reizi ceturksnī, ja neto ienākumi no maksām un komisijas naudām ir vienādi ar vai lielāki par 10 % no summas, kuru veido neto ienākumi no maksām un komisijas naudām un neto procentu ienākumi, kas uzrādīti III pielikuma 1. daļas 2. veidnē;</w:t>
      </w:r>
    </w:p>
    <w:p w14:paraId="4A391825" w14:textId="77777777" w:rsidR="00EF57C0" w:rsidRPr="003F3461" w:rsidRDefault="00EF57C0" w:rsidP="00EF57C0">
      <w:pPr>
        <w:pStyle w:val="Point1"/>
      </w:pPr>
      <w:r w:rsidRPr="003F3461">
        <w:t>g)</w:t>
      </w:r>
      <w:r w:rsidRPr="003F3461">
        <w:tab/>
        <w:t>III pielikuma 2. daļas 23.–26. veidnē noteikto informāciju iesniedz reizi ceturksnī, ja ir izpildīti abi turpmāk minētie nosacījumi:</w:t>
      </w:r>
    </w:p>
    <w:p w14:paraId="0B60115F" w14:textId="77777777" w:rsidR="00EF57C0" w:rsidRPr="003F3461" w:rsidRDefault="00EF57C0" w:rsidP="00EF57C0">
      <w:pPr>
        <w:pStyle w:val="Point2"/>
      </w:pPr>
      <w:r w:rsidRPr="003F3461">
        <w:t>i)</w:t>
      </w:r>
      <w:r w:rsidRPr="003F3461">
        <w:tab/>
        <w:t>iestāde nav maza un nesarežģīta iestāde;</w:t>
      </w:r>
    </w:p>
    <w:p w14:paraId="7F871963" w14:textId="77777777" w:rsidR="00EF57C0" w:rsidRPr="003F3461" w:rsidRDefault="00EF57C0" w:rsidP="00EF57C0">
      <w:pPr>
        <w:pStyle w:val="Point2"/>
      </w:pPr>
      <w:r w:rsidRPr="003F3461">
        <w:t>ii)</w:t>
      </w:r>
      <w:r w:rsidRPr="003F3461">
        <w:tab/>
        <w:t xml:space="preserve">attiecība starp iestādes to aizdevumu un avansu bruto uzskaites vērtību, uz kuriem attiecas Regulas (ES) Nr. 575/2013 47.a panta 3. punkts, un to aizdevumu un avansu kopējo bruto uzskaites vērtību, uz kuriem attiecas minētās regulas 47.a panta 1. punkts, ir vienāda ar vai lielāka par 5 %. </w:t>
      </w:r>
    </w:p>
    <w:p w14:paraId="7CE5EDC9" w14:textId="77777777" w:rsidR="00EF57C0" w:rsidRPr="003F3461" w:rsidRDefault="00EF57C0" w:rsidP="00EF57C0">
      <w:pPr>
        <w:pStyle w:val="Point1"/>
      </w:pPr>
      <w:r w:rsidRPr="003F3461">
        <w:t xml:space="preserve"> h)</w:t>
      </w:r>
      <w:r w:rsidRPr="003F3461">
        <w:tab/>
        <w:t>III pielikuma 4. daļas 47. veidnē noteikto informāciju iesniedz reizi gadā, ja ir izpildīti abi šā punkta g) apakšpunkta nosacījumi.</w:t>
      </w:r>
    </w:p>
    <w:p w14:paraId="1BE03DEB" w14:textId="77777777" w:rsidR="00EF57C0" w:rsidRPr="003F3461" w:rsidRDefault="00EF57C0" w:rsidP="00EF57C0">
      <w:pPr>
        <w:pStyle w:val="Point1"/>
      </w:pPr>
      <w:r w:rsidRPr="003F3461">
        <w:t>Šā punkta g) apakšpunkta ii) punkta vajadzībām minētajā attiecībā ne saucējā, ne skaitītājā neiekļauj aizdevumus un avansus, kas klasificēti kā turēti pārdošanai, naudas atlikumus centrālajās bankās un citus pieprasījuma noguldījumus.</w:t>
      </w:r>
    </w:p>
    <w:p w14:paraId="04B42AA1" w14:textId="77777777" w:rsidR="00EF57C0" w:rsidRPr="003F3461" w:rsidRDefault="00EF57C0" w:rsidP="00EF57C0">
      <w:pPr>
        <w:pStyle w:val="Point1"/>
      </w:pPr>
      <w:r w:rsidRPr="003F3461">
        <w:t xml:space="preserve">Šā punkta d) līdz h) apakšpunkta vajadzībām piemēro 4. panta 3. punktā noteiktos iekļaušanas un izslēgšanas kritērijus. </w:t>
      </w:r>
    </w:p>
    <w:p w14:paraId="0ED41631" w14:textId="77777777" w:rsidR="00EF57C0" w:rsidRPr="003F3461" w:rsidRDefault="00EF57C0" w:rsidP="00EF57C0">
      <w:pPr>
        <w:pStyle w:val="Titrearticle"/>
      </w:pPr>
      <w:r w:rsidRPr="003F3461">
        <w:fldChar w:fldCharType="begin"/>
      </w:r>
      <w:r w:rsidRPr="003F3461">
        <w:instrText xml:space="preserve"> seq article </w:instrText>
      </w:r>
      <w:r w:rsidRPr="003F3461">
        <w:fldChar w:fldCharType="separate"/>
      </w:r>
      <w:r w:rsidRPr="003F3461">
        <w:t>12</w:t>
      </w:r>
      <w:r w:rsidRPr="003F3461">
        <w:fldChar w:fldCharType="end"/>
      </w:r>
      <w:r w:rsidRPr="003F3461">
        <w:t>. pants</w:t>
      </w:r>
    </w:p>
    <w:p w14:paraId="79641603" w14:textId="77777777" w:rsidR="00EF57C0" w:rsidRPr="003F3461" w:rsidRDefault="00EF57C0" w:rsidP="00EF57C0">
      <w:pPr>
        <w:pStyle w:val="Titrearticle"/>
        <w:spacing w:before="120"/>
        <w:rPr>
          <w:b/>
          <w:i w:val="0"/>
        </w:rPr>
      </w:pPr>
      <w:r w:rsidRPr="003F3461">
        <w:rPr>
          <w:b/>
          <w:i w:val="0"/>
        </w:rPr>
        <w:t xml:space="preserve">Finanšu informācijas pārskati konsolidētā līmenī, kurus sniedz iestādes, kas piemēro valstu grāmatvedības regulējumus </w:t>
      </w:r>
    </w:p>
    <w:p w14:paraId="0FAD647C" w14:textId="77777777" w:rsidR="00EF57C0" w:rsidRPr="003F3461" w:rsidRDefault="00EF57C0" w:rsidP="004F7144">
      <w:pPr>
        <w:pStyle w:val="NumPar1"/>
        <w:numPr>
          <w:ilvl w:val="0"/>
          <w:numId w:val="19"/>
        </w:numPr>
      </w:pPr>
      <w:r w:rsidRPr="003F3461">
        <w:t xml:space="preserve">Ja kompetentā iestāde saskaņā ar Regulas (ES) Nr. 575/2013 430. panta  9. punktu ir attiecinājusi finanšu informācijas pārskatu sniegšanas prasības uz iestādēm, kas veic </w:t>
      </w:r>
      <w:r w:rsidRPr="003F3461">
        <w:lastRenderedPageBreak/>
        <w:t>uzņēmējdarbību dalībvalstī, iestādes konsolidētā līmenī iesniedz IV pielikumā noteikto informāciju, ievērojot šīs regulas V pielikumā iekļautās norādes.</w:t>
      </w:r>
    </w:p>
    <w:p w14:paraId="09F49209" w14:textId="77777777" w:rsidR="00EF57C0" w:rsidRPr="003F3461" w:rsidRDefault="00EF57C0" w:rsidP="00EF57C0">
      <w:pPr>
        <w:pStyle w:val="NumPar1"/>
      </w:pPr>
      <w:r w:rsidRPr="003F3461">
        <w:t>Informāciju, kas minēta 1. punktā, iesniedz šādi:</w:t>
      </w:r>
    </w:p>
    <w:p w14:paraId="06932476" w14:textId="77777777" w:rsidR="00EF57C0" w:rsidRPr="003F3461" w:rsidRDefault="00EF57C0" w:rsidP="00EF57C0">
      <w:pPr>
        <w:pStyle w:val="Point1"/>
      </w:pPr>
      <w:r w:rsidRPr="003F3461">
        <w:t>a)</w:t>
      </w:r>
      <w:r w:rsidRPr="003F3461">
        <w:tab/>
        <w:t>IV pielikuma 1. daļā noteikto informāciju iesniedz reizi ceturksnī;</w:t>
      </w:r>
    </w:p>
    <w:p w14:paraId="55EA7764" w14:textId="77777777" w:rsidR="00EF57C0" w:rsidRPr="003F3461" w:rsidRDefault="00EF57C0" w:rsidP="00EF57C0">
      <w:pPr>
        <w:pStyle w:val="Point1"/>
      </w:pPr>
      <w:r w:rsidRPr="003F3461">
        <w:t>b)</w:t>
      </w:r>
      <w:r w:rsidRPr="003F3461">
        <w:tab/>
        <w:t>IV pielikuma 3. daļā noteikto informāciju iesniedz reizi pusgadā;</w:t>
      </w:r>
    </w:p>
    <w:p w14:paraId="1EF31DD5" w14:textId="77777777" w:rsidR="00EF57C0" w:rsidRPr="003F3461" w:rsidRDefault="00EF57C0" w:rsidP="00EF57C0">
      <w:pPr>
        <w:pStyle w:val="Point1"/>
      </w:pPr>
      <w:r w:rsidRPr="003F3461">
        <w:t>c)</w:t>
      </w:r>
      <w:r w:rsidRPr="003F3461">
        <w:tab/>
        <w:t>IV pielikuma 4. daļā noteikto informāciju, izņemot 47. veidnē noteikto informāciju, iesniedz reizi gadā;</w:t>
      </w:r>
    </w:p>
    <w:p w14:paraId="6FCC3A6F" w14:textId="77777777" w:rsidR="00EF57C0" w:rsidRPr="003F3461" w:rsidRDefault="00EF57C0" w:rsidP="00EF57C0">
      <w:pPr>
        <w:pStyle w:val="Point1"/>
      </w:pPr>
      <w:r w:rsidRPr="003F3461">
        <w:t>d)</w:t>
      </w:r>
      <w:r w:rsidRPr="003F3461">
        <w:tab/>
        <w:t>IV pielikuma 2. daļas 20. veidnē noteikto informāciju iesniedz reizi ceturksnī, ja iestāde pārsniedz 5. panta 5. punkta otrajā daļā noteikto robežvērtību;</w:t>
      </w:r>
    </w:p>
    <w:p w14:paraId="08EAAE29" w14:textId="77777777" w:rsidR="00EF57C0" w:rsidRPr="003F3461" w:rsidRDefault="00EF57C0" w:rsidP="00EF57C0">
      <w:pPr>
        <w:pStyle w:val="Point1"/>
      </w:pPr>
      <w:r w:rsidRPr="003F3461">
        <w:t>e)</w:t>
      </w:r>
      <w:r w:rsidRPr="003F3461">
        <w:tab/>
        <w:t>IV pielikuma 2. daļas 21. veidnē noteikto informāciju iesniedz reizi ceturksnī, ja operatīvās nomas materiālie aktīvi ir vienādi ar vai lielāki par 10 % no visiem materiālajiem aktīviem, kas uzrādīti IV pielikuma 1. daļas 1.1. veidnē;</w:t>
      </w:r>
    </w:p>
    <w:p w14:paraId="2E281BDC" w14:textId="77777777" w:rsidR="00EF57C0" w:rsidRPr="003F3461" w:rsidRDefault="00EF57C0" w:rsidP="00EF57C0">
      <w:pPr>
        <w:pStyle w:val="Point1"/>
      </w:pPr>
      <w:r w:rsidRPr="003F3461">
        <w:t>f)</w:t>
      </w:r>
      <w:r w:rsidRPr="003F3461">
        <w:tab/>
        <w:t>IV pielikuma 2. daļas 22. veidnē noteikto informāciju iesniedz reizi ceturksnī, ja neto ienākumi no maksām un komisijas naudām ir vienādi ar vai lielāki par 10 % no summas, kuru veido neto ienākumi no maksām un komisijas naudām un neto procentu ienākumi, kas uzrādīti IV pielikuma 1. daļas 2. veidnē;</w:t>
      </w:r>
    </w:p>
    <w:p w14:paraId="53C18CE7" w14:textId="77777777" w:rsidR="00EF57C0" w:rsidRPr="003F3461" w:rsidRDefault="00EF57C0" w:rsidP="00EF57C0">
      <w:pPr>
        <w:pStyle w:val="Point1"/>
      </w:pPr>
      <w:r w:rsidRPr="003F3461">
        <w:t>g)</w:t>
      </w:r>
      <w:r w:rsidRPr="003F3461">
        <w:tab/>
        <w:t>IV pielikuma 2. daļas 23.–26. veidnē noteikto informāciju iesniedz reizi ceturksnī, ja ir izpildīti abi turpmāk minētie nosacījumi:</w:t>
      </w:r>
    </w:p>
    <w:p w14:paraId="43476CC8" w14:textId="77777777" w:rsidR="00EF57C0" w:rsidRPr="003F3461" w:rsidRDefault="00EF57C0" w:rsidP="00EF57C0">
      <w:pPr>
        <w:pStyle w:val="Point2"/>
      </w:pPr>
      <w:r w:rsidRPr="003F3461">
        <w:t>i)</w:t>
      </w:r>
      <w:r w:rsidRPr="003F3461">
        <w:tab/>
        <w:t>iestāde nav maza un nesarežģīta iestāde;</w:t>
      </w:r>
    </w:p>
    <w:p w14:paraId="26251FF5" w14:textId="77777777" w:rsidR="00EF57C0" w:rsidRPr="003F3461" w:rsidRDefault="00EF57C0" w:rsidP="00EF57C0">
      <w:pPr>
        <w:pStyle w:val="Point1"/>
        <w:ind w:firstLine="0"/>
      </w:pPr>
      <w:r w:rsidRPr="003F3461">
        <w:t>ii)</w:t>
      </w:r>
      <w:r w:rsidRPr="003F3461">
        <w:tab/>
        <w:t xml:space="preserve">iestādes attiecība, kas noteikta 11. panta 2. punkta g) apakšpunkta ii) punktā, ir vienāda ar vai lielāka par 5 %;  </w:t>
      </w:r>
    </w:p>
    <w:p w14:paraId="7947B1AC" w14:textId="77777777" w:rsidR="00EF57C0" w:rsidRPr="003F3461" w:rsidRDefault="00EF57C0" w:rsidP="00EF57C0">
      <w:pPr>
        <w:pStyle w:val="Point1"/>
      </w:pPr>
      <w:r w:rsidRPr="003F3461">
        <w:t>h)</w:t>
      </w:r>
      <w:r w:rsidRPr="003F3461">
        <w:tab/>
        <w:t xml:space="preserve">IV pielikuma 4. daļas 47. veidnē noteikto informāciju iesniedz reizi gadā, ja ir izpildīti abi šā punkta g) apakšpunkta nosacījumi. </w:t>
      </w:r>
    </w:p>
    <w:p w14:paraId="4E78121D" w14:textId="77777777" w:rsidR="00EF57C0" w:rsidRPr="003F3461" w:rsidRDefault="00EF57C0" w:rsidP="00EF57C0">
      <w:pPr>
        <w:pStyle w:val="Point1"/>
      </w:pPr>
      <w:r w:rsidRPr="003F3461">
        <w:t xml:space="preserve">Šā punkta d) līdz h) apakšpunkta vajadzībām piemēro 4. panta 3. punktā noteiktos iekļaušanas un izslēgšanas kritērijus. </w:t>
      </w:r>
    </w:p>
    <w:p w14:paraId="6F5BBB79" w14:textId="77777777" w:rsidR="00EF57C0" w:rsidRPr="003F3461" w:rsidRDefault="00EF57C0" w:rsidP="00EF57C0">
      <w:pPr>
        <w:pStyle w:val="Titrearticle"/>
      </w:pPr>
      <w:r w:rsidRPr="003F3461">
        <w:fldChar w:fldCharType="begin"/>
      </w:r>
      <w:r w:rsidRPr="003F3461">
        <w:instrText xml:space="preserve"> seq article </w:instrText>
      </w:r>
      <w:r w:rsidRPr="003F3461">
        <w:fldChar w:fldCharType="separate"/>
      </w:r>
      <w:r w:rsidRPr="003F3461">
        <w:t>13</w:t>
      </w:r>
      <w:r w:rsidRPr="003F3461">
        <w:fldChar w:fldCharType="end"/>
      </w:r>
      <w:r w:rsidRPr="003F3461">
        <w:t>. pants</w:t>
      </w:r>
    </w:p>
    <w:p w14:paraId="2D34021A" w14:textId="77777777" w:rsidR="00EF57C0" w:rsidRPr="003F3461" w:rsidRDefault="00EF57C0" w:rsidP="00EF57C0">
      <w:pPr>
        <w:pStyle w:val="Text1"/>
      </w:pPr>
      <w:r w:rsidRPr="003F3461">
        <w:rPr>
          <w:b/>
        </w:rPr>
        <w:t>Pārskatu sniegšana individuālā un konsolidētā līmenī par zaudējumiem no kredītiem, kas nodrošināti ar nekustamo īpašumu, saskaņā ar Regulas (ES) Nr. 575/2013 430.a panta 1. punktu</w:t>
      </w:r>
    </w:p>
    <w:p w14:paraId="3F415DB6" w14:textId="77777777" w:rsidR="00EF57C0" w:rsidRPr="003F3461" w:rsidRDefault="00EF57C0" w:rsidP="004F7144">
      <w:pPr>
        <w:pStyle w:val="NumPar1"/>
        <w:numPr>
          <w:ilvl w:val="0"/>
          <w:numId w:val="20"/>
        </w:numPr>
      </w:pPr>
      <w:r w:rsidRPr="003F3461">
        <w:t>Iestādes reizi gadā konsolidētā līmenī iesniedz VI pielikumā noteikto informāciju, ievērojot VII pielikumā iekļautās norādes.</w:t>
      </w:r>
    </w:p>
    <w:p w14:paraId="49B4E6C8" w14:textId="77777777" w:rsidR="00EF57C0" w:rsidRPr="003F3461" w:rsidRDefault="00EF57C0" w:rsidP="00EF57C0">
      <w:pPr>
        <w:pStyle w:val="NumPar1"/>
      </w:pPr>
      <w:r w:rsidRPr="003F3461">
        <w:t>Iestādes reizi gadā individuālā līmenī iesniedz VI pielikumā noteikto informāciju, ievērojot VII pielikumā iekļautās norādes.</w:t>
      </w:r>
    </w:p>
    <w:p w14:paraId="3C06746D" w14:textId="77777777" w:rsidR="00EF57C0" w:rsidRPr="003F3461" w:rsidRDefault="00EF57C0" w:rsidP="00EF57C0">
      <w:pPr>
        <w:pStyle w:val="NumPar1"/>
      </w:pPr>
      <w:r w:rsidRPr="003F3461">
        <w:t>Ja iestādei ir filiāle citā dalībvalstī, šī filiāle reizi gadā iesniedz uzņēmējas dalībvalsts kompetentajai iestādei VI pielikumā noteikto informāciju, kas attiecas uz šo filiāli, ievērojot VII pielikumā iekļautās norādes.</w:t>
      </w:r>
    </w:p>
    <w:p w14:paraId="5EAD5768" w14:textId="77777777" w:rsidR="00EF57C0" w:rsidRPr="003F3461" w:rsidRDefault="00EF57C0" w:rsidP="00EF57C0">
      <w:pPr>
        <w:pStyle w:val="Titrearticle"/>
      </w:pPr>
      <w:r w:rsidRPr="003F3461">
        <w:t>14. pants</w:t>
      </w:r>
    </w:p>
    <w:p w14:paraId="3AFF1A81" w14:textId="77777777" w:rsidR="00EF57C0" w:rsidRPr="003F3461" w:rsidRDefault="00EF57C0" w:rsidP="00EF57C0">
      <w:pPr>
        <w:pStyle w:val="Titrearticle"/>
        <w:spacing w:before="120"/>
        <w:rPr>
          <w:b/>
          <w:i w:val="0"/>
        </w:rPr>
      </w:pPr>
      <w:r w:rsidRPr="003F3461">
        <w:rPr>
          <w:b/>
          <w:i w:val="0"/>
        </w:rPr>
        <w:t>Pārskatu sniegšana individuālā un konsolidētā līmenī par lieliem riska darījumiem</w:t>
      </w:r>
    </w:p>
    <w:p w14:paraId="67A8AC04" w14:textId="77777777" w:rsidR="00EF57C0" w:rsidRPr="003F3461" w:rsidRDefault="00EF57C0" w:rsidP="004F7144">
      <w:pPr>
        <w:pStyle w:val="NumPar1"/>
        <w:numPr>
          <w:ilvl w:val="0"/>
          <w:numId w:val="21"/>
        </w:numPr>
      </w:pPr>
      <w:r w:rsidRPr="003F3461">
        <w:t xml:space="preserve">Lai individuālā un konsolidētā līmenī sniegtu informāciju par lieliem riska darījumiem ar klientiem un savstarpēji saistītu klientu grupām saskaņā ar Regulas </w:t>
      </w:r>
      <w:r w:rsidRPr="003F3461">
        <w:lastRenderedPageBreak/>
        <w:t>(ES) Nr. 575/2013 394. pantu, iestādes reizi ceturksnī iesniedz VIII pielikumā noteikto informāciju, ievērojot IX pielikumā iekļautās norādes.</w:t>
      </w:r>
    </w:p>
    <w:p w14:paraId="4CDBF789" w14:textId="77777777" w:rsidR="00EF57C0" w:rsidRPr="003F3461" w:rsidRDefault="00EF57C0" w:rsidP="00EF57C0">
      <w:pPr>
        <w:pStyle w:val="NumPar1"/>
      </w:pPr>
      <w:r w:rsidRPr="003F3461">
        <w:t>Lai konsolidētā līmenī sniegtu informāciju par divdesmit lielākajiem riska darījumiem ar klientiem vai savstarpēji saistītu klientu grupām saskaņā ar Regulas (ES) Nr. 575/2013 394. panta 1. punktu, iestādes, uz kurām attiecas Regulas (ES) Nr. 575/2013 trešās daļas II sadaļas 3. nodaļa, reizi ceturksnī iesniedz VIII pielikumā noteikto informāciju, ievērojot IX pielikumā iekļautās norādes.</w:t>
      </w:r>
    </w:p>
    <w:p w14:paraId="2DB413B2" w14:textId="77777777" w:rsidR="00EF57C0" w:rsidRPr="003F3461" w:rsidRDefault="00EF57C0" w:rsidP="00EF57C0">
      <w:pPr>
        <w:pStyle w:val="NumPar1"/>
      </w:pPr>
      <w:r w:rsidRPr="003F3461">
        <w:t>Lai konsolidētā līmenī sniegtu informāciju par riska darījumiem, kuru vērtība ir vienāda ar vai lielāka par 300 miljoniem EUR, bet nepārsniedz 10 % no iestādes pirmā līmeņa kapitāla, saskaņā ar Regulas (ES) Nr. 575/2013 394. panta 1. punktu, iestādes reizi ceturksnī iesniedz VIII pielikumā noteikto informāciju, ievērojot IX pielikumā iekļautās norādes.</w:t>
      </w:r>
    </w:p>
    <w:p w14:paraId="70644DBB" w14:textId="77777777" w:rsidR="00EF57C0" w:rsidRPr="003F3461" w:rsidRDefault="00EF57C0" w:rsidP="00EF57C0">
      <w:pPr>
        <w:pStyle w:val="NumPar1"/>
      </w:pPr>
      <w:r w:rsidRPr="003F3461">
        <w:t>Lai konsolidētā līmenī sniegtu informāciju par desmit lielākajiem riska darījumiem ar iestādēm un desmit lielākajiem riska darījumiem ar ēnu banku sistēmas struktūrām, kuras veic banku darbības ārpus regulētās sistēmas, saskaņā ar Regulas (ES) Nr. 575/2013 394. panta 2. punktu, iestādes reizi ceturksnī iesniedz VIII pielikumā noteikto informāciju, ievērojot IX pielikumā iekļautās norādes.</w:t>
      </w:r>
    </w:p>
    <w:p w14:paraId="5306F65E" w14:textId="77777777" w:rsidR="00EF57C0" w:rsidRPr="003F3461" w:rsidRDefault="00EF57C0" w:rsidP="00EF57C0">
      <w:pPr>
        <w:pStyle w:val="Titrearticle"/>
      </w:pPr>
      <w:r w:rsidRPr="003F3461">
        <w:fldChar w:fldCharType="begin"/>
      </w:r>
      <w:r w:rsidRPr="003F3461">
        <w:instrText xml:space="preserve"> seq article </w:instrText>
      </w:r>
      <w:r w:rsidRPr="003F3461">
        <w:fldChar w:fldCharType="separate"/>
      </w:r>
      <w:r w:rsidRPr="003F3461">
        <w:t>15</w:t>
      </w:r>
      <w:r w:rsidRPr="003F3461">
        <w:fldChar w:fldCharType="end"/>
      </w:r>
      <w:r w:rsidRPr="003F3461">
        <w:t>. pants</w:t>
      </w:r>
    </w:p>
    <w:p w14:paraId="4D2662AB" w14:textId="77777777" w:rsidR="00EF57C0" w:rsidRPr="003F3461" w:rsidRDefault="00EF57C0" w:rsidP="00EF57C0">
      <w:pPr>
        <w:pStyle w:val="Titrearticle"/>
        <w:spacing w:before="120"/>
        <w:rPr>
          <w:b/>
          <w:i w:val="0"/>
        </w:rPr>
      </w:pPr>
      <w:r w:rsidRPr="003F3461">
        <w:rPr>
          <w:b/>
          <w:i w:val="0"/>
        </w:rPr>
        <w:t>Pārskatu sniegšana individuālā un konsolidētā līmenī par sviras rādītāju</w:t>
      </w:r>
    </w:p>
    <w:p w14:paraId="54A410E3" w14:textId="77777777" w:rsidR="00EF57C0" w:rsidRPr="003F3461" w:rsidRDefault="00EF57C0" w:rsidP="004F7144">
      <w:pPr>
        <w:pStyle w:val="NumPar1"/>
        <w:numPr>
          <w:ilvl w:val="0"/>
          <w:numId w:val="22"/>
        </w:numPr>
      </w:pPr>
      <w:r w:rsidRPr="003F3461">
        <w:t>Lai individuālā un konsolidētā līmenī sniegtu informāciju par sviras rādītāju saskaņā ar Regulas (ES) Nr. 575/2013 430. panta 1. punkta a) apakšpunktu, iestādes reizi ceturksnī iesniedz X pielikumā noteikto informāciju, ievērojot XI pielikumā iekļautās norādes. X pielikuma 48.00 veidni iesniedz tikai lielas iestādes.</w:t>
      </w:r>
    </w:p>
    <w:p w14:paraId="3528BB58" w14:textId="77777777" w:rsidR="00EF57C0" w:rsidRPr="003F3461" w:rsidRDefault="00EF57C0" w:rsidP="00EF57C0">
      <w:pPr>
        <w:pStyle w:val="NumPar1"/>
      </w:pPr>
      <w:r w:rsidRPr="003F3461">
        <w:t>X pielikuma 40.00 veidnes {r0410;c0010} šūnā noteikto informāciju iesniedz tikai:</w:t>
      </w:r>
    </w:p>
    <w:p w14:paraId="76A7E181" w14:textId="77777777" w:rsidR="00EF57C0" w:rsidRPr="003F3461" w:rsidRDefault="00EF57C0" w:rsidP="00EF57C0">
      <w:pPr>
        <w:pStyle w:val="Point2"/>
      </w:pPr>
      <w:r w:rsidRPr="003F3461">
        <w:t>a)</w:t>
      </w:r>
      <w:r w:rsidRPr="003F3461">
        <w:tab/>
        <w:t xml:space="preserve">lielas iestādes, kas ir G-SNI vai kas ir emitējušas vērtspapīrus, kuri ir pielaisti tirdzniecībai regulētā tirgū, – reizi pusgadā; </w:t>
      </w:r>
    </w:p>
    <w:p w14:paraId="2182F718" w14:textId="77777777" w:rsidR="00EF57C0" w:rsidRPr="003F3461" w:rsidRDefault="00EF57C0" w:rsidP="00EF57C0">
      <w:pPr>
        <w:pStyle w:val="Point2"/>
      </w:pPr>
      <w:r w:rsidRPr="003F3461">
        <w:t>b)</w:t>
      </w:r>
      <w:r w:rsidRPr="003F3461">
        <w:tab/>
        <w:t>lielas iestādes, kas nav G-SNI un kas nav biržas sarakstā iekļautas iestādes, – reizi gadā;</w:t>
      </w:r>
    </w:p>
    <w:p w14:paraId="384E167B" w14:textId="77777777" w:rsidR="00EF57C0" w:rsidRPr="003F3461" w:rsidRDefault="00EF57C0" w:rsidP="00EF57C0">
      <w:pPr>
        <w:pStyle w:val="Point2"/>
      </w:pPr>
      <w:r w:rsidRPr="003F3461">
        <w:t>c)</w:t>
      </w:r>
      <w:r w:rsidRPr="003F3461">
        <w:tab/>
        <w:t xml:space="preserve">iestādes, kas nav lielas iestādes, un mazas un nesarežģītas iestādes, kas ir emitējušas vērtspapīrus, kuri ir pielaisti tirdzniecībai regulētā tirgū, – reizi gadā. </w:t>
      </w:r>
    </w:p>
    <w:p w14:paraId="26C14075" w14:textId="77777777" w:rsidR="00EF57C0" w:rsidRPr="003F3461" w:rsidRDefault="00EF57C0" w:rsidP="00EF57C0">
      <w:pPr>
        <w:pStyle w:val="NumPar1"/>
      </w:pPr>
      <w:r w:rsidRPr="003F3461">
        <w:t>Iestādes aprēķina sviras rādītāju pārskatu atsauces datumā saskaņā ar Regulas (ES) Nr. 575/2013 429. pantu.</w:t>
      </w:r>
    </w:p>
    <w:p w14:paraId="5ED27ED3" w14:textId="77777777" w:rsidR="00EF57C0" w:rsidRPr="003F3461" w:rsidRDefault="00EF57C0" w:rsidP="00EF57C0">
      <w:pPr>
        <w:pStyle w:val="NumPar1"/>
      </w:pPr>
      <w:r w:rsidRPr="003F3461">
        <w:t>Iestādes sniedz XI pielikuma II daļas 13. punktā minēto informāciju, ja ir izpildīts kāds no turpmāk minētajiem nosacījumiem:</w:t>
      </w:r>
    </w:p>
    <w:p w14:paraId="4C5858F1" w14:textId="77777777" w:rsidR="00EF57C0" w:rsidRPr="003F3461" w:rsidRDefault="00EF57C0" w:rsidP="00EF57C0">
      <w:pPr>
        <w:pStyle w:val="Point1"/>
      </w:pPr>
      <w:r w:rsidRPr="003F3461">
        <w:t>a)</w:t>
      </w:r>
      <w:r w:rsidRPr="003F3461">
        <w:tab/>
        <w:t>atvasināto instrumentu īpatsvars, kas minēts XI pielikuma II daļas 5. punktā, ir lielāks nekā 1,5 %;</w:t>
      </w:r>
    </w:p>
    <w:p w14:paraId="7458EBCA" w14:textId="77777777" w:rsidR="00EF57C0" w:rsidRPr="003F3461" w:rsidRDefault="00EF57C0" w:rsidP="00EF57C0">
      <w:pPr>
        <w:pStyle w:val="Point1"/>
      </w:pPr>
      <w:r w:rsidRPr="003F3461">
        <w:t>b)</w:t>
      </w:r>
      <w:r w:rsidRPr="003F3461">
        <w:tab/>
        <w:t>atvasināto instrumentu īpatsvars, kas minēts XI pielikuma II daļas 5. punktā, pārsniedz 2 %.</w:t>
      </w:r>
    </w:p>
    <w:p w14:paraId="125AA736" w14:textId="77777777" w:rsidR="00EF57C0" w:rsidRPr="003F3461" w:rsidRDefault="00EF57C0" w:rsidP="00EF57C0">
      <w:pPr>
        <w:pStyle w:val="Text1"/>
        <w:rPr>
          <w:szCs w:val="24"/>
        </w:rPr>
      </w:pPr>
      <w:r w:rsidRPr="003F3461">
        <w:t xml:space="preserve">Ja iestāde atbilst tikai a) apakšpunkta nosacījumam, piemēro 4. panta 3. punktā noteiktos iekļaušanas un izslēgšanas kritērijus. </w:t>
      </w:r>
    </w:p>
    <w:p w14:paraId="3ACD7BCA" w14:textId="77777777" w:rsidR="00EF57C0" w:rsidRPr="003F3461" w:rsidRDefault="00EF57C0" w:rsidP="00EF57C0">
      <w:pPr>
        <w:pStyle w:val="Text1"/>
      </w:pPr>
      <w:r w:rsidRPr="003F3461">
        <w:lastRenderedPageBreak/>
        <w:t>Ja iestāde atbilst gan a), gan b) apakšpunkta nosacījumiem, tā sāk sniegt minēto informāciju no atsauces datuma, kas seko pārskatu atsauces datumam, kurā tā ir pārsniegusi robežvērtību.</w:t>
      </w:r>
    </w:p>
    <w:p w14:paraId="7812BE8F" w14:textId="77777777" w:rsidR="00EF57C0" w:rsidRPr="003F3461" w:rsidRDefault="00EF57C0" w:rsidP="00EF57C0">
      <w:pPr>
        <w:pStyle w:val="NumPar1"/>
      </w:pPr>
      <w:r w:rsidRPr="003F3461">
        <w:t>Iestādes, kuru atvasināto instrumentu kopējā nosacītā vērtība, kas definēta XI pielikuma II daļas 8. punktā, pārsniedz 10 miljardus EUR, iesniedz informāciju, kas minēta XI pielikuma II daļas 13. punktā, pat ja to atvasināto instrumentu īpatsvars neatbilst šā panta 4. punkta nosacījumiem.</w:t>
      </w:r>
    </w:p>
    <w:p w14:paraId="02256D69" w14:textId="77777777" w:rsidR="00EF57C0" w:rsidRPr="003F3461" w:rsidRDefault="00EF57C0" w:rsidP="00EF57C0">
      <w:pPr>
        <w:pStyle w:val="Text1"/>
      </w:pPr>
      <w:r w:rsidRPr="003F3461">
        <w:t>Šā punkta vajadzībām nepiemēro 4. panta 3. punktā noteiktos iekļaušanas un izslēgšanas kritērijus. Iestādes sāk sniegt informāciju no nākamā pārskatu atsauces datuma, ja tās ir pārsniegušas robežvērtību kādā pārskatu atsauces datumā.</w:t>
      </w:r>
    </w:p>
    <w:p w14:paraId="70E3198D" w14:textId="77777777" w:rsidR="00EF57C0" w:rsidRPr="003F3461" w:rsidRDefault="00EF57C0" w:rsidP="00EF57C0">
      <w:pPr>
        <w:pStyle w:val="NumPar1"/>
      </w:pPr>
      <w:r w:rsidRPr="003F3461">
        <w:t>Iestādēm ir jāsniedz XI pielikuma II daļas 14. punktā minētā informācija, ja ir izpildīts vismaz viens no turpmāk minētajiem nosacījumiem:</w:t>
      </w:r>
    </w:p>
    <w:p w14:paraId="53583035" w14:textId="77777777" w:rsidR="00EF57C0" w:rsidRPr="003F3461" w:rsidRDefault="00EF57C0" w:rsidP="00EF57C0">
      <w:pPr>
        <w:pStyle w:val="Point1"/>
      </w:pPr>
      <w:r w:rsidRPr="003F3461">
        <w:t>a)</w:t>
      </w:r>
      <w:r w:rsidRPr="003F3461">
        <w:tab/>
        <w:t>kredītu atvasināto instrumentu apjoms, kas minēts XI pielikuma II daļas 9. punktā, ir lielāks nekā 300 miljoni EUR;</w:t>
      </w:r>
    </w:p>
    <w:p w14:paraId="793E4714" w14:textId="77777777" w:rsidR="00EF57C0" w:rsidRPr="003F3461" w:rsidRDefault="00EF57C0" w:rsidP="00EF57C0">
      <w:pPr>
        <w:pStyle w:val="Point1"/>
      </w:pPr>
      <w:r w:rsidRPr="003F3461">
        <w:t>b)</w:t>
      </w:r>
      <w:r w:rsidRPr="003F3461">
        <w:tab/>
        <w:t>kredītu atvasināto instrumentu apjoms, kas minēts XI pielikuma II daļas 9. punktā, pārsniedz 500 miljonus EUR.</w:t>
      </w:r>
    </w:p>
    <w:p w14:paraId="6539C4B2" w14:textId="77777777" w:rsidR="00EF57C0" w:rsidRPr="003F3461" w:rsidRDefault="00EF57C0" w:rsidP="00EF57C0">
      <w:pPr>
        <w:pStyle w:val="Text1"/>
      </w:pPr>
      <w:r w:rsidRPr="003F3461">
        <w:t>Ja iestāde atbilst tikai a) apakšpunkta nosacījumam, piemēro 4. panta 3. punktā noteiktos iekļaušanas un izslēgšanas kritērijus. Ja iestāde atbilst gan a), gan b) apakšpunkta nosacījumiem, tā sāk sniegt minēto informāciju no atsauces datuma, kas seko pārskatu atsauces datumam, kurā tā ir pārsniegusi robežvērtību.</w:t>
      </w:r>
    </w:p>
    <w:p w14:paraId="743BD95F" w14:textId="77777777" w:rsidR="00EF57C0" w:rsidRPr="003F3461" w:rsidRDefault="00EF57C0" w:rsidP="00EF57C0">
      <w:pPr>
        <w:pStyle w:val="Titrearticle"/>
      </w:pPr>
      <w:r w:rsidRPr="003F3461">
        <w:fldChar w:fldCharType="begin"/>
      </w:r>
      <w:r w:rsidRPr="003F3461">
        <w:instrText xml:space="preserve"> seq article </w:instrText>
      </w:r>
      <w:r w:rsidRPr="003F3461">
        <w:fldChar w:fldCharType="separate"/>
      </w:r>
      <w:r w:rsidRPr="003F3461">
        <w:t>16</w:t>
      </w:r>
      <w:r w:rsidRPr="003F3461">
        <w:fldChar w:fldCharType="end"/>
      </w:r>
      <w:r w:rsidRPr="003F3461">
        <w:t>. pants</w:t>
      </w:r>
    </w:p>
    <w:p w14:paraId="370F0341" w14:textId="77777777" w:rsidR="00EF57C0" w:rsidRPr="003F3461" w:rsidRDefault="00EF57C0" w:rsidP="00EF57C0">
      <w:pPr>
        <w:pStyle w:val="Titrearticle"/>
        <w:spacing w:before="120"/>
        <w:rPr>
          <w:b/>
          <w:i w:val="0"/>
        </w:rPr>
      </w:pPr>
      <w:r w:rsidRPr="003F3461">
        <w:rPr>
          <w:b/>
          <w:i w:val="0"/>
        </w:rPr>
        <w:t>Pārskatu sniegšana individuālā un konsolidētā līmenī par likviditātes seguma prasību</w:t>
      </w:r>
    </w:p>
    <w:p w14:paraId="55FCA443" w14:textId="77777777" w:rsidR="00EF57C0" w:rsidRPr="003F3461" w:rsidRDefault="00EF57C0" w:rsidP="004F7144">
      <w:pPr>
        <w:pStyle w:val="NumPar1"/>
        <w:numPr>
          <w:ilvl w:val="0"/>
          <w:numId w:val="23"/>
        </w:numPr>
      </w:pPr>
      <w:r w:rsidRPr="003F3461">
        <w:t>Lai individuālā un konsolidētā līmenī sniegtu informāciju par likviditātes seguma prasību saskaņā ar Regulas (ES) Nr. 575/2013 430. panta 1. punkta d) apakšpunktu, iestādes reizi mēnesī iesniedz šīs regulas XXIV pielikumā noteikto informāciju, ievērojot šīs regulas XXV pielikumā iekļautās norādes.</w:t>
      </w:r>
    </w:p>
    <w:p w14:paraId="58367B66" w14:textId="77777777" w:rsidR="00EF57C0" w:rsidRPr="003F3461" w:rsidRDefault="00EF57C0" w:rsidP="00EF57C0">
      <w:pPr>
        <w:pStyle w:val="NumPar1"/>
      </w:pPr>
      <w:r w:rsidRPr="003F3461">
        <w:t>Informācijā, kuru norāda XXIV pielikumā, ņem vērā informāciju, kuru iesniedz par atsauces datumu, un informāciju par iestādes naudas plūsmām nākamo 30 kalendāro dienu laikā.</w:t>
      </w:r>
    </w:p>
    <w:p w14:paraId="3D28E8D2" w14:textId="77777777" w:rsidR="00EF57C0" w:rsidRPr="003F3461" w:rsidRDefault="00EF57C0" w:rsidP="00EF57C0">
      <w:pPr>
        <w:pStyle w:val="Titrearticle"/>
      </w:pPr>
      <w:r w:rsidRPr="003F3461">
        <w:fldChar w:fldCharType="begin"/>
      </w:r>
      <w:r w:rsidRPr="003F3461">
        <w:instrText xml:space="preserve"> seq article </w:instrText>
      </w:r>
      <w:r w:rsidRPr="003F3461">
        <w:fldChar w:fldCharType="separate"/>
      </w:r>
      <w:r w:rsidRPr="003F3461">
        <w:t>17</w:t>
      </w:r>
      <w:r w:rsidRPr="003F3461">
        <w:fldChar w:fldCharType="end"/>
      </w:r>
      <w:r w:rsidRPr="003F3461">
        <w:t>. pants</w:t>
      </w:r>
    </w:p>
    <w:p w14:paraId="6578A84A" w14:textId="77777777" w:rsidR="00EF57C0" w:rsidRPr="003F3461" w:rsidRDefault="00EF57C0" w:rsidP="00EF57C0">
      <w:pPr>
        <w:pStyle w:val="Titrearticle"/>
        <w:spacing w:before="120"/>
        <w:rPr>
          <w:b/>
          <w:i w:val="0"/>
        </w:rPr>
      </w:pPr>
      <w:r w:rsidRPr="003F3461">
        <w:rPr>
          <w:b/>
          <w:i w:val="0"/>
        </w:rPr>
        <w:t>Pārskatu sniegšana individuālā un konsolidētā līmenī par stabilo finansējumu</w:t>
      </w:r>
    </w:p>
    <w:p w14:paraId="60DCFD37" w14:textId="77777777" w:rsidR="00EF57C0" w:rsidRPr="003F3461" w:rsidRDefault="00EF57C0" w:rsidP="00EF57C0">
      <w:r w:rsidRPr="003F3461">
        <w:t>Lai individuālā un konsolidētā līmenī sniegtu informāciju par stabilo finansējumu saskaņā ar Regulas (ES) Nr. 575/2013 430. panta 1. punkta d) apakšpunktu, iestādes reizi ceturksnī iesniedz šīs regulas XII pielikumā noteikto informāciju, ievērojot šīs regulas XIII pielikumā iekļautās norādes:</w:t>
      </w:r>
    </w:p>
    <w:p w14:paraId="18EB1B1F" w14:textId="77777777" w:rsidR="00EF57C0" w:rsidRPr="003F3461" w:rsidRDefault="00EF57C0" w:rsidP="00EF57C0">
      <w:pPr>
        <w:pStyle w:val="Point1"/>
      </w:pPr>
      <w:r w:rsidRPr="003F3461">
        <w:t>a)</w:t>
      </w:r>
      <w:r w:rsidRPr="003F3461">
        <w:tab/>
        <w:t>mazās un nesarežģītās iestādes, kas izvēlējušās aprēķināt savu neto stabila finansējuma rādītāju (NSFR), izmantojot Regulas (ES) Nr. 575/2013 sestās daļas IV sadaļas 6. un 7. nodaļā izklāstīto metodiku, saņēmušas iepriekšēju atļauju no kompetentās iestādes saskaņā ar minētās regulas 428.ai pantu, iesniedz šīs regulas XII pielikuma 82. un 83. veidni, ievērojot šīs regulas XIII pielikumā iekļautās norādes;</w:t>
      </w:r>
    </w:p>
    <w:p w14:paraId="0E7C3C92" w14:textId="77777777" w:rsidR="00EF57C0" w:rsidRPr="003F3461" w:rsidRDefault="00EF57C0" w:rsidP="00EF57C0">
      <w:pPr>
        <w:pStyle w:val="Point1"/>
      </w:pPr>
      <w:r w:rsidRPr="003F3461">
        <w:lastRenderedPageBreak/>
        <w:t>b)</w:t>
      </w:r>
      <w:r w:rsidRPr="003F3461">
        <w:tab/>
        <w:t xml:space="preserve">iestādes, kas nav a) apakšpunktā minētās iestādes, iesniedz XII pielikuma 80. un 81. veidni, ievērojot šīs regulas XIII pielikumā iekļautās norādes; </w:t>
      </w:r>
    </w:p>
    <w:p w14:paraId="4F2C6B61" w14:textId="77777777" w:rsidR="00EF57C0" w:rsidRPr="003F3461" w:rsidRDefault="00EF57C0" w:rsidP="00EF57C0">
      <w:pPr>
        <w:pStyle w:val="Point1"/>
      </w:pPr>
      <w:r w:rsidRPr="003F3461">
        <w:t>c)</w:t>
      </w:r>
      <w:r w:rsidRPr="003F3461">
        <w:tab/>
        <w:t>visas iestādes iesniedz XII pielikuma 84. veidni, ievērojot XIII pielikumā iekļautās norādes.</w:t>
      </w:r>
    </w:p>
    <w:p w14:paraId="762046DF" w14:textId="77777777" w:rsidR="00EF57C0" w:rsidRPr="003F3461" w:rsidRDefault="00EF57C0" w:rsidP="00EF57C0">
      <w:pPr>
        <w:pStyle w:val="Titrearticle"/>
      </w:pPr>
      <w:r w:rsidRPr="003F3461">
        <w:fldChar w:fldCharType="begin"/>
      </w:r>
      <w:r w:rsidRPr="003F3461">
        <w:instrText xml:space="preserve"> seq article </w:instrText>
      </w:r>
      <w:r w:rsidRPr="003F3461">
        <w:fldChar w:fldCharType="separate"/>
      </w:r>
      <w:r w:rsidRPr="003F3461">
        <w:t>18</w:t>
      </w:r>
      <w:r w:rsidRPr="003F3461">
        <w:fldChar w:fldCharType="end"/>
      </w:r>
      <w:r w:rsidRPr="003F3461">
        <w:t>. pants</w:t>
      </w:r>
    </w:p>
    <w:p w14:paraId="4F4BC2A9" w14:textId="77777777" w:rsidR="00EF57C0" w:rsidRPr="003F3461" w:rsidRDefault="00EF57C0" w:rsidP="00EF57C0">
      <w:pPr>
        <w:pStyle w:val="Titrearticle"/>
        <w:spacing w:before="120"/>
        <w:rPr>
          <w:b/>
          <w:i w:val="0"/>
        </w:rPr>
      </w:pPr>
      <w:r w:rsidRPr="003F3461">
        <w:rPr>
          <w:b/>
          <w:i w:val="0"/>
        </w:rPr>
        <w:t>Pārskatu sniegšana individuālā un konsolidētā līmenī par likviditātes novērtēšanas papildu rādītājiem</w:t>
      </w:r>
    </w:p>
    <w:p w14:paraId="2877ABBB" w14:textId="77777777" w:rsidR="00EF57C0" w:rsidRPr="003F3461" w:rsidRDefault="00EF57C0" w:rsidP="004F7144">
      <w:pPr>
        <w:pStyle w:val="NumPar1"/>
        <w:numPr>
          <w:ilvl w:val="0"/>
          <w:numId w:val="24"/>
        </w:numPr>
      </w:pPr>
      <w:r w:rsidRPr="003F3461">
        <w:t xml:space="preserve">Lai individuālā un konsolidētā līmenī sniegtu informāciju par likviditātes novērtēšanas papildu rādītājiem saskaņā ar Regulas (ES) Nr. 575/2013 430. panta 1. punkta b) apakšpunktu, iestādes reizi mēnesī iesniedz visu turpmāk minēto informāciju: </w:t>
      </w:r>
    </w:p>
    <w:p w14:paraId="1203F2B6" w14:textId="77777777" w:rsidR="00EF57C0" w:rsidRPr="003F3461" w:rsidRDefault="00EF57C0" w:rsidP="00EF57C0">
      <w:pPr>
        <w:pStyle w:val="Point1"/>
      </w:pPr>
      <w:r w:rsidRPr="003F3461">
        <w:t>a)</w:t>
      </w:r>
      <w:r w:rsidRPr="003F3461">
        <w:tab/>
        <w:t xml:space="preserve">XVIII pielikumā noteikto informāciju, ievērojot XIX pielikumā iekļautās norādes; </w:t>
      </w:r>
    </w:p>
    <w:p w14:paraId="3C82F86C" w14:textId="77777777" w:rsidR="00EF57C0" w:rsidRPr="003F3461" w:rsidRDefault="00EF57C0" w:rsidP="00EF57C0">
      <w:pPr>
        <w:pStyle w:val="Point1"/>
      </w:pPr>
      <w:r w:rsidRPr="003F3461">
        <w:t>b)</w:t>
      </w:r>
      <w:r w:rsidRPr="003F3461">
        <w:tab/>
        <w:t xml:space="preserve">XX pielikumā noteikto informāciju, ievērojot XXI pielikumā iekļautās norādes; </w:t>
      </w:r>
    </w:p>
    <w:p w14:paraId="07812BF1" w14:textId="77777777" w:rsidR="00EF57C0" w:rsidRPr="003F3461" w:rsidRDefault="00EF57C0" w:rsidP="00EF57C0">
      <w:pPr>
        <w:pStyle w:val="Point1"/>
      </w:pPr>
      <w:r w:rsidRPr="003F3461">
        <w:t>c)</w:t>
      </w:r>
      <w:r w:rsidRPr="003F3461">
        <w:tab/>
        <w:t xml:space="preserve">XXII pielikumā noteikto informāciju, ievērojot XXIII pielikumā iekļautās norādes. </w:t>
      </w:r>
    </w:p>
    <w:p w14:paraId="017F74D3" w14:textId="77777777" w:rsidR="00EF57C0" w:rsidRPr="003F3461" w:rsidRDefault="00EF57C0" w:rsidP="00EF57C0">
      <w:pPr>
        <w:pStyle w:val="NumPar1"/>
        <w:rPr>
          <w:szCs w:val="32"/>
        </w:rPr>
      </w:pPr>
      <w:r w:rsidRPr="003F3461">
        <w:t>Atkāpjoties no 1. punkta, iestāde, kas atbilst visiem Regulas (ES) Nr. 575/2013 4. panta 1. punkta 145) apakšpunkta nosacījumiem, informāciju par likviditātes novērtēšanas papildu rādītājiem var sniegt reizi ceturksnī.</w:t>
      </w:r>
    </w:p>
    <w:p w14:paraId="11B185F1" w14:textId="77777777" w:rsidR="00EF57C0" w:rsidRPr="003F3461" w:rsidRDefault="00EF57C0" w:rsidP="00EF57C0">
      <w:pPr>
        <w:pStyle w:val="Titrearticle"/>
      </w:pPr>
      <w:r w:rsidRPr="003F3461">
        <w:t>19. pants</w:t>
      </w:r>
    </w:p>
    <w:p w14:paraId="626C265F" w14:textId="77777777" w:rsidR="00EF57C0" w:rsidRPr="003F3461" w:rsidRDefault="00EF57C0" w:rsidP="00EF57C0">
      <w:pPr>
        <w:pStyle w:val="Text1"/>
      </w:pPr>
      <w:r w:rsidRPr="003F3461">
        <w:rPr>
          <w:b/>
        </w:rPr>
        <w:t>Pārskatu sniegšana individuālā un konsolidētā līmenī par aktīvu apgrūtinājumiem</w:t>
      </w:r>
    </w:p>
    <w:p w14:paraId="6A08FC37" w14:textId="77777777" w:rsidR="00EF57C0" w:rsidRPr="003F3461" w:rsidRDefault="00EF57C0" w:rsidP="004F7144">
      <w:pPr>
        <w:pStyle w:val="NumPar1"/>
        <w:numPr>
          <w:ilvl w:val="0"/>
          <w:numId w:val="26"/>
        </w:numPr>
      </w:pPr>
      <w:r w:rsidRPr="003F3461">
        <w:t xml:space="preserve">Lai individuālā un konsolidētā līmenī sniegtu informāciju par aktīvu apgrūtinājumiem saskaņā ar Regulas (ES) Nr. 575/2013 430. panta 1. punkta g) apakšpunktu, iestādes iesniedz šīs regulas XVI pielikumā noteikto informāciju, ievērojot šīs regulas XVII pielikumā iekļautās norādes. </w:t>
      </w:r>
    </w:p>
    <w:p w14:paraId="75C0A923" w14:textId="77777777" w:rsidR="00EF57C0" w:rsidRPr="003F3461" w:rsidRDefault="00EF57C0" w:rsidP="00EF57C0">
      <w:pPr>
        <w:pStyle w:val="NumPar1"/>
      </w:pPr>
      <w:r w:rsidRPr="003F3461">
        <w:t xml:space="preserve">Informāciju, kas minēta 1. punktā, iesniedz šādi: </w:t>
      </w:r>
    </w:p>
    <w:p w14:paraId="7B2597C7" w14:textId="77777777" w:rsidR="00EF57C0" w:rsidRPr="003F3461" w:rsidRDefault="00EF57C0" w:rsidP="00EF57C0">
      <w:pPr>
        <w:pStyle w:val="Point1"/>
      </w:pPr>
      <w:r w:rsidRPr="003F3461">
        <w:t>a)</w:t>
      </w:r>
      <w:r w:rsidRPr="003F3461">
        <w:tab/>
        <w:t xml:space="preserve">XVI pielikuma A, B un D daļā noteikto informāciju iesniedz reizi ceturksnī; </w:t>
      </w:r>
    </w:p>
    <w:p w14:paraId="6C3C9511" w14:textId="77777777" w:rsidR="00EF57C0" w:rsidRPr="003F3461" w:rsidRDefault="00EF57C0" w:rsidP="00EF57C0">
      <w:pPr>
        <w:pStyle w:val="Point1"/>
      </w:pPr>
      <w:r w:rsidRPr="003F3461">
        <w:t>b)</w:t>
      </w:r>
      <w:r w:rsidRPr="003F3461">
        <w:tab/>
        <w:t xml:space="preserve">XVI pielikumā C daļā noteikto informāciju iesniedz reizi gadā; </w:t>
      </w:r>
    </w:p>
    <w:p w14:paraId="6B2F9D0B" w14:textId="77777777" w:rsidR="00EF57C0" w:rsidRPr="003F3461" w:rsidRDefault="00EF57C0" w:rsidP="00EF57C0">
      <w:pPr>
        <w:pStyle w:val="Point1"/>
      </w:pPr>
      <w:r w:rsidRPr="003F3461">
        <w:t>c)</w:t>
      </w:r>
      <w:r w:rsidRPr="003F3461">
        <w:tab/>
        <w:t xml:space="preserve">XVI pielikumā E daļā noteikto informāciju iesniedz reizi pusgadā. </w:t>
      </w:r>
    </w:p>
    <w:p w14:paraId="1CA8902E" w14:textId="77777777" w:rsidR="00EF57C0" w:rsidRPr="003F3461" w:rsidRDefault="00EF57C0" w:rsidP="00EF57C0">
      <w:pPr>
        <w:pStyle w:val="NumPar1"/>
      </w:pPr>
      <w:r w:rsidRPr="003F3461">
        <w:t xml:space="preserve">Iestādēm nav jāsniedz XVI pielikuma B, C un E daļā noteiktā informāciju, ja ir izpildīti abi turpmāk minētie nosacījumi: </w:t>
      </w:r>
    </w:p>
    <w:p w14:paraId="09AFFED2" w14:textId="77777777" w:rsidR="00EF57C0" w:rsidRPr="003F3461" w:rsidRDefault="00EF57C0" w:rsidP="00EF57C0">
      <w:pPr>
        <w:pStyle w:val="Point1"/>
      </w:pPr>
      <w:r w:rsidRPr="003F3461">
        <w:t>a)</w:t>
      </w:r>
      <w:r w:rsidRPr="003F3461">
        <w:tab/>
        <w:t>iestāde nav uzskatāma par lielu iestādi;</w:t>
      </w:r>
    </w:p>
    <w:p w14:paraId="3FCF640E" w14:textId="77777777" w:rsidR="00EF57C0" w:rsidRPr="003F3461" w:rsidRDefault="00EF57C0" w:rsidP="00EF57C0">
      <w:pPr>
        <w:pStyle w:val="Point1"/>
      </w:pPr>
      <w:r w:rsidRPr="003F3461">
        <w:t>b)</w:t>
      </w:r>
      <w:r w:rsidRPr="003F3461">
        <w:tab/>
        <w:t>iestādes aktīvu apgrūtinājumu līmenis, kas aprēķināts saskaņā ar XVII pielikuma 1.6  punkta 9. apakšpunktu, ir mazāks par 15 %.</w:t>
      </w:r>
    </w:p>
    <w:p w14:paraId="123E358B" w14:textId="77777777" w:rsidR="00EF57C0" w:rsidRPr="003F3461" w:rsidRDefault="00EF57C0" w:rsidP="00EF57C0">
      <w:pPr>
        <w:pStyle w:val="Text1"/>
      </w:pPr>
      <w:r w:rsidRPr="003F3461">
        <w:t xml:space="preserve">Piemēro 4. panta 3. punktā paredzētos iekļaušanas un izslēgšanas kritērijus. </w:t>
      </w:r>
    </w:p>
    <w:p w14:paraId="7798E1C5" w14:textId="77777777" w:rsidR="00EF57C0" w:rsidRPr="003F3461" w:rsidRDefault="00EF57C0" w:rsidP="00EF57C0">
      <w:pPr>
        <w:pStyle w:val="NumPar1"/>
      </w:pPr>
      <w:r w:rsidRPr="003F3461">
        <w:lastRenderedPageBreak/>
        <w:t>Iestādes XVI pielikuma D daļā noteikto informāciju sniedz tikai tad, ja tās emitē obligācijas, kas minētas Eiropas Parlamenta un Padomes Direktīvas 2009/65/EK</w:t>
      </w:r>
      <w:r w:rsidRPr="003F3461">
        <w:rPr>
          <w:rStyle w:val="FootnoteReference"/>
        </w:rPr>
        <w:footnoteReference w:id="11"/>
      </w:r>
      <w:r w:rsidRPr="003F3461">
        <w:t xml:space="preserve"> 52. panta 4. punkta pirmajā daļā. </w:t>
      </w:r>
    </w:p>
    <w:p w14:paraId="3F1A3F53" w14:textId="77777777" w:rsidR="00EF57C0" w:rsidRPr="003F3461" w:rsidRDefault="00EF57C0" w:rsidP="00EF57C0">
      <w:pPr>
        <w:pStyle w:val="Text1"/>
      </w:pPr>
      <w:r w:rsidRPr="003F3461">
        <w:t>Piemēro 4. panta 3. punktā paredzētos iekļaušanas un izslēgšanas kritērijus.</w:t>
      </w:r>
    </w:p>
    <w:p w14:paraId="6CFC1742" w14:textId="77777777" w:rsidR="00EF57C0" w:rsidRPr="003F3461" w:rsidRDefault="00EF57C0" w:rsidP="00EF57C0">
      <w:pPr>
        <w:pStyle w:val="Titrearticle"/>
      </w:pPr>
      <w:r w:rsidRPr="003F3461">
        <w:t>20. pants</w:t>
      </w:r>
    </w:p>
    <w:p w14:paraId="1E154374" w14:textId="77777777" w:rsidR="00EF57C0" w:rsidRPr="003F3461" w:rsidRDefault="00EF57C0" w:rsidP="00EF57C0">
      <w:pPr>
        <w:pStyle w:val="Text1"/>
      </w:pPr>
      <w:r w:rsidRPr="003F3461">
        <w:rPr>
          <w:b/>
        </w:rPr>
        <w:t>Papildu pārskatu sniegšana konsolidētā līmenī nolūkā identificēt G-SNI un noteikt G-SNI rezervju normas</w:t>
      </w:r>
    </w:p>
    <w:p w14:paraId="30C97203" w14:textId="77777777" w:rsidR="00EF57C0" w:rsidRPr="003F3461" w:rsidRDefault="00EF57C0" w:rsidP="004F7144">
      <w:pPr>
        <w:pStyle w:val="NumPar1"/>
        <w:numPr>
          <w:ilvl w:val="0"/>
          <w:numId w:val="25"/>
        </w:numPr>
      </w:pPr>
      <w:r w:rsidRPr="003F3461">
        <w:t>Lai konsolidētā līmenī sniegtu papildinformāciju nolūkā identificēt G-SNI un noteikt G-SNI rezervju normas saskaņā ar Direktīvas 2013/36/ES 131. pantu, ES mātes iestādes, ES mātes finanšu pārvaldītājsabiedrības un ES mātes jauktas finanšu pārvaldītājsabiedrības reizi ceturksnī iesniedz XXVI pielikumā noteikto informāciju, ievērojot XXVII pielikumā iekļautās norādes.</w:t>
      </w:r>
    </w:p>
    <w:p w14:paraId="3B27B1C2" w14:textId="77777777" w:rsidR="00EF57C0" w:rsidRPr="003F3461" w:rsidRDefault="00EF57C0" w:rsidP="00EF57C0">
      <w:pPr>
        <w:pStyle w:val="NumPar1"/>
      </w:pPr>
      <w:r w:rsidRPr="003F3461">
        <w:t>ES mātes iestādes, ES mātes finanšu pārvaldītājsabiedrības un ES mātes jauktas finanšu pārvaldītājsabiedrības iesniedz 1. punktā minēto informāciju tikai tad, ja ir izpildīti abi turpmāk minētie nosacījumi:</w:t>
      </w:r>
    </w:p>
    <w:p w14:paraId="7CDB430E" w14:textId="77777777" w:rsidR="00EF57C0" w:rsidRPr="003F3461" w:rsidRDefault="00EF57C0" w:rsidP="00EF57C0">
      <w:pPr>
        <w:pStyle w:val="Point1"/>
      </w:pPr>
      <w:r w:rsidRPr="003F3461">
        <w:t>a)</w:t>
      </w:r>
      <w:r w:rsidRPr="003F3461">
        <w:tab/>
        <w:t>grupas, tostarp apdrošināšanas meitasuzņēmumu, kopējās riska darījumu vērtības mērs ir vienāds ar vai lielāks par 125 000 miljoniem EUR;</w:t>
      </w:r>
    </w:p>
    <w:p w14:paraId="02A8594A" w14:textId="77777777" w:rsidR="00EF57C0" w:rsidRPr="003F3461" w:rsidRDefault="00EF57C0" w:rsidP="00EF57C0">
      <w:pPr>
        <w:pStyle w:val="Point1"/>
      </w:pPr>
      <w:r w:rsidRPr="003F3461">
        <w:t>b)</w:t>
      </w:r>
      <w:r w:rsidRPr="003F3461">
        <w:tab/>
        <w:t>ES mātesuzņēmums vai jebkurš tā meitasuzņēmums, vai jebkura tā filiāle, ko pārvalda mātesuzņēmums vai meitasuzņēmums, atrodas iesaistītajā dalībvalstī, kā minēts Eiropas Parlamenta un Padomes Regulas (ES) Nr. 806/2014</w:t>
      </w:r>
      <w:r w:rsidRPr="003F3461">
        <w:rPr>
          <w:rStyle w:val="FootnoteReference"/>
        </w:rPr>
        <w:footnoteReference w:id="12"/>
      </w:r>
      <w:r w:rsidRPr="003F3461">
        <w:t xml:space="preserve"> 4. pantā.</w:t>
      </w:r>
    </w:p>
    <w:p w14:paraId="0F762043" w14:textId="77777777" w:rsidR="00EF57C0" w:rsidRPr="003F3461" w:rsidRDefault="00EF57C0" w:rsidP="00EF57C0">
      <w:pPr>
        <w:pStyle w:val="NumPar1"/>
      </w:pPr>
      <w:r w:rsidRPr="003F3461">
        <w:t>Atkāpjoties no 3. panta 1. punkta b) apakšpunkta, šā panta 1. punktā minēto informāciju iesniedz līdz darbdienas beigām šādos nosūtīšanas datumos: 1. jūlijā, 1. oktobrī, 2. janvārī un 1. aprīlī.</w:t>
      </w:r>
    </w:p>
    <w:p w14:paraId="41C05C8B" w14:textId="77777777" w:rsidR="00EF57C0" w:rsidRPr="003F3461" w:rsidRDefault="00EF57C0" w:rsidP="00EF57C0">
      <w:pPr>
        <w:pStyle w:val="NumPar1"/>
      </w:pPr>
      <w:r w:rsidRPr="003F3461">
        <w:t>Atkāpjoties no 4. panta, šā panta 2. punkta a) apakšpunktā noteiktajai robežvērtībai piemēro šādus noteikumus:</w:t>
      </w:r>
    </w:p>
    <w:p w14:paraId="0BAB25CD" w14:textId="77777777" w:rsidR="00EF57C0" w:rsidRPr="003F3461" w:rsidRDefault="00EF57C0" w:rsidP="00EF57C0">
      <w:pPr>
        <w:pStyle w:val="Point1"/>
      </w:pPr>
      <w:r w:rsidRPr="003F3461">
        <w:t>a)</w:t>
      </w:r>
      <w:r w:rsidRPr="003F3461">
        <w:tab/>
        <w:t>ES mātes iestāde, ES mātes finanšu pārvaldītājsabiedrība vai ES mātes jaukta finanšu pārvaldītājsabiedrība nekavējoties sāk sniegt informāciju saskaņā ar šo pantu, ja tās riska darījumu vērtības mērs sviras rādītāja aprēķina nolūkā grāmatvedības gada beigās pārsniedz noteikto robežvērtību, un sniedz šo informāciju vismaz par minētā grāmatvedības gada beigām un turpmākajiem trim ceturkšņa atsauces datumiem;</w:t>
      </w:r>
    </w:p>
    <w:p w14:paraId="3FD5F321" w14:textId="77777777" w:rsidR="00EF57C0" w:rsidRPr="003F3461" w:rsidRDefault="00EF57C0" w:rsidP="00EF57C0">
      <w:pPr>
        <w:pStyle w:val="Point1"/>
      </w:pPr>
      <w:r w:rsidRPr="003F3461">
        <w:t>b)</w:t>
      </w:r>
      <w:r w:rsidRPr="003F3461">
        <w:tab/>
        <w:t>ES mātes iestāde, ES mātes finanšu pārvaldītājsabiedrība vai ES mātes jaukta finanšu pārvaldītājsabiedrība nekavējoties pārtrauc sniegt informāciju saskaņā ar šo pantu, ja tās riska darījumu vērtības mērs sviras rādītāja aprēķina nolūkā grāmatvedības gada beigās ir mazāks par noteikto robežvērtību.</w:t>
      </w:r>
    </w:p>
    <w:p w14:paraId="0DDD01AC" w14:textId="77777777" w:rsidR="00EF57C0" w:rsidRPr="003F3461" w:rsidRDefault="00EF57C0" w:rsidP="00EF57C0">
      <w:pPr>
        <w:pStyle w:val="Titrearticle"/>
      </w:pPr>
      <w:r w:rsidRPr="003F3461">
        <w:lastRenderedPageBreak/>
        <w:t>21. pants</w:t>
      </w:r>
    </w:p>
    <w:p w14:paraId="7295DE4D" w14:textId="77777777" w:rsidR="00EF57C0" w:rsidRPr="003F3461" w:rsidRDefault="00EF57C0" w:rsidP="00EF57C0">
      <w:pPr>
        <w:pStyle w:val="Titrearticle"/>
        <w:spacing w:before="120"/>
      </w:pPr>
      <w:r w:rsidRPr="003F3461">
        <w:rPr>
          <w:b/>
          <w:i w:val="0"/>
        </w:rPr>
        <w:t>Datu apmaiņas formāti un kopā ar pārskatiem norādāmā informācija</w:t>
      </w:r>
    </w:p>
    <w:p w14:paraId="7A7E205D" w14:textId="77777777" w:rsidR="00EF57C0" w:rsidRPr="003F3461" w:rsidRDefault="00EF57C0" w:rsidP="004F7144">
      <w:pPr>
        <w:pStyle w:val="NumPar1"/>
        <w:numPr>
          <w:ilvl w:val="0"/>
          <w:numId w:val="27"/>
        </w:numPr>
      </w:pPr>
      <w:r w:rsidRPr="003F3461">
        <w:t>Iestādes iesniedz informāciju datu apmaiņas formātos un atveidojumos, kurus noteikušas kompetentās iestādes, un ievērojot datu punktu modeļa datu punktu definīcijas, kas minētas XIV pielikumā, un validācijas formulas, kas minētas XV pielikumā, kā arī šādas specifikācijas:</w:t>
      </w:r>
    </w:p>
    <w:p w14:paraId="53AC7B4E" w14:textId="77777777" w:rsidR="00EF57C0" w:rsidRPr="003F3461" w:rsidRDefault="00EF57C0" w:rsidP="00EF57C0">
      <w:pPr>
        <w:pStyle w:val="Point1"/>
      </w:pPr>
      <w:r w:rsidRPr="003F3461">
        <w:t>a)</w:t>
      </w:r>
      <w:r w:rsidRPr="003F3461">
        <w:tab/>
        <w:t>informāciju, kas nav prasīta vai uz konkrēto iestādi neattiecas, nosūtamajos datos neiekļauj;</w:t>
      </w:r>
    </w:p>
    <w:p w14:paraId="1B03525A" w14:textId="77777777" w:rsidR="00EF57C0" w:rsidRPr="003F3461" w:rsidRDefault="00EF57C0" w:rsidP="00EF57C0">
      <w:pPr>
        <w:pStyle w:val="Point1"/>
      </w:pPr>
      <w:r w:rsidRPr="003F3461">
        <w:t>b)</w:t>
      </w:r>
      <w:r w:rsidRPr="003F3461">
        <w:tab/>
        <w:t>skaitliskās vērtības iesniedz šādi:</w:t>
      </w:r>
    </w:p>
    <w:p w14:paraId="697B1990" w14:textId="77777777" w:rsidR="00EF57C0" w:rsidRPr="003F3461" w:rsidRDefault="00EF57C0" w:rsidP="00EF57C0">
      <w:pPr>
        <w:pStyle w:val="Point2"/>
      </w:pPr>
      <w:r w:rsidRPr="003F3461">
        <w:t>i)</w:t>
      </w:r>
      <w:r w:rsidRPr="003F3461">
        <w:tab/>
        <w:t>datu punktus ar datu tipu “monetārs” uzrāda, izmantojot minimuma precizitāti, kas ir tūkstoš vienību;</w:t>
      </w:r>
    </w:p>
    <w:p w14:paraId="3290A578" w14:textId="77777777" w:rsidR="00EF57C0" w:rsidRPr="003F3461" w:rsidRDefault="00EF57C0" w:rsidP="00EF57C0">
      <w:pPr>
        <w:pStyle w:val="Point2"/>
      </w:pPr>
      <w:r w:rsidRPr="003F3461">
        <w:t>ii)</w:t>
      </w:r>
      <w:r w:rsidRPr="003F3461">
        <w:tab/>
        <w:t>datu punktus ar datu tipu “procenti” izsaka relatīvajās vienībās ar minimuma precizitāti, kas ir četri cipari aiz komata;</w:t>
      </w:r>
    </w:p>
    <w:p w14:paraId="7228C59B" w14:textId="77777777" w:rsidR="00EF57C0" w:rsidRPr="003F3461" w:rsidRDefault="00EF57C0" w:rsidP="00EF57C0">
      <w:pPr>
        <w:pStyle w:val="Point2"/>
      </w:pPr>
      <w:r w:rsidRPr="003F3461">
        <w:t>iii)</w:t>
      </w:r>
      <w:r w:rsidRPr="003F3461">
        <w:tab/>
        <w:t>datu punktus ar datu tipu “vesels skaitlis” uzrāda bez cipariem aiz komata un ar precizitāti, kas ir viens;</w:t>
      </w:r>
    </w:p>
    <w:p w14:paraId="2131C36C" w14:textId="77777777" w:rsidR="00EF57C0" w:rsidRPr="003F3461" w:rsidRDefault="00EF57C0" w:rsidP="00EF57C0">
      <w:pPr>
        <w:pStyle w:val="Point1"/>
        <w:rPr>
          <w:szCs w:val="24"/>
        </w:rPr>
      </w:pPr>
      <w:r w:rsidRPr="003F3461">
        <w:t>c)</w:t>
      </w:r>
      <w:r w:rsidRPr="003F3461">
        <w:tab/>
        <w:t>iestādes un apdrošināšanas sabiedrības identificē tikai pēc to tiesību subjekta identifikatora (</w:t>
      </w:r>
      <w:r w:rsidRPr="003F3461">
        <w:rPr>
          <w:i/>
        </w:rPr>
        <w:t>LEI</w:t>
      </w:r>
      <w:r w:rsidRPr="003F3461">
        <w:t>);</w:t>
      </w:r>
    </w:p>
    <w:p w14:paraId="0D22C04F" w14:textId="77777777" w:rsidR="00EF57C0" w:rsidRPr="003F3461" w:rsidRDefault="00EF57C0" w:rsidP="00EF57C0">
      <w:pPr>
        <w:pStyle w:val="Point1"/>
      </w:pPr>
      <w:r w:rsidRPr="003F3461">
        <w:t xml:space="preserve">d) tiesību subjektus un darījumu partnerus, kas nav iestādes un apdrošināšanas sabiedrības, identificē pēc to </w:t>
      </w:r>
      <w:r w:rsidRPr="003F3461">
        <w:rPr>
          <w:i/>
        </w:rPr>
        <w:t>LEI</w:t>
      </w:r>
      <w:r w:rsidRPr="003F3461">
        <w:t>, ja tas ir pieejams.</w:t>
      </w:r>
    </w:p>
    <w:p w14:paraId="09384169" w14:textId="77777777" w:rsidR="00EF57C0" w:rsidRPr="003F3461" w:rsidRDefault="00EF57C0" w:rsidP="00EF57C0">
      <w:pPr>
        <w:pStyle w:val="NumPar1"/>
        <w:widowControl w:val="0"/>
        <w:autoSpaceDE w:val="0"/>
        <w:autoSpaceDN w:val="0"/>
        <w:spacing w:line="228" w:lineRule="auto"/>
        <w:rPr>
          <w:szCs w:val="24"/>
        </w:rPr>
      </w:pPr>
      <w:r w:rsidRPr="003F3461">
        <w:t>Iesniegtajiem datiem iestādes pievieno šādu informāciju:</w:t>
      </w:r>
    </w:p>
    <w:p w14:paraId="4E322126" w14:textId="77777777" w:rsidR="00EF57C0" w:rsidRPr="003F3461" w:rsidRDefault="00EF57C0" w:rsidP="00EF57C0">
      <w:pPr>
        <w:pStyle w:val="Point1"/>
      </w:pPr>
      <w:r w:rsidRPr="003F3461">
        <w:t>a)</w:t>
      </w:r>
      <w:r w:rsidRPr="003F3461">
        <w:tab/>
        <w:t>pārskatu atsauces datums un atsauces periods;</w:t>
      </w:r>
    </w:p>
    <w:p w14:paraId="742E9DFF" w14:textId="77777777" w:rsidR="00EF57C0" w:rsidRPr="003F3461" w:rsidRDefault="00EF57C0" w:rsidP="00EF57C0">
      <w:pPr>
        <w:pStyle w:val="Point1"/>
      </w:pPr>
      <w:r w:rsidRPr="003F3461">
        <w:t>b)</w:t>
      </w:r>
      <w:r w:rsidRPr="003F3461">
        <w:tab/>
        <w:t>pārskatu sniegšanas valūta;</w:t>
      </w:r>
    </w:p>
    <w:p w14:paraId="3B702EC2" w14:textId="77777777" w:rsidR="00EF57C0" w:rsidRPr="003F3461" w:rsidRDefault="00EF57C0" w:rsidP="00EF57C0">
      <w:pPr>
        <w:pStyle w:val="Point1"/>
      </w:pPr>
      <w:r w:rsidRPr="003F3461">
        <w:t>c)</w:t>
      </w:r>
      <w:r w:rsidRPr="003F3461">
        <w:tab/>
        <w:t>grāmatvedības standarts;</w:t>
      </w:r>
    </w:p>
    <w:p w14:paraId="59BE8A56" w14:textId="77777777" w:rsidR="00EF57C0" w:rsidRPr="003F3461" w:rsidRDefault="00EF57C0" w:rsidP="00EF57C0">
      <w:pPr>
        <w:pStyle w:val="Point1"/>
      </w:pPr>
      <w:r w:rsidRPr="003F3461">
        <w:t>d)</w:t>
      </w:r>
      <w:r w:rsidRPr="003F3461">
        <w:tab/>
        <w:t>pārskatus sniedzošās iestādes tiesību subjekta identifikators (</w:t>
      </w:r>
      <w:r w:rsidRPr="003F3461">
        <w:rPr>
          <w:i/>
        </w:rPr>
        <w:t>LEI</w:t>
      </w:r>
      <w:r w:rsidRPr="003F3461">
        <w:t>);</w:t>
      </w:r>
    </w:p>
    <w:p w14:paraId="7DCDF87A" w14:textId="77777777" w:rsidR="00EF57C0" w:rsidRPr="003F3461" w:rsidRDefault="00EF57C0" w:rsidP="00EF57C0">
      <w:pPr>
        <w:pStyle w:val="Point1"/>
      </w:pPr>
      <w:r w:rsidRPr="003F3461">
        <w:t>e)</w:t>
      </w:r>
      <w:r w:rsidRPr="003F3461">
        <w:tab/>
        <w:t>konsolidācijas tvērums.</w:t>
      </w:r>
    </w:p>
    <w:p w14:paraId="61C26E75" w14:textId="77777777" w:rsidR="00EF57C0" w:rsidRPr="003F3461" w:rsidRDefault="00EF57C0" w:rsidP="00EF57C0">
      <w:pPr>
        <w:pStyle w:val="Titrearticle"/>
        <w:spacing w:before="120"/>
      </w:pPr>
      <w:r w:rsidRPr="003F3461">
        <w:t>22. pants</w:t>
      </w:r>
    </w:p>
    <w:p w14:paraId="7B146E5E" w14:textId="77777777" w:rsidR="00EF57C0" w:rsidRPr="003F3461" w:rsidRDefault="00EF57C0" w:rsidP="00EF57C0">
      <w:pPr>
        <w:pStyle w:val="Titrearticle"/>
      </w:pPr>
      <w:r w:rsidRPr="003F3461">
        <w:rPr>
          <w:b/>
          <w:bCs/>
          <w:i w:val="0"/>
        </w:rPr>
        <w:t>Īstenošanas regulas (ES) Nr. 680/2014 atcelšana</w:t>
      </w:r>
    </w:p>
    <w:p w14:paraId="59DB139E" w14:textId="77777777" w:rsidR="00EF57C0" w:rsidRPr="003F3461" w:rsidRDefault="00EF57C0" w:rsidP="00EF57C0">
      <w:r w:rsidRPr="003F3461">
        <w:t xml:space="preserve">Īstenošanas regulu (ES) Nr. 680/2014 atceļ. </w:t>
      </w:r>
    </w:p>
    <w:p w14:paraId="448C7DD3" w14:textId="77777777" w:rsidR="00EF57C0" w:rsidRPr="003F3461" w:rsidRDefault="00EF57C0" w:rsidP="00EF57C0">
      <w:r w:rsidRPr="003F3461">
        <w:t>Atsauces uz atcelto regulu uzskata par atsaucēm uz šo regulu.</w:t>
      </w:r>
    </w:p>
    <w:p w14:paraId="5CC3D0EE" w14:textId="77777777" w:rsidR="00EF57C0" w:rsidRPr="003F3461" w:rsidRDefault="00EF57C0" w:rsidP="00EF57C0">
      <w:pPr>
        <w:pStyle w:val="Titrearticle"/>
      </w:pPr>
      <w:r w:rsidRPr="003F3461">
        <w:t>23. pants</w:t>
      </w:r>
    </w:p>
    <w:p w14:paraId="5F332D06" w14:textId="77777777" w:rsidR="00EF57C0" w:rsidRPr="003F3461" w:rsidRDefault="00EF57C0" w:rsidP="00EF57C0">
      <w:pPr>
        <w:pStyle w:val="Titrearticle"/>
        <w:rPr>
          <w:b/>
          <w:i w:val="0"/>
        </w:rPr>
      </w:pPr>
      <w:r w:rsidRPr="003F3461">
        <w:rPr>
          <w:b/>
          <w:i w:val="0"/>
        </w:rPr>
        <w:t>Stāšanās spēkā un piemērošana</w:t>
      </w:r>
    </w:p>
    <w:p w14:paraId="495334F7" w14:textId="77777777" w:rsidR="00EF57C0" w:rsidRPr="003F3461" w:rsidRDefault="00EF57C0" w:rsidP="00EF57C0">
      <w:r w:rsidRPr="003F3461">
        <w:t xml:space="preserve">Šī regula stājas spēkā nākamajā dienā pēc tās publicēšanas </w:t>
      </w:r>
      <w:r w:rsidRPr="003F3461">
        <w:rPr>
          <w:i/>
        </w:rPr>
        <w:t>Eiropas Savienības Oficiālajā Vēstnesī</w:t>
      </w:r>
      <w:r w:rsidRPr="003F3461">
        <w:t>.</w:t>
      </w:r>
    </w:p>
    <w:p w14:paraId="1823D641" w14:textId="77777777" w:rsidR="00EF57C0" w:rsidRPr="003F3461" w:rsidRDefault="00EF57C0" w:rsidP="00EF57C0">
      <w:r w:rsidRPr="003F3461">
        <w:t>To piemēro no 2021. gada 28. jūnija.</w:t>
      </w:r>
    </w:p>
    <w:p w14:paraId="31DF2C05" w14:textId="77777777" w:rsidR="00EF57C0" w:rsidRPr="003F3461" w:rsidRDefault="00EF57C0" w:rsidP="00EF57C0">
      <w:r w:rsidRPr="003F3461">
        <w:t>Neatkarīgi no šā panta otrās daļas X pielikuma 47. veidnē paredzēto pārskatu par sviras rādītāja rezervju prasību iestādēm, kas identificētas kā G-SNI, piemēro no 2023. gada 1. janvāra.</w:t>
      </w:r>
    </w:p>
    <w:p w14:paraId="59A87C54" w14:textId="77777777" w:rsidR="00EF57C0" w:rsidRPr="003F3461" w:rsidRDefault="00EF57C0" w:rsidP="00EF57C0">
      <w:r w:rsidRPr="003F3461">
        <w:lastRenderedPageBreak/>
        <w:t>9. un 10. pantu beidz piemērot 2026. gada 26. jūnijā.</w:t>
      </w:r>
    </w:p>
    <w:p w14:paraId="2FB68B6B" w14:textId="77777777" w:rsidR="00EF57C0" w:rsidRPr="003F3461" w:rsidRDefault="00EF57C0" w:rsidP="00EF57C0">
      <w:pPr>
        <w:pStyle w:val="Applicationdirecte"/>
      </w:pPr>
      <w:r w:rsidRPr="003F3461">
        <w:t>Šī regula uzliek saistības kopumā un ir tieši piemērojama visās dalībvalstīs.</w:t>
      </w:r>
    </w:p>
    <w:p w14:paraId="090F46BD" w14:textId="09976320" w:rsidR="00EF57C0" w:rsidRPr="003F3461" w:rsidRDefault="003F3461" w:rsidP="003F3461">
      <w:pPr>
        <w:pStyle w:val="Fait"/>
      </w:pPr>
      <w:r w:rsidRPr="003F3461">
        <w:t>Briselē,</w:t>
      </w:r>
    </w:p>
    <w:p w14:paraId="2A198359" w14:textId="77777777" w:rsidR="00EF57C0" w:rsidRPr="003F3461" w:rsidRDefault="00EF57C0" w:rsidP="00EF57C0">
      <w:pPr>
        <w:pStyle w:val="Institutionquisigne"/>
      </w:pPr>
      <w:r w:rsidRPr="003F3461">
        <w:tab/>
        <w:t>Komisijas vārdā –</w:t>
      </w:r>
    </w:p>
    <w:p w14:paraId="2FD0BA23" w14:textId="77777777" w:rsidR="00EF57C0" w:rsidRPr="003F3461" w:rsidRDefault="00EF57C0" w:rsidP="00EF57C0">
      <w:pPr>
        <w:pStyle w:val="Personnequisigne"/>
      </w:pPr>
      <w:r w:rsidRPr="003F3461">
        <w:tab/>
        <w:t>priekšsēdētāja</w:t>
      </w:r>
    </w:p>
    <w:p w14:paraId="75818B28" w14:textId="77777777" w:rsidR="00EF57C0" w:rsidRPr="003F3461" w:rsidRDefault="00EF57C0" w:rsidP="00EF57C0">
      <w:pPr>
        <w:pStyle w:val="Personnequisigne"/>
      </w:pPr>
      <w:r w:rsidRPr="003F3461">
        <w:tab/>
      </w:r>
      <w:r w:rsidRPr="003F3461">
        <w:rPr>
          <w:i w:val="0"/>
        </w:rPr>
        <w:t>Ursula von der Leyen</w:t>
      </w:r>
      <w:r w:rsidRPr="003F3461">
        <w:t xml:space="preserve"> </w:t>
      </w:r>
      <w:r w:rsidRPr="003F3461">
        <w:br/>
      </w:r>
      <w:r w:rsidRPr="003F3461">
        <w:tab/>
        <w:t xml:space="preserve"> </w:t>
      </w:r>
      <w:r w:rsidRPr="003F3461">
        <w:br/>
      </w:r>
      <w:r w:rsidRPr="003F3461">
        <w:tab/>
        <w:t xml:space="preserve"> </w:t>
      </w:r>
      <w:r w:rsidRPr="003F3461">
        <w:br/>
      </w:r>
    </w:p>
    <w:sectPr w:rsidR="00EF57C0" w:rsidRPr="003F3461" w:rsidSect="003A397C">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C2376" w14:textId="77777777" w:rsidR="007E5F66" w:rsidRDefault="007E5F66" w:rsidP="0004170D">
      <w:pPr>
        <w:spacing w:before="0" w:after="0"/>
      </w:pPr>
      <w:r>
        <w:separator/>
      </w:r>
    </w:p>
  </w:endnote>
  <w:endnote w:type="continuationSeparator" w:id="0">
    <w:p w14:paraId="5326C0A8" w14:textId="77777777" w:rsidR="007E5F66" w:rsidRDefault="007E5F66" w:rsidP="0004170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73A51" w14:textId="71CAEF2D" w:rsidR="003F3461" w:rsidRPr="003A397C" w:rsidRDefault="003A397C" w:rsidP="003A397C">
    <w:pPr>
      <w:pStyle w:val="Footer"/>
      <w:rPr>
        <w:rFonts w:ascii="Arial" w:hAnsi="Arial" w:cs="Arial"/>
        <w:b/>
        <w:sz w:val="48"/>
      </w:rPr>
    </w:pPr>
    <w:r w:rsidRPr="003A397C">
      <w:rPr>
        <w:rFonts w:ascii="Arial" w:hAnsi="Arial" w:cs="Arial"/>
        <w:b/>
        <w:sz w:val="48"/>
      </w:rPr>
      <w:t>LV</w:t>
    </w:r>
    <w:r w:rsidRPr="003A397C">
      <w:rPr>
        <w:rFonts w:ascii="Arial" w:hAnsi="Arial" w:cs="Arial"/>
        <w:b/>
        <w:sz w:val="48"/>
      </w:rPr>
      <w:tab/>
    </w:r>
    <w:r w:rsidRPr="003A397C">
      <w:rPr>
        <w:rFonts w:ascii="Arial" w:hAnsi="Arial" w:cs="Arial"/>
        <w:b/>
        <w:sz w:val="48"/>
      </w:rPr>
      <w:tab/>
    </w:r>
    <w:r w:rsidRPr="003A397C">
      <w:tab/>
    </w:r>
    <w:r w:rsidRPr="003A397C">
      <w:rPr>
        <w:rFonts w:ascii="Arial" w:hAnsi="Arial" w:cs="Arial"/>
        <w:b/>
        <w:sz w:val="48"/>
      </w:rPr>
      <w:t>LV</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6577C" w14:textId="1F99FD97" w:rsidR="003A397C" w:rsidRPr="003A397C" w:rsidRDefault="003A397C" w:rsidP="003A397C">
    <w:pPr>
      <w:pStyle w:val="Footer"/>
      <w:rPr>
        <w:rFonts w:ascii="Arial" w:hAnsi="Arial" w:cs="Arial"/>
        <w:b/>
        <w:sz w:val="48"/>
      </w:rPr>
    </w:pPr>
    <w:r w:rsidRPr="003A397C">
      <w:rPr>
        <w:rFonts w:ascii="Arial" w:hAnsi="Arial" w:cs="Arial"/>
        <w:b/>
        <w:sz w:val="48"/>
      </w:rPr>
      <w:t>LV</w:t>
    </w:r>
    <w:r w:rsidRPr="003A397C">
      <w:rPr>
        <w:rFonts w:ascii="Arial" w:hAnsi="Arial" w:cs="Arial"/>
        <w:b/>
        <w:sz w:val="48"/>
      </w:rPr>
      <w:tab/>
    </w:r>
    <w:r>
      <w:fldChar w:fldCharType="begin"/>
    </w:r>
    <w:r>
      <w:instrText xml:space="preserve"> PAGE  \* MERGEFORMAT </w:instrText>
    </w:r>
    <w:r>
      <w:fldChar w:fldCharType="separate"/>
    </w:r>
    <w:r w:rsidR="00A52E51">
      <w:rPr>
        <w:noProof/>
      </w:rPr>
      <w:t>18</w:t>
    </w:r>
    <w:r>
      <w:fldChar w:fldCharType="end"/>
    </w:r>
    <w:r>
      <w:tab/>
    </w:r>
    <w:r w:rsidRPr="003A397C">
      <w:tab/>
    </w:r>
    <w:r w:rsidRPr="003A397C">
      <w:rPr>
        <w:rFonts w:ascii="Arial" w:hAnsi="Arial" w:cs="Arial"/>
        <w:b/>
        <w:sz w:val="48"/>
      </w:rPr>
      <w:t>LV</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B7F5A" w14:textId="77777777" w:rsidR="003A397C" w:rsidRPr="003A397C" w:rsidRDefault="003A397C" w:rsidP="003A39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75A77" w14:textId="77777777" w:rsidR="007E5F66" w:rsidRDefault="007E5F66" w:rsidP="0004170D">
      <w:pPr>
        <w:spacing w:before="0" w:after="0"/>
      </w:pPr>
      <w:r>
        <w:separator/>
      </w:r>
    </w:p>
  </w:footnote>
  <w:footnote w:type="continuationSeparator" w:id="0">
    <w:p w14:paraId="2DCC1F88" w14:textId="77777777" w:rsidR="007E5F66" w:rsidRDefault="007E5F66" w:rsidP="0004170D">
      <w:pPr>
        <w:spacing w:before="0" w:after="0"/>
      </w:pPr>
      <w:r>
        <w:continuationSeparator/>
      </w:r>
    </w:p>
  </w:footnote>
  <w:footnote w:id="1">
    <w:p w14:paraId="05C47173" w14:textId="77777777" w:rsidR="00EF57C0" w:rsidRDefault="00EF57C0" w:rsidP="00EF57C0">
      <w:pPr>
        <w:pStyle w:val="FootnoteText"/>
      </w:pPr>
      <w:r>
        <w:rPr>
          <w:rStyle w:val="FootnoteReference"/>
        </w:rPr>
        <w:footnoteRef/>
      </w:r>
      <w:r>
        <w:tab/>
        <w:t>OV L 176, 27.6.2013., 1. lpp.</w:t>
      </w:r>
    </w:p>
  </w:footnote>
  <w:footnote w:id="2">
    <w:p w14:paraId="5C40FC40" w14:textId="77777777" w:rsidR="00EF57C0" w:rsidRDefault="00EF57C0" w:rsidP="00EF57C0">
      <w:pPr>
        <w:pStyle w:val="FootnoteText"/>
      </w:pPr>
      <w:r>
        <w:rPr>
          <w:rStyle w:val="FootnoteReference"/>
        </w:rPr>
        <w:footnoteRef/>
      </w:r>
      <w:r>
        <w:tab/>
        <w:t>Eiropas Parlamenta un Padomes Direktīva 2013/36/ES (2013. gada 26. jūnijs) par piekļuvi kredītiestāžu darbībai un kredītiestāžu un ieguldījumu brokeru sabiedrību prudenciālo uzraudzību, ar ko groza Direktīvu 2002/87/EK un atceļ Direktīvas 2006/48/EK un 2006/49/EK (OV L 176, 27.6.2013., 338. lpp.).</w:t>
      </w:r>
    </w:p>
  </w:footnote>
  <w:footnote w:id="3">
    <w:p w14:paraId="441A1B49" w14:textId="77777777" w:rsidR="00EF57C0" w:rsidRDefault="00EF57C0" w:rsidP="00EF57C0">
      <w:pPr>
        <w:pStyle w:val="FootnoteText"/>
      </w:pPr>
      <w:r>
        <w:rPr>
          <w:rStyle w:val="FootnoteReference"/>
        </w:rPr>
        <w:footnoteRef/>
      </w:r>
      <w:r>
        <w:tab/>
        <w:t>Komisijas Īstenošanas regula (ES) Nr. 680/2014, ar ko nosaka īstenošanas tehniskos standartus attiecībā uz iestāžu sniegtajiem uzraudzības pārskatiem saskaņā ar Regulu (ES) Nr. 575/2013 (OV L 191, 28.6.2014., 1. lpp.).</w:t>
      </w:r>
    </w:p>
  </w:footnote>
  <w:footnote w:id="4">
    <w:p w14:paraId="389598E9" w14:textId="77777777" w:rsidR="00EF57C0" w:rsidRDefault="00EF57C0" w:rsidP="00EF57C0">
      <w:pPr>
        <w:pStyle w:val="FootnoteText"/>
      </w:pPr>
      <w:r>
        <w:rPr>
          <w:rStyle w:val="FootnoteReference"/>
        </w:rPr>
        <w:footnoteRef/>
      </w:r>
      <w:r>
        <w:tab/>
        <w:t>Eiropas Parlamenta un Padomes Regula (ES) 2019/876 (2019. gada 20. maijs), ar ko groza Regulu (ES) Nr. 575/2013 attiecībā uz sviras rādītāju, neto stabila finansējuma rādītāju, prasībām pašu kapitālam un atbilstīgajām saistībām, darījuma partnera kredītrisku, tirgus risku, riska darījumiem ar centrālajiem darījumu partneriem, riska darījumiem ar kolektīvo ieguldījumu uzņēmumiem, lieliem riska darījumiem, pārskatu sniegšanas un informācijas atklāšanas prasībām un Regulu (ES) Nr. 648/2012 (OV L 150, 7.6.2019., 1. lpp.).</w:t>
      </w:r>
    </w:p>
  </w:footnote>
  <w:footnote w:id="5">
    <w:p w14:paraId="5E17F0DE" w14:textId="77777777" w:rsidR="00EF57C0" w:rsidRDefault="00EF57C0" w:rsidP="00EF57C0">
      <w:pPr>
        <w:pStyle w:val="FootnoteText"/>
      </w:pPr>
      <w:r>
        <w:rPr>
          <w:rStyle w:val="FootnoteReference"/>
        </w:rPr>
        <w:footnoteRef/>
      </w:r>
      <w:r>
        <w:tab/>
        <w:t xml:space="preserve">Eiropas Parlamenta un Padomes Regula (ES) 2019/630 (2019. gada 17. aprīlis), ar ko attiecībā uz zaudējumu seguma minimumu ienākumus nenesošiem riska darījumiem groza Regulu (ES) Nr. 575/2013 (OV L 111, 25.4.2019., 4. lpp.). </w:t>
      </w:r>
    </w:p>
  </w:footnote>
  <w:footnote w:id="6">
    <w:p w14:paraId="578066C3" w14:textId="77777777" w:rsidR="00EF57C0" w:rsidRDefault="00EF57C0" w:rsidP="00EF57C0">
      <w:pPr>
        <w:pStyle w:val="FootnoteText"/>
      </w:pPr>
      <w:r>
        <w:rPr>
          <w:rStyle w:val="FootnoteReference"/>
        </w:rPr>
        <w:footnoteRef/>
      </w:r>
      <w:r>
        <w:tab/>
        <w:t>Eiropas Parlamenta un Padomes Regula (ES) 2019/2033 (2019. gada 27. novembris) par prudenciālajām prasībām ieguldījumu brokeru sabiedrībām un ar ko groza Regulas (ES) Nr. 1093/2010, (ES) Nr. 575/2013, (ES) Nr. 600/2014 un (ES) Nr. 806/2014 (OV L 314, 5.12.2019., 1. lpp.).</w:t>
      </w:r>
    </w:p>
  </w:footnote>
  <w:footnote w:id="7">
    <w:p w14:paraId="73F3392D" w14:textId="77777777" w:rsidR="00EF57C0" w:rsidRDefault="00EF57C0" w:rsidP="00EF57C0">
      <w:pPr>
        <w:pStyle w:val="FootnoteText"/>
      </w:pPr>
      <w:r>
        <w:rPr>
          <w:rStyle w:val="FootnoteReference"/>
        </w:rPr>
        <w:footnoteRef/>
      </w:r>
      <w:r>
        <w:tab/>
        <w:t>Eiropas Parlamenta un Padomes Regula (ES) 2020/873 (2020. gada 24. jūnijs), ar ko Regulas (ES) Nr. 575/2013 un (ES) 2019/876 groza attiecībā uz noteiktām korekcijām, kuras veicamas, lai reaģētu uz Covid-19 pandēmiju (OV L 204, 26.6.2020., 4. lpp.).</w:t>
      </w:r>
    </w:p>
  </w:footnote>
  <w:footnote w:id="8">
    <w:p w14:paraId="54E57A98" w14:textId="77777777" w:rsidR="00EF57C0" w:rsidRDefault="00EF57C0" w:rsidP="00EF57C0">
      <w:pPr>
        <w:pStyle w:val="FootnoteText"/>
      </w:pPr>
      <w:r>
        <w:rPr>
          <w:rStyle w:val="FootnoteReference"/>
        </w:rPr>
        <w:footnoteRef/>
      </w:r>
      <w:r>
        <w:tab/>
        <w:t>Eiropas Parlamenta un Padomes Regula (ES) Nr. 1093/2010 (2010. gada 24. novembris), ar ko izveido Eiropas Uzraudzības iestādi (Eiropas Banku iestādi), groza Lēmumu Nr. 716/2009/EK un atceļ Komisijas Lēmumu 2009/78/EK (OV L 331, 15.12.2010., 12. lpp.).</w:t>
      </w:r>
    </w:p>
  </w:footnote>
  <w:footnote w:id="9">
    <w:p w14:paraId="029CEDD1" w14:textId="77777777" w:rsidR="00EF57C0" w:rsidRDefault="00EF57C0" w:rsidP="00EF57C0">
      <w:pPr>
        <w:pStyle w:val="FootnoteText"/>
      </w:pPr>
      <w:r>
        <w:rPr>
          <w:rStyle w:val="FootnoteReference"/>
        </w:rPr>
        <w:footnoteRef/>
      </w:r>
      <w:r>
        <w:tab/>
        <w:t>Komisijas Deleģētā regula (ES) 2016/101 (2015. gada 26. oktobris), ar ko papildina Eiropas Parlamenta un Padomes Regulu (ES) Nr. 575/2013 attiecībā uz piesardzīgas vērtēšanas regulatīviem tehniskajiem standartiem saskaņā ar 105. panta 14. punktu (OV L 21, 28.1.2016., 54. lpp.).</w:t>
      </w:r>
    </w:p>
  </w:footnote>
  <w:footnote w:id="10">
    <w:p w14:paraId="595C212C" w14:textId="77777777" w:rsidR="00EF57C0" w:rsidRDefault="00EF57C0" w:rsidP="00EF57C0">
      <w:pPr>
        <w:pStyle w:val="FootnoteText"/>
      </w:pPr>
      <w:r>
        <w:rPr>
          <w:rStyle w:val="FootnoteReference"/>
        </w:rPr>
        <w:footnoteRef/>
      </w:r>
      <w:r>
        <w:tab/>
        <w:t>Eiropas Parlamenta un Padomes Regula (EK) Nr. 1606/2002 (2002. gada 19. jūlijs) par starptautisko grāmatvedības standartu piemērošanu (OV L 243, 11.9.2002., 1. lpp.).</w:t>
      </w:r>
    </w:p>
  </w:footnote>
  <w:footnote w:id="11">
    <w:p w14:paraId="3E71824F" w14:textId="77777777" w:rsidR="00EF57C0" w:rsidRDefault="00EF57C0" w:rsidP="00EF57C0">
      <w:pPr>
        <w:pStyle w:val="FootnoteText"/>
      </w:pPr>
      <w:r>
        <w:rPr>
          <w:rStyle w:val="FootnoteReference"/>
        </w:rPr>
        <w:footnoteRef/>
      </w:r>
      <w:r>
        <w:tab/>
        <w:t>Eiropas Parlamenta un Padomes Direktīva Nr. 2009/65/EK (2009. gada 13. jūlijs) par normatīvo un administratīvo aktu koordināciju attiecībā uz pārvedamu vērtspapīru kolektīvo ieguldījumu uzņēmumiem (PVKIU) (OV L 302, 17.11.2009., 32. lpp.).</w:t>
      </w:r>
    </w:p>
  </w:footnote>
  <w:footnote w:id="12">
    <w:p w14:paraId="23A0DBB4" w14:textId="77777777" w:rsidR="00EF57C0" w:rsidRDefault="00EF57C0" w:rsidP="00EF57C0">
      <w:pPr>
        <w:pStyle w:val="FootnoteText"/>
      </w:pPr>
      <w:r>
        <w:rPr>
          <w:rStyle w:val="FootnoteReference"/>
        </w:rPr>
        <w:footnoteRef/>
      </w:r>
      <w:r>
        <w:tab/>
        <w:t>Eiropas Parlamenta un Padomes Regula (ES) Nr. 806/2014 (2014. gada 15. jūlijs), ar ko izveido vienādus noteikumus un vienotu procedūru kredītiestāžu un noteiktu ieguldījumu brokeru sabiedrību noregulējumam, izmantojot vienotu noregulējuma mehānismu un vienotu noregulējuma fondu, un groza Regulu (ES) Nr. 1093/2010 (OV L 225, 30.7.2014., 1. lpp.).</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B98189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81A8DC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878EBD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61AF8D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B5823E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118AF1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06CD66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63FAD0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0227369"/>
    <w:multiLevelType w:val="hybridMultilevel"/>
    <w:tmpl w:val="2026DC68"/>
    <w:lvl w:ilvl="0" w:tplc="1890AE56">
      <w:start w:val="1"/>
      <w:numFmt w:val="decimal"/>
      <w:pStyle w:val="numberedparagraph"/>
      <w:lvlText w:val="%1."/>
      <w:lvlJc w:val="left"/>
      <w:pPr>
        <w:tabs>
          <w:tab w:val="num" w:pos="284"/>
        </w:tabs>
        <w:ind w:left="284" w:hanging="284"/>
      </w:pPr>
      <w:rPr>
        <w:rFonts w:hint="default"/>
        <w:lang w:val="en-US"/>
      </w:rPr>
    </w:lvl>
    <w:lvl w:ilvl="1" w:tplc="04090019">
      <w:start w:val="1"/>
      <w:numFmt w:val="lowerLetter"/>
      <w:lvlText w:val="%2."/>
      <w:lvlJc w:val="left"/>
      <w:pPr>
        <w:ind w:left="359" w:hanging="360"/>
      </w:pPr>
    </w:lvl>
    <w:lvl w:ilvl="2" w:tplc="0409001B" w:tentative="1">
      <w:start w:val="1"/>
      <w:numFmt w:val="lowerRoman"/>
      <w:lvlText w:val="%3."/>
      <w:lvlJc w:val="right"/>
      <w:pPr>
        <w:ind w:left="1167" w:hanging="180"/>
      </w:pPr>
    </w:lvl>
    <w:lvl w:ilvl="3" w:tplc="0409000F" w:tentative="1">
      <w:start w:val="1"/>
      <w:numFmt w:val="decimal"/>
      <w:lvlText w:val="%4."/>
      <w:lvlJc w:val="left"/>
      <w:pPr>
        <w:ind w:left="1887" w:hanging="360"/>
      </w:pPr>
    </w:lvl>
    <w:lvl w:ilvl="4" w:tplc="04090019" w:tentative="1">
      <w:start w:val="1"/>
      <w:numFmt w:val="lowerLetter"/>
      <w:lvlText w:val="%5."/>
      <w:lvlJc w:val="left"/>
      <w:pPr>
        <w:ind w:left="2607" w:hanging="360"/>
      </w:pPr>
    </w:lvl>
    <w:lvl w:ilvl="5" w:tplc="0409001B" w:tentative="1">
      <w:start w:val="1"/>
      <w:numFmt w:val="lowerRoman"/>
      <w:lvlText w:val="%6."/>
      <w:lvlJc w:val="right"/>
      <w:pPr>
        <w:ind w:left="3327" w:hanging="180"/>
      </w:pPr>
    </w:lvl>
    <w:lvl w:ilvl="6" w:tplc="0409000F" w:tentative="1">
      <w:start w:val="1"/>
      <w:numFmt w:val="decimal"/>
      <w:lvlText w:val="%7."/>
      <w:lvlJc w:val="left"/>
      <w:pPr>
        <w:ind w:left="4047" w:hanging="360"/>
      </w:pPr>
    </w:lvl>
    <w:lvl w:ilvl="7" w:tplc="04090019" w:tentative="1">
      <w:start w:val="1"/>
      <w:numFmt w:val="lowerLetter"/>
      <w:lvlText w:val="%8."/>
      <w:lvlJc w:val="left"/>
      <w:pPr>
        <w:ind w:left="4767" w:hanging="360"/>
      </w:pPr>
    </w:lvl>
    <w:lvl w:ilvl="8" w:tplc="0409001B" w:tentative="1">
      <w:start w:val="1"/>
      <w:numFmt w:val="lowerRoman"/>
      <w:lvlText w:val="%9."/>
      <w:lvlJc w:val="right"/>
      <w:pPr>
        <w:ind w:left="5487" w:hanging="180"/>
      </w:p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5"/>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22"/>
    <w:lvlOverride w:ilvl="0">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2"/>
  </w:num>
  <w:num w:numId="30">
    <w:abstractNumId w:val="21"/>
  </w:num>
  <w:num w:numId="31">
    <w:abstractNumId w:val="11"/>
  </w:num>
  <w:num w:numId="32">
    <w:abstractNumId w:val="13"/>
  </w:num>
  <w:num w:numId="33">
    <w:abstractNumId w:val="9"/>
  </w:num>
  <w:num w:numId="34">
    <w:abstractNumId w:val="20"/>
  </w:num>
  <w:num w:numId="35">
    <w:abstractNumId w:val="8"/>
  </w:num>
  <w:num w:numId="36">
    <w:abstractNumId w:val="14"/>
  </w:num>
  <w:num w:numId="37">
    <w:abstractNumId w:val="17"/>
  </w:num>
  <w:num w:numId="38">
    <w:abstractNumId w:val="18"/>
  </w:num>
  <w:num w:numId="39">
    <w:abstractNumId w:val="10"/>
  </w:num>
  <w:num w:numId="40">
    <w:abstractNumId w:val="16"/>
  </w:num>
  <w:num w:numId="41">
    <w:abstractNumId w:val="22"/>
  </w:num>
  <w:num w:numId="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15"/>
  <w:attachedTemplate r:id="rId1"/>
  <w:defaultTabStop w:val="720"/>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0-12-14 13:57:20"/>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3"/>
    <w:docVar w:name="DQCResult_ModifiedMarkers" w:val="0;0"/>
    <w:docVar w:name="DQCResult_ModifiedNumbering" w:val="0;0"/>
    <w:docVar w:name="DQCResult_Objects" w:val="0;0"/>
    <w:docVar w:name="DQCResult_Sections" w:val="0;0"/>
    <w:docVar w:name="DQCResult_StructureCheck" w:val="0;0"/>
    <w:docVar w:name="DQCResult_SuperfluousWhitespace" w:val="0;7"/>
    <w:docVar w:name="DQCResult_UnknownFonts" w:val="0;0"/>
    <w:docVar w:name="DQCResult_UnknownStyles" w:val="0;0"/>
    <w:docVar w:name="DQCStatus" w:val="Green"/>
    <w:docVar w:name="DQCVersion" w:val="3"/>
    <w:docVar w:name="DQCWithWarnings" w:val="0"/>
    <w:docVar w:name="LW_COVERPAGE_EXISTS" w:val="True"/>
    <w:docVar w:name="LW_COVERPAGE_GUID" w:val="FD1271BA-6624-4751-B648-8F82E7E5A54C"/>
    <w:docVar w:name="LW_COVERPAGE_TYPE" w:val="1"/>
    <w:docVar w:name="LW_CROSSREFERENCE" w:val="&lt;UNUSED&gt;"/>
    <w:docVar w:name="LW_DATE.ADOPT.CP" w:val="(XXX),"/>
    <w:docVar w:name="LW_DATE.ADOPT.CP_DATEFORMAT" w:val="(%DATE%),"/>
    <w:docVar w:name="LW_DATE.ADOPT.CP_ISODATE" w:val="&lt;EMPTY&gt;"/>
    <w:docVar w:name="LW_DocType" w:val="COM"/>
    <w:docVar w:name="LW_EMISSION" w:val="&lt;EMPTY&gt;"/>
    <w:docVar w:name="LW_EMISSION_ISODATE" w:val="&lt;EMPTY&gt;"/>
    <w:docVar w:name="LW_EMISSION_LOCATION" w:val="BRX"/>
    <w:docVar w:name="LW_EMISSION_PREFIX" w:val="Brisel\u275?, "/>
    <w:docVar w:name="LW_EMISSION_SUFFIX" w:val="&lt;EMPTY&gt;"/>
    <w:docVar w:name="LW_ID_DOCMODEL" w:val="SJ-004"/>
    <w:docVar w:name="LW_ID_DOCSIGNATURE" w:val="SJ-004"/>
    <w:docVar w:name="LW_ID_DOCSTRUCTURE" w:val="COM/AA"/>
    <w:docVar w:name="LW_ID_DOCTYPE" w:val="SJ-004"/>
    <w:docVar w:name="LW_INTERETEEE.CP" w:val="(Dokuments attiecas uz EEZ)"/>
    <w:docVar w:name="LW_LANGUE" w:val="LV"/>
    <w:docVar w:name="LW_LANGUESFAISANTFOI.CP" w:val="&lt;UNUSED&gt;"/>
    <w:docVar w:name="LW_LEVEL_OF_SENSITIVITY" w:val="Standard treatment"/>
    <w:docVar w:name="LW_NOM.INST" w:val="EIROPAS KOMISIJA"/>
    <w:docVar w:name="LW_NOM.INST_JOINTDOC" w:val="&lt;EMPTY&gt;"/>
    <w:docVar w:name="LW_PART_NBR" w:val="1"/>
    <w:docVar w:name="LW_PART_NBR_TOTAL" w:val="1"/>
    <w:docVar w:name="LW_REF.INST.NEW" w:val="&lt;EMPTY&gt;"/>
    <w:docVar w:name="LW_REF.INST.NEW_ADOPTED" w:val="draft"/>
    <w:docVar w:name="LW_REF.INST.NEW_TEXT" w:val="(2020)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ar ko nosaka \u299?steno\u353?anas tehniskos standartus Eiropas Parlamenta un Padomes Regulas (ES) Nr. 575/2013 piem\u275?ro\u353?anai attiec\u299?b\u257? uz iest\u257?\u382?u sniegtajiem uzraudz\u299?bas p\u257?rskatiem un atce\u316? \u298?steno\u353?anas regulu (ES) Nr. 680/2014 _x000b_"/>
    <w:docVar w:name="LW_TYPE.DOC.CP" w:val="KOMISIJAS \u298?STENO\u352?ANAS REGULA (ES) \u8230?/.."/>
  </w:docVars>
  <w:rsids>
    <w:rsidRoot w:val="0004170D"/>
    <w:rsid w:val="00023136"/>
    <w:rsid w:val="00023622"/>
    <w:rsid w:val="00036497"/>
    <w:rsid w:val="0004170D"/>
    <w:rsid w:val="0008268D"/>
    <w:rsid w:val="000832DE"/>
    <w:rsid w:val="000965A4"/>
    <w:rsid w:val="000A39B9"/>
    <w:rsid w:val="000B18AB"/>
    <w:rsid w:val="000B31D0"/>
    <w:rsid w:val="000B4D68"/>
    <w:rsid w:val="000B5ADE"/>
    <w:rsid w:val="000C3603"/>
    <w:rsid w:val="000C4EBE"/>
    <w:rsid w:val="000C60D7"/>
    <w:rsid w:val="00105D7C"/>
    <w:rsid w:val="00125634"/>
    <w:rsid w:val="00133A68"/>
    <w:rsid w:val="0014552F"/>
    <w:rsid w:val="0014569E"/>
    <w:rsid w:val="00151336"/>
    <w:rsid w:val="001612FE"/>
    <w:rsid w:val="00173862"/>
    <w:rsid w:val="001738AF"/>
    <w:rsid w:val="00194CD4"/>
    <w:rsid w:val="001957E2"/>
    <w:rsid w:val="001A14C2"/>
    <w:rsid w:val="001E7F77"/>
    <w:rsid w:val="00221852"/>
    <w:rsid w:val="002360F2"/>
    <w:rsid w:val="002759C1"/>
    <w:rsid w:val="00285E17"/>
    <w:rsid w:val="002B6FA8"/>
    <w:rsid w:val="002C0C3E"/>
    <w:rsid w:val="002C1097"/>
    <w:rsid w:val="002C1CA0"/>
    <w:rsid w:val="002C1F14"/>
    <w:rsid w:val="002D22E3"/>
    <w:rsid w:val="002E476B"/>
    <w:rsid w:val="00332B33"/>
    <w:rsid w:val="00334AD0"/>
    <w:rsid w:val="00352527"/>
    <w:rsid w:val="0036351A"/>
    <w:rsid w:val="003A1165"/>
    <w:rsid w:val="003A397C"/>
    <w:rsid w:val="003A6A98"/>
    <w:rsid w:val="003B14E5"/>
    <w:rsid w:val="003B2A70"/>
    <w:rsid w:val="003D6311"/>
    <w:rsid w:val="003E7FD2"/>
    <w:rsid w:val="003F3461"/>
    <w:rsid w:val="00403378"/>
    <w:rsid w:val="00426A6F"/>
    <w:rsid w:val="00445268"/>
    <w:rsid w:val="0047317A"/>
    <w:rsid w:val="00480310"/>
    <w:rsid w:val="00496B08"/>
    <w:rsid w:val="004A4E65"/>
    <w:rsid w:val="004B7AEA"/>
    <w:rsid w:val="004D5E20"/>
    <w:rsid w:val="004D795C"/>
    <w:rsid w:val="004F7144"/>
    <w:rsid w:val="00505B92"/>
    <w:rsid w:val="00531744"/>
    <w:rsid w:val="00535526"/>
    <w:rsid w:val="00545C74"/>
    <w:rsid w:val="00563765"/>
    <w:rsid w:val="005A2A1F"/>
    <w:rsid w:val="005A6D07"/>
    <w:rsid w:val="005C3834"/>
    <w:rsid w:val="005E5208"/>
    <w:rsid w:val="005F180D"/>
    <w:rsid w:val="00627D4B"/>
    <w:rsid w:val="0063106E"/>
    <w:rsid w:val="00646DA2"/>
    <w:rsid w:val="00656F3B"/>
    <w:rsid w:val="00681997"/>
    <w:rsid w:val="006947FE"/>
    <w:rsid w:val="006B3AF7"/>
    <w:rsid w:val="006B5AAF"/>
    <w:rsid w:val="006B61AF"/>
    <w:rsid w:val="006D20F7"/>
    <w:rsid w:val="007241CC"/>
    <w:rsid w:val="00725875"/>
    <w:rsid w:val="00794AEA"/>
    <w:rsid w:val="007951FC"/>
    <w:rsid w:val="007D13CB"/>
    <w:rsid w:val="007D178B"/>
    <w:rsid w:val="007E5F66"/>
    <w:rsid w:val="007F0EBD"/>
    <w:rsid w:val="00800894"/>
    <w:rsid w:val="008137A2"/>
    <w:rsid w:val="008326B8"/>
    <w:rsid w:val="008332D8"/>
    <w:rsid w:val="008568F5"/>
    <w:rsid w:val="00856A5A"/>
    <w:rsid w:val="00877878"/>
    <w:rsid w:val="00886F23"/>
    <w:rsid w:val="008A50C4"/>
    <w:rsid w:val="008B78EA"/>
    <w:rsid w:val="008D699F"/>
    <w:rsid w:val="008E7112"/>
    <w:rsid w:val="008F7BAF"/>
    <w:rsid w:val="009074CD"/>
    <w:rsid w:val="009224FE"/>
    <w:rsid w:val="00951C31"/>
    <w:rsid w:val="00954BF9"/>
    <w:rsid w:val="00965716"/>
    <w:rsid w:val="009675DD"/>
    <w:rsid w:val="00977656"/>
    <w:rsid w:val="009A56F4"/>
    <w:rsid w:val="009B4DF9"/>
    <w:rsid w:val="009B7FA6"/>
    <w:rsid w:val="009C1C74"/>
    <w:rsid w:val="009C4797"/>
    <w:rsid w:val="009C5CB4"/>
    <w:rsid w:val="009D7A29"/>
    <w:rsid w:val="00A07896"/>
    <w:rsid w:val="00A10245"/>
    <w:rsid w:val="00A10398"/>
    <w:rsid w:val="00A211D2"/>
    <w:rsid w:val="00A228D5"/>
    <w:rsid w:val="00A26E4D"/>
    <w:rsid w:val="00A3263C"/>
    <w:rsid w:val="00A52E51"/>
    <w:rsid w:val="00A5494A"/>
    <w:rsid w:val="00A62EBB"/>
    <w:rsid w:val="00A74743"/>
    <w:rsid w:val="00A92406"/>
    <w:rsid w:val="00AD21AA"/>
    <w:rsid w:val="00AE51EF"/>
    <w:rsid w:val="00AE6C16"/>
    <w:rsid w:val="00B33923"/>
    <w:rsid w:val="00B36013"/>
    <w:rsid w:val="00B5497D"/>
    <w:rsid w:val="00B80AC9"/>
    <w:rsid w:val="00BA0CA9"/>
    <w:rsid w:val="00BA2220"/>
    <w:rsid w:val="00BA7AD9"/>
    <w:rsid w:val="00BB50EB"/>
    <w:rsid w:val="00BB60B6"/>
    <w:rsid w:val="00BB736E"/>
    <w:rsid w:val="00BC75BD"/>
    <w:rsid w:val="00BF0E94"/>
    <w:rsid w:val="00BF182F"/>
    <w:rsid w:val="00C05EA4"/>
    <w:rsid w:val="00C14839"/>
    <w:rsid w:val="00C24911"/>
    <w:rsid w:val="00C278CC"/>
    <w:rsid w:val="00C36BE6"/>
    <w:rsid w:val="00C36E0D"/>
    <w:rsid w:val="00C5099A"/>
    <w:rsid w:val="00C901BD"/>
    <w:rsid w:val="00CA348C"/>
    <w:rsid w:val="00CD09FB"/>
    <w:rsid w:val="00CF106C"/>
    <w:rsid w:val="00D9176D"/>
    <w:rsid w:val="00DC2475"/>
    <w:rsid w:val="00DC7998"/>
    <w:rsid w:val="00E03572"/>
    <w:rsid w:val="00E10715"/>
    <w:rsid w:val="00E14194"/>
    <w:rsid w:val="00E23D3B"/>
    <w:rsid w:val="00E76D3F"/>
    <w:rsid w:val="00E8608B"/>
    <w:rsid w:val="00EA3E25"/>
    <w:rsid w:val="00EA6449"/>
    <w:rsid w:val="00ED391B"/>
    <w:rsid w:val="00EF4651"/>
    <w:rsid w:val="00EF57C0"/>
    <w:rsid w:val="00F335A5"/>
    <w:rsid w:val="00F37163"/>
    <w:rsid w:val="00F642FD"/>
    <w:rsid w:val="00F91209"/>
    <w:rsid w:val="00F97AAB"/>
    <w:rsid w:val="00FB1027"/>
    <w:rsid w:val="00FD3527"/>
    <w:rsid w:val="00FE0C02"/>
    <w:rsid w:val="00FF36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5956F0B3"/>
  <w15:docId w15:val="{3BD3C04E-1296-4BF1-9D14-7970A6BB8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lv-LV"/>
    </w:rPr>
  </w:style>
  <w:style w:type="paragraph" w:styleId="Heading1">
    <w:name w:val="heading 1"/>
    <w:basedOn w:val="Normal"/>
    <w:next w:val="Text1"/>
    <w:link w:val="Heading1Char"/>
    <w:uiPriority w:val="9"/>
    <w:qFormat/>
    <w:rsid w:val="009B7138"/>
    <w:pPr>
      <w:keepNext/>
      <w:numPr>
        <w:numId w:val="34"/>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4"/>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4"/>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4"/>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4170D"/>
    <w:rPr>
      <w:color w:val="0000FF" w:themeColor="hyperlink"/>
      <w:u w:val="single"/>
    </w:rPr>
  </w:style>
  <w:style w:type="paragraph" w:styleId="ListParagraph">
    <w:name w:val="List Paragraph"/>
    <w:basedOn w:val="Normal"/>
    <w:link w:val="ListParagraphChar"/>
    <w:uiPriority w:val="34"/>
    <w:qFormat/>
    <w:rsid w:val="0004170D"/>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rsid w:val="0004170D"/>
    <w:rPr>
      <w:rFonts w:ascii="Calibri" w:eastAsia="Calibri" w:hAnsi="Calibri" w:cs="Times New Roman"/>
      <w:lang w:val="en-GB"/>
    </w:rPr>
  </w:style>
  <w:style w:type="paragraph" w:customStyle="1" w:styleId="numberedparagraph">
    <w:name w:val="numbered paragraph"/>
    <w:basedOn w:val="Normal"/>
    <w:qFormat/>
    <w:rsid w:val="0004170D"/>
    <w:pPr>
      <w:numPr>
        <w:numId w:val="1"/>
      </w:numPr>
      <w:spacing w:before="240" w:line="276" w:lineRule="auto"/>
    </w:pPr>
    <w:rPr>
      <w:rFonts w:asciiTheme="minorHAnsi" w:eastAsiaTheme="minorEastAsia" w:hAnsiTheme="minorHAnsi" w:cstheme="minorBidi"/>
      <w:sz w:val="22"/>
      <w:szCs w:val="24"/>
      <w:lang w:val="en-US"/>
    </w:rPr>
  </w:style>
  <w:style w:type="paragraph" w:styleId="ListBullet">
    <w:name w:val="List Bullet"/>
    <w:basedOn w:val="Normal"/>
    <w:uiPriority w:val="99"/>
    <w:semiHidden/>
    <w:unhideWhenUsed/>
    <w:rsid w:val="00F335A5"/>
    <w:pPr>
      <w:numPr>
        <w:numId w:val="2"/>
      </w:numPr>
      <w:contextualSpacing/>
    </w:pPr>
  </w:style>
  <w:style w:type="paragraph" w:styleId="ListBullet2">
    <w:name w:val="List Bullet 2"/>
    <w:basedOn w:val="Normal"/>
    <w:uiPriority w:val="99"/>
    <w:semiHidden/>
    <w:unhideWhenUsed/>
    <w:rsid w:val="00F335A5"/>
    <w:pPr>
      <w:numPr>
        <w:numId w:val="3"/>
      </w:numPr>
      <w:contextualSpacing/>
    </w:pPr>
  </w:style>
  <w:style w:type="paragraph" w:styleId="ListBullet3">
    <w:name w:val="List Bullet 3"/>
    <w:basedOn w:val="Normal"/>
    <w:uiPriority w:val="99"/>
    <w:semiHidden/>
    <w:unhideWhenUsed/>
    <w:rsid w:val="00F335A5"/>
    <w:pPr>
      <w:numPr>
        <w:numId w:val="4"/>
      </w:numPr>
      <w:contextualSpacing/>
    </w:pPr>
  </w:style>
  <w:style w:type="paragraph" w:styleId="ListBullet4">
    <w:name w:val="List Bullet 4"/>
    <w:basedOn w:val="Normal"/>
    <w:uiPriority w:val="99"/>
    <w:semiHidden/>
    <w:unhideWhenUsed/>
    <w:rsid w:val="00F335A5"/>
    <w:pPr>
      <w:numPr>
        <w:numId w:val="5"/>
      </w:numPr>
      <w:contextualSpacing/>
    </w:pPr>
  </w:style>
  <w:style w:type="paragraph" w:styleId="Caption">
    <w:name w:val="caption"/>
    <w:basedOn w:val="Normal"/>
    <w:next w:val="Normal"/>
    <w:uiPriority w:val="35"/>
    <w:semiHidden/>
    <w:unhideWhenUsed/>
    <w:qFormat/>
    <w:rsid w:val="00BA0CA9"/>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BA0CA9"/>
    <w:pPr>
      <w:spacing w:after="0"/>
    </w:pPr>
  </w:style>
  <w:style w:type="paragraph" w:styleId="ListNumber">
    <w:name w:val="List Number"/>
    <w:basedOn w:val="Normal"/>
    <w:uiPriority w:val="99"/>
    <w:semiHidden/>
    <w:unhideWhenUsed/>
    <w:rsid w:val="00BA0CA9"/>
    <w:pPr>
      <w:numPr>
        <w:numId w:val="6"/>
      </w:numPr>
      <w:contextualSpacing/>
    </w:pPr>
  </w:style>
  <w:style w:type="paragraph" w:styleId="ListNumber2">
    <w:name w:val="List Number 2"/>
    <w:basedOn w:val="Normal"/>
    <w:uiPriority w:val="99"/>
    <w:semiHidden/>
    <w:unhideWhenUsed/>
    <w:rsid w:val="00BA0CA9"/>
    <w:pPr>
      <w:numPr>
        <w:numId w:val="7"/>
      </w:numPr>
      <w:contextualSpacing/>
    </w:pPr>
  </w:style>
  <w:style w:type="paragraph" w:styleId="ListNumber3">
    <w:name w:val="List Number 3"/>
    <w:basedOn w:val="Normal"/>
    <w:uiPriority w:val="99"/>
    <w:semiHidden/>
    <w:unhideWhenUsed/>
    <w:rsid w:val="00BA0CA9"/>
    <w:pPr>
      <w:numPr>
        <w:numId w:val="8"/>
      </w:numPr>
      <w:contextualSpacing/>
    </w:pPr>
  </w:style>
  <w:style w:type="paragraph" w:styleId="ListNumber4">
    <w:name w:val="List Number 4"/>
    <w:basedOn w:val="Normal"/>
    <w:uiPriority w:val="99"/>
    <w:semiHidden/>
    <w:unhideWhenUsed/>
    <w:rsid w:val="00BA0CA9"/>
    <w:pPr>
      <w:numPr>
        <w:numId w:val="9"/>
      </w:numPr>
      <w:contextualSpacing/>
    </w:pPr>
  </w:style>
  <w:style w:type="character" w:styleId="CommentReference">
    <w:name w:val="annotation reference"/>
    <w:basedOn w:val="DefaultParagraphFont"/>
    <w:uiPriority w:val="99"/>
    <w:semiHidden/>
    <w:unhideWhenUsed/>
    <w:rsid w:val="000B31D0"/>
    <w:rPr>
      <w:sz w:val="16"/>
      <w:szCs w:val="16"/>
    </w:rPr>
  </w:style>
  <w:style w:type="paragraph" w:styleId="CommentText">
    <w:name w:val="annotation text"/>
    <w:basedOn w:val="Normal"/>
    <w:link w:val="CommentTextChar"/>
    <w:uiPriority w:val="99"/>
    <w:unhideWhenUsed/>
    <w:rsid w:val="000B31D0"/>
    <w:rPr>
      <w:sz w:val="20"/>
      <w:szCs w:val="20"/>
    </w:rPr>
  </w:style>
  <w:style w:type="character" w:customStyle="1" w:styleId="CommentTextChar">
    <w:name w:val="Comment Text Char"/>
    <w:basedOn w:val="DefaultParagraphFont"/>
    <w:link w:val="CommentText"/>
    <w:uiPriority w:val="99"/>
    <w:rsid w:val="000B31D0"/>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0B31D0"/>
    <w:rPr>
      <w:b/>
      <w:bCs/>
    </w:rPr>
  </w:style>
  <w:style w:type="character" w:customStyle="1" w:styleId="CommentSubjectChar">
    <w:name w:val="Comment Subject Char"/>
    <w:basedOn w:val="CommentTextChar"/>
    <w:link w:val="CommentSubject"/>
    <w:uiPriority w:val="99"/>
    <w:semiHidden/>
    <w:rsid w:val="000B31D0"/>
    <w:rPr>
      <w:rFonts w:ascii="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0B31D0"/>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31D0"/>
    <w:rPr>
      <w:rFonts w:ascii="Segoe UI" w:hAnsi="Segoe UI" w:cs="Segoe UI"/>
      <w:sz w:val="18"/>
      <w:szCs w:val="18"/>
      <w:lang w:val="en-GB"/>
    </w:rPr>
  </w:style>
  <w:style w:type="paragraph" w:customStyle="1" w:styleId="Titlelevel4">
    <w:name w:val="Title level 4"/>
    <w:next w:val="Normal"/>
    <w:qFormat/>
    <w:rsid w:val="00496B08"/>
    <w:pPr>
      <w:spacing w:before="240" w:after="240" w:line="240" w:lineRule="auto"/>
    </w:pPr>
    <w:rPr>
      <w:rFonts w:eastAsiaTheme="minorEastAsia"/>
      <w:color w:val="EEECE1" w:themeColor="background2"/>
      <w:sz w:val="24"/>
      <w:szCs w:val="24"/>
    </w:rPr>
  </w:style>
  <w:style w:type="paragraph" w:styleId="BodyText">
    <w:name w:val="Body Text"/>
    <w:basedOn w:val="Normal"/>
    <w:link w:val="BodyTextChar"/>
    <w:uiPriority w:val="1"/>
    <w:qFormat/>
    <w:rsid w:val="00F91209"/>
    <w:pPr>
      <w:widowControl w:val="0"/>
      <w:autoSpaceDE w:val="0"/>
      <w:autoSpaceDN w:val="0"/>
      <w:spacing w:before="0" w:after="0"/>
      <w:jc w:val="left"/>
    </w:pPr>
    <w:rPr>
      <w:rFonts w:ascii="Calibri" w:eastAsia="Calibri" w:hAnsi="Calibri" w:cs="Calibri"/>
      <w:sz w:val="22"/>
      <w:lang w:eastAsia="en-GB" w:bidi="en-GB"/>
    </w:rPr>
  </w:style>
  <w:style w:type="character" w:customStyle="1" w:styleId="BodyTextChar">
    <w:name w:val="Body Text Char"/>
    <w:basedOn w:val="DefaultParagraphFont"/>
    <w:link w:val="BodyText"/>
    <w:uiPriority w:val="1"/>
    <w:rsid w:val="00F91209"/>
    <w:rPr>
      <w:rFonts w:ascii="Calibri" w:eastAsia="Calibri" w:hAnsi="Calibri" w:cs="Calibri"/>
      <w:lang w:val="en-GB" w:eastAsia="en-GB" w:bidi="en-GB"/>
    </w:rPr>
  </w:style>
  <w:style w:type="paragraph" w:customStyle="1" w:styleId="CM4">
    <w:name w:val="CM4"/>
    <w:basedOn w:val="Normal"/>
    <w:next w:val="Normal"/>
    <w:uiPriority w:val="99"/>
    <w:rsid w:val="000C60D7"/>
    <w:pPr>
      <w:autoSpaceDE w:val="0"/>
      <w:autoSpaceDN w:val="0"/>
      <w:adjustRightInd w:val="0"/>
      <w:spacing w:before="0" w:after="0"/>
      <w:jc w:val="left"/>
    </w:pPr>
    <w:rPr>
      <w:rFonts w:eastAsiaTheme="minorEastAsia"/>
      <w:szCs w:val="24"/>
    </w:rPr>
  </w:style>
  <w:style w:type="character" w:styleId="FollowedHyperlink">
    <w:name w:val="FollowedHyperlink"/>
    <w:basedOn w:val="DefaultParagraphFont"/>
    <w:uiPriority w:val="99"/>
    <w:semiHidden/>
    <w:unhideWhenUsed/>
    <w:rsid w:val="00FE0C02"/>
    <w:rPr>
      <w:color w:val="800080" w:themeColor="followedHyperlink"/>
      <w:u w:val="single"/>
    </w:rPr>
  </w:style>
  <w:style w:type="paragraph" w:styleId="Revision">
    <w:name w:val="Revision"/>
    <w:hidden/>
    <w:uiPriority w:val="99"/>
    <w:semiHidden/>
    <w:rsid w:val="00FE0C02"/>
    <w:pPr>
      <w:spacing w:after="0" w:line="240" w:lineRule="auto"/>
    </w:pPr>
    <w:rPr>
      <w:rFonts w:ascii="Times New Roman" w:hAnsi="Times New Roman" w:cs="Times New Roman"/>
      <w:sz w:val="24"/>
      <w:lang w:val="en-GB"/>
    </w:rPr>
  </w:style>
  <w:style w:type="character" w:styleId="PlaceholderText">
    <w:name w:val="Placeholder Text"/>
    <w:basedOn w:val="DefaultParagraphFont"/>
    <w:uiPriority w:val="99"/>
    <w:semiHidden/>
    <w:rsid w:val="00FE0C02"/>
    <w:rPr>
      <w:color w:val="808080"/>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8"/>
      </w:numPr>
    </w:pPr>
  </w:style>
  <w:style w:type="paragraph" w:customStyle="1" w:styleId="Tiret1">
    <w:name w:val="Tiret 1"/>
    <w:basedOn w:val="Point1"/>
    <w:rsid w:val="009B7138"/>
    <w:pPr>
      <w:numPr>
        <w:numId w:val="29"/>
      </w:numPr>
    </w:pPr>
  </w:style>
  <w:style w:type="paragraph" w:customStyle="1" w:styleId="Tiret2">
    <w:name w:val="Tiret 2"/>
    <w:basedOn w:val="Point2"/>
    <w:rsid w:val="009B7138"/>
    <w:pPr>
      <w:numPr>
        <w:numId w:val="30"/>
      </w:numPr>
    </w:pPr>
  </w:style>
  <w:style w:type="paragraph" w:customStyle="1" w:styleId="Tiret3">
    <w:name w:val="Tiret 3"/>
    <w:basedOn w:val="Point3"/>
    <w:rsid w:val="009B7138"/>
    <w:pPr>
      <w:numPr>
        <w:numId w:val="31"/>
      </w:numPr>
    </w:pPr>
  </w:style>
  <w:style w:type="paragraph" w:customStyle="1" w:styleId="Tiret4">
    <w:name w:val="Tiret 4"/>
    <w:basedOn w:val="Point4"/>
    <w:rsid w:val="009B7138"/>
    <w:pPr>
      <w:numPr>
        <w:numId w:val="32"/>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3"/>
      </w:numPr>
    </w:pPr>
  </w:style>
  <w:style w:type="paragraph" w:customStyle="1" w:styleId="NumPar2">
    <w:name w:val="NumPar 2"/>
    <w:basedOn w:val="Normal"/>
    <w:next w:val="Text1"/>
    <w:rsid w:val="009B7138"/>
    <w:pPr>
      <w:numPr>
        <w:ilvl w:val="1"/>
        <w:numId w:val="33"/>
      </w:numPr>
    </w:pPr>
  </w:style>
  <w:style w:type="paragraph" w:customStyle="1" w:styleId="NumPar3">
    <w:name w:val="NumPar 3"/>
    <w:basedOn w:val="Normal"/>
    <w:next w:val="Text1"/>
    <w:rsid w:val="009B7138"/>
    <w:pPr>
      <w:numPr>
        <w:ilvl w:val="2"/>
        <w:numId w:val="33"/>
      </w:numPr>
    </w:pPr>
  </w:style>
  <w:style w:type="paragraph" w:customStyle="1" w:styleId="NumPar4">
    <w:name w:val="NumPar 4"/>
    <w:basedOn w:val="Normal"/>
    <w:next w:val="Text1"/>
    <w:rsid w:val="009B7138"/>
    <w:pPr>
      <w:numPr>
        <w:ilvl w:val="3"/>
        <w:numId w:val="33"/>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5"/>
      </w:numPr>
    </w:pPr>
  </w:style>
  <w:style w:type="paragraph" w:customStyle="1" w:styleId="Point1number">
    <w:name w:val="Point 1 (number)"/>
    <w:basedOn w:val="Normal"/>
    <w:rsid w:val="009B7138"/>
    <w:pPr>
      <w:numPr>
        <w:ilvl w:val="2"/>
        <w:numId w:val="35"/>
      </w:numPr>
    </w:pPr>
  </w:style>
  <w:style w:type="paragraph" w:customStyle="1" w:styleId="Point2number">
    <w:name w:val="Point 2 (number)"/>
    <w:basedOn w:val="Normal"/>
    <w:rsid w:val="009B7138"/>
    <w:pPr>
      <w:numPr>
        <w:ilvl w:val="4"/>
        <w:numId w:val="35"/>
      </w:numPr>
    </w:pPr>
  </w:style>
  <w:style w:type="paragraph" w:customStyle="1" w:styleId="Point3number">
    <w:name w:val="Point 3 (number)"/>
    <w:basedOn w:val="Normal"/>
    <w:rsid w:val="009B7138"/>
    <w:pPr>
      <w:numPr>
        <w:ilvl w:val="6"/>
        <w:numId w:val="35"/>
      </w:numPr>
    </w:pPr>
  </w:style>
  <w:style w:type="paragraph" w:customStyle="1" w:styleId="Point0letter">
    <w:name w:val="Point 0 (letter)"/>
    <w:basedOn w:val="Normal"/>
    <w:rsid w:val="009B7138"/>
    <w:pPr>
      <w:numPr>
        <w:ilvl w:val="1"/>
        <w:numId w:val="35"/>
      </w:numPr>
    </w:pPr>
  </w:style>
  <w:style w:type="paragraph" w:customStyle="1" w:styleId="Point1letter">
    <w:name w:val="Point 1 (letter)"/>
    <w:basedOn w:val="Normal"/>
    <w:rsid w:val="009B7138"/>
    <w:pPr>
      <w:numPr>
        <w:ilvl w:val="3"/>
        <w:numId w:val="35"/>
      </w:numPr>
    </w:pPr>
  </w:style>
  <w:style w:type="paragraph" w:customStyle="1" w:styleId="Point2letter">
    <w:name w:val="Point 2 (letter)"/>
    <w:basedOn w:val="Normal"/>
    <w:rsid w:val="009B7138"/>
    <w:pPr>
      <w:numPr>
        <w:ilvl w:val="5"/>
        <w:numId w:val="35"/>
      </w:numPr>
    </w:pPr>
  </w:style>
  <w:style w:type="paragraph" w:customStyle="1" w:styleId="Point3letter">
    <w:name w:val="Point 3 (letter)"/>
    <w:basedOn w:val="Normal"/>
    <w:rsid w:val="009B7138"/>
    <w:pPr>
      <w:numPr>
        <w:ilvl w:val="7"/>
        <w:numId w:val="35"/>
      </w:numPr>
    </w:pPr>
  </w:style>
  <w:style w:type="paragraph" w:customStyle="1" w:styleId="Point4letter">
    <w:name w:val="Point 4 (letter)"/>
    <w:basedOn w:val="Normal"/>
    <w:rsid w:val="009B7138"/>
    <w:pPr>
      <w:numPr>
        <w:ilvl w:val="8"/>
        <w:numId w:val="35"/>
      </w:numPr>
    </w:pPr>
  </w:style>
  <w:style w:type="paragraph" w:customStyle="1" w:styleId="Bullet0">
    <w:name w:val="Bullet 0"/>
    <w:basedOn w:val="Normal"/>
    <w:rsid w:val="009B7138"/>
    <w:pPr>
      <w:numPr>
        <w:numId w:val="36"/>
      </w:numPr>
    </w:pPr>
  </w:style>
  <w:style w:type="paragraph" w:customStyle="1" w:styleId="Bullet1">
    <w:name w:val="Bullet 1"/>
    <w:basedOn w:val="Normal"/>
    <w:rsid w:val="009B7138"/>
    <w:pPr>
      <w:numPr>
        <w:numId w:val="37"/>
      </w:numPr>
    </w:pPr>
  </w:style>
  <w:style w:type="paragraph" w:customStyle="1" w:styleId="Bullet2">
    <w:name w:val="Bullet 2"/>
    <w:basedOn w:val="Normal"/>
    <w:rsid w:val="009B7138"/>
    <w:pPr>
      <w:numPr>
        <w:numId w:val="38"/>
      </w:numPr>
    </w:pPr>
  </w:style>
  <w:style w:type="paragraph" w:customStyle="1" w:styleId="Bullet3">
    <w:name w:val="Bullet 3"/>
    <w:basedOn w:val="Normal"/>
    <w:rsid w:val="009B7138"/>
    <w:pPr>
      <w:numPr>
        <w:numId w:val="39"/>
      </w:numPr>
    </w:pPr>
  </w:style>
  <w:style w:type="paragraph" w:customStyle="1" w:styleId="Bullet4">
    <w:name w:val="Bullet 4"/>
    <w:basedOn w:val="Normal"/>
    <w:rsid w:val="009B7138"/>
    <w:pPr>
      <w:numPr>
        <w:numId w:val="40"/>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41"/>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8446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10D1BE-CD35-4A21-8CD8-D8986CBED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0</TotalTime>
  <Pages>19</Pages>
  <Words>6205</Words>
  <Characters>38229</Characters>
  <Application>Microsoft Office Word</Application>
  <DocSecurity>0</DocSecurity>
  <Lines>682</Lines>
  <Paragraphs>300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Kornelia Wilinska</dc:creator>
  <cp:keywords/>
  <dc:description/>
  <cp:lastModifiedBy>VIDA Agnes (FISMA)</cp:lastModifiedBy>
  <cp:revision>2</cp:revision>
  <dcterms:created xsi:type="dcterms:W3CDTF">2020-12-18T16:45:00Z</dcterms:created>
  <dcterms:modified xsi:type="dcterms:W3CDTF">2020-12-18T16:45:00Z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6.0.1.0</vt:lpwstr>
  </property>
  <property fmtid="{D5CDD505-2E9C-101B-9397-08002B2CF9AE}" pid="4" name="Last edited using">
    <vt:lpwstr>LW 7.0.1, Build 20190916</vt:lpwstr>
  </property>
  <property fmtid="{D5CDD505-2E9C-101B-9397-08002B2CF9AE}" pid="5" name="Created using">
    <vt:lpwstr>LW 6.0, Build 20171009</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