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PŘÍLOHA XIX</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POKYNY PRO PODÁVÁNÍ ZPRÁV O DODATEČNÝCH MONITOROVACÍCH NÁSTROJÍCH LIKVIDITY</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Dodatečné monitorovací nástroje likvidity</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 xml:space="preserve">Obecné pokyny </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K monitorování rizika likvidity instituce, které nespadá do působnosti výkazů týkajících se krytí likvidity a stabilního financování, vyplní instituce šablonu v příloze XVIII v souladu s pokyny uvedenými v této příloze.</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Celkovým financováním jsou veškeré finanční závazky kromě derivátů a krátkých pozic.</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Financování s otevřenou splatností včetně vkladů na viděnou se považuje za financování se splatností do druhého dne. </w:t>
      </w:r>
    </w:p>
    <w:p w14:paraId="4586638B" w14:textId="5C85EC2F" w:rsidR="00A344AA" w:rsidRPr="001263B4" w:rsidRDefault="00A344AA" w:rsidP="001263B4">
      <w:pPr>
        <w:pStyle w:val="InstructionsText2"/>
        <w:numPr>
          <w:ilvl w:val="0"/>
          <w:numId w:val="4"/>
        </w:numPr>
        <w:spacing w:after="120"/>
        <w:rPr>
          <w:sz w:val="24"/>
          <w:u w:val="none"/>
        </w:rPr>
      </w:pPr>
      <w:r>
        <w:rPr>
          <w:sz w:val="24"/>
          <w:u w:val="none"/>
        </w:rPr>
        <w:t>Původní splatnost představuje doba mezi datem vzniku a datem splatnosti financování. Datum splatnosti financování se stanoví v souladu s </w:t>
      </w:r>
      <w:r w:rsidR="00320B78">
        <w:rPr>
          <w:sz w:val="24"/>
          <w:u w:val="none"/>
        </w:rPr>
        <w:t>bodem</w:t>
      </w:r>
      <w:r>
        <w:rPr>
          <w:sz w:val="24"/>
          <w:u w:val="none"/>
        </w:rPr>
        <w:t xml:space="preserve"> 12 přílohy XXIII. To znamená, že v případě možnosti volby, třeba v případě </w:t>
      </w:r>
      <w:r w:rsidR="00320B78">
        <w:rPr>
          <w:sz w:val="24"/>
          <w:u w:val="none"/>
        </w:rPr>
        <w:t>bodu</w:t>
      </w:r>
      <w:r>
        <w:rPr>
          <w:sz w:val="24"/>
          <w:u w:val="none"/>
        </w:rPr>
        <w:t xml:space="preserve"> 12 přílohy XXIII, může být původní splatnost položky financování kratší než doba, která uplynula od jejího vzniku. </w:t>
      </w:r>
    </w:p>
    <w:p w14:paraId="4FA59274" w14:textId="07035620" w:rsidR="00A344AA" w:rsidRPr="001263B4" w:rsidRDefault="00A344AA" w:rsidP="001263B4">
      <w:pPr>
        <w:pStyle w:val="InstructionsText2"/>
        <w:numPr>
          <w:ilvl w:val="0"/>
          <w:numId w:val="4"/>
        </w:numPr>
        <w:spacing w:after="120"/>
        <w:rPr>
          <w:sz w:val="24"/>
          <w:u w:val="none"/>
        </w:rPr>
      </w:pPr>
      <w:r>
        <w:rPr>
          <w:sz w:val="24"/>
          <w:u w:val="none"/>
        </w:rPr>
        <w:t>Zbytkovou splatnost představuje doba mezi koncem vykazovaného období a datem splatnosti financování. Datum splatnosti financování se stanoví v souladu s </w:t>
      </w:r>
      <w:r w:rsidR="00320B78">
        <w:rPr>
          <w:sz w:val="24"/>
          <w:u w:val="none"/>
        </w:rPr>
        <w:t>bodem</w:t>
      </w:r>
      <w:r>
        <w:rPr>
          <w:sz w:val="24"/>
          <w:u w:val="none"/>
        </w:rPr>
        <w:t xml:space="preserve"> 12 přílohy XXIII.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Pro účely výpočtu původní nebo zbytkové vážené průměrné splatnosti se vklady se splatností do druhého dne považují za vklady s jednodenní splatností.</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 xml:space="preserve">Pro účely výpočtu původní a zbytkové splatnosti, pokud se jedná o financování s výpovědní lhůtou nebo s doložkou o zrušení nebo o předčasném </w:t>
      </w:r>
      <w:bookmarkStart w:id="2" w:name="_GoBack"/>
      <w:r>
        <w:rPr>
          <w:sz w:val="24"/>
          <w:u w:val="none"/>
        </w:rPr>
        <w:t>odst</w:t>
      </w:r>
      <w:bookmarkEnd w:id="2"/>
      <w:r>
        <w:rPr>
          <w:sz w:val="24"/>
          <w:u w:val="none"/>
        </w:rPr>
        <w:t>oupení u protistrany instituce, se předpokládá odstoupení k prvnímu možnému datu.</w:t>
      </w:r>
    </w:p>
    <w:p w14:paraId="2B81E2EC" w14:textId="6F4B33AA" w:rsidR="00A344AA" w:rsidRPr="001263B4" w:rsidRDefault="00A344AA" w:rsidP="001263B4">
      <w:pPr>
        <w:pStyle w:val="InstructionsText2"/>
        <w:numPr>
          <w:ilvl w:val="0"/>
          <w:numId w:val="4"/>
        </w:numPr>
        <w:spacing w:after="120"/>
        <w:rPr>
          <w:sz w:val="24"/>
          <w:u w:val="none"/>
        </w:rPr>
      </w:pPr>
      <w:r>
        <w:rPr>
          <w:sz w:val="24"/>
          <w:u w:val="none"/>
        </w:rPr>
        <w:t>U časově neomezených závazků s výjimkou případů spadajících pod možnost volby podle </w:t>
      </w:r>
      <w:r w:rsidR="00320B78">
        <w:rPr>
          <w:sz w:val="24"/>
          <w:u w:val="none"/>
        </w:rPr>
        <w:t>bodu</w:t>
      </w:r>
      <w:r>
        <w:rPr>
          <w:sz w:val="24"/>
          <w:u w:val="none"/>
        </w:rPr>
        <w:t xml:space="preserve"> 12 přílohy XXIII se předpokládá pevná dvacetiletá původní i zbytková splatnost.</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Pro výpočet procentní prahové hodnoty uvedené v šablonách C 67.00 a C 68.00 podle významných měn použijí instituce prahovou hodnotu ve výši 1 % celkových závazků ve všech měnách.</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Koncentrace financování podle protistrany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V zájmu shromáždění informací o vykazujících institucích týkajících se koncentrace financování podle protistrany v šabloně C 67.00 použijí instituce pokyny v tomto oddíle.</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Instituce vykážou deset největších protistran nebo ekonomicky spjatou skupinu klientů ve smyslu čl. 4 odst. 1 bodu 39 nařízení (EU) č. 575/2013, přesáhne-li objem financování získaný od každé z protistran nebo od ekonomicky spjaté skupiny klientů hranici 1 % celkového objemu závazků v řádcích 020 až 110 oddílu 1 této šablony. Protistrana vykázaná v položce 1.01 bude představovat největší částku financování získaného od jedné protistrany nebo od ekonomicky spjaté skupiny klientů, která k datu vykazování přesahuje 1% prahovou hodnotu. Položka 1.02 bude představovat druhou největší částku financování nad úrovní 1% prahové hodnoty a obdobně je tomu s ostatními položkami.</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lastRenderedPageBreak/>
        <w:t xml:space="preserve">Pokud protistrana náleží k několika ekonomicky spjatým skupinám klientů, vykazuje se pouze jednou ve skupině s nejvyšší objemem financování.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Celkový objem veškerého ostatního financování vykážou instituce v oddíle 2.</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Součet celkových částek uvedených v oddíle 1 a v oddíle 2 bude roven celkovému objemu financování dané instituce vykázanému v rozvaze předkládané v rámci pro finanční vykazování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U každé protistrany vykážou instituce všechny sloupce 010 až 080.</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Obdrží-li instituce prostředky na financování v rámci více než jednoho druhu produktu, vykáže jako druh ten produkt, v rámci něhož obdržela největší podíl financování. Při určování totožnosti faktického držitele cenných papírů se lze řídit zásadou vynaložení nejvyššího úsilí. Má-li instituce informace týkající se držitele cenných papírů z titulu své úlohy jakožto spravující banky, vykáže jejich objem v rámci vykazování koncentrace protistran. Nejsou-li informace o držiteli cenných papírů k dispozici, nemusí být odpovídající objem vykazován.</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Pokyny týkající se konkrétních sloupců:</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Sloupec</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Odkazy na právní předpisy a pokyny</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Název protistrany</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Název každé protistrany, která poskytla financování přesahující 1 % celkového objemu závazků, se vykáže ve sloupci 010 v sestupném pořadí, tzn. podle pořadí daného objemem poskytnutého financování.</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Vykáže se název protistrany bez ohledu na to, zda se jedná o právnickou, nebo fyzickou osobu. Je-li protistrana právnickou osobou, vykázaným názvem protistrany musí být úplný název právnické osoby, od níž pochází financování, včetně případných odkazů na druh společnosti v souladu s vnitrostátním právem obchodních společností.</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Kód</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Tento kód je identifikátorem řádku a je pro každou protistranu jedinečný. V případě institucí a pojišťoven se použije kód LEI. U jiných subjektů se použije kód LEI, nebo případně vnitrostátní kód, není-li kód LEI k dispozici. Kód je jedinečný a používá se trvale a ve všech šablonách konzistentně. V poli pro kód musí být vždy nějaká hodnota.</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Typ kódu</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Instituce určí typ kódu uvedeného ve sloupci 015 jako „LEI“ nebo „jiný než LEI“.</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Typ kódu se uvádí vždy.</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Vnitrostátní kód</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Instituce mohou doplňkově uvést vnitrostátní kód, pokud ve sloupci „Kód“ uvedly jako identifikátor kód LEI.</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Odvětví protistrany</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Každé protistraně bude přiděleno jedno odvětví na základě tříd hospodářských odvětví dle FINREP:</w:t>
            </w:r>
          </w:p>
          <w:p w14:paraId="07E3E3C8" w14:textId="068EC55B"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centrální banky; ii) vládní instituce; iii) úvěrové instituce; iv) ostatní finanční podniky; v) nefinanční podniky; vi) domácnosti.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U ekonomicky spjatých skupin klientů se odvětví nevykazuje.</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Sídlo protistrany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Použije se kód ISO 3166-1-alfa-2 země registrace protistrany, včetně pseudo-ISO kódů pro mezinárodní organizace,</w:t>
            </w:r>
            <w:r>
              <w:rPr>
                <w:sz w:val="24"/>
              </w:rPr>
              <w:t xml:space="preserve"> které jsou k dispozici v nejnovějším vydání příručky Eurostatu „Balance of Payments Vademecum“</w:t>
            </w:r>
            <w:r>
              <w:rPr>
                <w:rStyle w:val="FormatvorlageInstructionsTabelleText"/>
                <w:rFonts w:ascii="Times New Roman" w:hAnsi="Times New Roman"/>
                <w:sz w:val="24"/>
              </w:rPr>
              <w:t xml:space="preserve">.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U ekonomicky spjatých skupin klientů se země nevykazuje.</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Druh produktu</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U protistran vykázaných ve sloupci 010 se uvede druh produktu odpovídající vydanému produktu, v jehož rámci bylo financování přijato (nebo v případě kombinace různých druhů produktů druh produktu, v jehož rámci byl přijat největší podíl financování), a to za použití následujících tučně vytištěných kódů:</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UWF</w:t>
            </w:r>
            <w:r>
              <w:rPr>
                <w:rFonts w:ascii="Times New Roman" w:hAnsi="Times New Roman"/>
                <w:color w:val="000000"/>
                <w:sz w:val="24"/>
              </w:rPr>
              <w:t xml:space="preserve"> (nezajištěné velkoobchodní financování získané od finančních zákazníků včetně mezibankovních peněžních prostředků)</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UWNF</w:t>
            </w:r>
            <w:r>
              <w:rPr>
                <w:rFonts w:ascii="Times New Roman" w:hAnsi="Times New Roman"/>
                <w:color w:val="000000"/>
                <w:sz w:val="24"/>
              </w:rPr>
              <w:t xml:space="preserve"> (nezajištěné velkoobchodní financování získané od nefinančních zákazníků)</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(financování získané na základě rep ve smyslu čl. 4 odst. 1 bodu 82 nařízení (EU) č. 575/2013)</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(financování získané z emise krytých dluhopisů ve smyslu čl. 129 odst. 4 nebo 5 nařízení (EU) č. 575/2013 nebo ve smyslu čl. 52 odst. 4 směrnice 2009/65/ES)</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ABS</w:t>
            </w:r>
            <w:r>
              <w:rPr>
                <w:rFonts w:ascii="Times New Roman" w:hAnsi="Times New Roman"/>
                <w:color w:val="000000"/>
                <w:sz w:val="24"/>
              </w:rPr>
              <w:t xml:space="preserve"> (financování získané z emise cenných papírů zajištěných aktivy včetně obchodních cenných papírů zajištěných aktivy)</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IGCP</w:t>
            </w:r>
            <w:r>
              <w:rPr>
                <w:rFonts w:ascii="Times New Roman" w:hAnsi="Times New Roman"/>
                <w:color w:val="000000"/>
                <w:sz w:val="24"/>
              </w:rPr>
              <w:t xml:space="preserve"> (financování získané od protistran ve skupině)</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(jiné zajištěné velkoobchodní financování)</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(jiné produkty financování, např. retailové financování)</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Přijatá částka</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Ve sloupci 060 se vykáže celková částka financování obdrženého od protistran vykázaných ve sloupci 010, přičemž instituce zde vykáží účetní hodnoty.</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Vážený průměr původní splatnosti</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U částky financování, která byla vykázána ve sloupci 060, získaného od protistrany vykázané ve sloupci 010 se k tomuto financování vykáže ve sloupci 070 vážený průměr původní splatnosti (v dnech).</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Vážený průměr původní splatnosti se vypočítá jako průměrná původní splatnost (v dnech) financování získaného od dané protistrany. Tento průměr se podrobí vážení podle velikosti, a to na základě velikosti jednotlivých objemů získaného financování v poměru k celkovému objemu financování získaného od dané protistrany.</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Vážený průměr zbytkové splatnosti</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U částky financování, která byla vykázána ve sloupci 060, získaného od protistrany vykázané ve sloupci 010 se k tomuto financování vykáže ve sloupci 080 vážený průměr zbytkové splatnosti (v dnech).</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Vážený průměr zbytkové splatnosti se vypočítá jako průměrná splatnost (ve zbývajících dnech) financování získaného od dané protistrany. Tento průměr se podrobí vážení podle velikosti, a to na základě velikosti jednotlivých objemů získaného financování v poměru k celkovému objemu financování získaného od dané protistrany.</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Koncentrace financování podle druhu produktu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Cílem této šablony je shromáždit od vykazujících institucí informace týkající se koncentrace financování podle druhu produktu, rozepsané do typů financování podle následujících pokynů pro jednotlivé řádky: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Řádek</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Pr>
                <w:rFonts w:ascii="Times New Roman" w:hAnsi="Times New Roman"/>
                <w:b/>
                <w:sz w:val="24"/>
                <w:u w:val="single"/>
              </w:rPr>
              <w:t>1.</w:t>
            </w:r>
            <w:r w:rsidRPr="007B0219">
              <w:rPr>
                <w:u w:val="single"/>
              </w:rPr>
              <w:tab/>
            </w:r>
            <w:r>
              <w:rPr>
                <w:rFonts w:ascii="Times New Roman" w:hAnsi="Times New Roman"/>
                <w:b/>
                <w:sz w:val="24"/>
                <w:u w:val="single"/>
              </w:rPr>
              <w:t>Retailové financování</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Retailové vklady ve smyslu v čl. 3 bodu 8 nařízení v přenesené pravomoci (EU) 2015/61</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58B548F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rsidR="00101F10">
              <w:rPr>
                <w:rFonts w:ascii="Times New Roman" w:hAnsi="Times New Roman"/>
                <w:b/>
                <w:sz w:val="24"/>
                <w:u w:val="single"/>
              </w:rPr>
              <w:t>.</w:t>
            </w:r>
            <w:r w:rsidRPr="007B0219">
              <w:rPr>
                <w:u w:val="single"/>
              </w:rPr>
              <w:tab/>
            </w:r>
            <w:r>
              <w:rPr>
                <w:rFonts w:ascii="Times New Roman" w:hAnsi="Times New Roman"/>
                <w:b/>
                <w:sz w:val="24"/>
                <w:u w:val="single"/>
              </w:rPr>
              <w:t>z toho vklady na viděnou</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Z retailového financování v řádku 010 vklady na viděnou</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1ED340F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rsidR="00D05D3A">
              <w:rPr>
                <w:rFonts w:ascii="Times New Roman" w:hAnsi="Times New Roman"/>
                <w:b/>
                <w:sz w:val="24"/>
                <w:u w:val="single"/>
              </w:rPr>
              <w:t>.</w:t>
            </w:r>
            <w:r w:rsidRPr="007B0219">
              <w:rPr>
                <w:u w:val="single"/>
              </w:rPr>
              <w:tab/>
            </w:r>
            <w:r>
              <w:rPr>
                <w:rFonts w:ascii="Times New Roman" w:hAnsi="Times New Roman"/>
                <w:b/>
                <w:sz w:val="24"/>
                <w:u w:val="single"/>
              </w:rPr>
              <w:t>z toho jiné termínované vklady než vyplatitelné během následujících 30 dnů</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Z retailového financování v řádku 010 jiné termínované vklady než vyplatitelné během následujících 30 dnů</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041</w:t>
            </w:r>
          </w:p>
        </w:tc>
        <w:tc>
          <w:tcPr>
            <w:tcW w:w="4271" w:type="pct"/>
            <w:shd w:val="clear" w:color="auto" w:fill="auto"/>
          </w:tcPr>
          <w:p w14:paraId="155ED8D2" w14:textId="4D1B23B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rsidR="00101F10">
              <w:rPr>
                <w:rFonts w:ascii="Times New Roman" w:hAnsi="Times New Roman"/>
                <w:b/>
                <w:sz w:val="24"/>
                <w:u w:val="single"/>
              </w:rPr>
              <w:t>.</w:t>
            </w:r>
            <w:r w:rsidRPr="007B0219">
              <w:rPr>
                <w:u w:val="single"/>
              </w:rPr>
              <w:tab/>
            </w:r>
            <w:r>
              <w:rPr>
                <w:rFonts w:ascii="Times New Roman" w:hAnsi="Times New Roman"/>
                <w:b/>
                <w:sz w:val="24"/>
                <w:u w:val="single"/>
              </w:rPr>
              <w:t>z toho termínované vklady vyplatitelné během následujících 30 dnů</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Z retailového financování v řádku 010 termínované vklady vyplatitelné během následujících 30 dnů</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7D2B100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rsidR="00101F10">
              <w:rPr>
                <w:rFonts w:ascii="Times New Roman" w:hAnsi="Times New Roman"/>
                <w:b/>
                <w:sz w:val="24"/>
                <w:u w:val="single"/>
              </w:rPr>
              <w:t>.</w:t>
            </w:r>
            <w:r w:rsidRPr="007B0219">
              <w:rPr>
                <w:u w:val="single"/>
              </w:rPr>
              <w:tab/>
            </w:r>
            <w:r>
              <w:rPr>
                <w:rFonts w:ascii="Times New Roman" w:hAnsi="Times New Roman"/>
                <w:b/>
                <w:sz w:val="24"/>
                <w:u w:val="single"/>
              </w:rPr>
              <w:t>z toho spořicí účty s některým z následujících znaků:</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Z retailového financování v řádku 010 spořicí účty s některým z následujících znaků:</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s výpovědní lhůtou pro výběr delší než 30 dnů</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lastRenderedPageBreak/>
              <w:t>– bez výpovědní lhůty pro výběr delší než 30 dnů</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Tento řádek se nevyplňuje.</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080</w:t>
            </w:r>
          </w:p>
        </w:tc>
        <w:tc>
          <w:tcPr>
            <w:tcW w:w="4271" w:type="pct"/>
            <w:shd w:val="clear" w:color="auto" w:fill="auto"/>
          </w:tcPr>
          <w:p w14:paraId="208924A1" w14:textId="346AD34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1.4.1</w:t>
            </w:r>
            <w:r w:rsidR="00101F10">
              <w:rPr>
                <w:rFonts w:ascii="Times New Roman" w:hAnsi="Times New Roman"/>
                <w:b/>
                <w:sz w:val="24"/>
                <w:u w:val="single"/>
              </w:rPr>
              <w:t>.</w:t>
            </w:r>
            <w:r>
              <w:rPr>
                <w:rFonts w:ascii="Times New Roman" w:hAnsi="Times New Roman"/>
                <w:b/>
                <w:sz w:val="24"/>
                <w:u w:val="single"/>
              </w:rPr>
              <w:t xml:space="preserve"> </w:t>
            </w:r>
            <w:r w:rsidRPr="007B0219">
              <w:rPr>
                <w:u w:val="single"/>
              </w:rPr>
              <w:tab/>
            </w:r>
            <w:r>
              <w:rPr>
                <w:rFonts w:ascii="Times New Roman" w:hAnsi="Times New Roman"/>
                <w:b/>
                <w:sz w:val="24"/>
                <w:u w:val="single"/>
              </w:rPr>
              <w:t>s výpovědní lhůtou pro výběr delší než 30 dnů</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Z retailového financování v řádku 010 spořicí účty s výpovědní lhůtou pro výběr delší než 30 dnů</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4782C5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1.4.2</w:t>
            </w:r>
            <w:r w:rsidR="00101F10">
              <w:rPr>
                <w:rFonts w:ascii="Times New Roman" w:hAnsi="Times New Roman"/>
                <w:b/>
                <w:sz w:val="24"/>
                <w:u w:val="single"/>
              </w:rPr>
              <w:t>.</w:t>
            </w:r>
            <w:r>
              <w:rPr>
                <w:rFonts w:ascii="Times New Roman" w:hAnsi="Times New Roman"/>
                <w:b/>
                <w:sz w:val="24"/>
                <w:u w:val="single"/>
              </w:rPr>
              <w:t xml:space="preserve"> </w:t>
            </w:r>
            <w:r w:rsidRPr="007B0219">
              <w:rPr>
                <w:u w:val="single"/>
              </w:rPr>
              <w:tab/>
            </w:r>
            <w:r>
              <w:rPr>
                <w:rFonts w:ascii="Times New Roman" w:hAnsi="Times New Roman"/>
                <w:b/>
                <w:sz w:val="24"/>
                <w:u w:val="single"/>
              </w:rPr>
              <w:t>bez výpovědní lhůty pro výběr delší než 30 dnů</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Z retailového financování v řádku 010 spořicí účty bez výpovědní lhůty pro výběr delší než 30 dnů</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rsidRPr="007B0219">
              <w:rPr>
                <w:u w:val="single"/>
              </w:rPr>
              <w:tab/>
            </w:r>
            <w:r>
              <w:rPr>
                <w:rFonts w:ascii="Times New Roman" w:hAnsi="Times New Roman"/>
                <w:b/>
                <w:sz w:val="24"/>
                <w:u w:val="single"/>
              </w:rPr>
              <w:t>Velkoobchodní financování odpovídající jakémukoli z těchto druhů:</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Veškeré jiné protistrany než u retailových vkladů ve smyslu čl. 3 bodu 8 nařízení v přenesené pravomoci (EU) 2015/61</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Tento řádek se nevyplňuje.</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6EF6061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rsidR="00101F10">
              <w:rPr>
                <w:rFonts w:ascii="Times New Roman" w:hAnsi="Times New Roman"/>
                <w:b/>
                <w:sz w:val="24"/>
                <w:u w:val="single"/>
              </w:rPr>
              <w:t>.</w:t>
            </w:r>
            <w:r w:rsidRPr="007B0219">
              <w:rPr>
                <w:u w:val="single"/>
              </w:rPr>
              <w:tab/>
            </w:r>
            <w:r>
              <w:rPr>
                <w:rFonts w:ascii="Times New Roman" w:hAnsi="Times New Roman"/>
                <w:b/>
                <w:sz w:val="24"/>
                <w:u w:val="single"/>
              </w:rPr>
              <w:t>nezajištěné velkoobchodní financování:</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Veškeré jiné protistrany než u retailových vkladů ve smyslu čl. 3 bodu 8 nařízení v přenesené pravomoci (EU) 2015/61, kde je financování nezajištěné</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165AC351"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rsidR="00101F10">
              <w:rPr>
                <w:rFonts w:ascii="Times New Roman" w:hAnsi="Times New Roman"/>
                <w:b/>
                <w:sz w:val="24"/>
                <w:u w:val="single"/>
              </w:rPr>
              <w:t>.</w:t>
            </w:r>
            <w:r w:rsidRPr="007B0219">
              <w:rPr>
                <w:u w:val="single"/>
              </w:rPr>
              <w:tab/>
            </w:r>
            <w:r>
              <w:rPr>
                <w:rFonts w:ascii="Times New Roman" w:hAnsi="Times New Roman"/>
                <w:b/>
                <w:sz w:val="24"/>
                <w:u w:val="single"/>
              </w:rPr>
              <w:t>z toho úvěry a vklady od finančních zákazníků</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Z financování v řádku 110 úvěry a vklady od finančních zákazníků</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Financování od centrálních bank je z tohoto řádku vyloučeno.</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130</w:t>
            </w:r>
          </w:p>
        </w:tc>
        <w:tc>
          <w:tcPr>
            <w:tcW w:w="4271" w:type="pct"/>
            <w:shd w:val="clear" w:color="auto" w:fill="auto"/>
          </w:tcPr>
          <w:p w14:paraId="06A755FB" w14:textId="0C854E2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rsidR="00101F10">
              <w:rPr>
                <w:rFonts w:ascii="Times New Roman" w:hAnsi="Times New Roman"/>
                <w:b/>
                <w:sz w:val="24"/>
                <w:u w:val="single"/>
              </w:rPr>
              <w:t>.</w:t>
            </w:r>
            <w:r w:rsidRPr="007B0219">
              <w:rPr>
                <w:u w:val="single"/>
              </w:rPr>
              <w:tab/>
            </w:r>
            <w:r>
              <w:rPr>
                <w:rFonts w:ascii="Times New Roman" w:hAnsi="Times New Roman"/>
                <w:b/>
                <w:sz w:val="24"/>
                <w:u w:val="single"/>
              </w:rPr>
              <w:t>z toho úvěry a vklady od nefinančních zákazníků</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Z financování v řádku 110 úvěry a vklady od nefinančních zákazníků</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Financování od centrálních bank je z tohoto řádku vyloučeno.</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140</w:t>
            </w:r>
          </w:p>
        </w:tc>
        <w:tc>
          <w:tcPr>
            <w:tcW w:w="4271" w:type="pct"/>
            <w:shd w:val="clear" w:color="auto" w:fill="auto"/>
          </w:tcPr>
          <w:p w14:paraId="08468F41" w14:textId="7377C53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rsidR="00101F10">
              <w:rPr>
                <w:rFonts w:ascii="Times New Roman" w:hAnsi="Times New Roman"/>
                <w:b/>
                <w:sz w:val="24"/>
                <w:u w:val="single"/>
              </w:rPr>
              <w:t>.</w:t>
            </w:r>
            <w:r w:rsidRPr="007B0219">
              <w:rPr>
                <w:u w:val="single"/>
              </w:rPr>
              <w:tab/>
            </w:r>
            <w:r>
              <w:rPr>
                <w:rFonts w:ascii="Times New Roman" w:hAnsi="Times New Roman"/>
                <w:b/>
                <w:sz w:val="24"/>
                <w:u w:val="single"/>
              </w:rPr>
              <w:t>z toho úvěry a vklady od subjektů v rámci skupiny</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Z financování v řádku 110 úvěry a vklady od subjektů uvnitř skupiny</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t>Velkoobchodní financování od subjektů uvnitř skupiny se vykazuje pouze na individuálním nebo subkonsolidovaném základě.</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150</w:t>
            </w:r>
          </w:p>
        </w:tc>
        <w:tc>
          <w:tcPr>
            <w:tcW w:w="4271" w:type="pct"/>
            <w:shd w:val="clear" w:color="auto" w:fill="auto"/>
          </w:tcPr>
          <w:p w14:paraId="46EF8EC5" w14:textId="77C137F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rsidR="00101F10">
              <w:rPr>
                <w:rFonts w:ascii="Times New Roman" w:hAnsi="Times New Roman"/>
                <w:b/>
                <w:sz w:val="24"/>
                <w:u w:val="single"/>
              </w:rPr>
              <w:t>.</w:t>
            </w:r>
            <w:r w:rsidRPr="007B0219">
              <w:rPr>
                <w:u w:val="single"/>
              </w:rPr>
              <w:tab/>
            </w:r>
            <w:r>
              <w:rPr>
                <w:rFonts w:ascii="Times New Roman" w:hAnsi="Times New Roman"/>
                <w:b/>
                <w:sz w:val="24"/>
                <w:u w:val="single"/>
              </w:rPr>
              <w:t xml:space="preserve">zajištěné velkoobchodní financování: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Veškeré jiné protistrany než u retailových vkladů ve smyslu čl. 3 bodu 8 nařízení v přenesené pravomoci (EU) 2015/61, kde je financování zajištěné</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160</w:t>
            </w:r>
          </w:p>
        </w:tc>
        <w:tc>
          <w:tcPr>
            <w:tcW w:w="4271" w:type="pct"/>
            <w:shd w:val="clear" w:color="auto" w:fill="auto"/>
          </w:tcPr>
          <w:p w14:paraId="26450696" w14:textId="35E635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rsidR="00101F10">
              <w:rPr>
                <w:rFonts w:ascii="Times New Roman" w:hAnsi="Times New Roman"/>
                <w:b/>
                <w:sz w:val="24"/>
                <w:u w:val="single"/>
              </w:rPr>
              <w:t>.</w:t>
            </w:r>
            <w:r w:rsidRPr="007B0219">
              <w:rPr>
                <w:u w:val="single"/>
              </w:rPr>
              <w:tab/>
            </w:r>
            <w:r>
              <w:rPr>
                <w:rFonts w:ascii="Times New Roman" w:hAnsi="Times New Roman"/>
                <w:b/>
                <w:sz w:val="24"/>
                <w:u w:val="single"/>
              </w:rPr>
              <w:t>z toho obchody zajišťující financování (securities financing transactions, SFT)</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Z financování v řádku 150 financování získané na základě rep ve smyslu čl. 4 odst. 1 bodu 82 nařízení (EU) č. 575/2013</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D1CECA0"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rsidR="00101F10">
              <w:rPr>
                <w:rFonts w:ascii="Times New Roman" w:hAnsi="Times New Roman"/>
                <w:b/>
                <w:sz w:val="24"/>
                <w:u w:val="single"/>
              </w:rPr>
              <w:t>.</w:t>
            </w:r>
            <w:r w:rsidRPr="007B0219">
              <w:rPr>
                <w:u w:val="single"/>
              </w:rPr>
              <w:tab/>
            </w:r>
            <w:r>
              <w:rPr>
                <w:rFonts w:ascii="Times New Roman" w:hAnsi="Times New Roman"/>
                <w:b/>
                <w:sz w:val="24"/>
                <w:u w:val="single"/>
              </w:rPr>
              <w:t>z toho emise krytých dluhopisů</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lastRenderedPageBreak/>
              <w:t>Z financování v řádku 150 financování získané z emise krytých dluhopisů ve smyslu čl. 129 odst. 4 nebo 5 nařízení (EU) č. 575/2013 nebo ve smyslu čl. 52 odst. 4 směrnice 2009/65/ES</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lastRenderedPageBreak/>
              <w:t>180</w:t>
            </w:r>
          </w:p>
        </w:tc>
        <w:tc>
          <w:tcPr>
            <w:tcW w:w="4271" w:type="pct"/>
            <w:shd w:val="clear" w:color="auto" w:fill="auto"/>
          </w:tcPr>
          <w:p w14:paraId="6F3DFEBC" w14:textId="0F8BE51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rsidR="00101F10">
              <w:rPr>
                <w:rFonts w:ascii="Times New Roman" w:hAnsi="Times New Roman"/>
                <w:b/>
                <w:sz w:val="24"/>
                <w:u w:val="single"/>
              </w:rPr>
              <w:t>.</w:t>
            </w:r>
            <w:r w:rsidRPr="007B0219">
              <w:rPr>
                <w:u w:val="single"/>
              </w:rPr>
              <w:tab/>
            </w:r>
            <w:r>
              <w:rPr>
                <w:rFonts w:ascii="Times New Roman" w:hAnsi="Times New Roman"/>
                <w:b/>
                <w:sz w:val="24"/>
                <w:u w:val="single"/>
              </w:rPr>
              <w:t>z toho emise cenných papírů zajištěných aktivy</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Z financování v řádku 150 financování získané z emise cenných papírů zajištěných aktivy včetně obchodních cenných papírů zajištěných aktivy</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6674AC2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rsidR="00101F10">
              <w:rPr>
                <w:rFonts w:ascii="Times New Roman" w:hAnsi="Times New Roman"/>
                <w:b/>
                <w:sz w:val="24"/>
                <w:u w:val="single"/>
              </w:rPr>
              <w:t>.</w:t>
            </w:r>
            <w:r w:rsidRPr="007B0219">
              <w:rPr>
                <w:u w:val="single"/>
              </w:rPr>
              <w:tab/>
            </w:r>
            <w:r>
              <w:rPr>
                <w:rFonts w:ascii="Times New Roman" w:hAnsi="Times New Roman"/>
                <w:b/>
                <w:sz w:val="24"/>
                <w:u w:val="single"/>
              </w:rPr>
              <w:t>z toho úvěry a vklady od subjektů v rámci skupiny</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Z financování v řádku 150 financování od subjektů uvnitř skupiny</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Velkoobchodní financování od subjektů uvnitř skupiny se vykazuje pouze na individuálním nebo subkonsolidovaném základě.</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Pro účely vyplňování této šablony vykážou instituce celkovou částku financování získaného v rámci každého druhu produktů, přesahuje-li 1% prahovou hodnotu celkového objemu závazků.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U každého druhu produktu vykážou instituce všechny sloupce 010 až 050.</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1% prahová hodnota celkového objemu závazků se použije ke stanovení druhů produktů, z nichž bylo získáno financování, v souladu s těmito zásadami:</w:t>
      </w:r>
    </w:p>
    <w:p w14:paraId="3AF457D4" w14:textId="54C27ABB" w:rsidR="00A344AA" w:rsidRPr="001263B4" w:rsidRDefault="00EF0ADB" w:rsidP="001263B4">
      <w:pPr>
        <w:pStyle w:val="InstructionsText2"/>
        <w:numPr>
          <w:ilvl w:val="0"/>
          <w:numId w:val="0"/>
        </w:numPr>
        <w:spacing w:after="120"/>
        <w:ind w:left="1134" w:hanging="420"/>
        <w:rPr>
          <w:sz w:val="24"/>
          <w:u w:val="none"/>
        </w:rPr>
      </w:pPr>
      <w:r>
        <w:rPr>
          <w:sz w:val="24"/>
          <w:u w:val="none"/>
        </w:rPr>
        <w:t>a)</w:t>
      </w:r>
      <w:r w:rsidRPr="008924EA">
        <w:rPr>
          <w:u w:val="none"/>
        </w:rPr>
        <w:tab/>
      </w:r>
      <w:r>
        <w:rPr>
          <w:sz w:val="24"/>
          <w:u w:val="none"/>
        </w:rPr>
        <w:t>1% prahová hodnota celkového objemu závazků se použije na druhy produktů uvedené ve všech z následujících řádků: 1.1</w:t>
      </w:r>
      <w:r w:rsidR="00D05D3A">
        <w:rPr>
          <w:sz w:val="24"/>
          <w:u w:val="none"/>
        </w:rPr>
        <w:t>.</w:t>
      </w:r>
      <w:r>
        <w:rPr>
          <w:sz w:val="24"/>
          <w:u w:val="none"/>
        </w:rPr>
        <w:t xml:space="preserve"> „vklady na viděnou“; 1.2</w:t>
      </w:r>
      <w:r w:rsidR="00D05D3A">
        <w:rPr>
          <w:sz w:val="24"/>
          <w:u w:val="none"/>
        </w:rPr>
        <w:t>.</w:t>
      </w:r>
      <w:r>
        <w:rPr>
          <w:sz w:val="24"/>
          <w:u w:val="none"/>
        </w:rPr>
        <w:t xml:space="preserve"> „jiné termínované vklady než vyplatitelné během následujících 30 dnů“; 1.3</w:t>
      </w:r>
      <w:r w:rsidR="00D05D3A">
        <w:rPr>
          <w:sz w:val="24"/>
          <w:u w:val="none"/>
        </w:rPr>
        <w:t>.</w:t>
      </w:r>
      <w:r>
        <w:rPr>
          <w:sz w:val="24"/>
          <w:u w:val="none"/>
        </w:rPr>
        <w:t xml:space="preserve"> „termínované vklady vyplatitelné během následujících 30 dnů“; 1.4</w:t>
      </w:r>
      <w:r w:rsidR="00D05D3A">
        <w:rPr>
          <w:sz w:val="24"/>
          <w:u w:val="none"/>
        </w:rPr>
        <w:t>.</w:t>
      </w:r>
      <w:r>
        <w:rPr>
          <w:sz w:val="24"/>
          <w:u w:val="none"/>
        </w:rPr>
        <w:t xml:space="preserve"> „spořicí účty“; 2.1</w:t>
      </w:r>
      <w:r w:rsidR="00D05D3A">
        <w:rPr>
          <w:sz w:val="24"/>
          <w:u w:val="none"/>
        </w:rPr>
        <w:t>.</w:t>
      </w:r>
      <w:r>
        <w:rPr>
          <w:sz w:val="24"/>
          <w:u w:val="none"/>
        </w:rPr>
        <w:t xml:space="preserve"> „nezajištěné velkoobchodní financování“; 2.2</w:t>
      </w:r>
      <w:r w:rsidR="00D05D3A">
        <w:rPr>
          <w:sz w:val="24"/>
          <w:u w:val="none"/>
        </w:rPr>
        <w:t>.</w:t>
      </w:r>
      <w:r>
        <w:rPr>
          <w:sz w:val="24"/>
          <w:u w:val="none"/>
        </w:rPr>
        <w:t xml:space="preserve"> „zajištěné velkoobchodní financování“; </w:t>
      </w:r>
    </w:p>
    <w:p w14:paraId="7CD07C23" w14:textId="3D49E572" w:rsidR="00EF0ADB" w:rsidRPr="001263B4" w:rsidRDefault="00EF0ADB" w:rsidP="001263B4">
      <w:pPr>
        <w:pStyle w:val="InstructionsText2"/>
        <w:numPr>
          <w:ilvl w:val="0"/>
          <w:numId w:val="0"/>
        </w:numPr>
        <w:spacing w:after="120"/>
        <w:ind w:left="1134" w:hanging="420"/>
        <w:rPr>
          <w:sz w:val="24"/>
          <w:u w:val="none"/>
        </w:rPr>
      </w:pPr>
      <w:r>
        <w:rPr>
          <w:sz w:val="24"/>
          <w:u w:val="none"/>
        </w:rPr>
        <w:t>b)</w:t>
      </w:r>
      <w:r w:rsidRPr="008924EA">
        <w:rPr>
          <w:u w:val="none"/>
        </w:rPr>
        <w:tab/>
      </w:r>
      <w:r>
        <w:rPr>
          <w:sz w:val="24"/>
          <w:u w:val="none"/>
        </w:rPr>
        <w:t>ohledně výpočtu 1% prahové hodnoty celkového objemu závazků k řádku 1.4</w:t>
      </w:r>
      <w:r w:rsidR="00A37D76">
        <w:rPr>
          <w:sz w:val="24"/>
          <w:u w:val="none"/>
        </w:rPr>
        <w:t>.</w:t>
      </w:r>
      <w:r>
        <w:rPr>
          <w:sz w:val="24"/>
          <w:u w:val="none"/>
        </w:rPr>
        <w:t xml:space="preserve"> „spořicí účty“ se prahová hodnota použije na součet 1.4.1</w:t>
      </w:r>
      <w:r w:rsidR="00D05D3A">
        <w:rPr>
          <w:sz w:val="24"/>
          <w:u w:val="none"/>
        </w:rPr>
        <w:t>.</w:t>
      </w:r>
      <w:r>
        <w:rPr>
          <w:sz w:val="24"/>
          <w:u w:val="none"/>
        </w:rPr>
        <w:t xml:space="preserve"> a 1.4.2</w:t>
      </w:r>
      <w:r w:rsidR="00A37D76">
        <w:rPr>
          <w:sz w:val="24"/>
          <w:u w:val="none"/>
        </w:rPr>
        <w:t>.</w:t>
      </w:r>
      <w:r>
        <w:rPr>
          <w:sz w:val="24"/>
          <w:u w:val="none"/>
        </w:rPr>
        <w:t>;</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t>c)</w:t>
      </w:r>
      <w:r w:rsidRPr="008924EA">
        <w:rPr>
          <w:u w:val="none"/>
        </w:rPr>
        <w:tab/>
      </w:r>
      <w:r>
        <w:rPr>
          <w:sz w:val="24"/>
          <w:u w:val="none"/>
        </w:rPr>
        <w:t>pro řádky 1. „retailové financování“ a 2. „velkoobchodní financování“ se 1% prahová hodnota celkového objemu závazků použije pouze na souhrnné úrovni.</w:t>
      </w:r>
    </w:p>
    <w:p w14:paraId="2935E76B" w14:textId="02F3FC49" w:rsidR="00792E65" w:rsidRPr="001263B4" w:rsidRDefault="00792E65" w:rsidP="001263B4">
      <w:pPr>
        <w:pStyle w:val="InstructionsText2"/>
        <w:numPr>
          <w:ilvl w:val="0"/>
          <w:numId w:val="13"/>
        </w:numPr>
        <w:spacing w:after="120"/>
        <w:rPr>
          <w:sz w:val="24"/>
          <w:u w:val="none"/>
        </w:rPr>
      </w:pPr>
      <w:r>
        <w:rPr>
          <w:sz w:val="24"/>
          <w:u w:val="none"/>
        </w:rPr>
        <w:t>Číselné údaje vykázané v řádcích 1. „retailové financování“, 2.1</w:t>
      </w:r>
      <w:r w:rsidR="00D05D3A">
        <w:rPr>
          <w:sz w:val="24"/>
          <w:u w:val="none"/>
        </w:rPr>
        <w:t>.</w:t>
      </w:r>
      <w:r>
        <w:rPr>
          <w:sz w:val="24"/>
          <w:u w:val="none"/>
        </w:rPr>
        <w:t xml:space="preserve"> „nezajištěné velkoobchodní financování“ a 2.2</w:t>
      </w:r>
      <w:r w:rsidR="00D05D3A">
        <w:rPr>
          <w:sz w:val="24"/>
          <w:u w:val="none"/>
        </w:rPr>
        <w:t>.</w:t>
      </w:r>
      <w:r>
        <w:rPr>
          <w:sz w:val="24"/>
          <w:u w:val="none"/>
        </w:rPr>
        <w:t xml:space="preserve"> „zajištěné velkoobchodní financování“ mohou zahrnovat širší škálu druhů produktů, než jsou položky uvedené pod „z toho“.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Pokyny týkající se konkrétních sloupců: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Sloupec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Přijatá účetní hodnota</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Účetní hodnota financování obdrženého v rámci jednotlivých kategorií produktů uvedených ve sloupci „Název produktu“ se vykáže ve sloupci 010 šablony.</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Částka, která je kryta systémem pojištění vkladů podle směrnice 2014/49/EU nebo rovnocenným systémem pojištění vkladů ve třetí zemi</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lastRenderedPageBreak/>
              <w:t>Z celkové částky prostředků získaných v rámci jednotlivých kategorií produktů, které jsou uvedeny ve sloupci „Název produktu“, vykázané ve sloupci 010 se vykáže částka, která je krytá systémem pojištění vkladů podle směrnice 2014/49/EU nebo rovnocenným systémem pojištění vkladů ve třetí zemi.</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Částky vykázané ve sloupci 020 a ve sloupci 030 u jednotlivých kategorií produktů uvedených ve sloupci „Název produktu“ se musí rovnat celkové přijaté částce vykázané ve sloupci 010.</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Částka, která není kryta systémem pojištění vkladů podle směrnice 2014/49/EU nebo rovnocenným systémem pojištění vkladů ve třetí zemi</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Z celkové částky prostředků získaných v rámci jednotlivých kategorií produktů, které jsou uvedeny ve sloupci „Název produktu“, vykázané ve sloupci 010 se vykáže částka, která </w:t>
            </w:r>
            <w:r>
              <w:rPr>
                <w:rFonts w:ascii="Times New Roman" w:hAnsi="Times New Roman"/>
                <w:sz w:val="24"/>
                <w:u w:val="single"/>
              </w:rPr>
              <w:t>není</w:t>
            </w:r>
            <w:r>
              <w:rPr>
                <w:rFonts w:ascii="Times New Roman" w:hAnsi="Times New Roman"/>
                <w:sz w:val="24"/>
              </w:rPr>
              <w:t xml:space="preserve"> krytá systémem pojištění vkladů podle směrnice 2014/49/EU nebo rovnocenným systémem pojištění vkladů ve třetí zemi.</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Částky vykázané ve sloupci 020 a ve sloupci 030 u jednotlivých kategorií produktů uvedených ve sloupci „Název produktu“ se musí rovnat celkové přijaté částce vykázané ve sloupci 010.</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Vážený průměr původní splatnosti</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t>U přijaté částky financování, která byla vykázána ve sloupci 010, se v rámci jednotlivých kategorií produktů, které jsou uvedeny ve sloupci „Název produktu“, k tomuto financování vykáže vážený průměr původní splatnosti (v dnech).</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t>Vážený průměr původní splatnosti se vypočítá jako průměrná původní splatnost (v dnech) financování získaného na daný druh produktu. Tento průměr se podrobí vážení podle velikosti, a to na základě velikosti jednotlivých objemů získaného financování v poměru k celkovému objemu financování získaného ze všech emisí daného druhu produktu.</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Vážený průměr zbytkové splatnosti</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U přijaté částky financování, která byla vykázána ve sloupci 010, se v rámci jednotlivých kategorií produktů, které jsou uvedeny ve sloupci „Název produktu“, k tomuto financování vykáže vážený průměr zbytkové splatnosti (v dnech).</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t>Vážený průměr zbytkové splatnosti se vypočítá jako průměrná splatnost (v dnech) zbývající u financování získaného na daný druh produktu. Tento průměr se podrobí vážení podle velikosti, a to na základě velikosti jednotlivých objemů získaného financování v poměru k celkovému objemu financování získaného ze všech emisí daného druhu produktu.</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Ceny za různé doby trvání financování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 xml:space="preserve">Instituce vykazují v šabloně C 69.00 údaje o objemu transakcí a cenách, které zaplatily za financování získané během vykazovaného období a stále existující </w:t>
      </w:r>
      <w:r>
        <w:rPr>
          <w:sz w:val="24"/>
          <w:u w:val="none"/>
        </w:rPr>
        <w:lastRenderedPageBreak/>
        <w:t>na konci tohoto vykazovaného období, v souladu s tímto rozdělením původní splatnosti:</w:t>
      </w:r>
    </w:p>
    <w:p w14:paraId="43E76F50" w14:textId="43E0BCF9" w:rsidR="0019013A" w:rsidRPr="001263B4" w:rsidRDefault="00684947" w:rsidP="00FB0324">
      <w:pPr>
        <w:pStyle w:val="InstructionsText2"/>
        <w:numPr>
          <w:ilvl w:val="0"/>
          <w:numId w:val="48"/>
        </w:numPr>
        <w:spacing w:after="120"/>
        <w:rPr>
          <w:sz w:val="24"/>
          <w:u w:val="none"/>
        </w:rPr>
      </w:pPr>
      <w:r>
        <w:rPr>
          <w:sz w:val="24"/>
          <w:u w:val="none"/>
        </w:rPr>
        <w:t>Jednodenní / do druhého dne ve sloupcích 010 a 020</w:t>
      </w:r>
      <w:r w:rsidR="008924EA">
        <w:rPr>
          <w:sz w:val="24"/>
          <w:u w:val="none"/>
        </w:rPr>
        <w:t>,</w:t>
      </w:r>
    </w:p>
    <w:p w14:paraId="20A63704" w14:textId="203A3759" w:rsidR="0019013A" w:rsidRPr="001263B4" w:rsidRDefault="00684947" w:rsidP="00FB0324">
      <w:pPr>
        <w:pStyle w:val="InstructionsText2"/>
        <w:numPr>
          <w:ilvl w:val="0"/>
          <w:numId w:val="48"/>
        </w:numPr>
        <w:spacing w:after="120"/>
        <w:rPr>
          <w:sz w:val="24"/>
          <w:u w:val="none"/>
        </w:rPr>
      </w:pPr>
      <w:r>
        <w:rPr>
          <w:sz w:val="24"/>
          <w:u w:val="none"/>
        </w:rPr>
        <w:t>větší než do druhého dne a nejvýše 1 týden ve sloupcích 030 a 040</w:t>
      </w:r>
      <w:r w:rsidR="008924EA">
        <w:rPr>
          <w:sz w:val="24"/>
          <w:u w:val="none"/>
        </w:rPr>
        <w:t>,</w:t>
      </w:r>
    </w:p>
    <w:p w14:paraId="23995DF6" w14:textId="18904BA3" w:rsidR="0019013A" w:rsidRPr="001263B4" w:rsidRDefault="00684947" w:rsidP="00FB0324">
      <w:pPr>
        <w:pStyle w:val="InstructionsText2"/>
        <w:numPr>
          <w:ilvl w:val="0"/>
          <w:numId w:val="48"/>
        </w:numPr>
        <w:spacing w:after="120"/>
        <w:rPr>
          <w:sz w:val="24"/>
          <w:u w:val="none"/>
        </w:rPr>
      </w:pPr>
      <w:r>
        <w:rPr>
          <w:sz w:val="24"/>
          <w:u w:val="none"/>
        </w:rPr>
        <w:t>větší než 1 týden a nejvýše 1 měsíc ve sloupcích 050 a 060</w:t>
      </w:r>
      <w:r w:rsidR="008924EA">
        <w:rPr>
          <w:sz w:val="24"/>
          <w:u w:val="none"/>
        </w:rPr>
        <w:t>,</w:t>
      </w:r>
    </w:p>
    <w:p w14:paraId="4DB6611C" w14:textId="2FA0E31C" w:rsidR="0019013A" w:rsidRPr="001263B4" w:rsidRDefault="00684947" w:rsidP="00FB0324">
      <w:pPr>
        <w:pStyle w:val="InstructionsText2"/>
        <w:numPr>
          <w:ilvl w:val="0"/>
          <w:numId w:val="48"/>
        </w:numPr>
        <w:spacing w:after="120"/>
        <w:rPr>
          <w:sz w:val="24"/>
          <w:u w:val="none"/>
        </w:rPr>
      </w:pPr>
      <w:r>
        <w:rPr>
          <w:sz w:val="24"/>
          <w:u w:val="none"/>
        </w:rPr>
        <w:t>větší než 1 měsíc a nejvýše 3 měsíce ve sloupcích 070 a 080</w:t>
      </w:r>
      <w:r w:rsidR="008924EA">
        <w:rPr>
          <w:sz w:val="24"/>
          <w:u w:val="none"/>
        </w:rPr>
        <w:t>,</w:t>
      </w:r>
    </w:p>
    <w:p w14:paraId="68B85898" w14:textId="3CFC5A93" w:rsidR="0019013A" w:rsidRPr="001263B4" w:rsidRDefault="00684947" w:rsidP="00FB0324">
      <w:pPr>
        <w:pStyle w:val="InstructionsText2"/>
        <w:numPr>
          <w:ilvl w:val="0"/>
          <w:numId w:val="48"/>
        </w:numPr>
        <w:spacing w:after="120"/>
        <w:rPr>
          <w:sz w:val="24"/>
          <w:u w:val="none"/>
        </w:rPr>
      </w:pPr>
      <w:r>
        <w:rPr>
          <w:sz w:val="24"/>
          <w:u w:val="none"/>
        </w:rPr>
        <w:t>větší než 3 měsíce a nejvýše 6</w:t>
      </w:r>
      <w:r w:rsidR="008924EA">
        <w:rPr>
          <w:sz w:val="24"/>
          <w:u w:val="none"/>
        </w:rPr>
        <w:t xml:space="preserve"> měsíců ve sloupcích 090 a 100,</w:t>
      </w:r>
    </w:p>
    <w:p w14:paraId="032BAEDE" w14:textId="6C61EA9C" w:rsidR="00172727" w:rsidRPr="001263B4" w:rsidRDefault="00684947" w:rsidP="00FB0324">
      <w:pPr>
        <w:pStyle w:val="InstructionsText2"/>
        <w:numPr>
          <w:ilvl w:val="0"/>
          <w:numId w:val="48"/>
        </w:numPr>
        <w:spacing w:after="120"/>
        <w:rPr>
          <w:sz w:val="24"/>
          <w:u w:val="none"/>
        </w:rPr>
      </w:pPr>
      <w:r>
        <w:rPr>
          <w:sz w:val="24"/>
          <w:u w:val="none"/>
        </w:rPr>
        <w:t>větší než 6 měsíců a nejvý</w:t>
      </w:r>
      <w:r w:rsidR="008924EA">
        <w:rPr>
          <w:sz w:val="24"/>
          <w:u w:val="none"/>
        </w:rPr>
        <w:t>še 1 rok ve sloupcích 110 a 120,</w:t>
      </w:r>
    </w:p>
    <w:p w14:paraId="3DE0207D" w14:textId="7F9B945A" w:rsidR="0019013A" w:rsidRPr="001263B4" w:rsidRDefault="00684947" w:rsidP="00FB0324">
      <w:pPr>
        <w:pStyle w:val="InstructionsText2"/>
        <w:numPr>
          <w:ilvl w:val="0"/>
          <w:numId w:val="48"/>
        </w:numPr>
        <w:spacing w:after="120"/>
        <w:rPr>
          <w:sz w:val="24"/>
          <w:u w:val="none"/>
        </w:rPr>
      </w:pPr>
      <w:r>
        <w:rPr>
          <w:sz w:val="24"/>
          <w:u w:val="none"/>
        </w:rPr>
        <w:t>větší než 1 rok a nejvýš</w:t>
      </w:r>
      <w:r w:rsidR="008924EA">
        <w:rPr>
          <w:sz w:val="24"/>
          <w:u w:val="none"/>
        </w:rPr>
        <w:t>e 2 roky ve sloupcích 130 a 140,</w:t>
      </w:r>
    </w:p>
    <w:p w14:paraId="5A4B2AD6" w14:textId="476D43A5" w:rsidR="0019013A" w:rsidRPr="001263B4" w:rsidRDefault="00684947" w:rsidP="00FB0324">
      <w:pPr>
        <w:pStyle w:val="InstructionsText2"/>
        <w:numPr>
          <w:ilvl w:val="0"/>
          <w:numId w:val="48"/>
        </w:numPr>
        <w:spacing w:after="120"/>
        <w:rPr>
          <w:sz w:val="24"/>
          <w:u w:val="none"/>
        </w:rPr>
      </w:pPr>
      <w:r>
        <w:rPr>
          <w:sz w:val="24"/>
          <w:u w:val="none"/>
        </w:rPr>
        <w:t>větší než 2 roky a nejvý</w:t>
      </w:r>
      <w:r w:rsidR="008924EA">
        <w:rPr>
          <w:sz w:val="24"/>
          <w:u w:val="none"/>
        </w:rPr>
        <w:t>še 5 let ve sloupcích 150 a 160,</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větší než 5 let a nejvýše 10 let ve sloupcích 170 a 180.</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Při měnovém zhodnocení nedochází k získání nového financování v původní měně a vykazující instituce neuhradila více než původní cenu při počátečním složení prostředků. Kladný přírůstek způsobený měnovým zhodnocením se tedy v této šabloně nevykazuje.</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Při stanovení splatnosti získaného financování neberou instituce v úvahu období mezi datem realizace obchodu a datem vypořádání, např. tříměsíční závazek s vypořádáním ve dvoutýdenní lhůtě se vykáže jako závazek s tříměsíční splatností (sloupce 070 a 080).</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U každého koše splatnosti je v levém sloupci vykázáno jedno z následujících rozpětí:</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rozpětí vztahující se na závazky s roční nebo kratší splatností, splatné danou institucí, pokud by se staly předmětem derivátového obchodování při uplatnění jednodenního referenčního indexu příslušné měny, a to nejpozději k okamžiku ukončení obchodování v den uskutečnění transakce; </w:t>
      </w:r>
    </w:p>
    <w:p w14:paraId="44F3338B" w14:textId="2ABE3AF4"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rozpětí vztahující se na závazky s původní splatností delší než jeden rok, splatné daným podnikem při emisi, pokud by se staly předmětem derivátového obchodování při uplatnění referenčního indexu příslušné měny, tj. tříměsíční referenční sazby EURIBOR v případě EUR nebo </w:t>
      </w:r>
      <w:r w:rsidRPr="00A878E1">
        <w:rPr>
          <w:color w:val="1F497D"/>
          <w:sz w:val="24"/>
        </w:rPr>
        <w:t>podobného indexu v případě jiných měn</w:t>
      </w:r>
      <w:r>
        <w:rPr>
          <w:sz w:val="24"/>
          <w:u w:val="none"/>
        </w:rPr>
        <w:t>, a to nejpozději k okamžiku ukončení obchodování v den uskutečnění transakce.</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Pouze pro účely výpočtu rozpětí podle písmen a) a b) výše na základě historických zkušeností může instituce určit původní splatnost se zohledněním možnosti volby, případně bez tohoto zohlednění.</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Rozpětí se vykazují v bazických bodech se záporným znaménkem v případě, že nové financování je levnější než podle příslušné referenční sazby. Vypočítají se na základě váženého průměru.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 xml:space="preserve">Pro účely výpočtu průměrného splatného rozpětí napříč vícenásobným emisím/vkladům/úvěrům vypočítají instituce celkové náklady v emisní měně, kdy nechají stranou veškeré měnové swapy, avšak započítají veškeré prémie či diskonty a poplatky dlužné či jim splatné, přičemž jako základ použijí termín </w:t>
      </w:r>
      <w:r>
        <w:rPr>
          <w:sz w:val="24"/>
          <w:u w:val="none"/>
        </w:rPr>
        <w:lastRenderedPageBreak/>
        <w:t>jakéhokoli teoretického či skutečného swapu úrokových sazeb, jenž odpovídá termínu závazku. Rozpětí je rozdílem sazby u daného závazku a sazby swapu.</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Objem financování získaného v rámci jednotlivých kategorií financování uvedených ve sloupci „Položka“ se vykáže ve sloupci „objem“ v příslušném časovém koši.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Ve sloupci „objem“ uvedou instituce částky představující účetní hodnotu nového financování získaného v příslušném časovém koši podle původní doby splatnosti.</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Jako u všech položek i u podrozvahových příslibů vykazují instituce pouze související částky zohledněné v rozvaze. Podrozvahový příslib poskytnutý instituci se v šabloně C 69.00 vykazuje až po čerpání. V případě čerpání jsou objemem a rozpětím, které se vykazují, čerpaná částka a použitelné rozpětí na konci vykazovaného období. V případě, že čerpání nelze refinancovat dle uvážení instituce, vykáže se skutečná splatnost čerpání. Pokud instituce z facility čerpala již ke konci předchozího vykazovaného období a následně této facility využije ještě více, vykáže se pouze dodatečná čerpaná částka.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Vklady uložené retailovými zákazníky sestávají z vkladů ve smyslu čl. 3 bodu 8 nařízení v přenesené pravomoci (EU) 2015/61.</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U financování, které bylo v průběhu vykazovaného období refinancováno a které je na konci vykazovaného období stále otevřeno, se vykáže průměrné rozpětí použitelné v té době (tj. na konci vykazovaného období). Pro účely šablony C 69.00 se financování, které bylo refinancováno a na konci vykazovaného období dosud existuje, považuje za nové financování.</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Odchylně od zbytku oddílu 1.4 platí, že objem a rozpětí vkladů na viděnou se vykazují pouze v případě, že vkladatel v předchozím vykazovaném období vklad na viděnou neměl nebo že dochází ke zvýšení částky vkladu oproti předchozímu referenčnímu datu, a v takovém případě se se zvýšením zachází jako s novým financováním. Rozpětím je rozpětí na konci období.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Pokud není co vykazovat, ponechají se buňky týkající se rozpětí prázdné.</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Pokyny ke konkrétním řádkům: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Řádek</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Odkazy na právní předpisy a pokyny</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1F31FD79"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w:t>
            </w:r>
            <w:r w:rsidR="008E75BF">
              <w:rPr>
                <w:rFonts w:ascii="Times New Roman" w:hAnsi="Times New Roman"/>
                <w:b/>
                <w:sz w:val="24"/>
                <w:u w:val="single"/>
              </w:rPr>
              <w:t>.</w:t>
            </w:r>
            <w:r>
              <w:rPr>
                <w:rFonts w:ascii="Times New Roman" w:hAnsi="Times New Roman"/>
                <w:b/>
                <w:sz w:val="24"/>
                <w:u w:val="single"/>
              </w:rPr>
              <w:t xml:space="preserve"> Celkový objem financování</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Celkový objem a vážený průměr rozpětí veškerého financování se vykáže u všech těchto dob trvání:</w:t>
            </w:r>
          </w:p>
          <w:p w14:paraId="3D5903C1" w14:textId="2F63CFF5" w:rsidR="007778A0" w:rsidRPr="00FB0324" w:rsidRDefault="00CD20D9" w:rsidP="00FB0324">
            <w:pPr>
              <w:pStyle w:val="InstructionsText2"/>
              <w:numPr>
                <w:ilvl w:val="0"/>
                <w:numId w:val="49"/>
              </w:numPr>
              <w:spacing w:after="120"/>
              <w:rPr>
                <w:sz w:val="24"/>
                <w:u w:val="none"/>
              </w:rPr>
            </w:pPr>
            <w:r>
              <w:rPr>
                <w:sz w:val="24"/>
                <w:u w:val="none"/>
              </w:rPr>
              <w:t>Jednodenní / do dru</w:t>
            </w:r>
            <w:r w:rsidR="008E75BF">
              <w:rPr>
                <w:sz w:val="24"/>
                <w:u w:val="none"/>
              </w:rPr>
              <w:t>hého dne ve sloupcích 010 a 020,</w:t>
            </w:r>
          </w:p>
          <w:p w14:paraId="1AF1DF5A" w14:textId="3B85BE28" w:rsidR="007778A0" w:rsidRPr="00FB0324" w:rsidRDefault="00CD20D9" w:rsidP="00FB0324">
            <w:pPr>
              <w:pStyle w:val="InstructionsText2"/>
              <w:numPr>
                <w:ilvl w:val="0"/>
                <w:numId w:val="49"/>
              </w:numPr>
              <w:spacing w:after="120"/>
              <w:rPr>
                <w:sz w:val="24"/>
                <w:u w:val="none"/>
              </w:rPr>
            </w:pPr>
            <w:r>
              <w:rPr>
                <w:sz w:val="24"/>
                <w:u w:val="none"/>
              </w:rPr>
              <w:t>větší než do druhého dne a nejvýše 1 týden ve sloupcích 030 a 040</w:t>
            </w:r>
            <w:r w:rsidR="008E75BF">
              <w:rPr>
                <w:sz w:val="24"/>
                <w:u w:val="none"/>
              </w:rPr>
              <w:t>,</w:t>
            </w:r>
          </w:p>
          <w:p w14:paraId="4C124A2C" w14:textId="04DD6C7C" w:rsidR="007778A0" w:rsidRPr="00FB0324" w:rsidRDefault="00CD20D9" w:rsidP="00FB0324">
            <w:pPr>
              <w:pStyle w:val="InstructionsText2"/>
              <w:numPr>
                <w:ilvl w:val="0"/>
                <w:numId w:val="49"/>
              </w:numPr>
              <w:spacing w:after="120"/>
              <w:rPr>
                <w:sz w:val="24"/>
                <w:u w:val="none"/>
              </w:rPr>
            </w:pPr>
            <w:r>
              <w:rPr>
                <w:sz w:val="24"/>
                <w:u w:val="none"/>
              </w:rPr>
              <w:t>větší než 1 týden a nejvýše 1 měsíc ve sloupcích 050 a 060</w:t>
            </w:r>
            <w:r w:rsidR="008E75BF">
              <w:rPr>
                <w:sz w:val="24"/>
                <w:u w:val="none"/>
              </w:rPr>
              <w:t>,</w:t>
            </w:r>
          </w:p>
          <w:p w14:paraId="74B468F3" w14:textId="17E49E53" w:rsidR="007778A0" w:rsidRPr="00FB0324" w:rsidRDefault="00CD20D9" w:rsidP="00FB0324">
            <w:pPr>
              <w:pStyle w:val="InstructionsText2"/>
              <w:numPr>
                <w:ilvl w:val="0"/>
                <w:numId w:val="49"/>
              </w:numPr>
              <w:spacing w:after="120"/>
              <w:rPr>
                <w:sz w:val="24"/>
                <w:u w:val="none"/>
              </w:rPr>
            </w:pPr>
            <w:r>
              <w:rPr>
                <w:sz w:val="24"/>
                <w:u w:val="none"/>
              </w:rPr>
              <w:t xml:space="preserve">větší než 1 měsíc a nejvýše </w:t>
            </w:r>
            <w:r w:rsidR="008E75BF">
              <w:rPr>
                <w:sz w:val="24"/>
                <w:u w:val="none"/>
              </w:rPr>
              <w:t>3 měsíce ve sloupcích 070 a 080,</w:t>
            </w:r>
          </w:p>
          <w:p w14:paraId="482B32DB" w14:textId="1415390A" w:rsidR="007778A0" w:rsidRPr="00FB0324" w:rsidRDefault="00CD20D9" w:rsidP="00FB0324">
            <w:pPr>
              <w:pStyle w:val="InstructionsText2"/>
              <w:numPr>
                <w:ilvl w:val="0"/>
                <w:numId w:val="49"/>
              </w:numPr>
              <w:spacing w:after="120"/>
              <w:rPr>
                <w:sz w:val="24"/>
                <w:u w:val="none"/>
              </w:rPr>
            </w:pPr>
            <w:r>
              <w:rPr>
                <w:sz w:val="24"/>
                <w:u w:val="none"/>
              </w:rPr>
              <w:t>větší než 3 měsíce a nejvýše 6 m</w:t>
            </w:r>
            <w:r w:rsidR="008E75BF">
              <w:rPr>
                <w:sz w:val="24"/>
                <w:u w:val="none"/>
              </w:rPr>
              <w:t>ěsíců ve sloupcích 090 a 100,</w:t>
            </w:r>
          </w:p>
          <w:p w14:paraId="3C4AC9B6" w14:textId="235A3B03" w:rsidR="007778A0" w:rsidRPr="00FB0324" w:rsidRDefault="00CD20D9" w:rsidP="00FB0324">
            <w:pPr>
              <w:pStyle w:val="InstructionsText2"/>
              <w:numPr>
                <w:ilvl w:val="0"/>
                <w:numId w:val="49"/>
              </w:numPr>
              <w:spacing w:after="120"/>
              <w:rPr>
                <w:sz w:val="24"/>
                <w:u w:val="none"/>
              </w:rPr>
            </w:pPr>
            <w:r>
              <w:rPr>
                <w:sz w:val="24"/>
                <w:u w:val="none"/>
              </w:rPr>
              <w:lastRenderedPageBreak/>
              <w:t>větší než 6 měsíců a nejvý</w:t>
            </w:r>
            <w:r w:rsidR="008E75BF">
              <w:rPr>
                <w:sz w:val="24"/>
                <w:u w:val="none"/>
              </w:rPr>
              <w:t>še 1 rok ve sloupcích 110 a 120,</w:t>
            </w:r>
          </w:p>
          <w:p w14:paraId="1C290FE7" w14:textId="44F030C0" w:rsidR="007778A0" w:rsidRPr="00FB0324" w:rsidRDefault="00CD20D9" w:rsidP="00FB0324">
            <w:pPr>
              <w:pStyle w:val="InstructionsText2"/>
              <w:numPr>
                <w:ilvl w:val="0"/>
                <w:numId w:val="49"/>
              </w:numPr>
              <w:spacing w:after="120"/>
              <w:rPr>
                <w:sz w:val="24"/>
                <w:u w:val="none"/>
              </w:rPr>
            </w:pPr>
            <w:r>
              <w:rPr>
                <w:sz w:val="24"/>
                <w:u w:val="none"/>
              </w:rPr>
              <w:t>větší než 1 rok a nejvýš</w:t>
            </w:r>
            <w:r w:rsidR="008E75BF">
              <w:rPr>
                <w:sz w:val="24"/>
                <w:u w:val="none"/>
              </w:rPr>
              <w:t>e 2 roky ve sloupcích 130 a 140,</w:t>
            </w:r>
          </w:p>
          <w:p w14:paraId="6E53E104" w14:textId="75D32893" w:rsidR="007778A0" w:rsidRPr="00FB0324" w:rsidRDefault="00CD20D9" w:rsidP="00FB0324">
            <w:pPr>
              <w:pStyle w:val="InstructionsText2"/>
              <w:numPr>
                <w:ilvl w:val="0"/>
                <w:numId w:val="49"/>
              </w:numPr>
              <w:spacing w:after="120"/>
              <w:rPr>
                <w:sz w:val="24"/>
                <w:u w:val="none"/>
              </w:rPr>
            </w:pPr>
            <w:r>
              <w:rPr>
                <w:sz w:val="24"/>
                <w:u w:val="none"/>
              </w:rPr>
              <w:t>větší než 2 roky a nejvý</w:t>
            </w:r>
            <w:r w:rsidR="008E75BF">
              <w:rPr>
                <w:sz w:val="24"/>
                <w:u w:val="none"/>
              </w:rPr>
              <w:t>še 5 let ve sloupcích 150 a 160,</w:t>
            </w:r>
          </w:p>
          <w:p w14:paraId="22EC36F6" w14:textId="7C57E11E" w:rsidR="00CE333E" w:rsidRPr="001263B4" w:rsidRDefault="00CD20D9" w:rsidP="00FB0324">
            <w:pPr>
              <w:pStyle w:val="InstructionsText2"/>
              <w:numPr>
                <w:ilvl w:val="0"/>
                <w:numId w:val="49"/>
              </w:numPr>
              <w:spacing w:after="120"/>
              <w:rPr>
                <w:sz w:val="24"/>
              </w:rPr>
            </w:pPr>
            <w:r>
              <w:rPr>
                <w:sz w:val="24"/>
                <w:u w:val="none"/>
              </w:rPr>
              <w:t>větší než 5 let a nejvýše 10 let ve sloupcích 170 a 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lastRenderedPageBreak/>
              <w:t>020</w:t>
            </w:r>
          </w:p>
        </w:tc>
        <w:tc>
          <w:tcPr>
            <w:tcW w:w="7705" w:type="dxa"/>
            <w:shd w:val="clear" w:color="auto" w:fill="auto"/>
            <w:noWrap/>
          </w:tcPr>
          <w:p w14:paraId="01DDA71E" w14:textId="2F3690CE"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w:t>
            </w:r>
            <w:r w:rsidR="008E75BF">
              <w:rPr>
                <w:rFonts w:ascii="Times New Roman" w:hAnsi="Times New Roman"/>
                <w:b/>
                <w:sz w:val="24"/>
                <w:u w:val="single"/>
              </w:rPr>
              <w:t>.</w:t>
            </w:r>
            <w:r>
              <w:rPr>
                <w:rFonts w:ascii="Times New Roman" w:hAnsi="Times New Roman"/>
                <w:b/>
                <w:sz w:val="24"/>
                <w:u w:val="single"/>
              </w:rPr>
              <w:t xml:space="preserve"> z toho: retailové financování</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Z celkového objemu financování vykázaného v položce 1 se uvede celkový objem a vážený průměr rozpětí získaného retailového financování.</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072ABCD6"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w:t>
            </w:r>
            <w:r w:rsidR="008E75BF">
              <w:rPr>
                <w:rFonts w:ascii="Times New Roman" w:hAnsi="Times New Roman"/>
                <w:b/>
                <w:sz w:val="24"/>
                <w:u w:val="single"/>
              </w:rPr>
              <w:t>.</w:t>
            </w:r>
            <w:r>
              <w:rPr>
                <w:rFonts w:ascii="Times New Roman" w:hAnsi="Times New Roman"/>
                <w:b/>
                <w:sz w:val="24"/>
                <w:u w:val="single"/>
              </w:rPr>
              <w:t xml:space="preserve"> z toho: nezajištěné velkoobchodní financování</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Z celkového objemu financování vykázaného v položce 1 se uvede celkový objem a vážený průměr rozpětí získaného nezajištěného velkoobchodního financování.</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37724B9D"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w:t>
            </w:r>
            <w:r w:rsidR="008E75BF">
              <w:rPr>
                <w:rFonts w:ascii="Times New Roman" w:hAnsi="Times New Roman"/>
                <w:b/>
                <w:sz w:val="24"/>
                <w:u w:val="single"/>
              </w:rPr>
              <w:t>.</w:t>
            </w:r>
            <w:r>
              <w:rPr>
                <w:rFonts w:ascii="Times New Roman" w:hAnsi="Times New Roman"/>
                <w:b/>
                <w:sz w:val="24"/>
                <w:u w:val="single"/>
              </w:rPr>
              <w:t xml:space="preserve"> z toho: zajištěné financování</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Z celkového objemu financování vykázaného v položce 1 se uvede celkový objem a vážený průměr rozpětí získaného zajištěného financování.</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12FB1FEC"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w:t>
            </w:r>
            <w:r w:rsidR="008E75BF">
              <w:rPr>
                <w:rFonts w:ascii="Times New Roman" w:hAnsi="Times New Roman"/>
                <w:b/>
                <w:sz w:val="24"/>
                <w:u w:val="single"/>
              </w:rPr>
              <w:t>.</w:t>
            </w:r>
            <w:r>
              <w:rPr>
                <w:rFonts w:ascii="Times New Roman" w:hAnsi="Times New Roman"/>
                <w:b/>
                <w:sz w:val="24"/>
                <w:u w:val="single"/>
              </w:rPr>
              <w:t xml:space="preserve"> z toho: prioritní nezajištěné cenné papíry</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Z celkového objemu financování vykázaného v položce 1 se uvede celkový objem a vážený průměr rozpětí získaných prioritních nezajištěných cenných papírů.</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15CD8D7C"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w:t>
            </w:r>
            <w:r w:rsidR="008E75BF">
              <w:rPr>
                <w:rFonts w:ascii="Times New Roman" w:hAnsi="Times New Roman"/>
                <w:b/>
                <w:sz w:val="24"/>
                <w:u w:val="single"/>
              </w:rPr>
              <w:t>.</w:t>
            </w:r>
            <w:r>
              <w:rPr>
                <w:rFonts w:ascii="Times New Roman" w:hAnsi="Times New Roman"/>
                <w:b/>
                <w:sz w:val="24"/>
                <w:u w:val="single"/>
              </w:rPr>
              <w:t xml:space="preserve"> z toho: kryté dluhopisy</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Z celkového objemu financování vykázaného v položce 1 se uvede celkový objem a vážený průměr rozpětí celkové emise krytých dluhopisů zatěžujících vlastní aktiva dané instituce.</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070</w:t>
            </w:r>
          </w:p>
        </w:tc>
        <w:tc>
          <w:tcPr>
            <w:tcW w:w="7705" w:type="dxa"/>
            <w:shd w:val="clear" w:color="auto" w:fill="auto"/>
            <w:noWrap/>
          </w:tcPr>
          <w:p w14:paraId="2EB3DA46" w14:textId="62F63675"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w:t>
            </w:r>
            <w:r w:rsidR="008E75BF">
              <w:rPr>
                <w:rFonts w:ascii="Times New Roman" w:hAnsi="Times New Roman"/>
                <w:b/>
                <w:sz w:val="24"/>
                <w:u w:val="single"/>
              </w:rPr>
              <w:t>.</w:t>
            </w:r>
            <w:r>
              <w:rPr>
                <w:rFonts w:ascii="Times New Roman" w:hAnsi="Times New Roman"/>
                <w:b/>
                <w:sz w:val="24"/>
                <w:u w:val="single"/>
              </w:rPr>
              <w:t xml:space="preserve"> z toho: cenné papíry zajištěné aktivy včetně ABCP</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Z celkového objemu financování vykázaného v položce 1 se uvede celkový objem a vážený průměr rozpětí cenných papírů zajištěných aktivy včetně obchodních papírů zajištěných aktivy.</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Refinancování (C 70.00)</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Cílem této šablony je shromáždit informace o objemu prostředků splatných a nově získaných, tj. refinancovaných (roll-over), v průběhu jednotlivých dní během měsíce předcházejícího datu vykazování.</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Instituce vykazují financování, jehož splatnost nastává, v kalendářních dnech podle těchto časových košů vycházejících z původní splatnosti:</w:t>
      </w:r>
    </w:p>
    <w:p w14:paraId="10B482AB" w14:textId="11B12D6A" w:rsidR="00DB3C37" w:rsidRPr="001263B4" w:rsidRDefault="00237D15" w:rsidP="00FB0324">
      <w:pPr>
        <w:pStyle w:val="InstructionsText2"/>
        <w:numPr>
          <w:ilvl w:val="0"/>
          <w:numId w:val="47"/>
        </w:numPr>
        <w:spacing w:after="120"/>
        <w:rPr>
          <w:sz w:val="24"/>
          <w:u w:val="none"/>
        </w:rPr>
      </w:pPr>
      <w:r>
        <w:rPr>
          <w:sz w:val="24"/>
          <w:u w:val="none"/>
        </w:rPr>
        <w:t>Jednodenní / do druh</w:t>
      </w:r>
      <w:r w:rsidR="008E75BF">
        <w:rPr>
          <w:sz w:val="24"/>
          <w:u w:val="none"/>
        </w:rPr>
        <w:t>ého dne ve sloupcích 010 až 040,</w:t>
      </w:r>
    </w:p>
    <w:p w14:paraId="78059097" w14:textId="15E53A2F" w:rsidR="00DB3C37" w:rsidRPr="001263B4" w:rsidRDefault="00237D15" w:rsidP="00FB0324">
      <w:pPr>
        <w:pStyle w:val="InstructionsText2"/>
        <w:numPr>
          <w:ilvl w:val="0"/>
          <w:numId w:val="47"/>
        </w:numPr>
        <w:spacing w:after="120"/>
        <w:rPr>
          <w:sz w:val="24"/>
          <w:u w:val="none"/>
        </w:rPr>
      </w:pPr>
      <w:r>
        <w:rPr>
          <w:sz w:val="24"/>
          <w:u w:val="none"/>
        </w:rPr>
        <w:t xml:space="preserve">v rozmezí 1 dne </w:t>
      </w:r>
      <w:r w:rsidR="008E75BF">
        <w:rPr>
          <w:sz w:val="24"/>
          <w:u w:val="none"/>
        </w:rPr>
        <w:t>a 7 dnů ve sloupcích 050 až 080,</w:t>
      </w:r>
    </w:p>
    <w:p w14:paraId="0888F316" w14:textId="2EA864D1" w:rsidR="00DB3C37" w:rsidRPr="001263B4" w:rsidRDefault="00237D15" w:rsidP="00FB0324">
      <w:pPr>
        <w:pStyle w:val="InstructionsText2"/>
        <w:numPr>
          <w:ilvl w:val="0"/>
          <w:numId w:val="47"/>
        </w:numPr>
        <w:spacing w:after="120"/>
        <w:rPr>
          <w:sz w:val="24"/>
          <w:u w:val="none"/>
        </w:rPr>
      </w:pPr>
      <w:r>
        <w:rPr>
          <w:sz w:val="24"/>
          <w:u w:val="none"/>
        </w:rPr>
        <w:t>v rozmezí 7 dnů a</w:t>
      </w:r>
      <w:r w:rsidR="008E75BF">
        <w:rPr>
          <w:sz w:val="24"/>
          <w:u w:val="none"/>
        </w:rPr>
        <w:t xml:space="preserve"> 14 dnů ve sloupcích 090 až 120,</w:t>
      </w:r>
    </w:p>
    <w:p w14:paraId="08E23AA2" w14:textId="16D098E9" w:rsidR="00DB3C37" w:rsidRPr="001263B4" w:rsidRDefault="00237D15" w:rsidP="00FB0324">
      <w:pPr>
        <w:pStyle w:val="InstructionsText2"/>
        <w:numPr>
          <w:ilvl w:val="0"/>
          <w:numId w:val="47"/>
        </w:numPr>
        <w:spacing w:after="120"/>
        <w:rPr>
          <w:sz w:val="24"/>
          <w:u w:val="none"/>
        </w:rPr>
      </w:pPr>
      <w:r>
        <w:rPr>
          <w:sz w:val="24"/>
          <w:u w:val="none"/>
        </w:rPr>
        <w:t xml:space="preserve">v rozmezí 14 dnů a 1 měsíce ve sloupcích </w:t>
      </w:r>
      <w:r w:rsidR="008E75BF">
        <w:rPr>
          <w:sz w:val="24"/>
          <w:u w:val="none"/>
        </w:rPr>
        <w:t>130 až 160,</w:t>
      </w:r>
    </w:p>
    <w:p w14:paraId="69F00FB2" w14:textId="1C7AA179" w:rsidR="00DB3C37" w:rsidRPr="001263B4" w:rsidRDefault="00237D15" w:rsidP="00FB0324">
      <w:pPr>
        <w:pStyle w:val="InstructionsText2"/>
        <w:numPr>
          <w:ilvl w:val="0"/>
          <w:numId w:val="47"/>
        </w:numPr>
        <w:spacing w:after="120"/>
        <w:rPr>
          <w:sz w:val="24"/>
          <w:u w:val="none"/>
        </w:rPr>
      </w:pPr>
      <w:r>
        <w:rPr>
          <w:sz w:val="24"/>
          <w:u w:val="none"/>
        </w:rPr>
        <w:t>v rozmezí 1 měsíce a 3</w:t>
      </w:r>
      <w:r w:rsidR="008E75BF">
        <w:rPr>
          <w:sz w:val="24"/>
          <w:u w:val="none"/>
        </w:rPr>
        <w:t xml:space="preserve"> měsíců ve sloupcích 170 až 200,</w:t>
      </w:r>
    </w:p>
    <w:p w14:paraId="39971E5E" w14:textId="06B05C9B" w:rsidR="00DB3C37" w:rsidRPr="001263B4" w:rsidRDefault="00237D15" w:rsidP="00FB0324">
      <w:pPr>
        <w:pStyle w:val="InstructionsText2"/>
        <w:numPr>
          <w:ilvl w:val="0"/>
          <w:numId w:val="47"/>
        </w:numPr>
        <w:spacing w:after="120"/>
        <w:rPr>
          <w:sz w:val="24"/>
          <w:u w:val="none"/>
        </w:rPr>
      </w:pPr>
      <w:r>
        <w:rPr>
          <w:sz w:val="24"/>
          <w:u w:val="none"/>
        </w:rPr>
        <w:lastRenderedPageBreak/>
        <w:t>v rozmezí 3 měsíců a 6 měsíců ve sloupcích 210 až 240</w:t>
      </w:r>
      <w:r w:rsidR="008E75BF">
        <w:rPr>
          <w:sz w:val="24"/>
          <w:u w:val="none"/>
        </w:rPr>
        <w:t>,</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delší než 6 měsíců ve sloupcích 250 až 280.</w:t>
      </w:r>
    </w:p>
    <w:p w14:paraId="1F25325E" w14:textId="0F416A43" w:rsidR="00DB3C37" w:rsidRPr="001263B4" w:rsidRDefault="00DB3C37" w:rsidP="001263B4">
      <w:pPr>
        <w:pStyle w:val="InstructionsText2"/>
        <w:numPr>
          <w:ilvl w:val="0"/>
          <w:numId w:val="8"/>
        </w:numPr>
        <w:spacing w:after="120"/>
        <w:rPr>
          <w:sz w:val="24"/>
          <w:u w:val="none"/>
        </w:rPr>
      </w:pPr>
      <w:r>
        <w:rPr>
          <w:sz w:val="24"/>
          <w:u w:val="none"/>
        </w:rPr>
        <w:t xml:space="preserve">U všech časových košů uvedených v </w:t>
      </w:r>
      <w:r w:rsidR="00631D3F">
        <w:rPr>
          <w:sz w:val="24"/>
          <w:u w:val="none"/>
        </w:rPr>
        <w:t>bodě</w:t>
      </w:r>
      <w:r>
        <w:rPr>
          <w:sz w:val="24"/>
          <w:u w:val="none"/>
        </w:rPr>
        <w:t xml:space="preserve"> 2 se splatná částka vykáže v levém sloupci, refinancované prostředky se vykážou ve sloupci „Refinancování“, nově získané prostředky se vykážou ve sloupci „Nové prostředky“ a čistý rozdíl mezi novými prostředky na jedné straně a refinancováním minus splatnou částkou na straně druhé se vykáže v pravém sloupci.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Celkový čistý objem peněžních toků se vykáže ve sloupci 290 a bude roven součtu všech sloupců obsahujících čisté položky, tj. sloupců očíslovaných 040, 080, 120, 160, 200, 240 a 280.</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U splatných termínovaných prostředků financování se průměrná doba financování vykáže (v dnech) ve sloupci 300.</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U refinancovaných prostředků se průměrná doba financování vykáže (v dnech) ve sloupci 310.</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U nových termínovaných prostředků financování se průměrná doba financování vykáže (v dnech) ve sloupci 320.</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Částka „splatné“ zahrnuje veškeré závazky, které byly smluvně vyplatitelné poskytovateli financování nebo splatné v rozhodný den vykazovaného období. Musí být vykázána vždy s kladným znaménkem.</w:t>
      </w:r>
    </w:p>
    <w:p w14:paraId="004B6E12" w14:textId="27EF76FE" w:rsidR="00A7751A" w:rsidRPr="001263B4" w:rsidRDefault="00A7751A" w:rsidP="001263B4">
      <w:pPr>
        <w:pStyle w:val="InstructionsText2"/>
        <w:numPr>
          <w:ilvl w:val="0"/>
          <w:numId w:val="8"/>
        </w:numPr>
        <w:spacing w:after="120"/>
        <w:rPr>
          <w:sz w:val="24"/>
          <w:u w:val="none"/>
        </w:rPr>
      </w:pPr>
      <w:r>
        <w:rPr>
          <w:sz w:val="24"/>
          <w:u w:val="none"/>
        </w:rPr>
        <w:t xml:space="preserve">Částka „refinancování“ zahrnuje splatnou částku ve smyslu </w:t>
      </w:r>
      <w:r w:rsidR="00631D3F">
        <w:rPr>
          <w:sz w:val="24"/>
          <w:u w:val="none"/>
        </w:rPr>
        <w:t>bodů</w:t>
      </w:r>
      <w:r>
        <w:rPr>
          <w:sz w:val="24"/>
          <w:u w:val="none"/>
        </w:rPr>
        <w:t xml:space="preserve"> 2 a 3, jež zůstává u instituce v rozhodný den vykazovaného období. Vykazuje se vždy s kladným znaménkem. Pokud se v důsledku refinancování změnila splatnost financování, vykáže se částka „refinancování“ v časovém koši podle nové splatnosti.</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Částka „nové prostředky“ zahrnuje skutečné přítoky financování v rozhodný den vykazovaného období. Musí být vykázána vždy s kladným znaménkem.</w:t>
      </w:r>
    </w:p>
    <w:p w14:paraId="36023996" w14:textId="52F7601E" w:rsidR="00A7751A" w:rsidRPr="001263B4" w:rsidRDefault="00A7751A" w:rsidP="001263B4">
      <w:pPr>
        <w:pStyle w:val="InstructionsText2"/>
        <w:numPr>
          <w:ilvl w:val="0"/>
          <w:numId w:val="8"/>
        </w:numPr>
        <w:spacing w:after="120"/>
        <w:rPr>
          <w:sz w:val="24"/>
          <w:u w:val="none"/>
        </w:rPr>
      </w:pPr>
      <w:r>
        <w:rPr>
          <w:sz w:val="24"/>
          <w:u w:val="none"/>
        </w:rPr>
        <w:t xml:space="preserve">Částka „čistá hodnota“ se považuje za změnu financování v rámci konkrétního pásma původní splatnosti v rozhodný den vykazovaného období a vypočítá se tak, že do sloupce „čistá hodnota“ se připočtou nové finanční prostředky plus prostředky refinancování minus splatné finanční prostředky.  </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Pokyny týkající se konkrétních sloupců: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7026"/>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Sloupec</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Odkazy na právní předpisy a pokyny</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010 až 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Jednodenní</w:t>
            </w:r>
          </w:p>
          <w:p w14:paraId="0D011271" w14:textId="22CB47CC" w:rsidR="00B83BF9" w:rsidRPr="001263B4" w:rsidRDefault="00ED41A4" w:rsidP="001263B4">
            <w:pPr>
              <w:spacing w:before="0"/>
              <w:rPr>
                <w:rFonts w:ascii="Times New Roman" w:hAnsi="Times New Roman"/>
                <w:sz w:val="24"/>
              </w:rPr>
            </w:pPr>
            <w:r>
              <w:rPr>
                <w:rFonts w:ascii="Times New Roman" w:hAnsi="Times New Roman"/>
                <w:sz w:val="24"/>
              </w:rPr>
              <w:t>Celkový objem financování se splatností k rozhodnému dni vykazovaného období s původní jednodenní splatností se vykáže ve sloupci 010 řádkových položek 1.1</w:t>
            </w:r>
            <w:r w:rsidR="00D05D3A">
              <w:rPr>
                <w:rFonts w:ascii="Times New Roman" w:hAnsi="Times New Roman"/>
                <w:sz w:val="24"/>
              </w:rPr>
              <w:t>.</w:t>
            </w:r>
            <w:r>
              <w:rPr>
                <w:rFonts w:ascii="Times New Roman" w:hAnsi="Times New Roman"/>
                <w:sz w:val="24"/>
              </w:rPr>
              <w:t>–1.31. U měsíců, které mají méně než 31 dní, jakož i u víkendů se přebytečné řádky ponechají prázdné.</w:t>
            </w:r>
          </w:p>
          <w:p w14:paraId="7D2D26D4" w14:textId="2FE7C483" w:rsidR="003E371A" w:rsidRPr="001263B4" w:rsidRDefault="003E371A" w:rsidP="001263B4">
            <w:pPr>
              <w:spacing w:before="0"/>
              <w:rPr>
                <w:rFonts w:ascii="Times New Roman" w:hAnsi="Times New Roman"/>
                <w:sz w:val="24"/>
              </w:rPr>
            </w:pPr>
            <w:r>
              <w:rPr>
                <w:rFonts w:ascii="Times New Roman" w:hAnsi="Times New Roman"/>
                <w:sz w:val="24"/>
              </w:rPr>
              <w:t>Celkový objem refinancování k rozhodnému dni vykazovaného období s původní jednodenní splatností se vykáže ve sloupci 020 řádkových položek 1.1</w:t>
            </w:r>
            <w:r w:rsidR="00D05D3A">
              <w:rPr>
                <w:rFonts w:ascii="Times New Roman" w:hAnsi="Times New Roman"/>
                <w:sz w:val="24"/>
              </w:rPr>
              <w:t>.</w:t>
            </w:r>
            <w:r>
              <w:rPr>
                <w:rFonts w:ascii="Times New Roman" w:hAnsi="Times New Roman"/>
                <w:sz w:val="24"/>
              </w:rPr>
              <w:t>–1.31.</w:t>
            </w:r>
          </w:p>
          <w:p w14:paraId="4837928B" w14:textId="64C687D7" w:rsidR="00ED41A4" w:rsidRPr="001263B4" w:rsidRDefault="00ED41A4" w:rsidP="001263B4">
            <w:pPr>
              <w:spacing w:before="0"/>
              <w:rPr>
                <w:rFonts w:ascii="Times New Roman" w:hAnsi="Times New Roman"/>
                <w:sz w:val="24"/>
              </w:rPr>
            </w:pPr>
            <w:r>
              <w:rPr>
                <w:rFonts w:ascii="Times New Roman" w:hAnsi="Times New Roman"/>
                <w:sz w:val="24"/>
              </w:rPr>
              <w:lastRenderedPageBreak/>
              <w:t>Celkový objem nového financování získaného k rozhodnému dni vykazovaného období s původní jednodenní splatností se vykáže ve sloupci 030 řádkových položek 1.1</w:t>
            </w:r>
            <w:r w:rsidR="00D05D3A">
              <w:rPr>
                <w:rFonts w:ascii="Times New Roman" w:hAnsi="Times New Roman"/>
                <w:sz w:val="24"/>
              </w:rPr>
              <w:t>.</w:t>
            </w:r>
            <w:r>
              <w:rPr>
                <w:rFonts w:ascii="Times New Roman" w:hAnsi="Times New Roman"/>
                <w:sz w:val="24"/>
              </w:rPr>
              <w:t>–1.31.</w:t>
            </w:r>
          </w:p>
          <w:p w14:paraId="16FDBE2F" w14:textId="17BAA434" w:rsidR="00ED41A4" w:rsidRPr="001263B4" w:rsidRDefault="00ED41A4" w:rsidP="001263B4">
            <w:pPr>
              <w:spacing w:before="0"/>
              <w:rPr>
                <w:rFonts w:ascii="Times New Roman" w:hAnsi="Times New Roman"/>
                <w:sz w:val="24"/>
              </w:rPr>
            </w:pPr>
            <w:r>
              <w:rPr>
                <w:rFonts w:ascii="Times New Roman" w:hAnsi="Times New Roman"/>
                <w:sz w:val="24"/>
              </w:rPr>
              <w:t>Čistý rozdíl mezi (na jedné straně) splatnými prostředky financování s denní splatností a (na straně druhé) refinancováním a nově získanými prostředky financování s denní splatností se vykáže ve sloupci 040 řádkových položek 1.1</w:t>
            </w:r>
            <w:r w:rsidR="00D05D3A">
              <w:rPr>
                <w:rFonts w:ascii="Times New Roman" w:hAnsi="Times New Roman"/>
                <w:sz w:val="24"/>
              </w:rPr>
              <w:t>.</w:t>
            </w:r>
            <w:r>
              <w:rPr>
                <w:rFonts w:ascii="Times New Roman" w:hAnsi="Times New Roman"/>
                <w:sz w:val="24"/>
              </w:rPr>
              <w:t>–1.31.</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050 až 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den ≤ 7 dní</w:t>
            </w:r>
          </w:p>
          <w:p w14:paraId="456405B1" w14:textId="4CE1CD39" w:rsidR="00ED41A4" w:rsidRPr="001263B4" w:rsidRDefault="00ED41A4" w:rsidP="001263B4">
            <w:pPr>
              <w:spacing w:before="0"/>
              <w:rPr>
                <w:rFonts w:ascii="Times New Roman" w:hAnsi="Times New Roman"/>
                <w:sz w:val="24"/>
              </w:rPr>
            </w:pPr>
            <w:r>
              <w:rPr>
                <w:rFonts w:ascii="Times New Roman" w:hAnsi="Times New Roman"/>
                <w:sz w:val="24"/>
              </w:rPr>
              <w:t>Celkový objem financování se splatností k rozhodnému dni vykazovaného období s původní splatností v rozmezí jednoho dne a jednoho týdne se vykáže ve sloupci 050 řádkových položek 1.1</w:t>
            </w:r>
            <w:r w:rsidR="00D05D3A">
              <w:rPr>
                <w:rFonts w:ascii="Times New Roman" w:hAnsi="Times New Roman"/>
                <w:sz w:val="24"/>
              </w:rPr>
              <w:t>.</w:t>
            </w:r>
            <w:r>
              <w:rPr>
                <w:rFonts w:ascii="Times New Roman" w:hAnsi="Times New Roman"/>
                <w:sz w:val="24"/>
              </w:rPr>
              <w:t>–1.31. U měsíců, které mají méně než 31 dní, jakož i u víkendů se přebytečné řádky ponechají prázdné.</w:t>
            </w:r>
          </w:p>
          <w:p w14:paraId="293B2767" w14:textId="2EC4B147" w:rsidR="003E371A" w:rsidRPr="001263B4" w:rsidRDefault="003E371A" w:rsidP="001263B4">
            <w:pPr>
              <w:spacing w:before="0"/>
              <w:rPr>
                <w:rFonts w:ascii="Times New Roman" w:hAnsi="Times New Roman"/>
                <w:sz w:val="24"/>
              </w:rPr>
            </w:pPr>
            <w:r>
              <w:rPr>
                <w:rFonts w:ascii="Times New Roman" w:hAnsi="Times New Roman"/>
                <w:sz w:val="24"/>
              </w:rPr>
              <w:t>Celkový objem refinancování k rozhodnému dni vykazovaného období s původní splatností v rozmezí jednoho dne a jednoho týdne se vykáže ve sloupci 060 řádkových položek 1.1</w:t>
            </w:r>
            <w:r w:rsidR="00D05D3A">
              <w:rPr>
                <w:rFonts w:ascii="Times New Roman" w:hAnsi="Times New Roman"/>
                <w:sz w:val="24"/>
              </w:rPr>
              <w:t>.</w:t>
            </w:r>
            <w:r>
              <w:rPr>
                <w:rFonts w:ascii="Times New Roman" w:hAnsi="Times New Roman"/>
                <w:sz w:val="24"/>
              </w:rPr>
              <w:t>–1.31.</w:t>
            </w:r>
          </w:p>
          <w:p w14:paraId="5D635490" w14:textId="35ADCC08" w:rsidR="00ED41A4" w:rsidRPr="001263B4" w:rsidRDefault="00ED41A4" w:rsidP="001263B4">
            <w:pPr>
              <w:spacing w:before="0"/>
              <w:rPr>
                <w:rFonts w:ascii="Times New Roman" w:hAnsi="Times New Roman"/>
                <w:sz w:val="24"/>
              </w:rPr>
            </w:pPr>
            <w:r>
              <w:rPr>
                <w:rFonts w:ascii="Times New Roman" w:hAnsi="Times New Roman"/>
                <w:sz w:val="24"/>
              </w:rPr>
              <w:t>Celkový objem nového financování získaného k rozhodnému dni vykazovaného období s původní splatností v rozmezí jednoho dne a jednoho týdne se vykáže ve sloupci 70 řádkových položek 1.1</w:t>
            </w:r>
            <w:r w:rsidR="00D05D3A">
              <w:rPr>
                <w:rFonts w:ascii="Times New Roman" w:hAnsi="Times New Roman"/>
                <w:sz w:val="24"/>
              </w:rPr>
              <w:t>.</w:t>
            </w:r>
            <w:r>
              <w:rPr>
                <w:rFonts w:ascii="Times New Roman" w:hAnsi="Times New Roman"/>
                <w:sz w:val="24"/>
              </w:rPr>
              <w:t>–1.31.</w:t>
            </w:r>
          </w:p>
          <w:p w14:paraId="46AFF05A" w14:textId="4EF55E3D" w:rsidR="00ED41A4" w:rsidRPr="001263B4" w:rsidRDefault="00ED41A4" w:rsidP="001263B4">
            <w:pPr>
              <w:spacing w:before="0"/>
              <w:rPr>
                <w:rFonts w:ascii="Times New Roman" w:hAnsi="Times New Roman"/>
                <w:b/>
                <w:sz w:val="24"/>
                <w:u w:val="single"/>
              </w:rPr>
            </w:pPr>
            <w:r>
              <w:rPr>
                <w:rFonts w:ascii="Times New Roman" w:hAnsi="Times New Roman"/>
                <w:sz w:val="24"/>
              </w:rPr>
              <w:t>Čistý rozdíl mezi (na jedné straně) splatnými prostředky financování a (na straně druhé) refinancováním a nově získanými prostředky financování se vykáže ve sloupci 080 řádkových položek 1.1</w:t>
            </w:r>
            <w:r w:rsidR="00D05D3A">
              <w:rPr>
                <w:rFonts w:ascii="Times New Roman" w:hAnsi="Times New Roman"/>
                <w:sz w:val="24"/>
              </w:rPr>
              <w:t>.</w:t>
            </w:r>
            <w:r>
              <w:rPr>
                <w:rFonts w:ascii="Times New Roman" w:hAnsi="Times New Roman"/>
                <w:sz w:val="24"/>
              </w:rPr>
              <w:t>–1.31.</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090 až 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7 dní ≤ 14 dní</w:t>
            </w:r>
          </w:p>
          <w:p w14:paraId="01B280B0" w14:textId="6A9E638B" w:rsidR="007C6B89" w:rsidRPr="001263B4" w:rsidRDefault="007C6B89" w:rsidP="001263B4">
            <w:pPr>
              <w:spacing w:before="0"/>
              <w:rPr>
                <w:rFonts w:ascii="Times New Roman" w:hAnsi="Times New Roman"/>
                <w:sz w:val="24"/>
              </w:rPr>
            </w:pPr>
            <w:r>
              <w:rPr>
                <w:rFonts w:ascii="Times New Roman" w:hAnsi="Times New Roman"/>
                <w:sz w:val="24"/>
              </w:rPr>
              <w:t>Celkový objem financování se splatností k rozhodnému dni vykazovaného období s původní splatností v rozmezí jednoho týdne a dvou týdnů se vykáže ve sloupci 090 řádkových položek 1.1</w:t>
            </w:r>
            <w:r w:rsidR="00D05D3A">
              <w:rPr>
                <w:rFonts w:ascii="Times New Roman" w:hAnsi="Times New Roman"/>
                <w:sz w:val="24"/>
              </w:rPr>
              <w:t>.</w:t>
            </w:r>
            <w:r>
              <w:rPr>
                <w:rFonts w:ascii="Times New Roman" w:hAnsi="Times New Roman"/>
                <w:sz w:val="24"/>
              </w:rPr>
              <w:t>–1.31. U měsíců, které mají méně než 31 dní, jakož i u víkendů se přebytečné řádky ponechají prázdné.</w:t>
            </w:r>
          </w:p>
          <w:p w14:paraId="37FF815B" w14:textId="5876C5E2" w:rsidR="003E371A" w:rsidRPr="001263B4" w:rsidRDefault="003E371A" w:rsidP="001263B4">
            <w:pPr>
              <w:spacing w:before="0"/>
              <w:rPr>
                <w:rFonts w:ascii="Times New Roman" w:hAnsi="Times New Roman"/>
                <w:sz w:val="24"/>
              </w:rPr>
            </w:pPr>
            <w:r>
              <w:rPr>
                <w:rFonts w:ascii="Times New Roman" w:hAnsi="Times New Roman"/>
                <w:sz w:val="24"/>
              </w:rPr>
              <w:t>Celkový objem refinancování se splatností k rozhodnému dni vykazovaného období s původní splatností v rozmezí jednoho týdne a dvou týdnů se vykáže ve sloupci 100 řádkových položek 1.1</w:t>
            </w:r>
            <w:r w:rsidR="00D05D3A">
              <w:rPr>
                <w:rFonts w:ascii="Times New Roman" w:hAnsi="Times New Roman"/>
                <w:sz w:val="24"/>
              </w:rPr>
              <w:t>.</w:t>
            </w:r>
            <w:r>
              <w:rPr>
                <w:rFonts w:ascii="Times New Roman" w:hAnsi="Times New Roman"/>
                <w:sz w:val="24"/>
              </w:rPr>
              <w:t>–1.31.</w:t>
            </w:r>
          </w:p>
          <w:p w14:paraId="60125A59" w14:textId="314A4CF7" w:rsidR="007C6B89" w:rsidRPr="001263B4" w:rsidRDefault="007C6B89" w:rsidP="001263B4">
            <w:pPr>
              <w:spacing w:before="0"/>
              <w:rPr>
                <w:rFonts w:ascii="Times New Roman" w:hAnsi="Times New Roman"/>
                <w:sz w:val="24"/>
              </w:rPr>
            </w:pPr>
            <w:r>
              <w:rPr>
                <w:rFonts w:ascii="Times New Roman" w:hAnsi="Times New Roman"/>
                <w:sz w:val="24"/>
              </w:rPr>
              <w:t>Celkový objem nového financování získaného k rozhodnému dni vykazovaného období s původní splatností v rozmezí jednoho týdne a dvou týdnů se vykáže ve sloupci 110 řádkových položek 1.1</w:t>
            </w:r>
            <w:r w:rsidR="00D05D3A">
              <w:rPr>
                <w:rFonts w:ascii="Times New Roman" w:hAnsi="Times New Roman"/>
                <w:sz w:val="24"/>
              </w:rPr>
              <w:t>.</w:t>
            </w:r>
            <w:r>
              <w:rPr>
                <w:rFonts w:ascii="Times New Roman" w:hAnsi="Times New Roman"/>
                <w:sz w:val="24"/>
              </w:rPr>
              <w:t>–1.31.</w:t>
            </w:r>
          </w:p>
          <w:p w14:paraId="3B20F474" w14:textId="0AC9FA8E" w:rsidR="00ED41A4" w:rsidRPr="001263B4" w:rsidRDefault="007C6B89" w:rsidP="001263B4">
            <w:pPr>
              <w:spacing w:before="0"/>
              <w:rPr>
                <w:rFonts w:ascii="Times New Roman" w:hAnsi="Times New Roman"/>
                <w:b/>
                <w:sz w:val="24"/>
                <w:u w:val="single"/>
              </w:rPr>
            </w:pPr>
            <w:r>
              <w:rPr>
                <w:rFonts w:ascii="Times New Roman" w:hAnsi="Times New Roman"/>
                <w:sz w:val="24"/>
              </w:rPr>
              <w:t>Čistý rozdíl mezi (na jedné straně) splatnými prostředky financování a (na straně druhé) refinancováním a nově získanými prostředky financování se vykáže ve sloupci 120 řádkových položek 1.1</w:t>
            </w:r>
            <w:r w:rsidR="00D05D3A">
              <w:rPr>
                <w:rFonts w:ascii="Times New Roman" w:hAnsi="Times New Roman"/>
                <w:sz w:val="24"/>
              </w:rPr>
              <w:t>.</w:t>
            </w:r>
            <w:r>
              <w:rPr>
                <w:rFonts w:ascii="Times New Roman" w:hAnsi="Times New Roman"/>
                <w:sz w:val="24"/>
              </w:rPr>
              <w:t>–1.31.</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130 až 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14 dní ≤ 1 měsíc</w:t>
            </w:r>
          </w:p>
          <w:p w14:paraId="6DFCCE86" w14:textId="663C26FD" w:rsidR="007C6B89" w:rsidRPr="001263B4" w:rsidRDefault="007C6B89" w:rsidP="001263B4">
            <w:pPr>
              <w:spacing w:before="0"/>
              <w:rPr>
                <w:rFonts w:ascii="Times New Roman" w:hAnsi="Times New Roman"/>
                <w:sz w:val="24"/>
              </w:rPr>
            </w:pPr>
            <w:r>
              <w:rPr>
                <w:rFonts w:ascii="Times New Roman" w:hAnsi="Times New Roman"/>
                <w:sz w:val="24"/>
              </w:rPr>
              <w:t>Celkový objem financování se splatností k rozhodnému dni vykazovaného období s původní splatností v rozmezí dvou týdnů a jednoho měsíce se vykáže ve sloupci 130 řádkových položek 1.1</w:t>
            </w:r>
            <w:r w:rsidR="00D05D3A">
              <w:rPr>
                <w:rFonts w:ascii="Times New Roman" w:hAnsi="Times New Roman"/>
                <w:sz w:val="24"/>
              </w:rPr>
              <w:t>.</w:t>
            </w:r>
            <w:r>
              <w:rPr>
                <w:rFonts w:ascii="Times New Roman" w:hAnsi="Times New Roman"/>
                <w:sz w:val="24"/>
              </w:rPr>
              <w:t>–1.31. U měsíců, které mají méně než 31 dní, jakož i u víkendů se přebytečné řádky ponechají prázdné.</w:t>
            </w:r>
          </w:p>
          <w:p w14:paraId="168BD6CE" w14:textId="0FAC9764" w:rsidR="003E371A" w:rsidRPr="001263B4" w:rsidRDefault="003E371A" w:rsidP="001263B4">
            <w:pPr>
              <w:spacing w:before="0"/>
              <w:rPr>
                <w:rFonts w:ascii="Times New Roman" w:hAnsi="Times New Roman"/>
                <w:sz w:val="24"/>
              </w:rPr>
            </w:pPr>
            <w:r>
              <w:rPr>
                <w:rFonts w:ascii="Times New Roman" w:hAnsi="Times New Roman"/>
                <w:sz w:val="24"/>
              </w:rPr>
              <w:lastRenderedPageBreak/>
              <w:t>Celkový objem refinancování k rozhodnému dni vykazovaného období s původní splatností v rozmezí dvou týdnů a jednoho měsíce se vykáže ve sloupci 140 řádkových položek 1.1</w:t>
            </w:r>
            <w:r w:rsidR="00D05D3A">
              <w:rPr>
                <w:rFonts w:ascii="Times New Roman" w:hAnsi="Times New Roman"/>
                <w:sz w:val="24"/>
              </w:rPr>
              <w:t>.</w:t>
            </w:r>
            <w:r>
              <w:rPr>
                <w:rFonts w:ascii="Times New Roman" w:hAnsi="Times New Roman"/>
                <w:sz w:val="24"/>
              </w:rPr>
              <w:t>–1.31.</w:t>
            </w:r>
          </w:p>
          <w:p w14:paraId="0DBC5483" w14:textId="3CF00C74" w:rsidR="007C6B89" w:rsidRPr="001263B4" w:rsidRDefault="007C6B89" w:rsidP="001263B4">
            <w:pPr>
              <w:spacing w:before="0"/>
              <w:rPr>
                <w:rFonts w:ascii="Times New Roman" w:hAnsi="Times New Roman"/>
                <w:sz w:val="24"/>
              </w:rPr>
            </w:pPr>
            <w:r>
              <w:rPr>
                <w:rFonts w:ascii="Times New Roman" w:hAnsi="Times New Roman"/>
                <w:sz w:val="24"/>
              </w:rPr>
              <w:t>Celkový objem nového financování získaného k rozhodnému dni vykazovaného období s původní splatností v rozmezí dvou týdnů a jednoho měsíce se vykáže ve sloupci 150 řádkových položek 1.1</w:t>
            </w:r>
            <w:r w:rsidR="00D05D3A">
              <w:rPr>
                <w:rFonts w:ascii="Times New Roman" w:hAnsi="Times New Roman"/>
                <w:sz w:val="24"/>
              </w:rPr>
              <w:t>.</w:t>
            </w:r>
            <w:r>
              <w:rPr>
                <w:rFonts w:ascii="Times New Roman" w:hAnsi="Times New Roman"/>
                <w:sz w:val="24"/>
              </w:rPr>
              <w:t>–1.31.</w:t>
            </w:r>
          </w:p>
          <w:p w14:paraId="0D02D77F" w14:textId="06E7E86B" w:rsidR="00ED41A4" w:rsidRPr="001263B4" w:rsidRDefault="007C6B89" w:rsidP="001263B4">
            <w:pPr>
              <w:spacing w:before="0"/>
              <w:rPr>
                <w:rFonts w:ascii="Times New Roman" w:hAnsi="Times New Roman"/>
                <w:b/>
                <w:sz w:val="24"/>
                <w:u w:val="single"/>
              </w:rPr>
            </w:pPr>
            <w:r>
              <w:rPr>
                <w:rFonts w:ascii="Times New Roman" w:hAnsi="Times New Roman"/>
                <w:sz w:val="24"/>
              </w:rPr>
              <w:t>Čistý rozdíl mezi (na jedné straně) splatnými prostředky financování a (na straně druhé) refinancováním a nově získanými prostředky financování se vykáže ve sloupci 160 řádkových položek 1.1</w:t>
            </w:r>
            <w:r w:rsidR="00D05D3A">
              <w:rPr>
                <w:rFonts w:ascii="Times New Roman" w:hAnsi="Times New Roman"/>
                <w:sz w:val="24"/>
              </w:rPr>
              <w:t>.</w:t>
            </w:r>
            <w:r>
              <w:rPr>
                <w:rFonts w:ascii="Times New Roman" w:hAnsi="Times New Roman"/>
                <w:sz w:val="24"/>
              </w:rPr>
              <w:t>–1.31.</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170 až 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měsíc ≤ 3 měsíce</w:t>
            </w:r>
          </w:p>
          <w:p w14:paraId="1C6BB1D5" w14:textId="5723136C" w:rsidR="007C6B89" w:rsidRPr="001263B4" w:rsidRDefault="007C6B89" w:rsidP="001263B4">
            <w:pPr>
              <w:spacing w:before="0"/>
              <w:rPr>
                <w:rFonts w:ascii="Times New Roman" w:hAnsi="Times New Roman"/>
                <w:sz w:val="24"/>
              </w:rPr>
            </w:pPr>
            <w:r>
              <w:rPr>
                <w:rFonts w:ascii="Times New Roman" w:hAnsi="Times New Roman"/>
                <w:sz w:val="24"/>
              </w:rPr>
              <w:t>Celkový objem financování se splatností k rozhodnému dni vykazovaného období s původní splatností v rozmezí jednoho měsíce a tří měsíců se vykáže ve sloupci 170 řádkových položek 1.1</w:t>
            </w:r>
            <w:r w:rsidR="00D05D3A">
              <w:rPr>
                <w:rFonts w:ascii="Times New Roman" w:hAnsi="Times New Roman"/>
                <w:sz w:val="24"/>
              </w:rPr>
              <w:t>.</w:t>
            </w:r>
            <w:r>
              <w:rPr>
                <w:rFonts w:ascii="Times New Roman" w:hAnsi="Times New Roman"/>
                <w:sz w:val="24"/>
              </w:rPr>
              <w:t>–1.31. U měsíců, které mají méně než 31 dní, jakož i u víkendů se přebytečné řádky ponechají prázdné.</w:t>
            </w:r>
          </w:p>
          <w:p w14:paraId="6A91E8B5" w14:textId="0742A445" w:rsidR="003E371A" w:rsidRPr="001263B4" w:rsidRDefault="003E371A" w:rsidP="001263B4">
            <w:pPr>
              <w:spacing w:before="0"/>
              <w:rPr>
                <w:rFonts w:ascii="Times New Roman" w:hAnsi="Times New Roman"/>
                <w:sz w:val="24"/>
              </w:rPr>
            </w:pPr>
            <w:r>
              <w:rPr>
                <w:rFonts w:ascii="Times New Roman" w:hAnsi="Times New Roman"/>
                <w:sz w:val="24"/>
              </w:rPr>
              <w:t>Celkový objem refinancování k rozhodnému dni vykazovaného období s původní splatností v rozmezí jednoho měsíce a tří měsíců se vykáže ve sloupci 180 řádkových položek 1.1</w:t>
            </w:r>
            <w:r w:rsidR="00D05D3A">
              <w:rPr>
                <w:rFonts w:ascii="Times New Roman" w:hAnsi="Times New Roman"/>
                <w:sz w:val="24"/>
              </w:rPr>
              <w:t>.</w:t>
            </w:r>
            <w:r>
              <w:rPr>
                <w:rFonts w:ascii="Times New Roman" w:hAnsi="Times New Roman"/>
                <w:sz w:val="24"/>
              </w:rPr>
              <w:t>–1.31.</w:t>
            </w:r>
          </w:p>
          <w:p w14:paraId="7A9947A9" w14:textId="1D2037A1" w:rsidR="007C6B89" w:rsidRPr="001263B4" w:rsidRDefault="007C6B89" w:rsidP="001263B4">
            <w:pPr>
              <w:spacing w:before="0"/>
              <w:rPr>
                <w:rFonts w:ascii="Times New Roman" w:hAnsi="Times New Roman"/>
                <w:sz w:val="24"/>
              </w:rPr>
            </w:pPr>
            <w:r>
              <w:rPr>
                <w:rFonts w:ascii="Times New Roman" w:hAnsi="Times New Roman"/>
                <w:sz w:val="24"/>
              </w:rPr>
              <w:t>Celkový objem nového financování získaného k rozhodnému dni vykazovaného období s původní splatností v rozmezí jednoho měsíce a tří měsíců se vykáže ve sloupci 190 řádkových položek 1.1</w:t>
            </w:r>
            <w:r w:rsidR="00D05D3A">
              <w:rPr>
                <w:rFonts w:ascii="Times New Roman" w:hAnsi="Times New Roman"/>
                <w:sz w:val="24"/>
              </w:rPr>
              <w:t>.</w:t>
            </w:r>
            <w:r>
              <w:rPr>
                <w:rFonts w:ascii="Times New Roman" w:hAnsi="Times New Roman"/>
                <w:sz w:val="24"/>
              </w:rPr>
              <w:t>–1.31.</w:t>
            </w:r>
          </w:p>
          <w:p w14:paraId="655F0B6A" w14:textId="4512FB05" w:rsidR="00ED41A4" w:rsidRPr="001263B4" w:rsidRDefault="007C6B89" w:rsidP="001263B4">
            <w:pPr>
              <w:spacing w:before="0"/>
              <w:rPr>
                <w:rFonts w:ascii="Times New Roman" w:hAnsi="Times New Roman"/>
                <w:b/>
                <w:sz w:val="24"/>
                <w:u w:val="single"/>
              </w:rPr>
            </w:pPr>
            <w:r>
              <w:rPr>
                <w:rFonts w:ascii="Times New Roman" w:hAnsi="Times New Roman"/>
                <w:sz w:val="24"/>
              </w:rPr>
              <w:t>Čistý rozdíl mezi (na jedné straně) splatnými prostředky financování a (na straně druhé) refinancováním a nově získanými prostředky financování se vykáže ve sloupci 200 řádkových položek 1.1</w:t>
            </w:r>
            <w:r w:rsidR="00D05D3A">
              <w:rPr>
                <w:rFonts w:ascii="Times New Roman" w:hAnsi="Times New Roman"/>
                <w:sz w:val="24"/>
              </w:rPr>
              <w:t>.</w:t>
            </w:r>
            <w:r>
              <w:rPr>
                <w:rFonts w:ascii="Times New Roman" w:hAnsi="Times New Roman"/>
                <w:sz w:val="24"/>
              </w:rPr>
              <w:t>–1.31.</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210 až 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 3 měsíce ≤ 6 měsíců</w:t>
            </w:r>
          </w:p>
          <w:p w14:paraId="0260CA5A" w14:textId="078501F8" w:rsidR="006044FF" w:rsidRPr="001263B4" w:rsidRDefault="005A40BE" w:rsidP="001263B4">
            <w:pPr>
              <w:spacing w:before="0"/>
              <w:rPr>
                <w:rFonts w:ascii="Times New Roman" w:hAnsi="Times New Roman"/>
                <w:sz w:val="24"/>
              </w:rPr>
            </w:pPr>
            <w:r>
              <w:rPr>
                <w:rFonts w:ascii="Times New Roman" w:hAnsi="Times New Roman"/>
                <w:sz w:val="24"/>
              </w:rPr>
              <w:t>Celkový objem financování se splatností k rozhodnému dni vykazovaného období s původní splatností v rozmezí tří měsíců a šesti měsíců se vykáže ve sloupci 210 řádkových položek 1.1</w:t>
            </w:r>
            <w:r w:rsidR="00D05D3A">
              <w:rPr>
                <w:rFonts w:ascii="Times New Roman" w:hAnsi="Times New Roman"/>
                <w:sz w:val="24"/>
              </w:rPr>
              <w:t>.</w:t>
            </w:r>
            <w:r>
              <w:rPr>
                <w:rFonts w:ascii="Times New Roman" w:hAnsi="Times New Roman"/>
                <w:sz w:val="24"/>
              </w:rPr>
              <w:t>–1.31. U měsíců, které mají méně než 31 dní, jakož i u víkendů se přebytečné řádky ponechají prázdné.</w:t>
            </w:r>
          </w:p>
          <w:p w14:paraId="563F93F8" w14:textId="52230A0A" w:rsidR="003E371A" w:rsidRPr="001263B4" w:rsidRDefault="003E371A" w:rsidP="001263B4">
            <w:pPr>
              <w:spacing w:before="0"/>
              <w:rPr>
                <w:rFonts w:ascii="Times New Roman" w:hAnsi="Times New Roman"/>
                <w:sz w:val="24"/>
              </w:rPr>
            </w:pPr>
            <w:r>
              <w:rPr>
                <w:rFonts w:ascii="Times New Roman" w:hAnsi="Times New Roman"/>
                <w:sz w:val="24"/>
              </w:rPr>
              <w:t>Celkový objem refinancování k rozhodnému dni vykazovaného období s původní splatností v rozmezí tří měsíců a šesti měsíců se vykáže ve sloupci 220 řádkových položek 1.1</w:t>
            </w:r>
            <w:r w:rsidR="00D05D3A">
              <w:rPr>
                <w:rFonts w:ascii="Times New Roman" w:hAnsi="Times New Roman"/>
                <w:sz w:val="24"/>
              </w:rPr>
              <w:t>.</w:t>
            </w:r>
            <w:r>
              <w:rPr>
                <w:rFonts w:ascii="Times New Roman" w:hAnsi="Times New Roman"/>
                <w:sz w:val="24"/>
              </w:rPr>
              <w:t>–1.31.</w:t>
            </w:r>
          </w:p>
          <w:p w14:paraId="601C708E" w14:textId="497CD403" w:rsidR="005A40BE" w:rsidRPr="001263B4" w:rsidRDefault="005A40BE" w:rsidP="001263B4">
            <w:pPr>
              <w:spacing w:before="0"/>
              <w:rPr>
                <w:rFonts w:ascii="Times New Roman" w:hAnsi="Times New Roman"/>
                <w:sz w:val="24"/>
              </w:rPr>
            </w:pPr>
            <w:r>
              <w:rPr>
                <w:rFonts w:ascii="Times New Roman" w:hAnsi="Times New Roman"/>
                <w:sz w:val="24"/>
              </w:rPr>
              <w:t>Celkový objem nového financování získaného k rozhodnému dni vykazovaného období s původní splatností v rozmezí tří měsíců a šesti měsíců se vykáže ve sloupci 230 řádkových položek 1.1</w:t>
            </w:r>
            <w:r w:rsidR="00D05D3A">
              <w:rPr>
                <w:rFonts w:ascii="Times New Roman" w:hAnsi="Times New Roman"/>
                <w:sz w:val="24"/>
              </w:rPr>
              <w:t>.</w:t>
            </w:r>
            <w:r>
              <w:rPr>
                <w:rFonts w:ascii="Times New Roman" w:hAnsi="Times New Roman"/>
                <w:sz w:val="24"/>
              </w:rPr>
              <w:t>–1.31.</w:t>
            </w:r>
          </w:p>
          <w:p w14:paraId="3E16D1CD" w14:textId="5991397E" w:rsidR="00ED41A4" w:rsidRPr="001263B4" w:rsidRDefault="005A40BE" w:rsidP="001263B4">
            <w:pPr>
              <w:spacing w:before="0"/>
              <w:rPr>
                <w:rFonts w:ascii="Times New Roman" w:hAnsi="Times New Roman"/>
                <w:b/>
                <w:sz w:val="24"/>
                <w:u w:val="single"/>
              </w:rPr>
            </w:pPr>
            <w:r>
              <w:rPr>
                <w:rFonts w:ascii="Times New Roman" w:hAnsi="Times New Roman"/>
                <w:sz w:val="24"/>
              </w:rPr>
              <w:t>Čistý rozdíl mezi (na jedné straně) splatnými prostředky financování a (na straně druhé) refinancováním a nově získanými prostředky financování se vykáže ve sloupci 240 řádkových položek 1.1</w:t>
            </w:r>
            <w:r w:rsidR="00D05D3A">
              <w:rPr>
                <w:rFonts w:ascii="Times New Roman" w:hAnsi="Times New Roman"/>
                <w:sz w:val="24"/>
              </w:rPr>
              <w:t>.</w:t>
            </w:r>
            <w:r>
              <w:rPr>
                <w:rFonts w:ascii="Times New Roman" w:hAnsi="Times New Roman"/>
                <w:sz w:val="24"/>
              </w:rPr>
              <w:t>–1.31.</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250 až 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 6 měsíců</w:t>
            </w:r>
          </w:p>
          <w:p w14:paraId="3C7C589B" w14:textId="2E839837" w:rsidR="007C6B89" w:rsidRPr="001263B4" w:rsidRDefault="007C6B89" w:rsidP="001263B4">
            <w:pPr>
              <w:spacing w:before="0"/>
              <w:rPr>
                <w:rFonts w:ascii="Times New Roman" w:hAnsi="Times New Roman"/>
                <w:sz w:val="24"/>
              </w:rPr>
            </w:pPr>
            <w:r>
              <w:rPr>
                <w:rFonts w:ascii="Times New Roman" w:hAnsi="Times New Roman"/>
                <w:sz w:val="24"/>
              </w:rPr>
              <w:t xml:space="preserve">Celkový objem financování se splatností k rozhodnému dni vykazovaného období s původní splatností nad šest měsíců se vykáže </w:t>
            </w:r>
            <w:r>
              <w:rPr>
                <w:rFonts w:ascii="Times New Roman" w:hAnsi="Times New Roman"/>
                <w:sz w:val="24"/>
              </w:rPr>
              <w:lastRenderedPageBreak/>
              <w:t>ve sloupci 250 řádkových položek 1.1</w:t>
            </w:r>
            <w:r w:rsidR="00D05D3A">
              <w:rPr>
                <w:rFonts w:ascii="Times New Roman" w:hAnsi="Times New Roman"/>
                <w:sz w:val="24"/>
              </w:rPr>
              <w:t>.</w:t>
            </w:r>
            <w:r>
              <w:rPr>
                <w:rFonts w:ascii="Times New Roman" w:hAnsi="Times New Roman"/>
                <w:sz w:val="24"/>
              </w:rPr>
              <w:t>–1.31. U měsíců, které mají méně než 31 dní, jakož i u víkendů se přebytečné řádky ponechají prázdné.</w:t>
            </w:r>
          </w:p>
          <w:p w14:paraId="09601152" w14:textId="5364DB13" w:rsidR="003E371A" w:rsidRPr="001263B4" w:rsidRDefault="003E371A" w:rsidP="001263B4">
            <w:pPr>
              <w:spacing w:before="0"/>
              <w:rPr>
                <w:rFonts w:ascii="Times New Roman" w:hAnsi="Times New Roman"/>
                <w:sz w:val="24"/>
              </w:rPr>
            </w:pPr>
            <w:r>
              <w:rPr>
                <w:rFonts w:ascii="Times New Roman" w:hAnsi="Times New Roman"/>
                <w:sz w:val="24"/>
              </w:rPr>
              <w:t>Celkový objem refinancování k rozhodnému dni vykazovaného období s původní splatností nad šest měsíců se vykáže ve sloupci 260 řádkových položek 1.1</w:t>
            </w:r>
            <w:r w:rsidR="00D05D3A">
              <w:rPr>
                <w:rFonts w:ascii="Times New Roman" w:hAnsi="Times New Roman"/>
                <w:sz w:val="24"/>
              </w:rPr>
              <w:t>.</w:t>
            </w:r>
            <w:r>
              <w:rPr>
                <w:rFonts w:ascii="Times New Roman" w:hAnsi="Times New Roman"/>
                <w:sz w:val="24"/>
              </w:rPr>
              <w:t>–1.31.</w:t>
            </w:r>
          </w:p>
          <w:p w14:paraId="4585368E" w14:textId="02381615" w:rsidR="007C6B89" w:rsidRPr="001263B4" w:rsidRDefault="007C6B89" w:rsidP="001263B4">
            <w:pPr>
              <w:spacing w:before="0"/>
              <w:rPr>
                <w:rFonts w:ascii="Times New Roman" w:hAnsi="Times New Roman"/>
                <w:sz w:val="24"/>
              </w:rPr>
            </w:pPr>
            <w:r>
              <w:rPr>
                <w:rFonts w:ascii="Times New Roman" w:hAnsi="Times New Roman"/>
                <w:sz w:val="24"/>
              </w:rPr>
              <w:t>Celkový objem nového financování získaného k rozhodnému dni vykazovaného období s původní splatností nad šest měsíců se vykáže ve sloupci 270 řádkových položek 1.1</w:t>
            </w:r>
            <w:r w:rsidR="00D05D3A">
              <w:rPr>
                <w:rFonts w:ascii="Times New Roman" w:hAnsi="Times New Roman"/>
                <w:sz w:val="24"/>
              </w:rPr>
              <w:t>.</w:t>
            </w:r>
            <w:r>
              <w:rPr>
                <w:rFonts w:ascii="Times New Roman" w:hAnsi="Times New Roman"/>
                <w:sz w:val="24"/>
              </w:rPr>
              <w:t>–1.31.</w:t>
            </w:r>
          </w:p>
          <w:p w14:paraId="228AAF2B" w14:textId="35935A36" w:rsidR="00ED41A4" w:rsidRPr="001263B4" w:rsidRDefault="007C6B89" w:rsidP="001263B4">
            <w:pPr>
              <w:spacing w:before="0"/>
              <w:rPr>
                <w:rFonts w:ascii="Times New Roman" w:hAnsi="Times New Roman"/>
                <w:b/>
                <w:sz w:val="24"/>
                <w:u w:val="single"/>
              </w:rPr>
            </w:pPr>
            <w:r>
              <w:rPr>
                <w:rFonts w:ascii="Times New Roman" w:hAnsi="Times New Roman"/>
                <w:sz w:val="24"/>
              </w:rPr>
              <w:t>Čistý rozdíl mezi (na jedné straně) splatnými prostředky financování a (na straně druhé) refinancováním a nově získanými prostředky financování se vykáže ve sloupci 280 řádkových položek 1.1</w:t>
            </w:r>
            <w:r w:rsidR="00D05D3A">
              <w:rPr>
                <w:rFonts w:ascii="Times New Roman" w:hAnsi="Times New Roman"/>
                <w:sz w:val="24"/>
              </w:rPr>
              <w:t>.</w:t>
            </w:r>
            <w:r>
              <w:rPr>
                <w:rFonts w:ascii="Times New Roman" w:hAnsi="Times New Roman"/>
                <w:sz w:val="24"/>
              </w:rPr>
              <w:t>–1.31.</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Celkový čistý objem peněžních toků</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Celkový čistý objem peněžních toků je roven součtu všech sloupců obsahujících „čisté“ položky, tj. sloupců 040, 080, 120, 160, 200, 240 a 280, a vykáže se ve sloupci 290.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300 až 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Průměrná doba financování (v dnech)</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Vážený průměr doby financování (v dnech) všech splatných prostředků financování se vykáže ve sloupci 300. Vážený průměr doby financování (v dnech) všech refinancovaných prostředků se vykáže ve sloupci 310, vážený průměr doby financování (v dnech) všech nově získaných prostředků se vykáže ve sloupci 320.</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5A5C1663" w:rsidR="003E009D" w:rsidRDefault="003E009D">
        <w:pPr>
          <w:pStyle w:val="Footer"/>
          <w:jc w:val="center"/>
        </w:pPr>
        <w:r>
          <w:fldChar w:fldCharType="begin"/>
        </w:r>
        <w:r>
          <w:instrText xml:space="preserve"> PAGE   \* MERGEFORMAT </w:instrText>
        </w:r>
        <w:r>
          <w:fldChar w:fldCharType="separate"/>
        </w:r>
        <w:r w:rsidR="00967B49">
          <w:rPr>
            <w:noProof/>
          </w:rPr>
          <w:t>11</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09D886AD" w:rsidR="00EA0D1D" w:rsidRDefault="00EA0D1D">
        <w:pPr>
          <w:pStyle w:val="Footer"/>
          <w:jc w:val="center"/>
        </w:pPr>
        <w:r>
          <w:fldChar w:fldCharType="begin"/>
        </w:r>
        <w:r>
          <w:instrText xml:space="preserve"> PAGE   \* MERGEFORMAT </w:instrText>
        </w:r>
        <w:r>
          <w:fldChar w:fldCharType="separate"/>
        </w:r>
        <w:r w:rsidR="00631D3F">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200135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1F10"/>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1D01"/>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0B78"/>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1D3F"/>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0219"/>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24EA"/>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E75BF"/>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B49"/>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37D76"/>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878E1"/>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5D3A"/>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cs-CZ"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cs-CZ"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cs-CZ"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cs-CZ" w:eastAsia="en-US" w:bidi="ar-SA"/>
    </w:rPr>
  </w:style>
  <w:style w:type="character" w:customStyle="1" w:styleId="FunoteChar">
    <w:name w:val="Fußnote Char"/>
    <w:aliases w:val=" Char Char Char"/>
    <w:semiHidden/>
    <w:rsid w:val="009D253B"/>
    <w:rPr>
      <w:rFonts w:ascii="Arial" w:hAnsi="Arial"/>
      <w:sz w:val="18"/>
      <w:lang w:val="cs-CZ"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cs-CZ"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cs-CZ"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cs-CZ"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cs-CZ"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cs-CZ" w:eastAsia="de-AT"/>
    </w:rPr>
  </w:style>
  <w:style w:type="character" w:customStyle="1" w:styleId="BalloonTextChar">
    <w:name w:val="Balloon Text Char"/>
    <w:link w:val="BalloonText"/>
    <w:semiHidden/>
    <w:rsid w:val="00167536"/>
    <w:rPr>
      <w:rFonts w:ascii="Tahoma" w:hAnsi="Tahoma" w:cs="Tahoma"/>
      <w:sz w:val="16"/>
      <w:szCs w:val="16"/>
      <w:lang w:val="cs-CZ" w:eastAsia="en-US"/>
    </w:rPr>
  </w:style>
  <w:style w:type="character" w:customStyle="1" w:styleId="PlainTextChar">
    <w:name w:val="Plain Text Char"/>
    <w:link w:val="PlainText"/>
    <w:semiHidden/>
    <w:rsid w:val="00167536"/>
    <w:rPr>
      <w:rFonts w:ascii="Consolas" w:hAnsi="Consolas"/>
      <w:sz w:val="21"/>
      <w:szCs w:val="21"/>
      <w:lang w:val="cs-CZ"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cs-CZ" w:eastAsia="en-US"/>
    </w:rPr>
  </w:style>
  <w:style w:type="character" w:customStyle="1" w:styleId="FooterCoverPageChar">
    <w:name w:val="Footer Cover Page Char"/>
    <w:link w:val="FooterCoverPage"/>
    <w:rsid w:val="00167536"/>
    <w:rPr>
      <w:color w:val="4F81BD"/>
      <w:sz w:val="24"/>
      <w:szCs w:val="24"/>
      <w:lang w:val="cs-CZ"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cs-CZ"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763475-5359-438C-BCBE-C3CD96389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4721</Words>
  <Characters>26721</Characters>
  <Application>Microsoft Office Word</Application>
  <DocSecurity>0</DocSecurity>
  <Lines>607</Lines>
  <Paragraphs>338</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31104</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NILLES PIKOVA Sarka (DGT)</cp:lastModifiedBy>
  <cp:revision>15</cp:revision>
  <cp:lastPrinted>2014-06-12T08:34:00Z</cp:lastPrinted>
  <dcterms:created xsi:type="dcterms:W3CDTF">2020-10-01T12:52:00Z</dcterms:created>
  <dcterms:modified xsi:type="dcterms:W3CDTF">2020-12-07T20:36:00Z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