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5424D61" w:rsidR="00C36E0D" w:rsidRPr="00D90878" w:rsidRDefault="007A4641" w:rsidP="00D90878">
      <w:pPr>
        <w:pStyle w:val="Pagedecouverture"/>
      </w:pPr>
      <w:bookmarkStart w:id="0" w:name="_GoBack"/>
      <w:bookmarkEnd w:id="0"/>
      <w:r>
        <w:pict w14:anchorId="79133E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F8F43B5-7483-4B0C-B9E6-28C72376FE00" style="width:450.2pt;height:408.6pt">
            <v:imagedata r:id="rId8" o:title=""/>
          </v:shape>
        </w:pict>
      </w:r>
    </w:p>
    <w:p w14:paraId="703F7C0E" w14:textId="77777777" w:rsidR="0004170D" w:rsidRPr="00D90878" w:rsidRDefault="0004170D">
      <w:pPr>
        <w:sectPr w:rsidR="0004170D" w:rsidRPr="00D90878" w:rsidSect="00D90878">
          <w:footerReference w:type="default" r:id="rId9"/>
          <w:pgSz w:w="11907" w:h="16839"/>
          <w:pgMar w:top="1134" w:right="1417" w:bottom="1134" w:left="1417" w:header="709" w:footer="709" w:gutter="0"/>
          <w:pgNumType w:start="0"/>
          <w:cols w:space="720"/>
          <w:docGrid w:linePitch="360"/>
        </w:sectPr>
      </w:pPr>
    </w:p>
    <w:p w14:paraId="4E87218B" w14:textId="14E61964" w:rsidR="0004170D" w:rsidRPr="00D90878" w:rsidRDefault="00D90878" w:rsidP="00D90878">
      <w:pPr>
        <w:pStyle w:val="Typedudocument"/>
      </w:pPr>
      <w:r w:rsidRPr="00D90878">
        <w:lastRenderedPageBreak/>
        <w:t>VYKONÁVACIE NARIADENIE KOMISIE (EÚ) …/...</w:t>
      </w:r>
    </w:p>
    <w:p w14:paraId="311EA019" w14:textId="5D359294" w:rsidR="0004170D" w:rsidRPr="00D90878" w:rsidRDefault="00D90878" w:rsidP="00D90878">
      <w:pPr>
        <w:pStyle w:val="Datedadoption"/>
      </w:pPr>
      <w:r w:rsidRPr="00D90878">
        <w:t xml:space="preserve">z </w:t>
      </w:r>
      <w:r w:rsidRPr="00D90878">
        <w:rPr>
          <w:rStyle w:val="Marker2"/>
        </w:rPr>
        <w:t>XXX</w:t>
      </w:r>
      <w:r w:rsidRPr="00D90878">
        <w:t>,</w:t>
      </w:r>
    </w:p>
    <w:p w14:paraId="7EF0A74F" w14:textId="26367C2D" w:rsidR="0004170D" w:rsidRPr="00D90878" w:rsidRDefault="00D90878" w:rsidP="00D90878">
      <w:pPr>
        <w:pStyle w:val="Titreobjet"/>
      </w:pPr>
      <w:r w:rsidRPr="00D90878">
        <w:t xml:space="preserve">ktorým sa stanovujú vykonávacie technické predpisy na uplatňovanie nariadenia Európskeho parlamentu a Rady (EÚ) č. 575/2013, pokiaľ ide o vykazovanie inštitúciami na účely dohľadu, a ktorým sa zrušuje vykonávacie nariadenie (EÚ) č. 680/2014 </w:t>
      </w:r>
      <w:r w:rsidRPr="00D90878">
        <w:br/>
      </w:r>
    </w:p>
    <w:p w14:paraId="714F85CC" w14:textId="784BB82E" w:rsidR="0004170D" w:rsidRPr="00D90878" w:rsidRDefault="00D90878" w:rsidP="00D90878">
      <w:pPr>
        <w:pStyle w:val="IntrtEEE"/>
      </w:pPr>
      <w:r w:rsidRPr="00D90878">
        <w:t>(Text s významom pre EHP)</w:t>
      </w:r>
    </w:p>
    <w:p w14:paraId="12CCC5F1" w14:textId="77777777" w:rsidR="0004170D" w:rsidRPr="00D90878" w:rsidRDefault="0004170D" w:rsidP="009675DD">
      <w:pPr>
        <w:pStyle w:val="Institutionquiagit"/>
      </w:pPr>
      <w:r w:rsidRPr="00D90878">
        <w:t>EURÓPSKA KOMISIA,</w:t>
      </w:r>
    </w:p>
    <w:p w14:paraId="54D27881" w14:textId="3610E88B" w:rsidR="0004170D" w:rsidRPr="00D90878" w:rsidRDefault="0004170D" w:rsidP="009675DD">
      <w:r w:rsidRPr="00D90878">
        <w:t>so zreteľom na Zmluvu</w:t>
      </w:r>
      <w:r w:rsidR="00D90878">
        <w:t xml:space="preserve"> o </w:t>
      </w:r>
      <w:r w:rsidRPr="00D90878">
        <w:t>fungovaní Európskej únie,</w:t>
      </w:r>
    </w:p>
    <w:p w14:paraId="2965D16B" w14:textId="1375826D" w:rsidR="0004170D" w:rsidRPr="00D90878" w:rsidRDefault="00AD21AA" w:rsidP="009675DD">
      <w:pPr>
        <w:rPr>
          <w:rFonts w:eastAsia="Times New Roman"/>
          <w:color w:val="000000"/>
        </w:rPr>
      </w:pPr>
      <w:r w:rsidRPr="00D90878">
        <w:t>so zreteľom na nariadenie Európskeho parlamentu</w:t>
      </w:r>
      <w:r w:rsidR="00D90878">
        <w:t xml:space="preserve"> a </w:t>
      </w:r>
      <w:r w:rsidRPr="00D90878">
        <w:t>Rady (EÚ) č. 575/2013</w:t>
      </w:r>
      <w:r w:rsidR="00D90878">
        <w:t xml:space="preserve"> z </w:t>
      </w:r>
      <w:r w:rsidRPr="00D90878">
        <w:t>26</w:t>
      </w:r>
      <w:r w:rsidR="00D90878">
        <w:t>. júna</w:t>
      </w:r>
      <w:r w:rsidRPr="00D90878">
        <w:t xml:space="preserve"> 2013</w:t>
      </w:r>
      <w:r w:rsidR="00D90878">
        <w:t xml:space="preserve"> o </w:t>
      </w:r>
      <w:r w:rsidRPr="00D90878">
        <w:t>prudenciálnych požiadavkách na úverové inštitúcie</w:t>
      </w:r>
      <w:r w:rsidR="00D90878">
        <w:t xml:space="preserve"> a </w:t>
      </w:r>
      <w:r w:rsidRPr="00D90878">
        <w:t>investičné spoločnosti</w:t>
      </w:r>
      <w:r w:rsidR="00D90878">
        <w:t xml:space="preserve"> a o </w:t>
      </w:r>
      <w:r w:rsidRPr="00D90878">
        <w:t>zmene nariadenia (EÚ) č. 648/2012</w:t>
      </w:r>
      <w:r w:rsidRPr="00D90878">
        <w:rPr>
          <w:rStyle w:val="FootnoteReference"/>
        </w:rPr>
        <w:footnoteReference w:id="1"/>
      </w:r>
      <w:r w:rsidRPr="00D90878">
        <w:t>, najmä na jeho článok 415 ods. 3 prvý pododsek, článok 415 ods. 3a prvý pododsek, článok 430 ods. 7 prvý pododsek</w:t>
      </w:r>
      <w:r w:rsidR="00D90878">
        <w:t xml:space="preserve"> a </w:t>
      </w:r>
      <w:r w:rsidRPr="00D90878">
        <w:t>článok 430 ods. 9 druhý pododsek,</w:t>
      </w:r>
    </w:p>
    <w:p w14:paraId="421FC692" w14:textId="77777777" w:rsidR="0004170D" w:rsidRPr="00D90878" w:rsidRDefault="0004170D" w:rsidP="009675DD">
      <w:r w:rsidRPr="00D90878">
        <w:t>keďže:</w:t>
      </w:r>
    </w:p>
    <w:p w14:paraId="0A7D0586" w14:textId="31DC1A66" w:rsidR="00AD21AA" w:rsidRPr="00D90878" w:rsidRDefault="00AD21AA" w:rsidP="0047317A">
      <w:pPr>
        <w:pStyle w:val="Considrant"/>
        <w:numPr>
          <w:ilvl w:val="0"/>
          <w:numId w:val="11"/>
        </w:numPr>
      </w:pPr>
      <w:r w:rsidRPr="00D90878">
        <w:t>Bez toho, aby boli dotknuté právomoci príslušných orgánov podľa článku 104 ods. 1 písm. j) smernice Európskeho parlamentu</w:t>
      </w:r>
      <w:r w:rsidR="00D90878">
        <w:t xml:space="preserve"> a </w:t>
      </w:r>
      <w:r w:rsidRPr="00D90878">
        <w:t>Rady 2013/36/EÚ</w:t>
      </w:r>
      <w:r w:rsidRPr="00D90878">
        <w:rPr>
          <w:rStyle w:val="FootnoteReference"/>
        </w:rPr>
        <w:footnoteReference w:id="2"/>
      </w:r>
      <w:r w:rsidRPr="00D90878">
        <w:t>, sa na základe článku 430 nariadenia (EÚ) č. 575/2013 vo vykoná</w:t>
      </w:r>
      <w:r w:rsidR="00D90878">
        <w:t>vacom nariadení Komisie (EÚ) č. </w:t>
      </w:r>
      <w:r w:rsidRPr="00D90878">
        <w:t>680/2014</w:t>
      </w:r>
      <w:r w:rsidRPr="00D90878">
        <w:rPr>
          <w:rStyle w:val="FootnoteReference"/>
        </w:rPr>
        <w:footnoteReference w:id="3"/>
      </w:r>
      <w:r w:rsidRPr="00D90878">
        <w:t xml:space="preserve"> stanovuje ucelený rámec vykazovania.</w:t>
      </w:r>
      <w:r w:rsidR="00D90878">
        <w:t xml:space="preserve"> Vykonávacie nariadenie (EÚ) č. </w:t>
      </w:r>
      <w:r w:rsidRPr="00D90878">
        <w:t>680/2014 bolo niekoľkokrát zmenené</w:t>
      </w:r>
      <w:r w:rsidR="00D90878">
        <w:t xml:space="preserve"> v </w:t>
      </w:r>
      <w:r w:rsidRPr="00D90878">
        <w:t>nadväzno</w:t>
      </w:r>
      <w:r w:rsidR="00D90878">
        <w:t>sti na zmeny nariadenia (EÚ) č. </w:t>
      </w:r>
      <w:r w:rsidRPr="00D90878">
        <w:t>575/2013 prijaté</w:t>
      </w:r>
      <w:r w:rsidR="00D90878">
        <w:t xml:space="preserve"> s </w:t>
      </w:r>
      <w:r w:rsidRPr="00D90878">
        <w:t>cieľom zaviesť, ďalej rozvíjať alebo upravovať prudenciálne prvky.</w:t>
      </w:r>
    </w:p>
    <w:p w14:paraId="7949AA03" w14:textId="13740C71" w:rsidR="00AD21AA" w:rsidRPr="00D90878" w:rsidRDefault="00AD21AA" w:rsidP="0047317A">
      <w:pPr>
        <w:pStyle w:val="Considrant"/>
        <w:numPr>
          <w:ilvl w:val="0"/>
          <w:numId w:val="11"/>
        </w:numPr>
      </w:pPr>
      <w:r w:rsidRPr="00D90878">
        <w:t>Ustanovenia</w:t>
      </w:r>
      <w:r w:rsidR="00D90878">
        <w:t xml:space="preserve"> v </w:t>
      </w:r>
      <w:r w:rsidRPr="00D90878">
        <w:t>tomto nariadení sú úzko prepojené, keďže súvisia</w:t>
      </w:r>
      <w:r w:rsidR="00D90878">
        <w:t xml:space="preserve"> s </w:t>
      </w:r>
      <w:r w:rsidRPr="00D90878">
        <w:t>požiadavkami na vykazovanie pre inštitúcie. Na účely zabezpečenia súdržnosti medzi uvedenými ustanoveniami, ktoré by mali nadobudnúť účinnosť</w:t>
      </w:r>
      <w:r w:rsidR="00D90878">
        <w:t xml:space="preserve"> v </w:t>
      </w:r>
      <w:r w:rsidRPr="00D90878">
        <w:t>rovnakom čase,</w:t>
      </w:r>
      <w:r w:rsidR="00D90878">
        <w:t xml:space="preserve"> a s </w:t>
      </w:r>
      <w:r w:rsidRPr="00D90878">
        <w:t>cieľom umožniť komplexný prehľad</w:t>
      </w:r>
      <w:r w:rsidR="00D90878">
        <w:t xml:space="preserve"> a </w:t>
      </w:r>
      <w:r w:rsidRPr="00D90878">
        <w:t>kompaktný prístup</w:t>
      </w:r>
      <w:r w:rsidR="00D90878">
        <w:t xml:space="preserve"> k </w:t>
      </w:r>
      <w:r w:rsidRPr="00D90878">
        <w:t>nim pre osoby, ktoré podliehajú uvedeným povinnostiam, je vhodné všetky súvisiace vykonávacie technické predpisy vyžadované nariadením (EÚ) č. 575/2013 začleniť do jedného nariadenia.</w:t>
      </w:r>
    </w:p>
    <w:p w14:paraId="1A0C281B" w14:textId="74F0D667" w:rsidR="00AD21AA" w:rsidRPr="00D90878" w:rsidRDefault="00AD21AA" w:rsidP="00AD21AA">
      <w:pPr>
        <w:pStyle w:val="Considrant"/>
      </w:pPr>
      <w:r w:rsidRPr="00D90878">
        <w:t>Nariadením Európskeho parlamentu</w:t>
      </w:r>
      <w:r w:rsidR="00D90878">
        <w:t xml:space="preserve"> a </w:t>
      </w:r>
      <w:r w:rsidRPr="00D90878">
        <w:t>Rady (EÚ) 2019/876</w:t>
      </w:r>
      <w:r w:rsidRPr="00D90878">
        <w:rPr>
          <w:rStyle w:val="FootnoteReference"/>
        </w:rPr>
        <w:footnoteReference w:id="4"/>
      </w:r>
      <w:r w:rsidRPr="00D90878">
        <w:t xml:space="preserve"> sa</w:t>
      </w:r>
      <w:r w:rsidR="00D90878">
        <w:t xml:space="preserve"> s </w:t>
      </w:r>
      <w:r w:rsidRPr="00D90878">
        <w:t xml:space="preserve">prihliadnutím na medzinárodné normy Bazilejského výboru pre bankový dohľad nariadenie (EÚ) </w:t>
      </w:r>
      <w:r w:rsidRPr="00D90878">
        <w:lastRenderedPageBreak/>
        <w:t>č.</w:t>
      </w:r>
      <w:r w:rsidR="00D90878">
        <w:t> </w:t>
      </w:r>
      <w:r w:rsidRPr="00D90878">
        <w:t>575/2013 zmenilo vo viacerých aspektoch, ako napríklad ukazovateľ finančnej páky, požiadavka na čisté stabilné financovanie, požiadavky na vlastné zdroje</w:t>
      </w:r>
      <w:r w:rsidR="00D90878">
        <w:t xml:space="preserve"> a </w:t>
      </w:r>
      <w:r w:rsidRPr="00D90878">
        <w:t>oprávnené záväzky, kreditné riziko protistrany, trhové riziko, expozície voči centrálnym protistranám, expozície voči podnikom kolektívneho investovania, veľká majetková angažovanosť</w:t>
      </w:r>
      <w:r w:rsidR="00D90878">
        <w:t xml:space="preserve"> a </w:t>
      </w:r>
      <w:r w:rsidRPr="00D90878">
        <w:t>požiadavky na vykazovanie</w:t>
      </w:r>
      <w:r w:rsidR="00D90878">
        <w:t xml:space="preserve"> a </w:t>
      </w:r>
      <w:r w:rsidRPr="00D90878">
        <w:t>zverejňovanie informácií. Rámec vykazovania stanovený vo vykonávacom nariadení (EÚ) č. 680/2014 by sa preto mal zrevidovať</w:t>
      </w:r>
      <w:r w:rsidR="00D90878">
        <w:t xml:space="preserve"> a </w:t>
      </w:r>
      <w:r w:rsidRPr="00D90878">
        <w:t>súbor vzorov na zber informácií na vykazovanie na účely dohľadu by sa mal aktualizovať.</w:t>
      </w:r>
    </w:p>
    <w:p w14:paraId="5F6B66C1" w14:textId="546DD8E7" w:rsidR="00AD21AA" w:rsidRPr="00D90878" w:rsidRDefault="00AD21AA" w:rsidP="00AD21AA">
      <w:pPr>
        <w:pStyle w:val="Considrant"/>
      </w:pPr>
      <w:r w:rsidRPr="00D90878">
        <w:t>Nariadením (EÚ) 2019/876 sa do nariadenia (EÚ) č. 575/2013 zaviedla požiadavka na ukazovateľ finančnej páky kapitálu Tier 1 kalibrovaného na 3</w:t>
      </w:r>
      <w:r w:rsidR="00D90878">
        <w:t> %</w:t>
      </w:r>
      <w:r w:rsidRPr="00D90878">
        <w:t>, rozsah úprav výpočtu expozície ukazovateľa finančnej páky</w:t>
      </w:r>
      <w:r w:rsidR="00D90878">
        <w:t xml:space="preserve"> a </w:t>
      </w:r>
      <w:r w:rsidRPr="00D90878">
        <w:t>požiadavka na vankúš ukazovateľa finančnej páky pre inštitúcie identifikované ako globálne systémovo významné inštitúcie (ďalej aj „G-SII“)</w:t>
      </w:r>
      <w:r w:rsidR="00D90878">
        <w:t xml:space="preserve"> v </w:t>
      </w:r>
      <w:r w:rsidRPr="00D90878">
        <w:t>súlade so smernicou 2013/36/EÚ. Vykazovanie ukazovateľa finančnej páky by sa preto malo aktualizovať tak, aby odrážalo uvedené požiadavky</w:t>
      </w:r>
      <w:r w:rsidR="00D90878">
        <w:t xml:space="preserve"> a </w:t>
      </w:r>
      <w:r w:rsidRPr="00D90878">
        <w:t>úpravy vo výpočte expozície.</w:t>
      </w:r>
    </w:p>
    <w:p w14:paraId="3651D6E0" w14:textId="4F8392E0" w:rsidR="00AD21AA" w:rsidRPr="00D90878" w:rsidRDefault="00AD21AA" w:rsidP="00AD21AA">
      <w:pPr>
        <w:pStyle w:val="Considrant"/>
      </w:pPr>
      <w:r w:rsidRPr="00D90878">
        <w:t>Nariadením (EÚ) 2019/876 sa do nariadenia (EÚ) č. 575/2013 zaviedli požiadavky na vykazovanie ukazovateľa čistého stabilného financovania (NSFR) vrátane zjednodušených požiadaviek. Preto treba stanoviť nový súbor vzorov</w:t>
      </w:r>
      <w:r w:rsidR="00D90878">
        <w:t xml:space="preserve"> a </w:t>
      </w:r>
      <w:r w:rsidRPr="00D90878">
        <w:t>pokynov na vykazovanie.</w:t>
      </w:r>
    </w:p>
    <w:p w14:paraId="7CAD2444" w14:textId="3CA7B350" w:rsidR="00AD21AA" w:rsidRPr="00D90878" w:rsidRDefault="00AD21AA" w:rsidP="00AD21AA">
      <w:pPr>
        <w:pStyle w:val="Considrant"/>
      </w:pPr>
      <w:r w:rsidRPr="00D90878">
        <w:t>Nariadením (EÚ) 2019/876 sa do nariadenia (EÚ) č. 575/2013 zaviedol nový faktor na podporu, ktorý sa má uplatňovať na expozície projektov infraštruktúry,</w:t>
      </w:r>
      <w:r w:rsidR="00D90878">
        <w:t xml:space="preserve"> a </w:t>
      </w:r>
      <w:r w:rsidRPr="00D90878">
        <w:t>aktualizované prístupy</w:t>
      </w:r>
      <w:r w:rsidR="00D90878">
        <w:t xml:space="preserve"> k </w:t>
      </w:r>
      <w:r w:rsidRPr="00D90878">
        <w:t>výpočtu hodnôt rizikovo vážených expozícií pre podniky kolektívneho investovania. Preto treba stanoviť,</w:t>
      </w:r>
      <w:r w:rsidR="00D90878">
        <w:t xml:space="preserve"> a </w:t>
      </w:r>
      <w:r w:rsidRPr="00D90878">
        <w:t>to aj</w:t>
      </w:r>
      <w:r w:rsidR="00D90878">
        <w:t xml:space="preserve"> v </w:t>
      </w:r>
      <w:r w:rsidRPr="00D90878">
        <w:t>súlade</w:t>
      </w:r>
      <w:r w:rsidR="00D90878">
        <w:t xml:space="preserve"> s </w:t>
      </w:r>
      <w:r w:rsidRPr="00D90878">
        <w:t>rámcom pre zverejňovanie informácií, nové vzory</w:t>
      </w:r>
      <w:r w:rsidR="00D90878">
        <w:t xml:space="preserve"> a </w:t>
      </w:r>
      <w:r w:rsidRPr="00D90878">
        <w:t>pokyny na vykazovanie kreditného rizika</w:t>
      </w:r>
      <w:r w:rsidR="00D90878">
        <w:t xml:space="preserve"> a </w:t>
      </w:r>
      <w:r w:rsidRPr="00D90878">
        <w:t>aktualizovať súčasné pokyny.</w:t>
      </w:r>
    </w:p>
    <w:p w14:paraId="19553D31" w14:textId="2CE7F9DB" w:rsidR="00AD21AA" w:rsidRPr="00D90878" w:rsidRDefault="00AD21AA" w:rsidP="00AD21AA">
      <w:pPr>
        <w:pStyle w:val="Considrant"/>
      </w:pPr>
      <w:r w:rsidRPr="00D90878">
        <w:t>Nariadením (EÚ) 2019/876 sa</w:t>
      </w:r>
      <w:r w:rsidR="00D90878">
        <w:t xml:space="preserve"> v </w:t>
      </w:r>
      <w:r w:rsidRPr="00D90878">
        <w:t>nariadení (EÚ) č. 575/2013 štandardizovaný prístup nahradil štandardizovaným prístupom ku kreditnému riziku protistrany, ktorý je citlivejší na riziká (SA-CCR),</w:t>
      </w:r>
      <w:r w:rsidR="00D90878">
        <w:t xml:space="preserve"> a </w:t>
      </w:r>
      <w:r w:rsidRPr="00D90878">
        <w:t>zjednodušenou verziou (zjednodušený SA-CCR) pre inštitúcie, ktoré spĺňajú vopred vymedzené kritériá oprávnenosti. Pôvodná metóda expozície, aj keď revidovaná, zostáva</w:t>
      </w:r>
      <w:r w:rsidR="00D90878">
        <w:t xml:space="preserve"> k </w:t>
      </w:r>
      <w:r w:rsidRPr="00D90878">
        <w:t>dispozícii pre inštitúcie, ktoré spĺňajú vopred vymedzené kritériá. Preto je potrebné doplniť nové vzory</w:t>
      </w:r>
      <w:r w:rsidR="00D90878">
        <w:t xml:space="preserve"> a </w:t>
      </w:r>
      <w:r w:rsidRPr="00D90878">
        <w:t>pokyny na vykazovanie kreditného rizika protistrany</w:t>
      </w:r>
      <w:r w:rsidR="00D90878">
        <w:t xml:space="preserve"> a </w:t>
      </w:r>
      <w:r w:rsidRPr="00D90878">
        <w:t>aktualizovať súčasné pokyny.</w:t>
      </w:r>
    </w:p>
    <w:p w14:paraId="76193745" w14:textId="09DF6AD7" w:rsidR="00AD21AA" w:rsidRPr="00D90878" w:rsidRDefault="00AD21AA" w:rsidP="00AD21AA">
      <w:pPr>
        <w:pStyle w:val="Considrant"/>
      </w:pPr>
      <w:r w:rsidRPr="00D90878">
        <w:t>Nariadením (EÚ) 2019/876 sa</w:t>
      </w:r>
      <w:r w:rsidR="00D90878">
        <w:t xml:space="preserve"> v </w:t>
      </w:r>
      <w:r w:rsidRPr="00D90878">
        <w:t>nariadení (EÚ) č. 575/2013 odkazy na „prípustný kapitál“ pri výpočte veľkej majetkovej angažovanosti nahradili odkazmi na „kapitál Tier 1“</w:t>
      </w:r>
      <w:r w:rsidR="00D90878">
        <w:t xml:space="preserve"> a </w:t>
      </w:r>
      <w:r w:rsidRPr="00D90878">
        <w:t>zaviedla sa ďalšia prahová hodnota na vykazovanie veľkej majetkovej angažovanosti na konsolidovanom základe. Vykazovanie veľkej majetkovej angažovanosti by sa preto malo aktualizovať.</w:t>
      </w:r>
    </w:p>
    <w:p w14:paraId="406A544B" w14:textId="1EDE91F4" w:rsidR="00AD21AA" w:rsidRPr="00D90878" w:rsidRDefault="00AD21AA" w:rsidP="00AD21AA">
      <w:pPr>
        <w:pStyle w:val="Considrant"/>
      </w:pPr>
      <w:r w:rsidRPr="00D90878">
        <w:t>Nariadením Európskeho parlamentu</w:t>
      </w:r>
      <w:r w:rsidR="00D90878">
        <w:t xml:space="preserve"> a </w:t>
      </w:r>
      <w:r w:rsidRPr="00D90878">
        <w:t>Rady (EÚ) 2019/630</w:t>
      </w:r>
      <w:r w:rsidRPr="00D90878">
        <w:rPr>
          <w:rStyle w:val="FootnoteReference"/>
        </w:rPr>
        <w:footnoteReference w:id="5"/>
      </w:r>
      <w:r w:rsidR="00D90878">
        <w:t xml:space="preserve"> sa do nariadenia (EÚ) č. </w:t>
      </w:r>
      <w:r w:rsidRPr="00D90878">
        <w:t>575/2013 zaviedol prudenciálny zabezpečovací mechanizmus pre problémové expozície (NPE), ktorým sa ukladá odpočet od vlastných zdrojov inštitúcií, ak problémové expozície nie sú dostatočne kryté rezervami alebo inými úpravami,</w:t>
      </w:r>
      <w:r w:rsidR="00D90878">
        <w:t xml:space="preserve"> a </w:t>
      </w:r>
      <w:r w:rsidRPr="00D90878">
        <w:t>to na základe vopred stanoveného harmonogramu</w:t>
      </w:r>
      <w:r w:rsidR="00D90878">
        <w:t xml:space="preserve"> s </w:t>
      </w:r>
      <w:r w:rsidRPr="00D90878">
        <w:t>cieľom vytvoriť plné krytie</w:t>
      </w:r>
      <w:r w:rsidR="00D90878">
        <w:t xml:space="preserve"> v </w:t>
      </w:r>
      <w:r w:rsidRPr="00D90878">
        <w:t xml:space="preserve">čase. Uvedený prudenciálny zabezpečovací mechanizmus je založený na vymedzení pojmov </w:t>
      </w:r>
      <w:r w:rsidRPr="00D90878">
        <w:lastRenderedPageBreak/>
        <w:t>„problémová expozícia“</w:t>
      </w:r>
      <w:r w:rsidR="00D90878">
        <w:t xml:space="preserve"> a </w:t>
      </w:r>
      <w:r w:rsidRPr="00D90878">
        <w:t>„opatrenia týkajúce sa úľavy“ stanovených vo vykonávacom nariadení (EÚ) č. 680/2014. Preto je potrebné zmeniť vzory</w:t>
      </w:r>
      <w:r w:rsidR="00D90878">
        <w:t xml:space="preserve"> a </w:t>
      </w:r>
      <w:r w:rsidRPr="00D90878">
        <w:t>pokyny, aby sa zabezpečilo jednotné vymedzenie pojmu „problémová expozícia“</w:t>
      </w:r>
      <w:r w:rsidR="00D90878">
        <w:t xml:space="preserve"> a </w:t>
      </w:r>
      <w:r w:rsidRPr="00D90878">
        <w:t>„opatrenia týkajúce sa úľavy“ na účely vykazovania, ako aj na účely prudenciálneho zabezpečovacieho mechanizmu. Nové vzory sú potrebné aj na zber informácií na výpočet zabezpečovacieho mechanizmu.</w:t>
      </w:r>
    </w:p>
    <w:p w14:paraId="4A308F65" w14:textId="768D34C1" w:rsidR="00AD21AA" w:rsidRPr="00D90878" w:rsidRDefault="00AD21AA" w:rsidP="00AD21AA">
      <w:pPr>
        <w:pStyle w:val="Considrant"/>
      </w:pPr>
      <w:r w:rsidRPr="00D90878">
        <w:t>Nariadením Európskeho parlamentu</w:t>
      </w:r>
      <w:r w:rsidR="00D90878">
        <w:t xml:space="preserve"> a </w:t>
      </w:r>
      <w:r w:rsidRPr="00D90878">
        <w:t>Rady (EÚ) 2019/2033</w:t>
      </w:r>
      <w:r w:rsidRPr="00D90878">
        <w:rPr>
          <w:rStyle w:val="FootnoteReference"/>
        </w:rPr>
        <w:footnoteReference w:id="6"/>
      </w:r>
      <w:r w:rsidRPr="00D90878">
        <w:t xml:space="preserve"> sa</w:t>
      </w:r>
      <w:r w:rsidR="00D90878">
        <w:t xml:space="preserve"> s </w:t>
      </w:r>
      <w:r w:rsidRPr="00D90878">
        <w:t>účinnosťou od 26</w:t>
      </w:r>
      <w:r w:rsidR="00D90878">
        <w:t>. júna</w:t>
      </w:r>
      <w:r w:rsidRPr="00D90878">
        <w:t xml:space="preserve"> 2026</w:t>
      </w:r>
      <w:r w:rsidR="00D90878">
        <w:t xml:space="preserve"> v </w:t>
      </w:r>
      <w:r w:rsidRPr="00D90878">
        <w:t>tretej časti hlave I kapitole 1 zrušuje oddiel 2 (články 95 až 98) nariadenia (EÚ) č. 575/2013.</w:t>
      </w:r>
      <w:r w:rsidR="00D90878">
        <w:t xml:space="preserve"> Z </w:t>
      </w:r>
      <w:r w:rsidRPr="00D90878">
        <w:t>tohto dôvodu by sa od 26</w:t>
      </w:r>
      <w:r w:rsidR="00D90878">
        <w:t>. júna</w:t>
      </w:r>
      <w:r w:rsidRPr="00D90878">
        <w:t xml:space="preserve"> 2026 mali prestať uplatňovať ustanovenia</w:t>
      </w:r>
      <w:r w:rsidR="00D90878">
        <w:t xml:space="preserve"> o </w:t>
      </w:r>
      <w:r w:rsidRPr="00D90878">
        <w:t>vykazovaní pre skupiny, ktoré pozostávajú len</w:t>
      </w:r>
      <w:r w:rsidR="00D90878">
        <w:t xml:space="preserve"> z </w:t>
      </w:r>
      <w:r w:rsidRPr="00D90878">
        <w:t>investičných spoločností, na ktoré sa vzťahujú články 95</w:t>
      </w:r>
      <w:r w:rsidR="00D90878">
        <w:t xml:space="preserve"> a 96 nariadenia (EÚ) č. </w:t>
      </w:r>
      <w:r w:rsidRPr="00D90878">
        <w:t>575/2013 na individuálnom základe alebo na konsolidovanom základe.</w:t>
      </w:r>
    </w:p>
    <w:p w14:paraId="43FA00D7" w14:textId="039A7D4C" w:rsidR="00AD21AA" w:rsidRPr="00D90878" w:rsidRDefault="00AD21AA" w:rsidP="00AD21AA">
      <w:pPr>
        <w:pStyle w:val="Considrant"/>
      </w:pPr>
      <w:r w:rsidRPr="00D90878">
        <w:t>Vzhľadom na rozsah pôsobnosti uvedených zmien</w:t>
      </w:r>
      <w:r w:rsidR="00D90878">
        <w:t xml:space="preserve"> a v </w:t>
      </w:r>
      <w:r w:rsidRPr="00D90878">
        <w:t>záujme jasnosti je vhodné vykonávacie nariadenie (EÚ) č. 680/2014 zrušiť</w:t>
      </w:r>
      <w:r w:rsidR="00D90878">
        <w:t xml:space="preserve"> a </w:t>
      </w:r>
      <w:r w:rsidRPr="00D90878">
        <w:t>nahradiť ho týmto nariadením.</w:t>
      </w:r>
    </w:p>
    <w:p w14:paraId="2BA84DD7" w14:textId="6652B289" w:rsidR="00D90878" w:rsidRDefault="00AD21AA" w:rsidP="00AD21AA">
      <w:pPr>
        <w:pStyle w:val="Considrant"/>
      </w:pPr>
      <w:r w:rsidRPr="00D90878">
        <w:t>Nariadenie Európskeho parlamentu</w:t>
      </w:r>
      <w:r w:rsidR="00D90878">
        <w:t xml:space="preserve"> a </w:t>
      </w:r>
      <w:r w:rsidRPr="00D90878">
        <w:t>Rady (EÚ) 2020/873</w:t>
      </w:r>
      <w:r w:rsidRPr="00D90878">
        <w:rPr>
          <w:rStyle w:val="FootnoteReference"/>
        </w:rPr>
        <w:footnoteReference w:id="7"/>
      </w:r>
      <w:r w:rsidRPr="00D90878">
        <w:t xml:space="preserve"> je súčasťou súboru opatrení na zmiernenie vplyvu pandémie COVID-19 na inštitúcie</w:t>
      </w:r>
      <w:r w:rsidR="00D90878">
        <w:t xml:space="preserve"> v </w:t>
      </w:r>
      <w:r w:rsidRPr="00D90878">
        <w:t>celej Únii. Uvedeným nariadením sa zaviedli určité zmeny nariadení (EÚ) č. 575/2013</w:t>
      </w:r>
      <w:r w:rsidR="00D90878">
        <w:t xml:space="preserve"> a </w:t>
      </w:r>
      <w:r w:rsidRPr="00D90878">
        <w:t>(EÚ) 2019/876, ktoré majú vplyv na vykazovanie na účely dohľadu. Uvedené zmeny by sa preto mali odzrkadliť</w:t>
      </w:r>
      <w:r w:rsidR="00D90878">
        <w:t xml:space="preserve"> v </w:t>
      </w:r>
      <w:r w:rsidRPr="00D90878">
        <w:t>rámci vykazovania</w:t>
      </w:r>
      <w:r w:rsidR="00D90878">
        <w:t>.</w:t>
      </w:r>
    </w:p>
    <w:p w14:paraId="1AEA9367" w14:textId="53DEF6A1" w:rsidR="00AD21AA" w:rsidRPr="00D90878" w:rsidRDefault="00AD21AA" w:rsidP="00AD21AA">
      <w:pPr>
        <w:pStyle w:val="Considrant"/>
      </w:pPr>
      <w:r w:rsidRPr="00D90878">
        <w:t>Inštitúcie by mali spustiť vykazovanie na účely dohľadu do konca druhého štvrťroka 2021. Vykazovanie vankúša ukazovateľa finančnej páky by sa však malo začať od januára 2023, keďže uplatňovanie požiadaviek na vankúš pre finančnú páku bolo nariadením (EÚ) 2020/873 odložené na január 2023.</w:t>
      </w:r>
    </w:p>
    <w:p w14:paraId="34258819" w14:textId="1986F5CC" w:rsidR="00AD21AA" w:rsidRPr="00D90878" w:rsidRDefault="00AD21AA" w:rsidP="00AD21AA">
      <w:pPr>
        <w:pStyle w:val="Considrant"/>
      </w:pPr>
      <w:r w:rsidRPr="00D90878">
        <w:t>Toto nariadenie vychádza</w:t>
      </w:r>
      <w:r w:rsidR="00D90878">
        <w:t xml:space="preserve"> z </w:t>
      </w:r>
      <w:r w:rsidRPr="00D90878">
        <w:t>návrhu vykonávacích technických predpisov, ktoré Komisii predložil Európsky orgán pre bankovníctvo (EBA).</w:t>
      </w:r>
    </w:p>
    <w:p w14:paraId="1EE2EAF8" w14:textId="234413C1" w:rsidR="00AD21AA" w:rsidRPr="00D90878" w:rsidRDefault="00AD21AA" w:rsidP="00AD21AA">
      <w:pPr>
        <w:pStyle w:val="Considrant"/>
      </w:pPr>
      <w:r w:rsidRPr="00D90878">
        <w:t>EBA uskutočnil otvorené verejné konzultácie</w:t>
      </w:r>
      <w:r w:rsidR="00D90878">
        <w:t xml:space="preserve"> k </w:t>
      </w:r>
      <w:r w:rsidRPr="00D90878">
        <w:t>návrhu vykonávacích technických predpisov,</w:t>
      </w:r>
      <w:r w:rsidR="00D90878">
        <w:t xml:space="preserve"> z </w:t>
      </w:r>
      <w:r w:rsidRPr="00D90878">
        <w:t>ktorých toto nariadenie vychádza, analyzoval možné súvisiace náklady</w:t>
      </w:r>
      <w:r w:rsidR="00D90878">
        <w:t xml:space="preserve"> a </w:t>
      </w:r>
      <w:r w:rsidRPr="00D90878">
        <w:t>prínosy</w:t>
      </w:r>
      <w:r w:rsidR="00D90878">
        <w:t xml:space="preserve"> a </w:t>
      </w:r>
      <w:r w:rsidRPr="00D90878">
        <w:t>požiadal</w:t>
      </w:r>
      <w:r w:rsidR="00D90878">
        <w:t xml:space="preserve"> o </w:t>
      </w:r>
      <w:r w:rsidRPr="00D90878">
        <w:t>poradenstvo Skupinu zainteresovaných strán</w:t>
      </w:r>
      <w:r w:rsidR="00D90878">
        <w:t xml:space="preserve"> v </w:t>
      </w:r>
      <w:r w:rsidRPr="00D90878">
        <w:t>bankovníctve vytvorenú</w:t>
      </w:r>
      <w:r w:rsidR="00D90878">
        <w:t xml:space="preserve"> v </w:t>
      </w:r>
      <w:r w:rsidRPr="00D90878">
        <w:t>súlade</w:t>
      </w:r>
      <w:r w:rsidR="00D90878">
        <w:t xml:space="preserve"> s </w:t>
      </w:r>
      <w:r w:rsidRPr="00D90878">
        <w:t>článkom 37 nariadenia Európskeho parlamentu</w:t>
      </w:r>
      <w:r w:rsidR="00D90878">
        <w:t xml:space="preserve"> a </w:t>
      </w:r>
      <w:r w:rsidRPr="00D90878">
        <w:t>Rady (EÚ) č. 1093/2010</w:t>
      </w:r>
      <w:r w:rsidRPr="00D90878">
        <w:rPr>
          <w:rStyle w:val="FootnoteReference"/>
        </w:rPr>
        <w:footnoteReference w:id="8"/>
      </w:r>
      <w:r w:rsidRPr="00D90878">
        <w:t>,</w:t>
      </w:r>
      <w:r w:rsidR="00D90878">
        <w:t xml:space="preserve"> s </w:t>
      </w:r>
      <w:r w:rsidRPr="00D90878">
        <w:t>výnimkou ustanovení,</w:t>
      </w:r>
      <w:r w:rsidR="00D90878">
        <w:t xml:space="preserve"> v </w:t>
      </w:r>
      <w:r w:rsidRPr="00D90878">
        <w:t>ktorých sa odzrkadľujú zmeny nariadenia (EÚ) č. 575/2013 vykonané nariadením (EÚ) 2020/873. EBA rozhodol, že by bolo veľmi neprimerané uskutočňovať verejné konzultácie alebo analýzu nákladov</w:t>
      </w:r>
      <w:r w:rsidR="00D90878">
        <w:t xml:space="preserve"> a </w:t>
      </w:r>
      <w:r w:rsidRPr="00D90878">
        <w:t>prínosov uvedených ustanovení, keďže sa týkajú len veľmi malého počtu riadkov vo vzoroch na vykazovanie platobnej schopnosti</w:t>
      </w:r>
      <w:r w:rsidR="00D90878">
        <w:t xml:space="preserve"> a </w:t>
      </w:r>
      <w:r w:rsidRPr="00D90878">
        <w:t>finančnej páky</w:t>
      </w:r>
      <w:r w:rsidR="00D90878">
        <w:t xml:space="preserve"> a </w:t>
      </w:r>
      <w:r w:rsidRPr="00D90878">
        <w:t>je pravdepodobné, že významne neovplyvnia náklady na vykazovanie. Okrem toho by takáto verejná konzultácia alebo analýza nákladov</w:t>
      </w:r>
      <w:r w:rsidR="00D90878">
        <w:t xml:space="preserve"> a </w:t>
      </w:r>
      <w:r w:rsidRPr="00D90878">
        <w:t>prínosov bránila orgánom dohľadu vo včasnom zbere relevantných údajov koherentným</w:t>
      </w:r>
      <w:r w:rsidR="00D90878">
        <w:t xml:space="preserve"> a </w:t>
      </w:r>
      <w:r w:rsidRPr="00D90878">
        <w:t>správnym spôsobom.</w:t>
      </w:r>
    </w:p>
    <w:p w14:paraId="6604E224" w14:textId="77777777" w:rsidR="00D90878" w:rsidRDefault="00AD21AA" w:rsidP="00AD21AA">
      <w:pPr>
        <w:pStyle w:val="Considrant"/>
      </w:pPr>
      <w:r w:rsidRPr="00D90878">
        <w:lastRenderedPageBreak/>
        <w:t>S cieľom poskytnúť inštitúciám dostatok času na prípravu vykazovania</w:t>
      </w:r>
      <w:r w:rsidR="00D90878">
        <w:t xml:space="preserve"> v </w:t>
      </w:r>
      <w:r w:rsidRPr="00D90878">
        <w:t>súlade</w:t>
      </w:r>
      <w:r w:rsidR="00D90878">
        <w:t xml:space="preserve"> s </w:t>
      </w:r>
      <w:r w:rsidRPr="00D90878">
        <w:t>týmto nariadením by toto nariadenie malo nadobudnúť účinnosť dňom nasledujúcim po dni jeho uverejnenia</w:t>
      </w:r>
      <w:r w:rsidR="00D90878">
        <w:t xml:space="preserve"> v </w:t>
      </w:r>
      <w:r w:rsidRPr="00D90878">
        <w:rPr>
          <w:i/>
          <w:iCs/>
        </w:rPr>
        <w:t>Úradnom vestníku Európskej únie</w:t>
      </w:r>
      <w:r w:rsidRPr="00D90878">
        <w:t>,</w:t>
      </w:r>
    </w:p>
    <w:p w14:paraId="7E0D596A" w14:textId="0E517512" w:rsidR="0004170D" w:rsidRPr="00D90878" w:rsidRDefault="0004170D" w:rsidP="009675DD">
      <w:pPr>
        <w:pStyle w:val="Formuledadoption"/>
      </w:pPr>
      <w:r w:rsidRPr="00D90878">
        <w:t>PRIJALA TOTO NARIADENIE:</w:t>
      </w:r>
    </w:p>
    <w:p w14:paraId="576F9D8E" w14:textId="77777777" w:rsidR="0004170D" w:rsidRPr="00D90878" w:rsidRDefault="0004170D" w:rsidP="009675DD">
      <w:pPr>
        <w:pStyle w:val="Titrearticle"/>
      </w:pPr>
      <w:r w:rsidRPr="00D90878">
        <w:t>Článok 1</w:t>
      </w:r>
    </w:p>
    <w:p w14:paraId="288B3999" w14:textId="4A4FB2BF" w:rsidR="006B61AF" w:rsidRPr="00D90878" w:rsidRDefault="006B61AF" w:rsidP="006B61AF">
      <w:pPr>
        <w:pStyle w:val="Titrearticle"/>
        <w:spacing w:before="120"/>
        <w:rPr>
          <w:b/>
          <w:i w:val="0"/>
        </w:rPr>
      </w:pPr>
      <w:r w:rsidRPr="00D90878">
        <w:rPr>
          <w:b/>
          <w:i w:val="0"/>
        </w:rPr>
        <w:t>Predmet úpravy</w:t>
      </w:r>
      <w:r w:rsidR="00D90878">
        <w:rPr>
          <w:b/>
          <w:i w:val="0"/>
        </w:rPr>
        <w:t xml:space="preserve"> a </w:t>
      </w:r>
      <w:r w:rsidRPr="00D90878">
        <w:rPr>
          <w:b/>
          <w:i w:val="0"/>
        </w:rPr>
        <w:t>rozsah pôsobnosti</w:t>
      </w:r>
    </w:p>
    <w:p w14:paraId="22620223" w14:textId="792E74AD" w:rsidR="00D90878" w:rsidRDefault="006B61AF" w:rsidP="00BC75BD">
      <w:r w:rsidRPr="00D90878">
        <w:t>Týmto nariadením sa stanovujú jednotné formáty</w:t>
      </w:r>
      <w:r w:rsidR="00D90878">
        <w:t xml:space="preserve"> a </w:t>
      </w:r>
      <w:r w:rsidRPr="00D90878">
        <w:t>vzory vykazovania, pokyny</w:t>
      </w:r>
      <w:r w:rsidR="00D90878">
        <w:t xml:space="preserve"> a </w:t>
      </w:r>
      <w:r w:rsidRPr="00D90878">
        <w:t>metodika, ako používať tieto vzory, frekvencia</w:t>
      </w:r>
      <w:r w:rsidR="00D90878">
        <w:t xml:space="preserve"> a </w:t>
      </w:r>
      <w:r w:rsidRPr="00D90878">
        <w:t>dátumy vykazovania, vymedzenie pojmov</w:t>
      </w:r>
      <w:r w:rsidR="00D90878">
        <w:t xml:space="preserve"> a </w:t>
      </w:r>
      <w:r w:rsidRPr="00D90878">
        <w:t>riešenia IT, pokiaľ ide</w:t>
      </w:r>
      <w:r w:rsidR="00D90878">
        <w:t xml:space="preserve"> o </w:t>
      </w:r>
      <w:r w:rsidRPr="00D90878">
        <w:t>vykazovanie inštitúciami pre ich príslušné orgány</w:t>
      </w:r>
      <w:r w:rsidR="00D90878">
        <w:t xml:space="preserve"> v </w:t>
      </w:r>
      <w:r w:rsidRPr="00D90878">
        <w:t>súlade</w:t>
      </w:r>
      <w:r w:rsidR="00D90878">
        <w:t xml:space="preserve"> s </w:t>
      </w:r>
      <w:r w:rsidRPr="00D90878">
        <w:t>článkom 415 ods. 3</w:t>
      </w:r>
      <w:r w:rsidR="00D90878">
        <w:t xml:space="preserve"> a </w:t>
      </w:r>
      <w:r w:rsidRPr="00D90878">
        <w:t>3a nariadenia (EÚ) č. 575/2013</w:t>
      </w:r>
      <w:r w:rsidR="00D90878">
        <w:t xml:space="preserve"> a </w:t>
      </w:r>
      <w:r w:rsidRPr="00D90878">
        <w:t>článkom 430 ods. 1 až 4</w:t>
      </w:r>
      <w:r w:rsidR="00D90878">
        <w:t xml:space="preserve"> a </w:t>
      </w:r>
      <w:r w:rsidRPr="00D90878">
        <w:t>ods. 7</w:t>
      </w:r>
      <w:r w:rsidR="00D90878">
        <w:t xml:space="preserve"> a </w:t>
      </w:r>
      <w:r w:rsidRPr="00D90878">
        <w:t>9 uvedeného nariadenia</w:t>
      </w:r>
      <w:r w:rsidR="00D90878">
        <w:t>.</w:t>
      </w:r>
    </w:p>
    <w:p w14:paraId="46D6B4CF" w14:textId="72BEF24A" w:rsidR="00FF364B" w:rsidRPr="00D90878" w:rsidRDefault="00FF364B" w:rsidP="00FF364B">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2</w:t>
      </w:r>
      <w:r w:rsidR="00C52BCC" w:rsidRPr="00D90878">
        <w:fldChar w:fldCharType="end"/>
      </w:r>
    </w:p>
    <w:p w14:paraId="35E34B0E" w14:textId="1A25917F" w:rsidR="00FF364B" w:rsidRPr="00D90878" w:rsidRDefault="006B61AF" w:rsidP="00FF364B">
      <w:pPr>
        <w:pStyle w:val="Titrearticle"/>
        <w:spacing w:before="120"/>
        <w:rPr>
          <w:b/>
          <w:i w:val="0"/>
        </w:rPr>
      </w:pPr>
      <w:r w:rsidRPr="00D90878">
        <w:rPr>
          <w:b/>
          <w:i w:val="0"/>
        </w:rPr>
        <w:t>Referenčné dátumy vykazovania</w:t>
      </w:r>
    </w:p>
    <w:p w14:paraId="10AD0363" w14:textId="02B31D43" w:rsidR="006B61AF" w:rsidRPr="00D90878" w:rsidRDefault="006B61AF" w:rsidP="006B61AF">
      <w:pPr>
        <w:pStyle w:val="NumPar1"/>
        <w:numPr>
          <w:ilvl w:val="0"/>
          <w:numId w:val="10"/>
        </w:numPr>
      </w:pPr>
      <w:r w:rsidRPr="00D90878">
        <w:t>Inštitúcie predkladajú príslušným orgánom informácie platné</w:t>
      </w:r>
      <w:r w:rsidR="00D90878">
        <w:t xml:space="preserve"> k </w:t>
      </w:r>
      <w:r w:rsidRPr="00D90878">
        <w:t>týmto referenčným dátumom vykazovania:</w:t>
      </w:r>
    </w:p>
    <w:p w14:paraId="7FC44D08" w14:textId="2BC9CD43" w:rsidR="006B61AF" w:rsidRPr="00D90878" w:rsidRDefault="00D9176D" w:rsidP="006B61AF">
      <w:pPr>
        <w:pStyle w:val="Point1"/>
      </w:pPr>
      <w:r w:rsidRPr="00D90878">
        <w:t>a)</w:t>
      </w:r>
      <w:r w:rsidRPr="00D90878">
        <w:tab/>
        <w:t>mesačné vykazovanie: posledný deň každého mesiaca;</w:t>
      </w:r>
    </w:p>
    <w:p w14:paraId="28CC3121" w14:textId="3C24D567" w:rsidR="006B61AF" w:rsidRPr="00D90878" w:rsidRDefault="006B61AF" w:rsidP="006B61AF">
      <w:pPr>
        <w:pStyle w:val="Point1"/>
      </w:pPr>
      <w:r w:rsidRPr="00D90878">
        <w:t>b)</w:t>
      </w:r>
      <w:r w:rsidRPr="00D90878">
        <w:tab/>
        <w:t>štvrťročné vykazovanie: 31. marec, 30. jún, 30. september</w:t>
      </w:r>
      <w:r w:rsidR="00D90878">
        <w:t xml:space="preserve"> a </w:t>
      </w:r>
      <w:r w:rsidRPr="00D90878">
        <w:t>31. december;</w:t>
      </w:r>
    </w:p>
    <w:p w14:paraId="3C859754" w14:textId="7E340291" w:rsidR="006B61AF" w:rsidRPr="00D90878" w:rsidRDefault="006B61AF" w:rsidP="006B61AF">
      <w:pPr>
        <w:pStyle w:val="Point1"/>
      </w:pPr>
      <w:r w:rsidRPr="00D90878">
        <w:t>c)</w:t>
      </w:r>
      <w:r w:rsidRPr="00D90878">
        <w:tab/>
        <w:t>polročné vykazovanie: 30. jún</w:t>
      </w:r>
      <w:r w:rsidR="00D90878">
        <w:t xml:space="preserve"> a </w:t>
      </w:r>
      <w:r w:rsidRPr="00D90878">
        <w:t>31. december;</w:t>
      </w:r>
    </w:p>
    <w:p w14:paraId="03865441" w14:textId="5E46B259" w:rsidR="00FF364B" w:rsidRPr="00D90878" w:rsidRDefault="006B61AF" w:rsidP="006B61AF">
      <w:pPr>
        <w:pStyle w:val="Point1"/>
      </w:pPr>
      <w:r w:rsidRPr="00D90878">
        <w:t>d)</w:t>
      </w:r>
      <w:r w:rsidRPr="00D90878">
        <w:tab/>
        <w:t>ročné vykazovanie: 31. december.</w:t>
      </w:r>
    </w:p>
    <w:p w14:paraId="40A4E6AA" w14:textId="15BB0FE3" w:rsidR="006B61AF" w:rsidRPr="00D90878" w:rsidRDefault="006B61AF" w:rsidP="006B61AF">
      <w:pPr>
        <w:pStyle w:val="NumPar1"/>
      </w:pPr>
      <w:r w:rsidRPr="00D90878">
        <w:t>Informácie predkladané podľa vzorov stanovených</w:t>
      </w:r>
      <w:r w:rsidR="00D90878">
        <w:t xml:space="preserve"> v </w:t>
      </w:r>
      <w:r w:rsidRPr="00D90878">
        <w:t>prílohách III</w:t>
      </w:r>
      <w:r w:rsidR="00D90878">
        <w:t xml:space="preserve"> a </w:t>
      </w:r>
      <w:r w:rsidRPr="00D90878">
        <w:t>IV</w:t>
      </w:r>
      <w:r w:rsidR="00D90878">
        <w:t xml:space="preserve"> v </w:t>
      </w:r>
      <w:r w:rsidRPr="00D90878">
        <w:t>súlade</w:t>
      </w:r>
      <w:r w:rsidR="00D90878">
        <w:t xml:space="preserve"> s </w:t>
      </w:r>
      <w:r w:rsidRPr="00D90878">
        <w:t>pokynmi uvedenými</w:t>
      </w:r>
      <w:r w:rsidR="00D90878">
        <w:t xml:space="preserve"> v </w:t>
      </w:r>
      <w:r w:rsidRPr="00D90878">
        <w:t>prílohe V, ktoré sa vzťahujú na určité obdobie, sa vykazujú kumulatívne od prvého dňa finančného roka do referenčného dátumu.</w:t>
      </w:r>
    </w:p>
    <w:p w14:paraId="65D209FF" w14:textId="0EC1B791" w:rsidR="00FF364B" w:rsidRPr="00D90878" w:rsidRDefault="006B61AF" w:rsidP="006B61AF">
      <w:pPr>
        <w:pStyle w:val="NumPar1"/>
      </w:pPr>
      <w:r w:rsidRPr="00D90878">
        <w:t>Ak sa inštitúciám podľa vnútroštátnych právnych predpisov povoľuje vykazovať finančné informácie ku koncu finančného roka, ktorý sa líši od kalendárneho roka, referenčné dátumy vykazovania môžu byť zodpovedajúcim spôsobom upravené tak, aby sa vykazovanie finančných informácií</w:t>
      </w:r>
      <w:r w:rsidR="00D90878">
        <w:t xml:space="preserve"> a </w:t>
      </w:r>
      <w:r w:rsidRPr="00D90878">
        <w:t>informácií na účely identifikovania globálnych systémovo významných inštitúcií (G-SII)</w:t>
      </w:r>
      <w:r w:rsidR="00D90878">
        <w:t xml:space="preserve"> a </w:t>
      </w:r>
      <w:r w:rsidRPr="00D90878">
        <w:t>priraďovania mier vankúša G-SII uskutočňovalo každé tri, šesť či dvanásť mesiacov ich finančného roka, podľa konkrétneho prípadu.</w:t>
      </w:r>
    </w:p>
    <w:p w14:paraId="45D66A15" w14:textId="77777777" w:rsidR="00725875" w:rsidRPr="00D90878" w:rsidRDefault="00725875" w:rsidP="00725875">
      <w:pPr>
        <w:pStyle w:val="Titrearticle"/>
      </w:pPr>
      <w:r w:rsidRPr="00D90878">
        <w:t>Článok 3</w:t>
      </w:r>
    </w:p>
    <w:p w14:paraId="19D84E1B" w14:textId="4CCEB90A" w:rsidR="0014552F" w:rsidRPr="00D90878" w:rsidRDefault="0014552F" w:rsidP="0014552F">
      <w:pPr>
        <w:pStyle w:val="Titrearticle"/>
        <w:spacing w:before="120"/>
        <w:rPr>
          <w:b/>
          <w:i w:val="0"/>
        </w:rPr>
      </w:pPr>
      <w:r w:rsidRPr="00D90878">
        <w:rPr>
          <w:b/>
          <w:i w:val="0"/>
        </w:rPr>
        <w:t>Dátumy zasielania</w:t>
      </w:r>
      <w:r w:rsidR="00D90878">
        <w:rPr>
          <w:b/>
          <w:i w:val="0"/>
        </w:rPr>
        <w:t xml:space="preserve"> v </w:t>
      </w:r>
      <w:r w:rsidRPr="00D90878">
        <w:rPr>
          <w:b/>
          <w:i w:val="0"/>
        </w:rPr>
        <w:t>súvislosti</w:t>
      </w:r>
      <w:r w:rsidR="00D90878">
        <w:rPr>
          <w:b/>
          <w:i w:val="0"/>
        </w:rPr>
        <w:t xml:space="preserve"> s </w:t>
      </w:r>
      <w:r w:rsidRPr="00D90878">
        <w:rPr>
          <w:b/>
          <w:i w:val="0"/>
        </w:rPr>
        <w:t>vykazovaním</w:t>
      </w:r>
    </w:p>
    <w:p w14:paraId="1A3916EF" w14:textId="04896878" w:rsidR="0014552F" w:rsidRPr="00D90878" w:rsidRDefault="0014552F" w:rsidP="0047317A">
      <w:pPr>
        <w:pStyle w:val="NumPar1"/>
        <w:numPr>
          <w:ilvl w:val="0"/>
          <w:numId w:val="12"/>
        </w:numPr>
      </w:pPr>
      <w:r w:rsidRPr="00D90878">
        <w:t>Inštitúcie predkladajú príslušným orgánom informácie do konca pracovnej doby</w:t>
      </w:r>
      <w:r w:rsidR="00D90878">
        <w:t xml:space="preserve"> v </w:t>
      </w:r>
      <w:r w:rsidRPr="00D90878">
        <w:t>týchto dátumoch zasielania:</w:t>
      </w:r>
    </w:p>
    <w:p w14:paraId="1B31A059" w14:textId="77777777" w:rsidR="0014552F" w:rsidRPr="00D90878" w:rsidRDefault="0014552F" w:rsidP="0014552F">
      <w:pPr>
        <w:pStyle w:val="Point1"/>
      </w:pPr>
      <w:r w:rsidRPr="00D90878">
        <w:t>a)</w:t>
      </w:r>
      <w:r w:rsidRPr="00D90878">
        <w:tab/>
        <w:t>mesačné vykazovanie: 15. kalendárny deň po referenčnom dátume vykazovania;</w:t>
      </w:r>
    </w:p>
    <w:p w14:paraId="59E141C9" w14:textId="34254579" w:rsidR="0014552F" w:rsidRPr="00D90878" w:rsidRDefault="0014552F" w:rsidP="0014552F">
      <w:pPr>
        <w:pStyle w:val="Point1"/>
      </w:pPr>
      <w:r w:rsidRPr="00D90878">
        <w:t>b)</w:t>
      </w:r>
      <w:r w:rsidRPr="00D90878">
        <w:tab/>
        <w:t>štvrťročné vykazovanie: 12. máj, 11. august, 11. november</w:t>
      </w:r>
      <w:r w:rsidR="00D90878">
        <w:t xml:space="preserve"> a </w:t>
      </w:r>
      <w:r w:rsidRPr="00D90878">
        <w:t>11. február;</w:t>
      </w:r>
    </w:p>
    <w:p w14:paraId="31A5927D" w14:textId="7DA96DE0" w:rsidR="0014552F" w:rsidRPr="00D90878" w:rsidRDefault="0014552F" w:rsidP="0014552F">
      <w:pPr>
        <w:pStyle w:val="Point1"/>
      </w:pPr>
      <w:r w:rsidRPr="00D90878">
        <w:t>c)</w:t>
      </w:r>
      <w:r w:rsidRPr="00D90878">
        <w:tab/>
        <w:t>polročné vykazovanie: 11. august</w:t>
      </w:r>
      <w:r w:rsidR="00D90878">
        <w:t xml:space="preserve"> a </w:t>
      </w:r>
      <w:r w:rsidRPr="00D90878">
        <w:t>11. február;</w:t>
      </w:r>
    </w:p>
    <w:p w14:paraId="37F1906A" w14:textId="77777777" w:rsidR="0014552F" w:rsidRPr="00D90878" w:rsidRDefault="0014552F" w:rsidP="0014552F">
      <w:pPr>
        <w:pStyle w:val="Point1"/>
      </w:pPr>
      <w:r w:rsidRPr="00D90878">
        <w:t>d)</w:t>
      </w:r>
      <w:r w:rsidRPr="00D90878">
        <w:tab/>
        <w:t>ročné vykazovanie: 11. február.</w:t>
      </w:r>
    </w:p>
    <w:p w14:paraId="493E0587" w14:textId="1BB0112F" w:rsidR="0014552F" w:rsidRPr="00D90878" w:rsidRDefault="0014552F" w:rsidP="0014552F">
      <w:pPr>
        <w:pStyle w:val="NumPar1"/>
        <w:numPr>
          <w:ilvl w:val="0"/>
          <w:numId w:val="10"/>
        </w:numPr>
      </w:pPr>
      <w:r w:rsidRPr="00D90878">
        <w:lastRenderedPageBreak/>
        <w:t>Ak</w:t>
      </w:r>
      <w:r w:rsidR="00D90878">
        <w:t xml:space="preserve"> v </w:t>
      </w:r>
      <w:r w:rsidRPr="00D90878">
        <w:t>členskom štáte príslušného orgánu, ktorému sa má poskytnúť výkaz, pripadá dátum zasielania na štátny sviatok alebo na sobotu či nedeľu, údaje sa predkladajú</w:t>
      </w:r>
      <w:r w:rsidR="00D90878">
        <w:t xml:space="preserve"> v </w:t>
      </w:r>
      <w:r w:rsidRPr="00D90878">
        <w:t>nasledujúci pracovný deň.</w:t>
      </w:r>
    </w:p>
    <w:p w14:paraId="6B66EFC5" w14:textId="7555B57B" w:rsidR="0014552F" w:rsidRPr="00D90878" w:rsidRDefault="0014552F" w:rsidP="0014552F">
      <w:pPr>
        <w:pStyle w:val="NumPar1"/>
        <w:numPr>
          <w:ilvl w:val="0"/>
          <w:numId w:val="10"/>
        </w:numPr>
      </w:pPr>
      <w:r w:rsidRPr="00D90878">
        <w:t>Ak inštitúcie vykazujú svoje finančné informácie alebo informácie na účely identifikovania G-SII</w:t>
      </w:r>
      <w:r w:rsidR="00D90878">
        <w:t xml:space="preserve"> a </w:t>
      </w:r>
      <w:r w:rsidRPr="00D90878">
        <w:t>priraďovania mier vankúša G-SII</w:t>
      </w:r>
      <w:r w:rsidR="00D90878">
        <w:t xml:space="preserve"> s </w:t>
      </w:r>
      <w:r w:rsidRPr="00D90878">
        <w:t>použitím upravených referenčných dátumov vykazovania na základe konca ich finančného roka, ako sa stanovuje</w:t>
      </w:r>
      <w:r w:rsidR="00D90878">
        <w:t xml:space="preserve"> v </w:t>
      </w:r>
      <w:r w:rsidRPr="00D90878">
        <w:t>článku 2 ods. 3, môžu byť zodpovedajúcim spôsobom upravené aj dátumy zasielania tak, aby sa zachovalo rovnaké obdobie zasielania od upraveného referenčného dátumu vykazovania.</w:t>
      </w:r>
    </w:p>
    <w:p w14:paraId="67094FB3" w14:textId="77777777" w:rsidR="0014552F" w:rsidRPr="00D90878" w:rsidRDefault="0014552F" w:rsidP="0014552F">
      <w:pPr>
        <w:pStyle w:val="NumPar1"/>
        <w:numPr>
          <w:ilvl w:val="0"/>
          <w:numId w:val="10"/>
        </w:numPr>
      </w:pPr>
      <w:r w:rsidRPr="00D90878">
        <w:t>Inštitúcie môžu predkladať neauditované údaje. Ak sa auditované údaje líšia od predložených neauditovaných údajov, bezodkladne sa predložia revidované, auditované údaje. Neauditované údaje sú údaje, ku ktorým externý audítor neposkytol stanovisko, pričom auditované údaje sú údaje podrobené auditu externým audítorom, ktorý vyjadril audítorský výrok.</w:t>
      </w:r>
    </w:p>
    <w:p w14:paraId="758E2E74" w14:textId="6B437F09" w:rsidR="00725875" w:rsidRPr="00D90878" w:rsidRDefault="0014552F" w:rsidP="0014552F">
      <w:pPr>
        <w:pStyle w:val="NumPar1"/>
        <w:numPr>
          <w:ilvl w:val="0"/>
          <w:numId w:val="10"/>
        </w:numPr>
      </w:pPr>
      <w:r w:rsidRPr="00D90878">
        <w:t>Príslušným orgánom sa bezodkladne predkladajú aj iné opravy predložených výkazov.</w:t>
      </w:r>
    </w:p>
    <w:p w14:paraId="60D8A63C" w14:textId="77777777" w:rsidR="0014552F" w:rsidRPr="00D90878" w:rsidRDefault="0014552F" w:rsidP="0014552F">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4</w:t>
      </w:r>
      <w:r w:rsidR="00C52BCC" w:rsidRPr="00D90878">
        <w:fldChar w:fldCharType="end"/>
      </w:r>
    </w:p>
    <w:p w14:paraId="726E257C" w14:textId="0FC62137" w:rsidR="0014552F" w:rsidRPr="00D90878" w:rsidRDefault="0014552F" w:rsidP="0014552F">
      <w:pPr>
        <w:pStyle w:val="Titrearticle"/>
        <w:spacing w:before="120"/>
        <w:rPr>
          <w:b/>
          <w:i w:val="0"/>
        </w:rPr>
      </w:pPr>
      <w:r w:rsidRPr="00D90878">
        <w:rPr>
          <w:b/>
          <w:i w:val="0"/>
        </w:rPr>
        <w:t>Prahové hodnoty pre vykazovanie – kritériá vstupu</w:t>
      </w:r>
      <w:r w:rsidR="00D90878">
        <w:rPr>
          <w:b/>
          <w:i w:val="0"/>
        </w:rPr>
        <w:t xml:space="preserve"> a </w:t>
      </w:r>
      <w:r w:rsidRPr="00D90878">
        <w:rPr>
          <w:b/>
          <w:i w:val="0"/>
        </w:rPr>
        <w:t>výstupu</w:t>
      </w:r>
    </w:p>
    <w:p w14:paraId="06A0F026" w14:textId="56BA412C" w:rsidR="0014552F" w:rsidRPr="00D90878" w:rsidRDefault="0014552F" w:rsidP="0047317A">
      <w:pPr>
        <w:pStyle w:val="NumPar1"/>
        <w:numPr>
          <w:ilvl w:val="0"/>
          <w:numId w:val="13"/>
        </w:numPr>
      </w:pPr>
      <w:r w:rsidRPr="00D90878">
        <w:t>Inštitúcie, ktoré spĺňajú podmienky stanovené</w:t>
      </w:r>
      <w:r w:rsidR="00D90878">
        <w:t xml:space="preserve"> v </w:t>
      </w:r>
      <w:r w:rsidRPr="00D90878">
        <w:t>článku 4 ods. 1 bode 145 nariadenia (EÚ) č. 575/2013, začínajú vykazovať informácie ako malé</w:t>
      </w:r>
      <w:r w:rsidR="00D90878">
        <w:t xml:space="preserve"> a </w:t>
      </w:r>
      <w:r w:rsidRPr="00D90878">
        <w:t>menej zložité inštitúcie</w:t>
      </w:r>
      <w:r w:rsidR="00D90878">
        <w:t xml:space="preserve"> k </w:t>
      </w:r>
      <w:r w:rsidRPr="00D90878">
        <w:t>prvému referenčnému dátumu vykazovania po splnení uvedených podmienok. Ak inštitúcie prestanú spĺňať uvedené podmienky, prestanú vykazovať informácie</w:t>
      </w:r>
      <w:r w:rsidR="00D90878">
        <w:t xml:space="preserve"> k </w:t>
      </w:r>
      <w:r w:rsidRPr="00D90878">
        <w:t>prvému referenčnému dátumu vykazovania po tomto dátume.</w:t>
      </w:r>
    </w:p>
    <w:p w14:paraId="67299D12" w14:textId="0DD7F1B3" w:rsidR="0014552F" w:rsidRPr="00D90878" w:rsidRDefault="0014552F" w:rsidP="0014552F">
      <w:pPr>
        <w:pStyle w:val="NumPar1"/>
        <w:numPr>
          <w:ilvl w:val="0"/>
          <w:numId w:val="10"/>
        </w:numPr>
      </w:pPr>
      <w:r w:rsidRPr="00D90878">
        <w:t>Inštitúcie, ktoré spĺňajú podmienky stanovené</w:t>
      </w:r>
      <w:r w:rsidR="00D90878">
        <w:t xml:space="preserve"> v </w:t>
      </w:r>
      <w:r w:rsidRPr="00D90878">
        <w:t>článku 4 ods. 1 bode 146 nariadenia (EÚ) č. 575/2013, začínajú vykazovať informácie ako veľké inštitúcie</w:t>
      </w:r>
      <w:r w:rsidR="00D90878">
        <w:t xml:space="preserve"> k </w:t>
      </w:r>
      <w:r w:rsidRPr="00D90878">
        <w:t>prvému referenčnému dátumu vykazovania po splnení uvedených podmienok. Ak inštitúcie prestanú spĺňať uvedené podmienky, prestanú vykazovať informácie</w:t>
      </w:r>
      <w:r w:rsidR="00D90878">
        <w:t xml:space="preserve"> k </w:t>
      </w:r>
      <w:r w:rsidRPr="00D90878">
        <w:t>prvému referenčnému dátumu vykazovania po tomto dátume.</w:t>
      </w:r>
    </w:p>
    <w:p w14:paraId="427BAF61" w14:textId="60F2DC54" w:rsidR="0014552F" w:rsidRPr="00D90878" w:rsidRDefault="0014552F" w:rsidP="0014552F">
      <w:pPr>
        <w:pStyle w:val="NumPar1"/>
        <w:numPr>
          <w:ilvl w:val="0"/>
          <w:numId w:val="10"/>
        </w:numPr>
      </w:pPr>
      <w:r w:rsidRPr="00D90878">
        <w:t>Inštitúcie začínajú vykazovať informácie, na ktoré sa vzťahujú prahové hodnoty stanovené</w:t>
      </w:r>
      <w:r w:rsidR="00D90878">
        <w:t xml:space="preserve"> v </w:t>
      </w:r>
      <w:r w:rsidRPr="00D90878">
        <w:t>tomto nariadení,</w:t>
      </w:r>
      <w:r w:rsidR="00D90878">
        <w:t xml:space="preserve"> k </w:t>
      </w:r>
      <w:r w:rsidRPr="00D90878">
        <w:t>ďalšiemu referenčnému dátumu vykazovania po tom, ako boli uvedené prahové hodnoty prekročené</w:t>
      </w:r>
      <w:r w:rsidR="00D90878">
        <w:t xml:space="preserve"> k </w:t>
      </w:r>
      <w:r w:rsidRPr="00D90878">
        <w:t>dvom po sebe nasledujúcim referenčným dátumom vykazovania. Inštitúcie môžu ukončiť vykazovanie informácií, na ktoré sa vzťahujú prahové hodnoty stanovené</w:t>
      </w:r>
      <w:r w:rsidR="00D90878">
        <w:t xml:space="preserve"> v </w:t>
      </w:r>
      <w:r w:rsidRPr="00D90878">
        <w:t>tomto nariadení</w:t>
      </w:r>
      <w:r w:rsidR="00D90878">
        <w:t xml:space="preserve"> k </w:t>
      </w:r>
      <w:r w:rsidRPr="00D90878">
        <w:t>ďalšiemu referenčnému dátumu vykazovania, ak klesli pod príslušné prahové hodnoty</w:t>
      </w:r>
      <w:r w:rsidR="00D90878">
        <w:t xml:space="preserve"> k </w:t>
      </w:r>
      <w:r w:rsidRPr="00D90878">
        <w:t>trom po sebe nasledujúcim referenčným dátumom vykazovania.</w:t>
      </w:r>
    </w:p>
    <w:p w14:paraId="1E03EF09" w14:textId="77777777" w:rsidR="0014552F" w:rsidRPr="00D90878" w:rsidRDefault="0014552F" w:rsidP="0014552F">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5</w:t>
      </w:r>
      <w:r w:rsidR="00C52BCC" w:rsidRPr="00D90878">
        <w:fldChar w:fldCharType="end"/>
      </w:r>
    </w:p>
    <w:p w14:paraId="7E57001E" w14:textId="77777777" w:rsidR="00D90878" w:rsidRDefault="0014552F" w:rsidP="0014552F">
      <w:pPr>
        <w:pStyle w:val="Titrearticle"/>
        <w:spacing w:before="120"/>
        <w:rPr>
          <w:b/>
          <w:i w:val="0"/>
        </w:rPr>
      </w:pPr>
      <w:r w:rsidRPr="00D90878">
        <w:rPr>
          <w:b/>
          <w:i w:val="0"/>
        </w:rPr>
        <w:t>Vykazovanie vlastných zdrojov</w:t>
      </w:r>
      <w:r w:rsidR="00D90878">
        <w:rPr>
          <w:b/>
          <w:i w:val="0"/>
        </w:rPr>
        <w:t xml:space="preserve"> a </w:t>
      </w:r>
      <w:r w:rsidRPr="00D90878">
        <w:rPr>
          <w:b/>
          <w:i w:val="0"/>
        </w:rPr>
        <w:t>požiadaviek na vlastné zdroje na individuálnom základe – štvrťročné vykazovanie</w:t>
      </w:r>
    </w:p>
    <w:p w14:paraId="52AEA4DB" w14:textId="64647E87" w:rsidR="0014552F" w:rsidRPr="00D90878" w:rsidRDefault="0014552F" w:rsidP="0047317A">
      <w:pPr>
        <w:pStyle w:val="NumPar1"/>
        <w:numPr>
          <w:ilvl w:val="0"/>
          <w:numId w:val="14"/>
        </w:numPr>
      </w:pPr>
      <w:r w:rsidRPr="00D90878">
        <w:t>S cieľom vykazovať informácie</w:t>
      </w:r>
      <w:r w:rsidR="00D90878">
        <w:t xml:space="preserve"> o </w:t>
      </w:r>
      <w:r w:rsidRPr="00D90878">
        <w:t>vlastných zdrojoch</w:t>
      </w:r>
      <w:r w:rsidR="00D90878">
        <w:t xml:space="preserve"> a o </w:t>
      </w:r>
      <w:r w:rsidRPr="00D90878">
        <w:t>požiadavkách na vlastné zdroje</w:t>
      </w:r>
      <w:r w:rsidR="00D90878">
        <w:t xml:space="preserve"> v </w:t>
      </w:r>
      <w:r w:rsidRPr="00D90878">
        <w:t>súlade</w:t>
      </w:r>
      <w:r w:rsidR="00D90878">
        <w:t xml:space="preserve"> s </w:t>
      </w:r>
      <w:r w:rsidRPr="00D90878">
        <w:t>článkom 430 ods. 1 písm. a) nariadenia (EÚ) č. 575/2013 na individuálnom základe inštitúcie predkladajú informácie uvedené</w:t>
      </w:r>
      <w:r w:rsidR="00D90878">
        <w:t xml:space="preserve"> v </w:t>
      </w:r>
      <w:r w:rsidRPr="00D90878">
        <w:t>tomto článku štvrťročne.</w:t>
      </w:r>
    </w:p>
    <w:p w14:paraId="10F736EF" w14:textId="027E9CFA" w:rsidR="0014552F" w:rsidRPr="00D90878" w:rsidRDefault="0014552F" w:rsidP="0014552F">
      <w:pPr>
        <w:pStyle w:val="NumPar1"/>
      </w:pPr>
      <w:r w:rsidRPr="00D90878">
        <w:lastRenderedPageBreak/>
        <w:t>Inštitúcie predkladajú informácie</w:t>
      </w:r>
      <w:r w:rsidR="00D90878">
        <w:t xml:space="preserve"> o </w:t>
      </w:r>
      <w:r w:rsidRPr="00D90878">
        <w:t>vlastných zdrojoch</w:t>
      </w:r>
      <w:r w:rsidR="00D90878">
        <w:t xml:space="preserve"> a </w:t>
      </w:r>
      <w:r w:rsidRPr="00D90878">
        <w:t>požiadavkách na vlastné zdroje uvedené vo vzoroch 1 až 5 prílohy I</w:t>
      </w:r>
      <w:r w:rsidR="00D90878">
        <w:t xml:space="preserve"> v </w:t>
      </w:r>
      <w:r w:rsidRPr="00D90878">
        <w:t>súlade</w:t>
      </w:r>
      <w:r w:rsidR="00D90878">
        <w:t xml:space="preserve"> s </w:t>
      </w:r>
      <w:r w:rsidRPr="00D90878">
        <w:t>pokynmi</w:t>
      </w:r>
      <w:r w:rsidR="00D90878">
        <w:t xml:space="preserve"> v </w:t>
      </w:r>
      <w:r w:rsidRPr="00D90878">
        <w:t>časti II bode 1 prílohy II.</w:t>
      </w:r>
    </w:p>
    <w:p w14:paraId="77032C56" w14:textId="434CBA53" w:rsidR="0014552F" w:rsidRPr="00D90878" w:rsidRDefault="0014552F" w:rsidP="0014552F">
      <w:pPr>
        <w:pStyle w:val="NumPar1"/>
      </w:pPr>
      <w:r w:rsidRPr="00D90878">
        <w:t>Inštitúcie predkladajú informácie</w:t>
      </w:r>
      <w:r w:rsidR="00D90878">
        <w:t xml:space="preserve"> o </w:t>
      </w:r>
      <w:r w:rsidRPr="00D90878">
        <w:t>expozíciách voči kreditnému riziku</w:t>
      </w:r>
      <w:r w:rsidR="00D90878">
        <w:t xml:space="preserve"> a </w:t>
      </w:r>
      <w:r w:rsidRPr="00D90878">
        <w:t>voči kreditnému riziku protistrany,</w:t>
      </w:r>
      <w:r w:rsidR="00D90878">
        <w:t xml:space="preserve"> s </w:t>
      </w:r>
      <w:r w:rsidRPr="00D90878">
        <w:t>ktorými sa zaobchádza podľa štandardizovaného prístupu, uvedené vo vzore 7 prílohy I</w:t>
      </w:r>
      <w:r w:rsidR="00D90878">
        <w:t xml:space="preserve"> v </w:t>
      </w:r>
      <w:r w:rsidRPr="00D90878">
        <w:t>súlade</w:t>
      </w:r>
      <w:r w:rsidR="00D90878">
        <w:t xml:space="preserve"> s </w:t>
      </w:r>
      <w:r w:rsidRPr="00D90878">
        <w:t>pokynmi</w:t>
      </w:r>
      <w:r w:rsidR="00D90878">
        <w:t xml:space="preserve"> v </w:t>
      </w:r>
      <w:r w:rsidRPr="00D90878">
        <w:t>časti II bode 3.2 prílohy II.</w:t>
      </w:r>
    </w:p>
    <w:p w14:paraId="4FC8E450" w14:textId="203EC8A2" w:rsidR="0014552F" w:rsidRPr="00D90878" w:rsidRDefault="0014552F" w:rsidP="0014552F">
      <w:pPr>
        <w:pStyle w:val="NumPar1"/>
      </w:pPr>
      <w:r w:rsidRPr="00D90878">
        <w:t>Inštitúcie predkladajú informácie</w:t>
      </w:r>
      <w:r w:rsidR="00D90878">
        <w:t xml:space="preserve"> o </w:t>
      </w:r>
      <w:r w:rsidRPr="00D90878">
        <w:t>expozíciách voči kreditnému riziku</w:t>
      </w:r>
      <w:r w:rsidR="00D90878">
        <w:t xml:space="preserve"> a </w:t>
      </w:r>
      <w:r w:rsidRPr="00D90878">
        <w:t>voči kreditnému riziku protistrany,</w:t>
      </w:r>
      <w:r w:rsidR="00D90878">
        <w:t xml:space="preserve"> s </w:t>
      </w:r>
      <w:r w:rsidRPr="00D90878">
        <w:t>ktorými sa zaobchádza podľa prístupu založeného na interných ratingoch, uvedené vo vzoroch 8.1</w:t>
      </w:r>
      <w:r w:rsidR="00D90878">
        <w:t xml:space="preserve"> a </w:t>
      </w:r>
      <w:r w:rsidRPr="00D90878">
        <w:t>8.2 prílohy I</w:t>
      </w:r>
      <w:r w:rsidR="00D90878">
        <w:t xml:space="preserve"> v </w:t>
      </w:r>
      <w:r w:rsidRPr="00D90878">
        <w:t>súlade</w:t>
      </w:r>
      <w:r w:rsidR="00D90878">
        <w:t xml:space="preserve"> s </w:t>
      </w:r>
      <w:r w:rsidRPr="00D90878">
        <w:t>pokynmi</w:t>
      </w:r>
      <w:r w:rsidR="00D90878">
        <w:t xml:space="preserve"> v </w:t>
      </w:r>
      <w:r w:rsidRPr="00D90878">
        <w:t>časti II bode 3.3 prílohy II.</w:t>
      </w:r>
    </w:p>
    <w:p w14:paraId="74DB4F7C" w14:textId="4A58C6A8" w:rsidR="00D90878" w:rsidRDefault="0014552F" w:rsidP="0014552F">
      <w:pPr>
        <w:pStyle w:val="NumPar1"/>
      </w:pPr>
      <w:r w:rsidRPr="00D90878">
        <w:t>Inštitúcie predkladajú informácie</w:t>
      </w:r>
      <w:r w:rsidR="00D90878">
        <w:t xml:space="preserve"> o </w:t>
      </w:r>
      <w:r w:rsidRPr="00D90878">
        <w:t>geografickom rozdelení expozícií podľa krajiny, ako aj</w:t>
      </w:r>
      <w:r w:rsidR="00D90878">
        <w:t xml:space="preserve"> o </w:t>
      </w:r>
      <w:r w:rsidRPr="00D90878">
        <w:t>agregovaných expozíciách na celkovej úrovni uvedené vo vzore 9 prílohy I</w:t>
      </w:r>
      <w:r w:rsidR="00D90878">
        <w:t xml:space="preserve"> v </w:t>
      </w:r>
      <w:r w:rsidRPr="00D90878">
        <w:t>súlade</w:t>
      </w:r>
      <w:r w:rsidR="00D90878">
        <w:t xml:space="preserve"> s </w:t>
      </w:r>
      <w:r w:rsidRPr="00D90878">
        <w:t>pokynmi</w:t>
      </w:r>
      <w:r w:rsidR="00D90878">
        <w:t xml:space="preserve"> v </w:t>
      </w:r>
      <w:r w:rsidRPr="00D90878">
        <w:t>časti II bode 3.4 prílohy II</w:t>
      </w:r>
      <w:r w:rsidR="00D90878">
        <w:t>.</w:t>
      </w:r>
    </w:p>
    <w:p w14:paraId="3E9F231A" w14:textId="125E306D" w:rsidR="00D90878" w:rsidRDefault="0014552F" w:rsidP="006B3AF7">
      <w:pPr>
        <w:pStyle w:val="Text1"/>
      </w:pPr>
      <w:r w:rsidRPr="00D90878">
        <w:t>Inštitúcie predkladajú informácie uvedené vo vzoroch 9.1</w:t>
      </w:r>
      <w:r w:rsidR="00D90878">
        <w:t xml:space="preserve"> a </w:t>
      </w:r>
      <w:r w:rsidRPr="00D90878">
        <w:t>9.2,</w:t>
      </w:r>
      <w:r w:rsidR="00D90878">
        <w:t xml:space="preserve"> a </w:t>
      </w:r>
      <w:r w:rsidRPr="00D90878">
        <w:t>najmä informácie</w:t>
      </w:r>
      <w:r w:rsidR="00D90878">
        <w:t xml:space="preserve"> o </w:t>
      </w:r>
      <w:r w:rsidRPr="00D90878">
        <w:t>geografickom rozdelení expozícií podľa krajiny, ak sa pôvodné zahraničné expozície vo všetkých zahraničných krajinách vo všetkých triedach expozícií vykazované</w:t>
      </w:r>
      <w:r w:rsidR="00D90878">
        <w:t xml:space="preserve"> v </w:t>
      </w:r>
      <w:r w:rsidRPr="00D90878">
        <w:t>súlade so vzorom 4 riadkom 0850 prílohy I rovnajú alebo sú vyššie ako 10</w:t>
      </w:r>
      <w:r w:rsidR="00D90878">
        <w:t> %</w:t>
      </w:r>
      <w:r w:rsidRPr="00D90878">
        <w:t xml:space="preserve"> celkových domácich</w:t>
      </w:r>
      <w:r w:rsidR="00D90878">
        <w:t xml:space="preserve"> a </w:t>
      </w:r>
      <w:r w:rsidRPr="00D90878">
        <w:t>zahraničných pôvodných expozícií vykázaných</w:t>
      </w:r>
      <w:r w:rsidR="00D90878">
        <w:t xml:space="preserve"> v </w:t>
      </w:r>
      <w:r w:rsidRPr="00D90878">
        <w:t>súlade so vzorom 4 riadkom 0860 prílohy I. Expozície sa považujú za domáce, keď ide</w:t>
      </w:r>
      <w:r w:rsidR="00D90878">
        <w:t xml:space="preserve"> o </w:t>
      </w:r>
      <w:r w:rsidRPr="00D90878">
        <w:t>expozície voči protistranám sídliacim</w:t>
      </w:r>
      <w:r w:rsidR="00D90878">
        <w:t xml:space="preserve"> v </w:t>
      </w:r>
      <w:r w:rsidRPr="00D90878">
        <w:t>členskom štáte,</w:t>
      </w:r>
      <w:r w:rsidR="00D90878">
        <w:t xml:space="preserve"> v </w:t>
      </w:r>
      <w:r w:rsidRPr="00D90878">
        <w:t>ktorom je inštitúcia usadená</w:t>
      </w:r>
      <w:r w:rsidR="00D90878">
        <w:t>.</w:t>
      </w:r>
    </w:p>
    <w:p w14:paraId="2D010602" w14:textId="13825D41" w:rsidR="0014552F" w:rsidRPr="00D90878" w:rsidRDefault="0014552F" w:rsidP="006B3AF7">
      <w:pPr>
        <w:pStyle w:val="Text1"/>
      </w:pPr>
      <w:r w:rsidRPr="00D90878">
        <w:t>Uplatňujú sa kritériá vstupu</w:t>
      </w:r>
      <w:r w:rsidR="00D90878">
        <w:t xml:space="preserve"> a </w:t>
      </w:r>
      <w:r w:rsidRPr="00D90878">
        <w:t>výstupu stanovené</w:t>
      </w:r>
      <w:r w:rsidR="00D90878">
        <w:t xml:space="preserve"> v </w:t>
      </w:r>
      <w:r w:rsidRPr="00D90878">
        <w:t>článku 4.</w:t>
      </w:r>
    </w:p>
    <w:p w14:paraId="1B5047C1" w14:textId="3D542FBF" w:rsidR="0014552F" w:rsidRPr="00D90878" w:rsidRDefault="0014552F" w:rsidP="0014552F">
      <w:pPr>
        <w:pStyle w:val="NumPar1"/>
      </w:pPr>
      <w:r w:rsidRPr="00D90878">
        <w:t>Inštitúcie predkladajú informácie</w:t>
      </w:r>
      <w:r w:rsidR="00D90878">
        <w:t xml:space="preserve"> o </w:t>
      </w:r>
      <w:r w:rsidRPr="00D90878">
        <w:t>kreditnom riziku protistrany uvedené vo vzoroch 34.01 až 34.05</w:t>
      </w:r>
      <w:r w:rsidR="00D90878">
        <w:t xml:space="preserve"> a </w:t>
      </w:r>
      <w:r w:rsidRPr="00D90878">
        <w:t>34.08 až 34.10 prílohy I</w:t>
      </w:r>
      <w:r w:rsidR="00D90878">
        <w:t xml:space="preserve"> v </w:t>
      </w:r>
      <w:r w:rsidRPr="00D90878">
        <w:t>súlade</w:t>
      </w:r>
      <w:r w:rsidR="00D90878">
        <w:t xml:space="preserve"> s </w:t>
      </w:r>
      <w:r w:rsidRPr="00D90878">
        <w:t>pokynmi</w:t>
      </w:r>
      <w:r w:rsidR="00D90878">
        <w:t xml:space="preserve"> v </w:t>
      </w:r>
      <w:r w:rsidRPr="00D90878">
        <w:t>časti II bode 3.9 prílohy II.</w:t>
      </w:r>
    </w:p>
    <w:p w14:paraId="71DD8676" w14:textId="01021213" w:rsidR="0014552F" w:rsidRPr="00D90878" w:rsidRDefault="0014552F" w:rsidP="0014552F">
      <w:pPr>
        <w:pStyle w:val="NumPar1"/>
      </w:pPr>
      <w:r w:rsidRPr="00D90878">
        <w:t>Inštitúcie, ktoré uplatňujú štandardizovaný prístup alebo metódu interného modelu na výpočet expozícií voči kreditnému riziku protistrany</w:t>
      </w:r>
      <w:r w:rsidR="00D90878">
        <w:t xml:space="preserve"> v </w:t>
      </w:r>
      <w:r w:rsidRPr="00D90878">
        <w:t>súlade</w:t>
      </w:r>
      <w:r w:rsidR="00D90878">
        <w:t xml:space="preserve"> s </w:t>
      </w:r>
      <w:r w:rsidRPr="00D90878">
        <w:t>treťou časťou hlavou II kapitolou 6 oddielmi 3</w:t>
      </w:r>
      <w:r w:rsidR="00D90878">
        <w:t xml:space="preserve"> a </w:t>
      </w:r>
      <w:r w:rsidRPr="00D90878">
        <w:t>6 nariadenia (EÚ) č. 575/2013, predkladajú informácie</w:t>
      </w:r>
      <w:r w:rsidR="00D90878">
        <w:t xml:space="preserve"> o </w:t>
      </w:r>
      <w:r w:rsidRPr="00D90878">
        <w:t>kreditnom riziku protistrany uvedené vo vzore 34.06 prílohy I</w:t>
      </w:r>
      <w:r w:rsidR="00D90878">
        <w:t xml:space="preserve"> v </w:t>
      </w:r>
      <w:r w:rsidRPr="00D90878">
        <w:t>súlade</w:t>
      </w:r>
      <w:r w:rsidR="00D90878">
        <w:t xml:space="preserve"> s </w:t>
      </w:r>
      <w:r w:rsidRPr="00D90878">
        <w:t>pokynmi</w:t>
      </w:r>
      <w:r w:rsidR="00D90878">
        <w:t xml:space="preserve"> v </w:t>
      </w:r>
      <w:r w:rsidRPr="00D90878">
        <w:t>časti II bode 3.9.7 prílohy II.</w:t>
      </w:r>
    </w:p>
    <w:p w14:paraId="5A7C446B" w14:textId="153A3CEB" w:rsidR="0014552F" w:rsidRPr="00D90878" w:rsidRDefault="0014552F" w:rsidP="0014552F">
      <w:pPr>
        <w:pStyle w:val="NumPar1"/>
      </w:pPr>
      <w:r w:rsidRPr="00D90878">
        <w:t>Inštitúcie predkladajú informácie</w:t>
      </w:r>
      <w:r w:rsidR="00D90878">
        <w:t xml:space="preserve"> o </w:t>
      </w:r>
      <w:r w:rsidRPr="00D90878">
        <w:t>kapitálových expozíciách,</w:t>
      </w:r>
      <w:r w:rsidR="00D90878">
        <w:t xml:space="preserve"> s </w:t>
      </w:r>
      <w:r w:rsidRPr="00D90878">
        <w:t>ktorými sa zaobchádza podľa prístupu založeného na interných ratingoch, uvedené vo vzore 10 prílohy I</w:t>
      </w:r>
      <w:r w:rsidR="00D90878">
        <w:t xml:space="preserve"> v </w:t>
      </w:r>
      <w:r w:rsidRPr="00D90878">
        <w:t>súlade</w:t>
      </w:r>
      <w:r w:rsidR="00D90878">
        <w:t xml:space="preserve"> s </w:t>
      </w:r>
      <w:r w:rsidRPr="00D90878">
        <w:t>pokynmi</w:t>
      </w:r>
      <w:r w:rsidR="00D90878">
        <w:t xml:space="preserve"> v </w:t>
      </w:r>
      <w:r w:rsidRPr="00D90878">
        <w:t>časti II bode 3.5 prílohy II.</w:t>
      </w:r>
    </w:p>
    <w:p w14:paraId="6C5997E8" w14:textId="22BB0231" w:rsidR="0014552F" w:rsidRPr="00D90878" w:rsidRDefault="0014552F" w:rsidP="0014552F">
      <w:pPr>
        <w:pStyle w:val="NumPar1"/>
      </w:pPr>
      <w:r w:rsidRPr="00D90878">
        <w:t>Inštitúcie predkladajú informácie</w:t>
      </w:r>
      <w:r w:rsidR="00D90878">
        <w:t xml:space="preserve"> o </w:t>
      </w:r>
      <w:r w:rsidRPr="00D90878">
        <w:t>riziku vyrovnania uvedené vo vzore 11 prílohy I</w:t>
      </w:r>
      <w:r w:rsidR="00D90878">
        <w:t xml:space="preserve"> v </w:t>
      </w:r>
      <w:r w:rsidRPr="00D90878">
        <w:t>súlade</w:t>
      </w:r>
      <w:r w:rsidR="00D90878">
        <w:t xml:space="preserve"> s </w:t>
      </w:r>
      <w:r w:rsidRPr="00D90878">
        <w:t>pokynmi</w:t>
      </w:r>
      <w:r w:rsidR="00D90878">
        <w:t xml:space="preserve"> v </w:t>
      </w:r>
      <w:r w:rsidRPr="00D90878">
        <w:t>časti II bode 3.6 prílohy II.</w:t>
      </w:r>
    </w:p>
    <w:p w14:paraId="442593B8" w14:textId="765C4519" w:rsidR="0014552F" w:rsidRPr="00D90878" w:rsidRDefault="0014552F" w:rsidP="0014552F">
      <w:pPr>
        <w:pStyle w:val="NumPar1"/>
      </w:pPr>
      <w:r w:rsidRPr="00D90878">
        <w:t>Inštitúcie predkladajú informácie</w:t>
      </w:r>
      <w:r w:rsidR="00D90878">
        <w:t xml:space="preserve"> o </w:t>
      </w:r>
      <w:r w:rsidRPr="00D90878">
        <w:t>sekuritizačných expozíciách uvedené vo vzore 13.01 prílohy I</w:t>
      </w:r>
      <w:r w:rsidR="00D90878">
        <w:t xml:space="preserve"> v </w:t>
      </w:r>
      <w:r w:rsidRPr="00D90878">
        <w:t>súlade</w:t>
      </w:r>
      <w:r w:rsidR="00D90878">
        <w:t xml:space="preserve"> s </w:t>
      </w:r>
      <w:r w:rsidRPr="00D90878">
        <w:t>pokynmi</w:t>
      </w:r>
      <w:r w:rsidR="00D90878">
        <w:t xml:space="preserve"> v </w:t>
      </w:r>
      <w:r w:rsidRPr="00D90878">
        <w:t>časti II bode 3.7 prílohy II.</w:t>
      </w:r>
    </w:p>
    <w:p w14:paraId="70A0DE2C" w14:textId="7B59FC9A" w:rsidR="0014552F" w:rsidRPr="00D90878" w:rsidRDefault="0014552F" w:rsidP="0014552F">
      <w:pPr>
        <w:pStyle w:val="NumPar1"/>
      </w:pPr>
      <w:r w:rsidRPr="00D90878">
        <w:t>Inštitúcie predkladajú informácie</w:t>
      </w:r>
      <w:r w:rsidR="00D90878">
        <w:t xml:space="preserve"> o </w:t>
      </w:r>
      <w:r w:rsidRPr="00D90878">
        <w:t>požiadavkách na vlastné zdroje</w:t>
      </w:r>
      <w:r w:rsidR="00D90878">
        <w:t xml:space="preserve"> a </w:t>
      </w:r>
      <w:r w:rsidRPr="00D90878">
        <w:t>stratách súvisiacich</w:t>
      </w:r>
      <w:r w:rsidR="00D90878">
        <w:t xml:space="preserve"> s </w:t>
      </w:r>
      <w:r w:rsidRPr="00D90878">
        <w:t>operačným rizikom uvedené vo vzore 16 prílohy I</w:t>
      </w:r>
      <w:r w:rsidR="00D90878">
        <w:t xml:space="preserve"> v </w:t>
      </w:r>
      <w:r w:rsidRPr="00D90878">
        <w:t>súlade</w:t>
      </w:r>
      <w:r w:rsidR="00D90878">
        <w:t xml:space="preserve"> s </w:t>
      </w:r>
      <w:r w:rsidRPr="00D90878">
        <w:t>pokynmi</w:t>
      </w:r>
      <w:r w:rsidR="00D90878">
        <w:t xml:space="preserve"> v </w:t>
      </w:r>
      <w:r w:rsidRPr="00D90878">
        <w:t>časti II bode 4.1 prílohy II.</w:t>
      </w:r>
    </w:p>
    <w:p w14:paraId="66782023" w14:textId="68FC75DD" w:rsidR="0014552F" w:rsidRPr="00D90878" w:rsidRDefault="0014552F" w:rsidP="0014552F">
      <w:pPr>
        <w:pStyle w:val="NumPar1"/>
      </w:pPr>
      <w:r w:rsidRPr="00D90878">
        <w:t>Inštitúcie predkladajú informácie</w:t>
      </w:r>
      <w:r w:rsidR="00D90878">
        <w:t xml:space="preserve"> o </w:t>
      </w:r>
      <w:r w:rsidRPr="00D90878">
        <w:t>požiadavkách na vlastné zdroje súvisiace</w:t>
      </w:r>
      <w:r w:rsidR="00D90878">
        <w:t xml:space="preserve"> s </w:t>
      </w:r>
      <w:r w:rsidRPr="00D90878">
        <w:t>trhovým rizikom uvedené vo vzoroch 18 až 24 prílohy I</w:t>
      </w:r>
      <w:r w:rsidR="00D90878">
        <w:t xml:space="preserve"> v </w:t>
      </w:r>
      <w:r w:rsidRPr="00D90878">
        <w:t>súlade</w:t>
      </w:r>
      <w:r w:rsidR="00D90878">
        <w:t xml:space="preserve"> s </w:t>
      </w:r>
      <w:r w:rsidRPr="00D90878">
        <w:t>pokynmi</w:t>
      </w:r>
      <w:r w:rsidR="00D90878">
        <w:t xml:space="preserve"> v </w:t>
      </w:r>
      <w:r w:rsidRPr="00D90878">
        <w:t>časti II bodmi 5.1 až 5.7 prílohy II.</w:t>
      </w:r>
    </w:p>
    <w:p w14:paraId="2975DD1F" w14:textId="5B58223D" w:rsidR="0014552F" w:rsidRPr="00D90878" w:rsidRDefault="0014552F" w:rsidP="0014552F">
      <w:pPr>
        <w:pStyle w:val="NumPar1"/>
      </w:pPr>
      <w:r w:rsidRPr="00D90878">
        <w:lastRenderedPageBreak/>
        <w:t>Inštitúcie predkladajú informácie</w:t>
      </w:r>
      <w:r w:rsidR="00D90878">
        <w:t xml:space="preserve"> o </w:t>
      </w:r>
      <w:r w:rsidRPr="00D90878">
        <w:t>požiadavkách na vlastné zdroje súvisiace</w:t>
      </w:r>
      <w:r w:rsidR="00D90878">
        <w:t xml:space="preserve"> s </w:t>
      </w:r>
      <w:r w:rsidRPr="00D90878">
        <w:t>rizikom úpravy ocenenia pohľadávok uvedené vo vzore 25 prílohy I</w:t>
      </w:r>
      <w:r w:rsidR="00D90878">
        <w:t xml:space="preserve"> v </w:t>
      </w:r>
      <w:r w:rsidRPr="00D90878">
        <w:t>súlade</w:t>
      </w:r>
      <w:r w:rsidR="00D90878">
        <w:t xml:space="preserve"> s </w:t>
      </w:r>
      <w:r w:rsidRPr="00D90878">
        <w:t>pokynmi</w:t>
      </w:r>
      <w:r w:rsidR="00D90878">
        <w:t xml:space="preserve"> v </w:t>
      </w:r>
      <w:r w:rsidRPr="00D90878">
        <w:t>časti II bode 5.8 prílohy II.</w:t>
      </w:r>
    </w:p>
    <w:p w14:paraId="29B0B226" w14:textId="62A68645" w:rsidR="0014552F" w:rsidRPr="00D90878" w:rsidRDefault="0014552F" w:rsidP="0014552F">
      <w:pPr>
        <w:pStyle w:val="NumPar1"/>
      </w:pPr>
      <w:r w:rsidRPr="00D90878">
        <w:t>Inštitúcie predkladajú informácie</w:t>
      </w:r>
      <w:r w:rsidR="00D90878">
        <w:t xml:space="preserve"> o </w:t>
      </w:r>
      <w:r w:rsidRPr="00D90878">
        <w:t>obozretnom oceňovaní uvedené vo vzore 32 prílohy I</w:t>
      </w:r>
      <w:r w:rsidR="00D90878">
        <w:t xml:space="preserve"> v </w:t>
      </w:r>
      <w:r w:rsidRPr="00D90878">
        <w:t>súlade</w:t>
      </w:r>
      <w:r w:rsidR="00D90878">
        <w:t xml:space="preserve"> s </w:t>
      </w:r>
      <w:r w:rsidRPr="00D90878">
        <w:t>pokynmi</w:t>
      </w:r>
      <w:r w:rsidR="00D90878">
        <w:t xml:space="preserve"> v </w:t>
      </w:r>
      <w:r w:rsidRPr="00D90878">
        <w:t>časti II bode 6 prílohy II takto:</w:t>
      </w:r>
    </w:p>
    <w:p w14:paraId="7AAF2502" w14:textId="20B5E742" w:rsidR="0014552F" w:rsidRPr="00D90878" w:rsidRDefault="0014552F" w:rsidP="0014552F">
      <w:pPr>
        <w:pStyle w:val="Point1"/>
      </w:pPr>
      <w:r w:rsidRPr="00D90878">
        <w:t>a)</w:t>
      </w:r>
      <w:r w:rsidRPr="00D90878">
        <w:tab/>
        <w:t>všetky inštitúcie predkladajú informácie uvedené vo vzore 32.1 prílohy I</w:t>
      </w:r>
      <w:r w:rsidR="00D90878">
        <w:t xml:space="preserve"> v </w:t>
      </w:r>
      <w:r w:rsidRPr="00D90878">
        <w:t>súlade</w:t>
      </w:r>
      <w:r w:rsidR="00D90878">
        <w:t xml:space="preserve"> s </w:t>
      </w:r>
      <w:r w:rsidRPr="00D90878">
        <w:t>pokynmi</w:t>
      </w:r>
      <w:r w:rsidR="00D90878">
        <w:t xml:space="preserve"> v </w:t>
      </w:r>
      <w:r w:rsidRPr="00D90878">
        <w:t>časti II bode 6 prílohy II;</w:t>
      </w:r>
    </w:p>
    <w:p w14:paraId="2C2BA953" w14:textId="52473685" w:rsidR="0014552F" w:rsidRPr="00D90878" w:rsidRDefault="0014552F" w:rsidP="0014552F">
      <w:pPr>
        <w:pStyle w:val="Point1"/>
      </w:pPr>
      <w:r w:rsidRPr="00D90878">
        <w:t>b)</w:t>
      </w:r>
      <w:r w:rsidRPr="00D90878">
        <w:tab/>
        <w:t>inštitúcie, ktoré uplatňujú základný prístup</w:t>
      </w:r>
      <w:r w:rsidR="00D90878">
        <w:t xml:space="preserve"> v </w:t>
      </w:r>
      <w:r w:rsidRPr="00D90878">
        <w:t>súlade</w:t>
      </w:r>
      <w:r w:rsidR="00D90878">
        <w:t xml:space="preserve"> s </w:t>
      </w:r>
      <w:r w:rsidRPr="00D90878">
        <w:t>delegovaným nariadením Komisie (EÚ) 2016/101</w:t>
      </w:r>
      <w:r w:rsidRPr="00D90878">
        <w:rPr>
          <w:rStyle w:val="FootnoteReference"/>
        </w:rPr>
        <w:footnoteReference w:id="9"/>
      </w:r>
      <w:r w:rsidRPr="00D90878">
        <w:t>, vykazujú popri informáciách uvedených</w:t>
      </w:r>
      <w:r w:rsidR="00D90878">
        <w:t xml:space="preserve"> v </w:t>
      </w:r>
      <w:r w:rsidRPr="00D90878">
        <w:t>písmene a) tohto odseku aj informácie uvedené vo vzore 32.2 prílohy I</w:t>
      </w:r>
      <w:r w:rsidR="00D90878">
        <w:t xml:space="preserve"> v </w:t>
      </w:r>
      <w:r w:rsidRPr="00D90878">
        <w:t>súlade</w:t>
      </w:r>
      <w:r w:rsidR="00D90878">
        <w:t xml:space="preserve"> s </w:t>
      </w:r>
      <w:r w:rsidRPr="00D90878">
        <w:t>pokynmi</w:t>
      </w:r>
      <w:r w:rsidR="00D90878">
        <w:t xml:space="preserve"> v </w:t>
      </w:r>
      <w:r w:rsidRPr="00D90878">
        <w:t>časti II bode 6 prílohy II;</w:t>
      </w:r>
    </w:p>
    <w:p w14:paraId="220BA8B3" w14:textId="20FF2F03" w:rsidR="0014552F" w:rsidRPr="00D90878" w:rsidRDefault="0014552F" w:rsidP="0014552F">
      <w:pPr>
        <w:pStyle w:val="Point1"/>
      </w:pPr>
      <w:r w:rsidRPr="00D90878">
        <w:t>c)</w:t>
      </w:r>
      <w:r w:rsidRPr="00D90878">
        <w:tab/>
        <w:t>inštitúcie, ktoré uplatňujú základný prístup</w:t>
      </w:r>
      <w:r w:rsidR="00D90878">
        <w:t xml:space="preserve"> v </w:t>
      </w:r>
      <w:r w:rsidRPr="00D90878">
        <w:t>súlade</w:t>
      </w:r>
      <w:r w:rsidR="00D90878">
        <w:t xml:space="preserve"> s </w:t>
      </w:r>
      <w:r w:rsidRPr="00D90878">
        <w:t>delegovaným nariadením Komisie (EÚ) 2016/101</w:t>
      </w:r>
      <w:r w:rsidR="00D90878">
        <w:t xml:space="preserve"> a </w:t>
      </w:r>
      <w:r w:rsidRPr="00D90878">
        <w:t>ktoré prekračujú prahovú hodnotu uvedenú</w:t>
      </w:r>
      <w:r w:rsidR="00D90878">
        <w:t xml:space="preserve"> v </w:t>
      </w:r>
      <w:r w:rsidRPr="00D90878">
        <w:t>článku 4 ods. 1 uvedeného nariadenia, vykazujú popri informáciách uvedených</w:t>
      </w:r>
      <w:r w:rsidR="00D90878">
        <w:t xml:space="preserve"> v </w:t>
      </w:r>
      <w:r w:rsidRPr="00D90878">
        <w:t>písmenách a)</w:t>
      </w:r>
      <w:r w:rsidR="00D90878">
        <w:t xml:space="preserve"> a </w:t>
      </w:r>
      <w:r w:rsidRPr="00D90878">
        <w:t>b) tohto odseku aj informácie uvedené vo vzoroch 32.3</w:t>
      </w:r>
      <w:r w:rsidR="00D90878">
        <w:t xml:space="preserve"> a </w:t>
      </w:r>
      <w:r w:rsidRPr="00D90878">
        <w:t>32.4 prílohy I</w:t>
      </w:r>
      <w:r w:rsidR="00D90878">
        <w:t xml:space="preserve"> v </w:t>
      </w:r>
      <w:r w:rsidRPr="00D90878">
        <w:t>súlade</w:t>
      </w:r>
      <w:r w:rsidR="00D90878">
        <w:t xml:space="preserve"> s </w:t>
      </w:r>
      <w:r w:rsidRPr="00D90878">
        <w:t>pokynmi</w:t>
      </w:r>
      <w:r w:rsidR="00D90878">
        <w:t xml:space="preserve"> v </w:t>
      </w:r>
      <w:r w:rsidRPr="00D90878">
        <w:t>časti II bode 6 prílohy II.</w:t>
      </w:r>
    </w:p>
    <w:p w14:paraId="3453A2CF" w14:textId="4479405F" w:rsidR="0014552F" w:rsidRPr="00D90878" w:rsidRDefault="0014552F" w:rsidP="0014552F">
      <w:pPr>
        <w:pStyle w:val="Text1"/>
      </w:pPr>
      <w:r w:rsidRPr="00D90878">
        <w:t>Na účely tohto odseku sa neuplatňujú kritériá vstupu</w:t>
      </w:r>
      <w:r w:rsidR="00D90878">
        <w:t xml:space="preserve"> a </w:t>
      </w:r>
      <w:r w:rsidRPr="00D90878">
        <w:t>výstupu stanovené</w:t>
      </w:r>
      <w:r w:rsidR="00D90878">
        <w:t xml:space="preserve"> v </w:t>
      </w:r>
      <w:r w:rsidRPr="00D90878">
        <w:t>článku 4.</w:t>
      </w:r>
    </w:p>
    <w:p w14:paraId="3329EA93" w14:textId="7E586701" w:rsidR="00725875" w:rsidRPr="00D90878" w:rsidRDefault="0014552F" w:rsidP="0014552F">
      <w:pPr>
        <w:pStyle w:val="NumPar1"/>
      </w:pPr>
      <w:r w:rsidRPr="00D90878">
        <w:t>Inštitúcie predkladajú informácie</w:t>
      </w:r>
      <w:r w:rsidR="00D90878">
        <w:t xml:space="preserve"> o </w:t>
      </w:r>
      <w:r w:rsidRPr="00D90878">
        <w:t>prudenciálnom zabezpečovacom mechanizme pre problémové expozície (NPE) uvedené vo vzoroch 35.01, 35.02</w:t>
      </w:r>
      <w:r w:rsidR="00D90878">
        <w:t xml:space="preserve"> a </w:t>
      </w:r>
      <w:r w:rsidRPr="00D90878">
        <w:t>35.03 prílohy I</w:t>
      </w:r>
      <w:r w:rsidR="00D90878">
        <w:t xml:space="preserve"> v </w:t>
      </w:r>
      <w:r w:rsidRPr="00D90878">
        <w:t>súlade</w:t>
      </w:r>
      <w:r w:rsidR="00D90878">
        <w:t xml:space="preserve"> s </w:t>
      </w:r>
      <w:r w:rsidRPr="00D90878">
        <w:t>pokynmi</w:t>
      </w:r>
      <w:r w:rsidR="00D90878">
        <w:t xml:space="preserve"> v </w:t>
      </w:r>
      <w:r w:rsidRPr="00D90878">
        <w:t>časti II bode 8 prílohy II.</w:t>
      </w:r>
    </w:p>
    <w:p w14:paraId="76F0D60D" w14:textId="77777777" w:rsidR="00D90878" w:rsidRDefault="004A4E65" w:rsidP="004A4E65">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6</w:t>
      </w:r>
      <w:r w:rsidR="00C52BCC" w:rsidRPr="00D90878">
        <w:fldChar w:fldCharType="end"/>
      </w:r>
    </w:p>
    <w:p w14:paraId="011677A4" w14:textId="77777777" w:rsidR="00D90878" w:rsidRDefault="004A4E65" w:rsidP="004A4E65">
      <w:pPr>
        <w:pStyle w:val="Titrearticle"/>
        <w:rPr>
          <w:b/>
          <w:i w:val="0"/>
        </w:rPr>
      </w:pPr>
      <w:r w:rsidRPr="00D90878">
        <w:rPr>
          <w:b/>
          <w:i w:val="0"/>
        </w:rPr>
        <w:t>Vykazovanie vlastných zdrojov</w:t>
      </w:r>
      <w:r w:rsidR="00D90878">
        <w:rPr>
          <w:b/>
          <w:i w:val="0"/>
        </w:rPr>
        <w:t xml:space="preserve"> a </w:t>
      </w:r>
      <w:r w:rsidRPr="00D90878">
        <w:rPr>
          <w:b/>
          <w:i w:val="0"/>
        </w:rPr>
        <w:t>požiadaviek na vlastné zdroje na individuálnom základe – polročné vykazovanie</w:t>
      </w:r>
    </w:p>
    <w:p w14:paraId="3284325B" w14:textId="1050A6AA" w:rsidR="00D90878" w:rsidRDefault="004A4E65" w:rsidP="005F180D">
      <w:pPr>
        <w:pStyle w:val="NumPar1"/>
        <w:numPr>
          <w:ilvl w:val="0"/>
          <w:numId w:val="15"/>
        </w:numPr>
      </w:pPr>
      <w:r w:rsidRPr="00D90878">
        <w:t>S cieľom vykazovať informácie</w:t>
      </w:r>
      <w:r w:rsidR="00D90878">
        <w:t xml:space="preserve"> o </w:t>
      </w:r>
      <w:r w:rsidRPr="00D90878">
        <w:t>vlastných zdrojoch</w:t>
      </w:r>
      <w:r w:rsidR="00D90878">
        <w:t xml:space="preserve"> a o </w:t>
      </w:r>
      <w:r w:rsidRPr="00D90878">
        <w:t>požiadavkách na vlastné zdroje</w:t>
      </w:r>
      <w:r w:rsidR="00D90878">
        <w:t xml:space="preserve"> v </w:t>
      </w:r>
      <w:r w:rsidRPr="00D90878">
        <w:t>súlade</w:t>
      </w:r>
      <w:r w:rsidR="00D90878">
        <w:t xml:space="preserve"> s </w:t>
      </w:r>
      <w:r w:rsidRPr="00D90878">
        <w:t>článkom 430 ods. 1 písm. a) nariadenia (EÚ) č. 575/2013 na individuálnom základe inštitúcie predkladajú informácie uvedené</w:t>
      </w:r>
      <w:r w:rsidR="00D90878">
        <w:t xml:space="preserve"> v </w:t>
      </w:r>
      <w:r w:rsidRPr="00D90878">
        <w:t>tomto článku polročne</w:t>
      </w:r>
      <w:r w:rsidR="00D90878">
        <w:t>.</w:t>
      </w:r>
    </w:p>
    <w:p w14:paraId="40FBE120" w14:textId="4453BA00" w:rsidR="004A4E65" w:rsidRPr="00D90878" w:rsidRDefault="004A4E65" w:rsidP="004A4E65">
      <w:pPr>
        <w:pStyle w:val="NumPar1"/>
      </w:pPr>
      <w:r w:rsidRPr="00D90878">
        <w:t>Inštitúcie predkladajú informácie</w:t>
      </w:r>
      <w:r w:rsidR="00D90878">
        <w:t xml:space="preserve"> o </w:t>
      </w:r>
      <w:r w:rsidRPr="00D90878">
        <w:t>všetkých sekuritizačných expozíciách uvedené vo vzoroch 14</w:t>
      </w:r>
      <w:r w:rsidR="00D90878">
        <w:t xml:space="preserve"> a </w:t>
      </w:r>
      <w:r w:rsidRPr="00D90878">
        <w:t>14.01 prílohy I</w:t>
      </w:r>
      <w:r w:rsidR="00D90878">
        <w:t xml:space="preserve"> v </w:t>
      </w:r>
      <w:r w:rsidRPr="00D90878">
        <w:t>súlade</w:t>
      </w:r>
      <w:r w:rsidR="00D90878">
        <w:t xml:space="preserve"> s </w:t>
      </w:r>
      <w:r w:rsidRPr="00D90878">
        <w:t>pokynmi</w:t>
      </w:r>
      <w:r w:rsidR="00D90878">
        <w:t xml:space="preserve"> v </w:t>
      </w:r>
      <w:r w:rsidRPr="00D90878">
        <w:t>časti II bode 3.8 prílohy II; okrem prípadov, ak sú súčasťou skupiny</w:t>
      </w:r>
      <w:r w:rsidR="00D90878">
        <w:t xml:space="preserve"> v </w:t>
      </w:r>
      <w:r w:rsidRPr="00D90878">
        <w:t>rovnakej krajine,</w:t>
      </w:r>
      <w:r w:rsidR="00D90878">
        <w:t xml:space="preserve"> v </w:t>
      </w:r>
      <w:r w:rsidRPr="00D90878">
        <w:t>ktorej podliehajú požiadavkám na vlastné zdroje.</w:t>
      </w:r>
    </w:p>
    <w:p w14:paraId="19F85BB9" w14:textId="01AB27D6" w:rsidR="004A4E65" w:rsidRPr="00D90878" w:rsidRDefault="004A4E65" w:rsidP="004A4E65">
      <w:pPr>
        <w:pStyle w:val="NumPar1"/>
      </w:pPr>
      <w:r w:rsidRPr="00D90878">
        <w:t>Inštitúcie predkladajú informácie</w:t>
      </w:r>
      <w:r w:rsidR="00D90878">
        <w:t xml:space="preserve"> o </w:t>
      </w:r>
      <w:r w:rsidRPr="00D90878">
        <w:t>expozíciách voči štátnym dlhopisom takto:</w:t>
      </w:r>
    </w:p>
    <w:p w14:paraId="67E38C8A" w14:textId="0BA5C4F0" w:rsidR="004A4E65" w:rsidRPr="00D90878" w:rsidRDefault="004A4E65" w:rsidP="004A4E65">
      <w:pPr>
        <w:pStyle w:val="Point1"/>
      </w:pPr>
      <w:r w:rsidRPr="00D90878">
        <w:t>a)</w:t>
      </w:r>
      <w:r w:rsidRPr="00D90878">
        <w:tab/>
        <w:t>ak sa súhrnná účtovná hodnota finančných aktív zo sektora protistrany „orgány verejnej správy“ rovná alebo je vyššia ako 1</w:t>
      </w:r>
      <w:r w:rsidR="00D90878">
        <w:t> %</w:t>
      </w:r>
      <w:r w:rsidRPr="00D90878">
        <w:t xml:space="preserve"> súčtu celkovej účtovnej hodnoty pre „dlhové cenné papiere“</w:t>
      </w:r>
      <w:r w:rsidR="00D90878">
        <w:t xml:space="preserve"> a </w:t>
      </w:r>
      <w:r w:rsidRPr="00D90878">
        <w:t>„úvery</w:t>
      </w:r>
      <w:r w:rsidR="00D90878">
        <w:t xml:space="preserve"> a </w:t>
      </w:r>
      <w:r w:rsidRPr="00D90878">
        <w:t>preddavky“, inštitúcie predkladajú informácie uvedené vo vzore 33 prílohy I</w:t>
      </w:r>
      <w:r w:rsidR="00D90878">
        <w:t xml:space="preserve"> v </w:t>
      </w:r>
      <w:r w:rsidRPr="00D90878">
        <w:t>súlade</w:t>
      </w:r>
      <w:r w:rsidR="00D90878">
        <w:t xml:space="preserve"> s </w:t>
      </w:r>
      <w:r w:rsidRPr="00D90878">
        <w:t>pokynmi uvedenými</w:t>
      </w:r>
      <w:r w:rsidR="00D90878">
        <w:t xml:space="preserve"> v </w:t>
      </w:r>
      <w:r w:rsidRPr="00D90878">
        <w:t>časti II bode 7 prílohy II</w:t>
      </w:r>
      <w:r w:rsidR="00D90878">
        <w:t xml:space="preserve"> a </w:t>
      </w:r>
      <w:r w:rsidRPr="00D90878">
        <w:t>pri výpočte príslušných hodnôt sa riadia pokynmi uvedenými</w:t>
      </w:r>
      <w:r w:rsidR="00D90878">
        <w:t xml:space="preserve"> v </w:t>
      </w:r>
      <w:r w:rsidRPr="00D90878">
        <w:t>prílohe V, pokiaľ ide</w:t>
      </w:r>
      <w:r w:rsidR="00D90878">
        <w:t xml:space="preserve"> o </w:t>
      </w:r>
      <w:r w:rsidRPr="00D90878">
        <w:t>vzor 4</w:t>
      </w:r>
      <w:r w:rsidR="00D90878">
        <w:t xml:space="preserve"> v </w:t>
      </w:r>
      <w:r w:rsidRPr="00D90878">
        <w:t>prílohe III alebo podľa potreby</w:t>
      </w:r>
      <w:r w:rsidR="00D90878">
        <w:t xml:space="preserve"> v </w:t>
      </w:r>
      <w:r w:rsidRPr="00D90878">
        <w:t>prílohe IV;</w:t>
      </w:r>
    </w:p>
    <w:p w14:paraId="1F937D26" w14:textId="771BFABD" w:rsidR="004A4E65" w:rsidRPr="00D90878" w:rsidRDefault="004A4E65" w:rsidP="004A4E65">
      <w:pPr>
        <w:pStyle w:val="Point1"/>
      </w:pPr>
      <w:r w:rsidRPr="00D90878">
        <w:lastRenderedPageBreak/>
        <w:t>b)</w:t>
      </w:r>
      <w:r w:rsidRPr="00D90878">
        <w:tab/>
        <w:t>ak je hodnota vykázaná pre domáce expozície nederivátových finančných aktív</w:t>
      </w:r>
      <w:r w:rsidR="00D90878">
        <w:t xml:space="preserve"> v </w:t>
      </w:r>
      <w:r w:rsidRPr="00D90878">
        <w:t>zmysle vymedzenia vo vzore 33</w:t>
      </w:r>
      <w:r w:rsidR="00D90878">
        <w:t xml:space="preserve"> v </w:t>
      </w:r>
      <w:r w:rsidRPr="00D90878">
        <w:t>riadku 0010 stĺpci 0010 prílohy I nižšia ako 90</w:t>
      </w:r>
      <w:r w:rsidR="00D90878">
        <w:t> %</w:t>
      </w:r>
      <w:r w:rsidRPr="00D90878">
        <w:t xml:space="preserve"> hodnoty vykázanej pre domáce</w:t>
      </w:r>
      <w:r w:rsidR="00D90878">
        <w:t xml:space="preserve"> a </w:t>
      </w:r>
      <w:r w:rsidRPr="00D90878">
        <w:t>zahraničné expozície pre rovnaké údajové body, inštitúcie, ktoré spĺňajú podmienku uvedenú</w:t>
      </w:r>
      <w:r w:rsidR="00D90878">
        <w:t xml:space="preserve"> v </w:t>
      </w:r>
      <w:r w:rsidRPr="00D90878">
        <w:t>písmene a), predkladajú informácie uvedené vo vzore 33 prílohy I</w:t>
      </w:r>
      <w:r w:rsidR="00D90878">
        <w:t xml:space="preserve"> v </w:t>
      </w:r>
      <w:r w:rsidRPr="00D90878">
        <w:t>súlade</w:t>
      </w:r>
      <w:r w:rsidR="00D90878">
        <w:t xml:space="preserve"> s </w:t>
      </w:r>
      <w:r w:rsidRPr="00D90878">
        <w:t>pokynmi</w:t>
      </w:r>
      <w:r w:rsidR="00D90878">
        <w:t xml:space="preserve"> v </w:t>
      </w:r>
      <w:r w:rsidRPr="00D90878">
        <w:t>časti II bode 7 prílohy II</w:t>
      </w:r>
      <w:r w:rsidR="00D90878">
        <w:t xml:space="preserve"> s </w:t>
      </w:r>
      <w:r w:rsidRPr="00D90878">
        <w:t>úplným rozčlenením podľa krajín;</w:t>
      </w:r>
    </w:p>
    <w:p w14:paraId="7834EDAC" w14:textId="159CD404" w:rsidR="004A4E65" w:rsidRPr="00D90878" w:rsidRDefault="004A4E65" w:rsidP="004A4E65">
      <w:pPr>
        <w:pStyle w:val="Point1"/>
      </w:pPr>
      <w:r w:rsidRPr="00D90878">
        <w:t>c)</w:t>
      </w:r>
      <w:r w:rsidRPr="00D90878">
        <w:tab/>
        <w:t>inštitúcie, ktoré spĺňajú podmienky uvedené</w:t>
      </w:r>
      <w:r w:rsidR="00D90878">
        <w:t xml:space="preserve"> v </w:t>
      </w:r>
      <w:r w:rsidRPr="00D90878">
        <w:t>písmene a)</w:t>
      </w:r>
      <w:r w:rsidR="00D90878">
        <w:t xml:space="preserve"> a </w:t>
      </w:r>
      <w:r w:rsidRPr="00D90878">
        <w:t>nespĺňajú podmienku uvedenú</w:t>
      </w:r>
      <w:r w:rsidR="00D90878">
        <w:t xml:space="preserve"> v </w:t>
      </w:r>
      <w:r w:rsidRPr="00D90878">
        <w:t>písmene b), predkladajú informácie uvedené vo vzore 33</w:t>
      </w:r>
      <w:r w:rsidR="00D90878">
        <w:t xml:space="preserve"> v </w:t>
      </w:r>
      <w:r w:rsidRPr="00D90878">
        <w:t>súlade</w:t>
      </w:r>
      <w:r w:rsidR="00D90878">
        <w:t xml:space="preserve"> s </w:t>
      </w:r>
      <w:r w:rsidRPr="00D90878">
        <w:t>pokynmi</w:t>
      </w:r>
      <w:r w:rsidR="00D90878">
        <w:t xml:space="preserve"> v </w:t>
      </w:r>
      <w:r w:rsidRPr="00D90878">
        <w:t>časti II bode 7 prílohy II</w:t>
      </w:r>
      <w:r w:rsidR="00D90878">
        <w:t xml:space="preserve"> s </w:t>
      </w:r>
      <w:r w:rsidRPr="00D90878">
        <w:t>expozíciami agregovanými na:</w:t>
      </w:r>
    </w:p>
    <w:p w14:paraId="218EDBA5" w14:textId="77777777" w:rsidR="004A4E65" w:rsidRPr="00D90878" w:rsidRDefault="004A4E65" w:rsidP="004A4E65">
      <w:pPr>
        <w:pStyle w:val="Point1"/>
        <w:ind w:firstLine="0"/>
      </w:pPr>
      <w:r w:rsidRPr="00D90878">
        <w:t>i) celkovej úrovni; a</w:t>
      </w:r>
    </w:p>
    <w:p w14:paraId="008CFBAC" w14:textId="77777777" w:rsidR="004A4E65" w:rsidRPr="00D90878" w:rsidRDefault="004A4E65" w:rsidP="004A4E65">
      <w:pPr>
        <w:pStyle w:val="Point1"/>
        <w:ind w:firstLine="0"/>
      </w:pPr>
      <w:r w:rsidRPr="00D90878">
        <w:t>ii) domácej úrovni.</w:t>
      </w:r>
    </w:p>
    <w:p w14:paraId="3B9FA7D6" w14:textId="54A8CF7F" w:rsidR="004A4E65" w:rsidRPr="00D90878" w:rsidRDefault="004A4E65" w:rsidP="004A4E65">
      <w:pPr>
        <w:pStyle w:val="Text1"/>
      </w:pPr>
      <w:r w:rsidRPr="00D90878">
        <w:t>Uplatňujú sa kritériá vstupu</w:t>
      </w:r>
      <w:r w:rsidR="00D90878">
        <w:t xml:space="preserve"> a </w:t>
      </w:r>
      <w:r w:rsidRPr="00D90878">
        <w:t>výstupu stanovené</w:t>
      </w:r>
      <w:r w:rsidR="00D90878">
        <w:t xml:space="preserve"> v </w:t>
      </w:r>
      <w:r w:rsidRPr="00D90878">
        <w:t>článku 4 ods. 3.</w:t>
      </w:r>
    </w:p>
    <w:p w14:paraId="76F698FA" w14:textId="621188A8" w:rsidR="004A4E65" w:rsidRPr="00D90878" w:rsidRDefault="004A4E65" w:rsidP="004A4E65">
      <w:pPr>
        <w:pStyle w:val="NumPar1"/>
      </w:pPr>
      <w:r w:rsidRPr="00D90878">
        <w:t>Informácie</w:t>
      </w:r>
      <w:r w:rsidR="00D90878">
        <w:t xml:space="preserve"> o </w:t>
      </w:r>
      <w:r w:rsidRPr="00D90878">
        <w:t>významných stratách týkajúcich sa operačného rizika sa vykazujú takto:</w:t>
      </w:r>
    </w:p>
    <w:p w14:paraId="6D57AB20" w14:textId="3A489AFA" w:rsidR="004A4E65" w:rsidRPr="00D90878" w:rsidRDefault="004A4E65" w:rsidP="004A4E65">
      <w:pPr>
        <w:pStyle w:val="Point1"/>
      </w:pPr>
      <w:r w:rsidRPr="00D90878">
        <w:t>a)</w:t>
      </w:r>
      <w:r w:rsidRPr="00D90878">
        <w:tab/>
        <w:t>inštitúcie, ktoré vypočítavajú požiadavky na vlastné zdroje súvisiace</w:t>
      </w:r>
      <w:r w:rsidR="00D90878">
        <w:t xml:space="preserve"> s </w:t>
      </w:r>
      <w:r w:rsidRPr="00D90878">
        <w:t>operačným rizikom</w:t>
      </w:r>
      <w:r w:rsidR="00D90878">
        <w:t xml:space="preserve"> v </w:t>
      </w:r>
      <w:r w:rsidRPr="00D90878">
        <w:t>súlade</w:t>
      </w:r>
      <w:r w:rsidR="00D90878">
        <w:t xml:space="preserve"> s </w:t>
      </w:r>
      <w:r w:rsidRPr="00D90878">
        <w:t>treťou časťou hlavou III kapitolou 4 nariadenia (EÚ) č. 575/2013, vykazujú tieto informácie uvedené vo vzoroch 17.01</w:t>
      </w:r>
      <w:r w:rsidR="00D90878">
        <w:t xml:space="preserve"> a </w:t>
      </w:r>
      <w:r w:rsidRPr="00D90878">
        <w:t>17.02 prílohy I</w:t>
      </w:r>
      <w:r w:rsidR="00D90878">
        <w:t xml:space="preserve"> v </w:t>
      </w:r>
      <w:r w:rsidRPr="00D90878">
        <w:t>súlade</w:t>
      </w:r>
      <w:r w:rsidR="00D90878">
        <w:t xml:space="preserve"> s </w:t>
      </w:r>
      <w:r w:rsidRPr="00D90878">
        <w:t>pokynmi</w:t>
      </w:r>
      <w:r w:rsidR="00D90878">
        <w:t xml:space="preserve"> v </w:t>
      </w:r>
      <w:r w:rsidRPr="00D90878">
        <w:t>časti II bode 4.2 prílohy II;</w:t>
      </w:r>
    </w:p>
    <w:p w14:paraId="574CD1A6" w14:textId="37229D84" w:rsidR="004A4E65" w:rsidRPr="00D90878" w:rsidRDefault="004A4E65" w:rsidP="004A4E65">
      <w:pPr>
        <w:pStyle w:val="Point1"/>
      </w:pPr>
      <w:r w:rsidRPr="00D90878">
        <w:t>b)</w:t>
      </w:r>
      <w:r w:rsidRPr="00D90878">
        <w:tab/>
        <w:t>veľké inštitúcie, ktoré vypočítavajú požiadavky na vlastné zdroje týkajúce sa operačného rizika</w:t>
      </w:r>
      <w:r w:rsidR="00D90878">
        <w:t xml:space="preserve"> v </w:t>
      </w:r>
      <w:r w:rsidRPr="00D90878">
        <w:t>súlade</w:t>
      </w:r>
      <w:r w:rsidR="00D90878">
        <w:t xml:space="preserve"> s </w:t>
      </w:r>
      <w:r w:rsidRPr="00D90878">
        <w:t>treťou časťou hlavou III kapitolou 3 nariadenia (EÚ) č. 575/2013, vykazujú tieto informácie uvedené vo vzoroch 17.01</w:t>
      </w:r>
      <w:r w:rsidR="00D90878">
        <w:t xml:space="preserve"> a </w:t>
      </w:r>
      <w:r w:rsidRPr="00D90878">
        <w:t>17.02 prílohy I</w:t>
      </w:r>
      <w:r w:rsidR="00D90878">
        <w:t xml:space="preserve"> v </w:t>
      </w:r>
      <w:r w:rsidRPr="00D90878">
        <w:t>súlade</w:t>
      </w:r>
      <w:r w:rsidR="00D90878">
        <w:t xml:space="preserve"> s </w:t>
      </w:r>
      <w:r w:rsidRPr="00D90878">
        <w:t>pokynmi</w:t>
      </w:r>
      <w:r w:rsidR="00D90878">
        <w:t xml:space="preserve"> v </w:t>
      </w:r>
      <w:r w:rsidRPr="00D90878">
        <w:t>časti II bode 4.2 prílohy II;</w:t>
      </w:r>
    </w:p>
    <w:p w14:paraId="3913C437" w14:textId="6F60201F" w:rsidR="004A4E65" w:rsidRPr="00D90878" w:rsidRDefault="004A4E65" w:rsidP="004A4E65">
      <w:pPr>
        <w:pStyle w:val="Point1"/>
      </w:pPr>
      <w:r w:rsidRPr="00D90878">
        <w:t>c)</w:t>
      </w:r>
      <w:r w:rsidRPr="00D90878">
        <w:tab/>
        <w:t>inštitúcie iné ako veľké inštitúcie, ktoré vypočítavajú požiadavky na vlastné zdroje týkajúce sa operačného rizika</w:t>
      </w:r>
      <w:r w:rsidR="00D90878">
        <w:t xml:space="preserve"> v </w:t>
      </w:r>
      <w:r w:rsidRPr="00D90878">
        <w:t>súlade</w:t>
      </w:r>
      <w:r w:rsidR="00D90878">
        <w:t xml:space="preserve"> s </w:t>
      </w:r>
      <w:r w:rsidRPr="00D90878">
        <w:t>treťou časťou hlavou III kapitolou 3 nariadenia (EÚ) č. 575/2013, vykazujú</w:t>
      </w:r>
      <w:r w:rsidR="00D90878">
        <w:t xml:space="preserve"> v </w:t>
      </w:r>
      <w:r w:rsidRPr="00D90878">
        <w:t>súlade</w:t>
      </w:r>
      <w:r w:rsidR="00D90878">
        <w:t xml:space="preserve"> s </w:t>
      </w:r>
      <w:r w:rsidRPr="00D90878">
        <w:t>pokynmi</w:t>
      </w:r>
      <w:r w:rsidR="00D90878">
        <w:t xml:space="preserve"> v </w:t>
      </w:r>
      <w:r w:rsidRPr="00D90878">
        <w:t>časti II bode 4.2 prílohy II tieto informácie:</w:t>
      </w:r>
    </w:p>
    <w:p w14:paraId="465B55EF" w14:textId="553664FB" w:rsidR="004A4E65" w:rsidRPr="00D90878" w:rsidRDefault="004A4E65" w:rsidP="004A4E65">
      <w:pPr>
        <w:pStyle w:val="Point2"/>
      </w:pPr>
      <w:r w:rsidRPr="00D90878">
        <w:t>i)</w:t>
      </w:r>
      <w:r w:rsidRPr="00D90878">
        <w:tab/>
        <w:t>informácie uvedené vo vzore 17.01</w:t>
      </w:r>
      <w:r w:rsidR="00D90878">
        <w:t xml:space="preserve"> v </w:t>
      </w:r>
      <w:r w:rsidRPr="00D90878">
        <w:t>stĺpci 0080 prílohy I pre tieto riadky:</w:t>
      </w:r>
    </w:p>
    <w:p w14:paraId="38FC9781" w14:textId="77777777" w:rsidR="004A4E65" w:rsidRPr="00D90878" w:rsidRDefault="004A4E65" w:rsidP="004A4E65">
      <w:pPr>
        <w:pStyle w:val="Point3"/>
      </w:pPr>
      <w:r w:rsidRPr="00D90878">
        <w:t>–</w:t>
      </w:r>
      <w:r w:rsidRPr="00D90878">
        <w:tab/>
        <w:t>počet udalostí (nové udalosti) (riadok 0910),</w:t>
      </w:r>
    </w:p>
    <w:p w14:paraId="4D4CF5FF" w14:textId="77777777" w:rsidR="004A4E65" w:rsidRPr="00D90878" w:rsidRDefault="004A4E65" w:rsidP="004A4E65">
      <w:pPr>
        <w:pStyle w:val="Point3"/>
      </w:pPr>
      <w:r w:rsidRPr="00D90878">
        <w:t>–</w:t>
      </w:r>
      <w:r w:rsidRPr="00D90878">
        <w:tab/>
        <w:t>hrubá výška straty (nové udalosti) (riadok 0920),</w:t>
      </w:r>
    </w:p>
    <w:p w14:paraId="1C861214" w14:textId="77777777" w:rsidR="004A4E65" w:rsidRPr="00D90878" w:rsidRDefault="004A4E65" w:rsidP="004A4E65">
      <w:pPr>
        <w:pStyle w:val="Point3"/>
      </w:pPr>
      <w:r w:rsidRPr="00D90878">
        <w:t>–</w:t>
      </w:r>
      <w:r w:rsidRPr="00D90878">
        <w:tab/>
        <w:t>počet udalostí podliehajúcich stratovým úpravám (riadok 0930),</w:t>
      </w:r>
    </w:p>
    <w:p w14:paraId="5E7045F5" w14:textId="77777777" w:rsidR="004A4E65" w:rsidRPr="00D90878" w:rsidRDefault="004A4E65" w:rsidP="004A4E65">
      <w:pPr>
        <w:pStyle w:val="Point3"/>
      </w:pPr>
      <w:r w:rsidRPr="00D90878">
        <w:t>–</w:t>
      </w:r>
      <w:r w:rsidRPr="00D90878">
        <w:tab/>
        <w:t>stratové úpravy týkajúce sa predchádzajúcich vykazovaných období (riadok 0940),</w:t>
      </w:r>
    </w:p>
    <w:p w14:paraId="3A06C03C" w14:textId="77777777" w:rsidR="00D90878" w:rsidRDefault="004A4E65" w:rsidP="004A4E65">
      <w:pPr>
        <w:pStyle w:val="Point3"/>
      </w:pPr>
      <w:r w:rsidRPr="00D90878">
        <w:t>–</w:t>
      </w:r>
      <w:r w:rsidRPr="00D90878">
        <w:tab/>
        <w:t>maximálna samostatná strata (riadok 0950),</w:t>
      </w:r>
    </w:p>
    <w:p w14:paraId="5C63649B" w14:textId="55F884AD" w:rsidR="004A4E65" w:rsidRPr="00D90878" w:rsidRDefault="004A4E65" w:rsidP="004A4E65">
      <w:pPr>
        <w:pStyle w:val="Point3"/>
      </w:pPr>
      <w:r w:rsidRPr="00D90878">
        <w:t>–</w:t>
      </w:r>
      <w:r w:rsidRPr="00D90878">
        <w:tab/>
        <w:t>súčet piatich najväčších strát (riadok 0960),</w:t>
      </w:r>
    </w:p>
    <w:p w14:paraId="6C176440" w14:textId="47475356" w:rsidR="004A4E65" w:rsidRPr="00D90878" w:rsidRDefault="004A4E65" w:rsidP="004A4E65">
      <w:pPr>
        <w:pStyle w:val="Point3"/>
      </w:pPr>
      <w:r w:rsidRPr="00D90878">
        <w:t>–</w:t>
      </w:r>
      <w:r w:rsidRPr="00D90878">
        <w:tab/>
        <w:t>celková priama náhrada straty (okrem poistenia</w:t>
      </w:r>
      <w:r w:rsidR="00D90878">
        <w:t xml:space="preserve"> a </w:t>
      </w:r>
      <w:r w:rsidRPr="00D90878">
        <w:t>iných mechanizmov prenosu rizika) (riadok 0970),</w:t>
      </w:r>
    </w:p>
    <w:p w14:paraId="7853792E" w14:textId="77777777" w:rsidR="00D90878" w:rsidRDefault="004A4E65" w:rsidP="004A4E65">
      <w:pPr>
        <w:pStyle w:val="Point3"/>
      </w:pPr>
      <w:r w:rsidRPr="00D90878">
        <w:t>–</w:t>
      </w:r>
      <w:r w:rsidRPr="00D90878">
        <w:tab/>
        <w:t>celkové náhrady</w:t>
      </w:r>
      <w:r w:rsidR="00D90878">
        <w:t xml:space="preserve"> z </w:t>
      </w:r>
      <w:r w:rsidRPr="00D90878">
        <w:t>poistenia</w:t>
      </w:r>
      <w:r w:rsidR="00D90878">
        <w:t xml:space="preserve"> a </w:t>
      </w:r>
      <w:r w:rsidRPr="00D90878">
        <w:t>iných mechanizmov prenosu rizika (riadok 0980),</w:t>
      </w:r>
    </w:p>
    <w:p w14:paraId="0825DE8D" w14:textId="30098581" w:rsidR="004A4E65" w:rsidRPr="00D90878" w:rsidRDefault="004A4E65" w:rsidP="004A4E65">
      <w:pPr>
        <w:pStyle w:val="Point2"/>
      </w:pPr>
      <w:r w:rsidRPr="00D90878">
        <w:t>ii)</w:t>
      </w:r>
      <w:r w:rsidRPr="00D90878">
        <w:tab/>
        <w:t>informácie uvedené vo vzore 17.02 prílohy I.</w:t>
      </w:r>
    </w:p>
    <w:p w14:paraId="2FD7698B" w14:textId="79C9E758" w:rsidR="004A4E65" w:rsidRPr="00D90878" w:rsidRDefault="004A4E65" w:rsidP="004A4E65">
      <w:pPr>
        <w:pStyle w:val="Point1"/>
      </w:pPr>
      <w:r w:rsidRPr="00D90878">
        <w:lastRenderedPageBreak/>
        <w:t>d)</w:t>
      </w:r>
      <w:r w:rsidRPr="00D90878">
        <w:tab/>
        <w:t>inštitúcie uvedené</w:t>
      </w:r>
      <w:r w:rsidR="00D90878">
        <w:t xml:space="preserve"> v </w:t>
      </w:r>
      <w:r w:rsidRPr="00D90878">
        <w:t>písmene c) môžu vykazovať všetky informácie uvedené vo vzoroch 17.01</w:t>
      </w:r>
      <w:r w:rsidR="00D90878">
        <w:t xml:space="preserve"> a </w:t>
      </w:r>
      <w:r w:rsidRPr="00D90878">
        <w:t>17.02 prílohy I</w:t>
      </w:r>
      <w:r w:rsidR="00D90878">
        <w:t xml:space="preserve"> v </w:t>
      </w:r>
      <w:r w:rsidRPr="00D90878">
        <w:t>súlade</w:t>
      </w:r>
      <w:r w:rsidR="00D90878">
        <w:t xml:space="preserve"> s </w:t>
      </w:r>
      <w:r w:rsidRPr="00D90878">
        <w:t>pokynmi</w:t>
      </w:r>
      <w:r w:rsidR="00D90878">
        <w:t xml:space="preserve"> v </w:t>
      </w:r>
      <w:r w:rsidRPr="00D90878">
        <w:t>časti II bode 4.2 prílohy II;</w:t>
      </w:r>
    </w:p>
    <w:p w14:paraId="75F8B450" w14:textId="5CD9CEF9" w:rsidR="004A4E65" w:rsidRPr="00D90878" w:rsidRDefault="004A4E65" w:rsidP="004A4E65">
      <w:pPr>
        <w:pStyle w:val="Point1"/>
      </w:pPr>
      <w:r w:rsidRPr="00D90878">
        <w:t>e)</w:t>
      </w:r>
      <w:r w:rsidRPr="00D90878">
        <w:tab/>
        <w:t>veľké inštitúcie, ktoré vypočítavajú požiadavky na vlastné zdroje týkajúce sa operačného rizika</w:t>
      </w:r>
      <w:r w:rsidR="00D90878">
        <w:t xml:space="preserve"> v </w:t>
      </w:r>
      <w:r w:rsidRPr="00D90878">
        <w:t>súlade</w:t>
      </w:r>
      <w:r w:rsidR="00D90878">
        <w:t xml:space="preserve"> s </w:t>
      </w:r>
      <w:r w:rsidRPr="00D90878">
        <w:t>treťou časťou hlavou III kapitolou 2 nariadenia (EÚ) č. 575/2013, vykazujú informácie uvedené vo vzoroch 17.01</w:t>
      </w:r>
      <w:r w:rsidR="00D90878">
        <w:t xml:space="preserve"> a </w:t>
      </w:r>
      <w:r w:rsidRPr="00D90878">
        <w:t>17.02 prílohy I</w:t>
      </w:r>
      <w:r w:rsidR="00D90878">
        <w:t xml:space="preserve"> v </w:t>
      </w:r>
      <w:r w:rsidRPr="00D90878">
        <w:t>súlade</w:t>
      </w:r>
      <w:r w:rsidR="00D90878">
        <w:t xml:space="preserve"> s </w:t>
      </w:r>
      <w:r w:rsidRPr="00D90878">
        <w:t>pokynmi</w:t>
      </w:r>
      <w:r w:rsidR="00D90878">
        <w:t xml:space="preserve"> v </w:t>
      </w:r>
      <w:r w:rsidRPr="00D90878">
        <w:t>časti II bode 4.2 prílohy II;</w:t>
      </w:r>
    </w:p>
    <w:p w14:paraId="612A5174" w14:textId="585DAA79" w:rsidR="004A4E65" w:rsidRPr="00D90878" w:rsidRDefault="004A4E65" w:rsidP="004A4E65">
      <w:pPr>
        <w:pStyle w:val="Point1"/>
      </w:pPr>
      <w:r w:rsidRPr="00D90878">
        <w:t>f)</w:t>
      </w:r>
      <w:r w:rsidRPr="00D90878">
        <w:tab/>
        <w:t>inštitúcie iné ako veľké inštitúcie, ktoré vypočítavajú požiadavky na vlastné zdroje týkajúce sa operačného rizika</w:t>
      </w:r>
      <w:r w:rsidR="00D90878">
        <w:t xml:space="preserve"> v </w:t>
      </w:r>
      <w:r w:rsidRPr="00D90878">
        <w:t>súlade</w:t>
      </w:r>
      <w:r w:rsidR="00D90878">
        <w:t xml:space="preserve"> s </w:t>
      </w:r>
      <w:r w:rsidRPr="00D90878">
        <w:t>treťou časťou hlavou III kapitolou 2 nariadenia (EÚ) č. 575/2013, môžu vykazovať informácie uvedené vo vzoroch 17.01</w:t>
      </w:r>
      <w:r w:rsidR="00D90878">
        <w:t xml:space="preserve"> a </w:t>
      </w:r>
      <w:r w:rsidRPr="00D90878">
        <w:t>17.02 prílohy I</w:t>
      </w:r>
      <w:r w:rsidR="00D90878">
        <w:t xml:space="preserve"> v </w:t>
      </w:r>
      <w:r w:rsidRPr="00D90878">
        <w:t>súlade</w:t>
      </w:r>
      <w:r w:rsidR="00D90878">
        <w:t xml:space="preserve"> s </w:t>
      </w:r>
      <w:r w:rsidRPr="00D90878">
        <w:t>pokynmi</w:t>
      </w:r>
      <w:r w:rsidR="00D90878">
        <w:t xml:space="preserve"> v </w:t>
      </w:r>
      <w:r w:rsidRPr="00D90878">
        <w:t>časti II bode 4.2 prílohy II.</w:t>
      </w:r>
    </w:p>
    <w:p w14:paraId="2F83BAAA" w14:textId="6F365033" w:rsidR="004A4E65" w:rsidRPr="00D90878" w:rsidRDefault="004A4E65" w:rsidP="004A4E65">
      <w:pPr>
        <w:pStyle w:val="Text1"/>
      </w:pPr>
      <w:r w:rsidRPr="00D90878">
        <w:t>Uplatňujú sa kritériá vstupu</w:t>
      </w:r>
      <w:r w:rsidR="00D90878">
        <w:t xml:space="preserve"> a </w:t>
      </w:r>
      <w:r w:rsidRPr="00D90878">
        <w:t>výstupu stanovené</w:t>
      </w:r>
      <w:r w:rsidR="00D90878">
        <w:t xml:space="preserve"> v </w:t>
      </w:r>
      <w:r w:rsidRPr="00D90878">
        <w:t>článku 4 ods. 3.</w:t>
      </w:r>
    </w:p>
    <w:p w14:paraId="490166B3" w14:textId="18628D8C" w:rsidR="00496B08" w:rsidRPr="00D90878" w:rsidRDefault="004A4E65" w:rsidP="004A4E65">
      <w:pPr>
        <w:pStyle w:val="NumPar1"/>
      </w:pPr>
      <w:r w:rsidRPr="00D90878">
        <w:t>Inštitúcie, ktoré uplatňujú zjednodušený štandardizovaný prístup alebo metódu pôvodnej expozície na výpočet expozícií voči kreditnému riziku protistrany</w:t>
      </w:r>
      <w:r w:rsidR="00D90878">
        <w:t xml:space="preserve"> v </w:t>
      </w:r>
      <w:r w:rsidRPr="00D90878">
        <w:t>súlade</w:t>
      </w:r>
      <w:r w:rsidR="00D90878">
        <w:t xml:space="preserve"> s </w:t>
      </w:r>
      <w:r w:rsidRPr="00D90878">
        <w:t>treťou časťou hlavou II kapitolou 6 oddielmi 4</w:t>
      </w:r>
      <w:r w:rsidR="00D90878">
        <w:t xml:space="preserve"> a </w:t>
      </w:r>
      <w:r w:rsidRPr="00D90878">
        <w:t>5 nariadenia (EÚ) č. 575/2013, predkladajú informácie</w:t>
      </w:r>
      <w:r w:rsidR="00D90878">
        <w:t xml:space="preserve"> o </w:t>
      </w:r>
      <w:r w:rsidRPr="00D90878">
        <w:t>kreditnom riziku protistrany uvedené vo vzore 34.06 prílohy I</w:t>
      </w:r>
      <w:r w:rsidR="00D90878">
        <w:t xml:space="preserve"> v </w:t>
      </w:r>
      <w:r w:rsidRPr="00D90878">
        <w:t>súlade</w:t>
      </w:r>
      <w:r w:rsidR="00D90878">
        <w:t xml:space="preserve"> s </w:t>
      </w:r>
      <w:r w:rsidRPr="00D90878">
        <w:t>pokynmi</w:t>
      </w:r>
      <w:r w:rsidR="00D90878">
        <w:t xml:space="preserve"> v </w:t>
      </w:r>
      <w:r w:rsidRPr="00D90878">
        <w:t>časti II bode 3.9.7 prílohy II.</w:t>
      </w:r>
    </w:p>
    <w:p w14:paraId="6414DB48"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7</w:t>
      </w:r>
      <w:r w:rsidR="00C52BCC" w:rsidRPr="00D90878">
        <w:fldChar w:fldCharType="end"/>
      </w:r>
    </w:p>
    <w:p w14:paraId="0F2D57CA" w14:textId="14B710F9" w:rsidR="00FE0C02" w:rsidRPr="00D90878" w:rsidRDefault="00FE0C02" w:rsidP="00FE0C02">
      <w:pPr>
        <w:pStyle w:val="Titrearticle"/>
        <w:spacing w:before="120"/>
        <w:rPr>
          <w:b/>
          <w:i w:val="0"/>
        </w:rPr>
      </w:pPr>
      <w:r w:rsidRPr="00D90878">
        <w:rPr>
          <w:b/>
          <w:i w:val="0"/>
        </w:rPr>
        <w:t>Vykazovanie vlastných zdrojov</w:t>
      </w:r>
      <w:r w:rsidR="00D90878">
        <w:rPr>
          <w:b/>
          <w:i w:val="0"/>
        </w:rPr>
        <w:t xml:space="preserve"> a </w:t>
      </w:r>
      <w:r w:rsidRPr="00D90878">
        <w:rPr>
          <w:b/>
          <w:i w:val="0"/>
        </w:rPr>
        <w:t>požiadaviek na vlastné zdroje na konsolidovanom základe</w:t>
      </w:r>
    </w:p>
    <w:p w14:paraId="598D92CF" w14:textId="4350A9E2" w:rsidR="00FE0C02" w:rsidRPr="00D90878" w:rsidRDefault="00FE0C02" w:rsidP="00FE0C02">
      <w:pPr>
        <w:widowControl w:val="0"/>
        <w:autoSpaceDE w:val="0"/>
        <w:autoSpaceDN w:val="0"/>
        <w:spacing w:line="228" w:lineRule="auto"/>
      </w:pPr>
      <w:r w:rsidRPr="00D90878">
        <w:t>S cieľom vykazovať informácie</w:t>
      </w:r>
      <w:r w:rsidR="00D90878">
        <w:t xml:space="preserve"> o </w:t>
      </w:r>
      <w:r w:rsidRPr="00D90878">
        <w:t>vlastných zdrojoch</w:t>
      </w:r>
      <w:r w:rsidR="00D90878">
        <w:t xml:space="preserve"> a o </w:t>
      </w:r>
      <w:r w:rsidRPr="00D90878">
        <w:t>požiadavkách na vlastné zdroje</w:t>
      </w:r>
      <w:r w:rsidR="00D90878">
        <w:t xml:space="preserve"> v </w:t>
      </w:r>
      <w:r w:rsidRPr="00D90878">
        <w:t>súlade</w:t>
      </w:r>
      <w:r w:rsidR="00D90878">
        <w:t xml:space="preserve"> s </w:t>
      </w:r>
      <w:r w:rsidRPr="00D90878">
        <w:t>článkom 430 ods. 1 písm. a) nariadenia (EÚ) č. 575/2013 na konsolidovanom základe inštitúcie predkladajú informácie uvedené:</w:t>
      </w:r>
    </w:p>
    <w:p w14:paraId="2745F268" w14:textId="6A3626A8" w:rsidR="00FE0C02" w:rsidRPr="00D90878" w:rsidRDefault="00FE0C02" w:rsidP="00FE0C02">
      <w:pPr>
        <w:pStyle w:val="Point1"/>
      </w:pPr>
      <w:r w:rsidRPr="00D90878">
        <w:t>a)</w:t>
      </w:r>
      <w:r w:rsidRPr="00D90878">
        <w:tab/>
        <w:t>v článkoch 5</w:t>
      </w:r>
      <w:r w:rsidR="00D90878">
        <w:t xml:space="preserve"> a </w:t>
      </w:r>
      <w:r w:rsidRPr="00D90878">
        <w:t>6 tohto vykonávacieho nariadenia na konsolidovanom základe</w:t>
      </w:r>
      <w:r w:rsidR="00D90878">
        <w:t xml:space="preserve"> s </w:t>
      </w:r>
      <w:r w:rsidRPr="00D90878">
        <w:t>frekvenciou, ktorá je</w:t>
      </w:r>
      <w:r w:rsidR="00D90878">
        <w:t xml:space="preserve"> v </w:t>
      </w:r>
      <w:r w:rsidRPr="00D90878">
        <w:t>nich uvedená; a</w:t>
      </w:r>
    </w:p>
    <w:p w14:paraId="41714624" w14:textId="709105B0" w:rsidR="00FE0C02" w:rsidRPr="00D90878" w:rsidRDefault="00FE0C02" w:rsidP="00FE0C02">
      <w:pPr>
        <w:pStyle w:val="Point1"/>
      </w:pPr>
      <w:r w:rsidRPr="00D90878">
        <w:t>b)</w:t>
      </w:r>
      <w:r w:rsidRPr="00D90878">
        <w:tab/>
        <w:t>vo vzore 6 prílohy I</w:t>
      </w:r>
      <w:r w:rsidR="00D90878">
        <w:t xml:space="preserve"> v </w:t>
      </w:r>
      <w:r w:rsidRPr="00D90878">
        <w:t>súlade</w:t>
      </w:r>
      <w:r w:rsidR="00D90878">
        <w:t xml:space="preserve"> s </w:t>
      </w:r>
      <w:r w:rsidRPr="00D90878">
        <w:t>pokynmi uvedenými</w:t>
      </w:r>
      <w:r w:rsidR="00D90878">
        <w:t xml:space="preserve"> v </w:t>
      </w:r>
      <w:r w:rsidRPr="00D90878">
        <w:t>časti II bode 2 prílohy II týkajúce sa subjektov zahrnutých do rozsahu pôsobnosti konsolidácie polročne.</w:t>
      </w:r>
    </w:p>
    <w:p w14:paraId="319C9C0F" w14:textId="77777777" w:rsidR="00FE0C02" w:rsidRPr="00D90878" w:rsidRDefault="00FE0C02" w:rsidP="00FE0C02">
      <w:pPr>
        <w:pStyle w:val="Titrearticle"/>
      </w:pPr>
      <w:r w:rsidRPr="00D90878">
        <w:t>Článok 8</w:t>
      </w:r>
    </w:p>
    <w:p w14:paraId="601BC224" w14:textId="6E334A3D" w:rsidR="00FE0C02" w:rsidRPr="00D90878" w:rsidRDefault="00FE0C02" w:rsidP="00FE0C02">
      <w:pPr>
        <w:pStyle w:val="Titrearticle"/>
        <w:rPr>
          <w:b/>
          <w:i w:val="0"/>
        </w:rPr>
      </w:pPr>
      <w:r w:rsidRPr="00D90878">
        <w:rPr>
          <w:b/>
          <w:i w:val="0"/>
        </w:rPr>
        <w:t>Vykazovanie vlastných zdrojov</w:t>
      </w:r>
      <w:r w:rsidR="00D90878">
        <w:rPr>
          <w:b/>
          <w:i w:val="0"/>
        </w:rPr>
        <w:t xml:space="preserve"> a </w:t>
      </w:r>
      <w:r w:rsidRPr="00D90878">
        <w:rPr>
          <w:b/>
          <w:i w:val="0"/>
        </w:rPr>
        <w:t>požiadaviek na vlastné zdroje – dodatočné požiadavky na vykazovanie na individuálnom</w:t>
      </w:r>
      <w:r w:rsidR="00D90878">
        <w:rPr>
          <w:b/>
          <w:i w:val="0"/>
        </w:rPr>
        <w:t xml:space="preserve"> a </w:t>
      </w:r>
      <w:r w:rsidRPr="00D90878">
        <w:rPr>
          <w:b/>
          <w:i w:val="0"/>
        </w:rPr>
        <w:t>konsolidovanom základe</w:t>
      </w:r>
    </w:p>
    <w:p w14:paraId="23F3BEFD" w14:textId="61E19FA5" w:rsidR="00FE0C02" w:rsidRPr="00D90878" w:rsidRDefault="00125634" w:rsidP="005F180D">
      <w:pPr>
        <w:pStyle w:val="NumPar1"/>
        <w:numPr>
          <w:ilvl w:val="0"/>
          <w:numId w:val="16"/>
        </w:numPr>
      </w:pPr>
      <w:r w:rsidRPr="00D90878">
        <w:t>Inštitúcie, na ktoré sa vzťahuje požiadavka zverejňovať informácie uvedené</w:t>
      </w:r>
      <w:r w:rsidR="00D90878">
        <w:t xml:space="preserve"> v </w:t>
      </w:r>
      <w:r w:rsidRPr="00D90878">
        <w:t>článku 438 písm. e) alebo h) alebo</w:t>
      </w:r>
      <w:r w:rsidR="00D90878">
        <w:t xml:space="preserve"> v </w:t>
      </w:r>
      <w:r w:rsidRPr="00D90878">
        <w:t>článku 452 písm. b),</w:t>
      </w:r>
      <w:r w:rsidR="00D90878">
        <w:t xml:space="preserve"> g) alebo h) nariadenia (EÚ) č. </w:t>
      </w:r>
      <w:r w:rsidRPr="00D90878">
        <w:t>575/2013</w:t>
      </w:r>
      <w:r w:rsidR="00D90878">
        <w:t xml:space="preserve"> s </w:t>
      </w:r>
      <w:r w:rsidRPr="00D90878">
        <w:t>frekvenciou stanovenou</w:t>
      </w:r>
      <w:r w:rsidR="00D90878">
        <w:t xml:space="preserve"> v </w:t>
      </w:r>
      <w:r w:rsidRPr="00D90878">
        <w:t>článku 433a alebo prípadne</w:t>
      </w:r>
      <w:r w:rsidR="00D90878">
        <w:t xml:space="preserve"> v </w:t>
      </w:r>
      <w:r w:rsidRPr="00D90878">
        <w:t>článku 433c na individuálnom základe</w:t>
      </w:r>
      <w:r w:rsidR="00D90878">
        <w:t xml:space="preserve"> v </w:t>
      </w:r>
      <w:r w:rsidRPr="00D90878">
        <w:t>súlade</w:t>
      </w:r>
      <w:r w:rsidR="00D90878">
        <w:t xml:space="preserve"> s </w:t>
      </w:r>
      <w:r w:rsidRPr="00D90878">
        <w:t>článkom 6 alebo prípadne na konsolidovanom základe</w:t>
      </w:r>
      <w:r w:rsidR="00D90878">
        <w:t xml:space="preserve"> v </w:t>
      </w:r>
      <w:r w:rsidRPr="00D90878">
        <w:t>súlade</w:t>
      </w:r>
      <w:r w:rsidR="00D90878">
        <w:t xml:space="preserve"> s </w:t>
      </w:r>
      <w:r w:rsidRPr="00D90878">
        <w:t>článkom 13 uvedeného nariadenia, predkladajú informácie</w:t>
      </w:r>
      <w:r w:rsidR="00D90878">
        <w:t xml:space="preserve"> o </w:t>
      </w:r>
      <w:r w:rsidRPr="00D90878">
        <w:t>kreditnom riziku</w:t>
      </w:r>
      <w:r w:rsidR="00D90878">
        <w:t xml:space="preserve"> a </w:t>
      </w:r>
      <w:r w:rsidRPr="00D90878">
        <w:t>kreditnom riziku protistrany uvedené vo vzoroch 8.3, 8.4, 8.5, 8.5.1, 8.6, 8.7</w:t>
      </w:r>
      <w:r w:rsidR="00D90878">
        <w:t xml:space="preserve"> a </w:t>
      </w:r>
      <w:r w:rsidRPr="00D90878">
        <w:t>34.11 prílohy I</w:t>
      </w:r>
      <w:r w:rsidR="00D90878">
        <w:t xml:space="preserve"> k </w:t>
      </w:r>
      <w:r w:rsidRPr="00D90878">
        <w:t>tomuto nariadeniu</w:t>
      </w:r>
      <w:r w:rsidR="00D90878">
        <w:t xml:space="preserve"> s </w:t>
      </w:r>
      <w:r w:rsidRPr="00D90878">
        <w:t>rovnakou frekvenciou</w:t>
      </w:r>
      <w:r w:rsidR="00D90878">
        <w:t xml:space="preserve"> a </w:t>
      </w:r>
      <w:r w:rsidRPr="00D90878">
        <w:t>na rovnakom základe</w:t>
      </w:r>
      <w:r w:rsidR="00D90878">
        <w:t xml:space="preserve"> v </w:t>
      </w:r>
      <w:r w:rsidRPr="00D90878">
        <w:t>súlade</w:t>
      </w:r>
      <w:r w:rsidR="00D90878">
        <w:t xml:space="preserve"> s </w:t>
      </w:r>
      <w:r w:rsidRPr="00D90878">
        <w:t>pokynmi</w:t>
      </w:r>
      <w:r w:rsidR="00D90878">
        <w:t xml:space="preserve"> v </w:t>
      </w:r>
      <w:r w:rsidRPr="00D90878">
        <w:t>časti II bodoch 3.3</w:t>
      </w:r>
      <w:r w:rsidR="00D90878">
        <w:t xml:space="preserve"> a </w:t>
      </w:r>
      <w:r w:rsidRPr="00D90878">
        <w:t>3.9.12 prílohy II</w:t>
      </w:r>
      <w:r w:rsidR="00D90878">
        <w:t xml:space="preserve"> k </w:t>
      </w:r>
      <w:r w:rsidRPr="00D90878">
        <w:t>tomuto nariadeniu.</w:t>
      </w:r>
    </w:p>
    <w:p w14:paraId="58F2B691" w14:textId="63FF8116" w:rsidR="00FE0C02" w:rsidRPr="00D90878" w:rsidRDefault="00977656" w:rsidP="00FE0C02">
      <w:pPr>
        <w:pStyle w:val="NumPar1"/>
      </w:pPr>
      <w:r w:rsidRPr="00D90878">
        <w:t>Inštitúcie, na ktoré sa vzťahuje požiadavka zverejňovať informácie uvedené</w:t>
      </w:r>
      <w:r w:rsidR="00D90878">
        <w:t xml:space="preserve"> v </w:t>
      </w:r>
      <w:r w:rsidRPr="00D90878">
        <w:t>článku 439 písm. l) nariadenia (EÚ) č. 575/2013</w:t>
      </w:r>
      <w:r w:rsidR="00D90878">
        <w:t xml:space="preserve"> s </w:t>
      </w:r>
      <w:r w:rsidRPr="00D90878">
        <w:t>frekvenciou stanovenou</w:t>
      </w:r>
      <w:r w:rsidR="00D90878">
        <w:t xml:space="preserve"> v </w:t>
      </w:r>
      <w:r w:rsidRPr="00D90878">
        <w:t xml:space="preserve">článku 433a </w:t>
      </w:r>
      <w:r w:rsidRPr="00D90878">
        <w:lastRenderedPageBreak/>
        <w:t>alebo prípadne</w:t>
      </w:r>
      <w:r w:rsidR="00D90878">
        <w:t xml:space="preserve"> v </w:t>
      </w:r>
      <w:r w:rsidRPr="00D90878">
        <w:t>článku 433c, na individuálnom základe</w:t>
      </w:r>
      <w:r w:rsidR="00D90878">
        <w:t xml:space="preserve"> v </w:t>
      </w:r>
      <w:r w:rsidRPr="00D90878">
        <w:t>súlade</w:t>
      </w:r>
      <w:r w:rsidR="00D90878">
        <w:t xml:space="preserve"> s </w:t>
      </w:r>
      <w:r w:rsidRPr="00D90878">
        <w:t>článkom 6 alebo prípadne na konsolidovanom základe</w:t>
      </w:r>
      <w:r w:rsidR="00D90878">
        <w:t xml:space="preserve"> v </w:t>
      </w:r>
      <w:r w:rsidRPr="00D90878">
        <w:t>súlade</w:t>
      </w:r>
      <w:r w:rsidR="00D90878">
        <w:t xml:space="preserve"> s </w:t>
      </w:r>
      <w:r w:rsidRPr="00D90878">
        <w:t>článkom 13 uvedeného nariadenia, predkladajú informácie</w:t>
      </w:r>
      <w:r w:rsidR="00D90878">
        <w:t xml:space="preserve"> o </w:t>
      </w:r>
      <w:r w:rsidRPr="00D90878">
        <w:t>kreditnom riziku protistrany uvedené vo vzore 34.07 prílohy I</w:t>
      </w:r>
      <w:r w:rsidR="00D90878">
        <w:t xml:space="preserve"> k </w:t>
      </w:r>
      <w:r w:rsidRPr="00D90878">
        <w:t>tomuto nariadeniu</w:t>
      </w:r>
      <w:r w:rsidR="00D90878">
        <w:t xml:space="preserve"> s </w:t>
      </w:r>
      <w:r w:rsidRPr="00D90878">
        <w:t>rovnakou frekvenciou</w:t>
      </w:r>
      <w:r w:rsidR="00D90878">
        <w:t xml:space="preserve"> a </w:t>
      </w:r>
      <w:r w:rsidRPr="00D90878">
        <w:t>na rovnakom základe</w:t>
      </w:r>
      <w:r w:rsidR="00D90878">
        <w:t xml:space="preserve"> v </w:t>
      </w:r>
      <w:r w:rsidRPr="00D90878">
        <w:t>súlade</w:t>
      </w:r>
      <w:r w:rsidR="00D90878">
        <w:t xml:space="preserve"> s </w:t>
      </w:r>
      <w:r w:rsidRPr="00D90878">
        <w:t>pokynmi</w:t>
      </w:r>
      <w:r w:rsidR="00D90878">
        <w:t xml:space="preserve"> v </w:t>
      </w:r>
      <w:r w:rsidRPr="00D90878">
        <w:t>časti II bode 3.9.8 prílohy II</w:t>
      </w:r>
      <w:r w:rsidR="00D90878">
        <w:t xml:space="preserve"> k </w:t>
      </w:r>
      <w:r w:rsidRPr="00D90878">
        <w:t>tomuto nariadeniu.</w:t>
      </w:r>
    </w:p>
    <w:p w14:paraId="7252BD87"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9</w:t>
      </w:r>
      <w:r w:rsidR="00C52BCC" w:rsidRPr="00D90878">
        <w:fldChar w:fldCharType="end"/>
      </w:r>
    </w:p>
    <w:p w14:paraId="6B3DD09D" w14:textId="49B95A50" w:rsidR="00FE0C02" w:rsidRPr="00D90878" w:rsidRDefault="00FE0C02" w:rsidP="00FE0C02">
      <w:pPr>
        <w:pStyle w:val="Titrearticle"/>
        <w:spacing w:before="120"/>
        <w:rPr>
          <w:b/>
          <w:i w:val="0"/>
        </w:rPr>
      </w:pPr>
      <w:r w:rsidRPr="00D90878">
        <w:rPr>
          <w:b/>
          <w:i w:val="0"/>
        </w:rPr>
        <w:t>Vykazovanie vlastných zdrojov</w:t>
      </w:r>
      <w:r w:rsidR="00D90878">
        <w:rPr>
          <w:b/>
          <w:i w:val="0"/>
        </w:rPr>
        <w:t xml:space="preserve"> a </w:t>
      </w:r>
      <w:r w:rsidRPr="00D90878">
        <w:rPr>
          <w:b/>
          <w:i w:val="0"/>
        </w:rPr>
        <w:t>požiadaviek na vlastné zdroje voči investičným spoločnostiam, na ktoré sa vzťahujú články 95</w:t>
      </w:r>
      <w:r w:rsidR="00D90878">
        <w:rPr>
          <w:b/>
          <w:i w:val="0"/>
        </w:rPr>
        <w:t xml:space="preserve"> a </w:t>
      </w:r>
      <w:r w:rsidRPr="00D90878">
        <w:rPr>
          <w:b/>
          <w:i w:val="0"/>
        </w:rPr>
        <w:t>96 nariadenia (EÚ) č. 575/2013, na individuálnom základe</w:t>
      </w:r>
    </w:p>
    <w:p w14:paraId="3D78F884" w14:textId="6625E37F" w:rsidR="00FE0C02" w:rsidRPr="00D90878" w:rsidRDefault="00FE0C02" w:rsidP="005F180D">
      <w:pPr>
        <w:pStyle w:val="NumPar1"/>
        <w:numPr>
          <w:ilvl w:val="0"/>
          <w:numId w:val="17"/>
        </w:numPr>
      </w:pPr>
      <w:r w:rsidRPr="00D90878">
        <w:t>Investičné spoločnosti, ktoré uplatňujú prechodné ustanovenia článku 57 ods. 3 nariadenia (EÚ) 2019/2033, predkladajú informácie stanovené</w:t>
      </w:r>
      <w:r w:rsidR="00D90878">
        <w:t xml:space="preserve"> v </w:t>
      </w:r>
      <w:r w:rsidRPr="00D90878">
        <w:t>tomto článku.</w:t>
      </w:r>
    </w:p>
    <w:p w14:paraId="64E2C5EE" w14:textId="0485457D" w:rsidR="00FE0C02" w:rsidRPr="00D90878" w:rsidRDefault="00FE0C02" w:rsidP="00FE0C02">
      <w:pPr>
        <w:pStyle w:val="NumPar1"/>
      </w:pPr>
      <w:r w:rsidRPr="00D90878">
        <w:t>S cieľom vykazovať informácie</w:t>
      </w:r>
      <w:r w:rsidR="00D90878">
        <w:t xml:space="preserve"> o </w:t>
      </w:r>
      <w:r w:rsidRPr="00D90878">
        <w:t>vlastných zdrojoch</w:t>
      </w:r>
      <w:r w:rsidR="00D90878">
        <w:t xml:space="preserve"> a </w:t>
      </w:r>
      <w:r w:rsidRPr="00D90878">
        <w:t>požiadavkách na vlastné zdroje</w:t>
      </w:r>
      <w:r w:rsidR="00D90878">
        <w:t xml:space="preserve"> v </w:t>
      </w:r>
      <w:r w:rsidRPr="00D90878">
        <w:t>súlade</w:t>
      </w:r>
      <w:r w:rsidR="00D90878">
        <w:t xml:space="preserve"> s </w:t>
      </w:r>
      <w:r w:rsidRPr="00D90878">
        <w:t>článkom 430 ods. 1 písm. a) nariadenia (EÚ) č. 575/2013 na individuálnom základe,</w:t>
      </w:r>
      <w:r w:rsidR="00D90878">
        <w:t xml:space="preserve"> s </w:t>
      </w:r>
      <w:r w:rsidRPr="00D90878">
        <w:t>výnimkou informácií</w:t>
      </w:r>
      <w:r w:rsidR="00D90878">
        <w:t xml:space="preserve"> o </w:t>
      </w:r>
      <w:r w:rsidRPr="00D90878">
        <w:t>ukazovateli finančnej páky, investičné spoločnosti využívajúce článok 57 ods. 3 nariadenia (EÚ) 2019/2033</w:t>
      </w:r>
      <w:r w:rsidR="00D90878">
        <w:t xml:space="preserve"> s </w:t>
      </w:r>
      <w:r w:rsidRPr="00D90878">
        <w:t>odkazom na článok 95 nariadenia (EÚ) č. 575/2013 predkladajú informácie uvedené vo vzoroch 1 až 5 prílohy I</w:t>
      </w:r>
      <w:r w:rsidR="00D90878">
        <w:t xml:space="preserve"> v </w:t>
      </w:r>
      <w:r w:rsidRPr="00D90878">
        <w:t>súlade</w:t>
      </w:r>
      <w:r w:rsidR="00D90878">
        <w:t xml:space="preserve"> s </w:t>
      </w:r>
      <w:r w:rsidRPr="00D90878">
        <w:t>pokynmi</w:t>
      </w:r>
      <w:r w:rsidR="00D90878">
        <w:t xml:space="preserve"> v </w:t>
      </w:r>
      <w:r w:rsidRPr="00D90878">
        <w:t>časti II bode 1 prílohy II štvrťročne.</w:t>
      </w:r>
    </w:p>
    <w:p w14:paraId="6AD01D77" w14:textId="47DF4297" w:rsidR="00FE0C02" w:rsidRPr="00D90878" w:rsidRDefault="00FE0C02" w:rsidP="00FE0C02">
      <w:pPr>
        <w:pStyle w:val="NumPar1"/>
      </w:pPr>
      <w:r w:rsidRPr="00D90878">
        <w:t>S cieľom vykazovať informácie</w:t>
      </w:r>
      <w:r w:rsidR="00D90878">
        <w:t xml:space="preserve"> o </w:t>
      </w:r>
      <w:r w:rsidRPr="00D90878">
        <w:t>vlastných zdrojoch</w:t>
      </w:r>
      <w:r w:rsidR="00D90878">
        <w:t xml:space="preserve"> a </w:t>
      </w:r>
      <w:r w:rsidRPr="00D90878">
        <w:t>požiadavkách na vlastné zdroje</w:t>
      </w:r>
      <w:r w:rsidR="00D90878">
        <w:t xml:space="preserve"> v </w:t>
      </w:r>
      <w:r w:rsidRPr="00D90878">
        <w:t>súlade</w:t>
      </w:r>
      <w:r w:rsidR="00D90878">
        <w:t xml:space="preserve"> s </w:t>
      </w:r>
      <w:r w:rsidRPr="00D90878">
        <w:t>článkom 430 ods. 1 písm. a) nariadenia (EÚ) č. 575/2013 na individuálnom základe investičné spoločnosti využívajúce článok 57 ods. 3 nariadenia (EÚ) 2019/2033</w:t>
      </w:r>
      <w:r w:rsidR="00D90878">
        <w:t xml:space="preserve"> s </w:t>
      </w:r>
      <w:r w:rsidRPr="00D90878">
        <w:t>odkazom na článok 96 nariadenia (EÚ) č. 575/2013 predkladajú informácie uvedené</w:t>
      </w:r>
      <w:r w:rsidR="00D90878">
        <w:t xml:space="preserve"> v </w:t>
      </w:r>
      <w:r w:rsidRPr="00D90878">
        <w:t>článku 5 ods. 1 až 5</w:t>
      </w:r>
      <w:r w:rsidR="00D90878">
        <w:t xml:space="preserve"> a </w:t>
      </w:r>
      <w:r w:rsidRPr="00D90878">
        <w:t>ods. 8 až 13</w:t>
      </w:r>
      <w:r w:rsidR="00D90878">
        <w:t xml:space="preserve"> a </w:t>
      </w:r>
      <w:r w:rsidRPr="00D90878">
        <w:t>článku 6 ods. 2 tohto nariadenia</w:t>
      </w:r>
      <w:r w:rsidR="00D90878">
        <w:t xml:space="preserve"> s </w:t>
      </w:r>
      <w:r w:rsidRPr="00D90878">
        <w:t>frekvenciou stanovenou</w:t>
      </w:r>
      <w:r w:rsidR="00D90878">
        <w:t xml:space="preserve"> v </w:t>
      </w:r>
      <w:r w:rsidRPr="00D90878">
        <w:t>uvedených článkoch.</w:t>
      </w:r>
    </w:p>
    <w:p w14:paraId="4D074E8C"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10</w:t>
      </w:r>
      <w:r w:rsidR="00C52BCC" w:rsidRPr="00D90878">
        <w:fldChar w:fldCharType="end"/>
      </w:r>
    </w:p>
    <w:p w14:paraId="2C5D357D" w14:textId="3E24CA28" w:rsidR="00FE0C02" w:rsidRPr="00D90878" w:rsidRDefault="00FE0C02" w:rsidP="00FE0C02">
      <w:pPr>
        <w:pStyle w:val="Titrearticle"/>
        <w:spacing w:before="120"/>
        <w:rPr>
          <w:b/>
          <w:i w:val="0"/>
        </w:rPr>
      </w:pPr>
      <w:r w:rsidRPr="00D90878">
        <w:rPr>
          <w:b/>
          <w:i w:val="0"/>
        </w:rPr>
        <w:t>Vykazovanie vlastných zdrojov</w:t>
      </w:r>
      <w:r w:rsidR="00D90878">
        <w:rPr>
          <w:b/>
          <w:i w:val="0"/>
        </w:rPr>
        <w:t xml:space="preserve"> a </w:t>
      </w:r>
      <w:r w:rsidRPr="00D90878">
        <w:rPr>
          <w:b/>
          <w:i w:val="0"/>
        </w:rPr>
        <w:t>požiadaviek na vlastné zdroje pre skupiny, ktoré pozostávajú len</w:t>
      </w:r>
      <w:r w:rsidR="00D90878">
        <w:rPr>
          <w:b/>
          <w:i w:val="0"/>
        </w:rPr>
        <w:t xml:space="preserve"> z </w:t>
      </w:r>
      <w:r w:rsidRPr="00D90878">
        <w:rPr>
          <w:b/>
          <w:i w:val="0"/>
        </w:rPr>
        <w:t>investičných spoločností, na ktoré sa vzťahujú články 95</w:t>
      </w:r>
      <w:r w:rsidR="00D90878">
        <w:rPr>
          <w:b/>
          <w:i w:val="0"/>
        </w:rPr>
        <w:t xml:space="preserve"> a </w:t>
      </w:r>
      <w:r w:rsidRPr="00D90878">
        <w:rPr>
          <w:b/>
          <w:i w:val="0"/>
        </w:rPr>
        <w:t>96 nariadenia (EÚ) č. 575/2013, na konsolidovanom základe</w:t>
      </w:r>
    </w:p>
    <w:p w14:paraId="0ED9D414" w14:textId="3F3B791E" w:rsidR="00FE0C02" w:rsidRPr="00D90878" w:rsidRDefault="00FE0C02" w:rsidP="005F180D">
      <w:pPr>
        <w:pStyle w:val="NumPar1"/>
        <w:numPr>
          <w:ilvl w:val="0"/>
          <w:numId w:val="18"/>
        </w:numPr>
      </w:pPr>
      <w:r w:rsidRPr="00D90878">
        <w:t>Investičné spoločnosti, ktoré uplatňujú prechodné ustanovenia článku 57 ods. 3 nariadenia (EÚ) 2019/2033, predkladajú informácie stanovené</w:t>
      </w:r>
      <w:r w:rsidR="00D90878">
        <w:t xml:space="preserve"> v </w:t>
      </w:r>
      <w:r w:rsidRPr="00D90878">
        <w:t>tomto článku.</w:t>
      </w:r>
    </w:p>
    <w:p w14:paraId="55A9CAAC" w14:textId="652535E9" w:rsidR="00FE0C02" w:rsidRPr="00D90878" w:rsidRDefault="00FE0C02" w:rsidP="00FE0C02">
      <w:pPr>
        <w:pStyle w:val="NumPar1"/>
      </w:pPr>
      <w:r w:rsidRPr="00D90878">
        <w:t>S cieľom vykazovať informácie</w:t>
      </w:r>
      <w:r w:rsidR="00D90878">
        <w:t xml:space="preserve"> o </w:t>
      </w:r>
      <w:r w:rsidRPr="00D90878">
        <w:t>vlastných zdrojoch</w:t>
      </w:r>
      <w:r w:rsidR="00D90878">
        <w:t xml:space="preserve"> a </w:t>
      </w:r>
      <w:r w:rsidRPr="00D90878">
        <w:t>požiadavkách na vlastné zdroje</w:t>
      </w:r>
      <w:r w:rsidR="00D90878">
        <w:t xml:space="preserve"> v </w:t>
      </w:r>
      <w:r w:rsidRPr="00D90878">
        <w:t>súlade</w:t>
      </w:r>
      <w:r w:rsidR="00D90878">
        <w:t xml:space="preserve"> s </w:t>
      </w:r>
      <w:r w:rsidRPr="00D90878">
        <w:t>článkom 430 ods. 1 písm. a) nariadenia (EÚ) č. 575/2013 na konsolidovanom základe,</w:t>
      </w:r>
      <w:r w:rsidR="00D90878">
        <w:t xml:space="preserve"> s </w:t>
      </w:r>
      <w:r w:rsidRPr="00D90878">
        <w:t>výnimkou informácií</w:t>
      </w:r>
      <w:r w:rsidR="00D90878">
        <w:t xml:space="preserve"> o </w:t>
      </w:r>
      <w:r w:rsidRPr="00D90878">
        <w:t>ukazovateli finančnej páky, investičné spoločnosti skupín, ktoré pozostávajú len</w:t>
      </w:r>
      <w:r w:rsidR="00D90878">
        <w:t xml:space="preserve"> z </w:t>
      </w:r>
      <w:r w:rsidRPr="00D90878">
        <w:t>investičných spoločností využívajúcich článok 57 ods. 3 nariadenia (EÚ) 2019/2033</w:t>
      </w:r>
      <w:r w:rsidR="00D90878">
        <w:t xml:space="preserve"> s </w:t>
      </w:r>
      <w:r w:rsidRPr="00D90878">
        <w:t>odkazom na článok 95 nariadenia (EÚ) č. 575/2013, predkladajú na konsolidovanom základe tieto informácie:</w:t>
      </w:r>
    </w:p>
    <w:p w14:paraId="6DD1064B" w14:textId="001CF565" w:rsidR="00FE0C02" w:rsidRPr="00D90878" w:rsidRDefault="00FE0C02" w:rsidP="00FE0C02">
      <w:pPr>
        <w:pStyle w:val="Point1"/>
      </w:pPr>
      <w:r w:rsidRPr="00D90878">
        <w:t>a)</w:t>
      </w:r>
      <w:r w:rsidRPr="00D90878">
        <w:tab/>
        <w:t>informácie</w:t>
      </w:r>
      <w:r w:rsidR="00D90878">
        <w:t xml:space="preserve"> o </w:t>
      </w:r>
      <w:r w:rsidRPr="00D90878">
        <w:t>vlastných zdrojov</w:t>
      </w:r>
      <w:r w:rsidR="00D90878">
        <w:t xml:space="preserve"> a </w:t>
      </w:r>
      <w:r w:rsidRPr="00D90878">
        <w:t>požiadavkách na vlastné zdroje uvedené vo vzoroch 1 až 5 prílohy I</w:t>
      </w:r>
      <w:r w:rsidR="00D90878">
        <w:t xml:space="preserve"> v </w:t>
      </w:r>
      <w:r w:rsidRPr="00D90878">
        <w:t>súlade</w:t>
      </w:r>
      <w:r w:rsidR="00D90878">
        <w:t xml:space="preserve"> s </w:t>
      </w:r>
      <w:r w:rsidRPr="00D90878">
        <w:t>pokynmi</w:t>
      </w:r>
      <w:r w:rsidR="00D90878">
        <w:t xml:space="preserve"> v </w:t>
      </w:r>
      <w:r w:rsidRPr="00D90878">
        <w:t>časti II bode 1 prílohy II štvrťročne;</w:t>
      </w:r>
    </w:p>
    <w:p w14:paraId="06EB54F9" w14:textId="58E1DAAC" w:rsidR="00FE0C02" w:rsidRPr="00D90878" w:rsidRDefault="00FE0C02" w:rsidP="00FE0C02">
      <w:pPr>
        <w:pStyle w:val="Point1"/>
      </w:pPr>
      <w:r w:rsidRPr="00D90878">
        <w:t>b)</w:t>
      </w:r>
      <w:r w:rsidRPr="00D90878">
        <w:tab/>
        <w:t>informácie</w:t>
      </w:r>
      <w:r w:rsidR="00D90878">
        <w:t xml:space="preserve"> o </w:t>
      </w:r>
      <w:r w:rsidRPr="00D90878">
        <w:t>vlastných zdrojov</w:t>
      </w:r>
      <w:r w:rsidR="00D90878">
        <w:t xml:space="preserve"> a </w:t>
      </w:r>
      <w:r w:rsidRPr="00D90878">
        <w:t>požiadavkách na vlastné zdroje týkajúce sa subjektov zahrnutých do rozsahu pôsobnosti konsolidácie uvedené vo vzore 6 prílohy I</w:t>
      </w:r>
      <w:r w:rsidR="00D90878">
        <w:t xml:space="preserve"> v </w:t>
      </w:r>
      <w:r w:rsidRPr="00D90878">
        <w:t>súlade</w:t>
      </w:r>
      <w:r w:rsidR="00D90878">
        <w:t xml:space="preserve"> s </w:t>
      </w:r>
      <w:r w:rsidRPr="00D90878">
        <w:t>pokynmi uvedenými</w:t>
      </w:r>
      <w:r w:rsidR="00D90878">
        <w:t xml:space="preserve"> v </w:t>
      </w:r>
      <w:r w:rsidRPr="00D90878">
        <w:t>časti II bode 2 prílohy II polročne.</w:t>
      </w:r>
    </w:p>
    <w:p w14:paraId="0D279353" w14:textId="1AF23421" w:rsidR="00FE0C02" w:rsidRPr="00D90878" w:rsidRDefault="00FE0C02" w:rsidP="00FE0C02">
      <w:pPr>
        <w:pStyle w:val="NumPar1"/>
      </w:pPr>
      <w:r w:rsidRPr="00D90878">
        <w:lastRenderedPageBreak/>
        <w:t>S cieľom vykazovať informácie</w:t>
      </w:r>
      <w:r w:rsidR="00D90878">
        <w:t xml:space="preserve"> o </w:t>
      </w:r>
      <w:r w:rsidRPr="00D90878">
        <w:t>vlastných zdrojoch</w:t>
      </w:r>
      <w:r w:rsidR="00D90878">
        <w:t xml:space="preserve"> a </w:t>
      </w:r>
      <w:r w:rsidRPr="00D90878">
        <w:t>požiadavkách na vlastné zdroje</w:t>
      </w:r>
      <w:r w:rsidR="00D90878">
        <w:t xml:space="preserve"> v </w:t>
      </w:r>
      <w:r w:rsidRPr="00D90878">
        <w:t>súlade</w:t>
      </w:r>
      <w:r w:rsidR="00D90878">
        <w:t xml:space="preserve"> s </w:t>
      </w:r>
      <w:r w:rsidRPr="00D90878">
        <w:t>článkom 430 ods. 1 písm. a) nariadenia (EÚ) č. 575/2013 na konsolidovanom základe investičné spoločnosti skupín, ktoré pozostávajú len</w:t>
      </w:r>
      <w:r w:rsidR="00D90878">
        <w:t xml:space="preserve"> z </w:t>
      </w:r>
      <w:r w:rsidRPr="00D90878">
        <w:t>investičných spoločností, na ktoré sa vzťahuje článok 95,</w:t>
      </w:r>
      <w:r w:rsidR="00D90878">
        <w:t xml:space="preserve"> a </w:t>
      </w:r>
      <w:r w:rsidRPr="00D90878">
        <w:t>investičných spoločností, na ktoré sa vzťahuje článok 96, alebo zo skupín, ktoré pozostávajú len</w:t>
      </w:r>
      <w:r w:rsidR="00D90878">
        <w:t xml:space="preserve"> z </w:t>
      </w:r>
      <w:r w:rsidRPr="00D90878">
        <w:t>investičných spoločností využívajúcich článok 57 ods. 3 nariadenia (EÚ) 2019/2033</w:t>
      </w:r>
      <w:r w:rsidR="00D90878">
        <w:t xml:space="preserve"> s </w:t>
      </w:r>
      <w:r w:rsidRPr="00D90878">
        <w:t>odkazom na článok 96 nariadenia (EÚ) č. 575/2013, predkladajú na konsolidovanom základe tieto informácie:</w:t>
      </w:r>
    </w:p>
    <w:p w14:paraId="424B99D7" w14:textId="1133FB39" w:rsidR="00FE0C02" w:rsidRPr="00D90878" w:rsidRDefault="00FE0C02" w:rsidP="00FE0C02">
      <w:pPr>
        <w:pStyle w:val="Point1"/>
      </w:pPr>
      <w:r w:rsidRPr="00D90878">
        <w:t>a)</w:t>
      </w:r>
      <w:r w:rsidRPr="00D90878">
        <w:tab/>
        <w:t>informácie uvedené</w:t>
      </w:r>
      <w:r w:rsidR="00D90878">
        <w:t xml:space="preserve"> v </w:t>
      </w:r>
      <w:r w:rsidRPr="00D90878">
        <w:t>článku 5 ods. 1 až 5</w:t>
      </w:r>
      <w:r w:rsidR="00D90878">
        <w:t xml:space="preserve"> a </w:t>
      </w:r>
      <w:r w:rsidRPr="00D90878">
        <w:t>ods. 8 až 13</w:t>
      </w:r>
      <w:r w:rsidR="00D90878">
        <w:t xml:space="preserve"> a v </w:t>
      </w:r>
      <w:r w:rsidRPr="00D90878">
        <w:t>článku 6 ods. 2 tohto nariadenia</w:t>
      </w:r>
      <w:r w:rsidR="00D90878">
        <w:t xml:space="preserve"> s </w:t>
      </w:r>
      <w:r w:rsidRPr="00D90878">
        <w:t>frekvenciou stanovenou</w:t>
      </w:r>
      <w:r w:rsidR="00D90878">
        <w:t xml:space="preserve"> v </w:t>
      </w:r>
      <w:r w:rsidRPr="00D90878">
        <w:t>uvedených článkoch;</w:t>
      </w:r>
    </w:p>
    <w:p w14:paraId="695999E8" w14:textId="28EE2D5D" w:rsidR="00FE0C02" w:rsidRPr="00D90878" w:rsidRDefault="00FE0C02" w:rsidP="00FE0C02">
      <w:pPr>
        <w:pStyle w:val="Point1"/>
      </w:pPr>
      <w:r w:rsidRPr="00D90878">
        <w:t>b)</w:t>
      </w:r>
      <w:r w:rsidRPr="00D90878">
        <w:tab/>
        <w:t>informácie týkajúce sa subjektov zahrnutých do rozsahu pôsobnosti konsolidácie uvedené vo vzore 6 prílohy I</w:t>
      </w:r>
      <w:r w:rsidR="00D90878">
        <w:t xml:space="preserve"> v </w:t>
      </w:r>
      <w:r w:rsidRPr="00D90878">
        <w:t>súlade</w:t>
      </w:r>
      <w:r w:rsidR="00D90878">
        <w:t xml:space="preserve"> s </w:t>
      </w:r>
      <w:r w:rsidRPr="00D90878">
        <w:t>pokynmi uvedenými</w:t>
      </w:r>
      <w:r w:rsidR="00D90878">
        <w:t xml:space="preserve"> v </w:t>
      </w:r>
      <w:r w:rsidRPr="00D90878">
        <w:t>časti II bode 2 prílohy II polročne.</w:t>
      </w:r>
    </w:p>
    <w:p w14:paraId="2D723A17"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11</w:t>
      </w:r>
      <w:r w:rsidR="00C52BCC" w:rsidRPr="00D90878">
        <w:fldChar w:fldCharType="end"/>
      </w:r>
    </w:p>
    <w:p w14:paraId="4609B8CA" w14:textId="77777777" w:rsidR="00D90878" w:rsidRDefault="00FE0C02" w:rsidP="00FE0C02">
      <w:pPr>
        <w:pStyle w:val="Titrearticle"/>
        <w:spacing w:before="120"/>
        <w:rPr>
          <w:b/>
          <w:i w:val="0"/>
        </w:rPr>
      </w:pPr>
      <w:r w:rsidRPr="00D90878">
        <w:rPr>
          <w:b/>
          <w:i w:val="0"/>
        </w:rPr>
        <w:t>Vykazovanie finančných informácií na konsolidovanom základe pre inštitúcie, na ktoré sa vzťahuje nariadenie</w:t>
      </w:r>
      <w:r w:rsidRPr="00D90878">
        <w:t xml:space="preserve"> </w:t>
      </w:r>
      <w:r w:rsidRPr="00D90878">
        <w:rPr>
          <w:b/>
          <w:i w:val="0"/>
        </w:rPr>
        <w:t>Európskeho parlamentu</w:t>
      </w:r>
      <w:r w:rsidR="00D90878">
        <w:rPr>
          <w:b/>
          <w:i w:val="0"/>
        </w:rPr>
        <w:t xml:space="preserve"> a </w:t>
      </w:r>
      <w:r w:rsidRPr="00D90878">
        <w:rPr>
          <w:b/>
          <w:i w:val="0"/>
        </w:rPr>
        <w:t>Rady (ES) č. 1606/2002</w:t>
      </w:r>
      <w:r w:rsidRPr="00D90878">
        <w:rPr>
          <w:rStyle w:val="FootnoteReference"/>
          <w:b/>
          <w:i w:val="0"/>
        </w:rPr>
        <w:footnoteReference w:id="10"/>
      </w:r>
    </w:p>
    <w:p w14:paraId="7005F897" w14:textId="355CD951" w:rsidR="00D90878" w:rsidRDefault="00FE0C02" w:rsidP="005F180D">
      <w:pPr>
        <w:pStyle w:val="NumPar1"/>
        <w:numPr>
          <w:ilvl w:val="0"/>
          <w:numId w:val="19"/>
        </w:numPr>
      </w:pPr>
      <w:r w:rsidRPr="00D90878">
        <w:t>S cieľom vykazovať finančné informácie na konsolidovanom základe</w:t>
      </w:r>
      <w:r w:rsidR="00D90878">
        <w:t xml:space="preserve"> v </w:t>
      </w:r>
      <w:r w:rsidRPr="00D90878">
        <w:t>súlade</w:t>
      </w:r>
      <w:r w:rsidR="00D90878">
        <w:t xml:space="preserve"> s </w:t>
      </w:r>
      <w:r w:rsidRPr="00D90878">
        <w:t>článkom 430 ods. 3 alebo 4 nariadenia (EÚ) č. 575/2013 inštitúcie predkladajú informácie uvedené</w:t>
      </w:r>
      <w:r w:rsidR="00D90878">
        <w:t xml:space="preserve"> v </w:t>
      </w:r>
      <w:r w:rsidRPr="00D90878">
        <w:t>prílohe III na konsolidovanom základe</w:t>
      </w:r>
      <w:r w:rsidR="00D90878">
        <w:t xml:space="preserve"> v </w:t>
      </w:r>
      <w:r w:rsidRPr="00D90878">
        <w:t>súlade</w:t>
      </w:r>
      <w:r w:rsidR="00D90878">
        <w:t xml:space="preserve"> s </w:t>
      </w:r>
      <w:r w:rsidRPr="00D90878">
        <w:t>pokynmi uvedenými</w:t>
      </w:r>
      <w:r w:rsidR="00D90878">
        <w:t xml:space="preserve"> v </w:t>
      </w:r>
      <w:r w:rsidRPr="00D90878">
        <w:t>prílohe V</w:t>
      </w:r>
      <w:r w:rsidR="00D90878">
        <w:t>.</w:t>
      </w:r>
    </w:p>
    <w:p w14:paraId="3A9E9610" w14:textId="69CC6DBD" w:rsidR="00FE0C02" w:rsidRPr="00D90878" w:rsidRDefault="00FE0C02" w:rsidP="00FE0C02">
      <w:pPr>
        <w:pStyle w:val="NumPar1"/>
        <w:numPr>
          <w:ilvl w:val="0"/>
          <w:numId w:val="10"/>
        </w:numPr>
      </w:pPr>
      <w:r w:rsidRPr="00D90878">
        <w:t>Informácie uvedené</w:t>
      </w:r>
      <w:r w:rsidR="00D90878">
        <w:t xml:space="preserve"> v </w:t>
      </w:r>
      <w:r w:rsidRPr="00D90878">
        <w:t>odseku 1 sa predkladajú takto:</w:t>
      </w:r>
    </w:p>
    <w:p w14:paraId="70EFC152" w14:textId="6C3D701E" w:rsidR="00FE0C02" w:rsidRPr="00D90878" w:rsidRDefault="00FE0C02" w:rsidP="00FE0C02">
      <w:pPr>
        <w:pStyle w:val="Point1"/>
      </w:pPr>
      <w:r w:rsidRPr="00D90878">
        <w:t>a)</w:t>
      </w:r>
      <w:r w:rsidRPr="00D90878">
        <w:tab/>
        <w:t>informácie uvedené</w:t>
      </w:r>
      <w:r w:rsidR="00D90878">
        <w:t xml:space="preserve"> v </w:t>
      </w:r>
      <w:r w:rsidRPr="00D90878">
        <w:t>časti 1 prílohy III štvrťročne;</w:t>
      </w:r>
    </w:p>
    <w:p w14:paraId="38D85B01" w14:textId="70F0AD17" w:rsidR="00FE0C02" w:rsidRPr="00D90878" w:rsidRDefault="00FE0C02" w:rsidP="00FE0C02">
      <w:pPr>
        <w:pStyle w:val="Point1"/>
      </w:pPr>
      <w:r w:rsidRPr="00D90878">
        <w:t>b)</w:t>
      </w:r>
      <w:r w:rsidRPr="00D90878">
        <w:tab/>
        <w:t>informácie uvedené</w:t>
      </w:r>
      <w:r w:rsidR="00D90878">
        <w:t xml:space="preserve"> v </w:t>
      </w:r>
      <w:r w:rsidRPr="00D90878">
        <w:t>časti 3 prílohy III polročne;</w:t>
      </w:r>
    </w:p>
    <w:p w14:paraId="5F2804B6" w14:textId="4D9C4298" w:rsidR="00FE0C02" w:rsidRPr="00D90878" w:rsidRDefault="00FE0C02" w:rsidP="00FE0C02">
      <w:pPr>
        <w:pStyle w:val="Point1"/>
      </w:pPr>
      <w:r w:rsidRPr="00D90878">
        <w:t>c)</w:t>
      </w:r>
      <w:r w:rsidRPr="00D90878">
        <w:tab/>
        <w:t>informácie uvedené</w:t>
      </w:r>
      <w:r w:rsidR="00D90878">
        <w:t xml:space="preserve"> v </w:t>
      </w:r>
      <w:r w:rsidRPr="00D90878">
        <w:t>časti 4 prílohy III</w:t>
      </w:r>
      <w:r w:rsidR="00D90878">
        <w:t xml:space="preserve"> s </w:t>
      </w:r>
      <w:r w:rsidRPr="00D90878">
        <w:t>výnimkou informácií uvedených vo vzore 47 ročne;</w:t>
      </w:r>
    </w:p>
    <w:p w14:paraId="1D49A1AC" w14:textId="579815EA" w:rsidR="00FE0C02" w:rsidRPr="00D90878" w:rsidRDefault="00FE0C02" w:rsidP="00FE0C02">
      <w:pPr>
        <w:pStyle w:val="Point1"/>
      </w:pPr>
      <w:r w:rsidRPr="00D90878">
        <w:t>d)</w:t>
      </w:r>
      <w:r w:rsidRPr="00D90878">
        <w:tab/>
        <w:t>informácie uvedené vo vzore 20</w:t>
      </w:r>
      <w:r w:rsidR="00D90878">
        <w:t xml:space="preserve"> v </w:t>
      </w:r>
      <w:r w:rsidRPr="00D90878">
        <w:t>časti 2 prílohy III štvrťročne, ak inštitúcia prekročí prahovú hodnotu stanovenú</w:t>
      </w:r>
      <w:r w:rsidR="00D90878">
        <w:t xml:space="preserve"> v </w:t>
      </w:r>
      <w:r w:rsidRPr="00D90878">
        <w:t>článku 5 ods. 5 druhom pododseku;</w:t>
      </w:r>
    </w:p>
    <w:p w14:paraId="2CCBF803" w14:textId="4C539623" w:rsidR="00FE0C02" w:rsidRPr="00D90878" w:rsidRDefault="00FE0C02" w:rsidP="00FE0C02">
      <w:pPr>
        <w:pStyle w:val="Point1"/>
      </w:pPr>
      <w:r w:rsidRPr="00D90878">
        <w:t>e)</w:t>
      </w:r>
      <w:r w:rsidRPr="00D90878">
        <w:tab/>
        <w:t>informácie uvedené vo vzore 21</w:t>
      </w:r>
      <w:r w:rsidR="00D90878">
        <w:t xml:space="preserve"> v </w:t>
      </w:r>
      <w:r w:rsidRPr="00D90878">
        <w:t>časti 2 prílohy III štvrťročne, ak sa hmotné aktíva, ktoré sú predmetom operatívneho lízingu, rovnajú alebo sú vyššie ako 10</w:t>
      </w:r>
      <w:r w:rsidR="00D90878">
        <w:t> %</w:t>
      </w:r>
      <w:r w:rsidRPr="00D90878">
        <w:t xml:space="preserve"> celkových hmotných aktív vykázaných</w:t>
      </w:r>
      <w:r w:rsidR="00D90878">
        <w:t xml:space="preserve"> v </w:t>
      </w:r>
      <w:r w:rsidRPr="00D90878">
        <w:t>súlade so vzorom 1.1</w:t>
      </w:r>
      <w:r w:rsidR="00D90878">
        <w:t xml:space="preserve"> v </w:t>
      </w:r>
      <w:r w:rsidRPr="00D90878">
        <w:t>časti 1 prílohy III;</w:t>
      </w:r>
    </w:p>
    <w:p w14:paraId="27F64B3B" w14:textId="2ED7296C" w:rsidR="00FE0C02" w:rsidRPr="00D90878" w:rsidRDefault="00FE0C02" w:rsidP="00FE0C02">
      <w:pPr>
        <w:pStyle w:val="Point1"/>
      </w:pPr>
      <w:r w:rsidRPr="00D90878">
        <w:t>f)</w:t>
      </w:r>
      <w:r w:rsidRPr="00D90878">
        <w:tab/>
        <w:t>informácie uvedené vo vzore 22</w:t>
      </w:r>
      <w:r w:rsidR="00D90878">
        <w:t xml:space="preserve"> v </w:t>
      </w:r>
      <w:r w:rsidRPr="00D90878">
        <w:t>časti 2 prílohy III štvrťročne, ak sa čistý príjem</w:t>
      </w:r>
      <w:r w:rsidR="00D90878">
        <w:t xml:space="preserve"> z </w:t>
      </w:r>
      <w:r w:rsidRPr="00D90878">
        <w:t>poplatkov</w:t>
      </w:r>
      <w:r w:rsidR="00D90878">
        <w:t xml:space="preserve"> a </w:t>
      </w:r>
      <w:r w:rsidRPr="00D90878">
        <w:t>provízií rovná alebo je vyšší ako 10</w:t>
      </w:r>
      <w:r w:rsidR="00D90878">
        <w:t> %</w:t>
      </w:r>
      <w:r w:rsidRPr="00D90878">
        <w:t xml:space="preserve"> súčtu čistého príjmu</w:t>
      </w:r>
      <w:r w:rsidR="00D90878">
        <w:t xml:space="preserve"> z </w:t>
      </w:r>
      <w:r w:rsidRPr="00D90878">
        <w:t>poplatkov</w:t>
      </w:r>
      <w:r w:rsidR="00D90878">
        <w:t xml:space="preserve"> a </w:t>
      </w:r>
      <w:r w:rsidRPr="00D90878">
        <w:t>provízií</w:t>
      </w:r>
      <w:r w:rsidR="00D90878">
        <w:t xml:space="preserve"> a </w:t>
      </w:r>
      <w:r w:rsidRPr="00D90878">
        <w:t>čistého úrokového príjmu vykázaných</w:t>
      </w:r>
      <w:r w:rsidR="00D90878">
        <w:t xml:space="preserve"> v </w:t>
      </w:r>
      <w:r w:rsidRPr="00D90878">
        <w:t>súlade so vzorom 2</w:t>
      </w:r>
      <w:r w:rsidR="00D90878">
        <w:t xml:space="preserve"> v </w:t>
      </w:r>
      <w:r w:rsidRPr="00D90878">
        <w:t>časti 1 prílohy III;</w:t>
      </w:r>
    </w:p>
    <w:p w14:paraId="2EB0DC7E" w14:textId="39091254" w:rsidR="00FE0C02" w:rsidRPr="00D90878" w:rsidRDefault="00FE0C02" w:rsidP="00FE0C02">
      <w:pPr>
        <w:pStyle w:val="Point1"/>
      </w:pPr>
      <w:r w:rsidRPr="00D90878">
        <w:t>g)</w:t>
      </w:r>
      <w:r w:rsidRPr="00D90878">
        <w:tab/>
        <w:t>informácie uvedené vo vzoroch 23 až 26</w:t>
      </w:r>
      <w:r w:rsidR="00D90878">
        <w:t xml:space="preserve"> v </w:t>
      </w:r>
      <w:r w:rsidRPr="00D90878">
        <w:t>časti 2 prílohy III štvrťročne, ak sú splnené obidve tieto podmienky:</w:t>
      </w:r>
    </w:p>
    <w:p w14:paraId="5207A13E" w14:textId="677D1219" w:rsidR="00FE0C02" w:rsidRPr="00D90878" w:rsidRDefault="00FE0C02" w:rsidP="00FE0C02">
      <w:pPr>
        <w:pStyle w:val="Point2"/>
      </w:pPr>
      <w:r w:rsidRPr="00D90878">
        <w:t>i)</w:t>
      </w:r>
      <w:r w:rsidRPr="00D90878">
        <w:tab/>
        <w:t>inštitúcia nie je malá</w:t>
      </w:r>
      <w:r w:rsidR="00D90878">
        <w:t xml:space="preserve"> a </w:t>
      </w:r>
      <w:r w:rsidRPr="00D90878">
        <w:t>menej zložitá inštitúcia;</w:t>
      </w:r>
    </w:p>
    <w:p w14:paraId="26D70E91" w14:textId="783DA211" w:rsidR="00D90878" w:rsidRDefault="00FE0C02" w:rsidP="00FE0C02">
      <w:pPr>
        <w:pStyle w:val="Point2"/>
      </w:pPr>
      <w:r w:rsidRPr="00D90878">
        <w:t>ii)</w:t>
      </w:r>
      <w:r w:rsidRPr="00D90878">
        <w:tab/>
        <w:t>pomer medzi hrubou účtovnou hodnotou úverov</w:t>
      </w:r>
      <w:r w:rsidR="00D90878">
        <w:t xml:space="preserve"> a </w:t>
      </w:r>
      <w:r w:rsidRPr="00D90878">
        <w:t>preddavkov inštitúcie, na ktoré sa vzťahuje článok 47a ods. 3 nariadenia (EÚ) č. 575/2013,</w:t>
      </w:r>
      <w:r w:rsidR="00D90878">
        <w:t xml:space="preserve"> </w:t>
      </w:r>
      <w:r w:rsidR="00D90878">
        <w:lastRenderedPageBreak/>
        <w:t>a </w:t>
      </w:r>
      <w:r w:rsidRPr="00D90878">
        <w:t>celkovou hrubou účtovnou hodnotou úverov</w:t>
      </w:r>
      <w:r w:rsidR="00D90878">
        <w:t xml:space="preserve"> a </w:t>
      </w:r>
      <w:r w:rsidRPr="00D90878">
        <w:t>preddavkov, na ktoré sa vzťahuje článok 47a ods. 1 uvedeného nariadenia, sa rovná alebo je vyšší ako 5</w:t>
      </w:r>
      <w:r w:rsidR="00D90878">
        <w:t> %;</w:t>
      </w:r>
    </w:p>
    <w:p w14:paraId="6657E76F" w14:textId="325FEA59" w:rsidR="00FE0C02" w:rsidRPr="00D90878" w:rsidRDefault="00FE0C02" w:rsidP="00FE0C02">
      <w:pPr>
        <w:pStyle w:val="Point1"/>
      </w:pPr>
      <w:r w:rsidRPr="00D90878">
        <w:t xml:space="preserve"> h)</w:t>
      </w:r>
      <w:r w:rsidRPr="00D90878">
        <w:tab/>
        <w:t>informácie uvedené vo vzore 47</w:t>
      </w:r>
      <w:r w:rsidR="00D90878">
        <w:t xml:space="preserve"> v </w:t>
      </w:r>
      <w:r w:rsidRPr="00D90878">
        <w:t>časti 4 prílohy III ročne, ak sú splnené obidve podmienky stanovené</w:t>
      </w:r>
      <w:r w:rsidR="00D90878">
        <w:t xml:space="preserve"> v </w:t>
      </w:r>
      <w:r w:rsidRPr="00D90878">
        <w:t>písmene g) tohto odseku.</w:t>
      </w:r>
    </w:p>
    <w:p w14:paraId="5556886E" w14:textId="70963103" w:rsidR="00FE0C02" w:rsidRPr="00D90878" w:rsidRDefault="00FE0C02" w:rsidP="00FE0C02">
      <w:pPr>
        <w:pStyle w:val="Point1"/>
      </w:pPr>
      <w:r w:rsidRPr="00D90878">
        <w:t>Na účel písmena g) bodu ii) tento pomer nezahŕňa</w:t>
      </w:r>
      <w:r w:rsidR="00D90878">
        <w:t xml:space="preserve"> v </w:t>
      </w:r>
      <w:r w:rsidRPr="00D90878">
        <w:t>menovateli ani čitateli úvery</w:t>
      </w:r>
      <w:r w:rsidR="00D90878">
        <w:t xml:space="preserve"> a </w:t>
      </w:r>
      <w:r w:rsidRPr="00D90878">
        <w:t>preddavky klasifikované ako držané na predaj, pokladničné zostatky</w:t>
      </w:r>
      <w:r w:rsidR="00D90878">
        <w:t xml:space="preserve"> v </w:t>
      </w:r>
      <w:r w:rsidRPr="00D90878">
        <w:t>centrálnych bankách</w:t>
      </w:r>
      <w:r w:rsidR="00D90878">
        <w:t xml:space="preserve"> a </w:t>
      </w:r>
      <w:r w:rsidRPr="00D90878">
        <w:t>ostatné vklady splatné na požiadanie.</w:t>
      </w:r>
    </w:p>
    <w:p w14:paraId="23F959DB" w14:textId="453A6E2A" w:rsidR="00D90878" w:rsidRDefault="00FE0C02" w:rsidP="00FE0C02">
      <w:pPr>
        <w:pStyle w:val="Point1"/>
      </w:pPr>
      <w:r w:rsidRPr="00D90878">
        <w:t>Na účely písmen d) až h) tohto odseku sa uplatňujú kritériá vstupu</w:t>
      </w:r>
      <w:r w:rsidR="00D90878">
        <w:t xml:space="preserve"> a </w:t>
      </w:r>
      <w:r w:rsidRPr="00D90878">
        <w:t>výstupu stanovené</w:t>
      </w:r>
      <w:r w:rsidR="00D90878">
        <w:t xml:space="preserve"> v </w:t>
      </w:r>
      <w:r w:rsidRPr="00D90878">
        <w:t>článku 4 ods. 3</w:t>
      </w:r>
      <w:r w:rsidR="00D90878">
        <w:t>.</w:t>
      </w:r>
    </w:p>
    <w:p w14:paraId="2D4B364E" w14:textId="301EADAC"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12</w:t>
      </w:r>
      <w:r w:rsidR="00C52BCC" w:rsidRPr="00D90878">
        <w:fldChar w:fldCharType="end"/>
      </w:r>
    </w:p>
    <w:p w14:paraId="52FE3570" w14:textId="77777777" w:rsidR="00D90878" w:rsidRDefault="00FE0C02" w:rsidP="00FE0C02">
      <w:pPr>
        <w:pStyle w:val="Titrearticle"/>
        <w:spacing w:before="120"/>
        <w:rPr>
          <w:b/>
          <w:i w:val="0"/>
        </w:rPr>
      </w:pPr>
      <w:r w:rsidRPr="00D90878">
        <w:rPr>
          <w:b/>
          <w:i w:val="0"/>
        </w:rPr>
        <w:t>Vykazovanie finančných informácií na konsolidovanom základe pre inštitúcie uplatňujúce národné účtovné rámce</w:t>
      </w:r>
    </w:p>
    <w:p w14:paraId="7898D5B0" w14:textId="7E02F858" w:rsidR="00FE0C02" w:rsidRPr="00D90878" w:rsidRDefault="00FE0C02" w:rsidP="005F180D">
      <w:pPr>
        <w:pStyle w:val="NumPar1"/>
        <w:numPr>
          <w:ilvl w:val="0"/>
          <w:numId w:val="20"/>
        </w:numPr>
      </w:pPr>
      <w:r w:rsidRPr="00D90878">
        <w:t>Ak príslušný orgán rozšíril požiadavky na vykazovanie finančných informácií na inštitúcie usadené</w:t>
      </w:r>
      <w:r w:rsidR="00D90878">
        <w:t xml:space="preserve"> v </w:t>
      </w:r>
      <w:r w:rsidRPr="00D90878">
        <w:t>členskom štáte</w:t>
      </w:r>
      <w:r w:rsidR="00D90878">
        <w:t xml:space="preserve"> v </w:t>
      </w:r>
      <w:r w:rsidRPr="00D90878">
        <w:t>súlade</w:t>
      </w:r>
      <w:r w:rsidR="00D90878">
        <w:t xml:space="preserve"> s </w:t>
      </w:r>
      <w:r w:rsidRPr="00D90878">
        <w:t>článkom 430 ods. 9 nariadenia (EÚ) č. 575/2013, inštitúcie predkladajú informácie uvedené</w:t>
      </w:r>
      <w:r w:rsidR="00D90878">
        <w:t xml:space="preserve"> v </w:t>
      </w:r>
      <w:r w:rsidRPr="00D90878">
        <w:t>prílohe IV</w:t>
      </w:r>
      <w:r w:rsidR="00D90878">
        <w:t xml:space="preserve"> k </w:t>
      </w:r>
      <w:r w:rsidRPr="00D90878">
        <w:t>tomuto nariadeniu na konsolidovanom základe</w:t>
      </w:r>
      <w:r w:rsidR="00D90878">
        <w:t xml:space="preserve"> v </w:t>
      </w:r>
      <w:r w:rsidRPr="00D90878">
        <w:t>súlade</w:t>
      </w:r>
      <w:r w:rsidR="00D90878">
        <w:t xml:space="preserve"> s </w:t>
      </w:r>
      <w:r w:rsidRPr="00D90878">
        <w:t>pokynmi</w:t>
      </w:r>
      <w:r w:rsidR="00D90878">
        <w:t xml:space="preserve"> v </w:t>
      </w:r>
      <w:r w:rsidRPr="00D90878">
        <w:t>prílohe</w:t>
      </w:r>
      <w:r w:rsidR="00D90878">
        <w:t xml:space="preserve"> V k </w:t>
      </w:r>
      <w:r w:rsidRPr="00D90878">
        <w:t>tomuto nariadeniu.</w:t>
      </w:r>
    </w:p>
    <w:p w14:paraId="1A4AC33E" w14:textId="24405301" w:rsidR="00FE0C02" w:rsidRPr="00D90878" w:rsidRDefault="00FE0C02" w:rsidP="00FE0C02">
      <w:pPr>
        <w:pStyle w:val="NumPar1"/>
        <w:numPr>
          <w:ilvl w:val="0"/>
          <w:numId w:val="10"/>
        </w:numPr>
      </w:pPr>
      <w:r w:rsidRPr="00D90878">
        <w:t>Informácie uvedené</w:t>
      </w:r>
      <w:r w:rsidR="00D90878">
        <w:t xml:space="preserve"> v </w:t>
      </w:r>
      <w:r w:rsidRPr="00D90878">
        <w:t>odseku 1 sa predkladajú takto:</w:t>
      </w:r>
    </w:p>
    <w:p w14:paraId="4130D034" w14:textId="39AA94B3" w:rsidR="00FE0C02" w:rsidRPr="00D90878" w:rsidRDefault="00FE0C02" w:rsidP="00FE0C02">
      <w:pPr>
        <w:pStyle w:val="Point1"/>
      </w:pPr>
      <w:r w:rsidRPr="00D90878">
        <w:t>a)</w:t>
      </w:r>
      <w:r w:rsidRPr="00D90878">
        <w:tab/>
        <w:t>informácie uvedené</w:t>
      </w:r>
      <w:r w:rsidR="00D90878">
        <w:t xml:space="preserve"> v </w:t>
      </w:r>
      <w:r w:rsidRPr="00D90878">
        <w:t>časti 1 prílohy IV štvrťročne;</w:t>
      </w:r>
    </w:p>
    <w:p w14:paraId="08B03AF4" w14:textId="7B5248D9" w:rsidR="00FE0C02" w:rsidRPr="00D90878" w:rsidRDefault="00FE0C02" w:rsidP="00FE0C02">
      <w:pPr>
        <w:pStyle w:val="Point1"/>
      </w:pPr>
      <w:r w:rsidRPr="00D90878">
        <w:t>b)</w:t>
      </w:r>
      <w:r w:rsidRPr="00D90878">
        <w:tab/>
        <w:t>informácie uvedené</w:t>
      </w:r>
      <w:r w:rsidR="00D90878">
        <w:t xml:space="preserve"> v </w:t>
      </w:r>
      <w:r w:rsidRPr="00D90878">
        <w:t>časti 3 prílohy IV polročne;</w:t>
      </w:r>
    </w:p>
    <w:p w14:paraId="6BD250DE" w14:textId="053239F4" w:rsidR="00FE0C02" w:rsidRPr="00D90878" w:rsidRDefault="00FE0C02" w:rsidP="00FE0C02">
      <w:pPr>
        <w:pStyle w:val="Point1"/>
      </w:pPr>
      <w:r w:rsidRPr="00D90878">
        <w:t>c)</w:t>
      </w:r>
      <w:r w:rsidRPr="00D90878">
        <w:tab/>
        <w:t>informácie uvedené</w:t>
      </w:r>
      <w:r w:rsidR="00D90878">
        <w:t xml:space="preserve"> v </w:t>
      </w:r>
      <w:r w:rsidRPr="00D90878">
        <w:t>časti 4 prílohy IV</w:t>
      </w:r>
      <w:r w:rsidR="00D90878">
        <w:t xml:space="preserve"> s </w:t>
      </w:r>
      <w:r w:rsidRPr="00D90878">
        <w:t>výnimkou informácií uvedených vo vzore 47 ročne;</w:t>
      </w:r>
    </w:p>
    <w:p w14:paraId="7E75579F" w14:textId="389C25D5" w:rsidR="00FE0C02" w:rsidRPr="00D90878" w:rsidRDefault="00FE0C02" w:rsidP="00FE0C02">
      <w:pPr>
        <w:pStyle w:val="Point1"/>
      </w:pPr>
      <w:r w:rsidRPr="00D90878">
        <w:t>d)</w:t>
      </w:r>
      <w:r w:rsidRPr="00D90878">
        <w:tab/>
        <w:t>informácie uvedené vo vzore 20</w:t>
      </w:r>
      <w:r w:rsidR="00D90878">
        <w:t xml:space="preserve"> v </w:t>
      </w:r>
      <w:r w:rsidRPr="00D90878">
        <w:t>časti 2 prílohy IV štvrťročne, ak inštitúcia prekročí prahovú hodnotu stanovenú</w:t>
      </w:r>
      <w:r w:rsidR="00D90878">
        <w:t xml:space="preserve"> v </w:t>
      </w:r>
      <w:r w:rsidRPr="00D90878">
        <w:t>článku 5 ods. 5 druhom pododseku;</w:t>
      </w:r>
    </w:p>
    <w:p w14:paraId="76AF5C14" w14:textId="0470959C" w:rsidR="00FE0C02" w:rsidRPr="00D90878" w:rsidRDefault="00FE0C02" w:rsidP="00FE0C02">
      <w:pPr>
        <w:pStyle w:val="Point1"/>
      </w:pPr>
      <w:r w:rsidRPr="00D90878">
        <w:t>e)</w:t>
      </w:r>
      <w:r w:rsidRPr="00D90878">
        <w:tab/>
        <w:t>informácie uvedené vo vzore 21</w:t>
      </w:r>
      <w:r w:rsidR="00D90878">
        <w:t xml:space="preserve"> v </w:t>
      </w:r>
      <w:r w:rsidRPr="00D90878">
        <w:t>časti 2 prílohy IV štvrťročne, ak sa hmotné aktíva, ktoré sú predmetom operatívneho lízingu, rovnajú alebo sú vyššie ako 10</w:t>
      </w:r>
      <w:r w:rsidR="00D90878">
        <w:t> %</w:t>
      </w:r>
      <w:r w:rsidRPr="00D90878">
        <w:t xml:space="preserve"> celkových hmotných aktív vykázaných</w:t>
      </w:r>
      <w:r w:rsidR="00D90878">
        <w:t xml:space="preserve"> v </w:t>
      </w:r>
      <w:r w:rsidRPr="00D90878">
        <w:t>súlade so vzorom 1.1</w:t>
      </w:r>
      <w:r w:rsidR="00D90878">
        <w:t xml:space="preserve"> v </w:t>
      </w:r>
      <w:r w:rsidRPr="00D90878">
        <w:t>časti 1 prílohy IV;</w:t>
      </w:r>
    </w:p>
    <w:p w14:paraId="406C6C11" w14:textId="163E537B" w:rsidR="00FE0C02" w:rsidRPr="00D90878" w:rsidRDefault="00FE0C02" w:rsidP="00FE0C02">
      <w:pPr>
        <w:pStyle w:val="Point1"/>
      </w:pPr>
      <w:r w:rsidRPr="00D90878">
        <w:t>f)</w:t>
      </w:r>
      <w:r w:rsidRPr="00D90878">
        <w:tab/>
        <w:t>informácie uvedené vo vzore 22</w:t>
      </w:r>
      <w:r w:rsidR="00D90878">
        <w:t xml:space="preserve"> v </w:t>
      </w:r>
      <w:r w:rsidRPr="00D90878">
        <w:t>časti 2 prílohy IV štvrťročne, ak sa čistý príjem</w:t>
      </w:r>
      <w:r w:rsidR="00D90878">
        <w:t xml:space="preserve"> z </w:t>
      </w:r>
      <w:r w:rsidRPr="00D90878">
        <w:t>poplatkov</w:t>
      </w:r>
      <w:r w:rsidR="00D90878">
        <w:t xml:space="preserve"> a </w:t>
      </w:r>
      <w:r w:rsidRPr="00D90878">
        <w:t>provízií rovná alebo je vyšší ako 10</w:t>
      </w:r>
      <w:r w:rsidR="00D90878">
        <w:t> %</w:t>
      </w:r>
      <w:r w:rsidRPr="00D90878">
        <w:t xml:space="preserve"> súčtu čistého príjmu</w:t>
      </w:r>
      <w:r w:rsidR="00D90878">
        <w:t xml:space="preserve"> z </w:t>
      </w:r>
      <w:r w:rsidRPr="00D90878">
        <w:t>poplatkov</w:t>
      </w:r>
      <w:r w:rsidR="00D90878">
        <w:t xml:space="preserve"> a </w:t>
      </w:r>
      <w:r w:rsidRPr="00D90878">
        <w:t>provízií</w:t>
      </w:r>
      <w:r w:rsidR="00D90878">
        <w:t xml:space="preserve"> a </w:t>
      </w:r>
      <w:r w:rsidRPr="00D90878">
        <w:t>čistého úrokového príjmu vykázaných</w:t>
      </w:r>
      <w:r w:rsidR="00D90878">
        <w:t xml:space="preserve"> v </w:t>
      </w:r>
      <w:r w:rsidRPr="00D90878">
        <w:t>súlade so vzorom 2</w:t>
      </w:r>
      <w:r w:rsidR="00D90878">
        <w:t xml:space="preserve"> v </w:t>
      </w:r>
      <w:r w:rsidRPr="00D90878">
        <w:t>časti 1 prílohy IV;</w:t>
      </w:r>
    </w:p>
    <w:p w14:paraId="1A7AAB4F" w14:textId="0551DBB7" w:rsidR="00FE0C02" w:rsidRPr="00D90878" w:rsidRDefault="00FE0C02" w:rsidP="00FE0C02">
      <w:pPr>
        <w:pStyle w:val="Point1"/>
      </w:pPr>
      <w:r w:rsidRPr="00D90878">
        <w:t>g)</w:t>
      </w:r>
      <w:r w:rsidRPr="00D90878">
        <w:tab/>
        <w:t>informácie uvedené vo vzoroch 23 až 26</w:t>
      </w:r>
      <w:r w:rsidR="00D90878">
        <w:t xml:space="preserve"> v </w:t>
      </w:r>
      <w:r w:rsidRPr="00D90878">
        <w:t>časti 2 prílohy IV štvrťročne, ak sú splnené obidve tieto podmienky:</w:t>
      </w:r>
    </w:p>
    <w:p w14:paraId="6F0AB516" w14:textId="49DCE734" w:rsidR="00FE0C02" w:rsidRPr="00D90878" w:rsidRDefault="00FE0C02" w:rsidP="00FE0C02">
      <w:pPr>
        <w:pStyle w:val="Point2"/>
      </w:pPr>
      <w:r w:rsidRPr="00D90878">
        <w:t>i)</w:t>
      </w:r>
      <w:r w:rsidRPr="00D90878">
        <w:tab/>
        <w:t>inštitúcia nie je malá</w:t>
      </w:r>
      <w:r w:rsidR="00D90878">
        <w:t xml:space="preserve"> a </w:t>
      </w:r>
      <w:r w:rsidRPr="00D90878">
        <w:t>menej zložitá;</w:t>
      </w:r>
    </w:p>
    <w:p w14:paraId="7B0E8A3F" w14:textId="7E3F5D8F" w:rsidR="00D90878" w:rsidRDefault="00FE0C02" w:rsidP="00FE0C02">
      <w:pPr>
        <w:pStyle w:val="Point1"/>
        <w:ind w:firstLine="0"/>
      </w:pPr>
      <w:r w:rsidRPr="00D90878">
        <w:t>ii)</w:t>
      </w:r>
      <w:r w:rsidRPr="00D90878">
        <w:tab/>
        <w:t>pomer inštitúcie uvedený</w:t>
      </w:r>
      <w:r w:rsidR="00D90878">
        <w:t xml:space="preserve"> v </w:t>
      </w:r>
      <w:r w:rsidRPr="00D90878">
        <w:t>článku 11 ods. 2 písm. g) bode ii) sa rovná alebo je vyšší ako 5</w:t>
      </w:r>
      <w:r w:rsidR="00D90878">
        <w:t> %;</w:t>
      </w:r>
    </w:p>
    <w:p w14:paraId="7BAE5BF6" w14:textId="7DBC5D40" w:rsidR="00D90878" w:rsidRDefault="00FE0C02" w:rsidP="00FE0C02">
      <w:pPr>
        <w:pStyle w:val="Point1"/>
      </w:pPr>
      <w:r w:rsidRPr="00D90878">
        <w:t>h)</w:t>
      </w:r>
      <w:r w:rsidRPr="00D90878">
        <w:tab/>
        <w:t>informácie uvedené vo vzore 47</w:t>
      </w:r>
      <w:r w:rsidR="00D90878">
        <w:t xml:space="preserve"> v </w:t>
      </w:r>
      <w:r w:rsidRPr="00D90878">
        <w:t>časti 4 prílohy IV ročne, ak sú splnené obidve podmienky stanovené</w:t>
      </w:r>
      <w:r w:rsidR="00D90878">
        <w:t xml:space="preserve"> v </w:t>
      </w:r>
      <w:r w:rsidRPr="00D90878">
        <w:t>písmene g) tohto odseku</w:t>
      </w:r>
      <w:r w:rsidR="00D90878">
        <w:t>.</w:t>
      </w:r>
    </w:p>
    <w:p w14:paraId="1ACF697C" w14:textId="6E05C13C" w:rsidR="00D90878" w:rsidRDefault="00FE0C02" w:rsidP="00FE0C02">
      <w:pPr>
        <w:pStyle w:val="Point1"/>
      </w:pPr>
      <w:r w:rsidRPr="00D90878">
        <w:t>Na účely písmen d) až h) tohto odseku sa uplatňujú kritériá vstupu</w:t>
      </w:r>
      <w:r w:rsidR="00D90878">
        <w:t xml:space="preserve"> a </w:t>
      </w:r>
      <w:r w:rsidRPr="00D90878">
        <w:t>výstupu stanovené</w:t>
      </w:r>
      <w:r w:rsidR="00D90878">
        <w:t xml:space="preserve"> v </w:t>
      </w:r>
      <w:r w:rsidRPr="00D90878">
        <w:t>článku 4 ods. 3</w:t>
      </w:r>
      <w:r w:rsidR="00D90878">
        <w:t>.</w:t>
      </w:r>
    </w:p>
    <w:p w14:paraId="1265B500" w14:textId="6B0ADD0F" w:rsidR="00FE0C02" w:rsidRPr="00D90878" w:rsidRDefault="00FE0C02" w:rsidP="00FE0C02">
      <w:pPr>
        <w:pStyle w:val="Titrearticle"/>
      </w:pPr>
      <w:r w:rsidRPr="00D90878">
        <w:lastRenderedPageBreak/>
        <w:t>Článok </w:t>
      </w:r>
      <w:r w:rsidR="00C52BCC" w:rsidRPr="00D90878">
        <w:fldChar w:fldCharType="begin"/>
      </w:r>
      <w:r w:rsidR="00C52BCC" w:rsidRPr="00D90878">
        <w:instrText xml:space="preserve"> seq article </w:instrText>
      </w:r>
      <w:r w:rsidR="00C52BCC" w:rsidRPr="00D90878">
        <w:fldChar w:fldCharType="separate"/>
      </w:r>
      <w:r w:rsidRPr="00D90878">
        <w:t>13</w:t>
      </w:r>
      <w:r w:rsidR="00C52BCC" w:rsidRPr="00D90878">
        <w:fldChar w:fldCharType="end"/>
      </w:r>
    </w:p>
    <w:p w14:paraId="62DD7E11" w14:textId="0F167C00" w:rsidR="00FE0C02" w:rsidRPr="00D90878" w:rsidRDefault="00FE0C02" w:rsidP="00FE0C02">
      <w:pPr>
        <w:pStyle w:val="Text1"/>
      </w:pPr>
      <w:r w:rsidRPr="00D90878">
        <w:rPr>
          <w:b/>
        </w:rPr>
        <w:t>Vykazovanie strát pochádzajúcich</w:t>
      </w:r>
      <w:r w:rsidR="00D90878">
        <w:rPr>
          <w:b/>
        </w:rPr>
        <w:t xml:space="preserve"> z </w:t>
      </w:r>
      <w:r w:rsidRPr="00D90878">
        <w:rPr>
          <w:b/>
        </w:rPr>
        <w:t>úverov zabezpečených kolaterálom vo forme nehnuteľného majetku</w:t>
      </w:r>
      <w:r w:rsidR="00D90878">
        <w:rPr>
          <w:b/>
        </w:rPr>
        <w:t xml:space="preserve"> v </w:t>
      </w:r>
      <w:r w:rsidRPr="00D90878">
        <w:rPr>
          <w:b/>
        </w:rPr>
        <w:t>súlade</w:t>
      </w:r>
      <w:r w:rsidR="00D90878">
        <w:rPr>
          <w:b/>
        </w:rPr>
        <w:t xml:space="preserve"> s </w:t>
      </w:r>
      <w:r w:rsidRPr="00D90878">
        <w:rPr>
          <w:b/>
        </w:rPr>
        <w:t>článkom</w:t>
      </w:r>
      <w:r w:rsidR="00D90878">
        <w:rPr>
          <w:b/>
        </w:rPr>
        <w:t xml:space="preserve"> 430a ods. 1 nariadenia (EÚ) č. </w:t>
      </w:r>
      <w:r w:rsidRPr="00D90878">
        <w:rPr>
          <w:b/>
        </w:rPr>
        <w:t>575/2013 na individuálnom</w:t>
      </w:r>
      <w:r w:rsidR="00D90878">
        <w:rPr>
          <w:b/>
        </w:rPr>
        <w:t xml:space="preserve"> a </w:t>
      </w:r>
      <w:r w:rsidRPr="00D90878">
        <w:rPr>
          <w:b/>
        </w:rPr>
        <w:t>konsolidovanom základe</w:t>
      </w:r>
    </w:p>
    <w:p w14:paraId="663A2D70" w14:textId="1C8C5E59" w:rsidR="00FE0C02" w:rsidRPr="00D90878" w:rsidRDefault="00FE0C02" w:rsidP="005F180D">
      <w:pPr>
        <w:pStyle w:val="NumPar1"/>
        <w:numPr>
          <w:ilvl w:val="0"/>
          <w:numId w:val="21"/>
        </w:numPr>
      </w:pPr>
      <w:r w:rsidRPr="00D90878">
        <w:t>Inštitúcie predkladajú informácie uvedené</w:t>
      </w:r>
      <w:r w:rsidR="00D90878">
        <w:t xml:space="preserve"> v </w:t>
      </w:r>
      <w:r w:rsidRPr="00D90878">
        <w:t>prílohe VI</w:t>
      </w:r>
      <w:r w:rsidR="00D90878">
        <w:t xml:space="preserve"> v </w:t>
      </w:r>
      <w:r w:rsidRPr="00D90878">
        <w:t>súlade</w:t>
      </w:r>
      <w:r w:rsidR="00D90878">
        <w:t xml:space="preserve"> s </w:t>
      </w:r>
      <w:r w:rsidRPr="00D90878">
        <w:t>pokynmi</w:t>
      </w:r>
      <w:r w:rsidR="00D90878">
        <w:t xml:space="preserve"> v </w:t>
      </w:r>
      <w:r w:rsidRPr="00D90878">
        <w:t>prílohe VII na konsolidovanom základe ročne.</w:t>
      </w:r>
    </w:p>
    <w:p w14:paraId="60EE04AB" w14:textId="5446FB9B" w:rsidR="00FE0C02" w:rsidRPr="00D90878" w:rsidRDefault="00FE0C02" w:rsidP="00FE0C02">
      <w:pPr>
        <w:pStyle w:val="NumPar1"/>
        <w:numPr>
          <w:ilvl w:val="0"/>
          <w:numId w:val="10"/>
        </w:numPr>
      </w:pPr>
      <w:r w:rsidRPr="00D90878">
        <w:t>Inštitúcie predkladajú informácie uvedené</w:t>
      </w:r>
      <w:r w:rsidR="00D90878">
        <w:t xml:space="preserve"> v </w:t>
      </w:r>
      <w:r w:rsidRPr="00D90878">
        <w:t>prílohe VI</w:t>
      </w:r>
      <w:r w:rsidR="00D90878">
        <w:t xml:space="preserve"> v </w:t>
      </w:r>
      <w:r w:rsidRPr="00D90878">
        <w:t>súlade</w:t>
      </w:r>
      <w:r w:rsidR="00D90878">
        <w:t xml:space="preserve"> s </w:t>
      </w:r>
      <w:r w:rsidRPr="00D90878">
        <w:t>pokynmi</w:t>
      </w:r>
      <w:r w:rsidR="00D90878">
        <w:t xml:space="preserve"> v </w:t>
      </w:r>
      <w:r w:rsidRPr="00D90878">
        <w:t>prílohe VII na individuálnom základe ročne.</w:t>
      </w:r>
    </w:p>
    <w:p w14:paraId="2635EBF0" w14:textId="3C172E75" w:rsidR="00FE0C02" w:rsidRPr="00D90878" w:rsidRDefault="00FE0C02" w:rsidP="00FE0C02">
      <w:pPr>
        <w:pStyle w:val="NumPar1"/>
        <w:numPr>
          <w:ilvl w:val="0"/>
          <w:numId w:val="10"/>
        </w:numPr>
      </w:pPr>
      <w:r w:rsidRPr="00D90878">
        <w:t>Ak má inštitúcia pobočku</w:t>
      </w:r>
      <w:r w:rsidR="00D90878">
        <w:t xml:space="preserve"> v </w:t>
      </w:r>
      <w:r w:rsidRPr="00D90878">
        <w:t>inom členskom štáte, táto pobočka predkladá príslušnému orgánu hostiteľského členského štátu informácie uvedené</w:t>
      </w:r>
      <w:r w:rsidR="00D90878">
        <w:t xml:space="preserve"> v </w:t>
      </w:r>
      <w:r w:rsidRPr="00D90878">
        <w:t>prílohe VI týkajúce sa tejto pobočky</w:t>
      </w:r>
      <w:r w:rsidR="00D90878">
        <w:t xml:space="preserve"> v </w:t>
      </w:r>
      <w:r w:rsidRPr="00D90878">
        <w:t>súlade</w:t>
      </w:r>
      <w:r w:rsidR="00D90878">
        <w:t xml:space="preserve"> s </w:t>
      </w:r>
      <w:r w:rsidRPr="00D90878">
        <w:t>pokynmi uvedenými</w:t>
      </w:r>
      <w:r w:rsidR="00D90878">
        <w:t xml:space="preserve"> v </w:t>
      </w:r>
      <w:r w:rsidRPr="00D90878">
        <w:t>prílohe VII ročne.</w:t>
      </w:r>
    </w:p>
    <w:p w14:paraId="7DA92B87" w14:textId="77777777" w:rsidR="00FE0C02" w:rsidRPr="00D90878" w:rsidRDefault="00FE0C02" w:rsidP="00FE0C02">
      <w:pPr>
        <w:pStyle w:val="Titrearticle"/>
      </w:pPr>
      <w:r w:rsidRPr="00D90878">
        <w:t>Článok 14</w:t>
      </w:r>
    </w:p>
    <w:p w14:paraId="5DF7D5F9" w14:textId="1E765027" w:rsidR="00FE0C02" w:rsidRPr="00D90878" w:rsidRDefault="00FE0C02" w:rsidP="00FE0C02">
      <w:pPr>
        <w:pStyle w:val="Titrearticle"/>
        <w:spacing w:before="120"/>
        <w:rPr>
          <w:b/>
          <w:i w:val="0"/>
        </w:rPr>
      </w:pPr>
      <w:r w:rsidRPr="00D90878">
        <w:rPr>
          <w:b/>
          <w:i w:val="0"/>
        </w:rPr>
        <w:t>Vykazovanie veľkej majetkovej angažovanosti na individuálnom</w:t>
      </w:r>
      <w:r w:rsidR="00D90878">
        <w:rPr>
          <w:b/>
          <w:i w:val="0"/>
        </w:rPr>
        <w:t xml:space="preserve"> a </w:t>
      </w:r>
      <w:r w:rsidRPr="00D90878">
        <w:rPr>
          <w:b/>
          <w:i w:val="0"/>
        </w:rPr>
        <w:t>konsolidovanom základe</w:t>
      </w:r>
    </w:p>
    <w:p w14:paraId="07D89C15" w14:textId="30FFE6B8" w:rsidR="00FE0C02" w:rsidRPr="00D90878" w:rsidRDefault="00FE0C02" w:rsidP="005F180D">
      <w:pPr>
        <w:pStyle w:val="NumPar1"/>
        <w:numPr>
          <w:ilvl w:val="0"/>
          <w:numId w:val="22"/>
        </w:numPr>
      </w:pPr>
      <w:r w:rsidRPr="00D90878">
        <w:t>S cieľom vykazovať informácie</w:t>
      </w:r>
      <w:r w:rsidR="00D90878">
        <w:t xml:space="preserve"> o </w:t>
      </w:r>
      <w:r w:rsidRPr="00D90878">
        <w:t>veľkej majetkovej angažovanosti voči klientom</w:t>
      </w:r>
      <w:r w:rsidR="00D90878">
        <w:t xml:space="preserve"> a </w:t>
      </w:r>
      <w:r w:rsidRPr="00D90878">
        <w:t>skupinám prepojených klientov</w:t>
      </w:r>
      <w:r w:rsidR="00D90878">
        <w:t xml:space="preserve"> v </w:t>
      </w:r>
      <w:r w:rsidRPr="00D90878">
        <w:t>súlade</w:t>
      </w:r>
      <w:r w:rsidR="00D90878">
        <w:t xml:space="preserve"> s článkom 394 nariadenia (EÚ) č. </w:t>
      </w:r>
      <w:r w:rsidRPr="00D90878">
        <w:t>575/2013 na individuálnom</w:t>
      </w:r>
      <w:r w:rsidR="00D90878">
        <w:t xml:space="preserve"> a </w:t>
      </w:r>
      <w:r w:rsidRPr="00D90878">
        <w:t>konsolidovanom základe inštitúcie predkladajú informácie uvedené</w:t>
      </w:r>
      <w:r w:rsidR="00D90878">
        <w:t xml:space="preserve"> v </w:t>
      </w:r>
      <w:r w:rsidRPr="00D90878">
        <w:t>prílohe VIII</w:t>
      </w:r>
      <w:r w:rsidR="00D90878">
        <w:t xml:space="preserve"> v </w:t>
      </w:r>
      <w:r w:rsidRPr="00D90878">
        <w:t>súlade</w:t>
      </w:r>
      <w:r w:rsidR="00D90878">
        <w:t xml:space="preserve"> s </w:t>
      </w:r>
      <w:r w:rsidRPr="00D90878">
        <w:t>pokynmi</w:t>
      </w:r>
      <w:r w:rsidR="00D90878">
        <w:t xml:space="preserve"> v </w:t>
      </w:r>
      <w:r w:rsidRPr="00D90878">
        <w:t>prílohe IX štvrťročne.</w:t>
      </w:r>
    </w:p>
    <w:p w14:paraId="1BE89751" w14:textId="7F9E2A84" w:rsidR="00FE0C02" w:rsidRPr="00D90878" w:rsidRDefault="00FE0C02" w:rsidP="00FE0C02">
      <w:pPr>
        <w:pStyle w:val="NumPar1"/>
        <w:numPr>
          <w:ilvl w:val="0"/>
          <w:numId w:val="10"/>
        </w:numPr>
      </w:pPr>
      <w:r w:rsidRPr="00D90878">
        <w:t>S cieľom vykazovať informácie</w:t>
      </w:r>
      <w:r w:rsidR="00D90878">
        <w:t xml:space="preserve"> o </w:t>
      </w:r>
      <w:r w:rsidRPr="00D90878">
        <w:t>20 najväčších expozíciách voči klientom alebo skupinám prepojených klientov</w:t>
      </w:r>
      <w:r w:rsidR="00D90878">
        <w:t xml:space="preserve"> v </w:t>
      </w:r>
      <w:r w:rsidRPr="00D90878">
        <w:t>súlade</w:t>
      </w:r>
      <w:r w:rsidR="00D90878">
        <w:t xml:space="preserve"> s </w:t>
      </w:r>
      <w:r w:rsidRPr="00D90878">
        <w:t>článkom 394 ods. 1 nariadenia (EÚ) č. 575/2013 na konsolidovanom základe inštitúcie, na ktoré sa vzťahuje tretia časť hlava II kapitola 3 nariadenia (EÚ) č. 575/2013, predkladajú informácie uvedené</w:t>
      </w:r>
      <w:r w:rsidR="00D90878">
        <w:t xml:space="preserve"> v </w:t>
      </w:r>
      <w:r w:rsidRPr="00D90878">
        <w:t>prílohe VIII</w:t>
      </w:r>
      <w:r w:rsidR="00D90878">
        <w:t xml:space="preserve"> v </w:t>
      </w:r>
      <w:r w:rsidRPr="00D90878">
        <w:t>súlade</w:t>
      </w:r>
      <w:r w:rsidR="00D90878">
        <w:t xml:space="preserve"> s </w:t>
      </w:r>
      <w:r w:rsidRPr="00D90878">
        <w:t>pokynmi</w:t>
      </w:r>
      <w:r w:rsidR="00D90878">
        <w:t xml:space="preserve"> v </w:t>
      </w:r>
      <w:r w:rsidRPr="00D90878">
        <w:t>prílohe IX štvrťročne.</w:t>
      </w:r>
    </w:p>
    <w:p w14:paraId="4501AF0E" w14:textId="5DB92042" w:rsidR="00FE0C02" w:rsidRPr="00D90878" w:rsidRDefault="00FE0C02" w:rsidP="00FE0C02">
      <w:pPr>
        <w:pStyle w:val="NumPar1"/>
        <w:numPr>
          <w:ilvl w:val="0"/>
          <w:numId w:val="10"/>
        </w:numPr>
      </w:pPr>
      <w:r w:rsidRPr="00D90878">
        <w:t>S cieľom vykazovať informácie</w:t>
      </w:r>
      <w:r w:rsidR="00D90878">
        <w:t xml:space="preserve"> o </w:t>
      </w:r>
      <w:r w:rsidRPr="00D90878">
        <w:t>expozíciách</w:t>
      </w:r>
      <w:r w:rsidR="00D90878">
        <w:t xml:space="preserve"> s </w:t>
      </w:r>
      <w:r w:rsidRPr="00D90878">
        <w:t>hodnotou rovnajúcou sa alebo vyššou ako 300 miliónov EUR, ale nižšou ako 10</w:t>
      </w:r>
      <w:r w:rsidR="00D90878">
        <w:t> %</w:t>
      </w:r>
      <w:r w:rsidRPr="00D90878">
        <w:t xml:space="preserve"> kapitálu Tier 1 inštitúcie</w:t>
      </w:r>
      <w:r w:rsidR="00D90878">
        <w:t xml:space="preserve"> v </w:t>
      </w:r>
      <w:r w:rsidRPr="00D90878">
        <w:t>súlade</w:t>
      </w:r>
      <w:r w:rsidR="00D90878">
        <w:t xml:space="preserve"> s </w:t>
      </w:r>
      <w:r w:rsidRPr="00D90878">
        <w:t>článkom 394 ods. 1 nariadenia (EÚ) č. 575/2013 na konsolidovanom základe, inštitúcie predkladajú informácie uvedené</w:t>
      </w:r>
      <w:r w:rsidR="00D90878">
        <w:t xml:space="preserve"> v </w:t>
      </w:r>
      <w:r w:rsidRPr="00D90878">
        <w:t>prílohe VIII</w:t>
      </w:r>
      <w:r w:rsidR="00D90878">
        <w:t xml:space="preserve"> v </w:t>
      </w:r>
      <w:r w:rsidRPr="00D90878">
        <w:t>súlade</w:t>
      </w:r>
      <w:r w:rsidR="00D90878">
        <w:t xml:space="preserve"> s </w:t>
      </w:r>
      <w:r w:rsidRPr="00D90878">
        <w:t>pokynmi</w:t>
      </w:r>
      <w:r w:rsidR="00D90878">
        <w:t xml:space="preserve"> v </w:t>
      </w:r>
      <w:r w:rsidRPr="00D90878">
        <w:t>prílohe IX štvrťročne.</w:t>
      </w:r>
    </w:p>
    <w:p w14:paraId="6CA58180" w14:textId="466DEC60" w:rsidR="00FE0C02" w:rsidRPr="00D90878" w:rsidRDefault="00FE0C02" w:rsidP="00FE0C02">
      <w:pPr>
        <w:pStyle w:val="NumPar1"/>
        <w:numPr>
          <w:ilvl w:val="0"/>
          <w:numId w:val="10"/>
        </w:numPr>
      </w:pPr>
      <w:r w:rsidRPr="00D90878">
        <w:t>S cieľom vykazovať informácie</w:t>
      </w:r>
      <w:r w:rsidR="00D90878">
        <w:t xml:space="preserve"> o </w:t>
      </w:r>
      <w:r w:rsidRPr="00D90878">
        <w:t>10 najväčších expozíciách voči inštitúciám na konsolidovanom základe</w:t>
      </w:r>
      <w:r w:rsidR="00D90878">
        <w:t xml:space="preserve"> a o </w:t>
      </w:r>
      <w:r w:rsidRPr="00D90878">
        <w:t>10 najväčších expozíciách voči subjektom tieňového bankovníctva, ktoré vykonávajú bankové činnosti mimo regulovaného rámca na konsolidovanom základe</w:t>
      </w:r>
      <w:r w:rsidR="00D90878">
        <w:t xml:space="preserve"> v </w:t>
      </w:r>
      <w:r w:rsidRPr="00D90878">
        <w:t>súlade</w:t>
      </w:r>
      <w:r w:rsidR="00D90878">
        <w:t xml:space="preserve"> s </w:t>
      </w:r>
      <w:r w:rsidRPr="00D90878">
        <w:t>článkom 394 ods. 2 nariadenia (EÚ) č. 575/2013, inštitúcie predkladajú informácie uvedené</w:t>
      </w:r>
      <w:r w:rsidR="00D90878">
        <w:t xml:space="preserve"> v </w:t>
      </w:r>
      <w:r w:rsidRPr="00D90878">
        <w:t>prílohe VIII</w:t>
      </w:r>
      <w:r w:rsidR="00D90878">
        <w:t xml:space="preserve"> v </w:t>
      </w:r>
      <w:r w:rsidRPr="00D90878">
        <w:t>súlade</w:t>
      </w:r>
      <w:r w:rsidR="00D90878">
        <w:t xml:space="preserve"> s </w:t>
      </w:r>
      <w:r w:rsidRPr="00D90878">
        <w:t>pokynmi</w:t>
      </w:r>
      <w:r w:rsidR="00D90878">
        <w:t xml:space="preserve"> v </w:t>
      </w:r>
      <w:r w:rsidRPr="00D90878">
        <w:t>prílohe IX štvrťročne.</w:t>
      </w:r>
    </w:p>
    <w:p w14:paraId="24660E67"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15</w:t>
      </w:r>
      <w:r w:rsidR="00C52BCC" w:rsidRPr="00D90878">
        <w:fldChar w:fldCharType="end"/>
      </w:r>
    </w:p>
    <w:p w14:paraId="7A43457A" w14:textId="063A5943" w:rsidR="00FE0C02" w:rsidRPr="00D90878" w:rsidRDefault="00FE0C02" w:rsidP="00FE0C02">
      <w:pPr>
        <w:pStyle w:val="Titrearticle"/>
        <w:spacing w:before="120"/>
        <w:rPr>
          <w:b/>
          <w:i w:val="0"/>
        </w:rPr>
      </w:pPr>
      <w:r w:rsidRPr="00D90878">
        <w:rPr>
          <w:b/>
          <w:i w:val="0"/>
        </w:rPr>
        <w:t>Vykazovanie ukazovateľa finančnej páky na individuálnom</w:t>
      </w:r>
      <w:r w:rsidR="00D90878">
        <w:rPr>
          <w:b/>
          <w:i w:val="0"/>
        </w:rPr>
        <w:t xml:space="preserve"> a </w:t>
      </w:r>
      <w:r w:rsidRPr="00D90878">
        <w:rPr>
          <w:b/>
          <w:i w:val="0"/>
        </w:rPr>
        <w:t>konsolidovanom základe</w:t>
      </w:r>
    </w:p>
    <w:p w14:paraId="01CD6524" w14:textId="2E83A14E" w:rsidR="00FE0C02" w:rsidRPr="00D90878" w:rsidRDefault="00FE0C02" w:rsidP="005F180D">
      <w:pPr>
        <w:pStyle w:val="NumPar1"/>
        <w:numPr>
          <w:ilvl w:val="0"/>
          <w:numId w:val="23"/>
        </w:numPr>
      </w:pPr>
      <w:r w:rsidRPr="00D90878">
        <w:t>S cieľom vykazovať informácie</w:t>
      </w:r>
      <w:r w:rsidR="00D90878">
        <w:t xml:space="preserve"> o </w:t>
      </w:r>
      <w:r w:rsidRPr="00D90878">
        <w:t>ukazovateli finančnej páky</w:t>
      </w:r>
      <w:r w:rsidR="00D90878">
        <w:t xml:space="preserve"> v </w:t>
      </w:r>
      <w:r w:rsidRPr="00D90878">
        <w:t>súlade</w:t>
      </w:r>
      <w:r w:rsidR="00D90878">
        <w:t xml:space="preserve"> s </w:t>
      </w:r>
      <w:r w:rsidRPr="00D90878">
        <w:t>článkom 430 ods. 1 písm. a) nariadenia (EÚ) č. 575/2013 na individuálnom</w:t>
      </w:r>
      <w:r w:rsidR="00D90878">
        <w:t xml:space="preserve"> a </w:t>
      </w:r>
      <w:r w:rsidRPr="00D90878">
        <w:t>konsolidovanom základe inštitúcie predkladajú informácie uvedené</w:t>
      </w:r>
      <w:r w:rsidR="00D90878">
        <w:t xml:space="preserve"> v </w:t>
      </w:r>
      <w:r w:rsidRPr="00D90878">
        <w:t>prílohe X</w:t>
      </w:r>
      <w:r w:rsidR="00D90878">
        <w:t xml:space="preserve"> v </w:t>
      </w:r>
      <w:r w:rsidRPr="00D90878">
        <w:t>súlade</w:t>
      </w:r>
      <w:r w:rsidR="00D90878">
        <w:t xml:space="preserve"> s </w:t>
      </w:r>
      <w:r w:rsidRPr="00D90878">
        <w:t>pokynmi</w:t>
      </w:r>
      <w:r w:rsidR="00D90878">
        <w:t xml:space="preserve"> v </w:t>
      </w:r>
      <w:r w:rsidRPr="00D90878">
        <w:t>prílohe XI štvrťročne. Vzor 48.00 prílohy X predkladajú len veľké inštitúcie.</w:t>
      </w:r>
    </w:p>
    <w:p w14:paraId="3FADC775" w14:textId="77777777" w:rsidR="00FE0C02" w:rsidRPr="00D90878" w:rsidRDefault="00FE0C02" w:rsidP="00FE0C02">
      <w:pPr>
        <w:pStyle w:val="NumPar1"/>
        <w:numPr>
          <w:ilvl w:val="0"/>
          <w:numId w:val="10"/>
        </w:numPr>
      </w:pPr>
      <w:r w:rsidRPr="00D90878">
        <w:t>Informácie uvedené vo vzore 40.00, bunka {r0410;c0010}, prílohy X vykazujú len:</w:t>
      </w:r>
    </w:p>
    <w:p w14:paraId="4CF2917B" w14:textId="77777777" w:rsidR="00D90878" w:rsidRDefault="00FE0C02" w:rsidP="00FE0C02">
      <w:pPr>
        <w:pStyle w:val="Point2"/>
      </w:pPr>
      <w:r w:rsidRPr="00D90878">
        <w:lastRenderedPageBreak/>
        <w:t>a)</w:t>
      </w:r>
      <w:r w:rsidRPr="00D90878">
        <w:tab/>
        <w:t>veľké inštitúcie, ktoré sú buď G-SII, alebo emitovali cenné papiere, ktoré sú prijaté na obchodovanie na regulovanom trhu, polročne</w:t>
      </w:r>
      <w:r w:rsidR="00D90878">
        <w:t>;</w:t>
      </w:r>
    </w:p>
    <w:p w14:paraId="3A54256E" w14:textId="23569DDB" w:rsidR="00FE0C02" w:rsidRPr="00D90878" w:rsidRDefault="00FE0C02" w:rsidP="00FE0C02">
      <w:pPr>
        <w:pStyle w:val="Point2"/>
      </w:pPr>
      <w:r w:rsidRPr="00D90878">
        <w:t>b)</w:t>
      </w:r>
      <w:r w:rsidRPr="00D90878">
        <w:tab/>
        <w:t>veľké inštitúcie iné ako G-SII, ktoré nie sú kótovanými inštitúciami, ročne;</w:t>
      </w:r>
    </w:p>
    <w:p w14:paraId="1FD9F05A" w14:textId="5208CFDC" w:rsidR="00D90878" w:rsidRDefault="00FE0C02" w:rsidP="00FE0C02">
      <w:pPr>
        <w:pStyle w:val="Point2"/>
      </w:pPr>
      <w:r w:rsidRPr="00D90878">
        <w:t>c)</w:t>
      </w:r>
      <w:r w:rsidRPr="00D90878">
        <w:tab/>
        <w:t>inštitúcie iné ako veľké inštitúcie</w:t>
      </w:r>
      <w:r w:rsidR="00D90878">
        <w:t xml:space="preserve"> a </w:t>
      </w:r>
      <w:r w:rsidRPr="00D90878">
        <w:t>malé</w:t>
      </w:r>
      <w:r w:rsidR="00D90878">
        <w:t xml:space="preserve"> a </w:t>
      </w:r>
      <w:r w:rsidRPr="00D90878">
        <w:t>menej zložité inštitúcie, ktoré emitovali cenné papiere prijaté na obchodovanie na regulovanom trhu, ročne</w:t>
      </w:r>
      <w:r w:rsidR="00D90878">
        <w:t>.</w:t>
      </w:r>
    </w:p>
    <w:p w14:paraId="56E76BBA" w14:textId="3FAFB4E6" w:rsidR="00FE0C02" w:rsidRPr="00D90878" w:rsidRDefault="00FE0C02" w:rsidP="00FE0C02">
      <w:pPr>
        <w:pStyle w:val="NumPar1"/>
        <w:numPr>
          <w:ilvl w:val="0"/>
          <w:numId w:val="10"/>
        </w:numPr>
      </w:pPr>
      <w:r w:rsidRPr="00D90878">
        <w:t>Inštitúcie vypočítavajú ukazovateľ finančnej páky</w:t>
      </w:r>
      <w:r w:rsidR="00D90878">
        <w:t xml:space="preserve"> k </w:t>
      </w:r>
      <w:r w:rsidRPr="00D90878">
        <w:t>referenčnému dátumu vykazovania</w:t>
      </w:r>
      <w:r w:rsidR="00D90878">
        <w:t xml:space="preserve"> v </w:t>
      </w:r>
      <w:r w:rsidRPr="00D90878">
        <w:t>súlade</w:t>
      </w:r>
      <w:r w:rsidR="00D90878">
        <w:t xml:space="preserve"> s </w:t>
      </w:r>
      <w:r w:rsidRPr="00D90878">
        <w:t>článkom 429 nariadenia (EÚ) č. 575/2013.</w:t>
      </w:r>
    </w:p>
    <w:p w14:paraId="071CB257" w14:textId="6A480E20" w:rsidR="00FE0C02" w:rsidRPr="00D90878" w:rsidRDefault="00FE0C02" w:rsidP="00FE0C02">
      <w:pPr>
        <w:pStyle w:val="NumPar1"/>
        <w:numPr>
          <w:ilvl w:val="0"/>
          <w:numId w:val="10"/>
        </w:numPr>
      </w:pPr>
      <w:r w:rsidRPr="00D90878">
        <w:t>Inštitúcie vykazujú informácie uvedené</w:t>
      </w:r>
      <w:r w:rsidR="00D90878">
        <w:t xml:space="preserve"> v </w:t>
      </w:r>
      <w:r w:rsidRPr="00D90878">
        <w:t>časti II bode 13 prílohy XI, ak je splnená aspoň jedna</w:t>
      </w:r>
      <w:r w:rsidR="00D90878">
        <w:t xml:space="preserve"> z </w:t>
      </w:r>
      <w:r w:rsidRPr="00D90878">
        <w:t>týchto podmienok:</w:t>
      </w:r>
    </w:p>
    <w:p w14:paraId="72F25911" w14:textId="7734788D" w:rsidR="00FE0C02" w:rsidRPr="00D90878" w:rsidRDefault="00FE0C02" w:rsidP="00FE0C02">
      <w:pPr>
        <w:pStyle w:val="Point1"/>
      </w:pPr>
      <w:r w:rsidRPr="00D90878">
        <w:t>a)</w:t>
      </w:r>
      <w:r w:rsidRPr="00D90878">
        <w:tab/>
        <w:t>podiel derivátov uvedený</w:t>
      </w:r>
      <w:r w:rsidR="00D90878">
        <w:t xml:space="preserve"> v </w:t>
      </w:r>
      <w:r w:rsidRPr="00D90878">
        <w:t>časti II bode 5 prílohy XI je väčší ako 1,5</w:t>
      </w:r>
      <w:r w:rsidR="00D90878">
        <w:t> %</w:t>
      </w:r>
      <w:r w:rsidRPr="00D90878">
        <w:t>;</w:t>
      </w:r>
    </w:p>
    <w:p w14:paraId="564FDA7C" w14:textId="6064E81C" w:rsidR="00FE0C02" w:rsidRPr="00D90878" w:rsidRDefault="00FE0C02" w:rsidP="00FE0C02">
      <w:pPr>
        <w:pStyle w:val="Point1"/>
      </w:pPr>
      <w:r w:rsidRPr="00D90878">
        <w:t>b)</w:t>
      </w:r>
      <w:r w:rsidRPr="00D90878">
        <w:tab/>
        <w:t>podiel derivátov uvedený</w:t>
      </w:r>
      <w:r w:rsidR="00D90878">
        <w:t xml:space="preserve"> v </w:t>
      </w:r>
      <w:r w:rsidRPr="00D90878">
        <w:t>časti II bode 5 prílohy XI presahuje 2</w:t>
      </w:r>
      <w:r w:rsidR="00D90878">
        <w:t> %</w:t>
      </w:r>
      <w:r w:rsidRPr="00D90878">
        <w:t>.</w:t>
      </w:r>
    </w:p>
    <w:p w14:paraId="520C66BD" w14:textId="236734F2" w:rsidR="00D90878" w:rsidRDefault="00FE0C02" w:rsidP="00FE0C02">
      <w:pPr>
        <w:pStyle w:val="Text1"/>
      </w:pPr>
      <w:r w:rsidRPr="00D90878">
        <w:t>Ak inštitúcia spĺňa len podmienku uvedenú</w:t>
      </w:r>
      <w:r w:rsidR="00D90878">
        <w:t xml:space="preserve"> v </w:t>
      </w:r>
      <w:r w:rsidRPr="00D90878">
        <w:t>písmene a), uplatňujú sa kritériá vstupu</w:t>
      </w:r>
      <w:r w:rsidR="00D90878">
        <w:t xml:space="preserve"> a </w:t>
      </w:r>
      <w:r w:rsidRPr="00D90878">
        <w:t>výstupu stanovené</w:t>
      </w:r>
      <w:r w:rsidR="00D90878">
        <w:t xml:space="preserve"> v </w:t>
      </w:r>
      <w:r w:rsidRPr="00D90878">
        <w:t>článku 4 ods. 3</w:t>
      </w:r>
      <w:r w:rsidR="00D90878">
        <w:t>.</w:t>
      </w:r>
    </w:p>
    <w:p w14:paraId="7F04F0F6" w14:textId="3E9C925B" w:rsidR="00FE0C02" w:rsidRPr="00D90878" w:rsidRDefault="00FE0C02" w:rsidP="00FE0C02">
      <w:pPr>
        <w:pStyle w:val="Text1"/>
      </w:pPr>
      <w:r w:rsidRPr="00D90878">
        <w:t>Ak inštitúcia spĺňa obidve podmienky uvedené</w:t>
      </w:r>
      <w:r w:rsidR="00D90878">
        <w:t xml:space="preserve"> v </w:t>
      </w:r>
      <w:r w:rsidRPr="00D90878">
        <w:t>písmenách a) aj b), začne vykazovať uvedené informácie</w:t>
      </w:r>
      <w:r w:rsidR="00D90878">
        <w:t xml:space="preserve"> k </w:t>
      </w:r>
      <w:r w:rsidRPr="00D90878">
        <w:t>referenčnému dátumu nasledujúcemu po referenčnom dátume vykazovania,</w:t>
      </w:r>
      <w:r w:rsidR="00D90878">
        <w:t xml:space="preserve"> v </w:t>
      </w:r>
      <w:r w:rsidRPr="00D90878">
        <w:t>ktorom prekročila prahovú hodnotu.</w:t>
      </w:r>
    </w:p>
    <w:p w14:paraId="7B9D01BA" w14:textId="28671E3C" w:rsidR="00FE0C02" w:rsidRPr="00D90878" w:rsidRDefault="00FE0C02" w:rsidP="00FE0C02">
      <w:pPr>
        <w:pStyle w:val="NumPar1"/>
        <w:numPr>
          <w:ilvl w:val="0"/>
          <w:numId w:val="10"/>
        </w:numPr>
      </w:pPr>
      <w:r w:rsidRPr="00D90878">
        <w:t>Inštitúcie,</w:t>
      </w:r>
      <w:r w:rsidR="00D90878">
        <w:t xml:space="preserve"> v </w:t>
      </w:r>
      <w:r w:rsidRPr="00D90878">
        <w:t>prípade ktorých celková pomyselná hodnota derivátov</w:t>
      </w:r>
      <w:r w:rsidR="00D90878">
        <w:t xml:space="preserve"> v </w:t>
      </w:r>
      <w:r w:rsidRPr="00D90878">
        <w:t>zmysle vymedzenia</w:t>
      </w:r>
      <w:r w:rsidR="00D90878">
        <w:t xml:space="preserve"> v </w:t>
      </w:r>
      <w:r w:rsidRPr="00D90878">
        <w:t>časti II bode 8 prílohy XI presahuje 10 000 miliónov EUR, vykazujú informácie uvedené</w:t>
      </w:r>
      <w:r w:rsidR="00D90878">
        <w:t xml:space="preserve"> v </w:t>
      </w:r>
      <w:r w:rsidRPr="00D90878">
        <w:t>časti II bode 13 prílohy XI, aj ak ich podiel derivátov nespĺňa podmienky stanovené</w:t>
      </w:r>
      <w:r w:rsidR="00D90878">
        <w:t xml:space="preserve"> v </w:t>
      </w:r>
      <w:r w:rsidRPr="00D90878">
        <w:t>odseku 4 tohto článku.</w:t>
      </w:r>
    </w:p>
    <w:p w14:paraId="51584038" w14:textId="67581EB8" w:rsidR="00FE0C02" w:rsidRPr="00D90878" w:rsidRDefault="00FE0C02" w:rsidP="00FE0C02">
      <w:pPr>
        <w:pStyle w:val="Text1"/>
      </w:pPr>
      <w:r w:rsidRPr="00D90878">
        <w:t>Na účely tohto odseku sa neuplatňujú kritériá vstupu stanovené</w:t>
      </w:r>
      <w:r w:rsidR="00D90878">
        <w:t xml:space="preserve"> v </w:t>
      </w:r>
      <w:r w:rsidRPr="00D90878">
        <w:t>článku 4 ods. 3. Inštitúcie začínajú vykazovať informácie</w:t>
      </w:r>
      <w:r w:rsidR="00D90878">
        <w:t xml:space="preserve"> k </w:t>
      </w:r>
      <w:r w:rsidRPr="00D90878">
        <w:t>ďalšiemu referenčnému dátumu vykazovania, ak prekročili prahovú hodnotu</w:t>
      </w:r>
      <w:r w:rsidR="00D90878">
        <w:t xml:space="preserve"> k </w:t>
      </w:r>
      <w:r w:rsidRPr="00D90878">
        <w:t>jednému referenčnému dátumu vykazovania.</w:t>
      </w:r>
    </w:p>
    <w:p w14:paraId="41A483BA" w14:textId="26675079" w:rsidR="00FE0C02" w:rsidRPr="00D90878" w:rsidRDefault="00FE0C02" w:rsidP="00FE0C02">
      <w:pPr>
        <w:pStyle w:val="NumPar1"/>
        <w:numPr>
          <w:ilvl w:val="0"/>
          <w:numId w:val="10"/>
        </w:numPr>
      </w:pPr>
      <w:r w:rsidRPr="00D90878">
        <w:t>Inštitúcie sú povinné vykazovať informácie uvedené</w:t>
      </w:r>
      <w:r w:rsidR="00D90878">
        <w:t xml:space="preserve"> v </w:t>
      </w:r>
      <w:r w:rsidRPr="00D90878">
        <w:t>časti II bode 14 prílohy XI, ak je splnená aspoň jedna</w:t>
      </w:r>
      <w:r w:rsidR="00D90878">
        <w:t xml:space="preserve"> z </w:t>
      </w:r>
      <w:r w:rsidRPr="00D90878">
        <w:t>týchto podmienok:</w:t>
      </w:r>
    </w:p>
    <w:p w14:paraId="5F5E592D" w14:textId="55CD6893" w:rsidR="00FE0C02" w:rsidRPr="00D90878" w:rsidRDefault="00FE0C02" w:rsidP="00FE0C02">
      <w:pPr>
        <w:pStyle w:val="Point1"/>
      </w:pPr>
      <w:r w:rsidRPr="00D90878">
        <w:t>a)</w:t>
      </w:r>
      <w:r w:rsidRPr="00D90878">
        <w:tab/>
        <w:t>objem kreditných derivátov uvedený</w:t>
      </w:r>
      <w:r w:rsidR="00D90878">
        <w:t xml:space="preserve"> v </w:t>
      </w:r>
      <w:r w:rsidRPr="00D90878">
        <w:t>časti II bode 9 prílohy XI je väčší ako 300 miliónov EUR;</w:t>
      </w:r>
    </w:p>
    <w:p w14:paraId="418FEEAF" w14:textId="42F9A162" w:rsidR="00FE0C02" w:rsidRPr="00D90878" w:rsidRDefault="00FE0C02" w:rsidP="00FE0C02">
      <w:pPr>
        <w:pStyle w:val="Point1"/>
      </w:pPr>
      <w:r w:rsidRPr="00D90878">
        <w:t>b)</w:t>
      </w:r>
      <w:r w:rsidRPr="00D90878">
        <w:tab/>
        <w:t>objem kreditných derivátov uvedený</w:t>
      </w:r>
      <w:r w:rsidR="00D90878">
        <w:t xml:space="preserve"> v </w:t>
      </w:r>
      <w:r w:rsidRPr="00D90878">
        <w:t>časti II bode 9 prílohy XI presahuje 500 miliónov EUR.</w:t>
      </w:r>
    </w:p>
    <w:p w14:paraId="49C49986" w14:textId="65F7E89B" w:rsidR="00FE0C02" w:rsidRPr="00D90878" w:rsidRDefault="00FE0C02" w:rsidP="00FE0C02">
      <w:pPr>
        <w:pStyle w:val="Text1"/>
      </w:pPr>
      <w:r w:rsidRPr="00D90878">
        <w:t>Ak inštitúcia spĺňa len podmienku uvedenú</w:t>
      </w:r>
      <w:r w:rsidR="00D90878">
        <w:t xml:space="preserve"> v </w:t>
      </w:r>
      <w:r w:rsidRPr="00D90878">
        <w:t>písmene a), uplatňujú sa kritériá vstupu</w:t>
      </w:r>
      <w:r w:rsidR="00D90878">
        <w:t xml:space="preserve"> a </w:t>
      </w:r>
      <w:r w:rsidRPr="00D90878">
        <w:t>výstupu stanovené</w:t>
      </w:r>
      <w:r w:rsidR="00D90878">
        <w:t xml:space="preserve"> v </w:t>
      </w:r>
      <w:r w:rsidRPr="00D90878">
        <w:t>článku 4 ods. 3. Ak inštitúcia spĺňa obidve podmienky uvedené</w:t>
      </w:r>
      <w:r w:rsidR="00D90878">
        <w:t xml:space="preserve"> v </w:t>
      </w:r>
      <w:r w:rsidRPr="00D90878">
        <w:t>písmenách a)</w:t>
      </w:r>
      <w:r w:rsidR="00D90878">
        <w:t xml:space="preserve"> a </w:t>
      </w:r>
      <w:r w:rsidRPr="00D90878">
        <w:t>b), začne vykazovať uvedené informácie</w:t>
      </w:r>
      <w:r w:rsidR="00D90878">
        <w:t xml:space="preserve"> k </w:t>
      </w:r>
      <w:r w:rsidRPr="00D90878">
        <w:t>referenčnému dátumu nasledujúcemu po referenčnom dátume vykazovania,</w:t>
      </w:r>
      <w:r w:rsidR="00D90878">
        <w:t xml:space="preserve"> v </w:t>
      </w:r>
      <w:r w:rsidRPr="00D90878">
        <w:t>ktorom prekročila prahovú hodnotu.</w:t>
      </w:r>
    </w:p>
    <w:p w14:paraId="16427D61"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16</w:t>
      </w:r>
      <w:r w:rsidR="00C52BCC" w:rsidRPr="00D90878">
        <w:fldChar w:fldCharType="end"/>
      </w:r>
    </w:p>
    <w:p w14:paraId="0FD0A199" w14:textId="04A7BAB7" w:rsidR="00FE0C02" w:rsidRPr="00D90878" w:rsidRDefault="00FE0C02" w:rsidP="00FE0C02">
      <w:pPr>
        <w:pStyle w:val="Titrearticle"/>
        <w:spacing w:before="120"/>
        <w:rPr>
          <w:b/>
          <w:i w:val="0"/>
        </w:rPr>
      </w:pPr>
      <w:r w:rsidRPr="00D90878">
        <w:rPr>
          <w:b/>
          <w:i w:val="0"/>
        </w:rPr>
        <w:t>Vykazovanie požiadavky na krytie likvidity na individuálnom</w:t>
      </w:r>
      <w:r w:rsidR="00D90878">
        <w:rPr>
          <w:b/>
          <w:i w:val="0"/>
        </w:rPr>
        <w:t xml:space="preserve"> a </w:t>
      </w:r>
      <w:r w:rsidRPr="00D90878">
        <w:rPr>
          <w:b/>
          <w:i w:val="0"/>
        </w:rPr>
        <w:t>konsolidovanom základe</w:t>
      </w:r>
    </w:p>
    <w:p w14:paraId="51D41644" w14:textId="30534AD0" w:rsidR="00FE0C02" w:rsidRPr="00D90878" w:rsidRDefault="00FE0C02" w:rsidP="005F180D">
      <w:pPr>
        <w:pStyle w:val="NumPar1"/>
        <w:numPr>
          <w:ilvl w:val="0"/>
          <w:numId w:val="24"/>
        </w:numPr>
      </w:pPr>
      <w:r w:rsidRPr="00D90878">
        <w:t>S cieľom vykazovať informácie</w:t>
      </w:r>
      <w:r w:rsidR="00D90878">
        <w:t xml:space="preserve"> o </w:t>
      </w:r>
      <w:r w:rsidRPr="00D90878">
        <w:t>požiadavke na krytie likvidity</w:t>
      </w:r>
      <w:r w:rsidR="00D90878">
        <w:t xml:space="preserve"> v </w:t>
      </w:r>
      <w:r w:rsidRPr="00D90878">
        <w:t>súlade</w:t>
      </w:r>
      <w:r w:rsidR="00D90878">
        <w:t xml:space="preserve"> s </w:t>
      </w:r>
      <w:r w:rsidRPr="00D90878">
        <w:t>článkom 430 ods. 1 písm. d) nariadenia (EÚ) č. 575/2013 na individuálnom</w:t>
      </w:r>
      <w:r w:rsidR="00D90878">
        <w:t xml:space="preserve"> a </w:t>
      </w:r>
      <w:r w:rsidRPr="00D90878">
        <w:t xml:space="preserve">konsolidovanom </w:t>
      </w:r>
      <w:r w:rsidRPr="00D90878">
        <w:lastRenderedPageBreak/>
        <w:t>základe inštitúcie predkladajú informácie uvedené</w:t>
      </w:r>
      <w:r w:rsidR="00D90878">
        <w:t xml:space="preserve"> v </w:t>
      </w:r>
      <w:r w:rsidRPr="00D90878">
        <w:t>prílohe XXIV</w:t>
      </w:r>
      <w:r w:rsidR="00D90878">
        <w:t xml:space="preserve"> k </w:t>
      </w:r>
      <w:r w:rsidRPr="00D90878">
        <w:t>tomuto nariadeniu</w:t>
      </w:r>
      <w:r w:rsidR="00D90878">
        <w:t xml:space="preserve"> v </w:t>
      </w:r>
      <w:r w:rsidRPr="00D90878">
        <w:t>súlade</w:t>
      </w:r>
      <w:r w:rsidR="00D90878">
        <w:t xml:space="preserve"> s </w:t>
      </w:r>
      <w:r w:rsidRPr="00D90878">
        <w:t>pokynmi</w:t>
      </w:r>
      <w:r w:rsidR="00D90878">
        <w:t xml:space="preserve"> v </w:t>
      </w:r>
      <w:r w:rsidRPr="00D90878">
        <w:t>prílohe XXV</w:t>
      </w:r>
      <w:r w:rsidR="00D90878">
        <w:t xml:space="preserve"> k </w:t>
      </w:r>
      <w:r w:rsidRPr="00D90878">
        <w:t>tomuto nariadeniu mesačne.</w:t>
      </w:r>
    </w:p>
    <w:p w14:paraId="50670492" w14:textId="27AB6E6B" w:rsidR="00FE0C02" w:rsidRPr="00D90878" w:rsidRDefault="00FE0C02" w:rsidP="00FE0C02">
      <w:pPr>
        <w:pStyle w:val="NumPar1"/>
        <w:numPr>
          <w:ilvl w:val="0"/>
          <w:numId w:val="10"/>
        </w:numPr>
      </w:pPr>
      <w:r w:rsidRPr="00D90878">
        <w:t>V informáciách stanovených</w:t>
      </w:r>
      <w:r w:rsidR="00D90878">
        <w:t xml:space="preserve"> v </w:t>
      </w:r>
      <w:r w:rsidRPr="00D90878">
        <w:t>prílohe XXIV sa zohľadňujú informácie predložené</w:t>
      </w:r>
      <w:r w:rsidR="00D90878">
        <w:t xml:space="preserve"> k </w:t>
      </w:r>
      <w:r w:rsidRPr="00D90878">
        <w:t>referenčnému dátumu</w:t>
      </w:r>
      <w:r w:rsidR="00D90878">
        <w:t xml:space="preserve"> a </w:t>
      </w:r>
      <w:r w:rsidRPr="00D90878">
        <w:t>informácie</w:t>
      </w:r>
      <w:r w:rsidR="00D90878">
        <w:t xml:space="preserve"> o </w:t>
      </w:r>
      <w:r w:rsidRPr="00D90878">
        <w:t>peňažných tokoch inštitúcie počas nasledujúcich 30 kalendárnych dní.</w:t>
      </w:r>
    </w:p>
    <w:p w14:paraId="1B273506"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17</w:t>
      </w:r>
      <w:r w:rsidR="00C52BCC" w:rsidRPr="00D90878">
        <w:fldChar w:fldCharType="end"/>
      </w:r>
    </w:p>
    <w:p w14:paraId="4A29F4CE" w14:textId="058E94F7" w:rsidR="00FE0C02" w:rsidRPr="00D90878" w:rsidRDefault="00FE0C02" w:rsidP="00FE0C02">
      <w:pPr>
        <w:pStyle w:val="Titrearticle"/>
        <w:spacing w:before="120"/>
        <w:rPr>
          <w:b/>
          <w:i w:val="0"/>
        </w:rPr>
      </w:pPr>
      <w:r w:rsidRPr="00D90878">
        <w:rPr>
          <w:b/>
          <w:i w:val="0"/>
        </w:rPr>
        <w:t>Vykazovanie stabilného financovania na individuálnom</w:t>
      </w:r>
      <w:r w:rsidR="00D90878">
        <w:rPr>
          <w:b/>
          <w:i w:val="0"/>
        </w:rPr>
        <w:t xml:space="preserve"> a </w:t>
      </w:r>
      <w:r w:rsidRPr="00D90878">
        <w:rPr>
          <w:b/>
          <w:i w:val="0"/>
        </w:rPr>
        <w:t>konsolidovanom základe</w:t>
      </w:r>
    </w:p>
    <w:p w14:paraId="46A16391" w14:textId="6B2DDEC9" w:rsidR="00FE0C02" w:rsidRPr="00D90878" w:rsidRDefault="00FE0C02" w:rsidP="00FE0C02">
      <w:r w:rsidRPr="00D90878">
        <w:t>S cieľom vykazovať informácie</w:t>
      </w:r>
      <w:r w:rsidR="00D90878">
        <w:t xml:space="preserve"> o </w:t>
      </w:r>
      <w:r w:rsidRPr="00D90878">
        <w:t>stabilnom financovaní</w:t>
      </w:r>
      <w:r w:rsidR="00D90878">
        <w:t xml:space="preserve"> v </w:t>
      </w:r>
      <w:r w:rsidRPr="00D90878">
        <w:t>súlade</w:t>
      </w:r>
      <w:r w:rsidR="00D90878">
        <w:t xml:space="preserve"> s </w:t>
      </w:r>
      <w:r w:rsidRPr="00D90878">
        <w:t>článkom 430 ods. 1 písm. d) nariadenia (EÚ) č. 575/2013 na individuálnom</w:t>
      </w:r>
      <w:r w:rsidR="00D90878">
        <w:t xml:space="preserve"> a </w:t>
      </w:r>
      <w:r w:rsidRPr="00D90878">
        <w:t>konsolidovanom základe inštitúcie predkladajú informácie uvedené</w:t>
      </w:r>
      <w:r w:rsidR="00D90878">
        <w:t xml:space="preserve"> v </w:t>
      </w:r>
      <w:r w:rsidRPr="00D90878">
        <w:t>prílohe XII</w:t>
      </w:r>
      <w:r w:rsidR="00D90878">
        <w:t xml:space="preserve"> v </w:t>
      </w:r>
      <w:r w:rsidRPr="00D90878">
        <w:t>súlade</w:t>
      </w:r>
      <w:r w:rsidR="00D90878">
        <w:t xml:space="preserve"> s </w:t>
      </w:r>
      <w:r w:rsidRPr="00D90878">
        <w:t>pokynmi</w:t>
      </w:r>
      <w:r w:rsidR="00D90878">
        <w:t xml:space="preserve"> v </w:t>
      </w:r>
      <w:r w:rsidRPr="00D90878">
        <w:t>prílohe XIII štvrťročne takto:</w:t>
      </w:r>
    </w:p>
    <w:p w14:paraId="38759E9F" w14:textId="3102AFE4" w:rsidR="00FE0C02" w:rsidRPr="00D90878" w:rsidRDefault="00FE0C02" w:rsidP="00FE0C02">
      <w:pPr>
        <w:pStyle w:val="Point1"/>
      </w:pPr>
      <w:r w:rsidRPr="00D90878">
        <w:t>a)</w:t>
      </w:r>
      <w:r w:rsidRPr="00D90878">
        <w:tab/>
        <w:t>malé</w:t>
      </w:r>
      <w:r w:rsidR="00D90878">
        <w:t xml:space="preserve"> a </w:t>
      </w:r>
      <w:r w:rsidRPr="00D90878">
        <w:t>menej zložité inštitúcie, ktoré sa rozhodli vypočítať svoj ukazovateľ čistého stabilného financovania (NSFR) pomocou metodiky stanovenej</w:t>
      </w:r>
      <w:r w:rsidR="00D90878">
        <w:t xml:space="preserve"> v </w:t>
      </w:r>
      <w:r w:rsidRPr="00D90878">
        <w:t>šiestej časti hlave IV kapitolách 6</w:t>
      </w:r>
      <w:r w:rsidR="00D90878">
        <w:t xml:space="preserve"> a </w:t>
      </w:r>
      <w:r w:rsidRPr="00D90878">
        <w:t>7 nariadenia (EÚ) č. 575/2013,</w:t>
      </w:r>
      <w:r w:rsidR="00D90878">
        <w:t xml:space="preserve"> s </w:t>
      </w:r>
      <w:r w:rsidRPr="00D90878">
        <w:t>predchádzajúcim súhlasom svojho príslušného orgánu</w:t>
      </w:r>
      <w:r w:rsidR="00D90878">
        <w:t xml:space="preserve"> v </w:t>
      </w:r>
      <w:r w:rsidRPr="00D90878">
        <w:t>súlade</w:t>
      </w:r>
      <w:r w:rsidR="00D90878">
        <w:t xml:space="preserve"> s </w:t>
      </w:r>
      <w:r w:rsidRPr="00D90878">
        <w:t>článkom 428ai uvedeného nariadenia, predkladajú vzory 82</w:t>
      </w:r>
      <w:r w:rsidR="00D90878">
        <w:t xml:space="preserve"> a </w:t>
      </w:r>
      <w:r w:rsidRPr="00D90878">
        <w:t>83 prílohy XII</w:t>
      </w:r>
      <w:r w:rsidR="00D90878">
        <w:t xml:space="preserve"> k </w:t>
      </w:r>
      <w:r w:rsidRPr="00D90878">
        <w:t>tomuto nariadeniu</w:t>
      </w:r>
      <w:r w:rsidR="00D90878">
        <w:t xml:space="preserve"> v </w:t>
      </w:r>
      <w:r w:rsidRPr="00D90878">
        <w:t>súlade</w:t>
      </w:r>
      <w:r w:rsidR="00D90878">
        <w:t xml:space="preserve"> s </w:t>
      </w:r>
      <w:r w:rsidRPr="00D90878">
        <w:t>pokynmi uvedenými</w:t>
      </w:r>
      <w:r w:rsidR="00D90878">
        <w:t xml:space="preserve"> v </w:t>
      </w:r>
      <w:r w:rsidRPr="00D90878">
        <w:t>prílohe XIII</w:t>
      </w:r>
      <w:r w:rsidR="00D90878">
        <w:t xml:space="preserve"> k </w:t>
      </w:r>
      <w:r w:rsidRPr="00D90878">
        <w:t>tomuto nariadeniu;</w:t>
      </w:r>
    </w:p>
    <w:p w14:paraId="4980BDE9" w14:textId="7C947320" w:rsidR="00D90878" w:rsidRDefault="00FE0C02" w:rsidP="00FE0C02">
      <w:pPr>
        <w:pStyle w:val="Point1"/>
      </w:pPr>
      <w:r w:rsidRPr="00D90878">
        <w:t>b)</w:t>
      </w:r>
      <w:r w:rsidRPr="00D90878">
        <w:tab/>
        <w:t>iné inštitúcie ako inštitúcie uvedené</w:t>
      </w:r>
      <w:r w:rsidR="00D90878">
        <w:t xml:space="preserve"> v </w:t>
      </w:r>
      <w:r w:rsidRPr="00D90878">
        <w:t>písmene a) predkladajú vzory 80</w:t>
      </w:r>
      <w:r w:rsidR="00D90878">
        <w:t xml:space="preserve"> a </w:t>
      </w:r>
      <w:r w:rsidRPr="00D90878">
        <w:t>81 prílohy XII</w:t>
      </w:r>
      <w:r w:rsidR="00D90878">
        <w:t xml:space="preserve"> v </w:t>
      </w:r>
      <w:r w:rsidRPr="00D90878">
        <w:t>súlade</w:t>
      </w:r>
      <w:r w:rsidR="00D90878">
        <w:t xml:space="preserve"> s </w:t>
      </w:r>
      <w:r w:rsidRPr="00D90878">
        <w:t>pokynmi uvedenými</w:t>
      </w:r>
      <w:r w:rsidR="00D90878">
        <w:t xml:space="preserve"> v </w:t>
      </w:r>
      <w:r w:rsidRPr="00D90878">
        <w:t>prílohe XIII</w:t>
      </w:r>
      <w:r w:rsidR="00D90878">
        <w:t>;</w:t>
      </w:r>
    </w:p>
    <w:p w14:paraId="75BF05A1" w14:textId="7C05892B" w:rsidR="00FE0C02" w:rsidRPr="00D90878" w:rsidRDefault="00FE0C02" w:rsidP="00FE0C02">
      <w:pPr>
        <w:pStyle w:val="Point1"/>
      </w:pPr>
      <w:r w:rsidRPr="00D90878">
        <w:t>c)</w:t>
      </w:r>
      <w:r w:rsidRPr="00D90878">
        <w:tab/>
        <w:t>všetky inštitúcie predkladajú vzor 84 prílohy XII</w:t>
      </w:r>
      <w:r w:rsidR="00D90878">
        <w:t xml:space="preserve"> v </w:t>
      </w:r>
      <w:r w:rsidRPr="00D90878">
        <w:t>súlade</w:t>
      </w:r>
      <w:r w:rsidR="00D90878">
        <w:t xml:space="preserve"> s </w:t>
      </w:r>
      <w:r w:rsidRPr="00D90878">
        <w:t>pokynmi uvedenými</w:t>
      </w:r>
      <w:r w:rsidR="00D90878">
        <w:t xml:space="preserve"> v </w:t>
      </w:r>
      <w:r w:rsidRPr="00D90878">
        <w:t>prílohe XIII.</w:t>
      </w:r>
    </w:p>
    <w:p w14:paraId="3C47F8E2" w14:textId="77777777" w:rsidR="00FE0C02" w:rsidRPr="00D90878" w:rsidRDefault="00FE0C02" w:rsidP="00FE0C02">
      <w:pPr>
        <w:pStyle w:val="Titrearticle"/>
      </w:pPr>
      <w:r w:rsidRPr="00D90878">
        <w:t>Článok </w:t>
      </w:r>
      <w:r w:rsidR="00C52BCC" w:rsidRPr="00D90878">
        <w:fldChar w:fldCharType="begin"/>
      </w:r>
      <w:r w:rsidR="00C52BCC" w:rsidRPr="00D90878">
        <w:instrText xml:space="preserve"> seq article </w:instrText>
      </w:r>
      <w:r w:rsidR="00C52BCC" w:rsidRPr="00D90878">
        <w:fldChar w:fldCharType="separate"/>
      </w:r>
      <w:r w:rsidRPr="00D90878">
        <w:t>18</w:t>
      </w:r>
      <w:r w:rsidR="00C52BCC" w:rsidRPr="00D90878">
        <w:fldChar w:fldCharType="end"/>
      </w:r>
    </w:p>
    <w:p w14:paraId="3023D8A2" w14:textId="4CAD7001" w:rsidR="00FE0C02" w:rsidRPr="00D90878" w:rsidRDefault="00FE0C02" w:rsidP="00FE0C02">
      <w:pPr>
        <w:pStyle w:val="Titrearticle"/>
        <w:spacing w:before="120"/>
        <w:rPr>
          <w:b/>
          <w:i w:val="0"/>
        </w:rPr>
      </w:pPr>
      <w:r w:rsidRPr="00D90878">
        <w:rPr>
          <w:b/>
          <w:i w:val="0"/>
        </w:rPr>
        <w:t>Vykazovanie dodatočných ukazovateľov na sledovanie likvidity na individuálnom</w:t>
      </w:r>
      <w:r w:rsidR="00D90878">
        <w:rPr>
          <w:b/>
          <w:i w:val="0"/>
        </w:rPr>
        <w:t xml:space="preserve"> a </w:t>
      </w:r>
      <w:r w:rsidRPr="00D90878">
        <w:rPr>
          <w:b/>
          <w:i w:val="0"/>
        </w:rPr>
        <w:t>konsolidovanom základe</w:t>
      </w:r>
    </w:p>
    <w:p w14:paraId="22E36C7F" w14:textId="2D6B23E6" w:rsidR="00D90878" w:rsidRDefault="00FE0C02" w:rsidP="005F180D">
      <w:pPr>
        <w:pStyle w:val="NumPar1"/>
        <w:numPr>
          <w:ilvl w:val="0"/>
          <w:numId w:val="25"/>
        </w:numPr>
      </w:pPr>
      <w:r w:rsidRPr="00D90878">
        <w:t>S cieľom vykazovať informácie</w:t>
      </w:r>
      <w:r w:rsidR="00D90878">
        <w:t xml:space="preserve"> o </w:t>
      </w:r>
      <w:r w:rsidRPr="00D90878">
        <w:t>dodatočných ukazovateľoch na sledovanie likvidity podľa článku 430 ods. 1 písm. d) nariadenia (EÚ) č. 575/2013 na individuálnom</w:t>
      </w:r>
      <w:r w:rsidR="00D90878">
        <w:t xml:space="preserve"> a </w:t>
      </w:r>
      <w:r w:rsidRPr="00D90878">
        <w:t>konsolidovanom základe inštitúcie predkladajú všetky nasledujúce informácie mesačne</w:t>
      </w:r>
      <w:r w:rsidR="00D90878">
        <w:t>:</w:t>
      </w:r>
    </w:p>
    <w:p w14:paraId="58069605" w14:textId="0157559C" w:rsidR="00D90878" w:rsidRDefault="00FE0C02" w:rsidP="00FE0C02">
      <w:pPr>
        <w:pStyle w:val="Point1"/>
      </w:pPr>
      <w:r w:rsidRPr="00D90878">
        <w:t>a)</w:t>
      </w:r>
      <w:r w:rsidRPr="00D90878">
        <w:tab/>
        <w:t>informácie uvedené</w:t>
      </w:r>
      <w:r w:rsidR="00D90878">
        <w:t xml:space="preserve"> v </w:t>
      </w:r>
      <w:r w:rsidRPr="00D90878">
        <w:t>prílohe XVIII</w:t>
      </w:r>
      <w:r w:rsidR="00D90878">
        <w:t xml:space="preserve"> v </w:t>
      </w:r>
      <w:r w:rsidRPr="00D90878">
        <w:t>súlade</w:t>
      </w:r>
      <w:r w:rsidR="00D90878">
        <w:t xml:space="preserve"> s </w:t>
      </w:r>
      <w:r w:rsidRPr="00D90878">
        <w:t>pokynmi</w:t>
      </w:r>
      <w:r w:rsidR="00D90878">
        <w:t xml:space="preserve"> v </w:t>
      </w:r>
      <w:r w:rsidRPr="00D90878">
        <w:t>prílohe XIX</w:t>
      </w:r>
      <w:r w:rsidR="00D90878">
        <w:t>;</w:t>
      </w:r>
    </w:p>
    <w:p w14:paraId="57549E19" w14:textId="7D1998D4" w:rsidR="00D90878" w:rsidRDefault="00FE0C02" w:rsidP="00FE0C02">
      <w:pPr>
        <w:pStyle w:val="Point1"/>
      </w:pPr>
      <w:r w:rsidRPr="00D90878">
        <w:t>b)</w:t>
      </w:r>
      <w:r w:rsidRPr="00D90878">
        <w:tab/>
        <w:t>informácie uvedené</w:t>
      </w:r>
      <w:r w:rsidR="00D90878">
        <w:t xml:space="preserve"> v </w:t>
      </w:r>
      <w:r w:rsidRPr="00D90878">
        <w:t>prílohe XX</w:t>
      </w:r>
      <w:r w:rsidR="00D90878">
        <w:t xml:space="preserve"> v </w:t>
      </w:r>
      <w:r w:rsidRPr="00D90878">
        <w:t>súlade</w:t>
      </w:r>
      <w:r w:rsidR="00D90878">
        <w:t xml:space="preserve"> s </w:t>
      </w:r>
      <w:r w:rsidRPr="00D90878">
        <w:t>pokynmi</w:t>
      </w:r>
      <w:r w:rsidR="00D90878">
        <w:t xml:space="preserve"> v </w:t>
      </w:r>
      <w:r w:rsidRPr="00D90878">
        <w:t>prílohe XXI</w:t>
      </w:r>
      <w:r w:rsidR="00D90878">
        <w:t>;</w:t>
      </w:r>
    </w:p>
    <w:p w14:paraId="42901335" w14:textId="26DB4B1D" w:rsidR="00D90878" w:rsidRDefault="00FE0C02" w:rsidP="00FE0C02">
      <w:pPr>
        <w:pStyle w:val="Point1"/>
      </w:pPr>
      <w:r w:rsidRPr="00D90878">
        <w:t>c)</w:t>
      </w:r>
      <w:r w:rsidRPr="00D90878">
        <w:tab/>
        <w:t>informácie uvedené</w:t>
      </w:r>
      <w:r w:rsidR="00D90878">
        <w:t xml:space="preserve"> v </w:t>
      </w:r>
      <w:r w:rsidRPr="00D90878">
        <w:t>prílohe XXII</w:t>
      </w:r>
      <w:r w:rsidR="00D90878">
        <w:t xml:space="preserve"> v </w:t>
      </w:r>
      <w:r w:rsidRPr="00D90878">
        <w:t>súlade</w:t>
      </w:r>
      <w:r w:rsidR="00D90878">
        <w:t xml:space="preserve"> s </w:t>
      </w:r>
      <w:r w:rsidRPr="00D90878">
        <w:t>pokynmi</w:t>
      </w:r>
      <w:r w:rsidR="00D90878">
        <w:t xml:space="preserve"> v </w:t>
      </w:r>
      <w:r w:rsidRPr="00D90878">
        <w:t>prílohe XXIII</w:t>
      </w:r>
      <w:r w:rsidR="00D90878">
        <w:t>.</w:t>
      </w:r>
    </w:p>
    <w:p w14:paraId="105CC458" w14:textId="5617BDD0" w:rsidR="00FE0C02" w:rsidRPr="00D90878" w:rsidRDefault="00FE0C02" w:rsidP="00FE0C02">
      <w:pPr>
        <w:pStyle w:val="NumPar1"/>
        <w:rPr>
          <w:szCs w:val="32"/>
        </w:rPr>
      </w:pPr>
      <w:r w:rsidRPr="00D90878">
        <w:t>Odchylne od odseku 1 môže inštitúcia, ktorá spĺňa všetky podmienky stanovené</w:t>
      </w:r>
      <w:r w:rsidR="00D90878">
        <w:t xml:space="preserve"> v </w:t>
      </w:r>
      <w:r w:rsidRPr="00D90878">
        <w:t>článku 4 ods. 1 bode 145 nariadenia (EÚ) č. 575/2013, vykazovať informácie</w:t>
      </w:r>
      <w:r w:rsidR="00D90878">
        <w:t xml:space="preserve"> o </w:t>
      </w:r>
      <w:r w:rsidRPr="00D90878">
        <w:t>dodatočných ukazovateľoch na sledovanie likvidity štvrťročne.</w:t>
      </w:r>
    </w:p>
    <w:p w14:paraId="51E51891" w14:textId="77777777" w:rsidR="00FE0C02" w:rsidRPr="00D90878" w:rsidRDefault="00FE0C02" w:rsidP="00FE0C02">
      <w:pPr>
        <w:pStyle w:val="Titrearticle"/>
      </w:pPr>
      <w:r w:rsidRPr="00D90878">
        <w:t>Článok 19</w:t>
      </w:r>
    </w:p>
    <w:p w14:paraId="5CEC6025" w14:textId="5F144A33" w:rsidR="00FE0C02" w:rsidRPr="00D90878" w:rsidRDefault="00FE0C02" w:rsidP="00FE0C02">
      <w:pPr>
        <w:pStyle w:val="Text1"/>
      </w:pPr>
      <w:r w:rsidRPr="00D90878">
        <w:rPr>
          <w:b/>
        </w:rPr>
        <w:t>Vykazovanie zaťaženosti aktív na individuálnom</w:t>
      </w:r>
      <w:r w:rsidR="00D90878">
        <w:rPr>
          <w:b/>
        </w:rPr>
        <w:t xml:space="preserve"> a </w:t>
      </w:r>
      <w:r w:rsidRPr="00D90878">
        <w:rPr>
          <w:b/>
        </w:rPr>
        <w:t>konsolidovanom základe</w:t>
      </w:r>
    </w:p>
    <w:p w14:paraId="5505DE7A" w14:textId="5696DEE1" w:rsidR="00D90878" w:rsidRDefault="00FE0C02" w:rsidP="005F180D">
      <w:pPr>
        <w:pStyle w:val="NumPar1"/>
        <w:numPr>
          <w:ilvl w:val="0"/>
          <w:numId w:val="26"/>
        </w:numPr>
      </w:pPr>
      <w:r w:rsidRPr="00D90878">
        <w:t>S cieľom vykazovať informácie</w:t>
      </w:r>
      <w:r w:rsidR="00D90878">
        <w:t xml:space="preserve"> o </w:t>
      </w:r>
      <w:r w:rsidRPr="00D90878">
        <w:t>zaťaženosti aktív</w:t>
      </w:r>
      <w:r w:rsidR="00D90878">
        <w:t xml:space="preserve"> v </w:t>
      </w:r>
      <w:r w:rsidRPr="00D90878">
        <w:t>súlade</w:t>
      </w:r>
      <w:r w:rsidR="00D90878">
        <w:t xml:space="preserve"> s </w:t>
      </w:r>
      <w:r w:rsidRPr="00D90878">
        <w:t>článkom 430 ods. 1 písm. g) nariadenia (EÚ) č. 575/2013 na individuálnom</w:t>
      </w:r>
      <w:r w:rsidR="00D90878">
        <w:t xml:space="preserve"> a </w:t>
      </w:r>
      <w:r w:rsidRPr="00D90878">
        <w:t>konsolidovanom základe inštitúcie predkladajú informácie uvedené</w:t>
      </w:r>
      <w:r w:rsidR="00D90878">
        <w:t xml:space="preserve"> v </w:t>
      </w:r>
      <w:r w:rsidRPr="00D90878">
        <w:t>prílohe XVI</w:t>
      </w:r>
      <w:r w:rsidR="00D90878">
        <w:t xml:space="preserve"> k </w:t>
      </w:r>
      <w:r w:rsidRPr="00D90878">
        <w:t>tomuto nariadeniu</w:t>
      </w:r>
      <w:r w:rsidR="00D90878">
        <w:t xml:space="preserve"> v </w:t>
      </w:r>
      <w:r w:rsidRPr="00D90878">
        <w:t>súlade</w:t>
      </w:r>
      <w:r w:rsidR="00D90878">
        <w:t xml:space="preserve"> s </w:t>
      </w:r>
      <w:r w:rsidRPr="00D90878">
        <w:t>pokynmi uvedenými</w:t>
      </w:r>
      <w:r w:rsidR="00D90878">
        <w:t xml:space="preserve"> v </w:t>
      </w:r>
      <w:r w:rsidRPr="00D90878">
        <w:t>prílohe XVII</w:t>
      </w:r>
      <w:r w:rsidR="00D90878">
        <w:t xml:space="preserve"> k </w:t>
      </w:r>
      <w:r w:rsidRPr="00D90878">
        <w:t>tomuto nariadeniu</w:t>
      </w:r>
      <w:r w:rsidR="00D90878">
        <w:t>.</w:t>
      </w:r>
    </w:p>
    <w:p w14:paraId="0D87B361" w14:textId="3A3DD061" w:rsidR="00D90878" w:rsidRDefault="00FE0C02" w:rsidP="00FE0C02">
      <w:pPr>
        <w:pStyle w:val="NumPar1"/>
        <w:numPr>
          <w:ilvl w:val="0"/>
          <w:numId w:val="10"/>
        </w:numPr>
      </w:pPr>
      <w:r w:rsidRPr="00D90878">
        <w:lastRenderedPageBreak/>
        <w:t>Informácie uvedené</w:t>
      </w:r>
      <w:r w:rsidR="00D90878">
        <w:t xml:space="preserve"> v </w:t>
      </w:r>
      <w:r w:rsidRPr="00D90878">
        <w:t>odseku 1 sa predkladajú takto</w:t>
      </w:r>
      <w:r w:rsidR="00D90878">
        <w:t>:</w:t>
      </w:r>
    </w:p>
    <w:p w14:paraId="568C4AFC" w14:textId="662FEBF3" w:rsidR="00D90878" w:rsidRDefault="00FE0C02" w:rsidP="00FE0C02">
      <w:pPr>
        <w:pStyle w:val="Point1"/>
      </w:pPr>
      <w:r w:rsidRPr="00D90878">
        <w:t>a)</w:t>
      </w:r>
      <w:r w:rsidRPr="00D90878">
        <w:tab/>
        <w:t>informácie uvedené</w:t>
      </w:r>
      <w:r w:rsidR="00D90878">
        <w:t xml:space="preserve"> v </w:t>
      </w:r>
      <w:r w:rsidRPr="00D90878">
        <w:t>častiach A, B</w:t>
      </w:r>
      <w:r w:rsidR="00D90878">
        <w:t xml:space="preserve"> a </w:t>
      </w:r>
      <w:r w:rsidRPr="00D90878">
        <w:t>D prílohy XVI štvrťročne</w:t>
      </w:r>
      <w:r w:rsidR="00D90878">
        <w:t>;</w:t>
      </w:r>
    </w:p>
    <w:p w14:paraId="40EA58B8" w14:textId="4A6CB349" w:rsidR="00D90878" w:rsidRDefault="00FE0C02" w:rsidP="00FE0C02">
      <w:pPr>
        <w:pStyle w:val="Point1"/>
      </w:pPr>
      <w:r w:rsidRPr="00D90878">
        <w:t>b)</w:t>
      </w:r>
      <w:r w:rsidRPr="00D90878">
        <w:tab/>
        <w:t>informácie uvedené</w:t>
      </w:r>
      <w:r w:rsidR="00D90878">
        <w:t xml:space="preserve"> v </w:t>
      </w:r>
      <w:r w:rsidRPr="00D90878">
        <w:t>časti C prílohy XVI ročne</w:t>
      </w:r>
      <w:r w:rsidR="00D90878">
        <w:t>;</w:t>
      </w:r>
    </w:p>
    <w:p w14:paraId="4F0C0641" w14:textId="37ECC014" w:rsidR="00D90878" w:rsidRDefault="00FE0C02" w:rsidP="00FE0C02">
      <w:pPr>
        <w:pStyle w:val="Point1"/>
      </w:pPr>
      <w:r w:rsidRPr="00D90878">
        <w:t>c)</w:t>
      </w:r>
      <w:r w:rsidRPr="00D90878">
        <w:tab/>
        <w:t>informácie uvedené</w:t>
      </w:r>
      <w:r w:rsidR="00D90878">
        <w:t xml:space="preserve"> v </w:t>
      </w:r>
      <w:r w:rsidRPr="00D90878">
        <w:t>časti E prílohy XVI polročne</w:t>
      </w:r>
      <w:r w:rsidR="00D90878">
        <w:t>.</w:t>
      </w:r>
    </w:p>
    <w:p w14:paraId="5B6B0C5B" w14:textId="42B3C7F1" w:rsidR="00D90878" w:rsidRDefault="00FE0C02" w:rsidP="00FE0C02">
      <w:pPr>
        <w:pStyle w:val="NumPar1"/>
        <w:numPr>
          <w:ilvl w:val="0"/>
          <w:numId w:val="10"/>
        </w:numPr>
      </w:pPr>
      <w:r w:rsidRPr="00D90878">
        <w:t>Inštitúcie nie sú povinné vykazovať informácie</w:t>
      </w:r>
      <w:r w:rsidR="00D90878">
        <w:t xml:space="preserve"> v </w:t>
      </w:r>
      <w:r w:rsidRPr="00D90878">
        <w:t>častiach B, C</w:t>
      </w:r>
      <w:r w:rsidR="00D90878">
        <w:t xml:space="preserve"> a </w:t>
      </w:r>
      <w:r w:rsidRPr="00D90878">
        <w:t>E prílohy XVI, ak sú splnené obidve tieto podmienky</w:t>
      </w:r>
      <w:r w:rsidR="00D90878">
        <w:t>:</w:t>
      </w:r>
    </w:p>
    <w:p w14:paraId="239B0175" w14:textId="29F948D0" w:rsidR="00FE0C02" w:rsidRPr="00D90878" w:rsidRDefault="00FE0C02" w:rsidP="00FE0C02">
      <w:pPr>
        <w:pStyle w:val="Point1"/>
      </w:pPr>
      <w:r w:rsidRPr="00D90878">
        <w:t>a)</w:t>
      </w:r>
      <w:r w:rsidRPr="00D90878">
        <w:tab/>
        <w:t>inštitúcia sa nepovažuje za veľkú inštitúciu;</w:t>
      </w:r>
    </w:p>
    <w:p w14:paraId="0C93B562" w14:textId="40DBCDFE" w:rsidR="00FE0C02" w:rsidRPr="00D90878" w:rsidRDefault="00FE0C02" w:rsidP="00FE0C02">
      <w:pPr>
        <w:pStyle w:val="Point1"/>
      </w:pPr>
      <w:r w:rsidRPr="00D90878">
        <w:t>b)</w:t>
      </w:r>
      <w:r w:rsidRPr="00D90878">
        <w:tab/>
        <w:t>úroveň zaťaženosti aktív inštitúcie vypočítaná</w:t>
      </w:r>
      <w:r w:rsidR="00D90878">
        <w:t xml:space="preserve"> v </w:t>
      </w:r>
      <w:r w:rsidRPr="00D90878">
        <w:t>súlade</w:t>
      </w:r>
      <w:r w:rsidR="00D90878">
        <w:t xml:space="preserve"> s </w:t>
      </w:r>
      <w:r w:rsidRPr="00D90878">
        <w:t>bodom 1.6 podbodom 9 prílohy XVII je nižšia ako 15</w:t>
      </w:r>
      <w:r w:rsidR="00D90878">
        <w:t> %</w:t>
      </w:r>
      <w:r w:rsidRPr="00D90878">
        <w:t>.</w:t>
      </w:r>
    </w:p>
    <w:p w14:paraId="366B1286" w14:textId="536AFEF2" w:rsidR="00D90878" w:rsidRDefault="00FE0C02" w:rsidP="00FE0C02">
      <w:pPr>
        <w:pStyle w:val="Text1"/>
      </w:pPr>
      <w:r w:rsidRPr="00D90878">
        <w:t>Uplatňujú sa kritériá vstupu</w:t>
      </w:r>
      <w:r w:rsidR="00D90878">
        <w:t xml:space="preserve"> a </w:t>
      </w:r>
      <w:r w:rsidRPr="00D90878">
        <w:t>výstupu stanovené</w:t>
      </w:r>
      <w:r w:rsidR="00D90878">
        <w:t xml:space="preserve"> v </w:t>
      </w:r>
      <w:r w:rsidRPr="00D90878">
        <w:t>článku 4 ods. 3</w:t>
      </w:r>
      <w:r w:rsidR="00D90878">
        <w:t>.</w:t>
      </w:r>
    </w:p>
    <w:p w14:paraId="3ED72AA0" w14:textId="77777777" w:rsidR="00D90878" w:rsidRDefault="00FE0C02" w:rsidP="00FE0C02">
      <w:pPr>
        <w:pStyle w:val="NumPar1"/>
        <w:numPr>
          <w:ilvl w:val="0"/>
          <w:numId w:val="10"/>
        </w:numPr>
      </w:pPr>
      <w:r w:rsidRPr="00D90878">
        <w:t>Inštitúcie vykazujú informácie uvedené</w:t>
      </w:r>
      <w:r w:rsidR="00D90878">
        <w:t xml:space="preserve"> v </w:t>
      </w:r>
      <w:r w:rsidRPr="00D90878">
        <w:t>časti D prílohy XVI, len ak emitujú dlhopisy uvedené</w:t>
      </w:r>
      <w:r w:rsidR="00D90878">
        <w:t xml:space="preserve"> v </w:t>
      </w:r>
      <w:r w:rsidRPr="00D90878">
        <w:t>článku 52 ods. 4 prvom pododseku smernice Európskeho parlamentu</w:t>
      </w:r>
      <w:r w:rsidR="00D90878">
        <w:t xml:space="preserve"> a </w:t>
      </w:r>
      <w:r w:rsidRPr="00D90878">
        <w:t>Rady 2009/65/ES</w:t>
      </w:r>
      <w:r w:rsidRPr="00D90878">
        <w:rPr>
          <w:rStyle w:val="FootnoteReference"/>
        </w:rPr>
        <w:footnoteReference w:id="11"/>
      </w:r>
    </w:p>
    <w:p w14:paraId="216F0D5A" w14:textId="7D54F20F" w:rsidR="00FE0C02" w:rsidRPr="00D90878" w:rsidRDefault="00FE0C02" w:rsidP="00FE0C02">
      <w:pPr>
        <w:pStyle w:val="Text1"/>
      </w:pPr>
      <w:r w:rsidRPr="00D90878">
        <w:t>Uplatňujú sa kritériá vstupu</w:t>
      </w:r>
      <w:r w:rsidR="00D90878">
        <w:t xml:space="preserve"> a </w:t>
      </w:r>
      <w:r w:rsidRPr="00D90878">
        <w:t>výstupu stanovené</w:t>
      </w:r>
      <w:r w:rsidR="00D90878">
        <w:t xml:space="preserve"> v </w:t>
      </w:r>
      <w:r w:rsidRPr="00D90878">
        <w:t>článku 4 ods. 3.</w:t>
      </w:r>
    </w:p>
    <w:p w14:paraId="3C60098A" w14:textId="77777777" w:rsidR="00FE0C02" w:rsidRPr="00D90878" w:rsidRDefault="00FE0C02" w:rsidP="00FE0C02">
      <w:pPr>
        <w:pStyle w:val="Titrearticle"/>
      </w:pPr>
      <w:r w:rsidRPr="00D90878">
        <w:t>Článok 20</w:t>
      </w:r>
    </w:p>
    <w:p w14:paraId="4B5AD6C9" w14:textId="3F8DC43A" w:rsidR="00FE0C02" w:rsidRPr="00D90878" w:rsidRDefault="00FE0C02" w:rsidP="00FE0C02">
      <w:pPr>
        <w:pStyle w:val="Text1"/>
      </w:pPr>
      <w:r w:rsidRPr="00D90878">
        <w:rPr>
          <w:b/>
        </w:rPr>
        <w:t>Dodatočné vykazovanie na konsolidovanom základe na účely identifikácie G-SII</w:t>
      </w:r>
      <w:r w:rsidR="00D90878">
        <w:rPr>
          <w:b/>
        </w:rPr>
        <w:t xml:space="preserve"> a </w:t>
      </w:r>
      <w:r w:rsidRPr="00D90878">
        <w:rPr>
          <w:b/>
        </w:rPr>
        <w:t>priraďovania mier vankúša G-SII</w:t>
      </w:r>
    </w:p>
    <w:p w14:paraId="76EECD2F" w14:textId="6A73F47E" w:rsidR="00FE0C02" w:rsidRPr="00D90878" w:rsidRDefault="00FE0C02" w:rsidP="005F180D">
      <w:pPr>
        <w:pStyle w:val="NumPar1"/>
        <w:numPr>
          <w:ilvl w:val="0"/>
          <w:numId w:val="27"/>
        </w:numPr>
      </w:pPr>
      <w:r w:rsidRPr="00D90878">
        <w:t>S cieľom vykazovať doplňujúce informácie na účely identifikácie G-SII</w:t>
      </w:r>
      <w:r w:rsidR="00D90878">
        <w:t xml:space="preserve"> a </w:t>
      </w:r>
      <w:r w:rsidRPr="00D90878">
        <w:t>priraďovania mier vankúša G-SII podľa článku 131 smernice 2013/36/EÚ materské inštitúcie</w:t>
      </w:r>
      <w:r w:rsidR="00D90878">
        <w:t xml:space="preserve"> v </w:t>
      </w:r>
      <w:r w:rsidRPr="00D90878">
        <w:t>EÚ, materské finančné holdingové spoločnosti</w:t>
      </w:r>
      <w:r w:rsidR="00D90878">
        <w:t xml:space="preserve"> v </w:t>
      </w:r>
      <w:r w:rsidRPr="00D90878">
        <w:t>EÚ</w:t>
      </w:r>
      <w:r w:rsidR="00D90878">
        <w:t xml:space="preserve"> a </w:t>
      </w:r>
      <w:r w:rsidRPr="00D90878">
        <w:t>materské zmiešané finančné holdingové spoločnosti</w:t>
      </w:r>
      <w:r w:rsidR="00D90878">
        <w:t xml:space="preserve"> v </w:t>
      </w:r>
      <w:r w:rsidRPr="00D90878">
        <w:t>EÚ predkladajú informácie uvedené</w:t>
      </w:r>
      <w:r w:rsidR="00D90878">
        <w:t xml:space="preserve"> v </w:t>
      </w:r>
      <w:r w:rsidRPr="00D90878">
        <w:t>prílohe XXVI</w:t>
      </w:r>
      <w:r w:rsidR="00D90878">
        <w:t xml:space="preserve"> v </w:t>
      </w:r>
      <w:r w:rsidRPr="00D90878">
        <w:t>súlade</w:t>
      </w:r>
      <w:r w:rsidR="00D90878">
        <w:t xml:space="preserve"> s </w:t>
      </w:r>
      <w:r w:rsidRPr="00D90878">
        <w:t>pokynmi</w:t>
      </w:r>
      <w:r w:rsidR="00D90878">
        <w:t xml:space="preserve"> v </w:t>
      </w:r>
      <w:r w:rsidRPr="00D90878">
        <w:t>prílohe XXVII na konsolidovanom základe štvrťročne.</w:t>
      </w:r>
    </w:p>
    <w:p w14:paraId="4242810E" w14:textId="68E0AD17" w:rsidR="00FE0C02" w:rsidRPr="00D90878" w:rsidRDefault="00FE0C02" w:rsidP="00FE0C02">
      <w:pPr>
        <w:pStyle w:val="NumPar1"/>
        <w:numPr>
          <w:ilvl w:val="0"/>
          <w:numId w:val="10"/>
        </w:numPr>
      </w:pPr>
      <w:r w:rsidRPr="00D90878">
        <w:t>Materské inštitúcie</w:t>
      </w:r>
      <w:r w:rsidR="00D90878">
        <w:t xml:space="preserve"> v </w:t>
      </w:r>
      <w:r w:rsidRPr="00D90878">
        <w:t>EÚ, materské finančné holdingové spoločnosti</w:t>
      </w:r>
      <w:r w:rsidR="00D90878">
        <w:t xml:space="preserve"> v </w:t>
      </w:r>
      <w:r w:rsidRPr="00D90878">
        <w:t>EÚ</w:t>
      </w:r>
      <w:r w:rsidR="00D90878">
        <w:t xml:space="preserve"> a </w:t>
      </w:r>
      <w:r w:rsidRPr="00D90878">
        <w:t>materské zmiešané finančné holdingové spoločnosti</w:t>
      </w:r>
      <w:r w:rsidR="00D90878">
        <w:t xml:space="preserve"> v </w:t>
      </w:r>
      <w:r w:rsidRPr="00D90878">
        <w:t>EÚ predkladajú informácie uvedené</w:t>
      </w:r>
      <w:r w:rsidR="00D90878">
        <w:t xml:space="preserve"> v </w:t>
      </w:r>
      <w:r w:rsidRPr="00D90878">
        <w:t>odseku 1, len ak sú splnené obidve tieto podmienky:</w:t>
      </w:r>
    </w:p>
    <w:p w14:paraId="0C5DCF08" w14:textId="77777777" w:rsidR="00FE0C02" w:rsidRPr="00D90878" w:rsidRDefault="00FE0C02" w:rsidP="00FE0C02">
      <w:pPr>
        <w:pStyle w:val="Point1"/>
      </w:pPr>
      <w:r w:rsidRPr="00D90878">
        <w:t>a)</w:t>
      </w:r>
      <w:r w:rsidRPr="00D90878">
        <w:tab/>
        <w:t>veľkosť celkovej expozície skupiny vrátane poisťovacích dcérskych spoločností sa rovná 125 000 miliónov EUR alebo je vyššia;</w:t>
      </w:r>
    </w:p>
    <w:p w14:paraId="05DC0A53" w14:textId="2B4E0874" w:rsidR="00FE0C02" w:rsidRPr="00D90878" w:rsidRDefault="00FE0C02" w:rsidP="00FE0C02">
      <w:pPr>
        <w:pStyle w:val="Point1"/>
      </w:pPr>
      <w:r w:rsidRPr="00D90878">
        <w:t>b)</w:t>
      </w:r>
      <w:r w:rsidRPr="00D90878">
        <w:tab/>
        <w:t>materská spoločnosť</w:t>
      </w:r>
      <w:r w:rsidR="00D90878">
        <w:t xml:space="preserve"> v </w:t>
      </w:r>
      <w:r w:rsidRPr="00D90878">
        <w:t>EÚ alebo ktorákoľvek</w:t>
      </w:r>
      <w:r w:rsidR="00D90878">
        <w:t xml:space="preserve"> z </w:t>
      </w:r>
      <w:r w:rsidRPr="00D90878">
        <w:t>jej dcérskych spoločností alebo ktorákoľvek pobočka prevádzkovaná materskou spoločnosťou alebo dcérskou spoločnosťou sa nachádza</w:t>
      </w:r>
      <w:r w:rsidR="00D90878">
        <w:t xml:space="preserve"> v </w:t>
      </w:r>
      <w:r w:rsidRPr="00D90878">
        <w:t>zúčastnenom členskom štáte, ako sa uvádza</w:t>
      </w:r>
      <w:r w:rsidR="00D90878">
        <w:t xml:space="preserve"> v </w:t>
      </w:r>
      <w:r w:rsidRPr="00D90878">
        <w:t>článku 4 nariadenia Európskeho parlamentu</w:t>
      </w:r>
      <w:r w:rsidR="00D90878">
        <w:t xml:space="preserve"> a </w:t>
      </w:r>
      <w:r w:rsidRPr="00D90878">
        <w:t>Rady (EÚ) č. 806/2014</w:t>
      </w:r>
      <w:r w:rsidRPr="00D90878">
        <w:rPr>
          <w:rStyle w:val="FootnoteReference"/>
        </w:rPr>
        <w:footnoteReference w:id="12"/>
      </w:r>
      <w:r w:rsidRPr="00D90878">
        <w:t>.</w:t>
      </w:r>
    </w:p>
    <w:p w14:paraId="6584D044" w14:textId="013C9DFD" w:rsidR="00FE0C02" w:rsidRPr="00D90878" w:rsidRDefault="00FE0C02" w:rsidP="00FE0C02">
      <w:pPr>
        <w:pStyle w:val="NumPar1"/>
        <w:numPr>
          <w:ilvl w:val="0"/>
          <w:numId w:val="10"/>
        </w:numPr>
      </w:pPr>
      <w:r w:rsidRPr="00D90878">
        <w:t>Odchylne od článku 3 ods. 1 písm. b) sa informácie uvedené</w:t>
      </w:r>
      <w:r w:rsidR="00D90878">
        <w:t xml:space="preserve"> v </w:t>
      </w:r>
      <w:r w:rsidRPr="00D90878">
        <w:t>odseku 1 tohto článku predkladajú do konca pracovnej doby</w:t>
      </w:r>
      <w:r w:rsidR="00D90878">
        <w:t xml:space="preserve"> k </w:t>
      </w:r>
      <w:r w:rsidRPr="00D90878">
        <w:t>týmto dátumom zasielania: 1. júl, 1. október, 2. január</w:t>
      </w:r>
      <w:r w:rsidR="00D90878">
        <w:t xml:space="preserve"> a </w:t>
      </w:r>
      <w:r w:rsidRPr="00D90878">
        <w:t>1. apríl.</w:t>
      </w:r>
    </w:p>
    <w:p w14:paraId="3336B0CC" w14:textId="70897244" w:rsidR="00FE0C02" w:rsidRPr="00D90878" w:rsidRDefault="00FE0C02" w:rsidP="00FE0C02">
      <w:pPr>
        <w:pStyle w:val="NumPar1"/>
        <w:numPr>
          <w:ilvl w:val="0"/>
          <w:numId w:val="10"/>
        </w:numPr>
      </w:pPr>
      <w:r w:rsidRPr="00D90878">
        <w:lastRenderedPageBreak/>
        <w:t>Odchylne od článku 4 sa</w:t>
      </w:r>
      <w:r w:rsidR="00D90878">
        <w:t xml:space="preserve"> v </w:t>
      </w:r>
      <w:r w:rsidRPr="00D90878">
        <w:t>súvislosti</w:t>
      </w:r>
      <w:r w:rsidR="00D90878">
        <w:t xml:space="preserve"> s </w:t>
      </w:r>
      <w:r w:rsidRPr="00D90878">
        <w:t>prahovou hodnotou uvedenou</w:t>
      </w:r>
      <w:r w:rsidR="00D90878">
        <w:t xml:space="preserve"> v </w:t>
      </w:r>
      <w:r w:rsidRPr="00D90878">
        <w:t>odseku 2 písm. a) tohto článku uplatňujú tieto pravidlá:</w:t>
      </w:r>
    </w:p>
    <w:p w14:paraId="542951C2" w14:textId="397A672B" w:rsidR="00FE0C02" w:rsidRPr="00D90878" w:rsidRDefault="00FE0C02" w:rsidP="00FE0C02">
      <w:pPr>
        <w:pStyle w:val="Point1"/>
      </w:pPr>
      <w:r w:rsidRPr="00D90878">
        <w:t>a)</w:t>
      </w:r>
      <w:r w:rsidRPr="00D90878">
        <w:tab/>
        <w:t>materská inštitúcia</w:t>
      </w:r>
      <w:r w:rsidR="00D90878">
        <w:t xml:space="preserve"> v </w:t>
      </w:r>
      <w:r w:rsidRPr="00D90878">
        <w:t>EÚ, materská finančná holdingová spoločnosť</w:t>
      </w:r>
      <w:r w:rsidR="00D90878">
        <w:t xml:space="preserve"> v </w:t>
      </w:r>
      <w:r w:rsidRPr="00D90878">
        <w:t>EÚ alebo materská zmiešaná finančná holdingová spoločnosť</w:t>
      </w:r>
      <w:r w:rsidR="00D90878">
        <w:t xml:space="preserve"> v </w:t>
      </w:r>
      <w:r w:rsidRPr="00D90878">
        <w:t>EÚ začnú bezodkladne vykazovať informácie</w:t>
      </w:r>
      <w:r w:rsidR="00D90878">
        <w:t xml:space="preserve"> v </w:t>
      </w:r>
      <w:r w:rsidRPr="00D90878">
        <w:t>súlade</w:t>
      </w:r>
      <w:r w:rsidR="00D90878">
        <w:t xml:space="preserve"> s </w:t>
      </w:r>
      <w:r w:rsidRPr="00D90878">
        <w:t>týmto článkom, ak ich veľkosť expozície ukazovateľa finančnej páky presahuje stanovenú prahovú hodnotu ku koncu finančného roka,</w:t>
      </w:r>
      <w:r w:rsidR="00D90878">
        <w:t xml:space="preserve"> a </w:t>
      </w:r>
      <w:r w:rsidRPr="00D90878">
        <w:t>tieto informácie vykazujú aspoň ku koncu daného finančného roka</w:t>
      </w:r>
      <w:r w:rsidR="00D90878">
        <w:t xml:space="preserve"> a k </w:t>
      </w:r>
      <w:r w:rsidRPr="00D90878">
        <w:t>nasledujúcim trom štvrťročným referenčným dátumom;</w:t>
      </w:r>
    </w:p>
    <w:p w14:paraId="50325C89" w14:textId="27D42C62" w:rsidR="00FE0C02" w:rsidRPr="00D90878" w:rsidRDefault="00FE0C02" w:rsidP="00FE0C02">
      <w:pPr>
        <w:pStyle w:val="Point1"/>
      </w:pPr>
      <w:r w:rsidRPr="00D90878">
        <w:t>b)</w:t>
      </w:r>
      <w:r w:rsidRPr="00D90878">
        <w:tab/>
        <w:t>materská inštitúcia</w:t>
      </w:r>
      <w:r w:rsidR="00D90878">
        <w:t xml:space="preserve"> v </w:t>
      </w:r>
      <w:r w:rsidRPr="00D90878">
        <w:t>EÚ, materská finančná holdingová spoločnosť</w:t>
      </w:r>
      <w:r w:rsidR="00D90878">
        <w:t xml:space="preserve"> v </w:t>
      </w:r>
      <w:r w:rsidRPr="00D90878">
        <w:t>EÚ alebo materská zmiešaná finančná holdingová spoločnosť</w:t>
      </w:r>
      <w:r w:rsidR="00D90878">
        <w:t xml:space="preserve"> v </w:t>
      </w:r>
      <w:r w:rsidRPr="00D90878">
        <w:t>EÚ okamžite prestanú vykazovať informácie</w:t>
      </w:r>
      <w:r w:rsidR="00D90878">
        <w:t xml:space="preserve"> v </w:t>
      </w:r>
      <w:r w:rsidRPr="00D90878">
        <w:t>súlade</w:t>
      </w:r>
      <w:r w:rsidR="00D90878">
        <w:t xml:space="preserve"> s </w:t>
      </w:r>
      <w:r w:rsidRPr="00D90878">
        <w:t>týmto článkom, ak ich veľkosť expozície ukazovateľa finančnej páky klesne ku koncu ich finančného roka pod stanovenú prahovú hodnotu.</w:t>
      </w:r>
    </w:p>
    <w:p w14:paraId="3714E48A" w14:textId="77777777" w:rsidR="00FE0C02" w:rsidRPr="00D90878" w:rsidRDefault="00FE0C02" w:rsidP="00FE0C02">
      <w:pPr>
        <w:pStyle w:val="Titrearticle"/>
      </w:pPr>
      <w:r w:rsidRPr="00D90878">
        <w:t>Článok 21</w:t>
      </w:r>
    </w:p>
    <w:p w14:paraId="379043C5" w14:textId="2412B971" w:rsidR="00FE0C02" w:rsidRPr="00D90878" w:rsidRDefault="00FE0C02" w:rsidP="00FE0C02">
      <w:pPr>
        <w:pStyle w:val="Titrearticle"/>
        <w:spacing w:before="120"/>
      </w:pPr>
      <w:r w:rsidRPr="00D90878">
        <w:rPr>
          <w:b/>
          <w:i w:val="0"/>
        </w:rPr>
        <w:t>Formáty výmeny údajov</w:t>
      </w:r>
      <w:r w:rsidR="00D90878">
        <w:rPr>
          <w:b/>
          <w:i w:val="0"/>
        </w:rPr>
        <w:t xml:space="preserve"> a </w:t>
      </w:r>
      <w:r w:rsidRPr="00D90878">
        <w:rPr>
          <w:b/>
          <w:i w:val="0"/>
        </w:rPr>
        <w:t>sprievodné informácie</w:t>
      </w:r>
      <w:r w:rsidR="00D90878">
        <w:rPr>
          <w:b/>
          <w:i w:val="0"/>
        </w:rPr>
        <w:t xml:space="preserve"> k </w:t>
      </w:r>
      <w:r w:rsidRPr="00D90878">
        <w:rPr>
          <w:b/>
          <w:i w:val="0"/>
        </w:rPr>
        <w:t>predkladaným údajom</w:t>
      </w:r>
    </w:p>
    <w:p w14:paraId="3484BAE7" w14:textId="1A652BB6" w:rsidR="00FE0C02" w:rsidRPr="00D90878" w:rsidRDefault="00FE0C02" w:rsidP="005F180D">
      <w:pPr>
        <w:pStyle w:val="NumPar1"/>
        <w:numPr>
          <w:ilvl w:val="0"/>
          <w:numId w:val="28"/>
        </w:numPr>
      </w:pPr>
      <w:r w:rsidRPr="00D90878">
        <w:t>Inštitúcie predkladajú informácie vo formátoch na výmenu údajov</w:t>
      </w:r>
      <w:r w:rsidR="00D90878">
        <w:t xml:space="preserve"> v </w:t>
      </w:r>
      <w:r w:rsidRPr="00D90878">
        <w:t>podobe spresnenej príslušnými orgánmi</w:t>
      </w:r>
      <w:r w:rsidR="00D90878">
        <w:t xml:space="preserve"> a s </w:t>
      </w:r>
      <w:r w:rsidRPr="00D90878">
        <w:t>dodržaním vymedzenia údajových bodov obsiahnutých</w:t>
      </w:r>
      <w:r w:rsidR="00D90878">
        <w:t xml:space="preserve"> v </w:t>
      </w:r>
      <w:r w:rsidRPr="00D90878">
        <w:t>modeli údajových bodov uvedenom</w:t>
      </w:r>
      <w:r w:rsidR="00D90878">
        <w:t xml:space="preserve"> v </w:t>
      </w:r>
      <w:r w:rsidRPr="00D90878">
        <w:t>prílohe XIV</w:t>
      </w:r>
      <w:r w:rsidR="00D90878">
        <w:t xml:space="preserve"> a </w:t>
      </w:r>
      <w:r w:rsidRPr="00D90878">
        <w:t>vzorcov pre validáciu uvedených</w:t>
      </w:r>
      <w:r w:rsidR="00D90878">
        <w:t xml:space="preserve"> v </w:t>
      </w:r>
      <w:r w:rsidRPr="00D90878">
        <w:t>prílohe XV, ako aj týchto špecifikácií:</w:t>
      </w:r>
    </w:p>
    <w:p w14:paraId="6302FDB1" w14:textId="77777777" w:rsidR="00FE0C02" w:rsidRPr="00D90878" w:rsidRDefault="00FE0C02" w:rsidP="00FE0C02">
      <w:pPr>
        <w:pStyle w:val="Point1"/>
      </w:pPr>
      <w:r w:rsidRPr="00D90878">
        <w:t>a)</w:t>
      </w:r>
      <w:r w:rsidRPr="00D90878">
        <w:tab/>
        <w:t>informácie, ktoré sa nepožadujú alebo neuplatňujú, sa do predložených údajov nezahŕňajú;</w:t>
      </w:r>
    </w:p>
    <w:p w14:paraId="04CB5DF9" w14:textId="77777777" w:rsidR="00FE0C02" w:rsidRPr="00D90878" w:rsidRDefault="00FE0C02" w:rsidP="00FE0C02">
      <w:pPr>
        <w:pStyle w:val="Point1"/>
      </w:pPr>
      <w:r w:rsidRPr="00D90878">
        <w:t>b)</w:t>
      </w:r>
      <w:r w:rsidRPr="00D90878">
        <w:tab/>
        <w:t>číselné hodnoty sa predkladajú podľa týchto pravidiel:</w:t>
      </w:r>
    </w:p>
    <w:p w14:paraId="08E0D7CD" w14:textId="3C8A5441" w:rsidR="00FE0C02" w:rsidRPr="00D90878" w:rsidRDefault="00FE0C02" w:rsidP="00FE0C02">
      <w:pPr>
        <w:pStyle w:val="Point2"/>
      </w:pPr>
      <w:r w:rsidRPr="00D90878">
        <w:t>i)</w:t>
      </w:r>
      <w:r w:rsidRPr="00D90878">
        <w:tab/>
        <w:t>údajové body</w:t>
      </w:r>
      <w:r w:rsidR="00D90878">
        <w:t xml:space="preserve"> s </w:t>
      </w:r>
      <w:r w:rsidRPr="00D90878">
        <w:t>druhom údajov „peňažné“ sa vykazujú</w:t>
      </w:r>
      <w:r w:rsidR="00D90878">
        <w:t xml:space="preserve"> s </w:t>
      </w:r>
      <w:r w:rsidRPr="00D90878">
        <w:t>minimálnou presnosťou zodpovedajúcou tisícom jednotiek;</w:t>
      </w:r>
    </w:p>
    <w:p w14:paraId="34C38BBF" w14:textId="483D13D5" w:rsidR="00FE0C02" w:rsidRPr="00D90878" w:rsidRDefault="00FE0C02" w:rsidP="00FE0C02">
      <w:pPr>
        <w:pStyle w:val="Point2"/>
      </w:pPr>
      <w:r w:rsidRPr="00D90878">
        <w:t>ii)</w:t>
      </w:r>
      <w:r w:rsidRPr="00D90878">
        <w:tab/>
        <w:t>údajové body</w:t>
      </w:r>
      <w:r w:rsidR="00D90878">
        <w:t xml:space="preserve"> s </w:t>
      </w:r>
      <w:r w:rsidRPr="00D90878">
        <w:t>druhom údajov „percentuálny podiel“ sa vyjadrujú podľa jednotky</w:t>
      </w:r>
      <w:r w:rsidR="00D90878">
        <w:t xml:space="preserve"> s </w:t>
      </w:r>
      <w:r w:rsidRPr="00D90878">
        <w:t>minimálnou presnosťou zodpovedajúcou štyrom desatinným miestam;</w:t>
      </w:r>
    </w:p>
    <w:p w14:paraId="4CD4E1AC" w14:textId="66FACED2" w:rsidR="00FE0C02" w:rsidRPr="00D90878" w:rsidRDefault="00FE0C02" w:rsidP="00FE0C02">
      <w:pPr>
        <w:pStyle w:val="Point2"/>
      </w:pPr>
      <w:r w:rsidRPr="00D90878">
        <w:t>iii)</w:t>
      </w:r>
      <w:r w:rsidRPr="00D90878">
        <w:tab/>
        <w:t>údajové body</w:t>
      </w:r>
      <w:r w:rsidR="00D90878">
        <w:t xml:space="preserve"> s </w:t>
      </w:r>
      <w:r w:rsidRPr="00D90878">
        <w:t>druhom údajov „celé číslo“ sa vykazujú bez použitia desatinných čísel</w:t>
      </w:r>
      <w:r w:rsidR="00D90878">
        <w:t xml:space="preserve"> a s </w:t>
      </w:r>
      <w:r w:rsidRPr="00D90878">
        <w:t>presnosťou zodpovedajúcou jednotkám;</w:t>
      </w:r>
    </w:p>
    <w:p w14:paraId="1DE261AC" w14:textId="46E5F9D0" w:rsidR="00FE0C02" w:rsidRPr="00D90878" w:rsidRDefault="00FE0C02" w:rsidP="00FE0C02">
      <w:pPr>
        <w:pStyle w:val="Point1"/>
        <w:rPr>
          <w:szCs w:val="24"/>
        </w:rPr>
      </w:pPr>
      <w:r w:rsidRPr="00D90878">
        <w:t>c)</w:t>
      </w:r>
      <w:r w:rsidRPr="00D90878">
        <w:tab/>
        <w:t>inštitúcie</w:t>
      </w:r>
      <w:r w:rsidR="00D90878">
        <w:t xml:space="preserve"> a </w:t>
      </w:r>
      <w:r w:rsidRPr="00D90878">
        <w:t>poisťovne sa identifikujú výhradne prostredníctvom svojich identifikátorov právneho subjektu (LEI);</w:t>
      </w:r>
    </w:p>
    <w:p w14:paraId="10C9C354" w14:textId="28262863" w:rsidR="00FE0C02" w:rsidRPr="00D90878" w:rsidRDefault="00FE0C02" w:rsidP="00FE0C02">
      <w:pPr>
        <w:pStyle w:val="Point1"/>
      </w:pPr>
      <w:r w:rsidRPr="00D90878">
        <w:t>d) právne subjekty</w:t>
      </w:r>
      <w:r w:rsidR="00D90878">
        <w:t xml:space="preserve"> a </w:t>
      </w:r>
      <w:r w:rsidRPr="00D90878">
        <w:t>protistrany, ktoré nie sú inštitúciami</w:t>
      </w:r>
      <w:r w:rsidR="00D90878">
        <w:t xml:space="preserve"> a </w:t>
      </w:r>
      <w:r w:rsidRPr="00D90878">
        <w:t>poisťovňami, sa identifikujú prostredníctvom svojich LEI, ak sú</w:t>
      </w:r>
      <w:r w:rsidR="00D90878">
        <w:t xml:space="preserve"> k </w:t>
      </w:r>
      <w:r w:rsidRPr="00D90878">
        <w:t>dispozícii.</w:t>
      </w:r>
    </w:p>
    <w:p w14:paraId="275717B4" w14:textId="364FA853" w:rsidR="00FE0C02" w:rsidRPr="00D90878" w:rsidRDefault="00FE0C02" w:rsidP="00FE0C02">
      <w:pPr>
        <w:pStyle w:val="NumPar1"/>
        <w:widowControl w:val="0"/>
        <w:numPr>
          <w:ilvl w:val="0"/>
          <w:numId w:val="10"/>
        </w:numPr>
        <w:autoSpaceDE w:val="0"/>
        <w:autoSpaceDN w:val="0"/>
        <w:spacing w:line="228" w:lineRule="auto"/>
        <w:rPr>
          <w:szCs w:val="24"/>
        </w:rPr>
      </w:pPr>
      <w:r w:rsidRPr="00D90878">
        <w:t>Inštitúcie</w:t>
      </w:r>
      <w:r w:rsidR="00D90878">
        <w:t xml:space="preserve"> k </w:t>
      </w:r>
      <w:r w:rsidRPr="00D90878">
        <w:t>predloženým údajom priložia tieto informácie:</w:t>
      </w:r>
    </w:p>
    <w:p w14:paraId="533511FB" w14:textId="18027EE9" w:rsidR="00FE0C02" w:rsidRPr="00D90878" w:rsidRDefault="00FE0C02" w:rsidP="00FE0C02">
      <w:pPr>
        <w:pStyle w:val="Point1"/>
      </w:pPr>
      <w:r w:rsidRPr="00D90878">
        <w:t>a)</w:t>
      </w:r>
      <w:r w:rsidRPr="00D90878">
        <w:tab/>
        <w:t>referenčný dátum vykazovania</w:t>
      </w:r>
      <w:r w:rsidR="00D90878">
        <w:t xml:space="preserve"> a </w:t>
      </w:r>
      <w:r w:rsidRPr="00D90878">
        <w:t>referenčné obdobie;</w:t>
      </w:r>
    </w:p>
    <w:p w14:paraId="35FFAFDD" w14:textId="77777777" w:rsidR="00FE0C02" w:rsidRPr="00D90878" w:rsidRDefault="00FE0C02" w:rsidP="00FE0C02">
      <w:pPr>
        <w:pStyle w:val="Point1"/>
      </w:pPr>
      <w:r w:rsidRPr="00D90878">
        <w:t>b)</w:t>
      </w:r>
      <w:r w:rsidRPr="00D90878">
        <w:tab/>
        <w:t>menu vykazovania;</w:t>
      </w:r>
    </w:p>
    <w:p w14:paraId="2D0A776B" w14:textId="77777777" w:rsidR="00FE0C02" w:rsidRPr="00D90878" w:rsidRDefault="00FE0C02" w:rsidP="00FE0C02">
      <w:pPr>
        <w:pStyle w:val="Point1"/>
      </w:pPr>
      <w:r w:rsidRPr="00D90878">
        <w:t>c)</w:t>
      </w:r>
      <w:r w:rsidRPr="00D90878">
        <w:tab/>
        <w:t>účtovný štandard;</w:t>
      </w:r>
    </w:p>
    <w:p w14:paraId="05941E50" w14:textId="77777777" w:rsidR="00FE0C02" w:rsidRPr="00D90878" w:rsidRDefault="00FE0C02" w:rsidP="00FE0C02">
      <w:pPr>
        <w:pStyle w:val="Point1"/>
      </w:pPr>
      <w:r w:rsidRPr="00D90878">
        <w:t>d)</w:t>
      </w:r>
      <w:r w:rsidRPr="00D90878">
        <w:tab/>
        <w:t>identifikátor právneho subjektu (LEI) vykazujúcej inštitúcie;</w:t>
      </w:r>
    </w:p>
    <w:p w14:paraId="1E5B9FC2" w14:textId="77777777" w:rsidR="00FE0C02" w:rsidRPr="00D90878" w:rsidRDefault="00FE0C02" w:rsidP="00FE0C02">
      <w:pPr>
        <w:pStyle w:val="Point1"/>
      </w:pPr>
      <w:r w:rsidRPr="00D90878">
        <w:t>e)</w:t>
      </w:r>
      <w:r w:rsidRPr="00D90878">
        <w:tab/>
        <w:t>rozsah konsolidácie.</w:t>
      </w:r>
    </w:p>
    <w:p w14:paraId="3C0C8DE6" w14:textId="77777777" w:rsidR="00FE0C02" w:rsidRPr="00D90878" w:rsidRDefault="00FE0C02" w:rsidP="00FE0C02">
      <w:pPr>
        <w:pStyle w:val="Titrearticle"/>
        <w:spacing w:before="120"/>
      </w:pPr>
      <w:r w:rsidRPr="00D90878">
        <w:lastRenderedPageBreak/>
        <w:t>Článok 22</w:t>
      </w:r>
    </w:p>
    <w:p w14:paraId="48AC81C7" w14:textId="77777777" w:rsidR="00FE0C02" w:rsidRPr="00D90878" w:rsidRDefault="00FE0C02" w:rsidP="006B3AF7">
      <w:pPr>
        <w:pStyle w:val="Titrearticle"/>
      </w:pPr>
      <w:r w:rsidRPr="00D90878">
        <w:t>Zrušenie vykonávacieho nariadenia (EÚ) č. 680/2014</w:t>
      </w:r>
    </w:p>
    <w:p w14:paraId="0A2E8160" w14:textId="77777777" w:rsidR="00D90878" w:rsidRDefault="00FE0C02" w:rsidP="006B3AF7">
      <w:r w:rsidRPr="00D90878">
        <w:t>Vykonávacie nariadenie (EÚ) č. 680/2014 sa zrušuje</w:t>
      </w:r>
      <w:r w:rsidR="00D90878">
        <w:t>.</w:t>
      </w:r>
    </w:p>
    <w:p w14:paraId="783335BF" w14:textId="44B2608B" w:rsidR="00FE0C02" w:rsidRPr="00D90878" w:rsidRDefault="00FE0C02" w:rsidP="006B3AF7">
      <w:r w:rsidRPr="00D90878">
        <w:t>Odkazy na zrušené nariadenie sa považujú za odkazy na toto nariadenie.</w:t>
      </w:r>
    </w:p>
    <w:p w14:paraId="5FA1D041" w14:textId="77777777" w:rsidR="00FE0C02" w:rsidRPr="00D90878" w:rsidRDefault="00FE0C02" w:rsidP="00FE0C02">
      <w:pPr>
        <w:pStyle w:val="Titrearticle"/>
      </w:pPr>
      <w:r w:rsidRPr="00D90878">
        <w:t>Článok 23</w:t>
      </w:r>
    </w:p>
    <w:p w14:paraId="5DBF2ECB" w14:textId="40624435" w:rsidR="00FE0C02" w:rsidRPr="00D90878" w:rsidRDefault="00FE0C02" w:rsidP="00FE0C02">
      <w:pPr>
        <w:pStyle w:val="Titrearticle"/>
        <w:rPr>
          <w:b/>
          <w:i w:val="0"/>
        </w:rPr>
      </w:pPr>
      <w:r w:rsidRPr="00D90878">
        <w:rPr>
          <w:b/>
          <w:i w:val="0"/>
        </w:rPr>
        <w:t>Nadobudnutie účinnosti</w:t>
      </w:r>
      <w:r w:rsidR="00D90878">
        <w:rPr>
          <w:b/>
          <w:i w:val="0"/>
        </w:rPr>
        <w:t xml:space="preserve"> a </w:t>
      </w:r>
      <w:r w:rsidRPr="00D90878">
        <w:rPr>
          <w:b/>
          <w:i w:val="0"/>
        </w:rPr>
        <w:t>uplatňovanie</w:t>
      </w:r>
    </w:p>
    <w:p w14:paraId="0A731224" w14:textId="6775143F" w:rsidR="00FE0C02" w:rsidRPr="00D90878" w:rsidRDefault="00FE0C02" w:rsidP="00FE0C02">
      <w:r w:rsidRPr="00D90878">
        <w:t>Toto nariadenie nadobúda účinnosť dňom nasledujúcim po jeho uverejnení</w:t>
      </w:r>
      <w:r w:rsidR="00D90878">
        <w:t xml:space="preserve"> v </w:t>
      </w:r>
      <w:r w:rsidRPr="00D90878">
        <w:rPr>
          <w:i/>
        </w:rPr>
        <w:t>Úradnom vestníku Európskej únie</w:t>
      </w:r>
      <w:r w:rsidRPr="00D90878">
        <w:t>.</w:t>
      </w:r>
    </w:p>
    <w:p w14:paraId="7B8BB43C" w14:textId="428B298B" w:rsidR="00FE0C02" w:rsidRPr="00D90878" w:rsidRDefault="00FE0C02" w:rsidP="00FE0C02">
      <w:r w:rsidRPr="00D90878">
        <w:t>Uplatňuje sa od 28</w:t>
      </w:r>
      <w:r w:rsidR="00D90878">
        <w:t>. júna</w:t>
      </w:r>
      <w:r w:rsidRPr="00D90878">
        <w:t xml:space="preserve"> 2021.</w:t>
      </w:r>
    </w:p>
    <w:p w14:paraId="398E54BD" w14:textId="3CAB6D8D" w:rsidR="00FE0C02" w:rsidRPr="00D90878" w:rsidRDefault="00FE0C02" w:rsidP="00FE0C02">
      <w:r w:rsidRPr="00D90878">
        <w:t>Bez ohľadu na druhý odsek tohto článku sa vykazovanie požiadavky na vankúš ukazovateľa finančnej páky pre inštitúcie identifikované ako G-SII stanovené vo vzore 47 prílohy X uplatňuje od 1</w:t>
      </w:r>
      <w:r w:rsidR="00D90878">
        <w:t>. januára</w:t>
      </w:r>
      <w:r w:rsidRPr="00D90878">
        <w:t xml:space="preserve"> 2023.</w:t>
      </w:r>
    </w:p>
    <w:p w14:paraId="077B995C" w14:textId="0A337619" w:rsidR="00FF364B" w:rsidRPr="00D90878" w:rsidRDefault="00FE0C02" w:rsidP="00FE0C02">
      <w:r w:rsidRPr="00D90878">
        <w:t>Články 9</w:t>
      </w:r>
      <w:r w:rsidR="00D90878">
        <w:t xml:space="preserve"> a </w:t>
      </w:r>
      <w:r w:rsidRPr="00D90878">
        <w:t>10 sa prestávajú uplatňovať od 26</w:t>
      </w:r>
      <w:r w:rsidR="00D90878">
        <w:t>. júna</w:t>
      </w:r>
      <w:r w:rsidRPr="00D90878">
        <w:t xml:space="preserve"> 2026.</w:t>
      </w:r>
    </w:p>
    <w:p w14:paraId="2BB71259" w14:textId="620600D6" w:rsidR="0004170D" w:rsidRPr="00D90878" w:rsidRDefault="0004170D" w:rsidP="009675DD">
      <w:pPr>
        <w:pStyle w:val="Applicationdirecte"/>
      </w:pPr>
      <w:r w:rsidRPr="00D90878">
        <w:t>Toto nariadenie je záväzné</w:t>
      </w:r>
      <w:r w:rsidR="00D90878">
        <w:t xml:space="preserve"> v </w:t>
      </w:r>
      <w:r w:rsidRPr="00D90878">
        <w:t>celom rozsahu</w:t>
      </w:r>
      <w:r w:rsidR="00D90878">
        <w:t xml:space="preserve"> a </w:t>
      </w:r>
      <w:r w:rsidRPr="00D90878">
        <w:t>priamo uplatniteľné vo všetkých členských štátoch.</w:t>
      </w:r>
    </w:p>
    <w:p w14:paraId="2947B574" w14:textId="2D1BF3DD" w:rsidR="0004170D" w:rsidRPr="00D90878" w:rsidRDefault="00D90878" w:rsidP="00D90878">
      <w:pPr>
        <w:pStyle w:val="Fait"/>
      </w:pPr>
      <w:r w:rsidRPr="00D90878">
        <w:t>V Bruseli</w:t>
      </w:r>
    </w:p>
    <w:p w14:paraId="3F08E3CE" w14:textId="77777777" w:rsidR="0004170D" w:rsidRPr="00D90878" w:rsidRDefault="0004170D" w:rsidP="0004170D">
      <w:pPr>
        <w:pStyle w:val="Institutionquisigne"/>
      </w:pPr>
      <w:r w:rsidRPr="00D90878">
        <w:tab/>
        <w:t>Za Komisiu</w:t>
      </w:r>
    </w:p>
    <w:p w14:paraId="2100579F" w14:textId="77777777" w:rsidR="00A211D2" w:rsidRPr="00D90878" w:rsidRDefault="0004170D" w:rsidP="0004170D">
      <w:pPr>
        <w:pStyle w:val="Personnequisigne"/>
      </w:pPr>
      <w:r w:rsidRPr="00D90878">
        <w:tab/>
        <w:t>predsedníčka</w:t>
      </w:r>
    </w:p>
    <w:p w14:paraId="5318264F" w14:textId="632B2009" w:rsidR="0004170D" w:rsidRPr="00D90878" w:rsidRDefault="00A211D2" w:rsidP="0004170D">
      <w:pPr>
        <w:pStyle w:val="Personnequisigne"/>
      </w:pPr>
      <w:r w:rsidRPr="00D90878">
        <w:tab/>
        <w:t xml:space="preserve">Ursula von der Leyen </w:t>
      </w:r>
      <w:r w:rsidRPr="00D90878">
        <w:br/>
      </w:r>
      <w:r w:rsidRPr="00D90878">
        <w:tab/>
        <w:t xml:space="preserve"> </w:t>
      </w:r>
      <w:r w:rsidRPr="00D90878">
        <w:br/>
      </w:r>
      <w:r w:rsidRPr="00D90878">
        <w:tab/>
        <w:t xml:space="preserve"> </w:t>
      </w:r>
      <w:r w:rsidRPr="00D90878">
        <w:br/>
      </w:r>
    </w:p>
    <w:sectPr w:rsidR="0004170D" w:rsidRPr="00D90878" w:rsidSect="00D90878">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E0F91" w14:textId="2AC2ECFF" w:rsidR="00D90878" w:rsidRPr="00D90878" w:rsidRDefault="00D90878" w:rsidP="00D90878">
    <w:pPr>
      <w:pStyle w:val="Footer"/>
      <w:rPr>
        <w:rFonts w:ascii="Arial" w:hAnsi="Arial" w:cs="Arial"/>
        <w:b/>
        <w:sz w:val="48"/>
      </w:rPr>
    </w:pPr>
    <w:r w:rsidRPr="00D90878">
      <w:rPr>
        <w:rFonts w:ascii="Arial" w:hAnsi="Arial" w:cs="Arial"/>
        <w:b/>
        <w:sz w:val="48"/>
      </w:rPr>
      <w:t>SK</w:t>
    </w:r>
    <w:r w:rsidRPr="00D90878">
      <w:rPr>
        <w:rFonts w:ascii="Arial" w:hAnsi="Arial" w:cs="Arial"/>
        <w:b/>
        <w:sz w:val="48"/>
      </w:rPr>
      <w:tab/>
    </w:r>
    <w:r w:rsidRPr="00D90878">
      <w:rPr>
        <w:rFonts w:ascii="Arial" w:hAnsi="Arial" w:cs="Arial"/>
        <w:b/>
        <w:sz w:val="48"/>
      </w:rPr>
      <w:tab/>
    </w:r>
    <w:r w:rsidRPr="00D90878">
      <w:tab/>
    </w:r>
    <w:r w:rsidRPr="00D90878">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F735" w14:textId="364CD4FE" w:rsidR="00D90878" w:rsidRPr="00D90878" w:rsidRDefault="00D90878" w:rsidP="00D90878">
    <w:pPr>
      <w:pStyle w:val="Footer"/>
      <w:rPr>
        <w:rFonts w:ascii="Arial" w:hAnsi="Arial" w:cs="Arial"/>
        <w:b/>
        <w:sz w:val="48"/>
      </w:rPr>
    </w:pPr>
    <w:r w:rsidRPr="00D90878">
      <w:rPr>
        <w:rFonts w:ascii="Arial" w:hAnsi="Arial" w:cs="Arial"/>
        <w:b/>
        <w:sz w:val="48"/>
      </w:rPr>
      <w:t>SK</w:t>
    </w:r>
    <w:r w:rsidRPr="00D90878">
      <w:rPr>
        <w:rFonts w:ascii="Arial" w:hAnsi="Arial" w:cs="Arial"/>
        <w:b/>
        <w:sz w:val="48"/>
      </w:rPr>
      <w:tab/>
    </w:r>
    <w:r>
      <w:fldChar w:fldCharType="begin"/>
    </w:r>
    <w:r>
      <w:instrText xml:space="preserve"> PAGE  \* MERGEFORMAT </w:instrText>
    </w:r>
    <w:r>
      <w:fldChar w:fldCharType="separate"/>
    </w:r>
    <w:r w:rsidR="007A4641">
      <w:rPr>
        <w:noProof/>
      </w:rPr>
      <w:t>18</w:t>
    </w:r>
    <w:r>
      <w:fldChar w:fldCharType="end"/>
    </w:r>
    <w:r>
      <w:tab/>
    </w:r>
    <w:r w:rsidRPr="00D90878">
      <w:tab/>
    </w:r>
    <w:r w:rsidRPr="00D90878">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1A62" w14:textId="77777777" w:rsidR="00D90878" w:rsidRPr="00D90878" w:rsidRDefault="00D90878" w:rsidP="00D90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D90878" w:rsidRDefault="00AD21AA" w:rsidP="00AD21AA">
      <w:pPr>
        <w:pStyle w:val="FootnoteText"/>
      </w:pPr>
      <w:r w:rsidRPr="00D90878">
        <w:rPr>
          <w:rStyle w:val="FootnoteReference"/>
        </w:rPr>
        <w:footnoteRef/>
      </w:r>
      <w:r w:rsidRPr="00D90878">
        <w:tab/>
        <w:t>Ú. v. EÚ L 176, 27.6.2013, s. 1.</w:t>
      </w:r>
    </w:p>
  </w:footnote>
  <w:footnote w:id="2">
    <w:p w14:paraId="433B5035" w14:textId="78F0E740" w:rsidR="00AD21AA" w:rsidRPr="00D90878" w:rsidRDefault="00AD21AA" w:rsidP="00AD21AA">
      <w:pPr>
        <w:pStyle w:val="FootnoteText"/>
      </w:pPr>
      <w:r w:rsidRPr="00D90878">
        <w:rPr>
          <w:rStyle w:val="FootnoteReference"/>
        </w:rPr>
        <w:footnoteRef/>
      </w:r>
      <w:r w:rsidRPr="00D90878">
        <w:tab/>
        <w:t>Smernica Európskeho parlamentu</w:t>
      </w:r>
      <w:r w:rsidR="00D90878">
        <w:t xml:space="preserve"> a </w:t>
      </w:r>
      <w:r w:rsidRPr="00D90878">
        <w:t>Rady 2013/36/EÚ</w:t>
      </w:r>
      <w:r w:rsidR="00D90878">
        <w:t xml:space="preserve"> z </w:t>
      </w:r>
      <w:r w:rsidRPr="00D90878">
        <w:t>26</w:t>
      </w:r>
      <w:r w:rsidR="00D90878">
        <w:t>. júna</w:t>
      </w:r>
      <w:r w:rsidRPr="00D90878">
        <w:t xml:space="preserve"> 2013</w:t>
      </w:r>
      <w:r w:rsidR="00D90878">
        <w:t xml:space="preserve"> o </w:t>
      </w:r>
      <w:r w:rsidRPr="00D90878">
        <w:t>prístupe</w:t>
      </w:r>
      <w:r w:rsidR="00D90878">
        <w:t xml:space="preserve"> k </w:t>
      </w:r>
      <w:r w:rsidRPr="00D90878">
        <w:t>činnosti úverových inštitúcií</w:t>
      </w:r>
      <w:r w:rsidR="00D90878">
        <w:t xml:space="preserve"> a </w:t>
      </w:r>
      <w:r w:rsidRPr="00D90878">
        <w:t>prudenciálnom dohľade nad úverovými inštitúciami</w:t>
      </w:r>
      <w:r w:rsidR="00D90878">
        <w:t xml:space="preserve"> a </w:t>
      </w:r>
      <w:r w:rsidRPr="00D90878">
        <w:t>investičnými spoločnosťami,</w:t>
      </w:r>
      <w:r w:rsidR="00D90878">
        <w:t xml:space="preserve"> o </w:t>
      </w:r>
      <w:r w:rsidRPr="00D90878">
        <w:t>zmene smernice 2002/87/ES</w:t>
      </w:r>
      <w:r w:rsidR="00D90878">
        <w:t xml:space="preserve"> a o </w:t>
      </w:r>
      <w:r w:rsidRPr="00D90878">
        <w:t>zrušení smerníc 2006/48/ES</w:t>
      </w:r>
      <w:r w:rsidR="00D90878">
        <w:t xml:space="preserve"> a </w:t>
      </w:r>
      <w:r w:rsidRPr="00D90878">
        <w:t>2006/49/ES</w:t>
      </w:r>
      <w:r w:rsidR="00D90878">
        <w:t xml:space="preserve"> (Ú. v. EÚ L 176, 27.6.2013, s. </w:t>
      </w:r>
      <w:r w:rsidRPr="00D90878">
        <w:t>338).</w:t>
      </w:r>
    </w:p>
  </w:footnote>
  <w:footnote w:id="3">
    <w:p w14:paraId="5580D4CD" w14:textId="17462B9E" w:rsidR="00AD21AA" w:rsidRPr="00D90878" w:rsidRDefault="00AD21AA" w:rsidP="00AD21AA">
      <w:pPr>
        <w:pStyle w:val="FootnoteText"/>
      </w:pPr>
      <w:r w:rsidRPr="00D90878">
        <w:rPr>
          <w:rStyle w:val="FootnoteReference"/>
        </w:rPr>
        <w:footnoteRef/>
      </w:r>
      <w:r w:rsidRPr="00D90878">
        <w:tab/>
        <w:t>Vykonávacie nariadenie Komisie (EÚ) č. 680/2014, ktorým sa stanovujú vykonávacie technické predpisy, pokiaľ ide</w:t>
      </w:r>
      <w:r w:rsidR="00D90878">
        <w:t xml:space="preserve"> o </w:t>
      </w:r>
      <w:r w:rsidRPr="00D90878">
        <w:t>vykazovanie inštitúciami na účely dohľadu podľa nariadenia (EÚ) č. 575/2013 (Ú. v. EÚ L 191, 28.6.2014, s. 1).</w:t>
      </w:r>
    </w:p>
  </w:footnote>
  <w:footnote w:id="4">
    <w:p w14:paraId="4A709B42" w14:textId="040BF305" w:rsidR="00AD21AA" w:rsidRPr="00D90878" w:rsidRDefault="00AD21AA" w:rsidP="00AD21AA">
      <w:pPr>
        <w:pStyle w:val="FootnoteText"/>
      </w:pPr>
      <w:r w:rsidRPr="00D90878">
        <w:rPr>
          <w:rStyle w:val="FootnoteReference"/>
        </w:rPr>
        <w:footnoteRef/>
      </w:r>
      <w:r w:rsidRPr="00D90878">
        <w:tab/>
        <w:t>Nariadenie Európskeho parlamentu</w:t>
      </w:r>
      <w:r w:rsidR="00D90878">
        <w:t xml:space="preserve"> a </w:t>
      </w:r>
      <w:r w:rsidRPr="00D90878">
        <w:t>Rady (EÚ) 2019/876</w:t>
      </w:r>
      <w:r w:rsidR="00D90878">
        <w:t xml:space="preserve"> z </w:t>
      </w:r>
      <w:r w:rsidRPr="00D90878">
        <w:t>20</w:t>
      </w:r>
      <w:r w:rsidR="00D90878">
        <w:t>. mája</w:t>
      </w:r>
      <w:r w:rsidRPr="00D90878">
        <w:t xml:space="preserve"> 2019, ktorým sa mení nariadenie (EÚ) č. 575/2013, pokiaľ ide</w:t>
      </w:r>
      <w:r w:rsidR="00D90878">
        <w:t xml:space="preserve"> o </w:t>
      </w:r>
      <w:r w:rsidRPr="00D90878">
        <w:t>ukazovateľ finančnej páky, ukazovateľ čistého stabilného financovania, požiadavky na vlastné zdroje</w:t>
      </w:r>
      <w:r w:rsidR="00D90878">
        <w:t xml:space="preserve"> a </w:t>
      </w:r>
      <w:r w:rsidRPr="00D90878">
        <w:t>oprávnené záväzky, kreditné riziko protistrany, trhové riziko, expozície voči centrálnym protistranám, expozície voči podnikom kolektívneho investovania, veľkú majetkovú angažovanosť, požiadavky na predkladanie správ</w:t>
      </w:r>
      <w:r w:rsidR="00D90878">
        <w:t xml:space="preserve"> a </w:t>
      </w:r>
      <w:r w:rsidRPr="00D90878">
        <w:t>zverejňovanie informácií,</w:t>
      </w:r>
      <w:r w:rsidR="00D90878">
        <w:t xml:space="preserve"> a </w:t>
      </w:r>
      <w:r w:rsidRPr="00D90878">
        <w:t>ktorým sa mení nariadenie (EÚ) č. 648/2012 (Ú. v. EÚ L 150, 7.6.2019, s. 1).</w:t>
      </w:r>
    </w:p>
  </w:footnote>
  <w:footnote w:id="5">
    <w:p w14:paraId="5D010433" w14:textId="2022EA46" w:rsidR="00AD21AA" w:rsidRPr="00D90878" w:rsidRDefault="00AD21AA" w:rsidP="00AD21AA">
      <w:pPr>
        <w:pStyle w:val="FootnoteText"/>
      </w:pPr>
      <w:r w:rsidRPr="00D90878">
        <w:rPr>
          <w:rStyle w:val="FootnoteReference"/>
        </w:rPr>
        <w:footnoteRef/>
      </w:r>
      <w:r w:rsidRPr="00D90878">
        <w:tab/>
        <w:t>Nariadenie Európskeho parlamentu</w:t>
      </w:r>
      <w:r w:rsidR="00D90878">
        <w:t xml:space="preserve"> a </w:t>
      </w:r>
      <w:r w:rsidRPr="00D90878">
        <w:t>Rady (EÚ) 2019/630 zo 17</w:t>
      </w:r>
      <w:r w:rsidR="00D90878">
        <w:t>. apríla</w:t>
      </w:r>
      <w:r w:rsidRPr="00D90878">
        <w:t xml:space="preserve"> 2019, ktorým sa mení nariadenie (EÚ) č. 575/2013, pokiaľ ide</w:t>
      </w:r>
      <w:r w:rsidR="00D90878">
        <w:t xml:space="preserve"> o </w:t>
      </w:r>
      <w:r w:rsidRPr="00D90878">
        <w:t xml:space="preserve">minimálne krytie strát pri problémových expozíciách (Ú. v. EÚ L 111, 25.4.2019, s. 4). </w:t>
      </w:r>
    </w:p>
  </w:footnote>
  <w:footnote w:id="6">
    <w:p w14:paraId="0B0AEE79" w14:textId="1F2195B4" w:rsidR="00AD21AA" w:rsidRPr="00D90878" w:rsidRDefault="00AD21AA" w:rsidP="00AD21AA">
      <w:pPr>
        <w:pStyle w:val="FootnoteText"/>
      </w:pPr>
      <w:r w:rsidRPr="00D90878">
        <w:rPr>
          <w:rStyle w:val="FootnoteReference"/>
        </w:rPr>
        <w:footnoteRef/>
      </w:r>
      <w:r w:rsidRPr="00D90878">
        <w:tab/>
        <w:t>Nariadenie Európskeho parlamentu</w:t>
      </w:r>
      <w:r w:rsidR="00D90878">
        <w:t xml:space="preserve"> a </w:t>
      </w:r>
      <w:r w:rsidRPr="00D90878">
        <w:t>Rady (EÚ) 2019/2033</w:t>
      </w:r>
      <w:r w:rsidR="00D90878">
        <w:t xml:space="preserve"> z </w:t>
      </w:r>
      <w:r w:rsidRPr="00D90878">
        <w:t>27</w:t>
      </w:r>
      <w:r w:rsidR="00D90878">
        <w:t>. novembra</w:t>
      </w:r>
      <w:r w:rsidRPr="00D90878">
        <w:t xml:space="preserve"> 2019</w:t>
      </w:r>
      <w:r w:rsidR="00D90878">
        <w:t xml:space="preserve"> o </w:t>
      </w:r>
      <w:r w:rsidRPr="00D90878">
        <w:t>prudenciálnych požiadavkách na investičné spoločnosti</w:t>
      </w:r>
      <w:r w:rsidR="00D90878">
        <w:t xml:space="preserve"> a o </w:t>
      </w:r>
      <w:r w:rsidRPr="00D90878">
        <w:t>zmene nariadení (EÚ) č. 1093/2010, (EÚ) č. 575/2013, (EÚ) č. 600/2014</w:t>
      </w:r>
      <w:r w:rsidR="00D90878">
        <w:t xml:space="preserve"> a </w:t>
      </w:r>
      <w:r w:rsidRPr="00D90878">
        <w:t>(EÚ) č. 806/2014 (Ú. v. EÚ L 314, 5.12.2019, s. 1).</w:t>
      </w:r>
    </w:p>
  </w:footnote>
  <w:footnote w:id="7">
    <w:p w14:paraId="3D6B588C" w14:textId="160999D3" w:rsidR="00AD21AA" w:rsidRPr="00D90878" w:rsidRDefault="00AD21AA" w:rsidP="00AD21AA">
      <w:pPr>
        <w:pStyle w:val="FootnoteText"/>
      </w:pPr>
      <w:r w:rsidRPr="00D90878">
        <w:rPr>
          <w:rStyle w:val="FootnoteReference"/>
        </w:rPr>
        <w:footnoteRef/>
      </w:r>
      <w:r w:rsidRPr="00D90878">
        <w:tab/>
        <w:t>Nariadenie Európskeho parlamentu</w:t>
      </w:r>
      <w:r w:rsidR="00D90878">
        <w:t xml:space="preserve"> a </w:t>
      </w:r>
      <w:r w:rsidRPr="00D90878">
        <w:t>Rady (EÚ) 2020/873</w:t>
      </w:r>
      <w:r w:rsidR="00D90878">
        <w:t xml:space="preserve"> z </w:t>
      </w:r>
      <w:r w:rsidRPr="00D90878">
        <w:t>24</w:t>
      </w:r>
      <w:r w:rsidR="00D90878">
        <w:t>. júna</w:t>
      </w:r>
      <w:r w:rsidRPr="00D90878">
        <w:t xml:space="preserve"> 2020, ktorým sa menia nariadenia (EÚ) č. 575/2013</w:t>
      </w:r>
      <w:r w:rsidR="00D90878">
        <w:t xml:space="preserve"> a </w:t>
      </w:r>
      <w:r w:rsidRPr="00D90878">
        <w:t>(EÚ) 2019/876, pokiaľ ide</w:t>
      </w:r>
      <w:r w:rsidR="00D90878">
        <w:t xml:space="preserve"> o </w:t>
      </w:r>
      <w:r w:rsidRPr="00D90878">
        <w:t>určité úpravy</w:t>
      </w:r>
      <w:r w:rsidR="00D90878">
        <w:t xml:space="preserve"> v </w:t>
      </w:r>
      <w:r w:rsidRPr="00D90878">
        <w:t>reakcii na pandémiu ochorenia COVID-19 (Ú. v. EÚ L 204, 26.6.2020, s. 4).</w:t>
      </w:r>
    </w:p>
  </w:footnote>
  <w:footnote w:id="8">
    <w:p w14:paraId="5A30BC5D" w14:textId="639658BA" w:rsidR="00AD21AA" w:rsidRPr="00D90878" w:rsidRDefault="00AD21AA" w:rsidP="00AD21AA">
      <w:pPr>
        <w:pStyle w:val="FootnoteText"/>
      </w:pPr>
      <w:r w:rsidRPr="00D90878">
        <w:rPr>
          <w:rStyle w:val="FootnoteReference"/>
        </w:rPr>
        <w:footnoteRef/>
      </w:r>
      <w:r w:rsidRPr="00D90878">
        <w:tab/>
        <w:t>Nariadenie Európskeho parlamentu</w:t>
      </w:r>
      <w:r w:rsidR="00D90878">
        <w:t xml:space="preserve"> a </w:t>
      </w:r>
      <w:r w:rsidRPr="00D90878">
        <w:t>Rady (EÚ) č. 1093/2010</w:t>
      </w:r>
      <w:r w:rsidR="00D90878">
        <w:t xml:space="preserve"> z </w:t>
      </w:r>
      <w:r w:rsidRPr="00D90878">
        <w:t>24</w:t>
      </w:r>
      <w:r w:rsidR="00D90878">
        <w:t>. novembra</w:t>
      </w:r>
      <w:r w:rsidRPr="00D90878">
        <w:t xml:space="preserve"> 2010, ktorým sa zriaďuje Európsky orgán dohľadu (Európsky orgán pre bankovníctvo)</w:t>
      </w:r>
      <w:r w:rsidR="00D90878">
        <w:t xml:space="preserve"> a </w:t>
      </w:r>
      <w:r w:rsidRPr="00D90878">
        <w:t>ktorým sa mení</w:t>
      </w:r>
      <w:r w:rsidR="00D90878">
        <w:t xml:space="preserve"> a dopĺňa rozhodnutie č. </w:t>
      </w:r>
      <w:r w:rsidRPr="00D90878">
        <w:t>716/2009/ES</w:t>
      </w:r>
      <w:r w:rsidR="00D90878">
        <w:t xml:space="preserve"> a </w:t>
      </w:r>
      <w:r w:rsidRPr="00D90878">
        <w:t>zrušuje rozhodnutie Komisie 2009/78/ES (Ú. v. EÚ L 331, 15.12.2020, s. 12).</w:t>
      </w:r>
    </w:p>
  </w:footnote>
  <w:footnote w:id="9">
    <w:p w14:paraId="2F6DC588" w14:textId="25582882" w:rsidR="0014552F" w:rsidRPr="00D90878" w:rsidRDefault="0014552F" w:rsidP="0014552F">
      <w:pPr>
        <w:pStyle w:val="FootnoteText"/>
      </w:pPr>
      <w:r w:rsidRPr="00D90878">
        <w:rPr>
          <w:rStyle w:val="FootnoteReference"/>
        </w:rPr>
        <w:footnoteRef/>
      </w:r>
      <w:r w:rsidRPr="00D90878">
        <w:tab/>
        <w:t>Delegované nariadenie Komisie (EÚ) 2016/101</w:t>
      </w:r>
      <w:r w:rsidR="00D90878">
        <w:t xml:space="preserve"> z </w:t>
      </w:r>
      <w:r w:rsidRPr="00D90878">
        <w:t>26</w:t>
      </w:r>
      <w:r w:rsidR="00D90878">
        <w:t>. októbra</w:t>
      </w:r>
      <w:r w:rsidRPr="00D90878">
        <w:t xml:space="preserve"> 2015, ktorým sa dopĺňa nariadenie Európskeho parlamentu</w:t>
      </w:r>
      <w:r w:rsidR="00D90878">
        <w:t xml:space="preserve"> a </w:t>
      </w:r>
      <w:r w:rsidRPr="00D90878">
        <w:t>Rady (EÚ) č. 575/2013, pokiaľ ide</w:t>
      </w:r>
      <w:r w:rsidR="00D90878">
        <w:t xml:space="preserve"> o </w:t>
      </w:r>
      <w:r w:rsidRPr="00D90878">
        <w:t>regulačné technické predpisy týkajúce sa obozretného oceňovania podľa článku 105 ods. 14 (Ú. v. EÚ L 21, 28.1.2016, s. 54).</w:t>
      </w:r>
    </w:p>
  </w:footnote>
  <w:footnote w:id="10">
    <w:p w14:paraId="0D4E857F" w14:textId="5393CD2B" w:rsidR="00FE0C02" w:rsidRPr="00D90878" w:rsidRDefault="00FE0C02" w:rsidP="00FE0C02">
      <w:pPr>
        <w:pStyle w:val="FootnoteText"/>
      </w:pPr>
      <w:r w:rsidRPr="00D90878">
        <w:rPr>
          <w:rStyle w:val="FootnoteReference"/>
        </w:rPr>
        <w:footnoteRef/>
      </w:r>
      <w:r w:rsidRPr="00D90878">
        <w:tab/>
        <w:t>Nariadenie Európskeho parlamentu</w:t>
      </w:r>
      <w:r w:rsidR="00D90878">
        <w:t xml:space="preserve"> a </w:t>
      </w:r>
      <w:r w:rsidRPr="00D90878">
        <w:t>Rady (ES) č. 1606/2002</w:t>
      </w:r>
      <w:r w:rsidR="00D90878">
        <w:t xml:space="preserve"> z </w:t>
      </w:r>
      <w:r w:rsidRPr="00D90878">
        <w:t>19</w:t>
      </w:r>
      <w:r w:rsidR="00D90878">
        <w:t>. júla</w:t>
      </w:r>
      <w:r w:rsidRPr="00D90878">
        <w:t xml:space="preserve"> 2002</w:t>
      </w:r>
      <w:r w:rsidR="00D90878">
        <w:t xml:space="preserve"> o </w:t>
      </w:r>
      <w:r w:rsidRPr="00D90878">
        <w:t>uplatňovaní medzinárodných účtovných noriem (Ú. v. ES L 243, 11.9.2002, s. 1).</w:t>
      </w:r>
    </w:p>
  </w:footnote>
  <w:footnote w:id="11">
    <w:p w14:paraId="186408CB" w14:textId="7DCD3E5D" w:rsidR="00FE0C02" w:rsidRPr="00D90878" w:rsidRDefault="00FE0C02" w:rsidP="00FE0C02">
      <w:pPr>
        <w:pStyle w:val="FootnoteText"/>
      </w:pPr>
      <w:r w:rsidRPr="00D90878">
        <w:rPr>
          <w:rStyle w:val="FootnoteReference"/>
        </w:rPr>
        <w:footnoteRef/>
      </w:r>
      <w:r w:rsidRPr="00D90878">
        <w:tab/>
        <w:t>Smernica Európskeho parlamentu</w:t>
      </w:r>
      <w:r w:rsidR="00D90878">
        <w:t xml:space="preserve"> a </w:t>
      </w:r>
      <w:r w:rsidRPr="00D90878">
        <w:t>Rady 2009/65/ES</w:t>
      </w:r>
      <w:r w:rsidR="00D90878">
        <w:t xml:space="preserve"> z </w:t>
      </w:r>
      <w:r w:rsidRPr="00D90878">
        <w:t>13</w:t>
      </w:r>
      <w:r w:rsidR="00D90878">
        <w:t>. júla</w:t>
      </w:r>
      <w:r w:rsidRPr="00D90878">
        <w:t xml:space="preserve"> 2009</w:t>
      </w:r>
      <w:r w:rsidR="00D90878">
        <w:t xml:space="preserve"> o </w:t>
      </w:r>
      <w:r w:rsidRPr="00D90878">
        <w:t>koordinácii zákonov, iných právnych predpisov</w:t>
      </w:r>
      <w:r w:rsidR="00D90878">
        <w:t xml:space="preserve"> a </w:t>
      </w:r>
      <w:r w:rsidRPr="00D90878">
        <w:t>správnych opatrení týkajúcich sa podnikov kolektívneho investovania do prevoditeľných cenných papierov (PKIPCP) (Ú. v. EÚ L 302, 17.11.2009, s. 32).</w:t>
      </w:r>
    </w:p>
  </w:footnote>
  <w:footnote w:id="12">
    <w:p w14:paraId="50B21B4D" w14:textId="03417293" w:rsidR="00FE0C02" w:rsidRPr="00D90878" w:rsidRDefault="00FE0C02" w:rsidP="00FE0C02">
      <w:pPr>
        <w:pStyle w:val="FootnoteText"/>
      </w:pPr>
      <w:r w:rsidRPr="00D90878">
        <w:rPr>
          <w:rStyle w:val="FootnoteReference"/>
        </w:rPr>
        <w:footnoteRef/>
      </w:r>
      <w:r w:rsidRPr="00D90878">
        <w:tab/>
        <w:t>Nariadenie Európskeho parlamentu</w:t>
      </w:r>
      <w:r w:rsidR="00D90878">
        <w:t xml:space="preserve"> a </w:t>
      </w:r>
      <w:r w:rsidRPr="00D90878">
        <w:t>Rady (EÚ) č. 806/2014</w:t>
      </w:r>
      <w:r w:rsidR="00D90878">
        <w:t xml:space="preserve"> z </w:t>
      </w:r>
      <w:r w:rsidRPr="00D90878">
        <w:t>15</w:t>
      </w:r>
      <w:r w:rsidR="00D90878">
        <w:t>. júla</w:t>
      </w:r>
      <w:r w:rsidRPr="00D90878">
        <w:t xml:space="preserve"> 2014, ktorým sa stanovujú jednotné pravidlá</w:t>
      </w:r>
      <w:r w:rsidR="00D90878">
        <w:t xml:space="preserve"> a </w:t>
      </w:r>
      <w:r w:rsidRPr="00D90878">
        <w:t>jednotný postup riešenia krízových situácií úverových inštitúcií</w:t>
      </w:r>
      <w:r w:rsidR="00D90878">
        <w:t xml:space="preserve"> a </w:t>
      </w:r>
      <w:r w:rsidRPr="00D90878">
        <w:t>určitých investičných spoločností</w:t>
      </w:r>
      <w:r w:rsidR="00D90878">
        <w:t xml:space="preserve"> v </w:t>
      </w:r>
      <w:r w:rsidRPr="00D90878">
        <w:t>rámci jednotného mechanizmu riešenia krízových situácií</w:t>
      </w:r>
      <w:r w:rsidR="00D90878">
        <w:t xml:space="preserve"> a </w:t>
      </w:r>
      <w:r w:rsidRPr="00D90878">
        <w:t>jednotného fondu na riešenie krízových situácií</w:t>
      </w:r>
      <w:r w:rsidR="00D90878">
        <w:t xml:space="preserve"> a </w:t>
      </w:r>
      <w:r w:rsidRPr="00D90878">
        <w:t>ktorým sa mení nariadenie (EÚ) č. 1093/2010 (Ú. v. EÚ L 225,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5 09:56: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Green"/>
    <w:docVar w:name="DQCVersion" w:val="3"/>
    <w:docVar w:name="DQCWithWarnings" w:val="0"/>
    <w:docVar w:name="LW_COVERPAGE_EXISTS" w:val="True"/>
    <w:docVar w:name="LW_COVERPAGE_GUID" w:val="FF8F43B5-7483-4B0C-B9E6-28C72376FE00"/>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lt;EMPTY&gt;"/>
    <w:docVar w:name="LW_ID_DOCMODEL" w:val="SJ-004"/>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orým sa stanovujú vykonávacie technické predpisy na uplat\u328?ovanie nariadenia Európskeho parlamentu a Rady (EÚ) \u269?. 575/2013, pokia\u318? ide o vykazovanie in\u353?titúciami na ú\u269?ely doh\u318?adu, a ktorým sa zru\u353?uje vykonávacie nariadenie (EÚ) \u269?. 680/2014 _x000b_"/>
    <w:docVar w:name="LW_TYPE.DOC.CP" w:val="VYKONÁVACIE NARIADENIE KOMISIE (EÚ) \u8230?/..."/>
  </w:docVars>
  <w:rsids>
    <w:rsidRoot w:val="0004170D"/>
    <w:rsid w:val="00010C8E"/>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037E0"/>
    <w:rsid w:val="00627D4B"/>
    <w:rsid w:val="00646DA2"/>
    <w:rsid w:val="00656F3B"/>
    <w:rsid w:val="00681997"/>
    <w:rsid w:val="006947FE"/>
    <w:rsid w:val="006B3AF7"/>
    <w:rsid w:val="006B5AAF"/>
    <w:rsid w:val="006B61AF"/>
    <w:rsid w:val="006D20F7"/>
    <w:rsid w:val="007241CC"/>
    <w:rsid w:val="00725875"/>
    <w:rsid w:val="00794AEA"/>
    <w:rsid w:val="007951FC"/>
    <w:rsid w:val="007A4641"/>
    <w:rsid w:val="007D13CB"/>
    <w:rsid w:val="007D178B"/>
    <w:rsid w:val="007E5F66"/>
    <w:rsid w:val="007F0EBD"/>
    <w:rsid w:val="00800894"/>
    <w:rsid w:val="008137A2"/>
    <w:rsid w:val="008326B8"/>
    <w:rsid w:val="008332D8"/>
    <w:rsid w:val="008568F5"/>
    <w:rsid w:val="00856A5A"/>
    <w:rsid w:val="00877878"/>
    <w:rsid w:val="00886F23"/>
    <w:rsid w:val="00886FC9"/>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52BCC"/>
    <w:rsid w:val="00C901BD"/>
    <w:rsid w:val="00CA348C"/>
    <w:rsid w:val="00CF106C"/>
    <w:rsid w:val="00D376BE"/>
    <w:rsid w:val="00D844E2"/>
    <w:rsid w:val="00D90878"/>
    <w:rsid w:val="00D9176D"/>
    <w:rsid w:val="00DC2475"/>
    <w:rsid w:val="00DF712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C14EF"/>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sk-SK"/>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sk-SK"/>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sk-SK"/>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sk-SK"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CC944-9192-49CA-A023-6E7B8A83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6694</Words>
  <Characters>37756</Characters>
  <Application>Microsoft Office Word</Application>
  <DocSecurity>0</DocSecurity>
  <Lines>699</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2020-12-21T08:15:00Z</dcterms:created>
  <dcterms:modified xsi:type="dcterms:W3CDTF">2020-12-21T08:15:00Z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