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FAE" w:rsidRPr="00F44D15" w:rsidRDefault="00941FAE" w:rsidP="00941FAE">
      <w:pPr>
        <w:spacing w:before="0"/>
        <w:jc w:val="center"/>
        <w:rPr>
          <w:rFonts w:ascii="Times New Roman" w:hAnsi="Times New Roman"/>
          <w:sz w:val="24"/>
        </w:rPr>
      </w:pPr>
      <w:bookmarkStart w:id="0" w:name="_Toc310414964"/>
      <w:r>
        <w:rPr>
          <w:rFonts w:ascii="Times New Roman" w:hAnsi="Times New Roman"/>
          <w:sz w:val="24"/>
        </w:rPr>
        <w:t>XVII PRIEDAS</w:t>
      </w:r>
    </w:p>
    <w:p w:rsidR="00941FAE" w:rsidRPr="001A22DE" w:rsidRDefault="00941FAE" w:rsidP="00941FAE">
      <w:pPr>
        <w:spacing w:before="0"/>
        <w:rPr>
          <w:rFonts w:ascii="Times New Roman" w:hAnsi="Times New Roman"/>
          <w:sz w:val="24"/>
        </w:rPr>
      </w:pPr>
    </w:p>
    <w:p w:rsidR="00941FAE" w:rsidRPr="001A22DE" w:rsidRDefault="00941FAE" w:rsidP="00941FAE">
      <w:pPr>
        <w:spacing w:before="0"/>
        <w:jc w:val="center"/>
        <w:rPr>
          <w:rFonts w:ascii="Times New Roman" w:hAnsi="Times New Roman"/>
          <w:b/>
          <w:sz w:val="24"/>
        </w:rPr>
      </w:pPr>
      <w:r>
        <w:rPr>
          <w:rFonts w:ascii="Times New Roman" w:hAnsi="Times New Roman"/>
          <w:b/>
          <w:sz w:val="24"/>
        </w:rPr>
        <w:t>NURODYMAS DĖL INFORMACIJOS APIE TURTO SUVARŽYMĄ TEIKIMO</w:t>
      </w:r>
    </w:p>
    <w:p w:rsidR="00941FAE" w:rsidRDefault="00941FAE" w:rsidP="00941FAE">
      <w:pPr>
        <w:pStyle w:val="InstructionsText2"/>
        <w:numPr>
          <w:ilvl w:val="0"/>
          <w:numId w:val="0"/>
        </w:numPr>
        <w:spacing w:after="120"/>
        <w:rPr>
          <w:sz w:val="24"/>
        </w:rPr>
      </w:pPr>
    </w:p>
    <w:p w:rsidR="00941FAE" w:rsidRPr="00E6052D" w:rsidRDefault="00941FAE" w:rsidP="00941FAE">
      <w:pPr>
        <w:pStyle w:val="InstructionsText2"/>
        <w:numPr>
          <w:ilvl w:val="0"/>
          <w:numId w:val="0"/>
        </w:numPr>
        <w:spacing w:after="120"/>
        <w:jc w:val="center"/>
        <w:rPr>
          <w:sz w:val="24"/>
        </w:rPr>
      </w:pPr>
      <w:r>
        <w:rPr>
          <w:sz w:val="24"/>
        </w:rPr>
        <w:t>Turinys</w:t>
      </w:r>
    </w:p>
    <w:p w:rsidR="00045070" w:rsidRDefault="00941FAE">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szCs w:val="24"/>
        </w:rPr>
        <w:instrText xml:space="preserve"> TOC \o "1-3" \h \z \u </w:instrText>
      </w:r>
      <w:r>
        <w:rPr>
          <w:rFonts w:ascii="Times New Roman" w:hAnsi="Times New Roman"/>
          <w:sz w:val="24"/>
        </w:rPr>
        <w:fldChar w:fldCharType="separate"/>
      </w:r>
      <w:hyperlink w:anchor="_Toc58571948" w:history="1">
        <w:r w:rsidR="00045070" w:rsidRPr="00BF661A">
          <w:rPr>
            <w:rStyle w:val="Hyperlink"/>
            <w:rFonts w:ascii="Times New Roman" w:hAnsi="Times New Roman"/>
          </w:rPr>
          <w:t>BENDRIEJI NURODYMAI</w:t>
        </w:r>
        <w:r w:rsidR="00045070">
          <w:rPr>
            <w:webHidden/>
          </w:rPr>
          <w:tab/>
        </w:r>
        <w:r w:rsidR="00045070">
          <w:rPr>
            <w:webHidden/>
          </w:rPr>
          <w:fldChar w:fldCharType="begin"/>
        </w:r>
        <w:r w:rsidR="00045070">
          <w:rPr>
            <w:webHidden/>
          </w:rPr>
          <w:instrText xml:space="preserve"> PAGEREF _Toc58571948 \h </w:instrText>
        </w:r>
        <w:r w:rsidR="00045070">
          <w:rPr>
            <w:webHidden/>
          </w:rPr>
        </w:r>
        <w:r w:rsidR="00045070">
          <w:rPr>
            <w:webHidden/>
          </w:rPr>
          <w:fldChar w:fldCharType="separate"/>
        </w:r>
        <w:r w:rsidR="00045070">
          <w:rPr>
            <w:webHidden/>
          </w:rPr>
          <w:t>3</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49" w:history="1">
        <w:r w:rsidR="00045070" w:rsidRPr="00BF661A">
          <w:rPr>
            <w:rStyle w:val="Hyperlink"/>
            <w:rFonts w:ascii="Times New Roman" w:hAnsi="Times New Roman"/>
          </w:rPr>
          <w:t>1. Struktūra ir tvarka</w:t>
        </w:r>
        <w:r w:rsidR="00045070">
          <w:rPr>
            <w:webHidden/>
          </w:rPr>
          <w:tab/>
        </w:r>
        <w:r w:rsidR="00045070">
          <w:rPr>
            <w:webHidden/>
          </w:rPr>
          <w:fldChar w:fldCharType="begin"/>
        </w:r>
        <w:r w:rsidR="00045070">
          <w:rPr>
            <w:webHidden/>
          </w:rPr>
          <w:instrText xml:space="preserve"> PAGEREF _Toc58571949 \h </w:instrText>
        </w:r>
        <w:r w:rsidR="00045070">
          <w:rPr>
            <w:webHidden/>
          </w:rPr>
        </w:r>
        <w:r w:rsidR="00045070">
          <w:rPr>
            <w:webHidden/>
          </w:rPr>
          <w:fldChar w:fldCharType="separate"/>
        </w:r>
        <w:r w:rsidR="00045070">
          <w:rPr>
            <w:webHidden/>
          </w:rPr>
          <w:t>3</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50" w:history="1">
        <w:r w:rsidR="00045070" w:rsidRPr="00BF661A">
          <w:rPr>
            <w:rStyle w:val="Hyperlink"/>
            <w:rFonts w:ascii="Times New Roman" w:hAnsi="Times New Roman"/>
          </w:rPr>
          <w:t>1.1.</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Struktūra</w:t>
        </w:r>
        <w:r w:rsidR="00045070">
          <w:rPr>
            <w:webHidden/>
          </w:rPr>
          <w:tab/>
        </w:r>
        <w:r w:rsidR="00045070">
          <w:rPr>
            <w:webHidden/>
          </w:rPr>
          <w:fldChar w:fldCharType="begin"/>
        </w:r>
        <w:r w:rsidR="00045070">
          <w:rPr>
            <w:webHidden/>
          </w:rPr>
          <w:instrText xml:space="preserve"> PAGEREF _Toc58571950 \h </w:instrText>
        </w:r>
        <w:r w:rsidR="00045070">
          <w:rPr>
            <w:webHidden/>
          </w:rPr>
        </w:r>
        <w:r w:rsidR="00045070">
          <w:rPr>
            <w:webHidden/>
          </w:rPr>
          <w:fldChar w:fldCharType="separate"/>
        </w:r>
        <w:r w:rsidR="00045070">
          <w:rPr>
            <w:webHidden/>
          </w:rPr>
          <w:t>3</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51" w:history="1">
        <w:r w:rsidR="00045070" w:rsidRPr="00BF661A">
          <w:rPr>
            <w:rStyle w:val="Hyperlink"/>
            <w:rFonts w:ascii="Times New Roman" w:hAnsi="Times New Roman"/>
          </w:rPr>
          <w:t>1.2.</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Apskaitos standartas</w:t>
        </w:r>
        <w:r w:rsidR="00045070">
          <w:rPr>
            <w:webHidden/>
          </w:rPr>
          <w:tab/>
        </w:r>
        <w:r w:rsidR="00045070">
          <w:rPr>
            <w:webHidden/>
          </w:rPr>
          <w:fldChar w:fldCharType="begin"/>
        </w:r>
        <w:r w:rsidR="00045070">
          <w:rPr>
            <w:webHidden/>
          </w:rPr>
          <w:instrText xml:space="preserve"> PAGEREF _Toc58571951 \h </w:instrText>
        </w:r>
        <w:r w:rsidR="00045070">
          <w:rPr>
            <w:webHidden/>
          </w:rPr>
        </w:r>
        <w:r w:rsidR="00045070">
          <w:rPr>
            <w:webHidden/>
          </w:rPr>
          <w:fldChar w:fldCharType="separate"/>
        </w:r>
        <w:r w:rsidR="00045070">
          <w:rPr>
            <w:webHidden/>
          </w:rPr>
          <w:t>3</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52" w:history="1">
        <w:r w:rsidR="00045070" w:rsidRPr="00BF661A">
          <w:rPr>
            <w:rStyle w:val="Hyperlink"/>
            <w:rFonts w:ascii="Times New Roman" w:hAnsi="Times New Roman"/>
          </w:rPr>
          <w:t>1.3.</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Numeravimo tvarka</w:t>
        </w:r>
        <w:r w:rsidR="00045070">
          <w:rPr>
            <w:webHidden/>
          </w:rPr>
          <w:tab/>
        </w:r>
        <w:r w:rsidR="00045070">
          <w:rPr>
            <w:webHidden/>
          </w:rPr>
          <w:fldChar w:fldCharType="begin"/>
        </w:r>
        <w:r w:rsidR="00045070">
          <w:rPr>
            <w:webHidden/>
          </w:rPr>
          <w:instrText xml:space="preserve"> PAGEREF _Toc58571952 \h </w:instrText>
        </w:r>
        <w:r w:rsidR="00045070">
          <w:rPr>
            <w:webHidden/>
          </w:rPr>
        </w:r>
        <w:r w:rsidR="00045070">
          <w:rPr>
            <w:webHidden/>
          </w:rPr>
          <w:fldChar w:fldCharType="separate"/>
        </w:r>
        <w:r w:rsidR="00045070">
          <w:rPr>
            <w:webHidden/>
          </w:rPr>
          <w:t>3</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53" w:history="1">
        <w:r w:rsidR="00045070" w:rsidRPr="00BF661A">
          <w:rPr>
            <w:rStyle w:val="Hyperlink"/>
            <w:rFonts w:ascii="Times New Roman" w:hAnsi="Times New Roman"/>
          </w:rPr>
          <w:t>1.4.</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Ženklų tvarka</w:t>
        </w:r>
        <w:r w:rsidR="00045070">
          <w:rPr>
            <w:webHidden/>
          </w:rPr>
          <w:tab/>
        </w:r>
        <w:r w:rsidR="00045070">
          <w:rPr>
            <w:webHidden/>
          </w:rPr>
          <w:fldChar w:fldCharType="begin"/>
        </w:r>
        <w:r w:rsidR="00045070">
          <w:rPr>
            <w:webHidden/>
          </w:rPr>
          <w:instrText xml:space="preserve"> PAGEREF _Toc58571953 \h </w:instrText>
        </w:r>
        <w:r w:rsidR="00045070">
          <w:rPr>
            <w:webHidden/>
          </w:rPr>
        </w:r>
        <w:r w:rsidR="00045070">
          <w:rPr>
            <w:webHidden/>
          </w:rPr>
          <w:fldChar w:fldCharType="separate"/>
        </w:r>
        <w:r w:rsidR="00045070">
          <w:rPr>
            <w:webHidden/>
          </w:rPr>
          <w:t>3</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54" w:history="1">
        <w:r w:rsidR="00045070" w:rsidRPr="00BF661A">
          <w:rPr>
            <w:rStyle w:val="Hyperlink"/>
            <w:rFonts w:ascii="Times New Roman" w:hAnsi="Times New Roman"/>
          </w:rPr>
          <w:t>1.5.</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Taikymo lygis</w:t>
        </w:r>
        <w:r w:rsidR="00045070">
          <w:rPr>
            <w:webHidden/>
          </w:rPr>
          <w:tab/>
        </w:r>
        <w:r w:rsidR="00045070">
          <w:rPr>
            <w:webHidden/>
          </w:rPr>
          <w:fldChar w:fldCharType="begin"/>
        </w:r>
        <w:r w:rsidR="00045070">
          <w:rPr>
            <w:webHidden/>
          </w:rPr>
          <w:instrText xml:space="preserve"> PAGEREF _Toc58571954 \h </w:instrText>
        </w:r>
        <w:r w:rsidR="00045070">
          <w:rPr>
            <w:webHidden/>
          </w:rPr>
        </w:r>
        <w:r w:rsidR="00045070">
          <w:rPr>
            <w:webHidden/>
          </w:rPr>
          <w:fldChar w:fldCharType="separate"/>
        </w:r>
        <w:r w:rsidR="00045070">
          <w:rPr>
            <w:webHidden/>
          </w:rPr>
          <w:t>4</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55" w:history="1">
        <w:r w:rsidR="00045070" w:rsidRPr="00BF661A">
          <w:rPr>
            <w:rStyle w:val="Hyperlink"/>
            <w:rFonts w:ascii="Times New Roman" w:hAnsi="Times New Roman"/>
          </w:rPr>
          <w:t>1.6.</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Proporcingumas</w:t>
        </w:r>
        <w:r w:rsidR="00045070">
          <w:rPr>
            <w:webHidden/>
          </w:rPr>
          <w:tab/>
        </w:r>
        <w:r w:rsidR="00045070">
          <w:rPr>
            <w:webHidden/>
          </w:rPr>
          <w:fldChar w:fldCharType="begin"/>
        </w:r>
        <w:r w:rsidR="00045070">
          <w:rPr>
            <w:webHidden/>
          </w:rPr>
          <w:instrText xml:space="preserve"> PAGEREF _Toc58571955 \h </w:instrText>
        </w:r>
        <w:r w:rsidR="00045070">
          <w:rPr>
            <w:webHidden/>
          </w:rPr>
        </w:r>
        <w:r w:rsidR="00045070">
          <w:rPr>
            <w:webHidden/>
          </w:rPr>
          <w:fldChar w:fldCharType="separate"/>
        </w:r>
        <w:r w:rsidR="00045070">
          <w:rPr>
            <w:webHidden/>
          </w:rPr>
          <w:t>4</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56" w:history="1">
        <w:r w:rsidR="00045070" w:rsidRPr="00BF661A">
          <w:rPr>
            <w:rStyle w:val="Hyperlink"/>
            <w:rFonts w:ascii="Times New Roman" w:hAnsi="Times New Roman"/>
          </w:rPr>
          <w:t>1.7.</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Suvaržymo apibrėžtis</w:t>
        </w:r>
        <w:r w:rsidR="00045070">
          <w:rPr>
            <w:webHidden/>
          </w:rPr>
          <w:tab/>
        </w:r>
        <w:r w:rsidR="00045070">
          <w:rPr>
            <w:webHidden/>
          </w:rPr>
          <w:fldChar w:fldCharType="begin"/>
        </w:r>
        <w:r w:rsidR="00045070">
          <w:rPr>
            <w:webHidden/>
          </w:rPr>
          <w:instrText xml:space="preserve"> PAGEREF _Toc58571956 \h </w:instrText>
        </w:r>
        <w:r w:rsidR="00045070">
          <w:rPr>
            <w:webHidden/>
          </w:rPr>
        </w:r>
        <w:r w:rsidR="00045070">
          <w:rPr>
            <w:webHidden/>
          </w:rPr>
          <w:fldChar w:fldCharType="separate"/>
        </w:r>
        <w:r w:rsidR="00045070">
          <w:rPr>
            <w:webHidden/>
          </w:rPr>
          <w:t>4</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57" w:history="1">
        <w:r w:rsidR="00045070" w:rsidRPr="00BF661A">
          <w:rPr>
            <w:rStyle w:val="Hyperlink"/>
            <w:rFonts w:ascii="Times New Roman" w:hAnsi="Times New Roman"/>
          </w:rPr>
          <w:t>SU FORMA SUSIJĘ NURODYMAI</w:t>
        </w:r>
        <w:r w:rsidR="00045070">
          <w:rPr>
            <w:webHidden/>
          </w:rPr>
          <w:tab/>
        </w:r>
        <w:r w:rsidR="00045070">
          <w:rPr>
            <w:webHidden/>
          </w:rPr>
          <w:fldChar w:fldCharType="begin"/>
        </w:r>
        <w:r w:rsidR="00045070">
          <w:rPr>
            <w:webHidden/>
          </w:rPr>
          <w:instrText xml:space="preserve"> PAGEREF _Toc58571957 \h </w:instrText>
        </w:r>
        <w:r w:rsidR="00045070">
          <w:rPr>
            <w:webHidden/>
          </w:rPr>
        </w:r>
        <w:r w:rsidR="00045070">
          <w:rPr>
            <w:webHidden/>
          </w:rPr>
          <w:fldChar w:fldCharType="separate"/>
        </w:r>
        <w:r w:rsidR="00045070">
          <w:rPr>
            <w:webHidden/>
          </w:rPr>
          <w:t>5</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58" w:history="1">
        <w:r w:rsidR="00045070" w:rsidRPr="00BF661A">
          <w:rPr>
            <w:rStyle w:val="Hyperlink"/>
            <w:rFonts w:ascii="Times New Roman" w:hAnsi="Times New Roman"/>
          </w:rPr>
          <w:t>2.</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A dalis. Suvaržymo apžvalga</w:t>
        </w:r>
        <w:r w:rsidR="00045070">
          <w:rPr>
            <w:webHidden/>
          </w:rPr>
          <w:tab/>
        </w:r>
        <w:r w:rsidR="00045070">
          <w:rPr>
            <w:webHidden/>
          </w:rPr>
          <w:fldChar w:fldCharType="begin"/>
        </w:r>
        <w:r w:rsidR="00045070">
          <w:rPr>
            <w:webHidden/>
          </w:rPr>
          <w:instrText xml:space="preserve"> PAGEREF _Toc58571958 \h </w:instrText>
        </w:r>
        <w:r w:rsidR="00045070">
          <w:rPr>
            <w:webHidden/>
          </w:rPr>
        </w:r>
        <w:r w:rsidR="00045070">
          <w:rPr>
            <w:webHidden/>
          </w:rPr>
          <w:fldChar w:fldCharType="separate"/>
        </w:r>
        <w:r w:rsidR="00045070">
          <w:rPr>
            <w:webHidden/>
          </w:rPr>
          <w:t>5</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59" w:history="1">
        <w:r w:rsidR="00045070" w:rsidRPr="00BF661A">
          <w:rPr>
            <w:rStyle w:val="Hyperlink"/>
            <w:rFonts w:ascii="Times New Roman" w:hAnsi="Times New Roman"/>
          </w:rPr>
          <w:t>2.1.</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AE-ASS forma. Ataskaitą teikiančios įstaigos turtas</w:t>
        </w:r>
        <w:r w:rsidR="00045070">
          <w:rPr>
            <w:webHidden/>
          </w:rPr>
          <w:tab/>
        </w:r>
        <w:r w:rsidR="00045070">
          <w:rPr>
            <w:webHidden/>
          </w:rPr>
          <w:fldChar w:fldCharType="begin"/>
        </w:r>
        <w:r w:rsidR="00045070">
          <w:rPr>
            <w:webHidden/>
          </w:rPr>
          <w:instrText xml:space="preserve"> PAGEREF _Toc58571959 \h </w:instrText>
        </w:r>
        <w:r w:rsidR="00045070">
          <w:rPr>
            <w:webHidden/>
          </w:rPr>
        </w:r>
        <w:r w:rsidR="00045070">
          <w:rPr>
            <w:webHidden/>
          </w:rPr>
          <w:fldChar w:fldCharType="separate"/>
        </w:r>
        <w:r w:rsidR="00045070">
          <w:rPr>
            <w:webHidden/>
          </w:rPr>
          <w:t>5</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60" w:history="1">
        <w:r w:rsidR="00045070" w:rsidRPr="00BF661A">
          <w:rPr>
            <w:rStyle w:val="Hyperlink"/>
            <w:rFonts w:ascii="Times New Roman" w:hAnsi="Times New Roman"/>
          </w:rPr>
          <w:t>2.1.1.</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Bendrosios pastabos</w:t>
        </w:r>
        <w:r w:rsidR="00045070">
          <w:rPr>
            <w:webHidden/>
          </w:rPr>
          <w:tab/>
        </w:r>
        <w:r w:rsidR="00045070">
          <w:rPr>
            <w:webHidden/>
          </w:rPr>
          <w:fldChar w:fldCharType="begin"/>
        </w:r>
        <w:r w:rsidR="00045070">
          <w:rPr>
            <w:webHidden/>
          </w:rPr>
          <w:instrText xml:space="preserve"> PAGEREF _Toc58571960 \h </w:instrText>
        </w:r>
        <w:r w:rsidR="00045070">
          <w:rPr>
            <w:webHidden/>
          </w:rPr>
        </w:r>
        <w:r w:rsidR="00045070">
          <w:rPr>
            <w:webHidden/>
          </w:rPr>
          <w:fldChar w:fldCharType="separate"/>
        </w:r>
        <w:r w:rsidR="00045070">
          <w:rPr>
            <w:webHidden/>
          </w:rPr>
          <w:t>5</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61" w:history="1">
        <w:r w:rsidR="00045070" w:rsidRPr="00BF661A">
          <w:rPr>
            <w:rStyle w:val="Hyperlink"/>
            <w:rFonts w:ascii="Times New Roman" w:hAnsi="Times New Roman"/>
          </w:rPr>
          <w:t>2.1.2.</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Nurodymai dėl konkrečių eilučių</w:t>
        </w:r>
        <w:r w:rsidR="00045070">
          <w:rPr>
            <w:webHidden/>
          </w:rPr>
          <w:tab/>
        </w:r>
        <w:r w:rsidR="00045070">
          <w:rPr>
            <w:webHidden/>
          </w:rPr>
          <w:fldChar w:fldCharType="begin"/>
        </w:r>
        <w:r w:rsidR="00045070">
          <w:rPr>
            <w:webHidden/>
          </w:rPr>
          <w:instrText xml:space="preserve"> PAGEREF _Toc58571961 \h </w:instrText>
        </w:r>
        <w:r w:rsidR="00045070">
          <w:rPr>
            <w:webHidden/>
          </w:rPr>
        </w:r>
        <w:r w:rsidR="00045070">
          <w:rPr>
            <w:webHidden/>
          </w:rPr>
          <w:fldChar w:fldCharType="separate"/>
        </w:r>
        <w:r w:rsidR="00045070">
          <w:rPr>
            <w:webHidden/>
          </w:rPr>
          <w:t>8</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62" w:history="1">
        <w:r w:rsidR="00045070" w:rsidRPr="00BF661A">
          <w:rPr>
            <w:rStyle w:val="Hyperlink"/>
            <w:rFonts w:ascii="Times New Roman" w:hAnsi="Times New Roman"/>
          </w:rPr>
          <w:t>2.1.3.</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Nurodymai dėl konkrečių skilčių</w:t>
        </w:r>
        <w:r w:rsidR="00045070">
          <w:rPr>
            <w:webHidden/>
          </w:rPr>
          <w:tab/>
        </w:r>
        <w:r w:rsidR="00045070">
          <w:rPr>
            <w:webHidden/>
          </w:rPr>
          <w:fldChar w:fldCharType="begin"/>
        </w:r>
        <w:r w:rsidR="00045070">
          <w:rPr>
            <w:webHidden/>
          </w:rPr>
          <w:instrText xml:space="preserve"> PAGEREF _Toc58571962 \h </w:instrText>
        </w:r>
        <w:r w:rsidR="00045070">
          <w:rPr>
            <w:webHidden/>
          </w:rPr>
        </w:r>
        <w:r w:rsidR="00045070">
          <w:rPr>
            <w:webHidden/>
          </w:rPr>
          <w:fldChar w:fldCharType="separate"/>
        </w:r>
        <w:r w:rsidR="00045070">
          <w:rPr>
            <w:webHidden/>
          </w:rPr>
          <w:t>9</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63" w:history="1">
        <w:r w:rsidR="00045070" w:rsidRPr="00BF661A">
          <w:rPr>
            <w:rStyle w:val="Hyperlink"/>
            <w:rFonts w:ascii="Times New Roman" w:hAnsi="Times New Roman"/>
          </w:rPr>
          <w:t>2.2.</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Forma: AE-COL. Ataskaitą teikiančios įstaigos gautos užtikrinimo priemonės</w:t>
        </w:r>
        <w:r w:rsidR="00045070">
          <w:rPr>
            <w:webHidden/>
          </w:rPr>
          <w:tab/>
        </w:r>
        <w:r w:rsidR="00045070">
          <w:rPr>
            <w:webHidden/>
          </w:rPr>
          <w:fldChar w:fldCharType="begin"/>
        </w:r>
        <w:r w:rsidR="00045070">
          <w:rPr>
            <w:webHidden/>
          </w:rPr>
          <w:instrText xml:space="preserve"> PAGEREF _Toc58571963 \h </w:instrText>
        </w:r>
        <w:r w:rsidR="00045070">
          <w:rPr>
            <w:webHidden/>
          </w:rPr>
        </w:r>
        <w:r w:rsidR="00045070">
          <w:rPr>
            <w:webHidden/>
          </w:rPr>
          <w:fldChar w:fldCharType="separate"/>
        </w:r>
        <w:r w:rsidR="00045070">
          <w:rPr>
            <w:webHidden/>
          </w:rPr>
          <w:t>12</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64" w:history="1">
        <w:r w:rsidR="00045070" w:rsidRPr="00BF661A">
          <w:rPr>
            <w:rStyle w:val="Hyperlink"/>
            <w:rFonts w:ascii="Times New Roman" w:hAnsi="Times New Roman"/>
          </w:rPr>
          <w:t>2.2.1.</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Bendrosios pastabos</w:t>
        </w:r>
        <w:r w:rsidR="00045070">
          <w:rPr>
            <w:webHidden/>
          </w:rPr>
          <w:tab/>
        </w:r>
        <w:r w:rsidR="00045070">
          <w:rPr>
            <w:webHidden/>
          </w:rPr>
          <w:fldChar w:fldCharType="begin"/>
        </w:r>
        <w:r w:rsidR="00045070">
          <w:rPr>
            <w:webHidden/>
          </w:rPr>
          <w:instrText xml:space="preserve"> PAGEREF _Toc58571964 \h </w:instrText>
        </w:r>
        <w:r w:rsidR="00045070">
          <w:rPr>
            <w:webHidden/>
          </w:rPr>
        </w:r>
        <w:r w:rsidR="00045070">
          <w:rPr>
            <w:webHidden/>
          </w:rPr>
          <w:fldChar w:fldCharType="separate"/>
        </w:r>
        <w:r w:rsidR="00045070">
          <w:rPr>
            <w:webHidden/>
          </w:rPr>
          <w:t>12</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65" w:history="1">
        <w:r w:rsidR="00045070" w:rsidRPr="00BF661A">
          <w:rPr>
            <w:rStyle w:val="Hyperlink"/>
            <w:rFonts w:ascii="Times New Roman" w:hAnsi="Times New Roman"/>
          </w:rPr>
          <w:t>2.2.2.</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Nurodymai dėl konkrečių eilučių</w:t>
        </w:r>
        <w:r w:rsidR="00045070">
          <w:rPr>
            <w:webHidden/>
          </w:rPr>
          <w:tab/>
        </w:r>
        <w:r w:rsidR="00045070">
          <w:rPr>
            <w:webHidden/>
          </w:rPr>
          <w:fldChar w:fldCharType="begin"/>
        </w:r>
        <w:r w:rsidR="00045070">
          <w:rPr>
            <w:webHidden/>
          </w:rPr>
          <w:instrText xml:space="preserve"> PAGEREF _Toc58571965 \h </w:instrText>
        </w:r>
        <w:r w:rsidR="00045070">
          <w:rPr>
            <w:webHidden/>
          </w:rPr>
        </w:r>
        <w:r w:rsidR="00045070">
          <w:rPr>
            <w:webHidden/>
          </w:rPr>
          <w:fldChar w:fldCharType="separate"/>
        </w:r>
        <w:r w:rsidR="00045070">
          <w:rPr>
            <w:webHidden/>
          </w:rPr>
          <w:t>12</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66" w:history="1">
        <w:r w:rsidR="00045070" w:rsidRPr="00BF661A">
          <w:rPr>
            <w:rStyle w:val="Hyperlink"/>
            <w:rFonts w:ascii="Times New Roman" w:hAnsi="Times New Roman"/>
          </w:rPr>
          <w:t>2.2.3.</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Nurodymai dėl konkrečių skilčių</w:t>
        </w:r>
        <w:r w:rsidR="00045070">
          <w:rPr>
            <w:webHidden/>
          </w:rPr>
          <w:tab/>
        </w:r>
        <w:r w:rsidR="00045070">
          <w:rPr>
            <w:webHidden/>
          </w:rPr>
          <w:fldChar w:fldCharType="begin"/>
        </w:r>
        <w:r w:rsidR="00045070">
          <w:rPr>
            <w:webHidden/>
          </w:rPr>
          <w:instrText xml:space="preserve"> PAGEREF _Toc58571966 \h </w:instrText>
        </w:r>
        <w:r w:rsidR="00045070">
          <w:rPr>
            <w:webHidden/>
          </w:rPr>
        </w:r>
        <w:r w:rsidR="00045070">
          <w:rPr>
            <w:webHidden/>
          </w:rPr>
          <w:fldChar w:fldCharType="separate"/>
        </w:r>
        <w:r w:rsidR="00045070">
          <w:rPr>
            <w:webHidden/>
          </w:rPr>
          <w:t>15</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67" w:history="1">
        <w:r w:rsidR="00045070" w:rsidRPr="00BF661A">
          <w:rPr>
            <w:rStyle w:val="Hyperlink"/>
            <w:rFonts w:ascii="Times New Roman" w:hAnsi="Times New Roman"/>
          </w:rPr>
          <w:t>2.3.</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Forma: AE-NPL. Išleistos dar neįkeistos nuosavos padengtosios obligacijos ir pakeitimo vertybiniais popieriais priemonės</w:t>
        </w:r>
        <w:r w:rsidR="00045070">
          <w:rPr>
            <w:webHidden/>
          </w:rPr>
          <w:tab/>
        </w:r>
        <w:r w:rsidR="00045070">
          <w:rPr>
            <w:webHidden/>
          </w:rPr>
          <w:fldChar w:fldCharType="begin"/>
        </w:r>
        <w:r w:rsidR="00045070">
          <w:rPr>
            <w:webHidden/>
          </w:rPr>
          <w:instrText xml:space="preserve"> PAGEREF _Toc58571967 \h </w:instrText>
        </w:r>
        <w:r w:rsidR="00045070">
          <w:rPr>
            <w:webHidden/>
          </w:rPr>
        </w:r>
        <w:r w:rsidR="00045070">
          <w:rPr>
            <w:webHidden/>
          </w:rPr>
          <w:fldChar w:fldCharType="separate"/>
        </w:r>
        <w:r w:rsidR="00045070">
          <w:rPr>
            <w:webHidden/>
          </w:rPr>
          <w:t>17</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68" w:history="1">
        <w:r w:rsidR="00045070" w:rsidRPr="00BF661A">
          <w:rPr>
            <w:rStyle w:val="Hyperlink"/>
            <w:rFonts w:ascii="Times New Roman" w:hAnsi="Times New Roman"/>
          </w:rPr>
          <w:t>2.3.1.</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Bendrosios pastabos</w:t>
        </w:r>
        <w:r w:rsidR="00045070">
          <w:rPr>
            <w:webHidden/>
          </w:rPr>
          <w:tab/>
        </w:r>
        <w:r w:rsidR="00045070">
          <w:rPr>
            <w:webHidden/>
          </w:rPr>
          <w:fldChar w:fldCharType="begin"/>
        </w:r>
        <w:r w:rsidR="00045070">
          <w:rPr>
            <w:webHidden/>
          </w:rPr>
          <w:instrText xml:space="preserve"> PAGEREF _Toc58571968 \h </w:instrText>
        </w:r>
        <w:r w:rsidR="00045070">
          <w:rPr>
            <w:webHidden/>
          </w:rPr>
        </w:r>
        <w:r w:rsidR="00045070">
          <w:rPr>
            <w:webHidden/>
          </w:rPr>
          <w:fldChar w:fldCharType="separate"/>
        </w:r>
        <w:r w:rsidR="00045070">
          <w:rPr>
            <w:webHidden/>
          </w:rPr>
          <w:t>17</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69" w:history="1">
        <w:r w:rsidR="00045070" w:rsidRPr="00BF661A">
          <w:rPr>
            <w:rStyle w:val="Hyperlink"/>
            <w:rFonts w:ascii="Times New Roman" w:hAnsi="Times New Roman"/>
          </w:rPr>
          <w:t>2.3.2.</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Nurodymai dėl konkrečių eilučių</w:t>
        </w:r>
        <w:r w:rsidR="00045070">
          <w:rPr>
            <w:webHidden/>
          </w:rPr>
          <w:tab/>
        </w:r>
        <w:r w:rsidR="00045070">
          <w:rPr>
            <w:webHidden/>
          </w:rPr>
          <w:fldChar w:fldCharType="begin"/>
        </w:r>
        <w:r w:rsidR="00045070">
          <w:rPr>
            <w:webHidden/>
          </w:rPr>
          <w:instrText xml:space="preserve"> PAGEREF _Toc58571969 \h </w:instrText>
        </w:r>
        <w:r w:rsidR="00045070">
          <w:rPr>
            <w:webHidden/>
          </w:rPr>
        </w:r>
        <w:r w:rsidR="00045070">
          <w:rPr>
            <w:webHidden/>
          </w:rPr>
          <w:fldChar w:fldCharType="separate"/>
        </w:r>
        <w:r w:rsidR="00045070">
          <w:rPr>
            <w:webHidden/>
          </w:rPr>
          <w:t>17</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70" w:history="1">
        <w:r w:rsidR="00045070" w:rsidRPr="00BF661A">
          <w:rPr>
            <w:rStyle w:val="Hyperlink"/>
            <w:rFonts w:ascii="Times New Roman" w:hAnsi="Times New Roman"/>
          </w:rPr>
          <w:t>2.3.3.</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Nurodymai dėl konkrečių skilčių</w:t>
        </w:r>
        <w:r w:rsidR="00045070">
          <w:rPr>
            <w:webHidden/>
          </w:rPr>
          <w:tab/>
        </w:r>
        <w:r w:rsidR="00045070">
          <w:rPr>
            <w:webHidden/>
          </w:rPr>
          <w:fldChar w:fldCharType="begin"/>
        </w:r>
        <w:r w:rsidR="00045070">
          <w:rPr>
            <w:webHidden/>
          </w:rPr>
          <w:instrText xml:space="preserve"> PAGEREF _Toc58571970 \h </w:instrText>
        </w:r>
        <w:r w:rsidR="00045070">
          <w:rPr>
            <w:webHidden/>
          </w:rPr>
        </w:r>
        <w:r w:rsidR="00045070">
          <w:rPr>
            <w:webHidden/>
          </w:rPr>
          <w:fldChar w:fldCharType="separate"/>
        </w:r>
        <w:r w:rsidR="00045070">
          <w:rPr>
            <w:webHidden/>
          </w:rPr>
          <w:t>18</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71" w:history="1">
        <w:r w:rsidR="00045070" w:rsidRPr="00BF661A">
          <w:rPr>
            <w:rStyle w:val="Hyperlink"/>
            <w:rFonts w:ascii="Times New Roman" w:hAnsi="Times New Roman"/>
          </w:rPr>
          <w:t>2.4.</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Forma: AE-SOU. Suvaržymo šaltiniai</w:t>
        </w:r>
        <w:r w:rsidR="00045070">
          <w:rPr>
            <w:webHidden/>
          </w:rPr>
          <w:tab/>
        </w:r>
        <w:r w:rsidR="00045070">
          <w:rPr>
            <w:webHidden/>
          </w:rPr>
          <w:fldChar w:fldCharType="begin"/>
        </w:r>
        <w:r w:rsidR="00045070">
          <w:rPr>
            <w:webHidden/>
          </w:rPr>
          <w:instrText xml:space="preserve"> PAGEREF _Toc58571971 \h </w:instrText>
        </w:r>
        <w:r w:rsidR="00045070">
          <w:rPr>
            <w:webHidden/>
          </w:rPr>
        </w:r>
        <w:r w:rsidR="00045070">
          <w:rPr>
            <w:webHidden/>
          </w:rPr>
          <w:fldChar w:fldCharType="separate"/>
        </w:r>
        <w:r w:rsidR="00045070">
          <w:rPr>
            <w:webHidden/>
          </w:rPr>
          <w:t>19</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72" w:history="1">
        <w:r w:rsidR="00045070" w:rsidRPr="00BF661A">
          <w:rPr>
            <w:rStyle w:val="Hyperlink"/>
            <w:rFonts w:ascii="Times New Roman" w:hAnsi="Times New Roman"/>
          </w:rPr>
          <w:t>2.4.1.</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Bendrosios pastabos</w:t>
        </w:r>
        <w:r w:rsidR="00045070">
          <w:rPr>
            <w:webHidden/>
          </w:rPr>
          <w:tab/>
        </w:r>
        <w:r w:rsidR="00045070">
          <w:rPr>
            <w:webHidden/>
          </w:rPr>
          <w:fldChar w:fldCharType="begin"/>
        </w:r>
        <w:r w:rsidR="00045070">
          <w:rPr>
            <w:webHidden/>
          </w:rPr>
          <w:instrText xml:space="preserve"> PAGEREF _Toc58571972 \h </w:instrText>
        </w:r>
        <w:r w:rsidR="00045070">
          <w:rPr>
            <w:webHidden/>
          </w:rPr>
        </w:r>
        <w:r w:rsidR="00045070">
          <w:rPr>
            <w:webHidden/>
          </w:rPr>
          <w:fldChar w:fldCharType="separate"/>
        </w:r>
        <w:r w:rsidR="00045070">
          <w:rPr>
            <w:webHidden/>
          </w:rPr>
          <w:t>19</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73" w:history="1">
        <w:r w:rsidR="00045070" w:rsidRPr="00BF661A">
          <w:rPr>
            <w:rStyle w:val="Hyperlink"/>
            <w:rFonts w:ascii="Times New Roman" w:hAnsi="Times New Roman"/>
          </w:rPr>
          <w:t>2.4.2.</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Nurodymai dėl konkrečių eilučių</w:t>
        </w:r>
        <w:r w:rsidR="00045070">
          <w:rPr>
            <w:webHidden/>
          </w:rPr>
          <w:tab/>
        </w:r>
        <w:r w:rsidR="00045070">
          <w:rPr>
            <w:webHidden/>
          </w:rPr>
          <w:fldChar w:fldCharType="begin"/>
        </w:r>
        <w:r w:rsidR="00045070">
          <w:rPr>
            <w:webHidden/>
          </w:rPr>
          <w:instrText xml:space="preserve"> PAGEREF _Toc58571973 \h </w:instrText>
        </w:r>
        <w:r w:rsidR="00045070">
          <w:rPr>
            <w:webHidden/>
          </w:rPr>
        </w:r>
        <w:r w:rsidR="00045070">
          <w:rPr>
            <w:webHidden/>
          </w:rPr>
          <w:fldChar w:fldCharType="separate"/>
        </w:r>
        <w:r w:rsidR="00045070">
          <w:rPr>
            <w:webHidden/>
          </w:rPr>
          <w:t>19</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74" w:history="1">
        <w:r w:rsidR="00045070" w:rsidRPr="00BF661A">
          <w:rPr>
            <w:rStyle w:val="Hyperlink"/>
            <w:rFonts w:ascii="Times New Roman" w:hAnsi="Times New Roman"/>
          </w:rPr>
          <w:t>2.4.3.</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Nurodymai dėl konkrečių skilčių</w:t>
        </w:r>
        <w:r w:rsidR="00045070">
          <w:rPr>
            <w:webHidden/>
          </w:rPr>
          <w:tab/>
        </w:r>
        <w:r w:rsidR="00045070">
          <w:rPr>
            <w:webHidden/>
          </w:rPr>
          <w:fldChar w:fldCharType="begin"/>
        </w:r>
        <w:r w:rsidR="00045070">
          <w:rPr>
            <w:webHidden/>
          </w:rPr>
          <w:instrText xml:space="preserve"> PAGEREF _Toc58571974 \h </w:instrText>
        </w:r>
        <w:r w:rsidR="00045070">
          <w:rPr>
            <w:webHidden/>
          </w:rPr>
        </w:r>
        <w:r w:rsidR="00045070">
          <w:rPr>
            <w:webHidden/>
          </w:rPr>
          <w:fldChar w:fldCharType="separate"/>
        </w:r>
        <w:r w:rsidR="00045070">
          <w:rPr>
            <w:webHidden/>
          </w:rPr>
          <w:t>21</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75" w:history="1">
        <w:r w:rsidR="00045070" w:rsidRPr="00BF661A">
          <w:rPr>
            <w:rStyle w:val="Hyperlink"/>
            <w:rFonts w:ascii="Times New Roman" w:hAnsi="Times New Roman"/>
          </w:rPr>
          <w:t>3.</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B dalis. Informacija apie terminą</w:t>
        </w:r>
        <w:r w:rsidR="00045070">
          <w:rPr>
            <w:webHidden/>
          </w:rPr>
          <w:tab/>
        </w:r>
        <w:r w:rsidR="00045070">
          <w:rPr>
            <w:webHidden/>
          </w:rPr>
          <w:fldChar w:fldCharType="begin"/>
        </w:r>
        <w:r w:rsidR="00045070">
          <w:rPr>
            <w:webHidden/>
          </w:rPr>
          <w:instrText xml:space="preserve"> PAGEREF _Toc58571975 \h </w:instrText>
        </w:r>
        <w:r w:rsidR="00045070">
          <w:rPr>
            <w:webHidden/>
          </w:rPr>
        </w:r>
        <w:r w:rsidR="00045070">
          <w:rPr>
            <w:webHidden/>
          </w:rPr>
          <w:fldChar w:fldCharType="separate"/>
        </w:r>
        <w:r w:rsidR="00045070">
          <w:rPr>
            <w:webHidden/>
          </w:rPr>
          <w:t>22</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76" w:history="1">
        <w:r w:rsidR="00045070" w:rsidRPr="00BF661A">
          <w:rPr>
            <w:rStyle w:val="Hyperlink"/>
            <w:rFonts w:ascii="Times New Roman" w:hAnsi="Times New Roman"/>
          </w:rPr>
          <w:t>3.1.</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Bendrosios pastabos</w:t>
        </w:r>
        <w:r w:rsidR="00045070">
          <w:rPr>
            <w:webHidden/>
          </w:rPr>
          <w:tab/>
        </w:r>
        <w:r w:rsidR="00045070">
          <w:rPr>
            <w:webHidden/>
          </w:rPr>
          <w:fldChar w:fldCharType="begin"/>
        </w:r>
        <w:r w:rsidR="00045070">
          <w:rPr>
            <w:webHidden/>
          </w:rPr>
          <w:instrText xml:space="preserve"> PAGEREF _Toc58571976 \h </w:instrText>
        </w:r>
        <w:r w:rsidR="00045070">
          <w:rPr>
            <w:webHidden/>
          </w:rPr>
        </w:r>
        <w:r w:rsidR="00045070">
          <w:rPr>
            <w:webHidden/>
          </w:rPr>
          <w:fldChar w:fldCharType="separate"/>
        </w:r>
        <w:r w:rsidR="00045070">
          <w:rPr>
            <w:webHidden/>
          </w:rPr>
          <w:t>22</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77" w:history="1">
        <w:r w:rsidR="00045070" w:rsidRPr="00BF661A">
          <w:rPr>
            <w:rStyle w:val="Hyperlink"/>
            <w:rFonts w:ascii="Times New Roman" w:hAnsi="Times New Roman"/>
          </w:rPr>
          <w:t>3.2.</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Forma: AE-MAT. Informacija apie terminą</w:t>
        </w:r>
        <w:r w:rsidR="00045070">
          <w:rPr>
            <w:webHidden/>
          </w:rPr>
          <w:tab/>
        </w:r>
        <w:r w:rsidR="00045070">
          <w:rPr>
            <w:webHidden/>
          </w:rPr>
          <w:fldChar w:fldCharType="begin"/>
        </w:r>
        <w:r w:rsidR="00045070">
          <w:rPr>
            <w:webHidden/>
          </w:rPr>
          <w:instrText xml:space="preserve"> PAGEREF _Toc58571977 \h </w:instrText>
        </w:r>
        <w:r w:rsidR="00045070">
          <w:rPr>
            <w:webHidden/>
          </w:rPr>
        </w:r>
        <w:r w:rsidR="00045070">
          <w:rPr>
            <w:webHidden/>
          </w:rPr>
          <w:fldChar w:fldCharType="separate"/>
        </w:r>
        <w:r w:rsidR="00045070">
          <w:rPr>
            <w:webHidden/>
          </w:rPr>
          <w:t>22</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78" w:history="1">
        <w:r w:rsidR="00045070" w:rsidRPr="00BF661A">
          <w:rPr>
            <w:rStyle w:val="Hyperlink"/>
            <w:rFonts w:ascii="Times New Roman" w:hAnsi="Times New Roman"/>
          </w:rPr>
          <w:t>3.2.1.</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Nurodymai dėl konkrečių eilučių</w:t>
        </w:r>
        <w:r w:rsidR="00045070">
          <w:rPr>
            <w:webHidden/>
          </w:rPr>
          <w:tab/>
        </w:r>
        <w:r w:rsidR="00045070">
          <w:rPr>
            <w:webHidden/>
          </w:rPr>
          <w:fldChar w:fldCharType="begin"/>
        </w:r>
        <w:r w:rsidR="00045070">
          <w:rPr>
            <w:webHidden/>
          </w:rPr>
          <w:instrText xml:space="preserve"> PAGEREF _Toc58571978 \h </w:instrText>
        </w:r>
        <w:r w:rsidR="00045070">
          <w:rPr>
            <w:webHidden/>
          </w:rPr>
        </w:r>
        <w:r w:rsidR="00045070">
          <w:rPr>
            <w:webHidden/>
          </w:rPr>
          <w:fldChar w:fldCharType="separate"/>
        </w:r>
        <w:r w:rsidR="00045070">
          <w:rPr>
            <w:webHidden/>
          </w:rPr>
          <w:t>22</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79" w:history="1">
        <w:r w:rsidR="00045070" w:rsidRPr="00BF661A">
          <w:rPr>
            <w:rStyle w:val="Hyperlink"/>
            <w:rFonts w:ascii="Times New Roman" w:hAnsi="Times New Roman"/>
          </w:rPr>
          <w:t>3.2.2.</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Nurodymai dėl konkrečių skilčių</w:t>
        </w:r>
        <w:r w:rsidR="00045070">
          <w:rPr>
            <w:webHidden/>
          </w:rPr>
          <w:tab/>
        </w:r>
        <w:r w:rsidR="00045070">
          <w:rPr>
            <w:webHidden/>
          </w:rPr>
          <w:fldChar w:fldCharType="begin"/>
        </w:r>
        <w:r w:rsidR="00045070">
          <w:rPr>
            <w:webHidden/>
          </w:rPr>
          <w:instrText xml:space="preserve"> PAGEREF _Toc58571979 \h </w:instrText>
        </w:r>
        <w:r w:rsidR="00045070">
          <w:rPr>
            <w:webHidden/>
          </w:rPr>
        </w:r>
        <w:r w:rsidR="00045070">
          <w:rPr>
            <w:webHidden/>
          </w:rPr>
          <w:fldChar w:fldCharType="separate"/>
        </w:r>
        <w:r w:rsidR="00045070">
          <w:rPr>
            <w:webHidden/>
          </w:rPr>
          <w:t>23</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80" w:history="1">
        <w:r w:rsidR="00045070" w:rsidRPr="00BF661A">
          <w:rPr>
            <w:rStyle w:val="Hyperlink"/>
            <w:rFonts w:ascii="Times New Roman" w:hAnsi="Times New Roman"/>
          </w:rPr>
          <w:t>4.</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C dalis. Sąlyginis suvaržymas</w:t>
        </w:r>
        <w:r w:rsidR="00045070">
          <w:rPr>
            <w:webHidden/>
          </w:rPr>
          <w:tab/>
        </w:r>
        <w:r w:rsidR="00045070">
          <w:rPr>
            <w:webHidden/>
          </w:rPr>
          <w:fldChar w:fldCharType="begin"/>
        </w:r>
        <w:r w:rsidR="00045070">
          <w:rPr>
            <w:webHidden/>
          </w:rPr>
          <w:instrText xml:space="preserve"> PAGEREF _Toc58571980 \h </w:instrText>
        </w:r>
        <w:r w:rsidR="00045070">
          <w:rPr>
            <w:webHidden/>
          </w:rPr>
        </w:r>
        <w:r w:rsidR="00045070">
          <w:rPr>
            <w:webHidden/>
          </w:rPr>
          <w:fldChar w:fldCharType="separate"/>
        </w:r>
        <w:r w:rsidR="00045070">
          <w:rPr>
            <w:webHidden/>
          </w:rPr>
          <w:t>24</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81" w:history="1">
        <w:r w:rsidR="00045070" w:rsidRPr="00BF661A">
          <w:rPr>
            <w:rStyle w:val="Hyperlink"/>
            <w:rFonts w:ascii="Times New Roman" w:hAnsi="Times New Roman"/>
          </w:rPr>
          <w:t>4.1.</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Bendrosios pastabos</w:t>
        </w:r>
        <w:r w:rsidR="00045070">
          <w:rPr>
            <w:webHidden/>
          </w:rPr>
          <w:tab/>
        </w:r>
        <w:r w:rsidR="00045070">
          <w:rPr>
            <w:webHidden/>
          </w:rPr>
          <w:fldChar w:fldCharType="begin"/>
        </w:r>
        <w:r w:rsidR="00045070">
          <w:rPr>
            <w:webHidden/>
          </w:rPr>
          <w:instrText xml:space="preserve"> PAGEREF _Toc58571981 \h </w:instrText>
        </w:r>
        <w:r w:rsidR="00045070">
          <w:rPr>
            <w:webHidden/>
          </w:rPr>
        </w:r>
        <w:r w:rsidR="00045070">
          <w:rPr>
            <w:webHidden/>
          </w:rPr>
          <w:fldChar w:fldCharType="separate"/>
        </w:r>
        <w:r w:rsidR="00045070">
          <w:rPr>
            <w:webHidden/>
          </w:rPr>
          <w:t>24</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82" w:history="1">
        <w:r w:rsidR="00045070" w:rsidRPr="00BF661A">
          <w:rPr>
            <w:rStyle w:val="Hyperlink"/>
            <w:rFonts w:ascii="Times New Roman" w:hAnsi="Times New Roman"/>
          </w:rPr>
          <w:t>4.1.1.</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A scenarijus. Suvaržyto turto vertės sumažėjimas 30 %</w:t>
        </w:r>
        <w:r w:rsidR="00045070">
          <w:rPr>
            <w:webHidden/>
          </w:rPr>
          <w:tab/>
        </w:r>
        <w:r w:rsidR="00045070">
          <w:rPr>
            <w:webHidden/>
          </w:rPr>
          <w:fldChar w:fldCharType="begin"/>
        </w:r>
        <w:r w:rsidR="00045070">
          <w:rPr>
            <w:webHidden/>
          </w:rPr>
          <w:instrText xml:space="preserve"> PAGEREF _Toc58571982 \h </w:instrText>
        </w:r>
        <w:r w:rsidR="00045070">
          <w:rPr>
            <w:webHidden/>
          </w:rPr>
        </w:r>
        <w:r w:rsidR="00045070">
          <w:rPr>
            <w:webHidden/>
          </w:rPr>
          <w:fldChar w:fldCharType="separate"/>
        </w:r>
        <w:r w:rsidR="00045070">
          <w:rPr>
            <w:webHidden/>
          </w:rPr>
          <w:t>24</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83" w:history="1">
        <w:r w:rsidR="00045070" w:rsidRPr="00BF661A">
          <w:rPr>
            <w:rStyle w:val="Hyperlink"/>
            <w:rFonts w:ascii="Times New Roman" w:hAnsi="Times New Roman"/>
          </w:rPr>
          <w:t>4.1.2.</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B scenarijus. Reikšmingų valiutų nuvertėjimas 10 %</w:t>
        </w:r>
        <w:r w:rsidR="00045070">
          <w:rPr>
            <w:webHidden/>
          </w:rPr>
          <w:tab/>
        </w:r>
        <w:r w:rsidR="00045070">
          <w:rPr>
            <w:webHidden/>
          </w:rPr>
          <w:fldChar w:fldCharType="begin"/>
        </w:r>
        <w:r w:rsidR="00045070">
          <w:rPr>
            <w:webHidden/>
          </w:rPr>
          <w:instrText xml:space="preserve"> PAGEREF _Toc58571983 \h </w:instrText>
        </w:r>
        <w:r w:rsidR="00045070">
          <w:rPr>
            <w:webHidden/>
          </w:rPr>
        </w:r>
        <w:r w:rsidR="00045070">
          <w:rPr>
            <w:webHidden/>
          </w:rPr>
          <w:fldChar w:fldCharType="separate"/>
        </w:r>
        <w:r w:rsidR="00045070">
          <w:rPr>
            <w:webHidden/>
          </w:rPr>
          <w:t>25</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84" w:history="1">
        <w:r w:rsidR="00045070" w:rsidRPr="00BF661A">
          <w:rPr>
            <w:rStyle w:val="Hyperlink"/>
            <w:rFonts w:ascii="Times New Roman" w:hAnsi="Times New Roman"/>
          </w:rPr>
          <w:t>4.2.</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Forma: AE-CONT. Sąlyginis suvaržymas</w:t>
        </w:r>
        <w:r w:rsidR="00045070">
          <w:rPr>
            <w:webHidden/>
          </w:rPr>
          <w:tab/>
        </w:r>
        <w:r w:rsidR="00045070">
          <w:rPr>
            <w:webHidden/>
          </w:rPr>
          <w:fldChar w:fldCharType="begin"/>
        </w:r>
        <w:r w:rsidR="00045070">
          <w:rPr>
            <w:webHidden/>
          </w:rPr>
          <w:instrText xml:space="preserve"> PAGEREF _Toc58571984 \h </w:instrText>
        </w:r>
        <w:r w:rsidR="00045070">
          <w:rPr>
            <w:webHidden/>
          </w:rPr>
        </w:r>
        <w:r w:rsidR="00045070">
          <w:rPr>
            <w:webHidden/>
          </w:rPr>
          <w:fldChar w:fldCharType="separate"/>
        </w:r>
        <w:r w:rsidR="00045070">
          <w:rPr>
            <w:webHidden/>
          </w:rPr>
          <w:t>25</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85" w:history="1">
        <w:r w:rsidR="00045070" w:rsidRPr="00BF661A">
          <w:rPr>
            <w:rStyle w:val="Hyperlink"/>
            <w:rFonts w:ascii="Times New Roman" w:hAnsi="Times New Roman"/>
          </w:rPr>
          <w:t>4.2.1.</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Nurodymai dėl konkrečių eilučių</w:t>
        </w:r>
        <w:r w:rsidR="00045070">
          <w:rPr>
            <w:webHidden/>
          </w:rPr>
          <w:tab/>
        </w:r>
        <w:r w:rsidR="00045070">
          <w:rPr>
            <w:webHidden/>
          </w:rPr>
          <w:fldChar w:fldCharType="begin"/>
        </w:r>
        <w:r w:rsidR="00045070">
          <w:rPr>
            <w:webHidden/>
          </w:rPr>
          <w:instrText xml:space="preserve"> PAGEREF _Toc58571985 \h </w:instrText>
        </w:r>
        <w:r w:rsidR="00045070">
          <w:rPr>
            <w:webHidden/>
          </w:rPr>
        </w:r>
        <w:r w:rsidR="00045070">
          <w:rPr>
            <w:webHidden/>
          </w:rPr>
          <w:fldChar w:fldCharType="separate"/>
        </w:r>
        <w:r w:rsidR="00045070">
          <w:rPr>
            <w:webHidden/>
          </w:rPr>
          <w:t>25</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86" w:history="1">
        <w:r w:rsidR="00045070" w:rsidRPr="00BF661A">
          <w:rPr>
            <w:rStyle w:val="Hyperlink"/>
            <w:rFonts w:ascii="Times New Roman" w:hAnsi="Times New Roman"/>
          </w:rPr>
          <w:t>4.2.2.</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Nurodymai dėl konkrečių skilčių</w:t>
        </w:r>
        <w:r w:rsidR="00045070">
          <w:rPr>
            <w:webHidden/>
          </w:rPr>
          <w:tab/>
        </w:r>
        <w:r w:rsidR="00045070">
          <w:rPr>
            <w:webHidden/>
          </w:rPr>
          <w:fldChar w:fldCharType="begin"/>
        </w:r>
        <w:r w:rsidR="00045070">
          <w:rPr>
            <w:webHidden/>
          </w:rPr>
          <w:instrText xml:space="preserve"> PAGEREF _Toc58571986 \h </w:instrText>
        </w:r>
        <w:r w:rsidR="00045070">
          <w:rPr>
            <w:webHidden/>
          </w:rPr>
        </w:r>
        <w:r w:rsidR="00045070">
          <w:rPr>
            <w:webHidden/>
          </w:rPr>
          <w:fldChar w:fldCharType="separate"/>
        </w:r>
        <w:r w:rsidR="00045070">
          <w:rPr>
            <w:webHidden/>
          </w:rPr>
          <w:t>25</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87" w:history="1">
        <w:r w:rsidR="00045070" w:rsidRPr="00BF661A">
          <w:rPr>
            <w:rStyle w:val="Hyperlink"/>
            <w:rFonts w:ascii="Times New Roman" w:hAnsi="Times New Roman"/>
          </w:rPr>
          <w:t>5.</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D dalis. Padengtos obligacijos</w:t>
        </w:r>
        <w:r w:rsidR="00045070">
          <w:rPr>
            <w:webHidden/>
          </w:rPr>
          <w:tab/>
        </w:r>
        <w:r w:rsidR="00045070">
          <w:rPr>
            <w:webHidden/>
          </w:rPr>
          <w:fldChar w:fldCharType="begin"/>
        </w:r>
        <w:r w:rsidR="00045070">
          <w:rPr>
            <w:webHidden/>
          </w:rPr>
          <w:instrText xml:space="preserve"> PAGEREF _Toc58571987 \h </w:instrText>
        </w:r>
        <w:r w:rsidR="00045070">
          <w:rPr>
            <w:webHidden/>
          </w:rPr>
        </w:r>
        <w:r w:rsidR="00045070">
          <w:rPr>
            <w:webHidden/>
          </w:rPr>
          <w:fldChar w:fldCharType="separate"/>
        </w:r>
        <w:r w:rsidR="00045070">
          <w:rPr>
            <w:webHidden/>
          </w:rPr>
          <w:t>26</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88" w:history="1">
        <w:r w:rsidR="00045070" w:rsidRPr="00BF661A">
          <w:rPr>
            <w:rStyle w:val="Hyperlink"/>
            <w:rFonts w:ascii="Times New Roman" w:hAnsi="Times New Roman"/>
          </w:rPr>
          <w:t>5.1.</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Bendrosios pastabos</w:t>
        </w:r>
        <w:r w:rsidR="00045070">
          <w:rPr>
            <w:webHidden/>
          </w:rPr>
          <w:tab/>
        </w:r>
        <w:r w:rsidR="00045070">
          <w:rPr>
            <w:webHidden/>
          </w:rPr>
          <w:fldChar w:fldCharType="begin"/>
        </w:r>
        <w:r w:rsidR="00045070">
          <w:rPr>
            <w:webHidden/>
          </w:rPr>
          <w:instrText xml:space="preserve"> PAGEREF _Toc58571988 \h </w:instrText>
        </w:r>
        <w:r w:rsidR="00045070">
          <w:rPr>
            <w:webHidden/>
          </w:rPr>
        </w:r>
        <w:r w:rsidR="00045070">
          <w:rPr>
            <w:webHidden/>
          </w:rPr>
          <w:fldChar w:fldCharType="separate"/>
        </w:r>
        <w:r w:rsidR="00045070">
          <w:rPr>
            <w:webHidden/>
          </w:rPr>
          <w:t>26</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89" w:history="1">
        <w:r w:rsidR="00045070" w:rsidRPr="00BF661A">
          <w:rPr>
            <w:rStyle w:val="Hyperlink"/>
            <w:rFonts w:ascii="Times New Roman" w:hAnsi="Times New Roman"/>
          </w:rPr>
          <w:t>5.2.</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Forma: AE-CB. Padengtųjų obligacijų išleidimas</w:t>
        </w:r>
        <w:r w:rsidR="00045070">
          <w:rPr>
            <w:webHidden/>
          </w:rPr>
          <w:tab/>
        </w:r>
        <w:r w:rsidR="00045070">
          <w:rPr>
            <w:webHidden/>
          </w:rPr>
          <w:fldChar w:fldCharType="begin"/>
        </w:r>
        <w:r w:rsidR="00045070">
          <w:rPr>
            <w:webHidden/>
          </w:rPr>
          <w:instrText xml:space="preserve"> PAGEREF _Toc58571989 \h </w:instrText>
        </w:r>
        <w:r w:rsidR="00045070">
          <w:rPr>
            <w:webHidden/>
          </w:rPr>
        </w:r>
        <w:r w:rsidR="00045070">
          <w:rPr>
            <w:webHidden/>
          </w:rPr>
          <w:fldChar w:fldCharType="separate"/>
        </w:r>
        <w:r w:rsidR="00045070">
          <w:rPr>
            <w:webHidden/>
          </w:rPr>
          <w:t>26</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90" w:history="1">
        <w:r w:rsidR="00045070" w:rsidRPr="00BF661A">
          <w:rPr>
            <w:rStyle w:val="Hyperlink"/>
            <w:rFonts w:ascii="Times New Roman" w:hAnsi="Times New Roman"/>
          </w:rPr>
          <w:t>5.2.1.</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Nurodymai dėl z ašies</w:t>
        </w:r>
        <w:r w:rsidR="00045070">
          <w:rPr>
            <w:webHidden/>
          </w:rPr>
          <w:tab/>
        </w:r>
        <w:r w:rsidR="00045070">
          <w:rPr>
            <w:webHidden/>
          </w:rPr>
          <w:fldChar w:fldCharType="begin"/>
        </w:r>
        <w:r w:rsidR="00045070">
          <w:rPr>
            <w:webHidden/>
          </w:rPr>
          <w:instrText xml:space="preserve"> PAGEREF _Toc58571990 \h </w:instrText>
        </w:r>
        <w:r w:rsidR="00045070">
          <w:rPr>
            <w:webHidden/>
          </w:rPr>
        </w:r>
        <w:r w:rsidR="00045070">
          <w:rPr>
            <w:webHidden/>
          </w:rPr>
          <w:fldChar w:fldCharType="separate"/>
        </w:r>
        <w:r w:rsidR="00045070">
          <w:rPr>
            <w:webHidden/>
          </w:rPr>
          <w:t>26</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91" w:history="1">
        <w:r w:rsidR="00045070" w:rsidRPr="00BF661A">
          <w:rPr>
            <w:rStyle w:val="Hyperlink"/>
            <w:rFonts w:ascii="Times New Roman" w:hAnsi="Times New Roman"/>
          </w:rPr>
          <w:t>5.2.2.</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Nurodymai dėl konkrečių eilučių</w:t>
        </w:r>
        <w:r w:rsidR="00045070">
          <w:rPr>
            <w:webHidden/>
          </w:rPr>
          <w:tab/>
        </w:r>
        <w:r w:rsidR="00045070">
          <w:rPr>
            <w:webHidden/>
          </w:rPr>
          <w:fldChar w:fldCharType="begin"/>
        </w:r>
        <w:r w:rsidR="00045070">
          <w:rPr>
            <w:webHidden/>
          </w:rPr>
          <w:instrText xml:space="preserve"> PAGEREF _Toc58571991 \h </w:instrText>
        </w:r>
        <w:r w:rsidR="00045070">
          <w:rPr>
            <w:webHidden/>
          </w:rPr>
        </w:r>
        <w:r w:rsidR="00045070">
          <w:rPr>
            <w:webHidden/>
          </w:rPr>
          <w:fldChar w:fldCharType="separate"/>
        </w:r>
        <w:r w:rsidR="00045070">
          <w:rPr>
            <w:webHidden/>
          </w:rPr>
          <w:t>26</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92" w:history="1">
        <w:r w:rsidR="00045070" w:rsidRPr="00BF661A">
          <w:rPr>
            <w:rStyle w:val="Hyperlink"/>
            <w:rFonts w:ascii="Times New Roman" w:hAnsi="Times New Roman"/>
          </w:rPr>
          <w:t>5.2.3.</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Nurodymai dėl konkrečių skilčių</w:t>
        </w:r>
        <w:r w:rsidR="00045070">
          <w:rPr>
            <w:webHidden/>
          </w:rPr>
          <w:tab/>
        </w:r>
        <w:r w:rsidR="00045070">
          <w:rPr>
            <w:webHidden/>
          </w:rPr>
          <w:fldChar w:fldCharType="begin"/>
        </w:r>
        <w:r w:rsidR="00045070">
          <w:rPr>
            <w:webHidden/>
          </w:rPr>
          <w:instrText xml:space="preserve"> PAGEREF _Toc58571992 \h </w:instrText>
        </w:r>
        <w:r w:rsidR="00045070">
          <w:rPr>
            <w:webHidden/>
          </w:rPr>
        </w:r>
        <w:r w:rsidR="00045070">
          <w:rPr>
            <w:webHidden/>
          </w:rPr>
          <w:fldChar w:fldCharType="separate"/>
        </w:r>
        <w:r w:rsidR="00045070">
          <w:rPr>
            <w:webHidden/>
          </w:rPr>
          <w:t>27</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93" w:history="1">
        <w:r w:rsidR="00045070" w:rsidRPr="00BF661A">
          <w:rPr>
            <w:rStyle w:val="Hyperlink"/>
            <w:rFonts w:ascii="Times New Roman" w:hAnsi="Times New Roman"/>
          </w:rPr>
          <w:t>6.</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E dalis. Išsamesni duomenys</w:t>
        </w:r>
        <w:r w:rsidR="00045070">
          <w:rPr>
            <w:webHidden/>
          </w:rPr>
          <w:tab/>
        </w:r>
        <w:r w:rsidR="00045070">
          <w:rPr>
            <w:webHidden/>
          </w:rPr>
          <w:fldChar w:fldCharType="begin"/>
        </w:r>
        <w:r w:rsidR="00045070">
          <w:rPr>
            <w:webHidden/>
          </w:rPr>
          <w:instrText xml:space="preserve"> PAGEREF _Toc58571993 \h </w:instrText>
        </w:r>
        <w:r w:rsidR="00045070">
          <w:rPr>
            <w:webHidden/>
          </w:rPr>
        </w:r>
        <w:r w:rsidR="00045070">
          <w:rPr>
            <w:webHidden/>
          </w:rPr>
          <w:fldChar w:fldCharType="separate"/>
        </w:r>
        <w:r w:rsidR="00045070">
          <w:rPr>
            <w:webHidden/>
          </w:rPr>
          <w:t>30</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94" w:history="1">
        <w:r w:rsidR="00045070" w:rsidRPr="00BF661A">
          <w:rPr>
            <w:rStyle w:val="Hyperlink"/>
            <w:rFonts w:ascii="Times New Roman" w:hAnsi="Times New Roman"/>
          </w:rPr>
          <w:t>6.1.</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Bendrosios pastabos</w:t>
        </w:r>
        <w:r w:rsidR="00045070">
          <w:rPr>
            <w:webHidden/>
          </w:rPr>
          <w:tab/>
        </w:r>
        <w:r w:rsidR="00045070">
          <w:rPr>
            <w:webHidden/>
          </w:rPr>
          <w:fldChar w:fldCharType="begin"/>
        </w:r>
        <w:r w:rsidR="00045070">
          <w:rPr>
            <w:webHidden/>
          </w:rPr>
          <w:instrText xml:space="preserve"> PAGEREF _Toc58571994 \h </w:instrText>
        </w:r>
        <w:r w:rsidR="00045070">
          <w:rPr>
            <w:webHidden/>
          </w:rPr>
        </w:r>
        <w:r w:rsidR="00045070">
          <w:rPr>
            <w:webHidden/>
          </w:rPr>
          <w:fldChar w:fldCharType="separate"/>
        </w:r>
        <w:r w:rsidR="00045070">
          <w:rPr>
            <w:webHidden/>
          </w:rPr>
          <w:t>30</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95" w:history="1">
        <w:r w:rsidR="00045070" w:rsidRPr="00BF661A">
          <w:rPr>
            <w:rStyle w:val="Hyperlink"/>
            <w:rFonts w:ascii="Times New Roman" w:hAnsi="Times New Roman"/>
          </w:rPr>
          <w:t>6.2.</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Forma: AE-ADV1. Ataskaitą teikiančios įstaigos turtui skirta išsamesnė forma</w:t>
        </w:r>
        <w:r w:rsidR="00045070">
          <w:rPr>
            <w:webHidden/>
          </w:rPr>
          <w:tab/>
        </w:r>
        <w:r w:rsidR="00045070">
          <w:rPr>
            <w:webHidden/>
          </w:rPr>
          <w:fldChar w:fldCharType="begin"/>
        </w:r>
        <w:r w:rsidR="00045070">
          <w:rPr>
            <w:webHidden/>
          </w:rPr>
          <w:instrText xml:space="preserve"> PAGEREF _Toc58571995 \h </w:instrText>
        </w:r>
        <w:r w:rsidR="00045070">
          <w:rPr>
            <w:webHidden/>
          </w:rPr>
        </w:r>
        <w:r w:rsidR="00045070">
          <w:rPr>
            <w:webHidden/>
          </w:rPr>
          <w:fldChar w:fldCharType="separate"/>
        </w:r>
        <w:r w:rsidR="00045070">
          <w:rPr>
            <w:webHidden/>
          </w:rPr>
          <w:t>30</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96" w:history="1">
        <w:r w:rsidR="00045070" w:rsidRPr="00BF661A">
          <w:rPr>
            <w:rStyle w:val="Hyperlink"/>
            <w:rFonts w:ascii="Times New Roman" w:hAnsi="Times New Roman"/>
          </w:rPr>
          <w:t>6.2.1.</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Nurodymai dėl konkrečių eilučių</w:t>
        </w:r>
        <w:r w:rsidR="00045070">
          <w:rPr>
            <w:webHidden/>
          </w:rPr>
          <w:tab/>
        </w:r>
        <w:r w:rsidR="00045070">
          <w:rPr>
            <w:webHidden/>
          </w:rPr>
          <w:fldChar w:fldCharType="begin"/>
        </w:r>
        <w:r w:rsidR="00045070">
          <w:rPr>
            <w:webHidden/>
          </w:rPr>
          <w:instrText xml:space="preserve"> PAGEREF _Toc58571996 \h </w:instrText>
        </w:r>
        <w:r w:rsidR="00045070">
          <w:rPr>
            <w:webHidden/>
          </w:rPr>
        </w:r>
        <w:r w:rsidR="00045070">
          <w:rPr>
            <w:webHidden/>
          </w:rPr>
          <w:fldChar w:fldCharType="separate"/>
        </w:r>
        <w:r w:rsidR="00045070">
          <w:rPr>
            <w:webHidden/>
          </w:rPr>
          <w:t>30</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97" w:history="1">
        <w:r w:rsidR="00045070" w:rsidRPr="00BF661A">
          <w:rPr>
            <w:rStyle w:val="Hyperlink"/>
            <w:rFonts w:ascii="Times New Roman" w:hAnsi="Times New Roman"/>
          </w:rPr>
          <w:t>6.2.2.</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Nurodymai dėl konkrečių skilčių</w:t>
        </w:r>
        <w:r w:rsidR="00045070">
          <w:rPr>
            <w:webHidden/>
          </w:rPr>
          <w:tab/>
        </w:r>
        <w:r w:rsidR="00045070">
          <w:rPr>
            <w:webHidden/>
          </w:rPr>
          <w:fldChar w:fldCharType="begin"/>
        </w:r>
        <w:r w:rsidR="00045070">
          <w:rPr>
            <w:webHidden/>
          </w:rPr>
          <w:instrText xml:space="preserve"> PAGEREF _Toc58571997 \h </w:instrText>
        </w:r>
        <w:r w:rsidR="00045070">
          <w:rPr>
            <w:webHidden/>
          </w:rPr>
        </w:r>
        <w:r w:rsidR="00045070">
          <w:rPr>
            <w:webHidden/>
          </w:rPr>
          <w:fldChar w:fldCharType="separate"/>
        </w:r>
        <w:r w:rsidR="00045070">
          <w:rPr>
            <w:webHidden/>
          </w:rPr>
          <w:t>32</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98" w:history="1">
        <w:r w:rsidR="00045070" w:rsidRPr="00BF661A">
          <w:rPr>
            <w:rStyle w:val="Hyperlink"/>
            <w:rFonts w:ascii="Times New Roman" w:hAnsi="Times New Roman"/>
          </w:rPr>
          <w:t>6.3.</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Forma: AE-ADV2. Ataskaitą teikiančios įstaigos gautoms užtikrinimo priemonėms skirta išsamesnė forma</w:t>
        </w:r>
        <w:r w:rsidR="00045070">
          <w:rPr>
            <w:webHidden/>
          </w:rPr>
          <w:tab/>
        </w:r>
        <w:r w:rsidR="00045070">
          <w:rPr>
            <w:webHidden/>
          </w:rPr>
          <w:fldChar w:fldCharType="begin"/>
        </w:r>
        <w:r w:rsidR="00045070">
          <w:rPr>
            <w:webHidden/>
          </w:rPr>
          <w:instrText xml:space="preserve"> PAGEREF _Toc58571998 \h </w:instrText>
        </w:r>
        <w:r w:rsidR="00045070">
          <w:rPr>
            <w:webHidden/>
          </w:rPr>
        </w:r>
        <w:r w:rsidR="00045070">
          <w:rPr>
            <w:webHidden/>
          </w:rPr>
          <w:fldChar w:fldCharType="separate"/>
        </w:r>
        <w:r w:rsidR="00045070">
          <w:rPr>
            <w:webHidden/>
          </w:rPr>
          <w:t>34</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1999" w:history="1">
        <w:r w:rsidR="00045070" w:rsidRPr="00BF661A">
          <w:rPr>
            <w:rStyle w:val="Hyperlink"/>
            <w:rFonts w:ascii="Times New Roman" w:hAnsi="Times New Roman"/>
          </w:rPr>
          <w:t>6.3.1.</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Nurodymai dėl konkrečių eilučių</w:t>
        </w:r>
        <w:r w:rsidR="00045070">
          <w:rPr>
            <w:webHidden/>
          </w:rPr>
          <w:tab/>
        </w:r>
        <w:r w:rsidR="00045070">
          <w:rPr>
            <w:webHidden/>
          </w:rPr>
          <w:fldChar w:fldCharType="begin"/>
        </w:r>
        <w:r w:rsidR="00045070">
          <w:rPr>
            <w:webHidden/>
          </w:rPr>
          <w:instrText xml:space="preserve"> PAGEREF _Toc58571999 \h </w:instrText>
        </w:r>
        <w:r w:rsidR="00045070">
          <w:rPr>
            <w:webHidden/>
          </w:rPr>
        </w:r>
        <w:r w:rsidR="00045070">
          <w:rPr>
            <w:webHidden/>
          </w:rPr>
          <w:fldChar w:fldCharType="separate"/>
        </w:r>
        <w:r w:rsidR="00045070">
          <w:rPr>
            <w:webHidden/>
          </w:rPr>
          <w:t>34</w:t>
        </w:r>
        <w:r w:rsidR="00045070">
          <w:rPr>
            <w:webHidden/>
          </w:rPr>
          <w:fldChar w:fldCharType="end"/>
        </w:r>
      </w:hyperlink>
    </w:p>
    <w:p w:rsidR="00045070" w:rsidRDefault="0077393B">
      <w:pPr>
        <w:pStyle w:val="TOC2"/>
        <w:rPr>
          <w:rFonts w:asciiTheme="minorHAnsi" w:eastAsiaTheme="minorEastAsia" w:hAnsiTheme="minorHAnsi" w:cstheme="minorBidi"/>
          <w:b w:val="0"/>
          <w:smallCaps w:val="0"/>
          <w:sz w:val="22"/>
          <w:lang w:val="en-US"/>
        </w:rPr>
      </w:pPr>
      <w:hyperlink w:anchor="_Toc58572000" w:history="1">
        <w:r w:rsidR="00045070" w:rsidRPr="00BF661A">
          <w:rPr>
            <w:rStyle w:val="Hyperlink"/>
            <w:rFonts w:ascii="Times New Roman" w:hAnsi="Times New Roman"/>
          </w:rPr>
          <w:t>6.3.2.</w:t>
        </w:r>
        <w:r w:rsidR="00045070">
          <w:rPr>
            <w:rFonts w:asciiTheme="minorHAnsi" w:eastAsiaTheme="minorEastAsia" w:hAnsiTheme="minorHAnsi" w:cstheme="minorBidi"/>
            <w:b w:val="0"/>
            <w:smallCaps w:val="0"/>
            <w:sz w:val="22"/>
            <w:lang w:val="en-US"/>
          </w:rPr>
          <w:tab/>
        </w:r>
        <w:r w:rsidR="00045070" w:rsidRPr="00BF661A">
          <w:rPr>
            <w:rStyle w:val="Hyperlink"/>
            <w:rFonts w:ascii="Times New Roman" w:hAnsi="Times New Roman"/>
          </w:rPr>
          <w:t>Nurodymai dėl konkrečių skilčių</w:t>
        </w:r>
        <w:r w:rsidR="00045070">
          <w:rPr>
            <w:webHidden/>
          </w:rPr>
          <w:tab/>
        </w:r>
        <w:r w:rsidR="00045070">
          <w:rPr>
            <w:webHidden/>
          </w:rPr>
          <w:fldChar w:fldCharType="begin"/>
        </w:r>
        <w:r w:rsidR="00045070">
          <w:rPr>
            <w:webHidden/>
          </w:rPr>
          <w:instrText xml:space="preserve"> PAGEREF _Toc58572000 \h </w:instrText>
        </w:r>
        <w:r w:rsidR="00045070">
          <w:rPr>
            <w:webHidden/>
          </w:rPr>
        </w:r>
        <w:r w:rsidR="00045070">
          <w:rPr>
            <w:webHidden/>
          </w:rPr>
          <w:fldChar w:fldCharType="separate"/>
        </w:r>
        <w:r w:rsidR="00045070">
          <w:rPr>
            <w:webHidden/>
          </w:rPr>
          <w:t>34</w:t>
        </w:r>
        <w:r w:rsidR="00045070">
          <w:rPr>
            <w:webHidden/>
          </w:rPr>
          <w:fldChar w:fldCharType="end"/>
        </w:r>
      </w:hyperlink>
    </w:p>
    <w:p w:rsidR="00941FAE" w:rsidRPr="00A67D5A" w:rsidRDefault="00941FAE" w:rsidP="00941FAE">
      <w:pPr>
        <w:ind w:left="357"/>
        <w:rPr>
          <w:rFonts w:ascii="Times New Roman" w:hAnsi="Times New Roman"/>
          <w:sz w:val="24"/>
        </w:rPr>
        <w:sectPr w:rsidR="00941FAE" w:rsidRPr="00A67D5A" w:rsidSect="005150E8">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rsidR="00941FAE" w:rsidRDefault="00941FAE" w:rsidP="00941FAE">
      <w:pPr>
        <w:pStyle w:val="Heading2"/>
        <w:spacing w:before="0"/>
        <w:rPr>
          <w:rFonts w:ascii="Times New Roman" w:hAnsi="Times New Roman"/>
        </w:rPr>
      </w:pPr>
      <w:bookmarkStart w:id="1" w:name="_Toc322687864"/>
      <w:bookmarkStart w:id="2" w:name="_Toc58571948"/>
      <w:r>
        <w:rPr>
          <w:rFonts w:ascii="Times New Roman" w:hAnsi="Times New Roman"/>
        </w:rPr>
        <w:lastRenderedPageBreak/>
        <w:t>BENDRIEJI NURODYMAI</w:t>
      </w:r>
      <w:bookmarkEnd w:id="1"/>
      <w:bookmarkEnd w:id="2"/>
      <w:r>
        <w:rPr>
          <w:rFonts w:ascii="Times New Roman" w:hAnsi="Times New Roman"/>
        </w:rPr>
        <w:t xml:space="preserve"> </w:t>
      </w:r>
      <w:bookmarkStart w:id="3" w:name="_Toc322687865"/>
    </w:p>
    <w:p w:rsidR="00941FAE" w:rsidRPr="00361B13" w:rsidRDefault="00941FAE" w:rsidP="00941FAE">
      <w:pPr>
        <w:pStyle w:val="Heading2"/>
        <w:spacing w:before="0"/>
        <w:rPr>
          <w:rFonts w:ascii="Times New Roman" w:hAnsi="Times New Roman"/>
        </w:rPr>
      </w:pPr>
      <w:bookmarkStart w:id="4" w:name="_Toc58571949"/>
      <w:r>
        <w:rPr>
          <w:rFonts w:ascii="Times New Roman" w:hAnsi="Times New Roman"/>
        </w:rPr>
        <w:t>1. Struktūra ir tvarka</w:t>
      </w:r>
      <w:bookmarkEnd w:id="3"/>
      <w:bookmarkEnd w:id="4"/>
    </w:p>
    <w:p w:rsidR="00941FAE" w:rsidRPr="00361B13"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58571950"/>
      <w:bookmarkStart w:id="7" w:name="_Toc264038399"/>
      <w:bookmarkStart w:id="8" w:name="_Toc294018834"/>
      <w:r>
        <w:rPr>
          <w:rFonts w:ascii="Times New Roman" w:hAnsi="Times New Roman"/>
          <w:sz w:val="24"/>
          <w:u w:val="none"/>
        </w:rPr>
        <w:t>Struktūra</w:t>
      </w:r>
      <w:bookmarkEnd w:id="5"/>
      <w:bookmarkEnd w:id="6"/>
    </w:p>
    <w:p w:rsidR="00941FAE" w:rsidRPr="00E6052D" w:rsidRDefault="00941FAE" w:rsidP="00941FAE">
      <w:pPr>
        <w:pStyle w:val="InstructionsText2"/>
        <w:shd w:val="clear" w:color="auto" w:fill="FFFFFF"/>
        <w:spacing w:after="120"/>
        <w:rPr>
          <w:sz w:val="24"/>
        </w:rPr>
      </w:pPr>
      <w:r>
        <w:rPr>
          <w:sz w:val="24"/>
        </w:rPr>
        <w:t>Sistemą sudaro penkios formų grupės, į kurias iš viso įeina devynios formos pagal tokią schemą:</w:t>
      </w:r>
    </w:p>
    <w:p w:rsidR="00941FAE" w:rsidRPr="00B93E25"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A dalis. Suvaržymo apžvalga:</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AE-ASS forma. Ataskaitą teikiančios įstaigos turtas;</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AE-COL forma. Ataskaitą teikiančios įstaigos gautos užtikrinimo priemonės;</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AE-NPL forma. Išleistos dar neįkeistos nuosavos padengtosios obligacijos ir pakeitimo vertybiniais popieriais priemonės;</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AE-SOU forma. Suvaržymo šaltiniai;</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B dalis. Informacija apie terminą:</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AE-MAT forma. Informacija apie terminą;</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C dalis. Sąlyginis suvaržymas:</w:t>
      </w:r>
    </w:p>
    <w:p w:rsidR="00941FAE" w:rsidRPr="00141A4E" w:rsidRDefault="00941FAE" w:rsidP="00941FAE">
      <w:pPr>
        <w:pStyle w:val="ListParagraph"/>
        <w:numPr>
          <w:ilvl w:val="1"/>
          <w:numId w:val="8"/>
        </w:numPr>
        <w:rPr>
          <w:rFonts w:ascii="Times New Roman" w:hAnsi="Times New Roman"/>
          <w:sz w:val="24"/>
        </w:rPr>
      </w:pPr>
      <w:r>
        <w:rPr>
          <w:rFonts w:ascii="Times New Roman" w:hAnsi="Times New Roman"/>
          <w:sz w:val="24"/>
        </w:rPr>
        <w:t>AE-CONT forma. Sąlyginis suvaržymas;</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D dalis. Padengtosios obligacijos:</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AE-CB forma. Padengtųjų obligacijų išleidimas;</w:t>
      </w:r>
    </w:p>
    <w:p w:rsidR="00941FAE" w:rsidRPr="00361B13" w:rsidRDefault="00941FAE" w:rsidP="00941FAE">
      <w:pPr>
        <w:pStyle w:val="ListParagraph"/>
        <w:numPr>
          <w:ilvl w:val="0"/>
          <w:numId w:val="8"/>
        </w:numPr>
        <w:rPr>
          <w:rFonts w:ascii="Times New Roman" w:hAnsi="Times New Roman"/>
          <w:sz w:val="24"/>
        </w:rPr>
      </w:pPr>
      <w:r>
        <w:rPr>
          <w:rFonts w:ascii="Times New Roman" w:hAnsi="Times New Roman"/>
          <w:sz w:val="24"/>
        </w:rPr>
        <w:t>E dalis. Išsamesni duomenys:</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AE-ADV-1 forma. Ataskaitą teikiančios įstaigos turtui skirta išsamesnė forma;</w:t>
      </w:r>
    </w:p>
    <w:p w:rsidR="00941FAE" w:rsidRPr="00B93E25"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AE-ADV-2 forma. Ataskaitą teikiančios įstaigos gautoms užtikrinimo priemonėms skirta išsamesnė forma.</w:t>
      </w:r>
    </w:p>
    <w:p w:rsidR="00941FAE" w:rsidRPr="005F7E60" w:rsidRDefault="00941FAE" w:rsidP="00941FAE">
      <w:pPr>
        <w:pStyle w:val="InstructionsText2"/>
        <w:shd w:val="clear" w:color="auto" w:fill="FFFFFF"/>
        <w:spacing w:after="120"/>
        <w:rPr>
          <w:sz w:val="24"/>
        </w:rPr>
      </w:pPr>
      <w:r>
        <w:rPr>
          <w:sz w:val="24"/>
        </w:rPr>
        <w:t>Kiekvienos formos atveju pateikiamos nuorodos į teisės aktus, taip pat tolesnė išsami informacija apie bendresnius informacijos teikimo aspektus.</w:t>
      </w:r>
    </w:p>
    <w:p w:rsidR="00941FAE" w:rsidRPr="000F059F" w:rsidRDefault="00941FAE" w:rsidP="00941FAE">
      <w:pPr>
        <w:pStyle w:val="Instructionsberschrift2"/>
        <w:numPr>
          <w:ilvl w:val="1"/>
          <w:numId w:val="3"/>
        </w:numPr>
        <w:shd w:val="clear" w:color="auto" w:fill="FFFFFF"/>
        <w:spacing w:before="0" w:after="120"/>
        <w:rPr>
          <w:sz w:val="24"/>
        </w:rPr>
      </w:pPr>
      <w:bookmarkStart w:id="9" w:name="_Toc58571951"/>
      <w:r>
        <w:rPr>
          <w:rFonts w:ascii="Times New Roman" w:hAnsi="Times New Roman"/>
          <w:sz w:val="24"/>
          <w:u w:val="none"/>
        </w:rPr>
        <w:t>Apskaitos standartas</w:t>
      </w:r>
      <w:bookmarkEnd w:id="9"/>
    </w:p>
    <w:p w:rsidR="00941FAE" w:rsidRPr="000F059F" w:rsidRDefault="00941FAE" w:rsidP="00941FAE">
      <w:pPr>
        <w:pStyle w:val="InstructionsText2"/>
        <w:shd w:val="clear" w:color="auto" w:fill="FFFFFF"/>
        <w:spacing w:after="120"/>
        <w:rPr>
          <w:sz w:val="24"/>
        </w:rPr>
      </w:pPr>
      <w:r>
        <w:rPr>
          <w:sz w:val="24"/>
        </w:rPr>
        <w:t>Įstaigos balansines vertes pateikia pagal apskaitos sistemą, kurią jos taiko teikdamos finansinę informaciją pagal 9–11 straipsnius. Įstaigos, iš kurių nereikalaujama pateikti finansinės informacijos, naudoja savo atitinkamą apskaitos sistemą. AE-SOU formoje įstaigos paprastai nurodo balansines vertes, nepritaikydamos apskaitinės užskaitos, jei tokia yra, atsižvelgdamos į bendrą turto ir užtikrinimo priemonių suvaržymo pagrindą.</w:t>
      </w:r>
    </w:p>
    <w:p w:rsidR="00941FAE" w:rsidRPr="000F059F" w:rsidRDefault="00941FAE" w:rsidP="00941FAE">
      <w:pPr>
        <w:pStyle w:val="InstructionsText2"/>
        <w:shd w:val="clear" w:color="auto" w:fill="FFFFFF"/>
        <w:spacing w:after="120"/>
        <w:rPr>
          <w:sz w:val="24"/>
        </w:rPr>
      </w:pPr>
      <w:r>
        <w:rPr>
          <w:sz w:val="24"/>
        </w:rPr>
        <w:t>Šiame priede TAS ir TFAS yra tarptautiniai apskaitos standartai, kaip apibrėžta Reglamento (EB) Nr. 1606/2002 2 straipsnyje</w:t>
      </w:r>
      <w:r>
        <w:rPr>
          <w:sz w:val="24"/>
          <w:szCs w:val="24"/>
        </w:rPr>
        <w:t>.</w:t>
      </w:r>
      <w:r>
        <w:rPr>
          <w:sz w:val="24"/>
        </w:rPr>
        <w:t xml:space="preserve"> Įstaigoms, kurios teikia ataskaitas pagal TFAS, pateikiamos nuorodos į atitinkamus TFAS. </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58571952"/>
      <w:bookmarkStart w:id="11" w:name="_Toc322687867"/>
      <w:r>
        <w:rPr>
          <w:rFonts w:ascii="Times New Roman" w:hAnsi="Times New Roman"/>
          <w:sz w:val="24"/>
          <w:u w:val="none"/>
        </w:rPr>
        <w:t>Numeravimo tvarka</w:t>
      </w:r>
      <w:bookmarkEnd w:id="10"/>
    </w:p>
    <w:p w:rsidR="00941FAE" w:rsidRPr="000F059F" w:rsidRDefault="00941FAE" w:rsidP="00941FAE">
      <w:pPr>
        <w:pStyle w:val="InstructionsText2"/>
        <w:shd w:val="clear" w:color="auto" w:fill="FFFFFF"/>
        <w:spacing w:after="120"/>
        <w:rPr>
          <w:sz w:val="24"/>
        </w:rPr>
      </w:pPr>
      <w:r>
        <w:rPr>
          <w:sz w:val="24"/>
        </w:rPr>
        <w:t>Šiuose nurodymuose darant nuorodą į formos skiltis, eilutes ir laukelius laikomasi šios bendros žymėjimo tvarkos: {forma; eilutė; skiltis}. Žvaigždutės ženklas naudojamas, kai norima nurodyti, kad tvirtinama visa eilutė arba skiltis. Pavyzdžiui, {AE-ASS; *; 2} yra nuoroda į AE-ASS formos 2 skilties bet kurios eilutės duomenų vienetą.</w:t>
      </w:r>
    </w:p>
    <w:p w:rsidR="00941FAE" w:rsidRPr="000F059F" w:rsidRDefault="00941FAE" w:rsidP="00941FAE">
      <w:pPr>
        <w:pStyle w:val="InstructionsText2"/>
        <w:shd w:val="clear" w:color="auto" w:fill="FFFFFF"/>
        <w:spacing w:after="120"/>
        <w:rPr>
          <w:sz w:val="24"/>
        </w:rPr>
      </w:pPr>
      <w:r>
        <w:rPr>
          <w:sz w:val="24"/>
        </w:rPr>
        <w:t>Patvirtinimų pačioje formoje atveju, kai norima nurodyti tos formos duomenų vienetus, naudojamas toks žymėjimas: {eilutė; skiltis}.</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58571953"/>
      <w:r>
        <w:rPr>
          <w:rFonts w:ascii="Times New Roman" w:hAnsi="Times New Roman"/>
          <w:sz w:val="24"/>
          <w:u w:val="none"/>
        </w:rPr>
        <w:t>Ženklų tvarka</w:t>
      </w:r>
      <w:bookmarkEnd w:id="12"/>
      <w:bookmarkEnd w:id="13"/>
    </w:p>
    <w:p w:rsidR="00941FAE" w:rsidRPr="00361B13" w:rsidRDefault="00941FAE" w:rsidP="00941FAE">
      <w:pPr>
        <w:pStyle w:val="InstructionsText2"/>
        <w:shd w:val="clear" w:color="auto" w:fill="FFFFFF"/>
        <w:spacing w:after="120"/>
        <w:rPr>
          <w:sz w:val="24"/>
        </w:rPr>
      </w:pPr>
      <w:r>
        <w:rPr>
          <w:sz w:val="24"/>
        </w:rPr>
        <w:t xml:space="preserve">XVI priedo formose laikomasi ženklų tvarkos, aprašytos V priedo </w:t>
      </w:r>
      <w:r>
        <w:rPr>
          <w:sz w:val="24"/>
          <w:szCs w:val="24"/>
        </w:rPr>
        <w:t>1 dalies</w:t>
      </w:r>
      <w:r>
        <w:rPr>
          <w:sz w:val="24"/>
        </w:rPr>
        <w:t xml:space="preserve"> 9–10 punktuose</w:t>
      </w:r>
      <w:bookmarkStart w:id="14" w:name="_Toc264033192"/>
      <w:bookmarkEnd w:id="14"/>
      <w:r>
        <w:rPr>
          <w:sz w:val="24"/>
        </w:rPr>
        <w:t>.</w:t>
      </w:r>
    </w:p>
    <w:p w:rsidR="00941FAE" w:rsidRPr="00F44D15"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58571954"/>
      <w:r>
        <w:rPr>
          <w:rFonts w:ascii="Times New Roman" w:hAnsi="Times New Roman"/>
          <w:sz w:val="24"/>
          <w:u w:val="none"/>
        </w:rPr>
        <w:lastRenderedPageBreak/>
        <w:t>Taikymo lygis</w:t>
      </w:r>
      <w:bookmarkEnd w:id="15"/>
    </w:p>
    <w:p w:rsidR="00941FAE" w:rsidRPr="000F059F" w:rsidRDefault="00941FAE" w:rsidP="00941FAE">
      <w:pPr>
        <w:pStyle w:val="InstructionsText2"/>
        <w:spacing w:after="120"/>
        <w:rPr>
          <w:sz w:val="24"/>
        </w:rPr>
      </w:pPr>
      <w:r>
        <w:rPr>
          <w:sz w:val="24"/>
        </w:rPr>
        <w:t>Informacijos apie turto suvaržymą teikimo reikalavimų taikymo lygis atitinka informacijos apie nuosavas lėšas teikimo reikalavimų pagal Reglamento (ES) Nr. 575/2013 (KPR) 99 straipsnio 1 dalies pirmą pastraipą taikymo lygį. Todėl įstaigos, kurioms netaikomi rizikos ribojimo reikalavimai pagal KPR 7 straipsnį, neprivalo teikti informacijos apie turto suvaržymą.</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8571955"/>
      <w:r>
        <w:rPr>
          <w:rFonts w:ascii="Times New Roman" w:hAnsi="Times New Roman"/>
          <w:sz w:val="24"/>
          <w:u w:val="none"/>
        </w:rPr>
        <w:t>Proporcingumas</w:t>
      </w:r>
      <w:bookmarkEnd w:id="16"/>
    </w:p>
    <w:p w:rsidR="00941FAE" w:rsidRPr="000F059F" w:rsidRDefault="00941FAE" w:rsidP="00941FAE">
      <w:pPr>
        <w:pStyle w:val="InstructionsText2"/>
        <w:spacing w:after="120"/>
        <w:rPr>
          <w:sz w:val="24"/>
        </w:rPr>
      </w:pPr>
      <w:r>
        <w:rPr>
          <w:sz w:val="24"/>
        </w:rPr>
        <w:t>Taikant 16a straipsnio 2 dalies b punktą, turto suvaržymo lygis apskaičiuojamas taip:</w:t>
      </w:r>
    </w:p>
    <w:p w:rsidR="00941FAE" w:rsidRPr="00A67D5A" w:rsidRDefault="00941FAE" w:rsidP="00941FAE">
      <w:pPr>
        <w:pStyle w:val="InstructionsText2"/>
        <w:numPr>
          <w:ilvl w:val="1"/>
          <w:numId w:val="2"/>
        </w:numPr>
        <w:spacing w:after="120"/>
        <w:rPr>
          <w:sz w:val="24"/>
        </w:rPr>
      </w:pPr>
      <w:r>
        <w:rPr>
          <w:sz w:val="24"/>
        </w:rPr>
        <w:t>Suvaržyto turto ir užtikrinimo priemonių balansinė vertė = {AE-ASS;010;010}+{AE-COL;130;010};</w:t>
      </w:r>
    </w:p>
    <w:p w:rsidR="00941FAE" w:rsidRPr="00A67D5A" w:rsidRDefault="00941FAE" w:rsidP="00941FAE">
      <w:pPr>
        <w:pStyle w:val="InstructionsText2"/>
        <w:numPr>
          <w:ilvl w:val="1"/>
          <w:numId w:val="2"/>
        </w:numPr>
        <w:spacing w:after="120"/>
        <w:rPr>
          <w:sz w:val="24"/>
        </w:rPr>
      </w:pPr>
      <w:r>
        <w:rPr>
          <w:sz w:val="24"/>
        </w:rPr>
        <w:t>Bendra turto ir užtikrinimo priemonių suma = {AE-ASS;010;010} + {AE-ASS;010;060} + {AE-COL;130;010} + {AE-COL;130;040};</w:t>
      </w:r>
    </w:p>
    <w:p w:rsidR="00941FAE" w:rsidRPr="00A67D5A" w:rsidRDefault="00941FAE" w:rsidP="00941FAE">
      <w:pPr>
        <w:pStyle w:val="InstructionsText2"/>
        <w:numPr>
          <w:ilvl w:val="1"/>
          <w:numId w:val="2"/>
        </w:numPr>
        <w:spacing w:after="120"/>
        <w:rPr>
          <w:sz w:val="24"/>
        </w:rPr>
      </w:pPr>
      <w:r>
        <w:rPr>
          <w:sz w:val="24"/>
        </w:rPr>
        <w:t>Turto suvaržymo koeficientas = (Suvaržyto turto ir užtikrinimo priemonių balansinė vertė)/(Bendra turto ir užtikrinimo priemonių suma).</w:t>
      </w:r>
    </w:p>
    <w:p w:rsidR="00941FAE" w:rsidRPr="00E6052D" w:rsidRDefault="00941FAE" w:rsidP="00941FAE">
      <w:pPr>
        <w:pStyle w:val="InstructionsText2"/>
        <w:spacing w:after="120"/>
        <w:rPr>
          <w:sz w:val="24"/>
        </w:rPr>
      </w:pPr>
      <w:r>
        <w:rPr>
          <w:sz w:val="24"/>
        </w:rPr>
        <w:t>Taikant 16a straipsnio 2 dalies a punktą, bendra turto suma apskaičiuojama taip:</w:t>
      </w:r>
    </w:p>
    <w:p w:rsidR="00941FAE" w:rsidRPr="005F7E60" w:rsidRDefault="00941FAE" w:rsidP="00941FAE">
      <w:pPr>
        <w:pStyle w:val="InstructionsText2"/>
        <w:numPr>
          <w:ilvl w:val="1"/>
          <w:numId w:val="2"/>
        </w:numPr>
        <w:spacing w:after="120"/>
        <w:rPr>
          <w:sz w:val="24"/>
        </w:rPr>
      </w:pPr>
      <w:r>
        <w:rPr>
          <w:sz w:val="24"/>
        </w:rPr>
        <w:t>Bendra turto suma = {AE-ASS;010;010} + {AE-ASS;010;060}</w:t>
      </w:r>
    </w:p>
    <w:p w:rsidR="00941FAE" w:rsidRPr="00141A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8571956"/>
      <w:r>
        <w:rPr>
          <w:rFonts w:ascii="Times New Roman" w:hAnsi="Times New Roman"/>
          <w:sz w:val="24"/>
          <w:u w:val="none"/>
        </w:rPr>
        <w:t>Suvaržymo apibrėžtis</w:t>
      </w:r>
      <w:bookmarkEnd w:id="17"/>
    </w:p>
    <w:p w:rsidR="00941FAE" w:rsidRPr="000F059F" w:rsidRDefault="00941FAE" w:rsidP="00941FAE">
      <w:pPr>
        <w:pStyle w:val="InstructionsText2"/>
        <w:spacing w:after="120"/>
        <w:rPr>
          <w:sz w:val="24"/>
        </w:rPr>
      </w:pPr>
      <w:r>
        <w:rPr>
          <w:sz w:val="24"/>
        </w:rPr>
        <w:t>Šiame priede ir XVI priede turtas laikomas suvaržytu, jeigu jis buvo įkeistas arba pagal bet kokios formos susitarimą yra naudojamas bet kokiam sandoriui apsaugoti, užtikrinti ar to sandorio kredito vertei padidinti ir jo negalima laisvai atsiimti.</w:t>
      </w:r>
    </w:p>
    <w:p w:rsidR="00941FAE" w:rsidRPr="000F059F" w:rsidRDefault="00941FAE" w:rsidP="00941FAE">
      <w:pPr>
        <w:pStyle w:val="InstructionsText2"/>
        <w:numPr>
          <w:ilvl w:val="0"/>
          <w:numId w:val="0"/>
        </w:numPr>
        <w:spacing w:after="120"/>
        <w:ind w:left="720"/>
        <w:rPr>
          <w:sz w:val="24"/>
        </w:rPr>
      </w:pPr>
      <w:r>
        <w:rPr>
          <w:sz w:val="24"/>
        </w:rPr>
        <w:t xml:space="preserve">Svarbu pažymėti, kad įkeistas turtas, kuriam taikomi kokie nors atsiėmimo apribojimai, pavyzdžiui, prieš atsiimant turtą reikia gauti išankstinį sutikimą arba jį reikia pakeisti kitu turtu, laikomas suvaržytu. Ši apibrėžtis yra pagrįsta ne aiškia teisine apibrėžtimi, kaip, pavyzdžiui, nuosavybės teisės perleidimas, o ekonominiais principais, nes teisinės sistemos šiuo klausimu įvairiose šalyse gali skirtis. Tačiau apibrėžtis glaudžiai susijusi su sutarties sąlygomis. EBI nuomone, apibrėžtis apima šių rūšių sutartis (sąrašas nebaigtinis): </w:t>
      </w:r>
    </w:p>
    <w:p w:rsidR="00941FAE" w:rsidRPr="000F059F" w:rsidRDefault="00941FAE" w:rsidP="00941FAE">
      <w:pPr>
        <w:pStyle w:val="InstructionsText2"/>
        <w:numPr>
          <w:ilvl w:val="0"/>
          <w:numId w:val="21"/>
        </w:numPr>
        <w:spacing w:after="120"/>
        <w:rPr>
          <w:sz w:val="24"/>
        </w:rPr>
      </w:pPr>
      <w:r>
        <w:rPr>
          <w:sz w:val="24"/>
          <w:szCs w:val="24"/>
        </w:rPr>
        <w:t>užtikrintuosius</w:t>
      </w:r>
      <w:r>
        <w:rPr>
          <w:sz w:val="24"/>
        </w:rPr>
        <w:t xml:space="preserve"> finansavimo sandorius, įskaitant atpirkimo sutartis ir sandorius, vertybinių popierių skolinimą ir kitų formų užtikrintą skolinimą</w:t>
      </w:r>
      <w:r>
        <w:rPr>
          <w:sz w:val="24"/>
          <w:szCs w:val="24"/>
        </w:rPr>
        <w:t>;</w:t>
      </w:r>
    </w:p>
    <w:p w:rsidR="00941FAE" w:rsidRPr="000F059F" w:rsidRDefault="00941FAE" w:rsidP="00941FAE">
      <w:pPr>
        <w:pStyle w:val="InstructionsText2"/>
        <w:numPr>
          <w:ilvl w:val="0"/>
          <w:numId w:val="21"/>
        </w:numPr>
        <w:spacing w:after="120"/>
        <w:rPr>
          <w:sz w:val="24"/>
        </w:rPr>
      </w:pPr>
      <w:r>
        <w:rPr>
          <w:sz w:val="24"/>
          <w:szCs w:val="24"/>
        </w:rPr>
        <w:t>įvairius</w:t>
      </w:r>
      <w:r>
        <w:rPr>
          <w:sz w:val="24"/>
        </w:rPr>
        <w:t xml:space="preserve"> užtikrinimo priemonės pateikimo susitarimus, pavyzdžiui, užtikrinimo priemonės, atitinkančios išvestinių finansinių priemonių sandorių rinkos vertę</w:t>
      </w:r>
      <w:r>
        <w:rPr>
          <w:sz w:val="24"/>
          <w:szCs w:val="24"/>
        </w:rPr>
        <w:t>;</w:t>
      </w:r>
    </w:p>
    <w:p w:rsidR="00941FAE" w:rsidRPr="000F059F" w:rsidRDefault="00941FAE" w:rsidP="00941FAE">
      <w:pPr>
        <w:pStyle w:val="InstructionsText2"/>
        <w:numPr>
          <w:ilvl w:val="0"/>
          <w:numId w:val="21"/>
        </w:numPr>
        <w:spacing w:after="120"/>
        <w:rPr>
          <w:sz w:val="24"/>
        </w:rPr>
      </w:pPr>
      <w:r>
        <w:rPr>
          <w:sz w:val="24"/>
          <w:szCs w:val="24"/>
        </w:rPr>
        <w:t>užtikrinimo</w:t>
      </w:r>
      <w:r>
        <w:rPr>
          <w:sz w:val="24"/>
        </w:rPr>
        <w:t xml:space="preserve"> priemone užtikrintas finansines garantijas. Reikėtų pažymėti, kad, jeigu nepanaudotos garantijos dalies atžvilgiu nėra kliūčių atsiimti užtikrinimo priemonę, tokių kaip išankstinis sutikimas, paskirstoma tik panaudota suma (proporcinio paskirstymo principu</w:t>
      </w:r>
      <w:r>
        <w:rPr>
          <w:sz w:val="24"/>
          <w:szCs w:val="24"/>
        </w:rPr>
        <w:t>);</w:t>
      </w:r>
    </w:p>
    <w:p w:rsidR="00941FAE" w:rsidRPr="000F059F" w:rsidRDefault="00941FAE" w:rsidP="00941FAE">
      <w:pPr>
        <w:pStyle w:val="InstructionsText2"/>
        <w:numPr>
          <w:ilvl w:val="0"/>
          <w:numId w:val="21"/>
        </w:numPr>
        <w:spacing w:after="120"/>
        <w:rPr>
          <w:sz w:val="24"/>
        </w:rPr>
      </w:pPr>
      <w:r>
        <w:rPr>
          <w:sz w:val="24"/>
          <w:szCs w:val="24"/>
        </w:rPr>
        <w:t>tarpuskaitos</w:t>
      </w:r>
      <w:r>
        <w:rPr>
          <w:sz w:val="24"/>
        </w:rPr>
        <w:t xml:space="preserve"> sistemoms, pagrindinėms sandorio šalims ir kitoms infrastruktūros įstaigoms pateiktas užtikrinimo priemones, kaip sąlygą naudotis paslauga. Šiai kategorijai priskiriami įsipareigojimų neįvykdymo fondai ir pradinės garantinės įmokos</w:t>
      </w:r>
      <w:r>
        <w:rPr>
          <w:sz w:val="24"/>
          <w:szCs w:val="24"/>
        </w:rPr>
        <w:t>;</w:t>
      </w:r>
    </w:p>
    <w:p w:rsidR="00941FAE" w:rsidRPr="005F7E60" w:rsidRDefault="00941FAE" w:rsidP="00941FAE">
      <w:pPr>
        <w:pStyle w:val="InstructionsText2"/>
        <w:numPr>
          <w:ilvl w:val="0"/>
          <w:numId w:val="21"/>
        </w:numPr>
        <w:spacing w:after="120"/>
        <w:rPr>
          <w:sz w:val="24"/>
        </w:rPr>
      </w:pPr>
      <w:r>
        <w:rPr>
          <w:sz w:val="24"/>
          <w:szCs w:val="24"/>
        </w:rPr>
        <w:t>centrinio</w:t>
      </w:r>
      <w:r>
        <w:rPr>
          <w:sz w:val="24"/>
        </w:rPr>
        <w:t xml:space="preserve"> banko priemones. Iš anksto pateiktas turtas nelaikomas suvaržytu, išskyrus atvejus, kai centrinis bankas neleidžia atsiimti jokio pateikto turto be išankstinio sutikimo. Nepanaudotų finansinių garantijų atveju nepanaudota dalis, </w:t>
      </w:r>
      <w:r>
        <w:rPr>
          <w:sz w:val="24"/>
        </w:rPr>
        <w:lastRenderedPageBreak/>
        <w:t>t. y. minimalią centrinio banko reikalaujamą sumą viršijanti dalis, proporcingai paskirstoma centriniam bankui pateiktam turtui</w:t>
      </w:r>
      <w:r>
        <w:rPr>
          <w:sz w:val="24"/>
          <w:szCs w:val="24"/>
        </w:rPr>
        <w:t>;</w:t>
      </w:r>
    </w:p>
    <w:p w:rsidR="00941FAE" w:rsidRPr="000F059F" w:rsidRDefault="00941FAE" w:rsidP="00941FAE">
      <w:pPr>
        <w:pStyle w:val="InstructionsText2"/>
        <w:numPr>
          <w:ilvl w:val="0"/>
          <w:numId w:val="21"/>
        </w:numPr>
        <w:spacing w:after="120"/>
        <w:rPr>
          <w:sz w:val="24"/>
        </w:rPr>
      </w:pPr>
      <w:r>
        <w:rPr>
          <w:sz w:val="24"/>
          <w:szCs w:val="24"/>
        </w:rPr>
        <w:t>pagrindinį</w:t>
      </w:r>
      <w:r>
        <w:rPr>
          <w:sz w:val="24"/>
        </w:rPr>
        <w:t xml:space="preserve"> turtą iš pakeitimo vertybiniais popieriais struktūrų, kai finansinio turto pripažinimas įstaigos finansiniu turtu nebuvo nutrauktas. Turtas, kuris yra išlaikyti pagrindiniai vertybiniai popieriai, nelaikomas suvaržytu, išskyrus atvejus, kai šie vertybiniai popieriai įkeičiami arba </w:t>
      </w:r>
      <w:r>
        <w:rPr>
          <w:sz w:val="24"/>
          <w:szCs w:val="24"/>
        </w:rPr>
        <w:t>pateikiami kaip užtikrinimo priemonės</w:t>
      </w:r>
      <w:r>
        <w:rPr>
          <w:sz w:val="24"/>
        </w:rPr>
        <w:t xml:space="preserve"> bet kokiu būdu sandoriui užtikrinti</w:t>
      </w:r>
      <w:r>
        <w:rPr>
          <w:sz w:val="24"/>
          <w:szCs w:val="24"/>
        </w:rPr>
        <w:t>;</w:t>
      </w:r>
    </w:p>
    <w:p w:rsidR="00941FAE" w:rsidRPr="000F059F" w:rsidRDefault="00941FAE" w:rsidP="00941FAE">
      <w:pPr>
        <w:pStyle w:val="InstructionsText2"/>
        <w:numPr>
          <w:ilvl w:val="0"/>
          <w:numId w:val="21"/>
        </w:numPr>
        <w:spacing w:after="120"/>
        <w:rPr>
          <w:sz w:val="24"/>
        </w:rPr>
      </w:pPr>
      <w:r>
        <w:rPr>
          <w:sz w:val="24"/>
          <w:szCs w:val="24"/>
        </w:rPr>
        <w:t>turtą</w:t>
      </w:r>
      <w:r>
        <w:rPr>
          <w:sz w:val="24"/>
        </w:rPr>
        <w:t xml:space="preserve"> užtikrinamojo turto grupėse, naudojamą padengtųjų obligacijų emisijai. Turtas, kuris yra pagrindinės padengtosios obligacijos, laikomas suvaržytu, išskyrus tam tikras situacijas, kai įstaiga pati turi atitinkamas padengtąsias obligacijas (nuosavos išleistos obligacijos</w:t>
      </w:r>
      <w:r>
        <w:rPr>
          <w:sz w:val="24"/>
          <w:szCs w:val="24"/>
        </w:rPr>
        <w:t>);</w:t>
      </w:r>
      <w:r>
        <w:rPr>
          <w:sz w:val="24"/>
        </w:rPr>
        <w:t xml:space="preserve"> </w:t>
      </w:r>
    </w:p>
    <w:p w:rsidR="00941FAE" w:rsidRPr="00B93E25" w:rsidRDefault="00941FAE" w:rsidP="00941FAE">
      <w:pPr>
        <w:pStyle w:val="InstructionsText2"/>
        <w:numPr>
          <w:ilvl w:val="0"/>
          <w:numId w:val="21"/>
        </w:numPr>
        <w:spacing w:after="120"/>
        <w:rPr>
          <w:sz w:val="24"/>
        </w:rPr>
      </w:pPr>
      <w:r>
        <w:rPr>
          <w:sz w:val="24"/>
          <w:szCs w:val="24"/>
        </w:rPr>
        <w:t>apskritai</w:t>
      </w:r>
      <w:r>
        <w:rPr>
          <w:sz w:val="24"/>
        </w:rPr>
        <w:t xml:space="preserve"> turtas, pateikiamas minėtoms priemonėms, kuris nėra naudojamas ir gali būti laisvai atsiimtas, nelaikomas suvaržytu.</w:t>
      </w:r>
    </w:p>
    <w:p w:rsidR="00941FAE" w:rsidRPr="000F059F" w:rsidRDefault="00941FAE" w:rsidP="00941FAE">
      <w:pPr>
        <w:pStyle w:val="Heading2"/>
        <w:spacing w:before="0"/>
        <w:rPr>
          <w:rFonts w:ascii="Times New Roman" w:hAnsi="Times New Roman"/>
        </w:rPr>
      </w:pPr>
      <w:bookmarkStart w:id="18" w:name="_Toc58571957"/>
      <w:bookmarkEnd w:id="7"/>
      <w:bookmarkEnd w:id="8"/>
      <w:bookmarkEnd w:id="11"/>
      <w:r>
        <w:rPr>
          <w:rFonts w:ascii="Times New Roman" w:hAnsi="Times New Roman"/>
        </w:rPr>
        <w:t>SU FORMA SUSIJĘ NURODYMAI</w:t>
      </w:r>
      <w:bookmarkEnd w:id="0"/>
      <w:bookmarkEnd w:id="18"/>
    </w:p>
    <w:p w:rsidR="00941FAE" w:rsidRPr="00CC1A36" w:rsidRDefault="00941FAE" w:rsidP="00941FAE">
      <w:pPr>
        <w:pStyle w:val="Instructionsberschrift2"/>
        <w:numPr>
          <w:ilvl w:val="0"/>
          <w:numId w:val="3"/>
        </w:numPr>
        <w:spacing w:before="0" w:after="120"/>
        <w:rPr>
          <w:rFonts w:ascii="Times New Roman" w:hAnsi="Times New Roman"/>
          <w:b/>
          <w:sz w:val="24"/>
          <w:u w:val="none"/>
        </w:rPr>
      </w:pPr>
      <w:bookmarkStart w:id="19" w:name="_Toc58571958"/>
      <w:r>
        <w:rPr>
          <w:rFonts w:ascii="Times New Roman" w:hAnsi="Times New Roman"/>
          <w:b/>
          <w:sz w:val="24"/>
          <w:u w:val="none"/>
        </w:rPr>
        <w:t>A dalis. Suvaržymo apžvalga</w:t>
      </w:r>
      <w:bookmarkEnd w:id="19"/>
    </w:p>
    <w:p w:rsidR="00941FAE" w:rsidRPr="000F059F" w:rsidRDefault="00941FAE" w:rsidP="00941FAE">
      <w:pPr>
        <w:pStyle w:val="InstructionsText2"/>
        <w:spacing w:after="120"/>
        <w:rPr>
          <w:sz w:val="24"/>
        </w:rPr>
      </w:pPr>
      <w:r>
        <w:rPr>
          <w:sz w:val="24"/>
          <w:szCs w:val="24"/>
        </w:rPr>
        <w:t>Suvaržymo</w:t>
      </w:r>
      <w:r>
        <w:rPr>
          <w:sz w:val="24"/>
        </w:rPr>
        <w:t xml:space="preserve"> apžvalgos formose turtas, naudojamas finansavimo arba užtikrinimo priemonės poreikiams tenkinti balanso datą (</w:t>
      </w:r>
      <w:r>
        <w:rPr>
          <w:sz w:val="24"/>
          <w:szCs w:val="24"/>
        </w:rPr>
        <w:t>suvaržymas</w:t>
      </w:r>
      <w:r>
        <w:rPr>
          <w:sz w:val="24"/>
        </w:rPr>
        <w:t xml:space="preserve"> tam tikru momentu), atskiriamas nuo turto, kurį galima naudoti potencialiems finansavimo poreikiams. </w:t>
      </w:r>
    </w:p>
    <w:p w:rsidR="00941FAE" w:rsidRPr="000F059F" w:rsidRDefault="00941FAE" w:rsidP="00941FAE">
      <w:pPr>
        <w:pStyle w:val="InstructionsText2"/>
        <w:spacing w:after="120"/>
        <w:rPr>
          <w:sz w:val="24"/>
        </w:rPr>
      </w:pPr>
      <w:r>
        <w:rPr>
          <w:sz w:val="24"/>
        </w:rPr>
        <w:t xml:space="preserve">Apžvalgos formoje suvaržyto ir nesuvaržyto ataskaitą teikiančios įstaigos turto suma pateikiama lentelės formatu pagal produktus. Tas pats </w:t>
      </w:r>
      <w:r>
        <w:rPr>
          <w:sz w:val="24"/>
          <w:szCs w:val="24"/>
        </w:rPr>
        <w:t>suskirstymas</w:t>
      </w:r>
      <w:r>
        <w:rPr>
          <w:sz w:val="24"/>
        </w:rPr>
        <w:t xml:space="preserve"> taip pat taikomas gautoms užtikrinimo priemonėms ir išleistiems nuosaviems skolos vertybiniams popieriams, išskyrus padengtąsias obligacijas ir pakeitimo vertybiniais popieriais priemones.</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20" w:name="_Toc58571959"/>
      <w:r>
        <w:rPr>
          <w:rFonts w:ascii="Times New Roman" w:hAnsi="Times New Roman"/>
          <w:sz w:val="24"/>
          <w:u w:val="none"/>
        </w:rPr>
        <w:t>AE-ASS forma. Ataskaitą teikiančios įstaigos turtas</w:t>
      </w:r>
      <w:bookmarkEnd w:id="20"/>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58571960"/>
      <w:bookmarkStart w:id="24" w:name="_Toc348096564"/>
      <w:bookmarkStart w:id="25" w:name="_Toc348097325"/>
      <w:bookmarkStart w:id="26" w:name="_Toc348101345"/>
      <w:r>
        <w:rPr>
          <w:rFonts w:ascii="Times New Roman" w:hAnsi="Times New Roman"/>
          <w:sz w:val="24"/>
          <w:u w:val="none"/>
        </w:rPr>
        <w:t>Bendrosios pastabos</w:t>
      </w:r>
      <w:bookmarkEnd w:id="21"/>
      <w:bookmarkEnd w:id="22"/>
      <w:bookmarkEnd w:id="23"/>
    </w:p>
    <w:p w:rsidR="00941FAE" w:rsidRPr="000F059F" w:rsidRDefault="00941FAE" w:rsidP="00941FAE">
      <w:pPr>
        <w:pStyle w:val="InstructionsText2"/>
        <w:shd w:val="clear" w:color="auto" w:fill="FFFFFF"/>
        <w:spacing w:after="120"/>
        <w:rPr>
          <w:sz w:val="24"/>
        </w:rPr>
      </w:pPr>
      <w:r>
        <w:rPr>
          <w:sz w:val="24"/>
        </w:rPr>
        <w:t>Šioje dalyje pateikiami nurodymai, taikomi pagrindinėms sandorių rūšims, kurios yra svarbios pildant AE formas.</w:t>
      </w:r>
    </w:p>
    <w:tbl>
      <w:tblPr>
        <w:tblW w:w="9214" w:type="dxa"/>
        <w:tblLook w:val="04A0" w:firstRow="1" w:lastRow="0" w:firstColumn="1" w:lastColumn="0" w:noHBand="0" w:noVBand="1"/>
      </w:tblPr>
      <w:tblGrid>
        <w:gridCol w:w="9214"/>
      </w:tblGrid>
      <w:tr w:rsidR="00941FAE" w:rsidRPr="000F059F" w:rsidTr="005150E8">
        <w:tc>
          <w:tcPr>
            <w:tcW w:w="9214"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Visi sandoriai, dėl kurių padidėja įstaigos suvaržymo lygis, turi du aspektus, apie kuriuos informacija pateikiama atskirai visose AE formose. Toks turtas turi būti nurodomas ir kaip suvaržymo šaltinis, ir kaip suvaržytas turtas arba užtikrinimo priemonė.</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Toliau pateikiant pavyzdžius aprašyta, kaip teikti informaciją apie tam tikros rūšies sandorį šioje dalyje; tos pačios taisyklės taikomos ir kitoms AE formoms.</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Užtikrintas indėlis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Informacija apie užtikrintą indėlį teikiama taip:</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indėlio balansinė vertė nurodoma kaip suvaržymo šaltinis {AE-SOU; r070; c010};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kai užtikrinimo priemonė yra ataskaitą teikiančios įstaigos turtas: jos balansinė vertė nurodoma {AE-ASS; *; c010} ir {AE-SOU; r070; c030}; jos tikroji vertė nurodoma {AE-ASS; *; c040};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kai ataskaitą teikianti įstaiga gavo užtikrinimo priemonę, jos tikroji vertė nurodoma {AE-COL; *; c010}, {AE-SOU; r070; c030} ir {AE-SOU; r070;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Atpirkimo sandoriai / Suderinti atpirkimo sandoriai</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Informacija apie atpirkimo sandorį teikiama taip:</w:t>
            </w:r>
          </w:p>
          <w:p w:rsidR="00941FAE" w:rsidRPr="000F059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atpirkimo sandorio bendra balansinė vertė nurodoma kaip suvaržymo šaltinis {AE-SOU; r050; c010};</w:t>
            </w:r>
          </w:p>
          <w:p w:rsidR="00941FAE" w:rsidRPr="00B93E25"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atpirkimo sandorio užtikrinimo priemonė parodoma taip:</w:t>
            </w:r>
          </w:p>
          <w:p w:rsidR="00941FAE" w:rsidRPr="00B93E25"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kai užtikrinimo priemonė yra ataskaitą teikiančios įstaigos turtas: jos balansinė vertė nurodoma {AE-ASS; *; c010} ir {AE-SOU; r050; c030}; jos tikroji vertė nurodoma {AE-ASS; *; c040};</w:t>
            </w:r>
          </w:p>
          <w:p w:rsidR="00941FAE" w:rsidRPr="00141A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kai ataskaitą teikianti įstaiga gavo užtikrinimo priemonę pagal ankstesnį atvirkštinio atpirkimo sandorį (suderintą atpirkimo sandorį), jos tikroji vertė nurodoma {AE-COL; *; c010}, {AE-SOU; r050; c030} ir {AE-SOU; r050; c040}.</w:t>
            </w:r>
          </w:p>
          <w:p w:rsidR="00941FAE" w:rsidRPr="005F7E60"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Centrinio banko finansavimas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Kadangi užtikrintas centrinio banko finansavimas yra tik specifinis užtikrinto indėlio arba atpirkimo sandorio, kurio sandorio šalis yra centrinis bankas, atvejis, taikomos i ir ii punktuose nustatytos taisyklės.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Tais atvejais, kai neįmanoma priskirti konkrečios užtikrinimo priemonės kiekvienai operacijai, nes užtikrinimo priemonės sujungiamos į grupę, užtikrinimo priemonės turėtų būti suskirstytos proporciniu principu, remiantis užtikrinimo priemonių grupės sudėtimi.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Centriniams bankams iš anksto pateiktas turtas nelaikomas suvaržytu, išskyrus atvejus, kai centrinis bankas neleidžia atsiimti jokio pateikto turto be išankstinio sutikimo. Nepanaudotų finansinių garantijų atveju nepanaudota dalis, t. y. minimalią centrinio banko reikalaujamą sumą viršijanti suma, proporcingai paskirstoma centriniam bankui pateiktam turtui.</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Vertybinių popierių skolinimas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Vertybinių popierių skolinimui su pinigine užtikrinimo priemone yra taikomos atpirkimo sandoriams ir (arba) suderintiems atpirkimo sandoriams skirtos taisyklės.</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Informacija apie vertybinių popierių skolinimą be piniginės užtikrinimo priemonės teikiama taip:</w:t>
            </w:r>
          </w:p>
          <w:p w:rsidR="00941FAE" w:rsidRPr="00B93E25"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pasiskolintų vertybinių popierių tikroji vertė nurodoma kaip suvaržymo šaltinis {AE-SOU; r150; c010}. Kai skolintojas už paskolintus vertybinius popierius negauna jokių vertybinių popierių, o vietoje jų gauna mokestį, {AE-SOU; r150; c010} nurodoma vertė yra nulis;</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kai vertybiniai popieriai, paskolinti kaip užtikrinimo priemonė, yra ataskaitą teikiančios įstaigos turtas: jų balansinė vertė nurodoma {AE-ASS; *; c010} ir {AE-SOU; r150; c030}; jų tikroji vertė nurodoma {AE-ASS; *; c040};</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kai ataskaitą teikianti įstaiga gauna vertybinius popierius, paskolintus kaip užtikrinimo priemonė, jų tikroji vertė nurodoma {AE-COL; *; c010}, {AE-SOU; r150; c030} ir {AE-SOU; r150;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Išvestinės finansinės priemonės (įsipareigojimai)</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Informacija apie užtikrintas išvestines finansines priemones, kurių tikroji vertė yra neigiama, pateikiama taip:</w:t>
            </w:r>
          </w:p>
          <w:p w:rsidR="00941FAE" w:rsidRPr="000F059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išvestinės finansinės priemonės balansinė vertė nurodoma kaip suvaržymo šaltinis {AE-SOU; r020; c010};</w:t>
            </w:r>
          </w:p>
          <w:p w:rsidR="00941FAE" w:rsidRPr="005F7E6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informacija apie užtikrinimo priemones (pradines garantines įmokas, būtinas pozicijai atidaryti, ir bet kokias pateiktas užtikrinimo priemones, atitinkančias išvestinių finansinių priemonių sandorių rinkos vertę) pateikiama taip:</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kai tai yra ataskaitą teikiančios įstaigos turtas: jų balansinė vertė nurodoma {AE-ASS; *; c010} ir {AE-SOU; r020; c030}; jų tikroji vertė nurodoma {AE-ASS; *; c040};</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kai tai ataskaitą teikiančios įstaigos gautos užtikrinimo priemonės, jų tikroji vertė nurodoma {AE-COL; *; c010}, {AE-SOU; r020; c030} ir {AE-SOU; r020;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Padengtosios obligacijos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Visais atvejais teikiant informaciją apie turto suvaržymą padengtosios obligacijos yra priemonės, nurodytos Direktyvos 2009/65/ES 52 straipsnio 4 dalies pirmoje pastraipoje, nepriklausomai nuo to, ar šios priemonės teisiškai yra vertybiniai popieriai, ar ne.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Jeigu neišlaikoma jokia ataskaitą teikiančios įstaigos išleistų vertybinių popierių dalis, padengtosioms obligacijoms netaikomos jokios specifinės taisyklės.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Tuo atveju, kai dalis emisijos išlaikoma, siekiant išvengti dvigubo skaičiavimo, taikoma toliau siūloma tvarka:</w:t>
            </w:r>
          </w:p>
          <w:p w:rsidR="00941FAE" w:rsidRPr="000F059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kai nuosavos padengtosios obligacijos neįkeičiamos, užtikrinamojo turto grupės suma, kuria užtikrinami šie išlaikyti ir dar neįkeisti vertybiniai popieriai, nurodoma AE-ASS formose kaip nesuvaržytas turtas. Papildoma informacija apie išlaikytas dar neįkeistas padengtąsias obligacijas (pagrindinis turtas, turto, kuris gali būti suvaržytas, tikroji vertė bei atitikimas reikalavimams ir turto, kuris negali būti suvaržytas, nominalioji vertė) pateikiama AE-NPL formoje;</w:t>
            </w:r>
          </w:p>
          <w:p w:rsidR="00941FAE" w:rsidRPr="005F7E6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kai nuosavos padengtosios obligacijos įkeičiamos, tuomet užtikrinamojo turto grupės suma, kuria užtikrinami šie išlaikyti įkeisti vertybiniai popieriai, įtraukiama į AE-ASS formą kaip suvaržytas turtas.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Toliau lentelėje nurodoma, kaip pateikti informaciją apie 100 EUR vertės padengtųjų obligacijų emisiją, iš kurios 15 % obligacijų yra išlaikomos ir neįkeičiamos, o 10 % išlaikomos ir įkeičiamos kaip užtikrinimo priemonės 11 EUR vertės atpirkimo sandoryje su centriniu banku, kai užtikrinamojo turto grupę sudaro neužtikrintos paskolos ir paskolų balansinė vertė yra 150 EUR.</w:t>
            </w:r>
          </w:p>
          <w:p w:rsidR="00941FAE" w:rsidRPr="00361B13" w:rsidRDefault="0077393B" w:rsidP="005150E8">
            <w:pPr>
              <w:spacing w:before="0"/>
              <w:rPr>
                <w:rStyle w:val="InstructionsTabelleberschrift"/>
                <w:rFonts w:ascii="Times New Roman" w:hAnsi="Times New Roman"/>
                <w:b w:val="0"/>
                <w:sz w:val="24"/>
                <w:u w:val="none"/>
                <w:lang w:eastAsia="de-DE"/>
              </w:rPr>
            </w:pPr>
            <w:r w:rsidRPr="0077393B">
              <w:rPr>
                <w:rStyle w:val="InstructionsTabelleberschrift"/>
                <w:rFonts w:ascii="Times New Roman" w:hAnsi="Times New Roman"/>
                <w:b w:val="0"/>
                <w:smallCaps/>
                <w:noProof/>
                <w:sz w:val="24"/>
                <w:u w:val="none"/>
                <w:lang w:val="en-US"/>
              </w:rPr>
              <w:drawing>
                <wp:inline distT="0" distB="0" distL="0" distR="0">
                  <wp:extent cx="5303520" cy="1892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03520" cy="1892300"/>
                          </a:xfrm>
                          <a:prstGeom prst="rect">
                            <a:avLst/>
                          </a:prstGeom>
                          <a:noFill/>
                          <a:ln>
                            <a:noFill/>
                          </a:ln>
                        </pic:spPr>
                      </pic:pic>
                    </a:graphicData>
                  </a:graphic>
                </wp:inline>
              </w:drawing>
            </w:r>
          </w:p>
          <w:p w:rsidR="00941FAE" w:rsidRPr="00361B13"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Pakeitimo vertybiniais popieriais priemonės</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Pakeitimo vertybiniais popieriais priemonės yra ataskaitą teikiančios įstaigos turimi skolos vertybiniai popieriai, atsiradę dėl pakeitimo vertybiniais popieriais sandorio, kaip apibrėžta </w:t>
            </w:r>
            <w:r>
              <w:rPr>
                <w:rStyle w:val="InstructionsTabelleberschrift"/>
                <w:rFonts w:ascii="Times New Roman" w:hAnsi="Times New Roman"/>
                <w:b w:val="0"/>
                <w:sz w:val="24"/>
                <w:u w:val="none"/>
              </w:rPr>
              <w:lastRenderedPageBreak/>
              <w:t>KPR 4 straipsnio 61 punkte.</w:t>
            </w:r>
            <w:r>
              <w:rPr>
                <w:rStyle w:val="InstructionsTabelleberschrift"/>
                <w:rFonts w:ascii="Times New Roman" w:hAnsi="Times New Roman"/>
                <w:b w:val="0"/>
                <w:i/>
                <w:sz w:val="24"/>
                <w:highlight w:val="yellow"/>
                <w:u w:val="none"/>
              </w:rPr>
              <w:t xml:space="preserve"> </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Pakeitimo vertybiniais popieriais priemonėms, kurios lieka balanse (jų pripažinimas nenutraukiamas), taikomos padengtosioms obligacijoms skirtos taisyklės.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Kai pakeitimo vertybiniais popieriais priemonių pripažinimas nutrauktas, suvaržymo nėra, jei įstaiga turi tam tikrą kiekį vertybinių popierių. Tie vertybiniai popieriai bus parodyti ataskaitą teikiančių įstaigų prekybos knygoje arba bankinėje knygoje kaip bet koks kitas trečiosios šalies išleistas vertybinis popierius.</w:t>
            </w:r>
          </w:p>
        </w:tc>
        <w:bookmarkStart w:id="27" w:name="_GoBack"/>
        <w:bookmarkEnd w:id="27"/>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8" w:name="_Toc58571961"/>
      <w:r>
        <w:rPr>
          <w:rFonts w:ascii="Times New Roman" w:hAnsi="Times New Roman"/>
          <w:sz w:val="24"/>
          <w:u w:val="none"/>
        </w:rPr>
        <w:lastRenderedPageBreak/>
        <w:t>Nurodymai dėl konkrečių eilučių</w:t>
      </w:r>
      <w:bookmarkEnd w:id="24"/>
      <w:bookmarkEnd w:id="25"/>
      <w:bookmarkEnd w:id="26"/>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Eilutės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Ataskaitą teikiančios įstaigos turtas</w:t>
            </w:r>
          </w:p>
          <w:p w:rsidR="00941FAE" w:rsidRPr="00361B13"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1-ojo TAS 9 straipsnio a punktas, 6-oji įgyvendinimo nuoroda (ĮN); visas ataskaitą teikiančios įstaigos turtas, įrašytas balanse.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Paskolos pagal pareikalavimą</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1-ojo TAS 54 straipsnio i punktas</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Įstaigos teikia informaciją apie pareikalavus gaunamas lėšas centriniuose bankuose ir kitose įstaigose. Grynieji pinigai, t. y. turimi nacionalinės ir užsienio valiutų banknotai ir monetos, esantys apyvartoje, paprastai naudojami mokėjimams atlikti, įtraukiami į </w:t>
            </w:r>
            <w:r>
              <w:rPr>
                <w:rStyle w:val="InstructionsTabelleberschrift"/>
                <w:rFonts w:ascii="Times New Roman" w:hAnsi="Times New Roman"/>
                <w:b w:val="0"/>
                <w:bCs w:val="0"/>
                <w:sz w:val="24"/>
                <w:u w:val="none"/>
              </w:rPr>
              <w:t>eilutę „Kitas turtas“.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Nuosavybės priemonės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turimos nuosavybės priemonės, kaip apibrėžta 32-ojo TAS 1 straipsnyje.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Skolos vertybiniai popieriai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priedo 1 </w:t>
            </w:r>
            <w:r>
              <w:rPr>
                <w:rStyle w:val="InstructionsTabelleberschrift"/>
                <w:rFonts w:ascii="Times New Roman" w:hAnsi="Times New Roman"/>
                <w:b w:val="0"/>
                <w:bCs w:val="0"/>
                <w:sz w:val="24"/>
                <w:u w:val="none"/>
              </w:rPr>
              <w:t>dalies</w:t>
            </w:r>
            <w:r>
              <w:rPr>
                <w:rStyle w:val="InstructionsTabelleberschrift"/>
                <w:rFonts w:ascii="Times New Roman" w:hAnsi="Times New Roman"/>
                <w:b w:val="0"/>
                <w:sz w:val="24"/>
                <w:u w:val="none"/>
              </w:rPr>
              <w:t xml:space="preserve"> 31 </w:t>
            </w:r>
            <w:r>
              <w:rPr>
                <w:rStyle w:val="InstructionsTabelleberschrift"/>
                <w:rFonts w:ascii="Times New Roman" w:hAnsi="Times New Roman"/>
                <w:b w:val="0"/>
                <w:bCs w:val="0"/>
                <w:sz w:val="24"/>
                <w:u w:val="none"/>
              </w:rPr>
              <w:t>punktas</w:t>
            </w:r>
          </w:p>
          <w:p w:rsidR="00941FAE" w:rsidRPr="00E6052D"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Įstaigos teikia informaciją apie ataskaitą teikiančios įstaigos turimas skolos priemones, išleistas kaip vertybiniai popieriai, kurios nėra paskolos pagal ECB BSI reglamentą.</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padengtosios obligacijos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turimi skolos vertybiniai popieriai, kurie yra obligacijos, nurodytos Direktyvos 2009/65/EB 52 straipsnio 4 dalies</w:t>
            </w:r>
            <w:r>
              <w:rPr>
                <w:rFonts w:ascii="Times New Roman" w:hAnsi="Times New Roman"/>
                <w:sz w:val="24"/>
              </w:rPr>
              <w:t xml:space="preserve"> pirmoje pastraipoje.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pakeitimo vertybiniais popieriais priemonės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Ataskaitą teikiančios įstaigos turimi skolos vertybiniai popieriai, kurie yra laikomi pakeitimu vertybiniais popieriais, kaip </w:t>
            </w:r>
            <w:r>
              <w:rPr>
                <w:rStyle w:val="InstructionsTabelleberschrift"/>
                <w:rFonts w:ascii="Times New Roman" w:hAnsi="Times New Roman"/>
                <w:b w:val="0"/>
                <w:bCs w:val="0"/>
                <w:sz w:val="24"/>
                <w:u w:val="none"/>
              </w:rPr>
              <w:t>apibrėžta</w:t>
            </w:r>
            <w:r>
              <w:rPr>
                <w:rStyle w:val="InstructionsTabelleberschrift"/>
                <w:rFonts w:ascii="Times New Roman" w:hAnsi="Times New Roman"/>
                <w:b w:val="0"/>
                <w:sz w:val="24"/>
                <w:u w:val="none"/>
              </w:rPr>
              <w:t xml:space="preserve"> KPR </w:t>
            </w:r>
            <w:r>
              <w:rPr>
                <w:rStyle w:val="InstructionsTabelleberschrift"/>
                <w:rFonts w:ascii="Times New Roman" w:hAnsi="Times New Roman"/>
                <w:b w:val="0"/>
                <w:bCs w:val="0"/>
                <w:sz w:val="24"/>
                <w:u w:val="none"/>
              </w:rPr>
              <w:t>4</w:t>
            </w:r>
            <w:r>
              <w:rPr>
                <w:rStyle w:val="InstructionsTabelleberschrift"/>
                <w:rFonts w:ascii="Times New Roman" w:hAnsi="Times New Roman"/>
                <w:b w:val="0"/>
                <w:sz w:val="24"/>
                <w:u w:val="none"/>
              </w:rPr>
              <w:t> straipsnio 61 punkte.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iš jų: išleisti valdžios sektoriaus institucijų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turimi skolos vertybiniai popieriai, išleisti valdžios sektoriaus institucijų.</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cyan"/>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 jų: išleisti finansų bendrovių</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Ataskaitą teikiančios įstaigos turimi skolos vertybiniai popieriai, išleisti finansų </w:t>
            </w:r>
            <w:r>
              <w:rPr>
                <w:rStyle w:val="InstructionsTabelleberschrift"/>
                <w:rFonts w:ascii="Times New Roman" w:hAnsi="Times New Roman"/>
                <w:b w:val="0"/>
                <w:sz w:val="24"/>
                <w:u w:val="none"/>
              </w:rPr>
              <w:lastRenderedPageBreak/>
              <w:t xml:space="preserve">bendrovių, kaip apibrėžta V priedo 1 dalies </w:t>
            </w:r>
            <w:r>
              <w:rPr>
                <w:rStyle w:val="InstructionsTabelleberschrift"/>
                <w:rFonts w:ascii="Times New Roman" w:hAnsi="Times New Roman"/>
                <w:b w:val="0"/>
                <w:bCs w:val="0"/>
                <w:sz w:val="24"/>
                <w:u w:val="none"/>
              </w:rPr>
              <w:t>42 punkto c ir d papunkčiuose</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išleisti ne</w:t>
            </w:r>
            <w:r>
              <w:rPr>
                <w:rStyle w:val="InstructionsTabelleberschrift"/>
                <w:rFonts w:ascii="Times New Roman" w:hAnsi="Times New Roman"/>
                <w:sz w:val="24"/>
              </w:rPr>
              <w:noBreakHyphen/>
              <w:t xml:space="preserve"> finansų bendrovių</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Ataskaitą teikiančios įstaigos turimi skolos vertybiniai popieriai, išleisti ne finansų bendrovių, kaip apibrėžta V priedo 1 dalies </w:t>
            </w:r>
            <w:r>
              <w:rPr>
                <w:rStyle w:val="InstructionsTabelleberschrift"/>
                <w:rFonts w:ascii="Times New Roman" w:hAnsi="Times New Roman"/>
                <w:b w:val="0"/>
                <w:bCs w:val="0"/>
                <w:sz w:val="24"/>
                <w:u w:val="none"/>
              </w:rPr>
              <w:t>42 punkto e papunktyje</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Paskolos ir išankstiniai mokėjimai, išskyrus paskolas pagal pareikalavimą</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Paskolos ir išankstiniai mokėjimai, kurie yra skolos priemonės, išskyrus ataskaitas teikiančių įstaigų turimus vertybinius popierius; išskyrus pareikalavus gaunamas lėšas.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iš jų: paskolos, užtikrintos nekilnojamuoju turtu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Paskolos ir išankstiniai mokėjimai, išskyrus paskolas pagal pareikalavimą, kurie yra užtikrinti nekilnojamuoju turtu pagal </w:t>
            </w:r>
            <w:r>
              <w:rPr>
                <w:rStyle w:val="InstructionsTabelleberschrift"/>
                <w:rFonts w:ascii="Times New Roman" w:hAnsi="Times New Roman"/>
                <w:b w:val="0"/>
                <w:bCs w:val="0"/>
                <w:sz w:val="24"/>
                <w:u w:val="none"/>
              </w:rPr>
              <w:t>V priedo 2 dalies 86 punktą</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Kitas turtas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Kitas balanse įrašytas ataskaitą teikiančios įstaigos turtas, išskyrus minėtą pirmiau nurodytose eilutėse, kuris nėra nuosavi skolos vertybiniai popieriai ir nuosavos nuosavybės priemonės, kurių pripažinimo balanse TFAS netaikanti įstaiga negali nutraukti.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Šiuo atveju nuosavi skolos vertybiniai popieriai nurodomi AE-COL formos 240 eilutėje, o nuosavos nuosavybės priemonės teikiant informaciją apie turto suvaržymą neįtraukiamos.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9" w:name="_Toc348096565"/>
      <w:bookmarkStart w:id="30" w:name="_Toc348097326"/>
      <w:bookmarkStart w:id="31" w:name="_Toc348101346"/>
      <w:bookmarkStart w:id="32" w:name="_Toc58571962"/>
      <w:r>
        <w:rPr>
          <w:rFonts w:ascii="Times New Roman" w:hAnsi="Times New Roman"/>
          <w:sz w:val="24"/>
          <w:u w:val="none"/>
        </w:rPr>
        <w:t>Nurodymai dėl konkrečių skilčių</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Skiltys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Suvaržyto turto balansinė vertė</w:t>
            </w:r>
          </w:p>
          <w:p w:rsidR="00941FAE" w:rsidRPr="00B93E25"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Įstaigos nurodo </w:t>
            </w:r>
            <w:r>
              <w:rPr>
                <w:rStyle w:val="InstructionsTabelleberschrift"/>
                <w:rFonts w:ascii="Times New Roman" w:hAnsi="Times New Roman"/>
                <w:b w:val="0"/>
                <w:color w:val="auto"/>
                <w:sz w:val="24"/>
                <w:u w:val="none"/>
              </w:rPr>
              <w:t>savo turto, kuris yra suvaržytas pagal šio priedo</w:t>
            </w:r>
            <w:r>
              <w:rPr>
                <w:rStyle w:val="InstructionsTabelleberschrift"/>
                <w:rFonts w:ascii="Times New Roman" w:hAnsi="Times New Roman"/>
                <w:b w:val="0"/>
                <w:sz w:val="24"/>
                <w:u w:val="none"/>
              </w:rPr>
              <w:t xml:space="preserve"> 11 punkte nurodytą turto suvaržymo apibrėžtį, balansinę vertę</w:t>
            </w:r>
            <w:r>
              <w:rPr>
                <w:rStyle w:val="InstructionsTabelleberschrift"/>
                <w:rFonts w:ascii="Times New Roman" w:hAnsi="Times New Roman"/>
                <w:b w:val="0"/>
                <w:color w:val="auto"/>
                <w:sz w:val="24"/>
                <w:u w:val="none"/>
              </w:rPr>
              <w:t>. Balansinė vertė – suma, nurodyta balanse turto dalyje.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išleistos kitų grupės subjektų</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turimo suvaržyto turto, kurį išleido bet kuris subjektas, įtrauktas į rizikos ribojimu pagrįstą konsolidavimą, balansinė vertė.</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atitinka centrinio banko reikalavimus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Ataskaitą teikiančios įstaigos turimo suvaržyto turto, kuris atitinka reikalavimus, kad jį būtų galima naudoti operacijoms su tais centriniais bankais, kurių paslaugomis ataskaitą teikianti įstaiga gali naudotis, balansinė vertė.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w:t>
            </w:r>
            <w:r>
              <w:rPr>
                <w:rFonts w:ascii="Times New Roman" w:hAnsi="Times New Roman"/>
                <w:sz w:val="24"/>
              </w:rPr>
              <w:t xml:space="preserve"> </w:t>
            </w:r>
            <w:r>
              <w:rPr>
                <w:rStyle w:val="instructionstabelleberschrift0"/>
                <w:rFonts w:ascii="Times New Roman" w:hAnsi="Times New Roman"/>
                <w:sz w:val="24"/>
              </w:rPr>
              <w:t>t. y. gali nepildyti atitinkamo formos langelio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jos: teoriškai atitinkantys EHQLA ir HQLA reikalavimus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Suvaržyto turto, kuris teoriškai atitinka reikalavimus, kad būtų laikomas itin </w:t>
            </w:r>
            <w:r>
              <w:rPr>
                <w:rStyle w:val="InstructionsTabelleberschrift"/>
                <w:rFonts w:ascii="Times New Roman" w:hAnsi="Times New Roman"/>
                <w:b w:val="0"/>
                <w:sz w:val="24"/>
                <w:u w:val="none"/>
              </w:rPr>
              <w:lastRenderedPageBreak/>
              <w:t xml:space="preserve">didelio likvidumo ir itin aukštos kredito kokybės turtu (angl. EHQLA) ir didelio likvidumo ir aukštos kredito kokybės turtu (angl. HQLA), balansinė vertė. </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Šiame reglamente suvaržytas turtas, kuris teoriškai atitinka reikalavimus, kad būtų laikomas EHQLA ir HQLA, yra turtas, kuris nurodytas Deleguotojo reglamento (ES) 2015/61 10, 11, 12 ir 13 straipsniuose ir kuris atitiktų bendruosius bei veiklos reikalavimus, nustatytus to deleguotojo reglamento 7 ir 8 straipsniuose, jeigu nebūtų laikomas suvaržytu pagal Įgyvendinimo reglamento (ES) Nr. 680/2014 XVII priedą.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Suvaržytas turtas, teoriškai atitinkantis reikalavimus, kad būtų laikomas EHQLA ir HQLA, taip pat atitinka atskiroms pozicijų klasėms taikomus reikalavimus, nustatytus Deleguotojo reglamento (ES) 2015/61 10–16 ir 35–37 straipsniuose. Suvaržyto turto, kuris teoriškai atitinka reikalavimus, kad būtų laikomas EHQLA ir HQLA, balansinė vertė yra balansinė vertė prieš pritaikant vertės mažinimą, nurodytą Deleguotojo reglamento (ES) 2015/61 10–16 straipsniuose.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Suvaržyto turto tikroji vertė</w:t>
            </w:r>
          </w:p>
          <w:p w:rsidR="00941FAE" w:rsidRPr="00361B13"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13-asis TFAS ir </w:t>
            </w:r>
            <w:r>
              <w:rPr>
                <w:rStyle w:val="InstructionsTabelleberschrift"/>
                <w:rFonts w:ascii="Times New Roman" w:hAnsi="Times New Roman"/>
                <w:b w:val="0"/>
                <w:bCs w:val="0"/>
                <w:sz w:val="24"/>
                <w:u w:val="none"/>
              </w:rPr>
              <w:t xml:space="preserve">Europos Parlamento ir Tarybos </w:t>
            </w:r>
            <w:r>
              <w:rPr>
                <w:rStyle w:val="InstructionsTabelleberschrift"/>
                <w:rFonts w:ascii="Times New Roman" w:hAnsi="Times New Roman"/>
                <w:b w:val="0"/>
                <w:sz w:val="24"/>
                <w:u w:val="none"/>
              </w:rPr>
              <w:t xml:space="preserve">direktyvos </w:t>
            </w:r>
            <w:r>
              <w:rPr>
                <w:rStyle w:val="InstructionsTabelleberschrift"/>
                <w:rFonts w:ascii="Times New Roman" w:hAnsi="Times New Roman"/>
                <w:b w:val="0"/>
                <w:bCs w:val="0"/>
                <w:sz w:val="24"/>
                <w:u w:val="none"/>
              </w:rPr>
              <w:t>2013/34/ES</w:t>
            </w:r>
            <w:r>
              <w:rPr>
                <w:rStyle w:val="FootnoteReference"/>
                <w:rFonts w:ascii="Times New Roman" w:hAnsi="Times New Roman"/>
                <w:sz w:val="24"/>
                <w:lang w:eastAsia="de-DE"/>
              </w:rPr>
              <w:footnoteReference w:id="1"/>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8 straipsnis TFAS netaikančioms įstaigoms.</w:t>
            </w:r>
            <w:r>
              <w:rPr>
                <w:rStyle w:val="InstructionsTabelleberschrift"/>
                <w:rFonts w:ascii="Times New Roman" w:hAnsi="Times New Roman"/>
                <w:b w:val="0"/>
                <w:bCs w:val="0"/>
                <w:sz w:val="24"/>
                <w:u w:val="none"/>
              </w:rPr>
              <w:t xml:space="preserve"> </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Įstaigos nurodo savo skolos vertybinių popierių, kurie yra suvaržyti pagal šio priedo 11 punkte nurodytą turto suvaržymo apibrėžtį, tikrąją vertę. </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Finansinės priemonės tikroji vertė yra kaina, už kurią vertinimo dieną būtų parduotas turtas arba perleistas įsipareigojimas pagal tvarkingą sandorį tarp rinkos dalyvių (žr. 13-ąjį TFAS „Tikrosios vertės nustatymas“).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atitinka centrinio banko reikalavimus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Ataskaitą teikiančios įstaigos turimų suvaržytų skolos vertybinių popierių, kurie atitinka reikalavimus, kad juos būtų galima naudoti operacijoms su tais centriniais bankais, kurių paslaugomis ataskaitą teikianti įstaiga gali naudotis, tikroji vertė.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w:t>
            </w:r>
            <w:r>
              <w:rPr>
                <w:rFonts w:ascii="Times New Roman" w:hAnsi="Times New Roman"/>
                <w:sz w:val="24"/>
              </w:rPr>
              <w:t xml:space="preserve"> </w:t>
            </w:r>
            <w:r>
              <w:rPr>
                <w:rStyle w:val="instructionstabelleberschrift0"/>
                <w:rFonts w:ascii="Times New Roman" w:hAnsi="Times New Roman"/>
                <w:sz w:val="24"/>
              </w:rPr>
              <w:t>t. y. gali nepildyti atitinkamo formos langelio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jos: teoriškai atitinkantys EHQLA ir HQLA reikalavimus</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Suvaržyto turto, kuris teoriškai atitinka EHQLA ir HQLA kriterijus, tikroji vertė </w:t>
            </w:r>
          </w:p>
          <w:p w:rsidR="00941FAE" w:rsidRPr="00A67D5A" w:rsidRDefault="00941FAE" w:rsidP="005150E8">
            <w:pPr>
              <w:spacing w:before="0"/>
              <w:rPr>
                <w:rStyle w:val="InstructionsTabelleberschrift"/>
                <w:b w:val="0"/>
                <w:bCs w:val="0"/>
                <w:u w:val="none"/>
              </w:rPr>
            </w:pPr>
            <w:r>
              <w:rPr>
                <w:rStyle w:val="TeksttreciTimesNewRoman105ptOdstpy0pt"/>
                <w:sz w:val="24"/>
              </w:rPr>
              <w:t xml:space="preserve">Šiame reglamente suvaržytas turtas, kuris teoriškai atitinka reikalavimus, kad būtų laikomas EHQLA ir HQLA, yra turtas, kuris nurodytas Deleguotojo reglamento (ES) 2015/61 10, 11, 12 ir 13 straipsniuose ir kuris atitiktų bendruosius bei veiklos reikalavimus, nustatytus to deleguotojo reglamento 7 </w:t>
            </w:r>
            <w:r>
              <w:rPr>
                <w:rStyle w:val="TeksttreciTimesNewRoman105ptOdstpy0pt"/>
                <w:sz w:val="24"/>
              </w:rPr>
              <w:lastRenderedPageBreak/>
              <w:t>ir 8 straipsniuose, jeigu nebūtų laikomas suvaržytu pagal Įgyvendinimo reglamento (ES) Nr. 680/2014 XVII priedą. Suvaržytas turtas, teoriškai atitinkantis reikalavimus, kad būtų laikomas EHQLA ir HQLA, taip pat atitinka atskiroms pozicijų klasėms taikomus reikalavimus, nustatytus Deleguotojo reglamento (ES) 2015/61 10–16 ir 35–37 straipsniuose. Suvaržyto turto, kuris teoriškai atitinka reikalavimus, kad būtų laikomas EHQLA ir HQLA, tikroji vertė yra tikroji vertė prieš pritaikant vertės mažinimą, nurodytą Deleguotojo reglamento (ES) 2015/61 10–16 straipsniuose.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Nesuvaržyto turto balansinė vertė</w:t>
            </w:r>
          </w:p>
          <w:p w:rsidR="00941FAE" w:rsidRPr="00361B13"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Įstaigos nurodo savo turto, kuris yra nesuvaržytas pagal šio priedo 11 punkte nurodytą turto suvaržymo apibrėžtį, balansinę vertę.</w:t>
            </w:r>
          </w:p>
          <w:p w:rsidR="00941FAE" w:rsidRPr="00B93E25"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Balansinė vertė yra suma, nurodoma balanse turto dalyje.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išleistos kitų grupės subjektų</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turimo nesuvaržyto turto, kurį išleido bet kuris subjektas, įtrauktas į rizikos ribojimu pagrįstą konsolidavimą, balansinė vertė.</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atitinka centrinio banko reikalavimus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Ataskaitą teikiančios įstaigos turimo nesuvaržyto turto, kuris atitinka reikalavimus, kad jį būtų galima naudoti operacijoms su tais centriniais bankais, kurių paslaugomis ataskaitą teikianti įstaiga gali naudotis, balansinė vertė.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w:t>
            </w:r>
            <w:r>
              <w:rPr>
                <w:rFonts w:ascii="Times New Roman" w:hAnsi="Times New Roman"/>
                <w:sz w:val="24"/>
              </w:rPr>
              <w:t xml:space="preserve"> </w:t>
            </w:r>
            <w:r>
              <w:rPr>
                <w:rStyle w:val="instructionstabelleberschrift0"/>
                <w:rFonts w:ascii="Times New Roman" w:hAnsi="Times New Roman"/>
                <w:sz w:val="24"/>
              </w:rPr>
              <w:t>t. y. gali nepildyti atitinkamo formos langelio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jos: EHQLA ir HQLA</w:t>
            </w:r>
          </w:p>
          <w:p w:rsidR="00941FAE" w:rsidRDefault="00941FAE" w:rsidP="005150E8">
            <w:pPr>
              <w:spacing w:before="0"/>
              <w:rPr>
                <w:rStyle w:val="TeksttreciTimesNewRoman105ptOdstpy0pt"/>
                <w:rFonts w:eastAsia="Calibri"/>
                <w:sz w:val="24"/>
              </w:rPr>
            </w:pPr>
            <w:r>
              <w:rPr>
                <w:rStyle w:val="TeksttreciTimesNewRoman105ptOdstpy0pt"/>
                <w:sz w:val="24"/>
              </w:rPr>
              <w:t>Nesuvaržyto EHQLA ir HQLA, nurodyto Deleguotojo reglamento (ES) 2015/61 10, 11, 12 ir 13 straipsniuose ir atitinkančio bendruosius bei veiklos reikalavimus, nustatytus to deleguotojo reglamento 7 ir 8 straipsniuose, taip pat atskiroms pozicijų klasėms taikomus reikalavimus, nustatytus to deleguotojo reglamento 10–16 ir 35–37 straipsniuose, balansinė vertė.</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EHQLA ir HQLA balansinė vertė yra balansinė vertė prieš pritaikant vertės mažinimą, nurodytą Deleguotojo reglamento (ES) 2015/61 10–16 straipsniuose.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Nesuvaržyto turto tikroji vertė</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13-asis TFAS ir Direktyvos </w:t>
            </w:r>
            <w:r>
              <w:rPr>
                <w:rStyle w:val="InstructionsTabelleberschrift"/>
                <w:rFonts w:ascii="Times New Roman" w:hAnsi="Times New Roman"/>
                <w:b w:val="0"/>
                <w:bCs w:val="0"/>
                <w:sz w:val="24"/>
                <w:u w:val="none"/>
              </w:rPr>
              <w:t>2013/34/ES</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bCs w:val="0"/>
                <w:sz w:val="24"/>
                <w:u w:val="none"/>
              </w:rPr>
              <w:t>8 straipsnis</w:t>
            </w:r>
            <w:r>
              <w:rPr>
                <w:rStyle w:val="InstructionsTabelleberschrift"/>
                <w:rFonts w:ascii="Times New Roman" w:hAnsi="Times New Roman"/>
                <w:b w:val="0"/>
                <w:sz w:val="24"/>
                <w:u w:val="none"/>
              </w:rPr>
              <w:t xml:space="preserve"> TFAS netaikančioms įstaigoms.</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Įstaigos nurodo savo skolos vertybinių popierių, kurie yra nesuvaržyti pagal šio priedo 11 punkte nurodytą turto suvaržymo apibrėžtį, tikrąją vertę.</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Finansinės priemonės tikroji vertė yra kaina, už kurią vertinimo dieną būtų parduotas turtas arba perleistas įsipareigojimas pagal tvarkingą sandorį tarp rinkos dalyvių (žr. 13-ąjį TFAS „Tikrosios vertės nustatymas“).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atitinka centrinio banko reikalavimus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Ataskaitą teikiančios įstaigos turimų nesuvaržytų skolos vertybinių popierių, kurie atitinka reikalavimus, kad juos būtų galima naudoti operacijoms su tais centriniais bankais, kurių paslaugomis ataskaitą teikianti įstaiga gali naudotis, tikroji vertė.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w:t>
            </w:r>
            <w:r>
              <w:rPr>
                <w:rFonts w:ascii="Times New Roman" w:hAnsi="Times New Roman"/>
                <w:sz w:val="24"/>
              </w:rPr>
              <w:t xml:space="preserve"> </w:t>
            </w:r>
            <w:r>
              <w:rPr>
                <w:rStyle w:val="instructionstabelleberschrift0"/>
                <w:rFonts w:ascii="Times New Roman" w:hAnsi="Times New Roman"/>
                <w:sz w:val="24"/>
              </w:rPr>
              <w:t>t. y. gali nepildyti atitinkamo formos langelio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jos: EHQLA ir HQLA</w:t>
            </w:r>
          </w:p>
          <w:p w:rsidR="00941FAE"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N</w:t>
            </w:r>
            <w:r>
              <w:rPr>
                <w:rStyle w:val="TeksttreciTimesNewRoman105ptOdstpy0pt"/>
                <w:sz w:val="24"/>
              </w:rPr>
              <w:t>esuvaržyto EHQLA ir HQLA, nurodyto Deleguotojo reglamento (ES) 2015/61 10, 11, 12 ir 13 straipsniuose ir atitinkančio bendruosius bei veiklos reikalavimus, nustatytus to deleguotojo reglamento 7 ir 8 straipsniuose, taip pat atskiroms pozicijų klasėms taikomus reikalavimus, nustatytus to deleguotojo reglamento 10–16 ir 35–37 straipsniuose, tikroji vertė.</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EHQLA ir HQLA tikroji vertė yra tikroji vertė prieš pritaikant vertės mažinimą, nurodytą Deleguotojo reglamento (ES) 2015/61 10–16 straipsniuose.</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58571963"/>
      <w:r>
        <w:rPr>
          <w:rFonts w:ascii="Times New Roman" w:hAnsi="Times New Roman"/>
          <w:sz w:val="24"/>
          <w:u w:val="none"/>
        </w:rPr>
        <w:t>Forma: AE-COL. Ataskaitą teikiančios įstaigos gautos užtikrinimo priemonės</w:t>
      </w:r>
      <w:bookmarkEnd w:id="33"/>
      <w:bookmarkEnd w:id="3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5" w:name="_Toc58571964"/>
      <w:bookmarkStart w:id="36" w:name="_Toc348096567"/>
      <w:bookmarkStart w:id="37" w:name="_Toc348097328"/>
      <w:r>
        <w:rPr>
          <w:rFonts w:ascii="Times New Roman" w:hAnsi="Times New Roman"/>
          <w:sz w:val="24"/>
          <w:u w:val="none"/>
        </w:rPr>
        <w:t>Bendrosios pastabos</w:t>
      </w:r>
      <w:bookmarkEnd w:id="35"/>
    </w:p>
    <w:p w:rsidR="00941FAE" w:rsidRPr="000F059F" w:rsidRDefault="00941FAE" w:rsidP="00941FAE">
      <w:pPr>
        <w:pStyle w:val="InstructionsText2"/>
        <w:shd w:val="clear" w:color="auto" w:fill="FFFFFF"/>
        <w:spacing w:after="120"/>
        <w:rPr>
          <w:sz w:val="24"/>
        </w:rPr>
      </w:pPr>
      <w:r>
        <w:rPr>
          <w:sz w:val="24"/>
        </w:rPr>
        <w:t>Ataskaitą teikiančios įstaigos gautų užtikrinimo priemonių ir išleistų nuosavų skolos vertybinių popierių, išskyrus nuosavas padengtąsias obligacijas arba pakeitimo vertybiniais popieriais priemones, atveju „nesuvaržytas“ turtas skirstomas į turtą, kuris „gali būti suvaržytas“, arba kuris potencialiai atitinka suvaržymo reikalavimus, ir turtą, kuris „negali būti suvaržytas“.</w:t>
      </w:r>
    </w:p>
    <w:p w:rsidR="00941FAE" w:rsidRPr="000F059F" w:rsidRDefault="00941FAE" w:rsidP="00941FAE">
      <w:pPr>
        <w:pStyle w:val="InstructionsText2"/>
        <w:shd w:val="clear" w:color="auto" w:fill="FFFFFF"/>
        <w:spacing w:after="120"/>
        <w:rPr>
          <w:sz w:val="24"/>
        </w:rPr>
      </w:pPr>
      <w:r>
        <w:rPr>
          <w:sz w:val="24"/>
        </w:rPr>
        <w:t>Turtas negali būti suvaržytas, kai jis buvo gautas kaip užtikrinimo priemonė, ir ataskaitą teikiančiai įstaigai neleidžiama užtikrinimo priemonės parduoti ar pakartotinai įkeisti, išskyrus atvejus, kai užtikrinimo priemonės savininkas neįvykdo įsipareigojimų. Išleisti nuosavi skolos vertybiniai popieriai, išskyrus nuosavas padengtąsias obligacijas arba pakeitimo vertybiniais popieriais priemones, negali būti suvaržyti, jeigu yra kokių nors emisijai taikomų apribojimų parduoti ar pakartotinai įkeisti turimus vertybinius popierius.</w:t>
      </w:r>
    </w:p>
    <w:p w:rsidR="00941FAE" w:rsidRPr="005F7E60" w:rsidRDefault="00941FAE" w:rsidP="00941FAE">
      <w:pPr>
        <w:pStyle w:val="InstructionsText2"/>
        <w:shd w:val="clear" w:color="auto" w:fill="FFFFFF"/>
        <w:spacing w:after="120"/>
        <w:rPr>
          <w:sz w:val="24"/>
        </w:rPr>
      </w:pPr>
      <w:r>
        <w:rPr>
          <w:sz w:val="24"/>
        </w:rPr>
        <w:t>Teikiant informaciją apie turto suvaržymą, vertybiniai popieriai, pasiskolinti už tam tikrą mokestį, nepateikiant piniginės ar nepiniginės užtikrinimo priemonės, nurodomi kaip gautos užtikrinimo priemonės.</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58571965"/>
      <w:r>
        <w:rPr>
          <w:rFonts w:ascii="Times New Roman" w:hAnsi="Times New Roman"/>
          <w:sz w:val="24"/>
          <w:u w:val="none"/>
        </w:rPr>
        <w:t>Nurodymai dėl konkrečių eilučių</w:t>
      </w:r>
      <w:bookmarkEnd w:id="36"/>
      <w:bookmarkEnd w:id="37"/>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Eilutės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Ataskaitą teikiančios įstaigos gautos užtikrinimo priemonės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Visos ataskaitą teikiančios įstaigos gautų užtikrinimo priemonių klasės.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Paskolos pagal pareikalavimą</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Ataskaitą teikiančios įstaigos gauta užtikrinimo priemonė, kurią sudaro paskolos pagal pareikalavimą.</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Žr. nuorodas į teisės aktus ir nurodymus </w:t>
            </w:r>
            <w:r>
              <w:rPr>
                <w:rStyle w:val="InstructionsTabelleberschrift"/>
                <w:rFonts w:ascii="Times New Roman" w:hAnsi="Times New Roman"/>
                <w:b w:val="0"/>
                <w:bCs w:val="0"/>
                <w:sz w:val="24"/>
                <w:u w:val="none"/>
              </w:rPr>
              <w:t>dėl</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bCs w:val="0"/>
                <w:sz w:val="24"/>
                <w:u w:val="none"/>
              </w:rPr>
              <w:t>AE-ASS</w:t>
            </w:r>
            <w:r>
              <w:rPr>
                <w:rStyle w:val="InstructionsTabelleberschrift"/>
                <w:rFonts w:ascii="Times New Roman" w:hAnsi="Times New Roman"/>
                <w:b w:val="0"/>
                <w:sz w:val="24"/>
                <w:u w:val="none"/>
              </w:rPr>
              <w:t xml:space="preserve"> formos 020 eilutės.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Nuosavybės priemonės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nuosavybės priemonės.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Žr. nuorodas į teisės aktus ir nurodymus </w:t>
            </w:r>
            <w:r>
              <w:rPr>
                <w:rStyle w:val="InstructionsTabelleberschrift"/>
                <w:rFonts w:ascii="Times New Roman" w:hAnsi="Times New Roman"/>
                <w:b w:val="0"/>
                <w:bCs w:val="0"/>
                <w:sz w:val="24"/>
                <w:u w:val="none"/>
              </w:rPr>
              <w:t>dėl</w:t>
            </w:r>
            <w:r>
              <w:rPr>
                <w:rStyle w:val="InstructionsTabelleberschrift"/>
                <w:rFonts w:ascii="Times New Roman" w:hAnsi="Times New Roman"/>
                <w:b w:val="0"/>
                <w:u w:val="none"/>
              </w:rPr>
              <w:t xml:space="preserve"> </w:t>
            </w:r>
            <w:r>
              <w:rPr>
                <w:rStyle w:val="InstructionsTabelleberschrift"/>
                <w:rFonts w:ascii="Times New Roman" w:hAnsi="Times New Roman"/>
                <w:b w:val="0"/>
                <w:sz w:val="24"/>
                <w:u w:val="none"/>
              </w:rPr>
              <w:t xml:space="preserve">AE-ASS formos </w:t>
            </w:r>
            <w:r>
              <w:rPr>
                <w:rStyle w:val="InstructionsTabelleberschrift"/>
                <w:rFonts w:ascii="Times New Roman" w:hAnsi="Times New Roman"/>
                <w:b w:val="0"/>
                <w:bCs w:val="0"/>
                <w:sz w:val="24"/>
                <w:u w:val="none"/>
              </w:rPr>
              <w:t xml:space="preserve">030 </w:t>
            </w:r>
            <w:r>
              <w:rPr>
                <w:rStyle w:val="InstructionsTabelleberschrift"/>
                <w:rFonts w:ascii="Times New Roman" w:hAnsi="Times New Roman"/>
                <w:b w:val="0"/>
                <w:sz w:val="24"/>
                <w:u w:val="none"/>
              </w:rPr>
              <w:t>eilutės.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Skolos vertybiniai popieriai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skolos vertybiniai popieriai.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Žr. nuorodas į teisės aktus ir nurodymus </w:t>
            </w:r>
            <w:r>
              <w:rPr>
                <w:rStyle w:val="InstructionsTabelleberschrift"/>
                <w:rFonts w:ascii="Times New Roman" w:hAnsi="Times New Roman"/>
                <w:b w:val="0"/>
                <w:bCs w:val="0"/>
                <w:sz w:val="24"/>
                <w:u w:val="none"/>
              </w:rPr>
              <w:t xml:space="preserve">dėl </w:t>
            </w:r>
            <w:r>
              <w:rPr>
                <w:rStyle w:val="InstructionsTabelleberschrift"/>
                <w:rFonts w:ascii="Times New Roman" w:hAnsi="Times New Roman"/>
                <w:b w:val="0"/>
                <w:sz w:val="24"/>
                <w:u w:val="none"/>
              </w:rPr>
              <w:t>AE-ASS formos</w:t>
            </w:r>
            <w:r>
              <w:rPr>
                <w:rStyle w:val="InstructionsTabelleberschrift"/>
                <w:rFonts w:ascii="Times New Roman" w:hAnsi="Times New Roman"/>
                <w:b w:val="0"/>
                <w:bCs w:val="0"/>
                <w:sz w:val="24"/>
                <w:u w:val="none"/>
              </w:rPr>
              <w:t xml:space="preserve"> 040</w:t>
            </w:r>
            <w:r>
              <w:rPr>
                <w:rStyle w:val="InstructionsTabelleberschrift"/>
                <w:rFonts w:ascii="Times New Roman" w:hAnsi="Times New Roman"/>
                <w:b w:val="0"/>
                <w:sz w:val="24"/>
                <w:u w:val="none"/>
              </w:rPr>
              <w:t xml:space="preserve"> eilutės.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padengtosios obligacijos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padengtosios obligacijos.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Žr. nuorodas į teisės aktus ir nurodymus </w:t>
            </w:r>
            <w:r>
              <w:rPr>
                <w:rStyle w:val="InstructionsTabelleberschrift"/>
                <w:rFonts w:ascii="Times New Roman" w:hAnsi="Times New Roman"/>
                <w:b w:val="0"/>
                <w:bCs w:val="0"/>
                <w:sz w:val="24"/>
                <w:u w:val="none"/>
              </w:rPr>
              <w:t>dėl</w:t>
            </w:r>
            <w:r>
              <w:rPr>
                <w:rStyle w:val="InstructionsTabelleberschrift"/>
                <w:rFonts w:ascii="Times New Roman" w:hAnsi="Times New Roman"/>
                <w:b w:val="0"/>
                <w:sz w:val="24"/>
                <w:u w:val="none"/>
              </w:rPr>
              <w:t xml:space="preserve"> AE-ASS </w:t>
            </w:r>
            <w:r>
              <w:rPr>
                <w:rStyle w:val="InstructionsTabelleberschrift"/>
                <w:rFonts w:ascii="Times New Roman" w:hAnsi="Times New Roman"/>
                <w:b w:val="0"/>
                <w:bCs w:val="0"/>
                <w:sz w:val="24"/>
                <w:u w:val="none"/>
              </w:rPr>
              <w:t>formos</w:t>
            </w:r>
            <w:r>
              <w:rPr>
                <w:rStyle w:val="InstructionsTabelleberschrift"/>
                <w:rFonts w:ascii="Times New Roman" w:hAnsi="Times New Roman"/>
                <w:b w:val="0"/>
                <w:sz w:val="24"/>
                <w:u w:val="none"/>
              </w:rPr>
              <w:t xml:space="preserve"> 050 eilutės.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pakeitimo vertybiniais popieriais priemonės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pakeitimo vertybiniais popieriais priemonės.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Žr. nuorodas į teisės aktus ir nurodymus </w:t>
            </w:r>
            <w:r>
              <w:rPr>
                <w:rStyle w:val="InstructionsTabelleberschrift"/>
                <w:rFonts w:ascii="Times New Roman" w:hAnsi="Times New Roman"/>
                <w:b w:val="0"/>
                <w:bCs w:val="0"/>
                <w:sz w:val="24"/>
                <w:u w:val="none"/>
              </w:rPr>
              <w:t>dėl</w:t>
            </w:r>
            <w:r>
              <w:rPr>
                <w:rStyle w:val="InstructionsTabelleberschrift"/>
                <w:rFonts w:ascii="Times New Roman" w:hAnsi="Times New Roman"/>
                <w:b w:val="0"/>
                <w:sz w:val="24"/>
                <w:u w:val="none"/>
              </w:rPr>
              <w:t xml:space="preserve"> AE-ASS </w:t>
            </w:r>
            <w:r>
              <w:rPr>
                <w:rStyle w:val="InstructionsTabelleberschrift"/>
                <w:rFonts w:ascii="Times New Roman" w:hAnsi="Times New Roman"/>
                <w:b w:val="0"/>
                <w:bCs w:val="0"/>
                <w:sz w:val="24"/>
                <w:u w:val="none"/>
              </w:rPr>
              <w:t>formos</w:t>
            </w:r>
            <w:r>
              <w:rPr>
                <w:rStyle w:val="InstructionsTabelleberschrift"/>
                <w:rFonts w:ascii="Times New Roman" w:hAnsi="Times New Roman"/>
                <w:b w:val="0"/>
                <w:sz w:val="24"/>
                <w:u w:val="none"/>
              </w:rPr>
              <w:t xml:space="preserve"> 060 eilutės.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išleisti valdžios sektoriaus institucijų</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valdžios sektoriaus institucijų išleisti skolos vertybiniai popieriai.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nuorodas į teisės aktus ir nurodymus dėl AE-ASS formos 070 eilutės.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išleisti finansų bendrovių</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finansų bendrovių išleisti skolos vertybiniai popieriai.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Žr. nuorodas į teisės aktus ir nurodymus </w:t>
            </w:r>
            <w:r>
              <w:rPr>
                <w:rStyle w:val="InstructionsTabelleberschrift"/>
                <w:rFonts w:ascii="Times New Roman" w:hAnsi="Times New Roman"/>
                <w:b w:val="0"/>
                <w:bCs w:val="0"/>
                <w:sz w:val="24"/>
                <w:u w:val="none"/>
              </w:rPr>
              <w:t>dėl</w:t>
            </w:r>
            <w:r>
              <w:rPr>
                <w:rStyle w:val="InstructionsTabelleberschrift"/>
                <w:rFonts w:ascii="Times New Roman" w:hAnsi="Times New Roman"/>
                <w:b w:val="0"/>
                <w:sz w:val="24"/>
                <w:u w:val="none"/>
              </w:rPr>
              <w:t xml:space="preserve"> AE-ASS </w:t>
            </w:r>
            <w:r>
              <w:rPr>
                <w:rStyle w:val="InstructionsTabelleberschrift"/>
                <w:rFonts w:ascii="Times New Roman" w:hAnsi="Times New Roman"/>
                <w:b w:val="0"/>
                <w:bCs w:val="0"/>
                <w:sz w:val="24"/>
                <w:u w:val="none"/>
              </w:rPr>
              <w:t>formos</w:t>
            </w:r>
            <w:r>
              <w:rPr>
                <w:rStyle w:val="InstructionsTabelleberschrift"/>
                <w:rFonts w:ascii="Times New Roman" w:hAnsi="Times New Roman"/>
                <w:b w:val="0"/>
                <w:sz w:val="24"/>
                <w:u w:val="none"/>
              </w:rPr>
              <w:t xml:space="preserve"> 080 eilutės.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išleisti ne finansų bendrovių</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ne finansų bendrovių išleisti skolos vertybiniai popieriai.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Žr. nuorodas į teisės aktus ir nurodymus </w:t>
            </w:r>
            <w:r>
              <w:rPr>
                <w:rStyle w:val="InstructionsTabelleberschrift"/>
                <w:rFonts w:ascii="Times New Roman" w:hAnsi="Times New Roman"/>
                <w:b w:val="0"/>
                <w:bCs w:val="0"/>
                <w:sz w:val="24"/>
                <w:u w:val="none"/>
              </w:rPr>
              <w:t>dėl</w:t>
            </w:r>
            <w:r>
              <w:rPr>
                <w:rStyle w:val="InstructionsTabelleberschrift"/>
                <w:rFonts w:ascii="Times New Roman" w:hAnsi="Times New Roman"/>
                <w:b w:val="0"/>
                <w:sz w:val="24"/>
                <w:u w:val="none"/>
              </w:rPr>
              <w:t xml:space="preserve"> AE-ASS </w:t>
            </w:r>
            <w:r>
              <w:rPr>
                <w:rStyle w:val="InstructionsTabelleberschrift"/>
                <w:rFonts w:ascii="Times New Roman" w:hAnsi="Times New Roman"/>
                <w:b w:val="0"/>
                <w:bCs w:val="0"/>
                <w:sz w:val="24"/>
                <w:u w:val="none"/>
              </w:rPr>
              <w:t>formos</w:t>
            </w:r>
            <w:r>
              <w:rPr>
                <w:rStyle w:val="InstructionsTabelleberschrift"/>
                <w:rFonts w:ascii="Times New Roman" w:hAnsi="Times New Roman"/>
                <w:b w:val="0"/>
                <w:sz w:val="24"/>
                <w:u w:val="none"/>
              </w:rPr>
              <w:t xml:space="preserve"> 090 eilutės.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Paskolos ir išankstiniai mokėjimai, išskyrus paskolas pagal pareikalavimą</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paskolos ir išankstiniai mokėjimai, išskyrus paskolas pagal pareikalavimą.</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Žr. nuorodas į teisės aktus ir nurodymus </w:t>
            </w:r>
            <w:r>
              <w:rPr>
                <w:rStyle w:val="InstructionsTabelleberschrift"/>
                <w:rFonts w:ascii="Times New Roman" w:hAnsi="Times New Roman"/>
                <w:b w:val="0"/>
                <w:bCs w:val="0"/>
                <w:sz w:val="24"/>
                <w:u w:val="none"/>
              </w:rPr>
              <w:t>dėl</w:t>
            </w:r>
            <w:r>
              <w:rPr>
                <w:rStyle w:val="InstructionsTabelleberschrift"/>
                <w:rFonts w:ascii="Times New Roman" w:hAnsi="Times New Roman"/>
                <w:b w:val="0"/>
                <w:sz w:val="24"/>
                <w:u w:val="none"/>
              </w:rPr>
              <w:t xml:space="preserve"> AE-ASS </w:t>
            </w:r>
            <w:r>
              <w:rPr>
                <w:rStyle w:val="InstructionsTabelleberschrift"/>
                <w:rFonts w:ascii="Times New Roman" w:hAnsi="Times New Roman"/>
                <w:b w:val="0"/>
                <w:bCs w:val="0"/>
                <w:sz w:val="24"/>
                <w:u w:val="none"/>
              </w:rPr>
              <w:t>formos</w:t>
            </w:r>
            <w:r>
              <w:rPr>
                <w:rStyle w:val="InstructionsTabelleberschrift"/>
                <w:rFonts w:ascii="Times New Roman" w:hAnsi="Times New Roman"/>
                <w:b w:val="0"/>
                <w:sz w:val="24"/>
                <w:u w:val="none"/>
              </w:rPr>
              <w:t xml:space="preserve"> 100 eilutės.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Kitos gautos užtikrinimo priemonės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Ataskaitą teikiančios įstaigos gauta užtikrinimo priemonė, kurią sudaro kitas </w:t>
            </w:r>
            <w:r>
              <w:rPr>
                <w:rStyle w:val="InstructionsTabelleberschrift"/>
                <w:rFonts w:ascii="Times New Roman" w:hAnsi="Times New Roman"/>
                <w:b w:val="0"/>
                <w:sz w:val="24"/>
                <w:u w:val="none"/>
              </w:rPr>
              <w:lastRenderedPageBreak/>
              <w:t>turtas.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Žr. nuorodas į teisės aktus ir nurodymus </w:t>
            </w:r>
            <w:r>
              <w:rPr>
                <w:rStyle w:val="InstructionsTabelleberschrift"/>
                <w:rFonts w:ascii="Times New Roman" w:hAnsi="Times New Roman"/>
                <w:b w:val="0"/>
                <w:bCs w:val="0"/>
                <w:sz w:val="24"/>
                <w:u w:val="none"/>
              </w:rPr>
              <w:t>dėl</w:t>
            </w:r>
            <w:r>
              <w:rPr>
                <w:rStyle w:val="InstructionsTabelleberschrift"/>
                <w:rFonts w:ascii="Times New Roman" w:hAnsi="Times New Roman"/>
                <w:b w:val="0"/>
                <w:sz w:val="24"/>
                <w:u w:val="none"/>
              </w:rPr>
              <w:t xml:space="preserve"> AE-ASS </w:t>
            </w:r>
            <w:r>
              <w:rPr>
                <w:rStyle w:val="InstructionsTabelleberschrift"/>
                <w:rFonts w:ascii="Times New Roman" w:hAnsi="Times New Roman"/>
                <w:b w:val="0"/>
                <w:bCs w:val="0"/>
                <w:sz w:val="24"/>
                <w:u w:val="none"/>
              </w:rPr>
              <w:t>formos</w:t>
            </w:r>
            <w:r>
              <w:rPr>
                <w:rStyle w:val="InstructionsTabelleberschrift"/>
                <w:rFonts w:ascii="Times New Roman" w:hAnsi="Times New Roman"/>
                <w:b w:val="0"/>
                <w:sz w:val="24"/>
                <w:u w:val="none"/>
              </w:rPr>
              <w:t xml:space="preserve"> 120 eilutės.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240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Išleisti nuosavi skolos vertybiniai popieriai, išskyrus nuosavas padengtąsias obligacijas arba pakeitimo vertybiniais popieriais priemones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Išleisti nuosavi skolos vertybiniai popieriai, kuriuos išlaiko ataskaitą teikianti įstaiga ir kurie nėra išleistos nuosavos padengtosios obligacijos arba išleistos nuosavos pakeitimo vertybiniais popieriais priemonės.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Išlaikyti arba atpirkti išleisti nuosavi skolos vertybiniai popieriai, vadovaujantis 39-ojo TAS 42 straipsniu, mažina susijusius finansinius įsipareigojimus, todėl šie vertybiniai popieriai neįtraukiami į ataskaitą teikiančios įstaigos turto kategoriją (AE-ASS </w:t>
            </w:r>
            <w:r>
              <w:rPr>
                <w:rStyle w:val="InstructionsTabelleberschrift"/>
                <w:rFonts w:ascii="Times New Roman" w:hAnsi="Times New Roman"/>
                <w:b w:val="0"/>
                <w:bCs w:val="0"/>
                <w:sz w:val="24"/>
                <w:u w:val="none"/>
              </w:rPr>
              <w:t>formos</w:t>
            </w:r>
            <w:r>
              <w:rPr>
                <w:rStyle w:val="InstructionsTabelleberschrift"/>
                <w:rFonts w:ascii="Times New Roman" w:hAnsi="Times New Roman"/>
                <w:b w:val="0"/>
                <w:sz w:val="24"/>
                <w:u w:val="none"/>
              </w:rPr>
              <w:t xml:space="preserve"> 010 eilutė). Šioje eilutėje nurodomi nuosavi skolos vertybiniai popieriai, kurių pripažinimo balanse TFAS netaikanti įstaiga negali nutraukti.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Išleistos nuosavos padengtosios obligacijos ar išleistos nuosavos pakeitimo vertybiniais popieriais priemonės prie šios kategorijos nepriskiriamos, nes siekiant išvengti dvigubo skaičiavimo tais atvejais taikomos skirtingos taisyklės:</w:t>
            </w:r>
          </w:p>
          <w:p w:rsidR="00941FAE" w:rsidRPr="00C930E7"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kai nuosavi skolos vertybiniai popieriai įkeičiami, užtikrinamojo turto grupės ir (arba) pagrindinio turto, kuriais užtikrinami tie išlaikyti įkeisti vertybiniai popieriai, suma nurodoma AE-ASS formoje kaip suvaržytas turtas;</w:t>
            </w:r>
          </w:p>
          <w:p w:rsidR="00941FAE" w:rsidRPr="000F059F"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kai nuosavi skolos vertybiniai popieriai dar nėra įkeisti, užtikrinamojo turto grupės ir (arba) pagrindinio turto, kuriais užtikrinami tie išlaikyti dar neįkeisti vertybiniai popieriai, suma nurodoma AE-ASS formose kaip nesuvaržytas turtas. Papildoma informacija apie šio antro tipo dar neįkeistus nuosavus skolos vertybinius popierius (pagrindinis turtas, turto, kuris gali būti suvaržytas, tikroji vertė bei atitikimas reikalavimams ir turto, kuris negali būti suvaržytas, nominalioji vertė) pateikiama AE-NPL formoje.</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245</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Išleistos dar neįkeistos nuosavos padengtosios obligacijos ir pakeitimo vertybiniais popieriais priemonės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Nesuvaržytos išleistos nuosavos padengtosios obligacijos ir pakeitimo vertybiniais popieriais priemonės, kurias išlaiko ataskaitą teikianti įstaiga.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Siekiant išvengti dvigubo skaičiavimo, ataskaitą teikiančios įstaigos išleistoms išlaikytoms nuosavoms padengtosioms obligacijoms ir pakeitimo vertybiniais popieriais priemonėms taikoma ši taisyklė:</w:t>
            </w:r>
          </w:p>
          <w:p w:rsidR="00941FAE" w:rsidRPr="005F7E60"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kai tie vertybiniai popieriai įkeičiami, užtikrinamojo turto grupės ir (arba) pagrindinio turto, kuriais jie užtikrinami, suma nurodoma AE-ASS formoje (F32.01) kaip suvaržytas turtas. Finansavimo šaltinis nuosavų padengtųjų obligacijų ir pakeitimo vertybiniais popieriais priemonių įkeitimo atveju yra naujas sandoris, kurio metu įkeičiami vertybiniai popieriai (centrinio banko finansavimas ar kitų rūšių užtikrintas finansavimas), o ne pradinė padengtųjų obligacijų emisija ar pakeitimo vertybiniais popieriais priemonės;</w:t>
            </w:r>
          </w:p>
          <w:p w:rsidR="00941FAE" w:rsidRPr="000F059F"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b) kai tie vertybiniai popieriai dar neįkeisti, užtikrinamojo turto grupės ir (arba) pagrindinio turto, kuriais tie vertybiniai popieriai užtikrinami, suma </w:t>
            </w:r>
            <w:r>
              <w:rPr>
                <w:rStyle w:val="InstructionsTabelleberschrift"/>
                <w:rFonts w:ascii="Times New Roman" w:hAnsi="Times New Roman"/>
                <w:b w:val="0"/>
                <w:sz w:val="24"/>
                <w:u w:val="none"/>
              </w:rPr>
              <w:lastRenderedPageBreak/>
              <w:t>nurodoma AE-ASS formoje (F32.01) kaip nesuvaržytas turtas.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250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BENDRA TURTO, GAUTŲ UŽTIKRINIMO PRIEMONIŲ IR IŠLEISTŲ NUOSAVŲ SKOLOS VERTYBINIŲ POPIERIŲ SUMA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Visas balanse įrašytas ataskaitą teikiančios įstaigos turtas, ataskaitą teikiančios įstaigos gautos visų klasių užtikrinimo priemonės ir ataskaitą teikiančios įstaigos išlaikomi išleisti nuosavi skolos vertybiniai popieriai, kurie nėra išleistos nuosavos padengtosios obligacijos arba išleistos nuosavos pakeitimo vertybiniais popieriais priemonės.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58571966"/>
      <w:r>
        <w:rPr>
          <w:rFonts w:ascii="Times New Roman" w:hAnsi="Times New Roman"/>
          <w:sz w:val="24"/>
          <w:u w:val="none"/>
        </w:rPr>
        <w:t>Nurodymai dėl konkrečių skilčių</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Skiltys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Gautų suvaržytų užtikrinimo priemonių arba išleistų nuosavų skolos vertybinių popierių tikroji vertė</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Įstaigos nurodo gautų užtikrinimo priemonių arba turimų ir (arba) išlaikytų nuosavų skolos vertybinių popierių, kurie yra suvaržyti pagal šio priedo 11 punkte nurodytą turto suvaržymo apibrėžtį, tikrąją vertę.</w:t>
            </w:r>
          </w:p>
          <w:p w:rsidR="00941FAE" w:rsidRPr="00F44D1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Finansinės priemonės tikroji vertė yra kaina, už kurią vertinimo dieną būtų parduotas turtas arba perleistas įsipareigojimas pagal tvarkingą sandorį tarp rinkos dalyvių (žr. 13-ąjį TFAS „Tikrosios vertės nustatymas“).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išleistos kitų grupės subjektų</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gautų suvaržytų užtikrinimo priemonių arba turimų ir (arba) išlaikytų išleistų nuosavų skolos vertybinių popierių, kuriuos išleido bet koks subjektas, įtrauktas į rizikos ribojimu pagrįstą konsolidavimą, tikroji vertė.</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atitinka centrinio banko reikalavimus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gautų suvaržytų užtikrinimo priemonių arba turimų ir (arba) išlaikytų išleistų nuosavų skolos vertybinių popierių, kurie atitinka reikalavimus, kad juos būtų galima naudoti operacijoms su tais centriniais bankais, kurių paslaugomis ataskaitą teikianti įstaiga gali naudotis, tikroji vertė.</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w:t>
            </w:r>
            <w:r>
              <w:rPr>
                <w:rFonts w:ascii="Times New Roman" w:hAnsi="Times New Roman"/>
                <w:sz w:val="24"/>
              </w:rPr>
              <w:t xml:space="preserve"> </w:t>
            </w:r>
            <w:r>
              <w:rPr>
                <w:rStyle w:val="instructionstabelleberschrift0"/>
                <w:rFonts w:ascii="Times New Roman" w:hAnsi="Times New Roman"/>
                <w:sz w:val="24"/>
              </w:rPr>
              <w:t>t. y. gali nepildyti atitinkamo formos langelio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jos: teoriškai atitinkantys EHQLA ir HQLA reikalavimus</w:t>
            </w:r>
          </w:p>
          <w:p w:rsidR="00941FAE" w:rsidRDefault="00941FAE" w:rsidP="005150E8">
            <w:pPr>
              <w:spacing w:before="0"/>
              <w:rPr>
                <w:rStyle w:val="TeksttreciTimesNewRoman105ptOdstpy0pt"/>
                <w:rFonts w:eastAsia="Calibri"/>
                <w:sz w:val="24"/>
              </w:rPr>
            </w:pPr>
            <w:r>
              <w:rPr>
                <w:rStyle w:val="TeksttreciTimesNewRoman105ptOdstpy0pt"/>
                <w:sz w:val="24"/>
              </w:rPr>
              <w:t>Suvaržytų gautų užtikrinimo priemonių, tarp jų ir gautų vykdant visus vertybinių popierių skolinimosi sandorius, arba išleistų įstaigos turimų ir (arba) išlaikytų nuosavų skolos vertybinių popierių, kurie teoriškai atitinka reikalavimus, kad būtų laikomi EHQLA ir HQLA, tikroji vertė.</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 xml:space="preserve">Šiame reglamente suvaržytas turtas, kuris teoriškai atitinka reikalavimus, kad būtų laikomas EHQLA ir HQLA, yra gautų užtikrinimo priemonių straipsniai arba išleisti įstaigos turimi ir (arba) išlaikyti nuosavi skolos vertybiniai popieriai, kurie išvardyti Deleguotojo reglamento (ES) 2015/61 10, 11, 12 ir </w:t>
            </w:r>
            <w:r>
              <w:rPr>
                <w:rStyle w:val="TeksttreciTimesNewRoman105ptOdstpy0pt"/>
                <w:sz w:val="24"/>
              </w:rPr>
              <w:lastRenderedPageBreak/>
              <w:t>13 straipsniuose ir atitiktų bendruosius bei veiklos reikalavimus, nustatytus to deleguotojo reglamento 7 ir 8 straipsniuose, jeigu nebūtų laikomi suvaržytu turtu pagal Įgyvendinimo reglamento (ES) 680/2014 XVII priedą. Suvaržytas turtas, teoriškai atitinkantis reikalavimus, kad būtų laikomas EHQLA ir HQLA, taip pat atitinka atskiroms pozicijų klasėms taikomus reikalavimus, nustatytus Deleguotojo reglamento (ES) 2015/61 10–16 ir 35–37 straipsniuose. Suvaržyto turto, kuris teoriškai atitinka reikalavimus, kad būtų laikomas EHQLA ir HQLA, tikroji vertė yra tikroji vertė prieš pritaikant vertės mažinimą, nurodytą Deleguotojo reglamento (ES) 2015/61 10–16 straipsniuose.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Gautų užtikrinimo priemonių arba išleistų nuosavų skolos vertybinių popierių, kurie gali būti suvaržyti, tikroji vertė</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gautų nesuvaržytų užtikrinimo priemonių, kurios gali būti suvaržytos, nes ataskaitą teikiančiai įstaigai leidžiama jas parduoti ar pakartotinai įkeisti, kai užtikrinimo priemonės savininkas vykdo įsipareigojimus, tikroji vertė. Taip pat įskaitoma nesuvaržytų išleistų nuosavų skolos vertybinių popierių, kurie gali būti suvaržyti, išskyrus nuosavas padengtąsias obligacijas ar pakeitimo vertybiniais popieriais priemones, tikroji vertė.</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 jų: išleistos kitų grupės subjektų</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Gautų užtikrinimo priemonių arba išleistų nuosavų skolos vertybinių popierių, kurie gali būti suvaržyti ir kuriuos išleido bet kuris subjektas, įtrauktas į rizikos ribojimu pagrįstą konsolidavimą, išskyrus nuosavas padengtąsias obligacijas arba pakeitimo vertybiniais popieriais priemones, tikroji vertė.</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 jų: atitinka centrinio banko reikalavimus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Gautų užtikrinimo priemonių arba išleistų nuosavų skolos vertybinių popierių, kurie gali būti suvaržyti ir kurie atitinka reikalavimus, kad juos būtų galima naudoti operacijoms su tais centriniais bankais, kurių paslaugomis ataskaitą teikianti įstaiga gali naudotis, išskyrus nuosavas padengtąsias obligacijas arba pakeitimo vertybiniais popieriais priemones, tikroji vertė.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w:t>
            </w:r>
            <w:r>
              <w:rPr>
                <w:rFonts w:ascii="Times New Roman" w:hAnsi="Times New Roman"/>
                <w:sz w:val="24"/>
              </w:rPr>
              <w:t xml:space="preserve">, </w:t>
            </w:r>
            <w:r>
              <w:rPr>
                <w:rStyle w:val="instructionstabelleberschrift0"/>
                <w:rFonts w:ascii="Times New Roman" w:hAnsi="Times New Roman"/>
                <w:sz w:val="24"/>
              </w:rPr>
              <w:t>t. y. gali nepildyti atitinkamo formos langelio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jos: EHQLA ir HQLA</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Nesuvaržytų gautų užtikrinimo priemonių arba išleistų įstaigos turimų ir (arba) išlaikytų nuosavų skolos vertybinių popierių, išskyrus nuosavas padengtąsias obligacijas ar pakeitimo vertybiniais popieriais pozicijas, kurie gali būti suvaržyti ir kurie laikomi EHQLA ir HQLA, kurie nurodyti Deleguotojo reglamento (ES) 2015/61 10, 11, 12 ir 13 straipsniuose ir atitinka bendruosius bei veiklos reikalavimus, nustatytus to deleguotojo reglamento 7 ir 8 straipsniuose, taip pat atskiroms pozicijų klasėms taikomus reikalavimus, nustatytus to deleguotojo reglamento 10–16 ir 35–37 straipsniuose, tikroji vertė. </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lastRenderedPageBreak/>
              <w:t>EHQLA ir HQLA tikroji vertė yra tikroji vertė prieš pritaikant vertės mažinimą, nurodytą Deleguotojo reglamento (ES) 2015/61 10–16 straipsniuose.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Gautų užtikrinimo priemonių arba išleistų nuosavų skolos vertybinių popierių, kurie negali būti suvaržyti, nominalioji vertė</w:t>
            </w:r>
          </w:p>
          <w:p w:rsidR="00941FA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Ataskaitą teikiančios įstaigos turimų gautų užtikrinimo priemonių, kurios nėra ir negali būti suvaržytos, nominalioji vertė.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Turi būti įskaitoma ataskaitą teikiančios įstaigos išlaikomų išleistų nuosavų skolos vertybinių popierių, kurie nėra ir negali būti suvaržyti, išskyrus nuosavas padengtąsias obligacijas ar pakeitimo vertybiniais popieriais priemones, tikroji vertė.</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44" w:name="_Toc58571967"/>
      <w:r>
        <w:rPr>
          <w:rFonts w:ascii="Times New Roman" w:hAnsi="Times New Roman"/>
          <w:sz w:val="24"/>
          <w:u w:val="none"/>
        </w:rPr>
        <w:t>Forma: AE-NPL. Išleistos dar neįkeistos nuosavos padengtosios obligacijos ir pakeitimo vertybiniais popieriais priemonės</w:t>
      </w:r>
      <w:bookmarkEnd w:id="4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5" w:name="_Toc58571968"/>
      <w:r>
        <w:rPr>
          <w:rFonts w:ascii="Times New Roman" w:hAnsi="Times New Roman"/>
          <w:sz w:val="24"/>
          <w:u w:val="none"/>
        </w:rPr>
        <w:t>Bendrosios pastabos</w:t>
      </w:r>
      <w:bookmarkEnd w:id="45"/>
    </w:p>
    <w:p w:rsidR="00941FAE" w:rsidRPr="000F059F" w:rsidRDefault="00941FAE" w:rsidP="00941FAE">
      <w:pPr>
        <w:pStyle w:val="InstructionsText2"/>
        <w:shd w:val="clear" w:color="auto" w:fill="FFFFFF"/>
        <w:spacing w:after="120"/>
        <w:rPr>
          <w:sz w:val="24"/>
        </w:rPr>
      </w:pPr>
      <w:r>
        <w:rPr>
          <w:sz w:val="24"/>
        </w:rPr>
        <w:t>Siekiant išvengti dvigubo skaičiavimo, ataskaitą teikiančios įstaigos išleistoms išlaikytoms nuosavoms padengtosioms obligacijoms ir pakeitimo vertybiniais popieriais priemonėms taikoma ši taisyklė:</w:t>
      </w:r>
    </w:p>
    <w:p w:rsidR="00941FAE" w:rsidRPr="000F059F" w:rsidRDefault="00941FAE" w:rsidP="00941FAE">
      <w:pPr>
        <w:pStyle w:val="InstructionsText2"/>
        <w:numPr>
          <w:ilvl w:val="0"/>
          <w:numId w:val="5"/>
        </w:numPr>
        <w:shd w:val="clear" w:color="auto" w:fill="FFFFFF"/>
        <w:spacing w:after="120"/>
        <w:rPr>
          <w:sz w:val="24"/>
        </w:rPr>
      </w:pPr>
      <w:r>
        <w:rPr>
          <w:sz w:val="24"/>
        </w:rPr>
        <w:t>kai tie vertybiniai popieriai įkeičiami, užtikrinamojo turto grupės ir (arba) pagrindinio turto, kuriais jie užtikrinami, suma nurodoma AE-ASS formoje kaip suvaržytas turtas. Finansavimo šaltinis nuosavų padengtųjų obligacijų ir pakeitimo vertybiniais popieriais priemonių įkeitimo atveju yra naujas sandoris, kurio metu įkeičiami vertybiniai popieriai (centrinio banko finansavimas ar kitų rūšių užtikrintas finansavimas), o ne pradinė padengtųjų obligacijų emisija ar pakeitimo vertybiniais popieriais priemonės;</w:t>
      </w:r>
    </w:p>
    <w:p w:rsidR="00941FAE" w:rsidRPr="000F059F" w:rsidRDefault="00941FAE" w:rsidP="00941FAE">
      <w:pPr>
        <w:pStyle w:val="InstructionsText2"/>
        <w:numPr>
          <w:ilvl w:val="0"/>
          <w:numId w:val="5"/>
        </w:numPr>
        <w:shd w:val="clear" w:color="auto" w:fill="FFFFFF"/>
        <w:spacing w:after="120"/>
        <w:rPr>
          <w:sz w:val="24"/>
        </w:rPr>
      </w:pPr>
      <w:r>
        <w:rPr>
          <w:sz w:val="24"/>
        </w:rPr>
        <w:t xml:space="preserve">kai tie vertybiniai popieriai dar neįkeisti, užtikrinamojo turto grupės ir (arba) pagrindinio turto, kuriais tie vertybiniai popieriai užtikrinami, suma nurodoma AE-ASS formoje kaip nesuvaržytas turtas.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58571969"/>
      <w:r>
        <w:rPr>
          <w:rFonts w:ascii="Times New Roman" w:hAnsi="Times New Roman"/>
          <w:sz w:val="24"/>
          <w:u w:val="none"/>
        </w:rPr>
        <w:t>Nurodymai dėl konkrečių eilučių</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Eilutės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Išleistos dar neįkeistos nuosavos padengtosios obligacijos ir pakeitimo vertybiniais popieriais priemonės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Nesuvaržytos išleistos nuosavos padengtosios obligacijos ir pakeitimo vertybiniais popieriais priemonės, kurias išlaiko ataskaitą teikianti įstaiga.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Išleistos išlaikytos padengtosios obligacijos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Nesuvaržytos išleistos nuosavos padengtosios obligacijos, kurias išlaiko ataskaitą teikianti įstaiga.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Išleistos išlaikytos pakeitimo vertybiniais popieriais priemonės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Nesuvaržytos išleistos nuosavos pakeitimo vertybiniais popieriais priemonės, kurias išlaiko ataskaitą teikianti įstaiga.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Didesnio prioriteto</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Nesuvaržyti išleistų nuosavų pakeitimo vertybiniais popieriais priemonių </w:t>
            </w:r>
            <w:r>
              <w:rPr>
                <w:rStyle w:val="InstructionsTabelleberschrift"/>
                <w:rFonts w:ascii="Times New Roman" w:hAnsi="Times New Roman"/>
                <w:b w:val="0"/>
                <w:sz w:val="24"/>
                <w:u w:val="none"/>
              </w:rPr>
              <w:lastRenderedPageBreak/>
              <w:t>didesnio prioriteto segmentai, kuriuos išlaiko ataskaitą teikianti įstaiga.</w:t>
            </w:r>
            <w:r>
              <w:rPr>
                <w:rStyle w:val="InstructionsTabelleberschrift"/>
                <w:rFonts w:ascii="Times New Roman" w:hAnsi="Times New Roman"/>
                <w:b w:val="0"/>
                <w:bCs w:val="0"/>
                <w:sz w:val="24"/>
                <w:u w:val="none"/>
              </w:rPr>
              <w:t xml:space="preserve">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bCs w:val="0"/>
                <w:sz w:val="24"/>
                <w:u w:val="none"/>
              </w:rPr>
              <w:t>Žr. Reglamento KPR 4 straipsnio 67 punktą.</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Tarpinio pobūdžio</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Nesuvaržyti išleistų nuosavų pakeitimo vertybiniais popieriais priemonių tarpinio pobūdžio segmentai, kuriuos išlaiko ataskaitą teikianti įstaiga.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Visi segmentai, kurie nėra didesnio prioriteto segmentai, t. y. paskutiniai segmentai, kuriems tenka nuostoliai, arba pirmojo nuostolio segmentai, laikomi tarpinio pobūdžio segmentais.</w:t>
            </w:r>
            <w:r>
              <w:rPr>
                <w:rStyle w:val="InstructionsTabelleberschrift"/>
                <w:rFonts w:ascii="Times New Roman" w:hAnsi="Times New Roman"/>
                <w:b w:val="0"/>
                <w:bCs w:val="0"/>
                <w:sz w:val="24"/>
                <w:u w:val="none"/>
              </w:rPr>
              <w:t xml:space="preserve"> Žr. Reglamento KPR 4 straipsnio 67 punktą.</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Pirmojo nuostolio</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Nesuvaržyti išleistų nuosavų pakeitimo vertybiniais popieriais priemonių pirmojo nuostolio segmentai, kuriuos išlaiko ataskaitą teikianti įstaiga.</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bCs w:val="0"/>
                <w:sz w:val="24"/>
                <w:u w:val="none"/>
              </w:rPr>
              <w:t>Žr. Reglamento KPR 4 straipsnio 67 punktą.</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58571970"/>
      <w:r>
        <w:rPr>
          <w:rFonts w:ascii="Times New Roman" w:hAnsi="Times New Roman"/>
          <w:sz w:val="24"/>
          <w:u w:val="none"/>
        </w:rPr>
        <w:t>Nurodymai dėl konkrečių skilčių</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Skiltys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Pagrindinės turto grupės balansinė vertė</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Užtikrinamojo turto grupės ir (arba) pagrindinio turto, kuriais užtikrinamos išlaikytos nuosavos padengtosios obligacijos ir nuosavos pakeitimo vertybiniais popieriais priemonės ir kurie dar nėra įkeisti, balansinė vertė.</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Išleistų skolos vertybinių popierių, kurie gali būti suvaržyti, tikroji vertė</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Išlaikytų nuosavų padengtųjų obligacijų ir nuosavų pakeitimo vertybiniais popieriais priemonių, kurios nėra, bet gali būti suvaržytos, tikroji vertė.</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 jų: atitinka centrinio banko reikalavimus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Išlaikytų nuosavų padengtųjų obligacijų ir nuosavų pakeitimo vertybiniais popieriais priemonių, kurios atitinka visas toliau nurodytas sąlygas, tikroji vertė:</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jie nėra suvaržyti;</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jie gali būti suvaržyti;</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juos galima naudoti operacijoms su tais centriniais bankais, kurių paslaugomis ataskaitą teikianti įstaiga gali naudotis.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w:t>
            </w:r>
            <w:r>
              <w:rPr>
                <w:rFonts w:ascii="Times New Roman" w:hAnsi="Times New Roman"/>
                <w:sz w:val="24"/>
              </w:rPr>
              <w:t xml:space="preserve"> </w:t>
            </w:r>
            <w:r>
              <w:rPr>
                <w:rStyle w:val="instructionstabelleberschrift0"/>
                <w:rFonts w:ascii="Times New Roman" w:hAnsi="Times New Roman"/>
                <w:sz w:val="24"/>
              </w:rPr>
              <w:t>t. y. gali nepildyti atitinkamo formos langelio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jos: teoriškai atitinkantys EHQLA ir HQLA reikalavimus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Suvaržytų gautų užtikrinimo priemonių, tarp jų ir gautų vykdant visus vertybinių popierių skolinimosi sandorius, arba išleistų įstaigos turimų ir (arba) išlaikytų nuosavų skolos vertybinių popierių, kurie teoriškai atitinka reikalavimus, kad būtų laikomi EHQLA ir HQLA, tikroji vertė.</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Šiame reglamente suvaržytas turtas, kuris teoriškai atitinka reikalavimus, kad </w:t>
            </w:r>
            <w:r>
              <w:rPr>
                <w:rStyle w:val="InstructionsTabelleberschrift"/>
                <w:rFonts w:ascii="Times New Roman" w:hAnsi="Times New Roman"/>
                <w:b w:val="0"/>
                <w:sz w:val="24"/>
                <w:u w:val="none"/>
              </w:rPr>
              <w:lastRenderedPageBreak/>
              <w:t>būtų laikomas EHQLA ir HQLA, yra gautų užtikrinimo priemonių straipsniai arba išleisti įstaigos turimi ir (arba) išlaikyti nuosavi skolos vertybiniai popieriai, kurie išvardyti Deleguotojo reglamento (ES) 2015/61 10, 11, 12 ir 13 straipsniuose ir atitiktų bendruosius bei veiklos reikalavimus, nustatytus to deleguotojo reglamento 7 ir 8 straipsniuose, jeigu nebūtų laikomi suvaržytu turtu pagal Įgyvendinimo reglamento (ES) 680/2014 XVII priedą. Suvaržytas turtas, teoriškai atitinkantis reikalavimus, kad būtų laikomas EHQLA ir HQLA, taip pat atitinka atskiroms pozicijų klasėms taikomus reikalavimus, nustatytus Deleguotojo reglamento (ES) 2015/61 10–16 ir 35–37 straipsniuose. Suvaržyto turto, kuris teoriškai atitinka reikalavimus, kad būtų laikomas EHQLA ir HQLA, tikroji vertė yra tikroji vertė prieš pritaikant vertės mažinimą, nurodytą Deleguotojo reglamento (ES) 2015/61 10–16 straipsniuose.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Išleistų nuosavų skolos vertybinių popierių, kurie negali būti suvaržyti, nominalioji vertė</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Išlaikytų nuosavų padengtųjų obligacijų ir nuosavų pakeitimo vertybiniais popieriais priemonių, kurios nėra ir negali būti suvaržytos, nominalioji vertė.</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54" w:name="_Toc58571971"/>
      <w:r>
        <w:rPr>
          <w:rFonts w:ascii="Times New Roman" w:hAnsi="Times New Roman"/>
          <w:sz w:val="24"/>
          <w:u w:val="none"/>
        </w:rPr>
        <w:t>Forma: AE-SOU. Suvaržymo šaltiniai</w:t>
      </w:r>
      <w:bookmarkEnd w:id="5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5" w:name="_Toc58571972"/>
      <w:bookmarkStart w:id="56" w:name="_Toc348096573"/>
      <w:bookmarkStart w:id="57" w:name="_Toc348097334"/>
      <w:bookmarkStart w:id="58" w:name="_Toc348101355"/>
      <w:r>
        <w:rPr>
          <w:rFonts w:ascii="Times New Roman" w:hAnsi="Times New Roman"/>
          <w:sz w:val="24"/>
          <w:u w:val="none"/>
        </w:rPr>
        <w:t>Bendrosios pastabos</w:t>
      </w:r>
      <w:bookmarkEnd w:id="55"/>
    </w:p>
    <w:p w:rsidR="00941FAE" w:rsidRPr="000F059F" w:rsidRDefault="00941FAE" w:rsidP="00941FAE">
      <w:pPr>
        <w:pStyle w:val="InstructionsText2"/>
        <w:shd w:val="clear" w:color="auto" w:fill="FFFFFF"/>
        <w:spacing w:after="120"/>
        <w:rPr>
          <w:sz w:val="24"/>
        </w:rPr>
      </w:pPr>
      <w:r>
        <w:rPr>
          <w:sz w:val="24"/>
        </w:rPr>
        <w:t>Šioje formoje pateikiama informacija apie įvairių suvaržymo šaltinių svarbą ataskaitą teikiančiai įstaigai, įskaitant šaltinius be susijusio finansavimo, tokius kaip gauti kreditavimo įsipareigojimai arba finansinės garantijos ir vertybinių popierių skolinimas su nepinigine užtikrinimo priemone.</w:t>
      </w:r>
    </w:p>
    <w:p w:rsidR="00941FAE" w:rsidRPr="000F059F" w:rsidRDefault="00941FAE" w:rsidP="00941FAE">
      <w:pPr>
        <w:pStyle w:val="InstructionsText2"/>
        <w:shd w:val="clear" w:color="auto" w:fill="FFFFFF"/>
        <w:spacing w:after="120"/>
        <w:rPr>
          <w:sz w:val="24"/>
        </w:rPr>
      </w:pPr>
      <w:r>
        <w:rPr>
          <w:sz w:val="24"/>
        </w:rPr>
        <w:t xml:space="preserve">Bendros turto ir gautų užtikrinimo priemonių sumos AE-ASS </w:t>
      </w:r>
      <w:r>
        <w:rPr>
          <w:rStyle w:val="InstructionsTabelleberschrift"/>
          <w:rFonts w:ascii="Times New Roman" w:hAnsi="Times New Roman"/>
          <w:b w:val="0"/>
          <w:bCs w:val="0"/>
          <w:sz w:val="24"/>
          <w:u w:val="none"/>
        </w:rPr>
        <w:t>ir</w:t>
      </w:r>
      <w:r>
        <w:rPr>
          <w:sz w:val="24"/>
          <w:szCs w:val="24"/>
        </w:rPr>
        <w:t xml:space="preserve"> </w:t>
      </w:r>
      <w:r>
        <w:rPr>
          <w:sz w:val="24"/>
        </w:rPr>
        <w:t xml:space="preserve">AE-COL formose atitinka tokią patvirtinimo taisyklę: {AE-SOU; r170; c030} = {AE-SOU; r010; c010} + {AE-SOU; r130; c010} + {AE-SOU; r240; c010}.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9" w:name="_Toc58571973"/>
      <w:r>
        <w:rPr>
          <w:rFonts w:ascii="Times New Roman" w:hAnsi="Times New Roman"/>
          <w:sz w:val="24"/>
          <w:u w:val="none"/>
        </w:rPr>
        <w:t>Nurodymai dėl konkrečių eilučių</w:t>
      </w:r>
      <w:bookmarkEnd w:id="56"/>
      <w:bookmarkEnd w:id="57"/>
      <w:bookmarkEnd w:id="58"/>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Eilutės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Tam tikrų finansinių įsipareigojimų balansinė vertė</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tam tikrų užtikrintų finansinių įsipareigojimų balansinė vertė, jeigu dėl šių įsipareigojimų tos įstaigos turtas yra suvaržytas.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Išvestinės finansinės priemonės</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užtikrintų išvestinių finansinių priemonių, kurios yra finansiniai įsipareigojimai, t. y. jų tikroji vertė yra neigiama, balansinė vertė, jeigu dėl šių išvestinių finansinių priemonių tos įstaigos turtas yra suvaržytas.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iš jų: </w:t>
            </w:r>
            <w:r>
              <w:rPr>
                <w:rStyle w:val="InstructionsTabelleberschrift"/>
                <w:rFonts w:ascii="Times New Roman" w:hAnsi="Times New Roman"/>
                <w:bCs w:val="0"/>
                <w:sz w:val="24"/>
              </w:rPr>
              <w:t xml:space="preserve">ne biržos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užtikrintų išvestinių finansinių priemonių, kurios yra finansiniai įsipareigojimai ir kuriomis prekiaujama ne biržoje, balansinė vertė, jeigu dėl šių išvestinių finansinių priemonių tos įstaigos turtas yra suvaržytas.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Indėliai</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Ataskaitą teikiančios įstaigos užtikrintų indėlių balansinė vertė, jeigu dėl šių </w:t>
            </w:r>
            <w:r>
              <w:rPr>
                <w:rStyle w:val="InstructionsTabelleberschrift"/>
                <w:rFonts w:ascii="Times New Roman" w:hAnsi="Times New Roman"/>
                <w:b w:val="0"/>
                <w:sz w:val="24"/>
                <w:u w:val="none"/>
              </w:rPr>
              <w:lastRenderedPageBreak/>
              <w:t>indėlių tos įstaigos turtas yra suvaržytas.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Atpirkimo sandoriai</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atpirkimo sandorių bendra balansinė vertė (</w:t>
            </w:r>
            <w:r>
              <w:t xml:space="preserve">apskaitos sistemoje užskaityti neleidžiama), </w:t>
            </w:r>
            <w:r>
              <w:rPr>
                <w:rStyle w:val="InstructionsTabelleberschrift"/>
                <w:rFonts w:ascii="Times New Roman" w:hAnsi="Times New Roman"/>
                <w:b w:val="0"/>
                <w:sz w:val="24"/>
                <w:u w:val="none"/>
              </w:rPr>
              <w:t>jeigu dėl šių sandorių tos įstaigos turtas yra suvaržytas.</w:t>
            </w:r>
          </w:p>
          <w:p w:rsidR="00941FAE" w:rsidRPr="00353E1E" w:rsidRDefault="00941FAE"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Atpirkimo sandoriai yra sandoriai, pagal kuriuos ataskaitą teikianti įstaiga gauna pinigų mainais už parduotą finansinį turtą nurodyta kaina ir įsipareigoja atpirkti tą patį (arba tokį pat) turtą už nustatytą kainą nurodytą datą ateityje. Visi toliau nurodyti atpirkimo tipo sandorių variantai turi būti nurodyti kaip atpirkimo sandoriai: sumos, gautos už vertybinius popierius, laikinai perleistus trečiajai šaliai vertybinių popierių skolinimo už piniginę užtikrinimo priemonę forma, ir sumos, gautos už vertybinius popierius, laikinai perleistus trečiajai šaliai pardavimo (atgalinio pirkimo) susitarimo forma.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centriniai bankai</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atpirkimo sandorių su centriniais bankais balansinė vertė, jeigu dėl šių sandorių turtas yra suvaržytas.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Užtikrinti indėliai, išskyrus atpirkimo sandorius</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užtikrintų indėlių, išskyrus atpirkimo sandorius, balansinė vertė, jeigu dėl šių indėlių tos įstaigos turtas yra suvaržytas.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centriniai bankai</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užtikrintų indėlių, išskyrus atpirkimo sandorius su centriniais bankais, balansinė vertė, jeigu dėl šių indėlių tos įstaigos turtas yra suvaržytas.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Išleisti skolos vertybiniai popieriai</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išleistų skolos vertybinių popierių balansinė vertė, jeigu dėl šių išleistų vertybinių popierių tos įstaigos turtas yra suvaržytas.</w:t>
            </w:r>
          </w:p>
          <w:p w:rsidR="00941FAE" w:rsidRPr="000F059F" w:rsidRDefault="00941FAE" w:rsidP="005150E8">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 xml:space="preserve">Išlaikytai bet kokios emisijos daliai taikoma speciali tvarka, nustatyta </w:t>
            </w:r>
            <w:r>
              <w:rPr>
                <w:rStyle w:val="InstructionsTabelleberschrift"/>
                <w:rFonts w:ascii="Times New Roman" w:hAnsi="Times New Roman"/>
                <w:b w:val="0"/>
                <w:bCs w:val="0"/>
                <w:sz w:val="24"/>
                <w:u w:val="none"/>
              </w:rPr>
              <w:t>A dalies</w:t>
            </w:r>
            <w:r>
              <w:rPr>
                <w:rStyle w:val="InstructionsTabelleberschrift"/>
                <w:rFonts w:ascii="Times New Roman" w:hAnsi="Times New Roman"/>
                <w:b w:val="0"/>
                <w:sz w:val="24"/>
                <w:u w:val="none"/>
              </w:rPr>
              <w:t xml:space="preserve"> 15 punkto </w:t>
            </w:r>
            <w:r>
              <w:rPr>
                <w:rStyle w:val="InstructionsTabelleberschrift"/>
                <w:rFonts w:ascii="Times New Roman" w:hAnsi="Times New Roman"/>
                <w:b w:val="0"/>
                <w:bCs w:val="0"/>
                <w:sz w:val="24"/>
                <w:u w:val="none"/>
              </w:rPr>
              <w:t>vi</w:t>
            </w:r>
            <w:r>
              <w:rPr>
                <w:rStyle w:val="InstructionsTabelleberschrift"/>
                <w:rFonts w:ascii="Times New Roman" w:hAnsi="Times New Roman"/>
                <w:b w:val="0"/>
                <w:sz w:val="24"/>
                <w:u w:val="none"/>
              </w:rPr>
              <w:t xml:space="preserve"> papunktyje, kad prie šios kategorijos būtų priskiriama tik procentinė skolos vertybinių popierių dalis, išplatinta grupei nepriklausantiems subjektams.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išleistos padengtosios obligacijos</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Padengtųjų obligacijų, kurių turtas inicijuotas ataskaitą teikiančios įstaigos, balansinė vertė, jeigu dėl šių išleistų vertybinių popierių tos įstaigos turtas yra suvaržytas.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 jų: išleistos pakeitimo vertybiniais popieriais priemonės</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išleistų pakeitimo vertybiniais popieriais priemonių balansinė vertė, jeigu dėl šių išleistų vertybinių popierių tos įstaigos turtas yra suvaržytas.</w:t>
            </w:r>
          </w:p>
          <w:p w:rsidR="00941FAE" w:rsidRPr="000F059F" w:rsidRDefault="00941FAE" w:rsidP="005150E8">
            <w:pPr>
              <w:pStyle w:val="Default"/>
              <w:shd w:val="clear" w:color="auto" w:fill="FFFFFF"/>
              <w:spacing w:after="120"/>
              <w:jc w:val="both"/>
              <w:rPr>
                <w:rStyle w:val="InstructionsTabelleberschrift"/>
                <w:rFonts w:ascii="Times New Roman" w:hAnsi="Times New Roman"/>
                <w:sz w:val="24"/>
              </w:rPr>
            </w:pP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Kiti suvaržymo šaltiniai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užtikrintų sandorių, išskyrus finansinius įsipareigojimus, suma, jeigu dėl šių sandorių tos įstaigos turtas yra suvaržytas.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Gautų kreditavimo įsipareigojimų nominalioji vertė</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gautų kreditavimo įsipareigojimų nominalioji vertė, jeigu dėl šių gautų įsipareigojimų tos įstaigos turtas yra suvaržytas.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Gautų finansinių garantijų nominalioji vertė</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gautų finansinių garantijų nominalioji vertė, jeigu dėl šių gautų garantijų tos įstaigos turtas yra suvaržytas.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Pasiskolintų vertybinių popierių su nepinigine užtikrinimo priemone tikroji vertė</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pasiskolintų vertybinių popierių be piniginės užtikrinimo priemonės tikroji vertė, jeigu dėl šių sandorių tos įstaigos turtas yra suvaržytas.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Pirmiau nenurodytų ataskaitą teikiančios įstaigos užtikrintų sandorių, išskyrus finansinius įsipareigojimus, suma, jeigu dėl šių sandorių tos įstaigos turtas yra suvaržytas.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BENDRA SUVARŽYMO ŠALTINIŲ SUMA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Visų ataskaitą teikiančios įstaigos užtikrintų sandorių suma, jeigu dėl šių sandorių tos įstaigos turtas yra suvaržytas.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58571974"/>
      <w:r>
        <w:rPr>
          <w:rFonts w:ascii="Times New Roman" w:hAnsi="Times New Roman"/>
          <w:sz w:val="24"/>
          <w:u w:val="none"/>
        </w:rPr>
        <w:t>Nurodymai dėl konkrečių skilčių</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Skiltys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Suderinti įsipareigojimai, neapibrėžtieji įsipareigojimai arba paskolinti vertybiniai popieriai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Suderintų finansinių įsipareigojimų, neapibrėžtųjų įsipareigojimų (gautų kreditavimo įsipareigojimų ir gautų finansinių garantijų) ir paskolintų vertybinių popierių su nepinigine užtikrinimo priemone suma, jeigu dėl šių sandorių tos įstaigos turtas yra suvaržytas.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Finansiniai įsipareigojimai pateikiami balansine verte; neapibrėžtieji įsipareigojimai pateikiami nominaliąja verte; o paskolinti vertybiniai popieriai su nepinigine užtikrinimo priemone pateikiami tikrąja verte.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 kitų grupės subjektų</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Suderintų finansinių įsipareigojimų, neapibrėžtųjų įsipareigojimų (gautų kreditavimo įsipareigojimų ir gautų finansinių garantijų) ir paskolintų vertybinių popierių su nepinigine užtikrinimo priemone suma, jeigu sandorio šalis yra bet koks kitas subjektas, įtrauktas į rizikos ribojimu pagrįstą konsolidavimą, ir dėl šių sandorių ataskaitą teikiančios įstaigos turtas yra suvaržytas.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Dėl sumų rūšims taikomų taisyklių žr. 010 skilties pildymo nurodymus.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Suvaržytas turtas, gautos užtikrinimo priemonės ir išleisti nuosavi vertybiniai popieriai, išskyrus padengtąsias obligacijas ir pakeitimo vertybiniais popieriais priemones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Turto, gautų užtikrinimo priemonių ir išleistų nuosavų vertybinių popierių </w:t>
            </w:r>
            <w:r>
              <w:rPr>
                <w:rStyle w:val="InstructionsTabelleberschrift"/>
                <w:rFonts w:ascii="Times New Roman" w:hAnsi="Times New Roman"/>
                <w:b w:val="0"/>
                <w:sz w:val="24"/>
                <w:u w:val="none"/>
              </w:rPr>
              <w:lastRenderedPageBreak/>
              <w:t>(išskyrus padengtąsias obligacijas ir pakeitimo vertybiniais popieriais priemones), kurie yra suvaržyti dėl įvairių eilutėse nurodytų rūšių sandorių, suma.</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Siekiant užtikrinti suderinamumą su AE-ASS ir AE-COL formų kriterijais, balanse įrašytas ataskaitą teikiančios įstaigos turtas pateikiamas balansine verte, o pakartotinai panaudotos gautos užtikrinimo priemonės ir suvaržyti išleisti nuosavi vertybiniai popieriai, išskyrus padengtas obligacijas ir pakeitimo vertybiniais popieriais priemones, pateikiami tikrąja verte.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 jų: gautos pakartotinai panaudotos užtikrinimo priemonės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Gautų užtikrinimo priemonių, kurios yra pakartotinai panaudotos ir (arba) suvaržytos dėl įvairių eilutėse nurodytų rūšių sandorių, tikroji vertė.</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 jų: suvaržyti nuosavi skolos vertybiniai popieriai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Išleistų nuosavų vertybinių popierių (išskyrus padengtas obligacijas ir pakeitimo vertybiniais popieriais priemones), kurie yra suvaržyti dėl įvairių eilutėse nurodytų rūšių sandorių, tikroji vertė.</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64" w:name="_Toc58571975"/>
      <w:r>
        <w:rPr>
          <w:rFonts w:ascii="Times New Roman" w:hAnsi="Times New Roman"/>
          <w:b/>
          <w:sz w:val="24"/>
          <w:u w:val="none"/>
        </w:rPr>
        <w:t>B dalis. Informacija apie terminą</w:t>
      </w:r>
      <w:bookmarkEnd w:id="64"/>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58571976"/>
      <w:r>
        <w:rPr>
          <w:rFonts w:ascii="Times New Roman" w:hAnsi="Times New Roman"/>
          <w:sz w:val="24"/>
          <w:u w:val="none"/>
        </w:rPr>
        <w:t>Bendrosios pastabos</w:t>
      </w:r>
      <w:bookmarkEnd w:id="65"/>
    </w:p>
    <w:p w:rsidR="00941FAE" w:rsidRPr="000F059F" w:rsidRDefault="00941FAE" w:rsidP="00941FAE">
      <w:pPr>
        <w:pStyle w:val="InstructionsText2"/>
        <w:shd w:val="clear" w:color="auto" w:fill="FFFFFF"/>
        <w:spacing w:after="120"/>
        <w:rPr>
          <w:sz w:val="24"/>
        </w:rPr>
      </w:pPr>
      <w:r>
        <w:rPr>
          <w:sz w:val="24"/>
        </w:rPr>
        <w:t>B dalyje pateiktoje formoje bendrai apžvelgiamos suvaržyto turto ir gautų pakartotinai panaudotų užtikrinimo priemonių, kurios patenka į apibrėžtus suderintų įsipareigojimų likutinių terminų intervalus, sumos.</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66" w:name="_Toc58571977"/>
      <w:r>
        <w:rPr>
          <w:rFonts w:ascii="Times New Roman" w:hAnsi="Times New Roman"/>
          <w:sz w:val="24"/>
          <w:u w:val="none"/>
        </w:rPr>
        <w:t>Forma: AE-MAT. Informacija apie terminą</w:t>
      </w:r>
      <w:bookmarkEnd w:id="66"/>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58571978"/>
      <w:r>
        <w:rPr>
          <w:rFonts w:ascii="Times New Roman" w:hAnsi="Times New Roman"/>
          <w:sz w:val="24"/>
          <w:u w:val="none"/>
        </w:rPr>
        <w:t>Nurodymai dėl konkrečių eilučių</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Eilutės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Suvaržytas turtas</w:t>
            </w:r>
          </w:p>
          <w:p w:rsidR="00941FAE" w:rsidRPr="005F7E60"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Šioje formoje suvaržytas turtas apima visus šiuos dalykus:</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ataskaitas teikiančios įstaigos turtą (žr. AE-ASS formos 010 eilutės nurodymus), kuris pateikiamas balansine verte;</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išleistus nuosavus skolos vertybinius popierius (išskyrus padengtas obligacijas ar pakeitimo vertybiniais popieriais priemones) (žr. AE-COL </w:t>
            </w:r>
            <w:r>
              <w:rPr>
                <w:rStyle w:val="InstructionsTabelleberschrift"/>
                <w:rFonts w:ascii="Times New Roman" w:hAnsi="Times New Roman"/>
                <w:b w:val="0"/>
                <w:bCs w:val="0"/>
                <w:sz w:val="24"/>
                <w:u w:val="none"/>
              </w:rPr>
              <w:t>formos</w:t>
            </w:r>
            <w:r>
              <w:rPr>
                <w:rStyle w:val="InstructionsTabelleberschrift"/>
                <w:rFonts w:ascii="Times New Roman" w:hAnsi="Times New Roman"/>
                <w:b w:val="0"/>
                <w:sz w:val="24"/>
                <w:u w:val="none"/>
              </w:rPr>
              <w:t xml:space="preserve"> 240 eilutės nurodymus), kurie pateikiami tikrąja verte.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Šios sumos paskirstomos likutinių terminų intervalams, nurodytiems skiltyse, pagal suvaržymo šaltinio likutinį terminą (suderintas įsipareigojimas, neapibrėžtasis įsipareigojimas arba vertybinių popierių skolinimo sandoris).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Gautos pakartotinai panaudotos užtikrinimo priemonės (gavimo dalis)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Žr. AE-COL formos 130 eilutės nurodymus ir AE-SOU formos 040 skilties nurodymus.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Įstaigos nurodo sumas tikrąja verte ir paskirsto jas likutinių terminų intervalams, nurodytiems skiltyse, pagal sandorio, dėl kurio subjektas gavo užtikrinimo priemonę, kuri pakartotinai naudojama (gavimo dalis), likutinį terminą.</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Gautos pakartotinai panaudotos užtikrinimo priemonės (pakartotinio </w:t>
            </w:r>
            <w:r>
              <w:rPr>
                <w:rStyle w:val="InstructionsTabelleberschrift"/>
                <w:rFonts w:ascii="Times New Roman" w:hAnsi="Times New Roman"/>
                <w:sz w:val="24"/>
              </w:rPr>
              <w:lastRenderedPageBreak/>
              <w:t>panaudojimo dalis)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Žr. AE-COL formos 130 eilutės nurodymus ir AE-SOU formos 040 skilties nurodymus.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Įstaigos nurodo sumas tikrąja verte ir paskirsto jas likutinių terminų intervalams, nurodytiems skiltyse, pagal suvaržymo šaltinio likutinį terminą (pakartotinio panaudojimo dalis): suderintas įsipareigojimas, neapibrėžtasis įsipareigojimas arba vertybinių popierių skolinimo sandoris.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58571979"/>
      <w:r>
        <w:rPr>
          <w:rFonts w:ascii="Times New Roman" w:hAnsi="Times New Roman"/>
          <w:sz w:val="24"/>
          <w:u w:val="none"/>
        </w:rPr>
        <w:lastRenderedPageBreak/>
        <w:t>Nurodymai dėl konkrečių skilčių</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Skiltys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Terminas nenustatytas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Pagal pareikalavimą, konkretus terminas nenustatytas.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Vienos nakties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yra 1 diena arba trumpesnis.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diena &lt;= 1 sav.</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1 diena ir ne ilgesnis nei 1 savaitė.</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sav. &lt;= 2 sav.</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1 savaitė ir ne ilgesnis nei 2 savaitės.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sav. &lt;= 1 mėn.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2 savaitės ir ne ilgesnis nei 1 mėnuo.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mėn. &lt;= 3 mėn.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1 mėnuo ir ne ilgesnis nei 3 mėnesiai.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mėn. &lt;= 6 mėn.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3 mėnesiai ir ne ilgesnis nei 6 mėnesiai.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mėn. &lt;= 1 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6 mėnesiai ir ne ilgesnis nei 1 metai.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 &lt;= 2 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1 metai ir ne ilgesnis nei 2 metai.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m. &lt;= 3 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2 metai ir ne ilgesnis nei 3 metai arba lygus 3 metams.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 &lt;= 5 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3 metai ir ne ilgesnis nei 5 metai arba lygus 5 metams.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m. &lt;= 10 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5 metai ir ne ilgesnis nei 10 metų arba lygus 10 metų.</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10 metų.</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75" w:name="_Toc58571980"/>
      <w:r>
        <w:rPr>
          <w:rFonts w:ascii="Times New Roman" w:hAnsi="Times New Roman"/>
          <w:b/>
          <w:sz w:val="24"/>
          <w:u w:val="none"/>
        </w:rPr>
        <w:t>C dalis. Sąlyginis suvaržymas</w:t>
      </w:r>
      <w:bookmarkEnd w:id="75"/>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58571981"/>
      <w:r>
        <w:rPr>
          <w:rFonts w:ascii="Times New Roman" w:hAnsi="Times New Roman"/>
          <w:sz w:val="24"/>
          <w:u w:val="none"/>
        </w:rPr>
        <w:t>Bendrosios pastabos</w:t>
      </w:r>
      <w:bookmarkEnd w:id="76"/>
    </w:p>
    <w:p w:rsidR="00941FAE" w:rsidRPr="000F059F" w:rsidRDefault="00941FAE" w:rsidP="00941FAE">
      <w:pPr>
        <w:pStyle w:val="InstructionsText2"/>
        <w:shd w:val="clear" w:color="auto" w:fill="FFFFFF"/>
        <w:spacing w:after="120"/>
        <w:rPr>
          <w:sz w:val="24"/>
        </w:rPr>
      </w:pPr>
      <w:r>
        <w:rPr>
          <w:sz w:val="24"/>
        </w:rPr>
        <w:t>Šioje formoje įstaigos turi apskaičiuoti turto suvaržymo lygį pagal kelis nepalankiausių sąlygų scenarijus.</w:t>
      </w:r>
    </w:p>
    <w:p w:rsidR="00941FAE" w:rsidRPr="000F059F" w:rsidRDefault="00941FAE" w:rsidP="00941FAE">
      <w:pPr>
        <w:pStyle w:val="InstructionsText2"/>
        <w:shd w:val="clear" w:color="auto" w:fill="FFFFFF"/>
        <w:spacing w:after="120"/>
        <w:rPr>
          <w:sz w:val="24"/>
        </w:rPr>
      </w:pPr>
      <w:r>
        <w:rPr>
          <w:sz w:val="24"/>
        </w:rPr>
        <w:t>Sąlyginis suvaržymas reiškia, kad tais atvejais, kai ataskaitas teikiančios įstaigos susiduria su nepalankiais pokyčiais, sukeltais išorės įvykio, kurio ataskaitą teikianti įstaiga negali kontroliuoti (įskaitant kredito reitingo sumažinimą, suvaržyto turto tikrosios vertės sumažėjimą arba bendrą pasitikėjimo sumažėjimą), gali reikėti suvaržyti daugiau turto. Šiais atvejais ataskaitą teikianti įstaiga dėl jau sudarytų sandorių turės suvaržyti daugiau turto. Papildoma suvaržyto turto suma apskaičiuojama neįskaitant įstaigos apsidraudimo sandorių, kuriais siekiama apsidrausti nuo pagal minėtus nepalankiausių sąlygų scenarijus aprašytų įvykių, poveikio.</w:t>
      </w:r>
    </w:p>
    <w:p w:rsidR="00941FAE" w:rsidRPr="000F059F" w:rsidRDefault="00941FAE" w:rsidP="00941FAE">
      <w:pPr>
        <w:pStyle w:val="InstructionsText2"/>
        <w:shd w:val="clear" w:color="auto" w:fill="FFFFFF"/>
        <w:spacing w:after="120"/>
        <w:rPr>
          <w:sz w:val="24"/>
        </w:rPr>
      </w:pPr>
      <w:r>
        <w:rPr>
          <w:sz w:val="24"/>
        </w:rPr>
        <w:t xml:space="preserve">Šioje formoje numatyti du scenarijai, pagal kuriuos turi būti teikiama informacija apie sąlyginį suvaržymą ir kurie išsamiau apibūdinti 4.1.1 ir 4.1.2 </w:t>
      </w:r>
      <w:r>
        <w:rPr>
          <w:sz w:val="24"/>
          <w:szCs w:val="24"/>
        </w:rPr>
        <w:t>punktuose</w:t>
      </w:r>
      <w:r>
        <w:rPr>
          <w:sz w:val="24"/>
        </w:rPr>
        <w:t>. Įstaiga pateikia pagrįstą įvertį, apskaičiuotą remiantis geriausia turima informacija.</w:t>
      </w:r>
    </w:p>
    <w:p w:rsidR="00941FAE" w:rsidRPr="000F059F" w:rsidRDefault="00941FAE" w:rsidP="00941FAE">
      <w:pPr>
        <w:pStyle w:val="InstructionsText2"/>
        <w:numPr>
          <w:ilvl w:val="0"/>
          <w:numId w:val="7"/>
        </w:numPr>
        <w:shd w:val="clear" w:color="auto" w:fill="FFFFFF"/>
        <w:spacing w:after="120"/>
        <w:rPr>
          <w:sz w:val="24"/>
        </w:rPr>
      </w:pPr>
      <w:r>
        <w:rPr>
          <w:sz w:val="24"/>
        </w:rPr>
        <w:t>Suvaržyto turto tikrosios vertės sumažėjimas 30 %. Pagal šį scenarijų atsižvelgiama tik į turto pagrindinės tikrosios vertės pokytį, bet neatsižvelgiama į jokius kitus pokyčius, kurie gali turėti įtakos jo balansinei vertei, tokius kaip pelnas arba nuostoliai dėl užsienio valiutos kurso ar galimas nuvertėjimas. Ataskaitą teikianti įstaiga tuomet gali būti priversta pateikti papildomų užtikrinimo priemonių, kad išlaikytų pastovią užtikrinimo priemonių vertę.</w:t>
      </w:r>
    </w:p>
    <w:p w:rsidR="00941FAE" w:rsidRPr="000F059F" w:rsidRDefault="00941FAE" w:rsidP="00941FAE">
      <w:pPr>
        <w:pStyle w:val="InstructionsText2"/>
        <w:numPr>
          <w:ilvl w:val="0"/>
          <w:numId w:val="7"/>
        </w:numPr>
        <w:shd w:val="clear" w:color="auto" w:fill="FFFFFF"/>
        <w:spacing w:after="120"/>
        <w:rPr>
          <w:sz w:val="24"/>
        </w:rPr>
      </w:pPr>
      <w:r>
        <w:rPr>
          <w:sz w:val="24"/>
        </w:rPr>
        <w:t>Kiekvienos valiutos, kuria įstaiga turi bendrų įsipareigojimų, ir tie įsipareigojimai sudaro arba viršija 5 % visų įstaigos įsipareigojimų, nuvertėjimas 10 %.</w:t>
      </w:r>
    </w:p>
    <w:p w:rsidR="00941FAE" w:rsidRPr="000F059F" w:rsidRDefault="00941FAE" w:rsidP="00941FAE">
      <w:pPr>
        <w:pStyle w:val="InstructionsText2"/>
        <w:spacing w:after="120"/>
        <w:rPr>
          <w:sz w:val="24"/>
        </w:rPr>
      </w:pPr>
      <w:bookmarkStart w:id="77" w:name="_Toc348096583"/>
      <w:bookmarkStart w:id="78" w:name="_Toc348097344"/>
      <w:bookmarkStart w:id="79" w:name="_Toc348101365"/>
      <w:r>
        <w:rPr>
          <w:sz w:val="24"/>
        </w:rPr>
        <w:t>Pagal šiuos scenarijus informacija pateikiama atskirai, taip pat informacija apie reikšmingos valiutos nuvertėjimą pateikiama atskirai nuo informacijos apie kitų reikšmingų valiutų nuvertėjimą. Taigi įstaigos neturi atsižvelgti į koreliacijas tarp scenarijų.</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0" w:name="_Toc58571982"/>
      <w:r>
        <w:rPr>
          <w:rFonts w:ascii="Times New Roman" w:hAnsi="Times New Roman"/>
          <w:sz w:val="24"/>
          <w:u w:val="none"/>
        </w:rPr>
        <w:t>A scenarijus. Suvaržyto turto vertės sumažėjimas 30 %</w:t>
      </w:r>
      <w:bookmarkEnd w:id="80"/>
    </w:p>
    <w:p w:rsidR="00941FAE" w:rsidRPr="000F059F" w:rsidRDefault="00941FAE" w:rsidP="00941FAE">
      <w:pPr>
        <w:pStyle w:val="InstructionsText2"/>
        <w:spacing w:after="120"/>
        <w:rPr>
          <w:sz w:val="24"/>
        </w:rPr>
      </w:pPr>
      <w:r>
        <w:rPr>
          <w:sz w:val="24"/>
        </w:rPr>
        <w:t xml:space="preserve">Daroma prielaida, kad viso suvaržyto turto vertė sumažėja 30 %. Vertinant dėl tokio sumažėjimo atsirandantį papildomų užtikrinimo priemonių poreikį, atsižvelgiama į esamą </w:t>
      </w:r>
      <w:r>
        <w:rPr>
          <w:sz w:val="24"/>
          <w:szCs w:val="24"/>
        </w:rPr>
        <w:t>užtikrinimo priemonių perviršį</w:t>
      </w:r>
      <w:r>
        <w:rPr>
          <w:sz w:val="24"/>
        </w:rPr>
        <w:t>, kad būtų palaikomas tik minimalus užtikrinimo lygis. Vertinant papildomų užtikrinimo priemonių poreikį taip pat atsižvelgiama į sutarčių ir susitarimų, kuriems daromas poveikis, reikalavimus, įskaitant ribines vertes, kurias viršijus pradedami taikyti reikalavimai.</w:t>
      </w:r>
    </w:p>
    <w:p w:rsidR="00941FAE" w:rsidRPr="000F059F" w:rsidRDefault="00941FAE" w:rsidP="00941FAE">
      <w:pPr>
        <w:pStyle w:val="InstructionsText2"/>
        <w:spacing w:after="120"/>
        <w:rPr>
          <w:sz w:val="24"/>
        </w:rPr>
      </w:pPr>
      <w:r>
        <w:rPr>
          <w:sz w:val="24"/>
        </w:rPr>
        <w:t>Įtraukiamos tik tos sutartys ir susitarimai, pagal kuriuos nustatytas teisinis įpareigojimas pateikti papildomų užtikrinimo priemonių. Tai yra padengtųjų obligacijų emisijos, kai egzistuoja teisinis reikalavimas išlaikyti minimalų užtikrinimo priemonių perviršio lygį, tačiau nėra reikalavimo išlaikyti esamus padengtos obligacijos reitingus.</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1" w:name="_Toc58571983"/>
      <w:r>
        <w:rPr>
          <w:rFonts w:ascii="Times New Roman" w:hAnsi="Times New Roman"/>
          <w:sz w:val="24"/>
          <w:u w:val="none"/>
        </w:rPr>
        <w:lastRenderedPageBreak/>
        <w:t>B scenarijus. Reikšmingų valiutų nuvertėjimas 10 %</w:t>
      </w:r>
      <w:bookmarkEnd w:id="81"/>
    </w:p>
    <w:p w:rsidR="00941FAE" w:rsidRPr="00B93E25" w:rsidRDefault="00941FAE" w:rsidP="00941FAE">
      <w:pPr>
        <w:pStyle w:val="InstructionsText2"/>
        <w:spacing w:after="120"/>
        <w:rPr>
          <w:sz w:val="24"/>
        </w:rPr>
      </w:pPr>
      <w:r>
        <w:rPr>
          <w:sz w:val="24"/>
        </w:rPr>
        <w:t>Valiuta laikoma reikšminga, jeigu ta valiuta ataskaitą teikianti įstaiga turi bendrų įsipareigojimų, kurie sudaro arba viršija 5 % visų įstaigos įsipareigojimų.</w:t>
      </w:r>
    </w:p>
    <w:p w:rsidR="00941FAE" w:rsidRPr="000F059F" w:rsidRDefault="00941FAE" w:rsidP="00941FAE">
      <w:pPr>
        <w:pStyle w:val="InstructionsText2"/>
        <w:spacing w:after="120"/>
        <w:rPr>
          <w:sz w:val="24"/>
        </w:rPr>
      </w:pPr>
      <w:r>
        <w:rPr>
          <w:sz w:val="24"/>
        </w:rPr>
        <w:t>Apskaičiuojant 10 % nuvertėjimą atsižvelgiama tiek į turto, tiek į įsipareigojimų pokyčius, t. y. dėmesys sutelkiamas į turto ir įsipareigojimų neatitikimus. Pavyzdžiui, atpirkimo sandoris JAV doleriais, paremtas turtu JAV doleriais, nelemia papildomo suvaržymo, o atpirkimo sandoris JAV doleriais, paremtas turtu eurais, lemia papildomą suvaržymą.</w:t>
      </w:r>
    </w:p>
    <w:p w:rsidR="00941FAE" w:rsidRPr="000F059F" w:rsidRDefault="00941FAE" w:rsidP="00941FAE">
      <w:pPr>
        <w:pStyle w:val="InstructionsText2"/>
        <w:spacing w:after="120"/>
        <w:rPr>
          <w:sz w:val="24"/>
        </w:rPr>
      </w:pPr>
      <w:r>
        <w:rPr>
          <w:sz w:val="24"/>
        </w:rPr>
        <w:t>Į šį skaičiavimą įtraukiami visi sandoriai, kuriuose naudojamos kelios valiutos.</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82" w:name="_Toc58571984"/>
      <w:r>
        <w:rPr>
          <w:rFonts w:ascii="Times New Roman" w:hAnsi="Times New Roman"/>
          <w:sz w:val="24"/>
          <w:u w:val="none"/>
        </w:rPr>
        <w:t>Forma: AE-CONT. Sąlyginis suvaržymas</w:t>
      </w:r>
      <w:bookmarkEnd w:id="82"/>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3" w:name="_Toc58571985"/>
      <w:r>
        <w:rPr>
          <w:rFonts w:ascii="Times New Roman" w:hAnsi="Times New Roman"/>
          <w:sz w:val="24"/>
          <w:u w:val="none"/>
        </w:rPr>
        <w:t>Nurodymai dėl konkrečių eilučių</w:t>
      </w:r>
      <w:bookmarkEnd w:id="77"/>
      <w:bookmarkEnd w:id="78"/>
      <w:bookmarkEnd w:id="79"/>
      <w:bookmarkEnd w:id="83"/>
    </w:p>
    <w:p w:rsidR="00941FAE" w:rsidRPr="000F059F" w:rsidRDefault="00941FAE" w:rsidP="00941FAE">
      <w:pPr>
        <w:pStyle w:val="InstructionsText2"/>
        <w:shd w:val="clear" w:color="auto" w:fill="FFFFFF"/>
        <w:spacing w:after="120"/>
        <w:rPr>
          <w:sz w:val="24"/>
        </w:rPr>
      </w:pPr>
      <w:bookmarkStart w:id="84" w:name="_Toc348096584"/>
      <w:r>
        <w:rPr>
          <w:sz w:val="24"/>
        </w:rPr>
        <w:t>Žr. nurodymus dėl konkrečių AE-SOU formos eilučių 2.4.2 punkte. AE-CONT formos eilučių turinys nesiskiria nuo AE-SOU formos.</w:t>
      </w:r>
      <w:bookmarkEnd w:id="8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58571986"/>
      <w:r>
        <w:rPr>
          <w:rFonts w:ascii="Times New Roman" w:hAnsi="Times New Roman"/>
          <w:sz w:val="24"/>
          <w:u w:val="none"/>
        </w:rPr>
        <w:t>Nurodymai dėl konkrečių skilčių</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F059F" w:rsidTr="005150E8">
        <w:tc>
          <w:tcPr>
            <w:tcW w:w="1134"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Skiltys</w:t>
            </w:r>
          </w:p>
        </w:tc>
        <w:tc>
          <w:tcPr>
            <w:tcW w:w="7938"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Suderinti įsipareigojimai, neapibrėžtieji įsipareigojimai arba paskolinti vertybiniai popieriai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Nurodymai ir duomenys tokie patys </w:t>
            </w:r>
            <w:r>
              <w:rPr>
                <w:rStyle w:val="InstructionsTabelleberschrift"/>
                <w:rFonts w:ascii="Times New Roman" w:hAnsi="Times New Roman"/>
                <w:b w:val="0"/>
                <w:bCs w:val="0"/>
                <w:sz w:val="24"/>
                <w:u w:val="none"/>
              </w:rPr>
              <w:t>kaip</w:t>
            </w:r>
            <w:r>
              <w:rPr>
                <w:rStyle w:val="InstructionsTabelleberschrift"/>
                <w:rFonts w:ascii="Times New Roman" w:hAnsi="Times New Roman"/>
                <w:b w:val="0"/>
                <w:sz w:val="24"/>
                <w:u w:val="none"/>
              </w:rPr>
              <w:t xml:space="preserve"> AE-SOU formos 010 skilties atveju. Suderintų finansinių įsipareigojimų, neapibrėžtųjų įsipareigojimų (gautų kreditavimo įsipareigojimų ir gautų finansinių garantijų) ir paskolintų vertybinių popierių su nepinigine užtikrinimo priemone suma, jeigu dėl šių sandorių tos įstaigos turtas yra suvaržytas.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Kiekvienoje formos eilutėje įstaigos nurodo finansinius įsipareigojimus balansine verte, neapibrėžtuosius įsipareigojimus – nominaliąja verte, o paskolintus vertybinius popierius su nepinigine užtikrinimo priemone – tikrąja verte.</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A.</w:t>
            </w:r>
            <w:r>
              <w:rPr>
                <w:rStyle w:val="InstructionsTabelleberschrift"/>
                <w:rFonts w:ascii="Times New Roman" w:hAnsi="Times New Roman"/>
                <w:sz w:val="24"/>
              </w:rPr>
              <w:t xml:space="preserve"> Papildoma suvaržyto turto suma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Papildoma turto, kuris būtų suvaržytas dėl teisinės, reguliavimo ar sutarčių nuostatos, kuri gali būti pradėta taikyti, jei pasitvirtintų A scenarijus, suma.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Vadovaujantis šio priedo </w:t>
            </w:r>
            <w:r>
              <w:rPr>
                <w:rStyle w:val="InstructionsTabelleberschrift"/>
                <w:rFonts w:ascii="Times New Roman" w:hAnsi="Times New Roman"/>
                <w:b w:val="0"/>
                <w:bCs w:val="0"/>
                <w:sz w:val="24"/>
                <w:u w:val="none"/>
              </w:rPr>
              <w:t>A</w:t>
            </w:r>
            <w:r>
              <w:rPr>
                <w:rStyle w:val="InstructionsTabelleberschrift"/>
                <w:rFonts w:ascii="Times New Roman" w:hAnsi="Times New Roman"/>
                <w:b w:val="0"/>
                <w:sz w:val="24"/>
                <w:u w:val="none"/>
              </w:rPr>
              <w:t xml:space="preserve"> dalyje pateiktais </w:t>
            </w:r>
            <w:r>
              <w:rPr>
                <w:rStyle w:val="InstructionsTabelleberschrift"/>
                <w:rFonts w:ascii="Times New Roman" w:hAnsi="Times New Roman"/>
                <w:b w:val="0"/>
                <w:bCs w:val="0"/>
                <w:sz w:val="24"/>
                <w:u w:val="none"/>
              </w:rPr>
              <w:t>nurodymais</w:t>
            </w:r>
            <w:r>
              <w:rPr>
                <w:rStyle w:val="InstructionsTabelleberschrift"/>
                <w:rFonts w:ascii="Times New Roman" w:hAnsi="Times New Roman"/>
                <w:b w:val="0"/>
                <w:sz w:val="24"/>
                <w:u w:val="none"/>
              </w:rPr>
              <w:t>, įstaigos šias sumas nurodo balansine verte, jei suma susijusi su ataskaitą teikiančios įstaigos turtu, arba tikrąja verte, jei ji susijusi su gauta užtikrinimo priemone. Sumos, viršijančios įstaigos nesuvaržyto turto ir užtikrinimo priemonių sumas, nurodomos tikrąja verte.</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Papildoma suvaržyto turto suma. 1 reikšminga valiuta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Papildoma turto, kuris būtų suvaržytas dėl teisinės, reguliavimo ar sutarčių nuostatos, kuri gali būti pradėta taikyti, jei nuvertėtų 1 reikšminga valiuta pagal B scenarijų, suma.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Žr. taisykles dėl sumų rūšių 020 eilutėje.</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Papildoma suvaržyto turto suma. 2 reikšminga valiuta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Papildoma turto, kuris būtų suvaržytas dėl teisinės, reguliavimo ar sutarčių </w:t>
            </w:r>
            <w:r>
              <w:rPr>
                <w:rStyle w:val="InstructionsTabelleberschrift"/>
                <w:rFonts w:ascii="Times New Roman" w:hAnsi="Times New Roman"/>
                <w:b w:val="0"/>
                <w:sz w:val="24"/>
                <w:u w:val="none"/>
              </w:rPr>
              <w:lastRenderedPageBreak/>
              <w:t>nuostatos, kuri gali būti pradėta taikyti, jei nuvertėtų 2 reikšminga valiuta pagal B scenarijų, suma.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Žr. taisykles dėl sumų rūšių 020 eilutėje.</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89" w:name="_Toc58571987"/>
      <w:r>
        <w:rPr>
          <w:rFonts w:ascii="Times New Roman" w:hAnsi="Times New Roman"/>
          <w:b/>
          <w:sz w:val="24"/>
          <w:u w:val="none"/>
        </w:rPr>
        <w:lastRenderedPageBreak/>
        <w:t>D dalis. Padengtos obligacijos</w:t>
      </w:r>
      <w:bookmarkEnd w:id="89"/>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58571988"/>
      <w:r>
        <w:rPr>
          <w:rFonts w:ascii="Times New Roman" w:hAnsi="Times New Roman"/>
          <w:sz w:val="24"/>
          <w:u w:val="none"/>
        </w:rPr>
        <w:t>Bendrosios pastabos</w:t>
      </w:r>
      <w:bookmarkEnd w:id="90"/>
    </w:p>
    <w:p w:rsidR="00941FAE" w:rsidRPr="000F059F" w:rsidRDefault="00941FAE" w:rsidP="00941FAE">
      <w:pPr>
        <w:pStyle w:val="InstructionsText2"/>
        <w:shd w:val="clear" w:color="auto" w:fill="FFFFFF"/>
        <w:spacing w:after="120"/>
        <w:rPr>
          <w:sz w:val="24"/>
        </w:rPr>
      </w:pPr>
      <w:r>
        <w:rPr>
          <w:sz w:val="24"/>
        </w:rPr>
        <w:t>Šioje formoje pateikiama informacija apie visas KIPVPS reikalavimus atitinkančias padengtas obligacijas, kurias išleido ataskaitą teikianti įstaiga. KIPVPS reikalavimus atitinkančios padengtos obligacijos yra obligacijos, nurodytos Direktyvos 2009/65/EB 52 straipsnio 4 dalies pirmoje pastraipoje. Tai yra ataskaitą teikiančios įstaigos išleistos padengtos obligacijos, jeigu dėl tų padengtų obligacijų ataskaitą teikiančiai įstaigai pagal teisės aktus taikoma speciali viešoji priežiūra, skirta obligacijų savininkams apsaugoti, ir jeigu reikalaujama, kad sumos, gaunamos išleidus tas obligacijas, pagal teisės aktus būtų investuojamos į turtą, kuris per visą obligacijų galiojimo laikotarpį galėtų padengti su obligacijomis susijusius reikalavimus ir kuris, emitentui negalint jų išpirkti, būtų pirmiausia naudojamas pagrindinei sumai bei susikaupusioms palūkanoms apmokėti.</w:t>
      </w:r>
    </w:p>
    <w:p w:rsidR="00941FAE" w:rsidRPr="000F059F" w:rsidRDefault="00941FAE" w:rsidP="00941FAE">
      <w:pPr>
        <w:pStyle w:val="InstructionsText2"/>
        <w:shd w:val="clear" w:color="auto" w:fill="FFFFFF"/>
        <w:spacing w:after="120"/>
        <w:rPr>
          <w:sz w:val="24"/>
        </w:rPr>
      </w:pPr>
      <w:r>
        <w:rPr>
          <w:sz w:val="24"/>
        </w:rPr>
        <w:t>Informacija apie padengtas obligacijas, išleistas ataskaitą teikiančios įstaigos arba jos vardu, kurios nėra KIPVPS reikalavimus atitinkančios padengtos obligacijos, AE-CB formose neteikiama.</w:t>
      </w:r>
    </w:p>
    <w:p w:rsidR="00941FAE" w:rsidRPr="000F059F" w:rsidRDefault="00941FAE" w:rsidP="00941FAE">
      <w:pPr>
        <w:pStyle w:val="InstructionsText2"/>
        <w:shd w:val="clear" w:color="auto" w:fill="FFFFFF"/>
        <w:spacing w:after="120"/>
        <w:rPr>
          <w:sz w:val="24"/>
        </w:rPr>
      </w:pPr>
      <w:r>
        <w:rPr>
          <w:sz w:val="24"/>
        </w:rPr>
        <w:t>Teikiant informaciją remiamasi teisės aktų nustatyta padengtų obligacijų tvarka, t. y. teisine sistema, taikoma padengtų obligacijų programai.</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91" w:name="_Toc58571989"/>
      <w:r>
        <w:rPr>
          <w:rFonts w:ascii="Times New Roman" w:hAnsi="Times New Roman"/>
          <w:sz w:val="24"/>
          <w:u w:val="none"/>
        </w:rPr>
        <w:t>Forma: AE-CB. Padengtųjų obligacijų išleidimas</w:t>
      </w:r>
      <w:bookmarkEnd w:id="91"/>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92" w:name="_Toc58571990"/>
      <w:bookmarkStart w:id="93" w:name="_Toc348096589"/>
      <w:bookmarkStart w:id="94" w:name="_Toc348097349"/>
      <w:bookmarkStart w:id="95" w:name="_Toc348101370"/>
      <w:r>
        <w:rPr>
          <w:rFonts w:ascii="Times New Roman" w:hAnsi="Times New Roman"/>
          <w:sz w:val="24"/>
          <w:u w:val="none"/>
        </w:rPr>
        <w:t>Nurodymai dėl z ašies</w:t>
      </w:r>
      <w:bookmarkEnd w:id="92"/>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 ašis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Užtikrinamojo turto grupės identifikatorius (atviras)</w:t>
            </w:r>
          </w:p>
          <w:p w:rsidR="00941FAE" w:rsidRPr="00B93E25" w:rsidRDefault="00941FAE" w:rsidP="005150E8">
            <w:pPr>
              <w:spacing w:before="0"/>
              <w:rPr>
                <w:rFonts w:ascii="Times New Roman" w:hAnsi="Times New Roman"/>
                <w:sz w:val="24"/>
              </w:rPr>
            </w:pPr>
            <w:r>
              <w:rPr>
                <w:rFonts w:ascii="Times New Roman" w:hAnsi="Times New Roman"/>
                <w:sz w:val="24"/>
              </w:rPr>
              <w:t>Užtikrinamojo turto grupės identifikatorių sudaro užtikrinamojo turto grupės emitento pavadinimas ar vienareikšmė jo santrumpa ir užtikrinamojo turto grupės, kuriai atskirai yra taikomos atitinkamos padengtų obligacijų apsaugos priemonės, pavadinimas.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6" w:name="_Toc58571991"/>
      <w:r>
        <w:rPr>
          <w:rFonts w:ascii="Times New Roman" w:hAnsi="Times New Roman"/>
          <w:sz w:val="24"/>
          <w:u w:val="none"/>
        </w:rPr>
        <w:t>Nurodymai dėl konkrečių eilučių</w:t>
      </w:r>
      <w:bookmarkEnd w:id="93"/>
      <w:bookmarkEnd w:id="94"/>
      <w:bookmarkEnd w:id="95"/>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Eilutės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0F059F" w:rsidTr="005150E8">
        <w:tc>
          <w:tcPr>
            <w:tcW w:w="993" w:type="dxa"/>
            <w:shd w:val="clear" w:color="auto" w:fill="FFFFFF"/>
          </w:tcPr>
          <w:p w:rsidR="00941FAE" w:rsidRPr="000F059F"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Nominalioji vertė</w:t>
            </w:r>
          </w:p>
          <w:p w:rsidR="00941FAE" w:rsidRPr="000F059F" w:rsidRDefault="00941FAE" w:rsidP="005150E8">
            <w:pPr>
              <w:spacing w:before="0"/>
              <w:rPr>
                <w:rFonts w:ascii="Times New Roman" w:hAnsi="Times New Roman"/>
                <w:sz w:val="24"/>
              </w:rPr>
            </w:pPr>
            <w:r>
              <w:rPr>
                <w:rFonts w:ascii="Times New Roman" w:hAnsi="Times New Roman"/>
                <w:sz w:val="24"/>
              </w:rPr>
              <w:t>Nominalioji vertė yra pagrindinės sumos mokėjimo reikalavimų suma, nustatyta pagal atitinkamas teisės aktų nustatytos padengtų obligacijų tvarkos taisykles, taikomas pakankamo padengimo lygiui nustatyti.</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Dabartinė vertė (apsikeitimo sandoris) / Rinkos vertė</w:t>
            </w:r>
          </w:p>
          <w:p w:rsidR="00941FAE" w:rsidRPr="000F059F" w:rsidRDefault="00941FAE" w:rsidP="005150E8">
            <w:pPr>
              <w:spacing w:before="0"/>
              <w:rPr>
                <w:rFonts w:ascii="Times New Roman" w:hAnsi="Times New Roman"/>
                <w:sz w:val="24"/>
              </w:rPr>
            </w:pPr>
            <w:r>
              <w:rPr>
                <w:rFonts w:ascii="Times New Roman" w:hAnsi="Times New Roman"/>
                <w:sz w:val="24"/>
              </w:rPr>
              <w:t xml:space="preserve">Dabartinė vertė (apsikeitimo sandoris) yra pagrindinės sumos ir palūkanų mokėjimo reikalavimų suma, diskontuota naudojant užsienio valiutų keitimui būdingą su rizika nesusietą pelningumo kreivę, nustatyta pagal atitinkamas teisės aktų nustatytos padengtų obligacijų tvarkos taisykles, taikomas pakankamo </w:t>
            </w:r>
            <w:r>
              <w:rPr>
                <w:rFonts w:ascii="Times New Roman" w:hAnsi="Times New Roman"/>
                <w:sz w:val="24"/>
              </w:rPr>
              <w:lastRenderedPageBreak/>
              <w:t>padengimo lygiui nustatyti.</w:t>
            </w:r>
          </w:p>
          <w:p w:rsidR="00941FAE" w:rsidRPr="000F059F" w:rsidRDefault="00941FAE" w:rsidP="005150E8">
            <w:pPr>
              <w:spacing w:before="0"/>
              <w:rPr>
                <w:rFonts w:ascii="Times New Roman" w:hAnsi="Times New Roman"/>
                <w:sz w:val="24"/>
              </w:rPr>
            </w:pPr>
            <w:r>
              <w:rPr>
                <w:rFonts w:ascii="Times New Roman" w:hAnsi="Times New Roman"/>
                <w:sz w:val="24"/>
              </w:rPr>
              <w:t>080 ir 210 skiltyse, susijusiose su užtikrinamojo turto grupės išvestinių finansinių priemonių pozicijomis, nurodoma rinkos vertė.</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Konkretaus turto vertė</w:t>
            </w:r>
          </w:p>
          <w:p w:rsidR="00941FAE" w:rsidRPr="000F059F" w:rsidRDefault="00941FAE" w:rsidP="005150E8">
            <w:pPr>
              <w:spacing w:before="0"/>
              <w:rPr>
                <w:rFonts w:ascii="Times New Roman" w:hAnsi="Times New Roman"/>
                <w:sz w:val="24"/>
              </w:rPr>
            </w:pPr>
            <w:r>
              <w:rPr>
                <w:rFonts w:ascii="Times New Roman" w:hAnsi="Times New Roman"/>
                <w:sz w:val="24"/>
              </w:rPr>
              <w:t>Konkretaus turto vertė yra užtikrinamojo turto grupės turto ekonominė vertė, kuri gali būti apibūdinta kaip tikroji vertė pagal 13-ąjį TFAS, rinkos vertė, nustatoma iš įvykdytų sandorių likvidžiose rinkose, arba dabartinė vertė, kurią nustatant turto būsimi pinigų srautai diskontuojami pagal konkrečiam turtui būdingą palūkanų normų kreivę.</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Balansinė vertė</w:t>
            </w:r>
          </w:p>
          <w:p w:rsidR="00941FAE" w:rsidRPr="005F7E60" w:rsidRDefault="00941FAE" w:rsidP="005150E8">
            <w:pPr>
              <w:spacing w:before="0"/>
              <w:rPr>
                <w:rFonts w:ascii="Times New Roman" w:hAnsi="Times New Roman"/>
                <w:sz w:val="24"/>
              </w:rPr>
            </w:pPr>
            <w:r>
              <w:rPr>
                <w:rFonts w:ascii="Times New Roman" w:hAnsi="Times New Roman"/>
                <w:sz w:val="24"/>
              </w:rPr>
              <w:t>Padengtos obligacijos įsipareigojimo arba užtikrinamojo turto grupės turto balansinė vertė yra padengtosios obligacijos emitento nustatyta balansinė vertė.</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58571992"/>
      <w:r>
        <w:rPr>
          <w:rFonts w:ascii="Times New Roman" w:hAnsi="Times New Roman"/>
          <w:sz w:val="24"/>
          <w:u w:val="none"/>
        </w:rPr>
        <w:t>Nurodymai dėl konkrečių skilčių</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Ar laikomasi KPR 129 straipsnio? [TAIP / NE]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Įstaigos nurodo, ar užtikrinamojo turto grupė atitinka KPR 129 straipsnio reikalavimus, kad jai būtų galima taikyti lengvatinį vertinimą, nustatytą to reglamento 129 straipsnio 4 ir 5 dalyse.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Jeigu TAIP, nurodyti užtikrinamojo turto grupės pirminio turto klasę</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Jei užtikrinamojo turto grupei galima taikyti KPR 129 straipsnio 4 ir 5 dalyse nustatytą lengvatinį vertinimą (011 skiltyje pateiktas atsakymas TAIP), šiame langelyje nurodoma užtikrinamojo turto grupės pirminio turto klasė. Šiuo tikslu naudojama to reglamento 129 straipsnio 1 dalyje pateikta klasifikacija ir atitinkamai nurodomi „a“, „b“, „c“, „d“, „e“, „f“ ir „g“ kodai. „h“ kodas taikomas, kai užtikrinamojo turto grupės pirminio turto klasė nepriklauso nė vienai iš pirmiau nurodytų kategorijų.</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Padengtųjų obligacijų įsipareigojimai</w:t>
            </w:r>
          </w:p>
          <w:p w:rsidR="00941FAE" w:rsidRPr="000F059F" w:rsidRDefault="00941FAE" w:rsidP="005150E8">
            <w:pPr>
              <w:spacing w:before="0"/>
              <w:rPr>
                <w:rFonts w:ascii="Times New Roman" w:hAnsi="Times New Roman"/>
                <w:sz w:val="24"/>
              </w:rPr>
            </w:pPr>
            <w:r>
              <w:rPr>
                <w:rFonts w:ascii="Times New Roman" w:hAnsi="Times New Roman"/>
                <w:sz w:val="24"/>
              </w:rPr>
              <w:t>Padengtųjų obligacijų įsipareigojimai yra įsipareigojimai, kuriuos emitentas įgijo išleisdamas padengtas obligacijas ir kurie apima visas pozicijas, kaip apibrėžta pagal atitinkamą teisės aktų nustatytą padengtų obligacijų tvarką, kurioms taikomos atitinkamos padengtų obligacijų apsaugos priemonės (pavyzdžiui, tai gali būti apyvartoje esantys vertybiniai popieriai, taip pat padengtos obligacijos emitento sandorio šalių išvestinių finansinių priemonių pozicijos, kurių rinkos vertė padengtos obligacijos emitento požiūriu yra neigiama, priskirtos užtikrinamojo turto grupei ir vertinamos kaip padengtų obligacijų įsipareigojimai pagal atitinkamą teisės aktų nustatytą padengtų obligacijų tvarką).</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Ataskaitinė data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Padengtųjų obligacijų įsipareigojimų, išskyrus užtikrinamojo turto grupės išvestinių finansinių priemonių pozicijas, sumos pagal skirtingus ateities datų intervalus.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mėnesiai</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Data „+ 6 mėnesiai“ yra momentas praėjus 6 mėnesiams nuo ataskaitinės datos. Sumos pateikiamos darant prielaidą, kad padengtųjų obligacijų įsipareigojimai nesikeis, palyginti su įsipareigojimais ataskaitinę datą, išskyrus amortizaciją. Jei fiksuoto mokėjimo grafiko nėra, ateities datomis neapmokėtų sumų numatomas terminas yra nustatomas nuosekliai.</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040–070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Nuo + 12 mėnesių iki + 10 metų</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Nurodymai tokie patys kaip „+ 6 mėnesiai“ atveju (030 skiltis), atitinkamas momentas skaičiuojamas nuo ataskaitinės datos.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Užtikrinamojo turto grupės išvestinių finansinių priemonių pozicijos, kurių grynoji rinkos vertė yra neigiama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Užtikrinamojo turto grupės išvestinių finansinių priemonių pozicijų, kurių grynoji rinkos vertė padengtų obligacijų emitento požiūriu yra neigiama, grynoji neigiama rinkos vertė.</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Užtikrinamojo turto grupės išvestinių finansinių priemonių pozicijos yra tokios grynosios išvestinių finansinių priemonių pozicijos, kurios pagal atitinkamą teisės aktų nustatytą padengtųjų obligacijų tvarką buvo įtrauktos į užtikrinamojo turto grupę ir kurioms taikomos atitinkamos padengtųjų obligacijų apsaugos priemonės, jei tokios išvestinių finansinių priemonių pozicijos, kurių rinkos vertė yra neigiama, turi būti padengtos reikalavimus atitinkančiu užtikrinamojo turto grupės turtu.</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Reikia pateikti tik ataskaitinės datos grynąją neigiamą rinkos vertę.</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Padengtosios obligacijos išorinis kredito reitingas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Reikia pateikti informaciją apie atitinkamos padengtosios obligacijos išorinius kredito reitingus ataskaitinę datą.</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1 kredito reitingų agentūra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Jeigu ataskaitinę datą egzistuoja bent vienos kredito reitingų agentūros suteiktas kredito reitingas, įstaigos nurodo vienos iš šių kredito reitingų agentūrų pavadinimą. Jeigu ataskaitinę datą egzistuoja daugiau nei trijų kredito reitingų agentūrų suteikti kredito reitingai, pasirenkamos trys kredito reitingų agentūros, kurioms teikiama informacija, remiantis jų svarba rinkoje.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1 kredito reitingas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Kredito reitingų agentūros, apie kurią informacija pateikta 090 skiltyje, suteiktas padengtosios obligacijos kredito reitingas ataskaitinę datą.</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Jei ta pati kredito reitingų agentūra suteikė ir ilgalaikį, ir trumpalaikį kredito reitingus, pateikiamas ilgalaikis kredito reitingas. Nurodomas kredito reitingas apima visus modifikatorius.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110, 130,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2 kredito reitingų agentūra ir 3 kredito reitingų agentūra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Kaip ir 1 kredito reitingų agentūros atveju (090 skiltis), informacija apie kitas kredito reitingų agentūras, kurios yra suteikusios padengtosios obligacijos kredito reitingus ataskaitinę datą.</w:t>
            </w:r>
          </w:p>
        </w:tc>
      </w:tr>
      <w:tr w:rsidR="00941FAE" w:rsidRPr="000F059F" w:rsidTr="005150E8">
        <w:tc>
          <w:tcPr>
            <w:tcW w:w="993" w:type="dxa"/>
            <w:shd w:val="clear" w:color="auto" w:fill="FFFFFF"/>
          </w:tcPr>
          <w:p w:rsidR="00941FAE" w:rsidRPr="00C930E7" w:rsidRDefault="00941FAE"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120, 140,</w:t>
            </w:r>
          </w:p>
        </w:tc>
        <w:tc>
          <w:tcPr>
            <w:tcW w:w="8079" w:type="dxa"/>
          </w:tcPr>
          <w:p w:rsidR="00941FAE" w:rsidRPr="000F059F"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2 kredito reitingas ir 3 kredito reitingas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Kaip ir 1 kredito reitingo atveju (100 skiltis), informacija apie kitus padengtosios </w:t>
            </w:r>
            <w:r>
              <w:rPr>
                <w:rStyle w:val="InstructionsTabelleberschrift"/>
                <w:rFonts w:ascii="Times New Roman" w:hAnsi="Times New Roman"/>
                <w:b w:val="0"/>
                <w:sz w:val="24"/>
                <w:u w:val="none"/>
              </w:rPr>
              <w:lastRenderedPageBreak/>
              <w:t>obligacijos kredito reitingus, kuriuos ataskaitinę datą yra suteikusios 2 ir 3 kredito reitingų agentūros.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150–250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Užtikrinamojo turto grupė</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Užtikrinamojo turto grupę sudaro visos pozicijos, įskaitant užtikrinamojo turto grupės išvestinių finansinių priemonių pozicijas, kurių grynoji rinkos vertė padengtosios obligacijos emitento požiūriu yra teigiama, kurioms taikomos atitinkamos padengtųjų obligacijų apsaugos priemonės.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Ataskaitinė data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Užtikrinamojo turto grupėje esančio turto sumos, išskyrus užtikrinamojo turto grupės išvestinių finansinių priemonių pozicijas. </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Ši suma apima minimalaus užtikrinimo priemonių perviršio reikalavimus ir bet kokį papildomą užtikrinimo priemonių perviršį, kuris viršija minimalią sumą, jeigu taikomos atitinkamos padengtųjų obligacijų apsaugos priemonės.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mėnesiai</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Ataskaitinė data „+ 6 mėnesiai“ yra momentas praėjus 6 mėnesiams nuo ataskaitinės datos. Įstaigos pateikia sumas darydamos prielaidą, kad užtikrinamojo turto grupė nesikeis, palyginti su ataskaitine data, išskyrus amortizaciją. Jei fiksuoto mokėjimo grafiko nėra, ateities datomis neapmokėtų sumų numatomas terminas yra nustatomas nuosekliai.</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Nuo + 12 mėnesių iki + 10 metų</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Nurodymai tokie patys kaip „+ 6 mėnesiai“ atveju (160 skiltis), atitinkamas momentas skaičiuojamas nuo ataskaitinės datos.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Užtikrinamojo turto grupės išvestinių finansinių priemonių pozicijos, kurių grynoji rinkos vertė yra teigiama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Užtikrinamojo turto grupės išvestinių finansinių priemonių pozicijų, kurių grynoji rinkos vertė padengtųjų obligacijų emitento požiūriu yra teigiama, grynoji teigiama rinkos vertė.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Užtikrinamojo turto grupės išvestinių finansinių priemonių pozicijos yra tokios grynosios išvestinių finansinių priemonių pozicijos, kurios pagal atitinkamą teisės aktų nustatytą padengtųjų obligacijų tvarką buvo įtrauktos į užtikrinamojo turto grupę ir kurioms taikomos atitinkamos padengtųjų obligacijų apsaugos priemonės, jei tokios išvestinių finansinių priemonių pozicijos, kurių rinkos vertė yra teigiama, nesudarytų nemokaus padengtosios obligacijos emitento turto.</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Reikia pateikti tik ataskaitinės datos grynąją teigiamą rinkos vertę.</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Užtikrinamojo turto grupės sumos, viršijančios minimalaus padengimo reikalavimus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Užtikrinamojo turto grupės, įskaitant užtikrinamojo turto grupės išvestinių finansinių priemonių pozicijas, kurių grynoji rinkos vertė yra teigiama, sumos, viršijančios minimalaus padengimo (užtikrinimo priemonių perviršio) reikalavimus.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Pagal atitinkamą teisės aktų nustatytą padengtųjų obligacijų tvarką</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Užtikrinimo priemonių perviršio sumos, palyginti su minimaliu padengimo lygiu, </w:t>
            </w:r>
            <w:r>
              <w:rPr>
                <w:rStyle w:val="InstructionsTabelleberschrift"/>
                <w:rFonts w:ascii="Times New Roman" w:hAnsi="Times New Roman"/>
                <w:b w:val="0"/>
                <w:sz w:val="24"/>
                <w:u w:val="none"/>
              </w:rPr>
              <w:lastRenderedPageBreak/>
              <w:t>kurio reikalaujama pagal atitinkamą teisės aktų nustatytą padengtųjų obligacijų tvarką.</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230–250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Pagal kredito reitingų agentūrų metodiką, kuria siekiama išlaikyti dabartinį padengtosios obligacijos išorinį kredito reitingą</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Užtikrinimo priemonių perviršio sumos, palyginti su minimaliu lygiu, kurio, vadovaujantis padengtosios obligacijos emitentui prieinama informacija apie atitinkamą kredito reitingų agentūros metodiką, būtų reikalaujama siekiant palaikyti esamą atitinkamos kredito reitingų agentūros suteiktą kredito reitingą.</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1 kredito reitingų agentūra</w:t>
            </w:r>
          </w:p>
          <w:p w:rsidR="00941FAE" w:rsidRPr="00B93E25"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Užtikrinimo priemonių perviršio sumos, palyginti su minimaliu lygiu, kurio, vadovaujantis padengtosios obligacijos emitentui prieinama informacija apie 1 kredito reitingų agentūros (090 skiltis) metodiką, būtų reikalaujama siekiant palaikyti 1 kredito reitingą (100 skiltis).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2 kredito reitingų agentūra ir 3 kredito reitingų agentūra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1 kredito reitingų agentūrai (230 skiltis) taikomi nurodymai taip pat taikomi 2 kredito reitingų agentūrai (110 skiltis) ir 3 kredito reitingų agentūrai (130 skiltis).</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58571993"/>
      <w:bookmarkEnd w:id="101"/>
      <w:bookmarkEnd w:id="102"/>
      <w:bookmarkEnd w:id="103"/>
      <w:bookmarkEnd w:id="104"/>
      <w:bookmarkEnd w:id="105"/>
      <w:bookmarkEnd w:id="106"/>
      <w:r>
        <w:rPr>
          <w:rFonts w:ascii="Times New Roman" w:hAnsi="Times New Roman"/>
          <w:b/>
          <w:sz w:val="24"/>
          <w:u w:val="none"/>
        </w:rPr>
        <w:t>E dalis. Išsamesni duomenys</w:t>
      </w:r>
      <w:bookmarkEnd w:id="107"/>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58571994"/>
      <w:r>
        <w:rPr>
          <w:rFonts w:ascii="Times New Roman" w:hAnsi="Times New Roman"/>
          <w:sz w:val="24"/>
          <w:u w:val="none"/>
        </w:rPr>
        <w:t>Bendrosios pastabos</w:t>
      </w:r>
      <w:bookmarkEnd w:id="108"/>
    </w:p>
    <w:p w:rsidR="00941FAE" w:rsidRPr="000F059F" w:rsidRDefault="00941FAE" w:rsidP="00941FAE">
      <w:pPr>
        <w:pStyle w:val="InstructionsText2"/>
        <w:shd w:val="clear" w:color="auto" w:fill="FFFFFF"/>
        <w:spacing w:after="120"/>
        <w:rPr>
          <w:sz w:val="24"/>
        </w:rPr>
      </w:pPr>
      <w:r>
        <w:rPr>
          <w:sz w:val="24"/>
        </w:rPr>
        <w:t>E dalies struktūra tokia pati kaip suvaržymo apžvalgos formų A dalyje; ataskaitą teikiančios įstaigos turto suvaržymui ir gautoms užtikrinimo priemonėms numatytos dvi skirtingos formos: atitinkamai AE-ADV1 ir AE-ADV2. Taigi suderinti įsipareigojimai atitinka įsipareigojimus, kurių vykdymas užtikrinamas suvaržytu turtu, ir „vienas su vienu“ ryšys nereikalingas.</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109" w:name="_Toc58571995"/>
      <w:r>
        <w:rPr>
          <w:rFonts w:ascii="Times New Roman" w:hAnsi="Times New Roman"/>
          <w:sz w:val="24"/>
          <w:u w:val="none"/>
        </w:rPr>
        <w:t>Forma: AE-ADV1. Ataskaitą teikiančios įstaigos turtui skirta išsamesnė forma</w:t>
      </w:r>
      <w:bookmarkEnd w:id="109"/>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58571996"/>
      <w:r>
        <w:rPr>
          <w:rFonts w:ascii="Times New Roman" w:hAnsi="Times New Roman"/>
          <w:sz w:val="24"/>
          <w:u w:val="none"/>
        </w:rPr>
        <w:t>Nurodymai dėl konkrečių eilučių</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Eilutės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010–020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Centrinio banko finansavimas (visų rūšių, įskaitant atpirkimo sandorius)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visų rūšių įsipareigojimai, kurių sandorio šalis yra centrinis bankas.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Centriniams bankams iš anksto pateiktas turtas nelaikomas suvaržytu, išskyrus atvejus, kai centrinis bankas neleidžia atsiimti jokio pateikto turto be išankstinio sutikimo. Nepanaudotų finansinių garantijų atveju nepanaudota dalis, t. y. minimalią centrinio banko reikalaujamą sumą viršijanti suma, proporcingai paskirstoma centriniam bankui pateiktam turtui.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Išvestinės finansinės priemonės, kuriomis prekiaujama biržoje</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užtikrintų išvestinių finansinių priemonių, kurios yra finansiniai įsipareigojimai, jeigu tos išvestinės finansinės priemonės yra įtrauktos į pripažintos ar paskirtos biržos prekybos sąrašus arba jomis prekiaujama toje biržoje ir jeigu dėl jų tos įstaigos turtas yra suvaržytas, balansinė vertė.</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 biržos išvestinės finansinės priemonės</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Ataskaitą teikiančios įstaigos užtikrintų išvestinių finansinių priemonių, kurios yra finansiniai įsipareigojimai, jeigu tomis išvestinėmis finansinėmis priemonėmis prekiaujama ne biržoje ir jeigu dėl jų tos įstaigos turtas yra suvaržytas, balansinė vertė. Tie patys </w:t>
            </w:r>
            <w:r>
              <w:rPr>
                <w:rStyle w:val="InstructionsTabelleberschrift"/>
                <w:rFonts w:ascii="Times New Roman" w:hAnsi="Times New Roman"/>
                <w:b w:val="0"/>
                <w:bCs w:val="0"/>
                <w:sz w:val="24"/>
                <w:u w:val="none"/>
              </w:rPr>
              <w:t>nurodymai</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bCs w:val="0"/>
                <w:sz w:val="24"/>
                <w:u w:val="none"/>
              </w:rPr>
              <w:t>AE-SOU</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bCs w:val="0"/>
                <w:sz w:val="24"/>
                <w:u w:val="none"/>
              </w:rPr>
              <w:t>formos</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bCs w:val="0"/>
                <w:sz w:val="24"/>
                <w:u w:val="none"/>
              </w:rPr>
              <w:t>030</w:t>
            </w:r>
            <w:r>
              <w:rPr>
                <w:rStyle w:val="InstructionsTabelleberschrift"/>
                <w:rFonts w:ascii="Times New Roman" w:hAnsi="Times New Roman"/>
                <w:b w:val="0"/>
                <w:sz w:val="24"/>
                <w:u w:val="none"/>
              </w:rPr>
              <w:t xml:space="preserve"> eilutėje.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Atpirkimo sandoriai</w:t>
            </w:r>
          </w:p>
          <w:p w:rsidR="00941FAE"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Ataskaitą teikiančios įstaigos atpirkimo sandorių, kurių sandorio šalis yra ne centrinis bankas, balansinė vertė, jeigu dėl šių sandorių tos įstaigos turtas yra suvaržytas.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Trišaliams atpirkimo sandoriams taikoma tokia pati tvarka kaip atpirkimo sandoriams, jeigu dėl šių sandorių ataskaitą teikiančios įstaigos turtas yra suvaržytas.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Užtikrinti indėliai, išskyrus atpirkimo sandorius</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užtikrintų indėlių, išskyrus atpirkimo sandorius, kurių sandorio šalis yra ne centrinis bankas, balansinė vertė, jeigu dėl šių indėlių tos įstaigos turtas yra suvaržytas.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Išleistos padengtosios obligacijos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nurodymus AE-SOU formos 100 eilutėje.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Išleistos pakeitimo vertybiniais popieriais priemonės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nurodymus AE-SOU formos 110 eilutėje.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Išleisti skolos vertybiniai popieriai, išskyrus padengtąsias obligacijas ir pakeitimo vertybiniais popieriais priemones</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išleistų skolos vertybinių popierių, išskyrus padengtąsias obligacijas ir pakeitimo vertybiniais popieriais priemones, balansinė vertė, jeigu dėl šių išleistų vertybinių popierių tos įstaigos turtas yra suvaržytas.</w:t>
            </w:r>
          </w:p>
          <w:p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Jeigu ataskaitą teikianti įstaiga nuo emisijos datos arba vėliau dėl atpirkimo išlaikė tam tikrus išleistus skolos vertybinius popierius, šie išlaikyti vertybiniai popieriai nepriskiriami prie šio punkto. Be to, jiems priskirtos užtikrinimo priemonės šioje formoje klasifikuojamos kaip nesuvaržytos.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Kiti suvaržymo šaltiniai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nurodymus AE-SOU formos 120 eilutėje.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viso suvaržyto turto</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turimo kiekvienos rūšies turto, nurodyto AE-ADV1 formos eilutėse, kuris yra suvaržytas, balansinė vertė.</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200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atitinka centrinio banko reikalavimus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turimo kiekvienos rūšies turto, nurodyto AE-ADV1 formos eilutėse, kuris yra suvaržytas ir kurį galima naudoti operacijoms su tais centriniais bankais, kurių paslaugomis ataskaitą teikianti įstaiga gali naudotis, balansinė vertė.</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Ataskaitas teikiančios įstaigos, kurios negali tiksliai nustatyti, ar turtas atitinka centrinio banko reikalavimus, pavyzdžiui, priklausančios jurisdikcijoms, kuriose </w:t>
            </w:r>
            <w:r>
              <w:rPr>
                <w:rStyle w:val="InstructionsTabelleberschrift"/>
                <w:rFonts w:ascii="Times New Roman" w:hAnsi="Times New Roman"/>
                <w:b w:val="0"/>
                <w:sz w:val="24"/>
                <w:u w:val="none"/>
              </w:rPr>
              <w:lastRenderedPageBreak/>
              <w:t>centrinio banko atpirkimo sandorių reikalavimus atitinkantis turtas nėra aiškiai apibrėžtas arba kuriose nėra galimybės patekti į nuolat veikiančią centrinių bankų atpirkimo sandorių rinką, gali neteikti informacijos apie atitinkamą to turto sumą,</w:t>
            </w:r>
            <w:r>
              <w:rPr>
                <w:rFonts w:ascii="Times New Roman" w:hAnsi="Times New Roman"/>
                <w:sz w:val="24"/>
              </w:rPr>
              <w:t xml:space="preserve"> </w:t>
            </w:r>
            <w:r>
              <w:rPr>
                <w:rStyle w:val="instructionstabelleberschrift0"/>
                <w:rFonts w:ascii="Times New Roman" w:hAnsi="Times New Roman"/>
                <w:sz w:val="24"/>
              </w:rPr>
              <w:t>t. y. gali nepildyti atitinkamo formos langelio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viso nesuvaržyto turto</w:t>
            </w:r>
          </w:p>
          <w:p w:rsidR="00941FAE"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Ataskaitą teikiančios įstaigos turimo kiekvienos rūšies turto, nurodyto AE-ADV1 formos eilutėse, kuris yra nesuvaržytas, balansinė vertė.</w:t>
            </w:r>
          </w:p>
          <w:p w:rsidR="00941FAE" w:rsidRPr="005F7E60" w:rsidRDefault="00941FAE" w:rsidP="005150E8">
            <w:pPr>
              <w:pStyle w:val="Default"/>
              <w:spacing w:after="120"/>
              <w:jc w:val="both"/>
              <w:rPr>
                <w:rStyle w:val="InstructionsTabelleberschrift"/>
                <w:rFonts w:ascii="Times New Roman" w:hAnsi="Times New Roman"/>
                <w:sz w:val="24"/>
              </w:rPr>
            </w:pPr>
            <w:r>
              <w:rPr>
                <w:rStyle w:val="shorttext"/>
              </w:rPr>
              <w:t>Balansinė</w:t>
            </w:r>
            <w:r>
              <w:t xml:space="preserve"> </w:t>
            </w:r>
            <w:r>
              <w:rPr>
                <w:rStyle w:val="InstructionsTabelleberschrift"/>
                <w:rFonts w:ascii="Times New Roman" w:hAnsi="Times New Roman"/>
                <w:b w:val="0"/>
                <w:color w:val="auto"/>
                <w:sz w:val="24"/>
                <w:u w:val="none"/>
              </w:rPr>
              <w:t>vertė – suma, kurią reikia nurodyti balanse turto dalyje.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atitinka centrinio banko reikalavimus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Ataskaitą teikiančios įstaigos turimo kiekvienos rūšies turto, nurodyto AE-ADV1 formos eilutėse, kuris yra nesuvaržytas ir kurį galima naudoti operacijoms su tais centriniais bankais, kurių paslaugomis ataskaitą teikianti įstaiga gali naudotis, balansinė vertė. </w:t>
            </w:r>
          </w:p>
          <w:p w:rsidR="00941FAE" w:rsidRPr="00353E1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w:t>
            </w:r>
            <w:r>
              <w:rPr>
                <w:rFonts w:ascii="Times New Roman" w:hAnsi="Times New Roman"/>
                <w:sz w:val="24"/>
              </w:rPr>
              <w:t xml:space="preserve"> </w:t>
            </w:r>
            <w:r>
              <w:rPr>
                <w:rStyle w:val="instructionstabelleberschrift0"/>
                <w:rFonts w:ascii="Times New Roman" w:hAnsi="Times New Roman"/>
                <w:sz w:val="24"/>
              </w:rPr>
              <w:t>t. y. gali nepildyti atitinkamo formos langelio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Suvaržytas + nesuvaržytas turtas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turimo kiekvienos rūšies turto, nurodyto AE-ADV1 formos eilutėse, balansinė vertė.</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58571997"/>
      <w:r>
        <w:rPr>
          <w:rFonts w:ascii="Times New Roman" w:hAnsi="Times New Roman"/>
          <w:sz w:val="24"/>
          <w:u w:val="none"/>
        </w:rPr>
        <w:t>Nurodymai dėl konkrečių skilčių</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Skiltys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Paskolos pagal pareikalavimą</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020 eilutės nurodymus.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Nuosavybės priemonės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030 eilutės nurodymus.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 viso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040 eilutės nurodymus.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 jų: padengtos obligacijos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050 eilutės nurodymus.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 jų: išleistos kitų grupės subjektų</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Padengtos obligacijos, kaip aprašyta AE-ASS formos </w:t>
            </w:r>
            <w:r>
              <w:rPr>
                <w:rStyle w:val="InstructionsTabelleberschrift"/>
                <w:rFonts w:ascii="Times New Roman" w:hAnsi="Times New Roman"/>
                <w:b w:val="0"/>
                <w:bCs w:val="0"/>
                <w:sz w:val="24"/>
                <w:u w:val="none"/>
              </w:rPr>
              <w:t>050 eilutės</w:t>
            </w:r>
            <w:r>
              <w:rPr>
                <w:rStyle w:val="InstructionsTabelleberschrift"/>
                <w:rFonts w:ascii="Times New Roman" w:hAnsi="Times New Roman"/>
                <w:b w:val="0"/>
                <w:sz w:val="24"/>
                <w:u w:val="none"/>
              </w:rPr>
              <w:t xml:space="preserve"> nurodymuose, kurias išleido bet kuris subjektas, įtrauktas į rizikos ribojimu pagrįstą konsolidavimą.</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pakeitimo vertybiniais popieriais priemonės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060 eilutės nurodymus.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išleistos kitų grupės subjektų</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Pakeitimo vertybiniais popieriais priemonės, kaip aprašyta AE-ASS formos </w:t>
            </w:r>
            <w:r>
              <w:rPr>
                <w:rStyle w:val="InstructionsTabelleberschrift"/>
                <w:rFonts w:ascii="Times New Roman" w:hAnsi="Times New Roman"/>
                <w:b w:val="0"/>
                <w:bCs w:val="0"/>
                <w:sz w:val="24"/>
                <w:u w:val="none"/>
              </w:rPr>
              <w:t>060 eilutės</w:t>
            </w:r>
            <w:r>
              <w:rPr>
                <w:rStyle w:val="InstructionsTabelleberschrift"/>
                <w:rFonts w:ascii="Times New Roman" w:hAnsi="Times New Roman"/>
                <w:b w:val="0"/>
                <w:sz w:val="24"/>
                <w:u w:val="none"/>
              </w:rPr>
              <w:t xml:space="preserve"> nurodymuose, kurias išleido bet kuris subjektas, įtrauktas į rizikos ribojimu pagrįstą konsolidavimą.</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išleisti valdžios sektoriaus institucijų</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070 eilutės nurodymus.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išleisti finansų bendrovių</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080 eilutės nurodymus.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išleisti ne finansų bendrovių</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090 eilutės nurodymus.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Centriniai bankai ir valdžios sektoriaus institucijos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Paskolos ir išankstiniai mokėjimai, išskyrus paskolas pagal pareikalavimą, centriniam bankui ar valdžios sektoriaus institucijai.</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Finansų bendrovės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Paskolos ir išankstiniai mokėjimai, išskyrus paskolas pagal pareikalavimą, finansų bendrovėms.</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 finansų bendrovės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Paskolos ir išankstiniai mokėjimai, išskyrus paskolas pagal pareikalavimą, ne finansų bendrovėms.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paskolos, užtikrintos nekilnojamuoju turtu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Nekilnojamuoju turtu užtikrinta paskola garantuotos paskolos ir išankstiniai mokėjimai, išskyrus paskolas pagal pareikalavimą, suteikti ne finansų bendrovėms.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Namų ūkiai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Paskolos ir išankstiniai mokėjimai, išskyrus paskolas pagal pareikalavimą, suteikti namų ūkiams.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paskolos, užtikrintos nekilnojamuoju turtu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Nekilnojamuoju turtu užtikrinta paskola garantuotos paskolos ir išankstiniai mokėjimai, išskyrus paskolas pagal pareikalavimą, suteikti ne finansų bendrovėms.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Kitas turtas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120 eilutės nurodymus.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viso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010 eilutės nurodymus.</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118" w:name="_Toc58571998"/>
      <w:r>
        <w:rPr>
          <w:rFonts w:ascii="Times New Roman" w:hAnsi="Times New Roman"/>
          <w:sz w:val="24"/>
          <w:u w:val="none"/>
        </w:rPr>
        <w:lastRenderedPageBreak/>
        <w:t>Forma: AE-ADV2. Ataskaitą teikiančios įstaigos gautoms užtikrinimo priemonėms skirta išsamesnė forma</w:t>
      </w:r>
      <w:bookmarkEnd w:id="118"/>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58571999"/>
      <w:r>
        <w:rPr>
          <w:rFonts w:ascii="Times New Roman" w:hAnsi="Times New Roman"/>
          <w:sz w:val="24"/>
          <w:u w:val="none"/>
        </w:rPr>
        <w:t>Nurodymai dėl konkrečių eilučių</w:t>
      </w:r>
      <w:bookmarkEnd w:id="119"/>
      <w:bookmarkEnd w:id="120"/>
      <w:bookmarkEnd w:id="121"/>
      <w:bookmarkEnd w:id="122"/>
    </w:p>
    <w:p w:rsidR="00941FAE" w:rsidRPr="000F059F" w:rsidRDefault="00941FAE" w:rsidP="00941FAE">
      <w:pPr>
        <w:pStyle w:val="InstructionsText2"/>
        <w:shd w:val="clear" w:color="auto" w:fill="FFFFFF"/>
        <w:spacing w:after="120"/>
        <w:rPr>
          <w:sz w:val="24"/>
        </w:rPr>
      </w:pPr>
      <w:r>
        <w:rPr>
          <w:sz w:val="24"/>
        </w:rPr>
        <w:t>Žr. 6.2.1 punktą, nes abiejų formų nurodymai vienodi.</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58572000"/>
      <w:r>
        <w:rPr>
          <w:rFonts w:ascii="Times New Roman" w:hAnsi="Times New Roman"/>
          <w:sz w:val="24"/>
          <w:u w:val="none"/>
        </w:rPr>
        <w:t>Nurodymai dėl konkrečių skilčių</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Skiltys</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941FAE" w:rsidRPr="000F059F"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Paskolos pagal pareikalavimą</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140 eilutės nurodymus.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Nuosavybės priemonės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150 eilutės nurodymus.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viso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160 eilutės nurodymus.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padengtos obligacijos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nurodymus AE-COL formos 170 eilutėje.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išleistos kitų grupės subjektų</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padengtos obligacijos, išleistos bet kurio subjekto, įtraukto į rizikos ribojimu pagrįstą konsolidavimą.</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pakeitimo vertybiniais popieriais priemonės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180 eilutės nurodymus.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išleistos kitų grupės subjektų</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pakeitimo vertybiniais popieriais priemonės, išleistos bet kurio subjekto, įtraukto į rizikos ribojimu pagrįstą konsolidavimą.</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išleisti valdžios sektoriaus institucijų</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190 eilutės nurodymus.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išleisti finansų bendrovių</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200 eilutės nurodymus.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išleisti ne finansų bendrovių</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210 eilutės nurodymus.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Centriniai bankai ir valdžios sektoriaus institucijos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paskolos ir išankstiniai mokėjimai, išskyrus paskolas pagal pareikalavimą, centriniam bankui ar valdžios sektoriaus institucijai.</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Finansų bendrovės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Ataskaitą teikiančios įstaigos gautos užtikrinimo priemonės, kurios yra paskolos ir išankstiniai mokėjimai, išskyrus paskolas pagal pareikalavimą, finansų </w:t>
            </w:r>
            <w:r>
              <w:rPr>
                <w:rStyle w:val="InstructionsTabelleberschrift"/>
                <w:rFonts w:ascii="Times New Roman" w:hAnsi="Times New Roman"/>
                <w:b w:val="0"/>
                <w:sz w:val="24"/>
                <w:u w:val="none"/>
              </w:rPr>
              <w:lastRenderedPageBreak/>
              <w:t>bendrovėms.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 finansų bendrovės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paskolos ir išankstiniai mokėjimai, išskyrus paskolas pagal pareikalavimą, ne finansų bendrovėms.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jų: paskolos, užtikrintos nekilnojamuoju turtu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nekilnojamuoju turtu užtikrintos paskolos ir išankstiniai mokėjimai, išskyrus paskolas pagal pareikalavimą, suteikti ne finansų bendrovėms.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Namų ūkiai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paskolos ir išankstiniai mokėjimai, išskyrus paskolas pagal pareikalavimą, suteikti namų ūkiams.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iš jų: paskolos, užtikrintos nekilnojamuoju turtu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nekilnojamuoju turtu užtikrinta paskola garantuotos paskolos ir išankstiniai mokėjimai, išskyrus paskolas pagal pareikalavimą, suteikti namų ūkiams.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Kitas turtas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230 eilutės nurodymus.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Išleisti nuosavi skolos vertybiniai popieriai, išskyrus nuosavas padengtąsias obligacijas arba pakeitimo vertybiniais popieriais priemones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240 eilutės nurodymus.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viso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130 ir 140 eilučių nurodymus.</w:t>
            </w:r>
          </w:p>
        </w:tc>
      </w:tr>
    </w:tbl>
    <w:p w:rsidR="00EE477B" w:rsidRDefault="00EE477B"/>
    <w:sectPr w:rsidR="00EE4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0E8" w:rsidRDefault="005150E8" w:rsidP="00941FAE">
      <w:pPr>
        <w:spacing w:before="0" w:after="0"/>
      </w:pPr>
      <w:r>
        <w:separator/>
      </w:r>
    </w:p>
  </w:endnote>
  <w:endnote w:type="continuationSeparator" w:id="0">
    <w:p w:rsidR="005150E8" w:rsidRDefault="005150E8"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jc w:val="center"/>
    </w:pPr>
    <w:r>
      <w:fldChar w:fldCharType="begin"/>
    </w:r>
    <w:r>
      <w:instrText xml:space="preserve"> PAGE   \* MERGEFORMAT </w:instrText>
    </w:r>
    <w:r>
      <w:fldChar w:fldCharType="separate"/>
    </w:r>
    <w:r w:rsidR="0077393B">
      <w:rPr>
        <w:noProof/>
      </w:rPr>
      <w:t>7</w:t>
    </w:r>
    <w:r>
      <w:fldChar w:fldCharType="end"/>
    </w:r>
  </w:p>
  <w:p w:rsidR="005150E8" w:rsidRDefault="005150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jc w:val="center"/>
    </w:pPr>
    <w:r>
      <w:fldChar w:fldCharType="begin"/>
    </w:r>
    <w:r>
      <w:instrText xml:space="preserve"> PAGE   \* MERGEFORMAT </w:instrText>
    </w:r>
    <w:r>
      <w:fldChar w:fldCharType="separate"/>
    </w:r>
    <w:r w:rsidR="0077393B">
      <w:rPr>
        <w:noProof/>
      </w:rPr>
      <w:t>1</w:t>
    </w:r>
    <w:r>
      <w:fldChar w:fldCharType="end"/>
    </w:r>
  </w:p>
  <w:p w:rsidR="005150E8" w:rsidRDefault="005150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0E8" w:rsidRDefault="005150E8" w:rsidP="00941FAE">
      <w:pPr>
        <w:spacing w:before="0" w:after="0"/>
      </w:pPr>
      <w:r>
        <w:separator/>
      </w:r>
    </w:p>
  </w:footnote>
  <w:footnote w:type="continuationSeparator" w:id="0">
    <w:p w:rsidR="005150E8" w:rsidRDefault="005150E8" w:rsidP="00941FAE">
      <w:pPr>
        <w:spacing w:before="0" w:after="0"/>
      </w:pPr>
      <w:r>
        <w:continuationSeparator/>
      </w:r>
    </w:p>
  </w:footnote>
  <w:footnote w:id="1">
    <w:p w:rsidR="005150E8" w:rsidRPr="00C87407" w:rsidRDefault="005150E8" w:rsidP="00941FAE">
      <w:pPr>
        <w:pStyle w:val="FootnoteText"/>
      </w:pPr>
      <w:r>
        <w:rPr>
          <w:rStyle w:val="FootnoteReference"/>
        </w:rPr>
        <w:footnoteRef/>
      </w:r>
      <w:r>
        <w:t xml:space="preserve"> </w:t>
      </w:r>
      <w:r>
        <w:tab/>
      </w:r>
      <w:r>
        <w:rPr>
          <w:rFonts w:ascii="Times New Roman" w:hAnsi="Times New Roman"/>
        </w:rPr>
        <w:t>2013 m. birželio 26 d. Europos Parlamento ir Tarybos direktyva 2013/34/ES dėl tam tikrų rūšių įmonių metinių finansinių ataskaitų, konsoliduotųjų finansinių ataskaitų ir susijusių pranešimų, kuria iš dalies keičiama Europos Parlamento ir Tarybos direktyva 2006/43/EB ir panaikinamos Tarybos direktyvos 78/660/EEB ir 83/349/EEB (OL L 182, 2013 6 29, p.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Pr="00D862D4" w:rsidRDefault="005150E8" w:rsidP="005150E8">
    <w:pPr>
      <w:spacing w:before="0" w:after="0"/>
      <w:jc w:val="center"/>
      <w:rPr>
        <w:rFonts w:ascii="Times New Roman" w:hAnsi="Times New Roman"/>
        <w:sz w:val="22"/>
        <w:szCs w:val="22"/>
      </w:rPr>
    </w:pPr>
  </w:p>
  <w:p w:rsidR="005150E8" w:rsidRDefault="005150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Pr="00EE37DC" w:rsidRDefault="005150E8">
    <w:pPr>
      <w:pStyle w:val="Header"/>
      <w:rPr>
        <w:sz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41FAE"/>
    <w:rsid w:val="00001C04"/>
    <w:rsid w:val="00045070"/>
    <w:rsid w:val="005150E8"/>
    <w:rsid w:val="0063019A"/>
    <w:rsid w:val="0077393B"/>
    <w:rsid w:val="00941FAE"/>
    <w:rsid w:val="00EE477B"/>
    <w:rsid w:val="00FC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51F75"/>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lt-LT"/>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35</Pages>
  <Words>10933</Words>
  <Characters>76205</Characters>
  <Application>Microsoft Office Word</Application>
  <DocSecurity>0</DocSecurity>
  <Lines>1656</Lines>
  <Paragraphs>1013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SARKAUSKAS Remigijus (DGT-EXT)</cp:lastModifiedBy>
  <cp:revision>5</cp:revision>
  <dcterms:created xsi:type="dcterms:W3CDTF">2020-12-02T17:28:00Z</dcterms:created>
  <dcterms:modified xsi:type="dcterms:W3CDTF">2020-12-11T10:47:00Z</dcterms:modified>
</cp:coreProperties>
</file>