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50BC0A64" w:rsidR="00C36E0D" w:rsidRDefault="00A46D9D" w:rsidP="00AE51EF">
      <w:pPr>
        <w:pStyle w:val="Pagedecouverture"/>
      </w:pPr>
      <w:bookmarkStart w:id="0" w:name="_GoBack"/>
      <w:bookmarkEnd w:id="0"/>
      <w:r>
        <w:pict w14:anchorId="39FA9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719699A-CC13-48E1-B99D-023921C3235D" style="width:450.65pt;height:409pt">
            <v:imagedata r:id="rId8" o:title=""/>
          </v:shape>
        </w:pict>
      </w:r>
    </w:p>
    <w:p w14:paraId="703F7C0E" w14:textId="77777777" w:rsidR="0004170D" w:rsidRPr="00922C91" w:rsidRDefault="0004170D">
      <w:pPr>
        <w:sectPr w:rsidR="0004170D" w:rsidRPr="00922C91" w:rsidSect="00221852">
          <w:footerReference w:type="default" r:id="rId9"/>
          <w:pgSz w:w="11907" w:h="16839"/>
          <w:pgMar w:top="1134" w:right="1417" w:bottom="1134" w:left="1417" w:header="709" w:footer="709" w:gutter="0"/>
          <w:pgNumType w:start="0"/>
          <w:cols w:space="720"/>
          <w:docGrid w:linePitch="360"/>
        </w:sectPr>
      </w:pPr>
    </w:p>
    <w:p w14:paraId="4E87218B" w14:textId="37C433C6" w:rsidR="0004170D" w:rsidRPr="00922C91" w:rsidRDefault="00AE51EF" w:rsidP="00AE51EF">
      <w:pPr>
        <w:pStyle w:val="Typedudocument"/>
      </w:pPr>
      <w:r w:rsidRPr="00AE51EF">
        <w:lastRenderedPageBreak/>
        <w:t>COMMISSION IMPLEMENTING REGULATION (EU) …/...</w:t>
      </w:r>
    </w:p>
    <w:p w14:paraId="311EA019" w14:textId="6EC57FF2" w:rsidR="0004170D" w:rsidRPr="00922C91" w:rsidRDefault="00AE51EF" w:rsidP="00AE51EF">
      <w:pPr>
        <w:pStyle w:val="Datedadoption"/>
      </w:pPr>
      <w:r w:rsidRPr="00AE51EF">
        <w:t xml:space="preserve">of </w:t>
      </w:r>
      <w:r w:rsidRPr="00AE51EF">
        <w:rPr>
          <w:rStyle w:val="Marker2"/>
        </w:rPr>
        <w:t>XXX</w:t>
      </w:r>
    </w:p>
    <w:p w14:paraId="7EF0A74F" w14:textId="7242CF2A" w:rsidR="0004170D" w:rsidRPr="00922C91" w:rsidRDefault="00AE51EF" w:rsidP="00AE51EF">
      <w:pPr>
        <w:pStyle w:val="Titreobjet"/>
      </w:pPr>
      <w:r w:rsidRPr="00AE51EF">
        <w:t>laying down implementing technical standards for the application of Regulation (EU) No 575/2013 of the European Parliament and of the Council with regard to supervisory reporting of institutions and repealing Implementing Regulation (EU) No 680/2014</w:t>
      </w:r>
      <w:r w:rsidRPr="00AE51EF">
        <w:br/>
      </w:r>
    </w:p>
    <w:p w14:paraId="714F85CC" w14:textId="46739EAB" w:rsidR="0004170D" w:rsidRPr="0004170D" w:rsidRDefault="00AE51EF" w:rsidP="00AE51EF">
      <w:pPr>
        <w:pStyle w:val="IntrtEEE"/>
      </w:pPr>
      <w:r w:rsidRPr="00AE51EF">
        <w:t>(Text with EEA relevance)</w:t>
      </w:r>
    </w:p>
    <w:p w14:paraId="12CCC5F1" w14:textId="77777777" w:rsidR="0004170D" w:rsidRPr="00922C91" w:rsidRDefault="0004170D" w:rsidP="009675DD">
      <w:pPr>
        <w:pStyle w:val="Institutionquiagit"/>
      </w:pPr>
      <w:r w:rsidRPr="00922C91">
        <w:t>THE EUROPEAN COMMISSION,</w:t>
      </w:r>
    </w:p>
    <w:p w14:paraId="54D27881" w14:textId="77777777" w:rsidR="0004170D" w:rsidRPr="00922C91" w:rsidRDefault="0004170D" w:rsidP="009675DD">
      <w:r w:rsidRPr="00922C91">
        <w:rPr>
          <w:color w:val="000000"/>
        </w:rPr>
        <w:t>Having regard to the Treaty on the Functioning of the European Union</w:t>
      </w:r>
      <w:r w:rsidRPr="00922C91">
        <w:t>,</w:t>
      </w:r>
    </w:p>
    <w:p w14:paraId="2965D16B" w14:textId="4EFD17A3" w:rsidR="0004170D" w:rsidRPr="0004170D" w:rsidRDefault="00AD21AA" w:rsidP="009675DD">
      <w:pPr>
        <w:rPr>
          <w:rFonts w:eastAsia="Times New Roman"/>
          <w:noProof/>
          <w:color w:val="000000"/>
        </w:rPr>
      </w:pPr>
      <w:r w:rsidRPr="000A39B9">
        <w:t>Having regard to Regulation (EU) No 575/2013 of the European Parliament and of the Council of 26 June 2013 on prudential requirements for credit institutions and investment firms and amending Regulation (EU) No 648/2012</w:t>
      </w:r>
      <w:r w:rsidRPr="002E687B">
        <w:t>,</w:t>
      </w:r>
      <w:r w:rsidRPr="002E687B">
        <w:rPr>
          <w:rStyle w:val="FootnoteReference"/>
        </w:rPr>
        <w:footnoteReference w:id="1"/>
      </w:r>
      <w:r w:rsidRPr="002E687B">
        <w:t xml:space="preserve"> and in particular the first subparagraph of Article 415(3), the first subparagraph of Article 415(3a), the first subparagraph of Article 430(7) and the second subparagraph of Article 430(9) thereof</w:t>
      </w:r>
      <w:r w:rsidR="0004170D" w:rsidRPr="00922C91">
        <w:t>,</w:t>
      </w:r>
    </w:p>
    <w:p w14:paraId="421FC692" w14:textId="77777777" w:rsidR="0004170D" w:rsidRPr="00922C91" w:rsidRDefault="0004170D" w:rsidP="009675DD">
      <w:r w:rsidRPr="00922C91">
        <w:t>Whereas:</w:t>
      </w:r>
    </w:p>
    <w:p w14:paraId="0A7D0586" w14:textId="77777777" w:rsidR="00AD21AA" w:rsidRDefault="00AD21AA" w:rsidP="0047317A">
      <w:pPr>
        <w:pStyle w:val="Considrant"/>
        <w:numPr>
          <w:ilvl w:val="0"/>
          <w:numId w:val="11"/>
        </w:numPr>
      </w:pPr>
      <w:r w:rsidRPr="000A39B9">
        <w:t xml:space="preserve">Without prejudice to </w:t>
      </w:r>
      <w:r w:rsidRPr="0078668E">
        <w:t>the powers of competent authorities under Article 104(1), point (j), of Directive 2013/36/EU of the European Parliament and of the Council</w:t>
      </w:r>
      <w:r>
        <w:rPr>
          <w:rStyle w:val="FootnoteReference"/>
        </w:rPr>
        <w:footnoteReference w:id="2"/>
      </w:r>
      <w:r w:rsidRPr="0078668E">
        <w:t xml:space="preserve"> Commission Implementing</w:t>
      </w:r>
      <w:r w:rsidRPr="000A39B9">
        <w:t xml:space="preserve"> Regulation (EU) No 680/2014</w:t>
      </w:r>
      <w:r>
        <w:rPr>
          <w:rStyle w:val="FootnoteReference"/>
        </w:rPr>
        <w:footnoteReference w:id="3"/>
      </w:r>
      <w:r>
        <w:t xml:space="preserve"> lays down</w:t>
      </w:r>
      <w:r w:rsidRPr="000A39B9">
        <w:t xml:space="preserve">, on the basis of Article 430 of Regulation (EU) No 575/2013, </w:t>
      </w:r>
      <w:r>
        <w:t>a coherent reporting framework</w:t>
      </w:r>
      <w:r w:rsidRPr="000A39B9">
        <w:t xml:space="preserve">. Implementing Regulation (EU) No 680/2014 has been amended several times </w:t>
      </w:r>
      <w:r>
        <w:t>following the amendments of</w:t>
      </w:r>
      <w:r w:rsidRPr="000A39B9">
        <w:t xml:space="preserve"> Regulation (EU) No 575/2013</w:t>
      </w:r>
      <w:r>
        <w:t xml:space="preserve"> adopted to </w:t>
      </w:r>
      <w:r w:rsidRPr="000A39B9">
        <w:t>introduce</w:t>
      </w:r>
      <w:r>
        <w:t xml:space="preserve">, further develop or adapt </w:t>
      </w:r>
      <w:r w:rsidRPr="000A39B9">
        <w:t>prudential elements.</w:t>
      </w:r>
    </w:p>
    <w:p w14:paraId="7949AA03" w14:textId="77777777" w:rsidR="00AD21AA" w:rsidRPr="000A39B9" w:rsidRDefault="00AD21AA" w:rsidP="0047317A">
      <w:pPr>
        <w:pStyle w:val="Considrant"/>
        <w:numPr>
          <w:ilvl w:val="0"/>
          <w:numId w:val="11"/>
        </w:numPr>
      </w:pPr>
      <w:r w:rsidRPr="00776984">
        <w:t>The provisions in this Regulation are closely linked, since they deal with institutions' reporting requirements. To ensure coherence between those provisions, which should enter into force at the same time, and to facilitate a comprehensive view and compact access to them by persons subject to those obligations, it is desirable to include all related implementing technical standards required by Regulation (EU) No 575/2013 in a single Regulation.</w:t>
      </w:r>
    </w:p>
    <w:p w14:paraId="1A0C281B" w14:textId="77777777" w:rsidR="00AD21AA" w:rsidRPr="000A39B9" w:rsidRDefault="00AD21AA" w:rsidP="00AD21AA">
      <w:pPr>
        <w:pStyle w:val="Considrant"/>
      </w:pPr>
      <w:r>
        <w:t xml:space="preserve">Taking into account </w:t>
      </w:r>
      <w:r w:rsidRPr="000A39B9">
        <w:t>the international standards of the Basel Committee on Banking Supervision</w:t>
      </w:r>
      <w:r>
        <w:t>,</w:t>
      </w:r>
      <w:r w:rsidRPr="000A39B9">
        <w:t xml:space="preserve"> Regulation (EU) 2019/876 of the European Parliament and of the Council</w:t>
      </w:r>
      <w:r w:rsidRPr="005A2A1F">
        <w:rPr>
          <w:rStyle w:val="FootnoteReference"/>
        </w:rPr>
        <w:footnoteReference w:id="4"/>
      </w:r>
      <w:r w:rsidRPr="000A39B9">
        <w:t xml:space="preserve"> amended Regulation (EU) No 575/2013 in a number of aspects, such as the </w:t>
      </w:r>
      <w:r w:rsidRPr="000A39B9">
        <w:lastRenderedPageBreak/>
        <w:t xml:space="preserve">leverage ratio, the net stable funding requirement, requirements for own funds and eligible liabilities, counterparty credit risk, market risk, exposures to central counterparties, exposures to collective investment undertakings, large exposures, and reporting and disclosure requirements. </w:t>
      </w:r>
      <w:r>
        <w:t>T</w:t>
      </w:r>
      <w:r w:rsidRPr="000A39B9">
        <w:t xml:space="preserve">he reporting framework </w:t>
      </w:r>
      <w:r>
        <w:t>laid down</w:t>
      </w:r>
      <w:r w:rsidRPr="000A39B9">
        <w:t xml:space="preserve"> in Implementing Regulation (EU) No 680/2014</w:t>
      </w:r>
      <w:r>
        <w:t xml:space="preserve"> should therefore be revised and</w:t>
      </w:r>
      <w:r w:rsidRPr="000A39B9">
        <w:t xml:space="preserve"> the set of templates for the collection of information for supervisory reporting purposes </w:t>
      </w:r>
      <w:r>
        <w:t>should be updated.</w:t>
      </w:r>
    </w:p>
    <w:p w14:paraId="5F6B66C1" w14:textId="77777777" w:rsidR="00AD21AA" w:rsidRPr="000A39B9" w:rsidRDefault="00AD21AA" w:rsidP="00AD21AA">
      <w:pPr>
        <w:pStyle w:val="Considrant"/>
      </w:pPr>
      <w:r w:rsidRPr="000A39B9">
        <w:t xml:space="preserve">Regulation (EU) 2019/876 </w:t>
      </w:r>
      <w:r>
        <w:t>introduced in</w:t>
      </w:r>
      <w:r w:rsidRPr="000A39B9">
        <w:t xml:space="preserve"> Regulation (EU) No 575/2013</w:t>
      </w:r>
      <w:r>
        <w:t xml:space="preserve"> </w:t>
      </w:r>
      <w:r w:rsidRPr="000A39B9">
        <w:t>a Tier 1 capital leverage ratio requirement calibrated at 3</w:t>
      </w:r>
      <w:r>
        <w:t> </w:t>
      </w:r>
      <w:r w:rsidRPr="000A39B9">
        <w:t>%</w:t>
      </w:r>
      <w:r>
        <w:t xml:space="preserve">, </w:t>
      </w:r>
      <w:r w:rsidRPr="000A39B9">
        <w:t>a range of adjustments to the calculation of leverage ratio exposure</w:t>
      </w:r>
      <w:r>
        <w:t>,</w:t>
      </w:r>
      <w:r w:rsidRPr="000A39B9">
        <w:t xml:space="preserve"> </w:t>
      </w:r>
      <w:r>
        <w:t xml:space="preserve">and </w:t>
      </w:r>
      <w:r w:rsidRPr="000A39B9">
        <w:t xml:space="preserve">a leverage ratio buffer requirement for institutions identified as global systemically important institutions (G-SIIs) in accordance with Directive 2013/36/EU. The leverage ratio reporting </w:t>
      </w:r>
      <w:r>
        <w:t>should therefore be</w:t>
      </w:r>
      <w:r w:rsidRPr="000A39B9">
        <w:t xml:space="preserve"> updated to reflect th</w:t>
      </w:r>
      <w:r>
        <w:t>ose</w:t>
      </w:r>
      <w:r w:rsidRPr="000A39B9">
        <w:t xml:space="preserve"> requirements and adjustments in the exposure calculation.</w:t>
      </w:r>
    </w:p>
    <w:p w14:paraId="3651D6E0" w14:textId="77777777" w:rsidR="00AD21AA" w:rsidRPr="000A39B9" w:rsidRDefault="00AD21AA" w:rsidP="00AD21AA">
      <w:pPr>
        <w:pStyle w:val="Considrant"/>
      </w:pPr>
      <w:r w:rsidRPr="000A39B9">
        <w:t xml:space="preserve">Regulation (EU) 2019/876 introduced </w:t>
      </w:r>
      <w:r>
        <w:t>in</w:t>
      </w:r>
      <w:r w:rsidRPr="000A39B9">
        <w:t xml:space="preserve"> Regulation (EU) No 575/2013 net stable funding ratio (NSFR) reporting requirements, including simplified requirements. </w:t>
      </w:r>
      <w:r>
        <w:t>It is therefore necessary to lay down a</w:t>
      </w:r>
      <w:r w:rsidRPr="000A39B9">
        <w:t xml:space="preserve"> new set of reporting templates and instructions.</w:t>
      </w:r>
    </w:p>
    <w:p w14:paraId="7CAD2444" w14:textId="77777777" w:rsidR="00AD21AA" w:rsidRPr="000A39B9" w:rsidRDefault="00AD21AA" w:rsidP="00AD21AA">
      <w:pPr>
        <w:pStyle w:val="Considrant"/>
      </w:pPr>
      <w:r w:rsidRPr="000A39B9">
        <w:t>Regulation (EU) 2019/876</w:t>
      </w:r>
      <w:r>
        <w:t xml:space="preserve"> introduced in</w:t>
      </w:r>
      <w:r w:rsidRPr="000A39B9">
        <w:t xml:space="preserve"> Regulation (EU) No 575/2013 a new supporting factor to be applied to infrastructure projects’ exposures and </w:t>
      </w:r>
      <w:r>
        <w:t xml:space="preserve">updated </w:t>
      </w:r>
      <w:r w:rsidRPr="000A39B9">
        <w:t xml:space="preserve">approaches to calculating risk-weighted </w:t>
      </w:r>
      <w:r w:rsidRPr="0078668E">
        <w:t xml:space="preserve">exposure amounts for collective investment undertakings. It is therefore necessary to lay down, also in </w:t>
      </w:r>
      <w:r w:rsidRPr="00116353">
        <w:t>accordance</w:t>
      </w:r>
      <w:r w:rsidRPr="0078668E">
        <w:t xml:space="preserve"> with the disclosures framework,</w:t>
      </w:r>
      <w:r w:rsidRPr="0078668E" w:rsidDel="00810E15">
        <w:t xml:space="preserve"> </w:t>
      </w:r>
      <w:r w:rsidRPr="0078668E">
        <w:t>new templates and</w:t>
      </w:r>
      <w:r w:rsidRPr="000A39B9">
        <w:t xml:space="preserve"> instructions </w:t>
      </w:r>
      <w:r>
        <w:t xml:space="preserve">for reporting on credit risk </w:t>
      </w:r>
      <w:r w:rsidRPr="000A39B9">
        <w:t xml:space="preserve">and </w:t>
      </w:r>
      <w:r>
        <w:t xml:space="preserve">update </w:t>
      </w:r>
      <w:r w:rsidRPr="000A39B9">
        <w:t>the current instructions.</w:t>
      </w:r>
    </w:p>
    <w:p w14:paraId="19553D31" w14:textId="77777777" w:rsidR="00AD21AA" w:rsidRPr="000A39B9" w:rsidRDefault="00AD21AA" w:rsidP="00AD21AA">
      <w:pPr>
        <w:pStyle w:val="Considrant"/>
      </w:pPr>
      <w:r w:rsidRPr="000A39B9">
        <w:t>Regulation (EU) 2019/876</w:t>
      </w:r>
      <w:r>
        <w:t xml:space="preserve"> replaced in</w:t>
      </w:r>
      <w:r w:rsidRPr="000A39B9">
        <w:t xml:space="preserve"> Regulation (EU) No 575/2013 the standardised approach with a more risk sensitive standardised approach for counterparty credit risk (SA-CCR)</w:t>
      </w:r>
      <w:r>
        <w:t xml:space="preserve"> and a</w:t>
      </w:r>
      <w:r w:rsidRPr="000A39B9">
        <w:t xml:space="preserve"> simplified version (the simplified SA-CCR) </w:t>
      </w:r>
      <w:r>
        <w:t>for</w:t>
      </w:r>
      <w:r w:rsidRPr="000A39B9">
        <w:t xml:space="preserve"> institutions that meet predefined eligibility criteria. The original exposure method</w:t>
      </w:r>
      <w:r>
        <w:t>, though revised,</w:t>
      </w:r>
      <w:r w:rsidRPr="000A39B9">
        <w:t xml:space="preserve"> remains available for institutions meeting predefined criteria. </w:t>
      </w:r>
      <w:r w:rsidRPr="00D66835">
        <w:t xml:space="preserve">It is therefore necessary to </w:t>
      </w:r>
      <w:r>
        <w:t>add n</w:t>
      </w:r>
      <w:r w:rsidRPr="000A39B9">
        <w:t xml:space="preserve">ew templates and instructions </w:t>
      </w:r>
      <w:r>
        <w:t xml:space="preserve">for reporting on </w:t>
      </w:r>
      <w:r w:rsidRPr="000A39B9">
        <w:t>counterparty credit risk and</w:t>
      </w:r>
      <w:r>
        <w:t xml:space="preserve"> update</w:t>
      </w:r>
      <w:r w:rsidRPr="000A39B9">
        <w:t xml:space="preserve"> the current instructions.</w:t>
      </w:r>
    </w:p>
    <w:p w14:paraId="76193745" w14:textId="77777777" w:rsidR="00AD21AA" w:rsidRPr="000A39B9" w:rsidRDefault="00AD21AA" w:rsidP="00AD21AA">
      <w:pPr>
        <w:pStyle w:val="Considrant"/>
      </w:pPr>
      <w:r w:rsidRPr="000A39B9">
        <w:t xml:space="preserve">Regulation (EU) 2019/876 </w:t>
      </w:r>
      <w:r>
        <w:t>replaced in</w:t>
      </w:r>
      <w:r w:rsidRPr="000A39B9">
        <w:t xml:space="preserve"> Regulation (EU) No 575/2013</w:t>
      </w:r>
      <w:r>
        <w:t xml:space="preserve"> </w:t>
      </w:r>
      <w:r w:rsidRPr="000A39B9">
        <w:t xml:space="preserve">the references to ‘eligible capital’ in the calculation of large </w:t>
      </w:r>
      <w:r w:rsidRPr="0078668E">
        <w:t>exposures with references to ‘</w:t>
      </w:r>
      <w:r w:rsidRPr="000A39B9">
        <w:t>Tier 1 capital’</w:t>
      </w:r>
      <w:r>
        <w:t xml:space="preserve"> and introduced</w:t>
      </w:r>
      <w:r w:rsidRPr="000A39B9">
        <w:t xml:space="preserve"> another threshold for reporting of large exposures on a consolidated basis. </w:t>
      </w:r>
      <w:r>
        <w:t xml:space="preserve">The </w:t>
      </w:r>
      <w:r w:rsidRPr="000A39B9">
        <w:t xml:space="preserve">large exposures reporting </w:t>
      </w:r>
      <w:r>
        <w:t>should therefore be</w:t>
      </w:r>
      <w:r w:rsidRPr="000A39B9">
        <w:t xml:space="preserve"> updated.</w:t>
      </w:r>
    </w:p>
    <w:p w14:paraId="406A544B" w14:textId="77777777" w:rsidR="00AD21AA" w:rsidRPr="000A39B9" w:rsidRDefault="00AD21AA" w:rsidP="00AD21AA">
      <w:pPr>
        <w:pStyle w:val="Considrant"/>
      </w:pPr>
      <w:r w:rsidRPr="000A39B9">
        <w:t>Regulation (EU) 2019/630 of the European Parliament and of the Council</w:t>
      </w:r>
      <w:r w:rsidRPr="005A2A1F">
        <w:rPr>
          <w:rStyle w:val="FootnoteReference"/>
        </w:rPr>
        <w:footnoteReference w:id="5"/>
      </w:r>
      <w:r w:rsidRPr="000A39B9">
        <w:t xml:space="preserve"> introduced </w:t>
      </w:r>
      <w:r>
        <w:t xml:space="preserve">in </w:t>
      </w:r>
      <w:r w:rsidRPr="000A39B9">
        <w:t xml:space="preserve">Regulation (EU) No 575/2013 a prudential backstop for non-performing exposures (NPEs) imposing a deduction from institutions’ own funds where NPEs are not sufficiently covered by provisions or other adjustments, following a predefined </w:t>
      </w:r>
      <w:r w:rsidRPr="0078668E">
        <w:t xml:space="preserve">calendar to build up a full coverage over time. That prudential backstop is based on the </w:t>
      </w:r>
      <w:r w:rsidRPr="00116353">
        <w:t>definitions</w:t>
      </w:r>
      <w:r w:rsidRPr="0078668E">
        <w:t xml:space="preserve"> of ‘non-performing exposure’ and ‘forbearance measures’ laid down in Implementing Regulation (EU) No 680/2014. It is therefore necessary to amend templates and instructions</w:t>
      </w:r>
      <w:r>
        <w:t xml:space="preserve"> </w:t>
      </w:r>
      <w:r w:rsidRPr="000A39B9">
        <w:t xml:space="preserve">to ensure that </w:t>
      </w:r>
      <w:r>
        <w:t xml:space="preserve">there is a </w:t>
      </w:r>
      <w:r w:rsidRPr="000A39B9">
        <w:t>single definition of ‘non-performing exposure’ and ‘forbearance</w:t>
      </w:r>
      <w:r>
        <w:t xml:space="preserve"> measures</w:t>
      </w:r>
      <w:r w:rsidRPr="000A39B9">
        <w:t xml:space="preserve">’ for both reporting and prudential backstop </w:t>
      </w:r>
      <w:r w:rsidRPr="000A39B9">
        <w:lastRenderedPageBreak/>
        <w:t>purposes. New templates are also necessary for the collection of information for the backstop calculation.</w:t>
      </w:r>
    </w:p>
    <w:p w14:paraId="4A308F65" w14:textId="77777777" w:rsidR="00AD21AA" w:rsidRPr="000A39B9" w:rsidRDefault="00AD21AA" w:rsidP="00AD21AA">
      <w:pPr>
        <w:pStyle w:val="Considrant"/>
      </w:pPr>
      <w:r w:rsidRPr="000A39B9">
        <w:t>Regulation (EU) 2019/2033 of the European Parliament and of the Council</w:t>
      </w:r>
      <w:r w:rsidRPr="005A2A1F">
        <w:rPr>
          <w:rStyle w:val="FootnoteReference"/>
        </w:rPr>
        <w:footnoteReference w:id="6"/>
      </w:r>
      <w:r w:rsidRPr="000A39B9">
        <w:t xml:space="preserve"> </w:t>
      </w:r>
      <w:r>
        <w:t>repeals</w:t>
      </w:r>
      <w:r w:rsidRPr="000A39B9">
        <w:t xml:space="preserve"> with effect from 26 June 2026 Chapter 1 of Title I of Part Three, Section 2 (Articles 95 to 98), of Regulation (EU) No 575/2013. For this reason, provisions on reporting for groups that consist only of investment firms subject to Article</w:t>
      </w:r>
      <w:r>
        <w:t>s</w:t>
      </w:r>
      <w:r w:rsidRPr="000A39B9">
        <w:t xml:space="preserve"> 95 and 96 of Regulation (EU) No 575/2013 on an individual basis or a consolidated basis </w:t>
      </w:r>
      <w:r>
        <w:t xml:space="preserve">should </w:t>
      </w:r>
      <w:r w:rsidRPr="000A39B9">
        <w:t>cease to apply on 26 June 2026.</w:t>
      </w:r>
    </w:p>
    <w:p w14:paraId="43FA00D7" w14:textId="77777777" w:rsidR="00AD21AA" w:rsidRPr="000A39B9" w:rsidRDefault="00AD21AA" w:rsidP="00AD21AA">
      <w:pPr>
        <w:pStyle w:val="Considrant"/>
      </w:pPr>
      <w:r w:rsidRPr="0005085C">
        <w:t>In view of the scope of those amendment</w:t>
      </w:r>
      <w:r>
        <w:t>s and for the sake of clarity</w:t>
      </w:r>
      <w:r w:rsidRPr="000A39B9">
        <w:t xml:space="preserve">, it is </w:t>
      </w:r>
      <w:r>
        <w:t>appropriate</w:t>
      </w:r>
      <w:r w:rsidRPr="000A39B9">
        <w:t xml:space="preserve"> to repeal Implementing Regulation (EU) No 680/2014 and replace it with this Regulation.</w:t>
      </w:r>
    </w:p>
    <w:p w14:paraId="68FF0834" w14:textId="77777777" w:rsidR="00AD21AA" w:rsidRDefault="00AD21AA" w:rsidP="00AD21AA">
      <w:pPr>
        <w:pStyle w:val="Considrant"/>
      </w:pPr>
      <w:r w:rsidRPr="00AC578D">
        <w:t>Regulation (EU) 2020/873 of the European Parliament and of the Council</w:t>
      </w:r>
      <w:r>
        <w:rPr>
          <w:rStyle w:val="FootnoteReference"/>
        </w:rPr>
        <w:footnoteReference w:id="7"/>
      </w:r>
      <w:r w:rsidRPr="00AC578D">
        <w:t xml:space="preserve"> is part of a series of measures to mitigate the </w:t>
      </w:r>
      <w:r w:rsidRPr="0078668E">
        <w:t xml:space="preserve">impact of the COVID-19 pandemic on institutions across the Union. That Regulation introduced certain amendments to Regulations (EU) No 575/2013 and (EU) 2019/876 </w:t>
      </w:r>
      <w:r w:rsidRPr="00116353">
        <w:t>that</w:t>
      </w:r>
      <w:r w:rsidRPr="0078668E">
        <w:t xml:space="preserve"> have an impact on supervisory reporting. Those amendments should therefore be</w:t>
      </w:r>
      <w:r>
        <w:t xml:space="preserve"> reflected in the reporting framework. </w:t>
      </w:r>
    </w:p>
    <w:p w14:paraId="1AEA9367" w14:textId="77777777" w:rsidR="00AD21AA" w:rsidRDefault="00AD21AA" w:rsidP="00AD21AA">
      <w:pPr>
        <w:pStyle w:val="Considrant"/>
      </w:pPr>
      <w:r w:rsidRPr="0078668E">
        <w:t xml:space="preserve">Institutions should start supervisory reporting for the end of second quarter of 2021. </w:t>
      </w:r>
      <w:r w:rsidRPr="00116353">
        <w:t xml:space="preserve">However, reporting </w:t>
      </w:r>
      <w:r w:rsidRPr="0078668E">
        <w:t>for</w:t>
      </w:r>
      <w:r>
        <w:t xml:space="preserve"> the leverage ratio buffer should start from January 2023 as the application of the leverage buffer requirements was postponed to January 2023 by Regulation (EU) 2020/873.</w:t>
      </w:r>
    </w:p>
    <w:p w14:paraId="34258819" w14:textId="77777777" w:rsidR="00AD21AA" w:rsidRPr="000A39B9" w:rsidRDefault="00AD21AA" w:rsidP="00AD21AA">
      <w:pPr>
        <w:pStyle w:val="Considrant"/>
      </w:pPr>
      <w:r w:rsidRPr="000A39B9">
        <w:t>This Regulation is based on the draft implementing technical standards submitted to the Commission by the European Banking Authority (EBA).</w:t>
      </w:r>
    </w:p>
    <w:p w14:paraId="1EE2EAF8" w14:textId="77777777" w:rsidR="00AD21AA" w:rsidRDefault="00AD21AA" w:rsidP="00AD21AA">
      <w:pPr>
        <w:pStyle w:val="Considrant"/>
        <w:rPr>
          <w:noProof/>
        </w:rPr>
      </w:pPr>
      <w:r>
        <w:rPr>
          <w:lang w:val="en-US"/>
        </w:rPr>
        <w:t xml:space="preserve">The </w:t>
      </w:r>
      <w:r w:rsidRPr="000A39B9">
        <w:rPr>
          <w:lang w:val="en-US"/>
        </w:rPr>
        <w:t xml:space="preserve">EBA has conducted open public consultations on the draft implementing technical standards on which this Regulation is based, analysed the potential related costs and benefits, and requested the </w:t>
      </w:r>
      <w:r>
        <w:rPr>
          <w:lang w:val="en-US"/>
        </w:rPr>
        <w:t>advice</w:t>
      </w:r>
      <w:r w:rsidRPr="000A39B9">
        <w:rPr>
          <w:lang w:val="en-US"/>
        </w:rPr>
        <w:t xml:space="preserve"> of the Banking Stakeholder Group established in accordance with Article 37 of Regulation (EU) No 1093/2010 of the European Parliament and of the Council</w:t>
      </w:r>
      <w:r w:rsidRPr="005A2A1F">
        <w:rPr>
          <w:rStyle w:val="FootnoteReference"/>
        </w:rPr>
        <w:footnoteReference w:id="8"/>
      </w:r>
      <w:r>
        <w:rPr>
          <w:lang w:val="en-US"/>
        </w:rPr>
        <w:t xml:space="preserve">, </w:t>
      </w:r>
      <w:r w:rsidRPr="00C07500">
        <w:t>with the exception of the provisions reflecting the amendments of Regulation (EU) 575/2013 by Regulation (EU) 2020/873</w:t>
      </w:r>
      <w:r>
        <w:rPr>
          <w:lang w:val="en-US"/>
        </w:rPr>
        <w:t>.</w:t>
      </w:r>
      <w:r w:rsidRPr="00086C86" w:rsidDel="00854910">
        <w:t xml:space="preserve"> </w:t>
      </w:r>
      <w:r>
        <w:t xml:space="preserve">The </w:t>
      </w:r>
      <w:r w:rsidRPr="00AC578D">
        <w:t xml:space="preserve">EBA decided </w:t>
      </w:r>
      <w:r>
        <w:t xml:space="preserve">that it would have been highly disproportionate </w:t>
      </w:r>
      <w:r w:rsidRPr="00AC578D">
        <w:t>to carry out public consultations or a cost-b</w:t>
      </w:r>
      <w:r>
        <w:t>enefit analysis on those provisions as they concern very few rows in reporting templates on solvency and leverage and are not likely to materially affect the costs of reporting. In addition, such public consultation</w:t>
      </w:r>
      <w:r w:rsidRPr="00AC578D">
        <w:t xml:space="preserve"> or a cost-b</w:t>
      </w:r>
      <w:r>
        <w:t>enefit analysis would prevent supervisors from the timely collection of relevant data in a coherent and regular manner.</w:t>
      </w:r>
    </w:p>
    <w:p w14:paraId="38285338" w14:textId="5E242B95" w:rsidR="0004170D" w:rsidRPr="00086C86" w:rsidRDefault="00AD21AA" w:rsidP="00AD21AA">
      <w:pPr>
        <w:pStyle w:val="Considrant"/>
        <w:rPr>
          <w:noProof/>
        </w:rPr>
      </w:pPr>
      <w:r>
        <w:t xml:space="preserve">To provide institutions with sufficient time to prepare </w:t>
      </w:r>
      <w:r w:rsidR="004D5E20">
        <w:t xml:space="preserve">for </w:t>
      </w:r>
      <w:r>
        <w:t>reporting in accordance with this Regulation, it should enter into force on the day fol</w:t>
      </w:r>
      <w:r w:rsidR="004D5E20">
        <w:t>lowing the date of its publication</w:t>
      </w:r>
      <w:r w:rsidRPr="006B16DC">
        <w:t xml:space="preserve"> in the Official Journal of the European Union</w:t>
      </w:r>
      <w:r>
        <w:t>,</w:t>
      </w:r>
      <w:r w:rsidR="0004170D" w:rsidRPr="00086C86" w:rsidDel="00854910">
        <w:t xml:space="preserve"> </w:t>
      </w:r>
    </w:p>
    <w:p w14:paraId="7E0D596A" w14:textId="77777777" w:rsidR="0004170D" w:rsidRDefault="0004170D" w:rsidP="009675DD">
      <w:pPr>
        <w:pStyle w:val="Formuledadoption"/>
      </w:pPr>
      <w:r w:rsidRPr="00922C91">
        <w:lastRenderedPageBreak/>
        <w:t>HAS ADOPTED THIS REGULATION:</w:t>
      </w:r>
    </w:p>
    <w:p w14:paraId="576F9D8E" w14:textId="77777777" w:rsidR="0004170D" w:rsidRDefault="0004170D" w:rsidP="009675DD">
      <w:pPr>
        <w:pStyle w:val="Titrearticle"/>
      </w:pPr>
      <w:r w:rsidRPr="00922C91">
        <w:t>Article 1</w:t>
      </w:r>
    </w:p>
    <w:p w14:paraId="288B3999" w14:textId="77777777" w:rsidR="006B61AF" w:rsidRDefault="006B61AF" w:rsidP="006B61AF">
      <w:pPr>
        <w:pStyle w:val="Titrearticle"/>
        <w:spacing w:before="120"/>
        <w:rPr>
          <w:b/>
          <w:i w:val="0"/>
        </w:rPr>
      </w:pPr>
      <w:r>
        <w:rPr>
          <w:b/>
          <w:i w:val="0"/>
        </w:rPr>
        <w:t>Subject matter and scope</w:t>
      </w:r>
    </w:p>
    <w:p w14:paraId="37986D69" w14:textId="774022E5" w:rsidR="0004170D" w:rsidRDefault="006B61AF" w:rsidP="00BC75BD">
      <w:r>
        <w:rPr>
          <w:lang w:val="en-US"/>
        </w:rPr>
        <w:t>This Regulation lays down uniform reporting formats and templates, instructions on and a methodology for how to use those templates, the frequency and dates of reporting, the definitions and the IT solutions for the reporting of institutions to their competent authorities in accordance with Article 415, paragraphs 3 and 3a, of Regulation (EU) No 575/2013, and Article 430, paragraphs 1 to 4 and paragraphs 7 and 9 of that Regulation</w:t>
      </w:r>
      <w:r>
        <w:t>.</w:t>
      </w:r>
      <w:r w:rsidR="0004170D" w:rsidRPr="00086C86">
        <w:t xml:space="preserve"> </w:t>
      </w:r>
    </w:p>
    <w:p w14:paraId="46D6B4CF" w14:textId="77777777" w:rsidR="00FF364B" w:rsidRDefault="00FF364B" w:rsidP="00FF364B">
      <w:pPr>
        <w:pStyle w:val="Titrearticle"/>
      </w:pPr>
      <w:r w:rsidRPr="00086C86">
        <w:t xml:space="preserve">Article </w:t>
      </w:r>
      <w:r w:rsidRPr="00FF364B">
        <w:fldChar w:fldCharType="begin"/>
      </w:r>
      <w:r w:rsidRPr="00086C86">
        <w:instrText xml:space="preserve"> seq article </w:instrText>
      </w:r>
      <w:r w:rsidRPr="00FF364B">
        <w:fldChar w:fldCharType="separate"/>
      </w:r>
      <w:r>
        <w:t>2</w:t>
      </w:r>
      <w:r w:rsidRPr="00FF364B">
        <w:fldChar w:fldCharType="end"/>
      </w:r>
    </w:p>
    <w:p w14:paraId="35E34B0E" w14:textId="1A25917F" w:rsidR="00FF364B" w:rsidRPr="001732B4" w:rsidRDefault="006B61AF" w:rsidP="00FF364B">
      <w:pPr>
        <w:pStyle w:val="Titrearticle"/>
        <w:spacing w:before="120"/>
        <w:rPr>
          <w:b/>
          <w:i w:val="0"/>
        </w:rPr>
      </w:pPr>
      <w:r w:rsidRPr="001732B4">
        <w:rPr>
          <w:b/>
          <w:i w:val="0"/>
        </w:rPr>
        <w:t>R</w:t>
      </w:r>
      <w:r>
        <w:rPr>
          <w:b/>
          <w:i w:val="0"/>
        </w:rPr>
        <w:t>eporting reference dates</w:t>
      </w:r>
    </w:p>
    <w:p w14:paraId="10AD0363" w14:textId="77777777" w:rsidR="006B61AF" w:rsidRPr="00086C86" w:rsidRDefault="006B61AF" w:rsidP="006B61AF">
      <w:pPr>
        <w:pStyle w:val="NumPar1"/>
        <w:numPr>
          <w:ilvl w:val="0"/>
          <w:numId w:val="10"/>
        </w:numPr>
      </w:pPr>
      <w:r w:rsidRPr="000A39B9">
        <w:rPr>
          <w:lang w:val="en-US"/>
        </w:rPr>
        <w:t>Institutions shall submit information to competent authorities as this information stands on the following reporting reference dates</w:t>
      </w:r>
      <w:r w:rsidRPr="00086C86">
        <w:t>:</w:t>
      </w:r>
    </w:p>
    <w:p w14:paraId="7FC44D08" w14:textId="2BC9CD43" w:rsidR="006B61AF" w:rsidRPr="00965716" w:rsidRDefault="00D9176D" w:rsidP="006B61AF">
      <w:pPr>
        <w:pStyle w:val="Point1"/>
      </w:pPr>
      <w:r>
        <w:t>(a)</w:t>
      </w:r>
      <w:r>
        <w:tab/>
      </w:r>
      <w:r w:rsidR="006B61AF">
        <w:t>m</w:t>
      </w:r>
      <w:r w:rsidR="006B61AF" w:rsidRPr="00965716">
        <w:t>onthly reporting: on the last day of each month;</w:t>
      </w:r>
    </w:p>
    <w:p w14:paraId="28CC3121" w14:textId="77777777" w:rsidR="006B61AF" w:rsidRPr="00FF364B" w:rsidRDefault="006B61AF" w:rsidP="006B61AF">
      <w:pPr>
        <w:pStyle w:val="Point1"/>
      </w:pPr>
      <w:r>
        <w:t>(b)</w:t>
      </w:r>
      <w:r>
        <w:tab/>
        <w:t>q</w:t>
      </w:r>
      <w:r w:rsidRPr="00FF364B">
        <w:t>uarterly reporting: 31 March, 30 June, 30 September and 31 December;</w:t>
      </w:r>
    </w:p>
    <w:p w14:paraId="3C859754" w14:textId="77777777" w:rsidR="006B61AF" w:rsidRDefault="006B61AF" w:rsidP="006B61AF">
      <w:pPr>
        <w:pStyle w:val="Point1"/>
      </w:pPr>
      <w:r>
        <w:t>(c)</w:t>
      </w:r>
      <w:r>
        <w:tab/>
        <w:t>s</w:t>
      </w:r>
      <w:r w:rsidRPr="00FF364B">
        <w:t>emi-annual reporting: 30 June and 31 December;</w:t>
      </w:r>
    </w:p>
    <w:p w14:paraId="03865441" w14:textId="5E46B259" w:rsidR="00FF364B" w:rsidRPr="00FF364B" w:rsidRDefault="006B61AF" w:rsidP="006B61AF">
      <w:pPr>
        <w:pStyle w:val="Point1"/>
      </w:pPr>
      <w:r>
        <w:t>(d)</w:t>
      </w:r>
      <w:r>
        <w:tab/>
        <w:t>a</w:t>
      </w:r>
      <w:r w:rsidRPr="00FF364B">
        <w:t>nnual reporting: 31 December</w:t>
      </w:r>
      <w:r w:rsidR="00FF364B" w:rsidRPr="00FF364B">
        <w:t>.</w:t>
      </w:r>
    </w:p>
    <w:p w14:paraId="40A4E6AA" w14:textId="77777777" w:rsidR="006B61AF" w:rsidRPr="00FF364B" w:rsidRDefault="006B61AF" w:rsidP="006B61AF">
      <w:pPr>
        <w:pStyle w:val="NumPar1"/>
      </w:pPr>
      <w:r w:rsidRPr="000A39B9">
        <w:rPr>
          <w:lang w:val="en-US"/>
        </w:rPr>
        <w:t>Information submitted pursuant to the templates set out in Annex</w:t>
      </w:r>
      <w:r>
        <w:rPr>
          <w:lang w:val="en-US"/>
        </w:rPr>
        <w:t>es</w:t>
      </w:r>
      <w:r w:rsidRPr="000A39B9">
        <w:rPr>
          <w:lang w:val="en-US"/>
        </w:rPr>
        <w:t> III and IV, in accordance with the instructions in Annex V and referring to a certain period, shall be reported cumulatively from the first day of the accounting year to the reference date</w:t>
      </w:r>
      <w:r w:rsidRPr="00FF364B">
        <w:t>.</w:t>
      </w:r>
    </w:p>
    <w:p w14:paraId="65D209FF" w14:textId="1131E63F" w:rsidR="00FF364B" w:rsidRPr="00FF364B" w:rsidRDefault="006B61AF" w:rsidP="006B61AF">
      <w:pPr>
        <w:pStyle w:val="NumPar1"/>
      </w:pPr>
      <w:r w:rsidRPr="000A39B9">
        <w:rPr>
          <w:lang w:val="en-US"/>
        </w:rPr>
        <w:t xml:space="preserve">Where institutions are permitted by national laws to report their financial information based on their accounting year-end, which deviates from the calendar year, reporting reference dates may be adjusted accordingly, so that reporting of financial information and of information for the purposes of identifying </w:t>
      </w:r>
      <w:r w:rsidRPr="000A39B9">
        <w:t xml:space="preserve">global systemically important institutions </w:t>
      </w:r>
      <w:r>
        <w:t>(</w:t>
      </w:r>
      <w:r w:rsidRPr="000A39B9">
        <w:rPr>
          <w:lang w:val="en-US"/>
        </w:rPr>
        <w:t>G-SIIs</w:t>
      </w:r>
      <w:r>
        <w:rPr>
          <w:lang w:val="en-US"/>
        </w:rPr>
        <w:t>)</w:t>
      </w:r>
      <w:r w:rsidRPr="000A39B9">
        <w:rPr>
          <w:lang w:val="en-US"/>
        </w:rPr>
        <w:t xml:space="preserve"> and assigning G-SII buffer rates is done every </w:t>
      </w:r>
      <w:r>
        <w:rPr>
          <w:lang w:val="en-US"/>
        </w:rPr>
        <w:t>three</w:t>
      </w:r>
      <w:r w:rsidRPr="000A39B9">
        <w:rPr>
          <w:lang w:val="en-US"/>
        </w:rPr>
        <w:t xml:space="preserve">, </w:t>
      </w:r>
      <w:r>
        <w:rPr>
          <w:lang w:val="en-US"/>
        </w:rPr>
        <w:t>six</w:t>
      </w:r>
      <w:r w:rsidRPr="000A39B9">
        <w:rPr>
          <w:lang w:val="en-US"/>
        </w:rPr>
        <w:t xml:space="preserve"> or </w:t>
      </w:r>
      <w:r>
        <w:rPr>
          <w:lang w:val="en-US"/>
        </w:rPr>
        <w:t>twelve</w:t>
      </w:r>
      <w:r w:rsidRPr="000A39B9">
        <w:rPr>
          <w:lang w:val="en-US"/>
        </w:rPr>
        <w:t> months from their accounting year-end, respectively</w:t>
      </w:r>
      <w:r w:rsidRPr="00FF364B">
        <w:t>.</w:t>
      </w:r>
    </w:p>
    <w:p w14:paraId="45D66A15" w14:textId="77777777" w:rsidR="00725875" w:rsidRDefault="00725875" w:rsidP="00725875">
      <w:pPr>
        <w:pStyle w:val="Titrearticle"/>
      </w:pPr>
      <w:r w:rsidRPr="00086C86">
        <w:t xml:space="preserve">Article </w:t>
      </w:r>
      <w:r>
        <w:t>3</w:t>
      </w:r>
    </w:p>
    <w:p w14:paraId="19D84E1B" w14:textId="77777777" w:rsidR="0014552F" w:rsidRDefault="0014552F" w:rsidP="0014552F">
      <w:pPr>
        <w:pStyle w:val="Titrearticle"/>
        <w:spacing w:before="120"/>
        <w:rPr>
          <w:b/>
          <w:i w:val="0"/>
        </w:rPr>
      </w:pPr>
      <w:r>
        <w:rPr>
          <w:b/>
          <w:i w:val="0"/>
        </w:rPr>
        <w:t>R</w:t>
      </w:r>
      <w:r w:rsidRPr="001732B4">
        <w:rPr>
          <w:b/>
          <w:i w:val="0"/>
        </w:rPr>
        <w:t>eporting remittance dates</w:t>
      </w:r>
    </w:p>
    <w:p w14:paraId="1A3916EF" w14:textId="77777777" w:rsidR="0014552F" w:rsidRDefault="0014552F" w:rsidP="0047317A">
      <w:pPr>
        <w:pStyle w:val="NumPar1"/>
        <w:numPr>
          <w:ilvl w:val="0"/>
          <w:numId w:val="12"/>
        </w:numPr>
      </w:pPr>
      <w:r w:rsidRPr="0014552F">
        <w:rPr>
          <w:lang w:val="en-US"/>
        </w:rPr>
        <w:t>Institutions shall submit information to competent authorities by close of business on the following remittance dates</w:t>
      </w:r>
      <w:r w:rsidRPr="00725875">
        <w:t>:</w:t>
      </w:r>
    </w:p>
    <w:p w14:paraId="1B31A059" w14:textId="77777777" w:rsidR="0014552F" w:rsidRPr="00725875" w:rsidRDefault="0014552F" w:rsidP="0014552F">
      <w:pPr>
        <w:pStyle w:val="Point1"/>
      </w:pPr>
      <w:r>
        <w:t>(a)</w:t>
      </w:r>
      <w:r>
        <w:tab/>
        <w:t>m</w:t>
      </w:r>
      <w:r w:rsidRPr="00725875">
        <w:t>onthly reporting: 15th calendar day after the reporting reference date;</w:t>
      </w:r>
    </w:p>
    <w:p w14:paraId="59E141C9" w14:textId="77777777" w:rsidR="0014552F" w:rsidRPr="00725875" w:rsidRDefault="0014552F" w:rsidP="0014552F">
      <w:pPr>
        <w:pStyle w:val="Point1"/>
      </w:pPr>
      <w:r>
        <w:t>(b)</w:t>
      </w:r>
      <w:r>
        <w:tab/>
        <w:t>q</w:t>
      </w:r>
      <w:r w:rsidRPr="00725875">
        <w:t>uarterly reporting: 12 May, 11 August, 11 November and 11 February;</w:t>
      </w:r>
    </w:p>
    <w:p w14:paraId="31A5927D" w14:textId="77777777" w:rsidR="0014552F" w:rsidRPr="00725875" w:rsidRDefault="0014552F" w:rsidP="0014552F">
      <w:pPr>
        <w:pStyle w:val="Point1"/>
      </w:pPr>
      <w:r>
        <w:t>(c)</w:t>
      </w:r>
      <w:r>
        <w:tab/>
        <w:t>s</w:t>
      </w:r>
      <w:r w:rsidRPr="00725875">
        <w:t>emi-annual reporting: 11 August and 11 February;</w:t>
      </w:r>
    </w:p>
    <w:p w14:paraId="37F1906A" w14:textId="77777777" w:rsidR="0014552F" w:rsidRDefault="0014552F" w:rsidP="0014552F">
      <w:pPr>
        <w:pStyle w:val="Point1"/>
      </w:pPr>
      <w:r>
        <w:t>(d)</w:t>
      </w:r>
      <w:r>
        <w:tab/>
        <w:t>a</w:t>
      </w:r>
      <w:r w:rsidRPr="00725875">
        <w:t>nnual reporting: 11 February.</w:t>
      </w:r>
    </w:p>
    <w:p w14:paraId="493E0587" w14:textId="77777777" w:rsidR="0014552F" w:rsidRPr="00086C86" w:rsidRDefault="0014552F" w:rsidP="0014552F">
      <w:pPr>
        <w:pStyle w:val="NumPar1"/>
        <w:numPr>
          <w:ilvl w:val="0"/>
          <w:numId w:val="10"/>
        </w:numPr>
      </w:pPr>
      <w:r w:rsidRPr="000A39B9">
        <w:rPr>
          <w:lang w:val="en-US"/>
        </w:rPr>
        <w:t>If the remittance day is a public holiday in the Member State of the competent authority to which the report is to be provided, or a Saturday or a Sunday, data shall be submitted on the following working day</w:t>
      </w:r>
      <w:r w:rsidRPr="00725875">
        <w:t>.</w:t>
      </w:r>
    </w:p>
    <w:p w14:paraId="6B66EFC5" w14:textId="77777777" w:rsidR="0014552F" w:rsidRPr="00086C86" w:rsidRDefault="0014552F" w:rsidP="0014552F">
      <w:pPr>
        <w:pStyle w:val="NumPar1"/>
        <w:numPr>
          <w:ilvl w:val="0"/>
          <w:numId w:val="10"/>
        </w:numPr>
      </w:pPr>
      <w:r w:rsidRPr="000A39B9">
        <w:rPr>
          <w:lang w:val="en-US"/>
        </w:rPr>
        <w:t xml:space="preserve">Where institutions report their financial information or the information for the purposes of identifying G-SIIs and assigning G-SII buffer rates using adjusted </w:t>
      </w:r>
      <w:r w:rsidRPr="000A39B9">
        <w:rPr>
          <w:lang w:val="en-US"/>
        </w:rPr>
        <w:lastRenderedPageBreak/>
        <w:t>reporting reference dates based on their accounting year-end as set out in paragraph 3 of Article 2, the remittance dates may also be adjusted accordingly so that the same remittance period from the adjusted reporting reference date is maintained</w:t>
      </w:r>
      <w:r w:rsidRPr="00086C86">
        <w:t>.</w:t>
      </w:r>
    </w:p>
    <w:p w14:paraId="67094FB3" w14:textId="77777777" w:rsidR="0014552F" w:rsidRPr="00086C86" w:rsidRDefault="0014552F" w:rsidP="0014552F">
      <w:pPr>
        <w:pStyle w:val="NumPar1"/>
        <w:numPr>
          <w:ilvl w:val="0"/>
          <w:numId w:val="10"/>
        </w:numPr>
      </w:pPr>
      <w:r w:rsidRPr="000A39B9">
        <w:rPr>
          <w:lang w:val="en-US"/>
        </w:rPr>
        <w:t>Institutions may submit unaudited figures. Where audited figures deviate from submitted unaudited figures, the revised, audited figures shall be submitted without undue delay. Unaudited figures are figures that have not received an external auditor’s opinion whereas audited figures are figures audited by an external auditor expressing an audit opinion</w:t>
      </w:r>
      <w:r w:rsidRPr="00086C86">
        <w:t>.</w:t>
      </w:r>
    </w:p>
    <w:p w14:paraId="758E2E74" w14:textId="6B437F09" w:rsidR="00725875" w:rsidRPr="00725875" w:rsidRDefault="0014552F" w:rsidP="0014552F">
      <w:pPr>
        <w:pStyle w:val="NumPar1"/>
        <w:numPr>
          <w:ilvl w:val="0"/>
          <w:numId w:val="10"/>
        </w:numPr>
      </w:pPr>
      <w:r w:rsidRPr="000A39B9">
        <w:rPr>
          <w:lang w:val="en-US"/>
        </w:rPr>
        <w:t>Other corrections to the submitted reports shall also be submitted to the competent authorities without undue delay</w:t>
      </w:r>
      <w:r w:rsidRPr="00725875">
        <w:t>.</w:t>
      </w:r>
    </w:p>
    <w:p w14:paraId="60D8A63C" w14:textId="77777777" w:rsidR="0014552F" w:rsidRPr="00725875" w:rsidRDefault="0014552F" w:rsidP="0014552F">
      <w:pPr>
        <w:pStyle w:val="Titrearticle"/>
      </w:pPr>
      <w:r w:rsidRPr="00725875">
        <w:t xml:space="preserve">Article </w:t>
      </w:r>
      <w:r w:rsidRPr="00725875">
        <w:fldChar w:fldCharType="begin"/>
      </w:r>
      <w:r w:rsidRPr="00725875">
        <w:instrText xml:space="preserve"> seq article </w:instrText>
      </w:r>
      <w:r w:rsidRPr="00725875">
        <w:fldChar w:fldCharType="separate"/>
      </w:r>
      <w:r w:rsidRPr="00725875">
        <w:t>4</w:t>
      </w:r>
      <w:r w:rsidRPr="00725875">
        <w:fldChar w:fldCharType="end"/>
      </w:r>
    </w:p>
    <w:p w14:paraId="726E257C" w14:textId="77777777" w:rsidR="0014552F" w:rsidRPr="001732B4" w:rsidRDefault="0014552F" w:rsidP="0014552F">
      <w:pPr>
        <w:pStyle w:val="Titrearticle"/>
        <w:spacing w:before="120"/>
        <w:rPr>
          <w:b/>
          <w:i w:val="0"/>
        </w:rPr>
      </w:pPr>
      <w:r>
        <w:rPr>
          <w:b/>
          <w:i w:val="0"/>
        </w:rPr>
        <w:t>R</w:t>
      </w:r>
      <w:r w:rsidRPr="001732B4">
        <w:rPr>
          <w:b/>
          <w:i w:val="0"/>
        </w:rPr>
        <w:t>eporting thresholds — entry and exit criteria</w:t>
      </w:r>
    </w:p>
    <w:p w14:paraId="06A0F026" w14:textId="77777777" w:rsidR="0014552F" w:rsidRPr="00116353" w:rsidRDefault="0014552F" w:rsidP="0047317A">
      <w:pPr>
        <w:pStyle w:val="NumPar1"/>
        <w:numPr>
          <w:ilvl w:val="0"/>
          <w:numId w:val="13"/>
        </w:numPr>
      </w:pPr>
      <w:r w:rsidRPr="0014552F">
        <w:rPr>
          <w:lang w:val="en-US"/>
        </w:rPr>
        <w:t>Institutions that meet the conditions set out in in Article 4(1), point (145), of Regulation (EU) No 575/2013 shall start reporting information as small and non-complex institutions on the first reporting reference date after those conditions have been met</w:t>
      </w:r>
      <w:r w:rsidRPr="00116353">
        <w:t xml:space="preserve">. Where institutions no longer meet those conditions, they shall stop reporting the information on the </w:t>
      </w:r>
      <w:r w:rsidRPr="00BA5C91">
        <w:t xml:space="preserve">first reporting reference date </w:t>
      </w:r>
      <w:r w:rsidRPr="00116353">
        <w:t>thereafter.</w:t>
      </w:r>
    </w:p>
    <w:p w14:paraId="67299D12" w14:textId="77777777" w:rsidR="0014552F" w:rsidRPr="00116353" w:rsidRDefault="0014552F" w:rsidP="0014552F">
      <w:pPr>
        <w:pStyle w:val="NumPar1"/>
        <w:numPr>
          <w:ilvl w:val="0"/>
          <w:numId w:val="10"/>
        </w:numPr>
      </w:pPr>
      <w:r w:rsidRPr="00116353">
        <w:rPr>
          <w:lang w:val="en-US"/>
        </w:rPr>
        <w:t xml:space="preserve">Institutions that meet the conditions set out in Article 4(1), point (146), of Regulation (EU) No 575/2013 shall start reporting information as large institutions, on the first reporting reference date after those conditions have been met. </w:t>
      </w:r>
      <w:r w:rsidRPr="00BA5C91">
        <w:rPr>
          <w:lang w:val="en-US"/>
        </w:rPr>
        <w:t xml:space="preserve">Where institutions no longer meet those conditions, they shall stop reporting the information on the first reporting reference date </w:t>
      </w:r>
      <w:r w:rsidRPr="00116353">
        <w:rPr>
          <w:lang w:val="en-US"/>
        </w:rPr>
        <w:t>thereafter.</w:t>
      </w:r>
    </w:p>
    <w:p w14:paraId="427BAF61" w14:textId="77777777" w:rsidR="0014552F" w:rsidRDefault="0014552F" w:rsidP="0014552F">
      <w:pPr>
        <w:pStyle w:val="NumPar1"/>
        <w:numPr>
          <w:ilvl w:val="0"/>
          <w:numId w:val="10"/>
        </w:numPr>
      </w:pPr>
      <w:r w:rsidRPr="000A39B9">
        <w:rPr>
          <w:lang w:val="en-US"/>
        </w:rPr>
        <w:t xml:space="preserve">Institutions shall </w:t>
      </w:r>
      <w:r>
        <w:rPr>
          <w:lang w:val="en-US"/>
        </w:rPr>
        <w:t>start</w:t>
      </w:r>
      <w:r w:rsidRPr="000A39B9">
        <w:rPr>
          <w:lang w:val="en-US"/>
        </w:rPr>
        <w:t xml:space="preserve"> reporting information subject to the thresholds set out in this Regulation on the next reporting reference date after th</w:t>
      </w:r>
      <w:r>
        <w:rPr>
          <w:lang w:val="en-US"/>
        </w:rPr>
        <w:t>o</w:t>
      </w:r>
      <w:r w:rsidRPr="000A39B9">
        <w:rPr>
          <w:lang w:val="en-US"/>
        </w:rPr>
        <w:t xml:space="preserve">se thresholds have been exceeded on two consecutive reporting reference dates. Institutions may stop reporting information subject to the thresholds set out in this Regulation on the next reporting reference date </w:t>
      </w:r>
      <w:r>
        <w:rPr>
          <w:lang w:val="en-US"/>
        </w:rPr>
        <w:t xml:space="preserve">where </w:t>
      </w:r>
      <w:r w:rsidRPr="000A39B9">
        <w:rPr>
          <w:lang w:val="en-US"/>
        </w:rPr>
        <w:t>they have fallen below the relevant thresholds on three consecutive reporting reference dates</w:t>
      </w:r>
      <w:r w:rsidRPr="00725875">
        <w:t>.</w:t>
      </w:r>
    </w:p>
    <w:p w14:paraId="1E03EF09" w14:textId="77777777" w:rsidR="0014552F" w:rsidRPr="00725875" w:rsidRDefault="0014552F" w:rsidP="0014552F">
      <w:pPr>
        <w:pStyle w:val="Titrearticle"/>
      </w:pPr>
      <w:r w:rsidRPr="00086C86">
        <w:t xml:space="preserve">Article </w:t>
      </w:r>
      <w:r w:rsidRPr="00725875">
        <w:fldChar w:fldCharType="begin"/>
      </w:r>
      <w:r w:rsidRPr="00086C86">
        <w:instrText xml:space="preserve"> seq article </w:instrText>
      </w:r>
      <w:r w:rsidRPr="00725875">
        <w:fldChar w:fldCharType="separate"/>
      </w:r>
      <w:r>
        <w:t>5</w:t>
      </w:r>
      <w:r w:rsidRPr="00725875">
        <w:fldChar w:fldCharType="end"/>
      </w:r>
    </w:p>
    <w:p w14:paraId="17F5FB19" w14:textId="77777777" w:rsidR="0014552F" w:rsidRPr="001732B4" w:rsidRDefault="0014552F" w:rsidP="0014552F">
      <w:pPr>
        <w:pStyle w:val="Titrearticle"/>
        <w:spacing w:before="120"/>
        <w:rPr>
          <w:b/>
          <w:i w:val="0"/>
        </w:rPr>
      </w:pPr>
      <w:r w:rsidRPr="0078668E">
        <w:rPr>
          <w:b/>
          <w:i w:val="0"/>
        </w:rPr>
        <w:t xml:space="preserve">Reporting on own funds and own funds requirements </w:t>
      </w:r>
      <w:r w:rsidRPr="00116353">
        <w:rPr>
          <w:b/>
          <w:i w:val="0"/>
        </w:rPr>
        <w:t xml:space="preserve">on an </w:t>
      </w:r>
      <w:r w:rsidRPr="0078668E">
        <w:rPr>
          <w:b/>
          <w:i w:val="0"/>
        </w:rPr>
        <w:t>individual</w:t>
      </w:r>
      <w:r w:rsidRPr="001732B4">
        <w:rPr>
          <w:b/>
          <w:i w:val="0"/>
        </w:rPr>
        <w:t xml:space="preserve"> basis - quarterly reporting </w:t>
      </w:r>
    </w:p>
    <w:p w14:paraId="52AEA4DB" w14:textId="77777777" w:rsidR="0014552F" w:rsidRPr="00086C86" w:rsidRDefault="0014552F" w:rsidP="0047317A">
      <w:pPr>
        <w:pStyle w:val="NumPar1"/>
        <w:numPr>
          <w:ilvl w:val="0"/>
          <w:numId w:val="14"/>
        </w:numPr>
      </w:pPr>
      <w:r w:rsidRPr="0014552F">
        <w:rPr>
          <w:lang w:val="en-US"/>
        </w:rPr>
        <w:t>In order to report information on own funds and on own funds requirements in accordance with Article 430(1), point (a), of Regulation (EU) No 575/2013 on an individual basis, institutions shall submit information referred to in this Article with a quarterly frequency</w:t>
      </w:r>
      <w:r w:rsidRPr="00086C86">
        <w:t>.</w:t>
      </w:r>
    </w:p>
    <w:p w14:paraId="10F736EF" w14:textId="77777777" w:rsidR="0014552F" w:rsidRPr="00086C86" w:rsidRDefault="0014552F" w:rsidP="0014552F">
      <w:pPr>
        <w:pStyle w:val="NumPar1"/>
      </w:pPr>
      <w:r>
        <w:rPr>
          <w:lang w:val="en-US"/>
        </w:rPr>
        <w:t>Institutions shall submit i</w:t>
      </w:r>
      <w:r w:rsidRPr="000A39B9">
        <w:rPr>
          <w:lang w:val="en-US"/>
        </w:rPr>
        <w:t xml:space="preserve">nformation </w:t>
      </w:r>
      <w:r>
        <w:rPr>
          <w:lang w:val="en-US"/>
        </w:rPr>
        <w:t>on</w:t>
      </w:r>
      <w:r w:rsidRPr="000A39B9">
        <w:rPr>
          <w:lang w:val="en-US"/>
        </w:rPr>
        <w:t xml:space="preserve"> own funds and own funds requirements as specified in Annex I</w:t>
      </w:r>
      <w:r>
        <w:rPr>
          <w:lang w:val="en-US"/>
        </w:rPr>
        <w:t>,</w:t>
      </w:r>
      <w:r w:rsidRPr="000A39B9">
        <w:rPr>
          <w:lang w:val="en-US"/>
        </w:rPr>
        <w:t xml:space="preserve"> templates 1 to 5, in accordance with the instructions in Annex II</w:t>
      </w:r>
      <w:r>
        <w:rPr>
          <w:lang w:val="en-US"/>
        </w:rPr>
        <w:t>,</w:t>
      </w:r>
      <w:r w:rsidRPr="000A39B9">
        <w:rPr>
          <w:lang w:val="en-US"/>
        </w:rPr>
        <w:t xml:space="preserve"> Part II</w:t>
      </w:r>
      <w:r>
        <w:rPr>
          <w:lang w:val="en-US"/>
        </w:rPr>
        <w:t>,</w:t>
      </w:r>
      <w:r w:rsidRPr="000A39B9">
        <w:rPr>
          <w:lang w:val="en-US"/>
        </w:rPr>
        <w:t xml:space="preserve"> point 1</w:t>
      </w:r>
      <w:r w:rsidRPr="00086C86">
        <w:t>.</w:t>
      </w:r>
    </w:p>
    <w:p w14:paraId="77032C56" w14:textId="77777777" w:rsidR="0014552F" w:rsidRPr="00086C86" w:rsidRDefault="0014552F" w:rsidP="0014552F">
      <w:pPr>
        <w:pStyle w:val="NumPar1"/>
      </w:pPr>
      <w:r w:rsidRPr="00F974D4">
        <w:rPr>
          <w:lang w:val="en-US"/>
        </w:rPr>
        <w:t xml:space="preserve">Institutions shall submit </w:t>
      </w:r>
      <w:r>
        <w:rPr>
          <w:lang w:val="en-US"/>
        </w:rPr>
        <w:t>i</w:t>
      </w:r>
      <w:r w:rsidRPr="000A39B9">
        <w:rPr>
          <w:lang w:val="en-US"/>
        </w:rPr>
        <w:t>nformation on credit risk and counterparty credit risk exposures treated under the standardised approach as specified in Annex I</w:t>
      </w:r>
      <w:r>
        <w:rPr>
          <w:lang w:val="en-US"/>
        </w:rPr>
        <w:t>,</w:t>
      </w:r>
      <w:r w:rsidRPr="000A39B9">
        <w:rPr>
          <w:lang w:val="en-US"/>
        </w:rPr>
        <w:t xml:space="preserve"> template 7, in accordance with the instructions in Annex II</w:t>
      </w:r>
      <w:r>
        <w:rPr>
          <w:lang w:val="en-US"/>
        </w:rPr>
        <w:t>,</w:t>
      </w:r>
      <w:r w:rsidRPr="000A39B9">
        <w:rPr>
          <w:lang w:val="en-US"/>
        </w:rPr>
        <w:t xml:space="preserve"> Part II</w:t>
      </w:r>
      <w:r>
        <w:rPr>
          <w:lang w:val="en-US"/>
        </w:rPr>
        <w:t>,</w:t>
      </w:r>
      <w:r w:rsidRPr="000A39B9">
        <w:rPr>
          <w:lang w:val="en-US"/>
        </w:rPr>
        <w:t xml:space="preserve"> point 3.2</w:t>
      </w:r>
      <w:r w:rsidRPr="00086C86">
        <w:t>.</w:t>
      </w:r>
    </w:p>
    <w:p w14:paraId="4FC8E450" w14:textId="77777777" w:rsidR="0014552F" w:rsidRPr="007A5AA1" w:rsidRDefault="0014552F" w:rsidP="0014552F">
      <w:pPr>
        <w:pStyle w:val="NumPar1"/>
      </w:pPr>
      <w:r>
        <w:rPr>
          <w:lang w:val="en-US"/>
        </w:rPr>
        <w:t>Institutions shall submit i</w:t>
      </w:r>
      <w:r w:rsidRPr="000A39B9">
        <w:rPr>
          <w:lang w:val="en-US"/>
        </w:rPr>
        <w:t>nformation on credit risk and counterparty credit risk exposures treated under the internal ratings-based approach as specified in Annex I</w:t>
      </w:r>
      <w:r>
        <w:rPr>
          <w:lang w:val="en-US"/>
        </w:rPr>
        <w:t>,</w:t>
      </w:r>
      <w:r w:rsidRPr="000A39B9">
        <w:rPr>
          <w:lang w:val="en-US"/>
        </w:rPr>
        <w:t xml:space="preserve"> </w:t>
      </w:r>
      <w:r w:rsidRPr="000A39B9">
        <w:rPr>
          <w:lang w:val="en-US"/>
        </w:rPr>
        <w:lastRenderedPageBreak/>
        <w:t xml:space="preserve">templates 8.1 and 8.2, in accordance with the </w:t>
      </w:r>
      <w:r w:rsidRPr="00BA5C91">
        <w:rPr>
          <w:lang w:val="en-US"/>
        </w:rPr>
        <w:t>instructions in Annex II,</w:t>
      </w:r>
      <w:r w:rsidRPr="00C069A3">
        <w:rPr>
          <w:lang w:val="en-US"/>
        </w:rPr>
        <w:t xml:space="preserve"> Part II, </w:t>
      </w:r>
      <w:r w:rsidRPr="00AF010E">
        <w:rPr>
          <w:lang w:val="en-US"/>
        </w:rPr>
        <w:t>point 3.3</w:t>
      </w:r>
      <w:r w:rsidRPr="007A5AA1">
        <w:t>.</w:t>
      </w:r>
    </w:p>
    <w:p w14:paraId="68EBC1AD" w14:textId="77777777" w:rsidR="0014552F" w:rsidRPr="00116353" w:rsidRDefault="0014552F" w:rsidP="0014552F">
      <w:pPr>
        <w:pStyle w:val="NumPar1"/>
      </w:pPr>
      <w:r w:rsidRPr="000175A8">
        <w:rPr>
          <w:lang w:val="en-US"/>
        </w:rPr>
        <w:t xml:space="preserve">Institutions shall submit information on the geographical distribution of exposures by country, as well as aggregated exposures </w:t>
      </w:r>
      <w:r w:rsidRPr="00BA5C91">
        <w:rPr>
          <w:lang w:val="en-US"/>
        </w:rPr>
        <w:t xml:space="preserve">at a total level, as specified in </w:t>
      </w:r>
      <w:r w:rsidRPr="000175A8">
        <w:rPr>
          <w:lang w:val="en-US"/>
        </w:rPr>
        <w:t xml:space="preserve">Annex I, </w:t>
      </w:r>
      <w:r w:rsidRPr="00BA5C91">
        <w:rPr>
          <w:lang w:val="en-US"/>
        </w:rPr>
        <w:t xml:space="preserve">template 9, in accordance with the instructions in Annex II, Part II, point 3.4. </w:t>
      </w:r>
    </w:p>
    <w:p w14:paraId="37720A47" w14:textId="380C1EA6" w:rsidR="0014552F" w:rsidRPr="006B3AF7" w:rsidRDefault="0014552F" w:rsidP="006B3AF7">
      <w:pPr>
        <w:pStyle w:val="Text1"/>
      </w:pPr>
      <w:r w:rsidRPr="00BA5C91">
        <w:rPr>
          <w:lang w:val="en-US"/>
        </w:rPr>
        <w:t>Institutions shall submit i</w:t>
      </w:r>
      <w:r w:rsidRPr="00C069A3">
        <w:rPr>
          <w:lang w:val="en-US"/>
        </w:rPr>
        <w:t xml:space="preserve">nformation specified in templates 9.1 and 9.2, and in particular information on the geographical distribution of exposures by country, </w:t>
      </w:r>
      <w:r w:rsidRPr="000175A8">
        <w:rPr>
          <w:lang w:val="en-US"/>
        </w:rPr>
        <w:t>where non-</w:t>
      </w:r>
      <w:r w:rsidRPr="00BA5C91">
        <w:rPr>
          <w:lang w:val="en-US"/>
        </w:rPr>
        <w:t xml:space="preserve">domestic original exposures in all non-domestic countries in all exposure classes, as reported in accordance with Annex I, template 4, row 0850, are equal to or higher than 10 % of total domestic and non-domestic original exposures as reported in accordance with Annex I, template 4, row 0860. Exposures </w:t>
      </w:r>
      <w:r w:rsidRPr="00982A07">
        <w:rPr>
          <w:lang w:val="en-US"/>
        </w:rPr>
        <w:t xml:space="preserve">shall be deemed to be domestic where they are exposures to counterparties located in the Member State where the institution is established. </w:t>
      </w:r>
    </w:p>
    <w:p w14:paraId="2D010602" w14:textId="678AF76C" w:rsidR="0014552F" w:rsidRPr="00116353" w:rsidRDefault="0014552F" w:rsidP="006B3AF7">
      <w:pPr>
        <w:pStyle w:val="Text1"/>
      </w:pPr>
      <w:r w:rsidRPr="00116353">
        <w:rPr>
          <w:lang w:val="en-US"/>
        </w:rPr>
        <w:t>The entry and exit criteria set out in Article 4 shall apply</w:t>
      </w:r>
      <w:r w:rsidRPr="00116353">
        <w:t>.</w:t>
      </w:r>
    </w:p>
    <w:p w14:paraId="1B5047C1" w14:textId="77777777" w:rsidR="0014552F" w:rsidRDefault="0014552F" w:rsidP="0014552F">
      <w:pPr>
        <w:pStyle w:val="NumPar1"/>
      </w:pPr>
      <w:r w:rsidRPr="00BA5C91">
        <w:rPr>
          <w:lang w:val="en-US"/>
        </w:rPr>
        <w:t>Institutions shall submit i</w:t>
      </w:r>
      <w:r w:rsidRPr="00C069A3">
        <w:rPr>
          <w:lang w:val="en-US"/>
        </w:rPr>
        <w:t>nformation on counterparty</w:t>
      </w:r>
      <w:r w:rsidRPr="000A39B9">
        <w:rPr>
          <w:lang w:val="en-US"/>
        </w:rPr>
        <w:t xml:space="preserve"> credit risk as specified in Annex I</w:t>
      </w:r>
      <w:r>
        <w:rPr>
          <w:lang w:val="en-US"/>
        </w:rPr>
        <w:t>,</w:t>
      </w:r>
      <w:r w:rsidRPr="000A39B9">
        <w:rPr>
          <w:lang w:val="en-US"/>
        </w:rPr>
        <w:t xml:space="preserve"> templates 34.01 to 34.05 and 34.08 to 34.10, in accordance with the instructions in Annex II</w:t>
      </w:r>
      <w:r>
        <w:rPr>
          <w:lang w:val="en-US"/>
        </w:rPr>
        <w:t>,</w:t>
      </w:r>
      <w:r w:rsidRPr="000A39B9">
        <w:rPr>
          <w:lang w:val="en-US"/>
        </w:rPr>
        <w:t xml:space="preserve"> Part II</w:t>
      </w:r>
      <w:r>
        <w:rPr>
          <w:lang w:val="en-US"/>
        </w:rPr>
        <w:t>,</w:t>
      </w:r>
      <w:r w:rsidRPr="000A39B9">
        <w:rPr>
          <w:lang w:val="en-US"/>
        </w:rPr>
        <w:t xml:space="preserve"> point 3.9</w:t>
      </w:r>
      <w:r w:rsidRPr="00086C86">
        <w:t>.</w:t>
      </w:r>
    </w:p>
    <w:p w14:paraId="71DD8676" w14:textId="77777777" w:rsidR="0014552F" w:rsidRPr="00E463A1" w:rsidRDefault="0014552F" w:rsidP="0014552F">
      <w:pPr>
        <w:pStyle w:val="NumPar1"/>
      </w:pPr>
      <w:r w:rsidRPr="00156EA2">
        <w:rPr>
          <w:lang w:val="en-US"/>
        </w:rPr>
        <w:t xml:space="preserve">Institutions </w:t>
      </w:r>
      <w:r w:rsidRPr="000A39B9">
        <w:rPr>
          <w:lang w:val="en-US"/>
        </w:rPr>
        <w:t xml:space="preserve">applying the standardised approach or the internal model method for the calculation of counterparty credit risk exposures </w:t>
      </w:r>
      <w:r>
        <w:rPr>
          <w:lang w:val="en-US"/>
        </w:rPr>
        <w:t>in accordance with</w:t>
      </w:r>
      <w:r w:rsidRPr="000A39B9">
        <w:rPr>
          <w:lang w:val="en-US"/>
        </w:rPr>
        <w:t xml:space="preserve"> Part Three</w:t>
      </w:r>
      <w:r>
        <w:rPr>
          <w:lang w:val="en-US"/>
        </w:rPr>
        <w:t>,</w:t>
      </w:r>
      <w:r w:rsidRPr="000A39B9">
        <w:rPr>
          <w:lang w:val="en-US"/>
        </w:rPr>
        <w:t xml:space="preserve"> Title II</w:t>
      </w:r>
      <w:r>
        <w:rPr>
          <w:lang w:val="en-US"/>
        </w:rPr>
        <w:t>,</w:t>
      </w:r>
      <w:r w:rsidRPr="000A39B9">
        <w:rPr>
          <w:lang w:val="en-US"/>
        </w:rPr>
        <w:t xml:space="preserve"> Chapter 6</w:t>
      </w:r>
      <w:r>
        <w:rPr>
          <w:lang w:val="en-US"/>
        </w:rPr>
        <w:t xml:space="preserve">, </w:t>
      </w:r>
      <w:r w:rsidRPr="000A39B9">
        <w:rPr>
          <w:lang w:val="en-US"/>
        </w:rPr>
        <w:t>Sections 3 and 6</w:t>
      </w:r>
      <w:r>
        <w:rPr>
          <w:lang w:val="en-US"/>
        </w:rPr>
        <w:t>,</w:t>
      </w:r>
      <w:r w:rsidRPr="000A39B9">
        <w:rPr>
          <w:lang w:val="en-US"/>
        </w:rPr>
        <w:t xml:space="preserve"> of Regulation (EU) No 575/2013</w:t>
      </w:r>
      <w:r>
        <w:rPr>
          <w:lang w:val="en-US"/>
        </w:rPr>
        <w:t xml:space="preserve"> </w:t>
      </w:r>
      <w:r w:rsidRPr="00156EA2">
        <w:rPr>
          <w:lang w:val="en-US"/>
        </w:rPr>
        <w:t xml:space="preserve">shall submit </w:t>
      </w:r>
      <w:r>
        <w:rPr>
          <w:lang w:val="en-US"/>
        </w:rPr>
        <w:t>i</w:t>
      </w:r>
      <w:r w:rsidRPr="000A39B9">
        <w:rPr>
          <w:lang w:val="en-US"/>
        </w:rPr>
        <w:t xml:space="preserve">nformation on counterparty credit risk </w:t>
      </w:r>
      <w:r>
        <w:rPr>
          <w:lang w:val="en-US"/>
        </w:rPr>
        <w:t xml:space="preserve">as specified </w:t>
      </w:r>
      <w:r w:rsidRPr="000A39B9">
        <w:rPr>
          <w:lang w:val="en-US"/>
        </w:rPr>
        <w:t>in Annex I</w:t>
      </w:r>
      <w:r>
        <w:rPr>
          <w:lang w:val="en-US"/>
        </w:rPr>
        <w:t>,</w:t>
      </w:r>
      <w:r w:rsidRPr="000A39B9">
        <w:rPr>
          <w:lang w:val="en-US"/>
        </w:rPr>
        <w:t xml:space="preserve"> template 34.06</w:t>
      </w:r>
      <w:r>
        <w:rPr>
          <w:lang w:val="en-US"/>
        </w:rPr>
        <w:t>,</w:t>
      </w:r>
      <w:r w:rsidRPr="000A39B9">
        <w:rPr>
          <w:lang w:val="en-US"/>
        </w:rPr>
        <w:t xml:space="preserve"> in accordance with the instructions in Annex II</w:t>
      </w:r>
      <w:r>
        <w:rPr>
          <w:lang w:val="en-US"/>
        </w:rPr>
        <w:t>,</w:t>
      </w:r>
      <w:r w:rsidRPr="000A39B9">
        <w:rPr>
          <w:lang w:val="en-US"/>
        </w:rPr>
        <w:t xml:space="preserve"> Part II</w:t>
      </w:r>
      <w:r>
        <w:rPr>
          <w:lang w:val="en-US"/>
        </w:rPr>
        <w:t>,</w:t>
      </w:r>
      <w:r w:rsidRPr="000A39B9">
        <w:rPr>
          <w:lang w:val="en-US"/>
        </w:rPr>
        <w:t xml:space="preserve"> point 3.9.7</w:t>
      </w:r>
      <w:r w:rsidRPr="00E463A1">
        <w:t>.</w:t>
      </w:r>
    </w:p>
    <w:p w14:paraId="5A7C446B" w14:textId="77777777" w:rsidR="0014552F" w:rsidRPr="00086C86" w:rsidRDefault="0014552F" w:rsidP="0014552F">
      <w:pPr>
        <w:pStyle w:val="NumPar1"/>
      </w:pPr>
      <w:r w:rsidRPr="00156EA2">
        <w:rPr>
          <w:lang w:val="en-US"/>
        </w:rPr>
        <w:t xml:space="preserve">Institutions shall submit </w:t>
      </w:r>
      <w:r>
        <w:rPr>
          <w:lang w:val="en-US"/>
        </w:rPr>
        <w:t>i</w:t>
      </w:r>
      <w:r w:rsidRPr="000A39B9">
        <w:rPr>
          <w:lang w:val="en-US"/>
        </w:rPr>
        <w:t>nformation on equity exposures treated under the internal ratings-based approach as specified in Annex I</w:t>
      </w:r>
      <w:r>
        <w:rPr>
          <w:lang w:val="en-US"/>
        </w:rPr>
        <w:t>,</w:t>
      </w:r>
      <w:r w:rsidRPr="000A39B9">
        <w:rPr>
          <w:lang w:val="en-US"/>
        </w:rPr>
        <w:t xml:space="preserve"> template 10, in accordance with the instructions </w:t>
      </w:r>
      <w:r>
        <w:rPr>
          <w:lang w:val="en-US"/>
        </w:rPr>
        <w:t xml:space="preserve">in </w:t>
      </w:r>
      <w:r w:rsidRPr="000A39B9">
        <w:rPr>
          <w:lang w:val="en-US"/>
        </w:rPr>
        <w:t>Annex II</w:t>
      </w:r>
      <w:r>
        <w:rPr>
          <w:lang w:val="en-US"/>
        </w:rPr>
        <w:t>,</w:t>
      </w:r>
      <w:r w:rsidRPr="000A39B9">
        <w:rPr>
          <w:lang w:val="en-US"/>
        </w:rPr>
        <w:t xml:space="preserve"> Part II</w:t>
      </w:r>
      <w:r>
        <w:rPr>
          <w:lang w:val="en-US"/>
        </w:rPr>
        <w:t>,</w:t>
      </w:r>
      <w:r w:rsidRPr="000A39B9">
        <w:rPr>
          <w:lang w:val="en-US"/>
        </w:rPr>
        <w:t xml:space="preserve"> point 3.5</w:t>
      </w:r>
      <w:r>
        <w:rPr>
          <w:lang w:val="en-US"/>
        </w:rPr>
        <w:t>.</w:t>
      </w:r>
    </w:p>
    <w:p w14:paraId="6C5997E8" w14:textId="77777777" w:rsidR="0014552F" w:rsidRPr="00086C86" w:rsidRDefault="0014552F" w:rsidP="0014552F">
      <w:pPr>
        <w:pStyle w:val="NumPar1"/>
      </w:pPr>
      <w:r w:rsidRPr="00156EA2">
        <w:rPr>
          <w:lang w:val="en-US"/>
        </w:rPr>
        <w:t xml:space="preserve">Institutions shall submit </w:t>
      </w:r>
      <w:r>
        <w:rPr>
          <w:lang w:val="en-US"/>
        </w:rPr>
        <w:t>i</w:t>
      </w:r>
      <w:r w:rsidRPr="000A39B9">
        <w:rPr>
          <w:lang w:val="en-US"/>
        </w:rPr>
        <w:t>nformation on settlement risk as specified in Annex I</w:t>
      </w:r>
      <w:r>
        <w:rPr>
          <w:lang w:val="en-US"/>
        </w:rPr>
        <w:t xml:space="preserve">, </w:t>
      </w:r>
      <w:r w:rsidRPr="000A39B9">
        <w:rPr>
          <w:lang w:val="en-US"/>
        </w:rPr>
        <w:t>template 11, in accordance with the instructions in Annex II</w:t>
      </w:r>
      <w:r>
        <w:rPr>
          <w:lang w:val="en-US"/>
        </w:rPr>
        <w:t>,</w:t>
      </w:r>
      <w:r w:rsidRPr="000A39B9">
        <w:rPr>
          <w:lang w:val="en-US"/>
        </w:rPr>
        <w:t xml:space="preserve"> Part II</w:t>
      </w:r>
      <w:r>
        <w:rPr>
          <w:lang w:val="en-US"/>
        </w:rPr>
        <w:t>,</w:t>
      </w:r>
      <w:r w:rsidRPr="000A39B9">
        <w:rPr>
          <w:lang w:val="en-US"/>
        </w:rPr>
        <w:t xml:space="preserve"> point 3.6</w:t>
      </w:r>
      <w:r w:rsidRPr="00086C86">
        <w:t>.</w:t>
      </w:r>
    </w:p>
    <w:p w14:paraId="442593B8" w14:textId="77777777" w:rsidR="0014552F" w:rsidRPr="00086C86" w:rsidRDefault="0014552F" w:rsidP="0014552F">
      <w:pPr>
        <w:pStyle w:val="NumPar1"/>
      </w:pPr>
      <w:r w:rsidRPr="00156EA2">
        <w:rPr>
          <w:lang w:val="en-US"/>
        </w:rPr>
        <w:t xml:space="preserve">Institutions shall submit </w:t>
      </w:r>
      <w:r>
        <w:rPr>
          <w:lang w:val="en-US"/>
        </w:rPr>
        <w:t>i</w:t>
      </w:r>
      <w:r w:rsidRPr="000A39B9">
        <w:rPr>
          <w:lang w:val="en-US"/>
        </w:rPr>
        <w:t>nformation on securitisation exposures as specified in Annex I</w:t>
      </w:r>
      <w:r>
        <w:rPr>
          <w:lang w:val="en-US"/>
        </w:rPr>
        <w:t xml:space="preserve">, </w:t>
      </w:r>
      <w:r w:rsidRPr="000A39B9">
        <w:rPr>
          <w:lang w:val="en-US"/>
        </w:rPr>
        <w:t>template 13.01, in accordance with the instructions in Annex II</w:t>
      </w:r>
      <w:r>
        <w:rPr>
          <w:lang w:val="en-US"/>
        </w:rPr>
        <w:t>,</w:t>
      </w:r>
      <w:r w:rsidRPr="000A39B9">
        <w:rPr>
          <w:lang w:val="en-US"/>
        </w:rPr>
        <w:t xml:space="preserve"> Part II</w:t>
      </w:r>
      <w:r>
        <w:rPr>
          <w:lang w:val="en-US"/>
        </w:rPr>
        <w:t>,</w:t>
      </w:r>
      <w:r w:rsidRPr="000A39B9">
        <w:rPr>
          <w:lang w:val="en-US"/>
        </w:rPr>
        <w:t xml:space="preserve"> point 3.7</w:t>
      </w:r>
      <w:r w:rsidRPr="00086C86">
        <w:t>.</w:t>
      </w:r>
    </w:p>
    <w:p w14:paraId="70A0DE2C" w14:textId="77777777" w:rsidR="0014552F" w:rsidRPr="00086C86" w:rsidRDefault="0014552F" w:rsidP="0014552F">
      <w:pPr>
        <w:pStyle w:val="NumPar1"/>
      </w:pPr>
      <w:r w:rsidRPr="00156EA2">
        <w:rPr>
          <w:lang w:val="en-US"/>
        </w:rPr>
        <w:t xml:space="preserve">Institutions shall submit </w:t>
      </w:r>
      <w:r>
        <w:rPr>
          <w:lang w:val="en-US"/>
        </w:rPr>
        <w:t>i</w:t>
      </w:r>
      <w:r w:rsidRPr="000A39B9">
        <w:rPr>
          <w:lang w:val="en-US"/>
        </w:rPr>
        <w:t>nformation on own funds requirements and losses relating to operational risk as specified in Annex I</w:t>
      </w:r>
      <w:r>
        <w:rPr>
          <w:lang w:val="en-US"/>
        </w:rPr>
        <w:t>,</w:t>
      </w:r>
      <w:r w:rsidRPr="000A39B9">
        <w:rPr>
          <w:lang w:val="en-US"/>
        </w:rPr>
        <w:t xml:space="preserve"> template 16, in accordance with the instructions in Annex II</w:t>
      </w:r>
      <w:r>
        <w:rPr>
          <w:lang w:val="en-US"/>
        </w:rPr>
        <w:t>,</w:t>
      </w:r>
      <w:r w:rsidRPr="000A39B9">
        <w:rPr>
          <w:lang w:val="en-US"/>
        </w:rPr>
        <w:t xml:space="preserve"> Part II</w:t>
      </w:r>
      <w:r>
        <w:rPr>
          <w:lang w:val="en-US"/>
        </w:rPr>
        <w:t>,</w:t>
      </w:r>
      <w:r w:rsidRPr="000A39B9">
        <w:rPr>
          <w:lang w:val="en-US"/>
        </w:rPr>
        <w:t xml:space="preserve"> point 4.1</w:t>
      </w:r>
      <w:r>
        <w:rPr>
          <w:lang w:val="en-US"/>
        </w:rPr>
        <w:t>.</w:t>
      </w:r>
    </w:p>
    <w:p w14:paraId="66782023" w14:textId="77777777" w:rsidR="0014552F" w:rsidRPr="00086C86" w:rsidRDefault="0014552F" w:rsidP="0014552F">
      <w:pPr>
        <w:pStyle w:val="NumPar1"/>
      </w:pPr>
      <w:r w:rsidRPr="00156EA2">
        <w:rPr>
          <w:lang w:val="en-US"/>
        </w:rPr>
        <w:t xml:space="preserve">Institutions shall submit </w:t>
      </w:r>
      <w:r>
        <w:rPr>
          <w:lang w:val="en-US"/>
        </w:rPr>
        <w:t>i</w:t>
      </w:r>
      <w:r w:rsidRPr="000A39B9">
        <w:rPr>
          <w:lang w:val="en-US"/>
        </w:rPr>
        <w:t>nformation on own funds requirements relating to market risk as specified in Annex I</w:t>
      </w:r>
      <w:r>
        <w:rPr>
          <w:lang w:val="en-US"/>
        </w:rPr>
        <w:t>,</w:t>
      </w:r>
      <w:r w:rsidRPr="000A39B9">
        <w:rPr>
          <w:lang w:val="en-US"/>
        </w:rPr>
        <w:t xml:space="preserve"> templates 18 to 24, in accordance with the instructions in Annex II</w:t>
      </w:r>
      <w:r>
        <w:rPr>
          <w:lang w:val="en-US"/>
        </w:rPr>
        <w:t>,</w:t>
      </w:r>
      <w:r w:rsidRPr="000A39B9">
        <w:rPr>
          <w:lang w:val="en-US"/>
        </w:rPr>
        <w:t xml:space="preserve"> Part II</w:t>
      </w:r>
      <w:r>
        <w:rPr>
          <w:lang w:val="en-US"/>
        </w:rPr>
        <w:t>,</w:t>
      </w:r>
      <w:r w:rsidRPr="000A39B9">
        <w:rPr>
          <w:lang w:val="en-US"/>
        </w:rPr>
        <w:t xml:space="preserve"> points 5.1 to 5.7</w:t>
      </w:r>
      <w:r w:rsidRPr="00086C86">
        <w:t>.</w:t>
      </w:r>
    </w:p>
    <w:p w14:paraId="2975DD1F" w14:textId="77777777" w:rsidR="0014552F" w:rsidRPr="00086C86" w:rsidRDefault="0014552F" w:rsidP="0014552F">
      <w:pPr>
        <w:pStyle w:val="NumPar1"/>
      </w:pPr>
      <w:r w:rsidRPr="00156EA2">
        <w:rPr>
          <w:lang w:val="en-US"/>
        </w:rPr>
        <w:t xml:space="preserve">Institutions shall submit </w:t>
      </w:r>
      <w:r>
        <w:rPr>
          <w:lang w:val="en-US"/>
        </w:rPr>
        <w:t>i</w:t>
      </w:r>
      <w:r w:rsidRPr="000A39B9">
        <w:rPr>
          <w:lang w:val="en-US"/>
        </w:rPr>
        <w:t>nformation on own funds requirements relating to credit valuation adjustment risk as specified in Annex I</w:t>
      </w:r>
      <w:r>
        <w:rPr>
          <w:lang w:val="en-US"/>
        </w:rPr>
        <w:t>,</w:t>
      </w:r>
      <w:r w:rsidRPr="000A39B9">
        <w:rPr>
          <w:lang w:val="en-US"/>
        </w:rPr>
        <w:t xml:space="preserve"> template 25, in accordance with the instructions in Annex II</w:t>
      </w:r>
      <w:r>
        <w:rPr>
          <w:lang w:val="en-US"/>
        </w:rPr>
        <w:t>,</w:t>
      </w:r>
      <w:r w:rsidRPr="000A39B9">
        <w:rPr>
          <w:lang w:val="en-US"/>
        </w:rPr>
        <w:t xml:space="preserve"> Part II</w:t>
      </w:r>
      <w:r>
        <w:rPr>
          <w:lang w:val="en-US"/>
        </w:rPr>
        <w:t>,</w:t>
      </w:r>
      <w:r w:rsidRPr="000A39B9">
        <w:rPr>
          <w:lang w:val="en-US"/>
        </w:rPr>
        <w:t xml:space="preserve"> point 5.8</w:t>
      </w:r>
      <w:r>
        <w:rPr>
          <w:lang w:val="en-US"/>
        </w:rPr>
        <w:t>.</w:t>
      </w:r>
    </w:p>
    <w:p w14:paraId="29B0B226" w14:textId="5F3CD6D2" w:rsidR="0014552F" w:rsidRDefault="0014552F" w:rsidP="0014552F">
      <w:pPr>
        <w:pStyle w:val="NumPar1"/>
      </w:pPr>
      <w:r w:rsidRPr="00156EA2">
        <w:rPr>
          <w:lang w:val="en-US"/>
        </w:rPr>
        <w:t xml:space="preserve">Institutions shall submit </w:t>
      </w:r>
      <w:r>
        <w:rPr>
          <w:lang w:val="en-US"/>
        </w:rPr>
        <w:t>i</w:t>
      </w:r>
      <w:r w:rsidRPr="000A39B9">
        <w:rPr>
          <w:lang w:val="en-US"/>
        </w:rPr>
        <w:t>nformation on prudent valuation as specified in Annex I</w:t>
      </w:r>
      <w:r>
        <w:rPr>
          <w:lang w:val="en-US"/>
        </w:rPr>
        <w:t>,</w:t>
      </w:r>
      <w:r w:rsidRPr="000A39B9">
        <w:rPr>
          <w:lang w:val="en-US"/>
        </w:rPr>
        <w:t xml:space="preserve"> template 32</w:t>
      </w:r>
      <w:r>
        <w:rPr>
          <w:lang w:val="en-US"/>
        </w:rPr>
        <w:t xml:space="preserve">, </w:t>
      </w:r>
      <w:r w:rsidRPr="000A39B9">
        <w:rPr>
          <w:lang w:val="en-US"/>
        </w:rPr>
        <w:t>in accordance with the instructions in Annex I</w:t>
      </w:r>
      <w:r w:rsidR="00F642FD">
        <w:rPr>
          <w:lang w:val="en-US"/>
        </w:rPr>
        <w:t>I</w:t>
      </w:r>
      <w:r>
        <w:rPr>
          <w:lang w:val="en-US"/>
        </w:rPr>
        <w:t xml:space="preserve">, </w:t>
      </w:r>
      <w:r w:rsidRPr="000A39B9">
        <w:rPr>
          <w:lang w:val="en-US"/>
        </w:rPr>
        <w:t>Part II</w:t>
      </w:r>
      <w:r>
        <w:rPr>
          <w:lang w:val="en-US"/>
        </w:rPr>
        <w:t>,</w:t>
      </w:r>
      <w:r w:rsidRPr="000A39B9">
        <w:rPr>
          <w:lang w:val="en-US"/>
        </w:rPr>
        <w:t xml:space="preserve"> point 6, as follows</w:t>
      </w:r>
      <w:r w:rsidRPr="00086C86">
        <w:t>:</w:t>
      </w:r>
    </w:p>
    <w:p w14:paraId="7AAF2502" w14:textId="77777777" w:rsidR="0014552F" w:rsidRPr="00725875" w:rsidRDefault="0014552F" w:rsidP="0014552F">
      <w:pPr>
        <w:pStyle w:val="Point1"/>
      </w:pPr>
      <w:r>
        <w:t>(a)</w:t>
      </w:r>
      <w:r>
        <w:tab/>
      </w:r>
      <w:r w:rsidRPr="000A39B9">
        <w:rPr>
          <w:lang w:val="en-US"/>
        </w:rPr>
        <w:t>all institutions shall submit the information specified in Annex I</w:t>
      </w:r>
      <w:r>
        <w:rPr>
          <w:lang w:val="en-US"/>
        </w:rPr>
        <w:t>,</w:t>
      </w:r>
      <w:r w:rsidRPr="000A39B9">
        <w:rPr>
          <w:lang w:val="en-US"/>
        </w:rPr>
        <w:t xml:space="preserve"> template 32.1</w:t>
      </w:r>
      <w:r>
        <w:rPr>
          <w:lang w:val="en-US"/>
        </w:rPr>
        <w:t xml:space="preserve">, </w:t>
      </w:r>
      <w:r w:rsidRPr="000A39B9">
        <w:rPr>
          <w:lang w:val="en-US"/>
        </w:rPr>
        <w:t>in accordance with the instructions in Annex II</w:t>
      </w:r>
      <w:r>
        <w:rPr>
          <w:lang w:val="en-US"/>
        </w:rPr>
        <w:t>,</w:t>
      </w:r>
      <w:r w:rsidRPr="000A39B9">
        <w:rPr>
          <w:lang w:val="en-US"/>
        </w:rPr>
        <w:t xml:space="preserve"> Part II</w:t>
      </w:r>
      <w:r>
        <w:rPr>
          <w:lang w:val="en-US"/>
        </w:rPr>
        <w:t>,</w:t>
      </w:r>
      <w:r w:rsidRPr="000A39B9">
        <w:rPr>
          <w:lang w:val="en-US"/>
        </w:rPr>
        <w:t xml:space="preserve"> point 6</w:t>
      </w:r>
      <w:r w:rsidRPr="00725875">
        <w:t>;</w:t>
      </w:r>
    </w:p>
    <w:p w14:paraId="2C2BA953" w14:textId="77777777" w:rsidR="0014552F" w:rsidRPr="00725875" w:rsidRDefault="0014552F" w:rsidP="0014552F">
      <w:pPr>
        <w:pStyle w:val="Point1"/>
      </w:pPr>
      <w:r>
        <w:lastRenderedPageBreak/>
        <w:t>(b)</w:t>
      </w:r>
      <w:r>
        <w:tab/>
      </w:r>
      <w:r w:rsidRPr="000A39B9">
        <w:rPr>
          <w:lang w:val="en-US"/>
        </w:rPr>
        <w:t xml:space="preserve">institutions that apply the core approach </w:t>
      </w:r>
      <w:r>
        <w:rPr>
          <w:lang w:val="en-US"/>
        </w:rPr>
        <w:t>in accordance with</w:t>
      </w:r>
      <w:r w:rsidRPr="000A39B9">
        <w:rPr>
          <w:lang w:val="en-US"/>
        </w:rPr>
        <w:t xml:space="preserve"> Commission Delegated Regulation (EU) 2016/101</w:t>
      </w:r>
      <w:r w:rsidRPr="005A2A1F">
        <w:rPr>
          <w:rStyle w:val="FootnoteReference"/>
        </w:rPr>
        <w:footnoteReference w:id="9"/>
      </w:r>
      <w:r w:rsidRPr="000A39B9">
        <w:rPr>
          <w:lang w:val="en-US"/>
        </w:rPr>
        <w:t xml:space="preserve"> shall</w:t>
      </w:r>
      <w:r>
        <w:rPr>
          <w:lang w:val="en-US"/>
        </w:rPr>
        <w:t>,</w:t>
      </w:r>
      <w:r w:rsidRPr="000A39B9">
        <w:rPr>
          <w:lang w:val="en-US"/>
        </w:rPr>
        <w:t xml:space="preserve"> </w:t>
      </w:r>
      <w:r>
        <w:rPr>
          <w:lang w:val="en-US"/>
        </w:rPr>
        <w:t>in addition to information referred in point (a) of this paragraph,</w:t>
      </w:r>
      <w:r w:rsidRPr="000A39B9">
        <w:rPr>
          <w:lang w:val="en-US"/>
        </w:rPr>
        <w:t xml:space="preserve"> report the information specified in Annex I</w:t>
      </w:r>
      <w:r>
        <w:rPr>
          <w:lang w:val="en-US"/>
        </w:rPr>
        <w:t>,</w:t>
      </w:r>
      <w:r w:rsidRPr="000A39B9">
        <w:rPr>
          <w:lang w:val="en-US"/>
        </w:rPr>
        <w:t xml:space="preserve"> template 32.2</w:t>
      </w:r>
      <w:r>
        <w:rPr>
          <w:lang w:val="en-US"/>
        </w:rPr>
        <w:t xml:space="preserve">, </w:t>
      </w:r>
      <w:r w:rsidRPr="000A39B9">
        <w:rPr>
          <w:lang w:val="en-US"/>
        </w:rPr>
        <w:t>in accordance with the instructions in Annex II</w:t>
      </w:r>
      <w:r>
        <w:rPr>
          <w:lang w:val="en-US"/>
        </w:rPr>
        <w:t>,</w:t>
      </w:r>
      <w:r w:rsidRPr="000A39B9">
        <w:rPr>
          <w:lang w:val="en-US"/>
        </w:rPr>
        <w:t xml:space="preserve"> Part II</w:t>
      </w:r>
      <w:r>
        <w:rPr>
          <w:lang w:val="en-US"/>
        </w:rPr>
        <w:t>,</w:t>
      </w:r>
      <w:r w:rsidRPr="000A39B9">
        <w:rPr>
          <w:lang w:val="en-US"/>
        </w:rPr>
        <w:t xml:space="preserve"> point 6</w:t>
      </w:r>
      <w:r w:rsidRPr="00725875">
        <w:t>;</w:t>
      </w:r>
    </w:p>
    <w:p w14:paraId="220BA8B3" w14:textId="77777777" w:rsidR="0014552F" w:rsidRPr="00725875" w:rsidRDefault="0014552F" w:rsidP="0014552F">
      <w:pPr>
        <w:pStyle w:val="Point1"/>
      </w:pPr>
      <w:r>
        <w:t>(c)</w:t>
      </w:r>
      <w:r>
        <w:tab/>
      </w:r>
      <w:r w:rsidRPr="000A39B9">
        <w:rPr>
          <w:lang w:val="en-US"/>
        </w:rPr>
        <w:t xml:space="preserve">institutions that apply the core approach </w:t>
      </w:r>
      <w:r>
        <w:rPr>
          <w:lang w:val="en-US"/>
        </w:rPr>
        <w:t>in accordance with</w:t>
      </w:r>
      <w:r w:rsidRPr="000A39B9">
        <w:rPr>
          <w:lang w:val="en-US"/>
        </w:rPr>
        <w:t xml:space="preserve"> Commission Delegated Regulation (EU) 2016/101 and which exceed the threshold referred to in Article 4(1) of that Regulation shall</w:t>
      </w:r>
      <w:r>
        <w:rPr>
          <w:lang w:val="en-US"/>
        </w:rPr>
        <w:t>,</w:t>
      </w:r>
      <w:r w:rsidRPr="000A39B9">
        <w:rPr>
          <w:lang w:val="en-US"/>
        </w:rPr>
        <w:t xml:space="preserve"> </w:t>
      </w:r>
      <w:r w:rsidRPr="007D678C">
        <w:rPr>
          <w:lang w:val="en-US"/>
        </w:rPr>
        <w:t>in addition to information referred in point</w:t>
      </w:r>
      <w:r>
        <w:rPr>
          <w:lang w:val="en-US"/>
        </w:rPr>
        <w:t>s</w:t>
      </w:r>
      <w:r w:rsidRPr="007D678C">
        <w:rPr>
          <w:lang w:val="en-US"/>
        </w:rPr>
        <w:t xml:space="preserve"> (a) </w:t>
      </w:r>
      <w:r>
        <w:rPr>
          <w:lang w:val="en-US"/>
        </w:rPr>
        <w:t xml:space="preserve">and (b) </w:t>
      </w:r>
      <w:r w:rsidRPr="007D678C">
        <w:rPr>
          <w:lang w:val="en-US"/>
        </w:rPr>
        <w:t>of this paragraph,</w:t>
      </w:r>
      <w:r w:rsidRPr="000A39B9">
        <w:rPr>
          <w:lang w:val="en-US"/>
        </w:rPr>
        <w:t xml:space="preserve"> report the information specified in Annex I</w:t>
      </w:r>
      <w:r>
        <w:rPr>
          <w:lang w:val="en-US"/>
        </w:rPr>
        <w:t>,</w:t>
      </w:r>
      <w:r w:rsidRPr="000A39B9">
        <w:rPr>
          <w:lang w:val="en-US"/>
        </w:rPr>
        <w:t xml:space="preserve"> templates 32.3 and 32.4</w:t>
      </w:r>
      <w:r>
        <w:rPr>
          <w:lang w:val="en-US"/>
        </w:rPr>
        <w:t xml:space="preserve">, </w:t>
      </w:r>
      <w:r w:rsidRPr="000A39B9">
        <w:rPr>
          <w:lang w:val="en-US"/>
        </w:rPr>
        <w:t>in accordance with the instructions in Annex II</w:t>
      </w:r>
      <w:r>
        <w:rPr>
          <w:lang w:val="en-US"/>
        </w:rPr>
        <w:t>,</w:t>
      </w:r>
      <w:r w:rsidRPr="000A39B9">
        <w:rPr>
          <w:lang w:val="en-US"/>
        </w:rPr>
        <w:t xml:space="preserve"> Part II</w:t>
      </w:r>
      <w:r>
        <w:rPr>
          <w:lang w:val="en-US"/>
        </w:rPr>
        <w:t>,</w:t>
      </w:r>
      <w:r w:rsidRPr="000A39B9">
        <w:rPr>
          <w:lang w:val="en-US"/>
        </w:rPr>
        <w:t xml:space="preserve"> point 6.</w:t>
      </w:r>
    </w:p>
    <w:p w14:paraId="3453A2CF" w14:textId="77777777" w:rsidR="0014552F" w:rsidRPr="00725875" w:rsidRDefault="0014552F" w:rsidP="0014552F">
      <w:pPr>
        <w:pStyle w:val="Text1"/>
      </w:pPr>
      <w:r w:rsidRPr="00982A07">
        <w:t>For the purposes of this paragraph, the entry and exit criteria set out in Article 4 shall not apply.</w:t>
      </w:r>
    </w:p>
    <w:p w14:paraId="3329EA93" w14:textId="0799B97E" w:rsidR="00725875" w:rsidRPr="00725875" w:rsidRDefault="0014552F" w:rsidP="0014552F">
      <w:pPr>
        <w:pStyle w:val="NumPar1"/>
      </w:pPr>
      <w:r w:rsidRPr="007D678C">
        <w:rPr>
          <w:lang w:val="en-US"/>
        </w:rPr>
        <w:t xml:space="preserve">Institutions shall submit </w:t>
      </w:r>
      <w:r>
        <w:rPr>
          <w:lang w:val="en-US"/>
        </w:rPr>
        <w:t>i</w:t>
      </w:r>
      <w:r w:rsidRPr="000A39B9">
        <w:rPr>
          <w:lang w:val="en-US"/>
        </w:rPr>
        <w:t xml:space="preserve">nformation on the prudential backstop for </w:t>
      </w:r>
      <w:r w:rsidRPr="007D678C">
        <w:rPr>
          <w:lang w:val="en-US"/>
        </w:rPr>
        <w:t xml:space="preserve">non-performing exposures </w:t>
      </w:r>
      <w:r>
        <w:rPr>
          <w:lang w:val="en-US"/>
        </w:rPr>
        <w:t>(</w:t>
      </w:r>
      <w:r w:rsidRPr="000A39B9">
        <w:rPr>
          <w:lang w:val="en-US"/>
        </w:rPr>
        <w:t>NPEs</w:t>
      </w:r>
      <w:r>
        <w:rPr>
          <w:lang w:val="en-US"/>
        </w:rPr>
        <w:t>)</w:t>
      </w:r>
      <w:r w:rsidRPr="000A39B9">
        <w:rPr>
          <w:lang w:val="en-US"/>
        </w:rPr>
        <w:t xml:space="preserve"> as specified in Annex I</w:t>
      </w:r>
      <w:r>
        <w:rPr>
          <w:lang w:val="en-US"/>
        </w:rPr>
        <w:t>,</w:t>
      </w:r>
      <w:r w:rsidRPr="000A39B9">
        <w:rPr>
          <w:lang w:val="en-US"/>
        </w:rPr>
        <w:t xml:space="preserve"> templates 35.01</w:t>
      </w:r>
      <w:r>
        <w:rPr>
          <w:lang w:val="en-US"/>
        </w:rPr>
        <w:t>, 35.02 and</w:t>
      </w:r>
      <w:r w:rsidRPr="000A39B9">
        <w:rPr>
          <w:lang w:val="en-US"/>
        </w:rPr>
        <w:t xml:space="preserve"> 35.03, in accordance with the instructions in Annex II</w:t>
      </w:r>
      <w:r>
        <w:rPr>
          <w:lang w:val="en-US"/>
        </w:rPr>
        <w:t>,</w:t>
      </w:r>
      <w:r w:rsidRPr="000A39B9">
        <w:rPr>
          <w:lang w:val="en-US"/>
        </w:rPr>
        <w:t xml:space="preserve"> Part II</w:t>
      </w:r>
      <w:r>
        <w:rPr>
          <w:lang w:val="en-US"/>
        </w:rPr>
        <w:t>,</w:t>
      </w:r>
      <w:r w:rsidRPr="000A39B9">
        <w:rPr>
          <w:lang w:val="en-US"/>
        </w:rPr>
        <w:t xml:space="preserve"> point 8</w:t>
      </w:r>
      <w:r w:rsidRPr="00725875">
        <w:t>.</w:t>
      </w:r>
    </w:p>
    <w:p w14:paraId="2263BAFA" w14:textId="77777777" w:rsidR="004A4E65" w:rsidRPr="00A10245" w:rsidRDefault="004A4E65" w:rsidP="004A4E65">
      <w:pPr>
        <w:pStyle w:val="Titrearticle"/>
      </w:pPr>
      <w:r w:rsidRPr="00A10245">
        <w:t xml:space="preserve">Article </w:t>
      </w:r>
      <w:r w:rsidRPr="00A10245">
        <w:fldChar w:fldCharType="begin"/>
      </w:r>
      <w:r w:rsidRPr="00A10245">
        <w:instrText xml:space="preserve"> seq article </w:instrText>
      </w:r>
      <w:r w:rsidRPr="00A10245">
        <w:fldChar w:fldCharType="separate"/>
      </w:r>
      <w:r w:rsidRPr="00A10245">
        <w:t>6</w:t>
      </w:r>
      <w:r w:rsidRPr="00A10245">
        <w:fldChar w:fldCharType="end"/>
      </w:r>
      <w:r w:rsidRPr="00A10245">
        <w:t xml:space="preserve"> </w:t>
      </w:r>
    </w:p>
    <w:p w14:paraId="6708BD45" w14:textId="77777777" w:rsidR="004A4E65" w:rsidRDefault="004A4E65" w:rsidP="004A4E65">
      <w:pPr>
        <w:pStyle w:val="Titrearticle"/>
        <w:rPr>
          <w:b/>
          <w:i w:val="0"/>
        </w:rPr>
      </w:pPr>
      <w:r w:rsidRPr="00116353">
        <w:rPr>
          <w:b/>
          <w:i w:val="0"/>
        </w:rPr>
        <w:t>Reporting on own funds and own funds requirements on an</w:t>
      </w:r>
      <w:r w:rsidRPr="0078668E">
        <w:rPr>
          <w:b/>
          <w:i w:val="0"/>
        </w:rPr>
        <w:t xml:space="preserve"> individual</w:t>
      </w:r>
      <w:r w:rsidRPr="00A10245">
        <w:rPr>
          <w:b/>
          <w:i w:val="0"/>
        </w:rPr>
        <w:t xml:space="preserve"> basis - semi-annual reporting </w:t>
      </w:r>
    </w:p>
    <w:p w14:paraId="5551DF99" w14:textId="77777777" w:rsidR="004A4E65" w:rsidRPr="00A10245" w:rsidRDefault="004A4E65" w:rsidP="005F180D">
      <w:pPr>
        <w:pStyle w:val="NumPar1"/>
        <w:numPr>
          <w:ilvl w:val="0"/>
          <w:numId w:val="15"/>
        </w:numPr>
      </w:pPr>
      <w:r w:rsidRPr="00FD3527">
        <w:rPr>
          <w:lang w:val="en-US"/>
        </w:rPr>
        <w:t>In order to report information on own funds and on own funds requirements in accordance with Article 430(1), point (a), of Regulation (EU) No 575/2013 on an individual basis, institutions shall submit information referred to in this Article with a semi-annual frequency</w:t>
      </w:r>
      <w:r w:rsidRPr="00A10245">
        <w:t xml:space="preserve">. </w:t>
      </w:r>
    </w:p>
    <w:p w14:paraId="40FBE120" w14:textId="77777777" w:rsidR="004A4E65" w:rsidRPr="00A10245" w:rsidRDefault="004A4E65" w:rsidP="004A4E65">
      <w:pPr>
        <w:pStyle w:val="NumPar1"/>
      </w:pPr>
      <w:r w:rsidRPr="00D66835">
        <w:rPr>
          <w:lang w:val="en-US"/>
        </w:rPr>
        <w:t>Institutions shall submit information on all securitisation exposures as specified in Annex I, templates 14 and 14.01, in accordance with the instructions in Annex II, Part II, point 3.8</w:t>
      </w:r>
      <w:r w:rsidRPr="00A10245">
        <w:t>;</w:t>
      </w:r>
      <w:r>
        <w:t xml:space="preserve"> except </w:t>
      </w:r>
      <w:r w:rsidRPr="00D66835">
        <w:rPr>
          <w:lang w:val="en-US"/>
        </w:rPr>
        <w:t>where they are part of a group in the same country in which they are subject to own funds requirements</w:t>
      </w:r>
      <w:r>
        <w:t>.</w:t>
      </w:r>
    </w:p>
    <w:p w14:paraId="19F85BB9" w14:textId="77777777" w:rsidR="004A4E65" w:rsidRPr="00A10245" w:rsidRDefault="004A4E65" w:rsidP="004A4E65">
      <w:pPr>
        <w:pStyle w:val="NumPar1"/>
      </w:pPr>
      <w:r w:rsidRPr="007D678C">
        <w:rPr>
          <w:lang w:val="en-US"/>
        </w:rPr>
        <w:t xml:space="preserve">Institutions shall submit </w:t>
      </w:r>
      <w:r>
        <w:rPr>
          <w:lang w:val="en-US"/>
        </w:rPr>
        <w:t>i</w:t>
      </w:r>
      <w:r w:rsidRPr="000A39B9">
        <w:rPr>
          <w:lang w:val="en-US"/>
        </w:rPr>
        <w:t>nformation on sovereign exposures</w:t>
      </w:r>
      <w:r>
        <w:rPr>
          <w:lang w:val="en-US"/>
        </w:rPr>
        <w:t xml:space="preserve"> as follows</w:t>
      </w:r>
      <w:r w:rsidRPr="00A10245">
        <w:t>:</w:t>
      </w:r>
    </w:p>
    <w:p w14:paraId="67E38C8A" w14:textId="77777777" w:rsidR="004A4E65" w:rsidRPr="00496B08" w:rsidRDefault="004A4E65" w:rsidP="004A4E65">
      <w:pPr>
        <w:pStyle w:val="Point1"/>
      </w:pPr>
      <w:r>
        <w:t>(a)</w:t>
      </w:r>
      <w:r>
        <w:tab/>
      </w:r>
      <w:r w:rsidRPr="000A39B9">
        <w:rPr>
          <w:lang w:val="en-US"/>
        </w:rPr>
        <w:t>where the aggregate carrying amount of financial assets from the counterparty sector ‘General governments’ is equal to or higher than 1</w:t>
      </w:r>
      <w:r>
        <w:rPr>
          <w:lang w:val="en-US"/>
        </w:rPr>
        <w:t> </w:t>
      </w:r>
      <w:r w:rsidRPr="000A39B9">
        <w:rPr>
          <w:lang w:val="en-US"/>
        </w:rPr>
        <w:t>% of the sum of total carrying amount for ‘Debt securities’ and ‘Loans and advances’</w:t>
      </w:r>
      <w:r>
        <w:rPr>
          <w:lang w:val="en-US"/>
        </w:rPr>
        <w:t xml:space="preserve"> i</w:t>
      </w:r>
      <w:r w:rsidRPr="000A39B9">
        <w:rPr>
          <w:lang w:val="en-US"/>
        </w:rPr>
        <w:t xml:space="preserve">nstitutions shall submit the information </w:t>
      </w:r>
      <w:r>
        <w:rPr>
          <w:lang w:val="en-US"/>
        </w:rPr>
        <w:t xml:space="preserve">as </w:t>
      </w:r>
      <w:r w:rsidRPr="000A39B9">
        <w:rPr>
          <w:lang w:val="en-US"/>
        </w:rPr>
        <w:t xml:space="preserve">specified in </w:t>
      </w:r>
      <w:r>
        <w:rPr>
          <w:lang w:val="en-US"/>
        </w:rPr>
        <w:t xml:space="preserve">Annex </w:t>
      </w:r>
      <w:r w:rsidRPr="00A60596">
        <w:rPr>
          <w:lang w:val="en-US"/>
        </w:rPr>
        <w:t>I,</w:t>
      </w:r>
      <w:r>
        <w:rPr>
          <w:lang w:val="en-US"/>
        </w:rPr>
        <w:t xml:space="preserve"> </w:t>
      </w:r>
      <w:r w:rsidRPr="000A39B9">
        <w:rPr>
          <w:lang w:val="en-US"/>
        </w:rPr>
        <w:t>template 33</w:t>
      </w:r>
      <w:r>
        <w:rPr>
          <w:lang w:val="en-US"/>
        </w:rPr>
        <w:t>,</w:t>
      </w:r>
      <w:r w:rsidRPr="000A39B9">
        <w:rPr>
          <w:lang w:val="en-US"/>
        </w:rPr>
        <w:t xml:space="preserve"> in accordance with the instructions in Annex II</w:t>
      </w:r>
      <w:r>
        <w:rPr>
          <w:lang w:val="en-US"/>
        </w:rPr>
        <w:t>,</w:t>
      </w:r>
      <w:r w:rsidRPr="000A39B9">
        <w:rPr>
          <w:lang w:val="en-US"/>
        </w:rPr>
        <w:t xml:space="preserve"> Part II</w:t>
      </w:r>
      <w:r>
        <w:rPr>
          <w:lang w:val="en-US"/>
        </w:rPr>
        <w:t>,</w:t>
      </w:r>
      <w:r w:rsidRPr="000A39B9">
        <w:rPr>
          <w:lang w:val="en-US"/>
        </w:rPr>
        <w:t xml:space="preserve"> point 7</w:t>
      </w:r>
      <w:r>
        <w:rPr>
          <w:lang w:val="en-US"/>
        </w:rPr>
        <w:t xml:space="preserve">, and shall </w:t>
      </w:r>
      <w:r w:rsidRPr="000A39B9">
        <w:rPr>
          <w:lang w:val="en-US"/>
        </w:rPr>
        <w:t>follow the instructions</w:t>
      </w:r>
      <w:r>
        <w:rPr>
          <w:lang w:val="en-US"/>
        </w:rPr>
        <w:t xml:space="preserve"> in Annex V </w:t>
      </w:r>
      <w:r w:rsidRPr="0078668E">
        <w:rPr>
          <w:lang w:val="en-US"/>
        </w:rPr>
        <w:t>regarding</w:t>
      </w:r>
      <w:r>
        <w:rPr>
          <w:lang w:val="en-US"/>
        </w:rPr>
        <w:t xml:space="preserve"> template 4</w:t>
      </w:r>
      <w:r w:rsidRPr="000A39B9">
        <w:rPr>
          <w:lang w:val="en-US"/>
        </w:rPr>
        <w:t xml:space="preserve"> in Annex III or Annex IV, as applicable</w:t>
      </w:r>
      <w:r>
        <w:rPr>
          <w:lang w:val="en-US"/>
        </w:rPr>
        <w:t>, t</w:t>
      </w:r>
      <w:r w:rsidRPr="000A39B9">
        <w:rPr>
          <w:lang w:val="en-US"/>
        </w:rPr>
        <w:t>o calculate the relevant values</w:t>
      </w:r>
      <w:r w:rsidRPr="00496B08">
        <w:t>;</w:t>
      </w:r>
    </w:p>
    <w:p w14:paraId="1F937D26" w14:textId="77777777" w:rsidR="004A4E65" w:rsidRPr="00496B08" w:rsidRDefault="004A4E65" w:rsidP="004A4E65">
      <w:pPr>
        <w:pStyle w:val="Point1"/>
      </w:pPr>
      <w:r>
        <w:t>(b)</w:t>
      </w:r>
      <w:r>
        <w:tab/>
      </w:r>
      <w:r w:rsidRPr="000A39B9">
        <w:rPr>
          <w:lang w:val="en-US"/>
        </w:rPr>
        <w:t xml:space="preserve">where the value reported for domestic exposures of non-derivative financial assets as defined in row 0010, column 0010 </w:t>
      </w:r>
      <w:r>
        <w:rPr>
          <w:lang w:val="en-US"/>
        </w:rPr>
        <w:t>in Annex I,</w:t>
      </w:r>
      <w:r w:rsidRPr="000A39B9">
        <w:rPr>
          <w:lang w:val="en-US"/>
        </w:rPr>
        <w:t xml:space="preserve"> template 33 is less than 90</w:t>
      </w:r>
      <w:r>
        <w:rPr>
          <w:lang w:val="en-US"/>
        </w:rPr>
        <w:t> </w:t>
      </w:r>
      <w:r w:rsidRPr="000A39B9">
        <w:rPr>
          <w:lang w:val="en-US"/>
        </w:rPr>
        <w:t xml:space="preserve">% of the value reported for domestic and non-domestic exposures for the same data point </w:t>
      </w:r>
      <w:r>
        <w:rPr>
          <w:lang w:val="en-US"/>
        </w:rPr>
        <w:t>i</w:t>
      </w:r>
      <w:r w:rsidRPr="000A39B9">
        <w:rPr>
          <w:lang w:val="en-US"/>
        </w:rPr>
        <w:t xml:space="preserve">nstitutions that meet the </w:t>
      </w:r>
      <w:r>
        <w:rPr>
          <w:lang w:val="en-US"/>
        </w:rPr>
        <w:t>condition</w:t>
      </w:r>
      <w:r w:rsidRPr="000A39B9">
        <w:rPr>
          <w:lang w:val="en-US"/>
        </w:rPr>
        <w:t xml:space="preserve"> referred to in point (a) shall submit the information </w:t>
      </w:r>
      <w:r>
        <w:rPr>
          <w:lang w:val="en-US"/>
        </w:rPr>
        <w:t xml:space="preserve">as </w:t>
      </w:r>
      <w:r w:rsidRPr="007A5AA1">
        <w:rPr>
          <w:lang w:val="en-US"/>
        </w:rPr>
        <w:t xml:space="preserve">specified </w:t>
      </w:r>
      <w:r w:rsidRPr="00116353">
        <w:rPr>
          <w:lang w:val="en-US"/>
        </w:rPr>
        <w:t>in Annex I, template 33</w:t>
      </w:r>
      <w:r w:rsidRPr="007A5AA1">
        <w:rPr>
          <w:lang w:val="en-US"/>
        </w:rPr>
        <w:t>, in</w:t>
      </w:r>
      <w:r w:rsidRPr="000A39B9">
        <w:rPr>
          <w:lang w:val="en-US"/>
        </w:rPr>
        <w:t xml:space="preserve"> accordance with the instructions in Annex II</w:t>
      </w:r>
      <w:r>
        <w:rPr>
          <w:lang w:val="en-US"/>
        </w:rPr>
        <w:t>,</w:t>
      </w:r>
      <w:r w:rsidRPr="000A39B9">
        <w:rPr>
          <w:lang w:val="en-US"/>
        </w:rPr>
        <w:t xml:space="preserve"> Part II</w:t>
      </w:r>
      <w:r>
        <w:rPr>
          <w:lang w:val="en-US"/>
        </w:rPr>
        <w:t>,</w:t>
      </w:r>
      <w:r w:rsidRPr="000A39B9">
        <w:rPr>
          <w:lang w:val="en-US"/>
        </w:rPr>
        <w:t xml:space="preserve"> point 7</w:t>
      </w:r>
      <w:r>
        <w:rPr>
          <w:lang w:val="en-US"/>
        </w:rPr>
        <w:t xml:space="preserve">, </w:t>
      </w:r>
      <w:r w:rsidRPr="000A39B9">
        <w:rPr>
          <w:lang w:val="en-US"/>
        </w:rPr>
        <w:t>with a full country breakdown</w:t>
      </w:r>
      <w:r w:rsidRPr="00496B08">
        <w:t>;</w:t>
      </w:r>
    </w:p>
    <w:p w14:paraId="7834EDAC" w14:textId="77777777" w:rsidR="004A4E65" w:rsidRDefault="004A4E65" w:rsidP="004A4E65">
      <w:pPr>
        <w:pStyle w:val="Point1"/>
        <w:rPr>
          <w:lang w:val="en-US"/>
        </w:rPr>
      </w:pPr>
      <w:r>
        <w:lastRenderedPageBreak/>
        <w:t>(c)</w:t>
      </w:r>
      <w:r>
        <w:tab/>
      </w:r>
      <w:r>
        <w:rPr>
          <w:lang w:val="en-US"/>
        </w:rPr>
        <w:t>i</w:t>
      </w:r>
      <w:r w:rsidRPr="000A39B9">
        <w:rPr>
          <w:lang w:val="en-US"/>
        </w:rPr>
        <w:t xml:space="preserve">nstitutions that meet the </w:t>
      </w:r>
      <w:r>
        <w:rPr>
          <w:lang w:val="en-US"/>
        </w:rPr>
        <w:t>conditions</w:t>
      </w:r>
      <w:r w:rsidRPr="000A39B9">
        <w:rPr>
          <w:lang w:val="en-US"/>
        </w:rPr>
        <w:t xml:space="preserve"> referred to in point (a) </w:t>
      </w:r>
      <w:r>
        <w:rPr>
          <w:lang w:val="en-US"/>
        </w:rPr>
        <w:t>and</w:t>
      </w:r>
      <w:r w:rsidRPr="000A39B9">
        <w:rPr>
          <w:lang w:val="en-US"/>
        </w:rPr>
        <w:t xml:space="preserve"> do not meet the </w:t>
      </w:r>
      <w:r>
        <w:rPr>
          <w:lang w:val="en-US"/>
        </w:rPr>
        <w:t>condition</w:t>
      </w:r>
      <w:r w:rsidRPr="000A39B9">
        <w:rPr>
          <w:lang w:val="en-US"/>
        </w:rPr>
        <w:t xml:space="preserve"> referred in point (b) shall submit the information </w:t>
      </w:r>
      <w:r w:rsidRPr="007A5AA1">
        <w:rPr>
          <w:lang w:val="en-US"/>
        </w:rPr>
        <w:t xml:space="preserve">specified </w:t>
      </w:r>
      <w:r w:rsidRPr="00116353">
        <w:rPr>
          <w:lang w:val="en-US"/>
        </w:rPr>
        <w:t>in template 33,</w:t>
      </w:r>
      <w:r w:rsidRPr="000A39B9">
        <w:rPr>
          <w:lang w:val="en-US"/>
        </w:rPr>
        <w:t xml:space="preserve"> in accordance with the instructions in Annex II</w:t>
      </w:r>
      <w:r>
        <w:rPr>
          <w:lang w:val="en-US"/>
        </w:rPr>
        <w:t>,</w:t>
      </w:r>
      <w:r w:rsidRPr="000A39B9">
        <w:rPr>
          <w:lang w:val="en-US"/>
        </w:rPr>
        <w:t xml:space="preserve"> Part II</w:t>
      </w:r>
      <w:r>
        <w:rPr>
          <w:lang w:val="en-US"/>
        </w:rPr>
        <w:t>,</w:t>
      </w:r>
      <w:r w:rsidRPr="000A39B9">
        <w:rPr>
          <w:lang w:val="en-US"/>
        </w:rPr>
        <w:t xml:space="preserve"> point 7</w:t>
      </w:r>
      <w:r>
        <w:rPr>
          <w:lang w:val="en-US"/>
        </w:rPr>
        <w:t>,</w:t>
      </w:r>
      <w:r w:rsidRPr="000A39B9">
        <w:rPr>
          <w:lang w:val="en-US"/>
        </w:rPr>
        <w:t xml:space="preserve"> with exposures aggregated at</w:t>
      </w:r>
      <w:r>
        <w:rPr>
          <w:lang w:val="en-US"/>
        </w:rPr>
        <w:t>:</w:t>
      </w:r>
    </w:p>
    <w:p w14:paraId="218EDBA5" w14:textId="77777777" w:rsidR="004A4E65" w:rsidRDefault="004A4E65" w:rsidP="004A4E65">
      <w:pPr>
        <w:pStyle w:val="Point1"/>
        <w:ind w:firstLine="0"/>
        <w:rPr>
          <w:lang w:val="en-US"/>
        </w:rPr>
      </w:pPr>
      <w:r w:rsidRPr="000A39B9">
        <w:rPr>
          <w:lang w:val="en-US"/>
        </w:rPr>
        <w:t>(i) total level</w:t>
      </w:r>
      <w:r>
        <w:rPr>
          <w:lang w:val="en-US"/>
        </w:rPr>
        <w:t>;</w:t>
      </w:r>
      <w:r w:rsidRPr="000A39B9">
        <w:rPr>
          <w:lang w:val="en-US"/>
        </w:rPr>
        <w:t xml:space="preserve"> and</w:t>
      </w:r>
    </w:p>
    <w:p w14:paraId="008CFBAC" w14:textId="77777777" w:rsidR="004A4E65" w:rsidRPr="00116353" w:rsidRDefault="004A4E65" w:rsidP="004A4E65">
      <w:pPr>
        <w:pStyle w:val="Point1"/>
        <w:ind w:firstLine="0"/>
        <w:rPr>
          <w:lang w:val="en-US"/>
        </w:rPr>
      </w:pPr>
      <w:r w:rsidRPr="000A39B9">
        <w:rPr>
          <w:lang w:val="en-US"/>
        </w:rPr>
        <w:t>(ii) domestic level</w:t>
      </w:r>
      <w:r w:rsidRPr="00496B08">
        <w:t>.</w:t>
      </w:r>
    </w:p>
    <w:p w14:paraId="3B9FA7D6" w14:textId="77777777" w:rsidR="004A4E65" w:rsidRPr="00086C86" w:rsidRDefault="004A4E65" w:rsidP="004A4E65">
      <w:pPr>
        <w:pStyle w:val="Text1"/>
      </w:pPr>
      <w:r>
        <w:t>The entry and exit criteria of Article 4(3) shall apply.</w:t>
      </w:r>
    </w:p>
    <w:p w14:paraId="76F698FA" w14:textId="77777777" w:rsidR="004A4E65" w:rsidRPr="00496B08" w:rsidRDefault="004A4E65" w:rsidP="004A4E65">
      <w:pPr>
        <w:pStyle w:val="NumPar1"/>
      </w:pPr>
      <w:r w:rsidRPr="000A39B9">
        <w:rPr>
          <w:lang w:val="en-US"/>
        </w:rPr>
        <w:t xml:space="preserve">Information on material losses regarding operational risk shall be reported </w:t>
      </w:r>
      <w:r>
        <w:rPr>
          <w:lang w:val="en-US"/>
        </w:rPr>
        <w:t>as follows</w:t>
      </w:r>
      <w:r w:rsidRPr="00496B08">
        <w:t>:</w:t>
      </w:r>
    </w:p>
    <w:p w14:paraId="6D57AB20" w14:textId="77777777" w:rsidR="004A4E65" w:rsidRPr="00496B08" w:rsidRDefault="004A4E65" w:rsidP="004A4E65">
      <w:pPr>
        <w:pStyle w:val="Point1"/>
      </w:pPr>
      <w:r>
        <w:t>(a)</w:t>
      </w:r>
      <w:r>
        <w:tab/>
      </w:r>
      <w:r w:rsidRPr="000A39B9">
        <w:rPr>
          <w:lang w:val="en-US"/>
        </w:rPr>
        <w:t>institutions that calculate own funds requirements relating to operational risk in accordance with Part Three</w:t>
      </w:r>
      <w:r>
        <w:rPr>
          <w:lang w:val="en-US"/>
        </w:rPr>
        <w:t>,</w:t>
      </w:r>
      <w:r w:rsidRPr="000A39B9">
        <w:rPr>
          <w:lang w:val="en-US"/>
        </w:rPr>
        <w:t xml:space="preserve"> Title III</w:t>
      </w:r>
      <w:r>
        <w:rPr>
          <w:lang w:val="en-US"/>
        </w:rPr>
        <w:t>,</w:t>
      </w:r>
      <w:r w:rsidRPr="000A39B9">
        <w:rPr>
          <w:lang w:val="en-US"/>
        </w:rPr>
        <w:t xml:space="preserve"> Chapter 4</w:t>
      </w:r>
      <w:r>
        <w:rPr>
          <w:lang w:val="en-US"/>
        </w:rPr>
        <w:t>,</w:t>
      </w:r>
      <w:r w:rsidRPr="000A39B9">
        <w:rPr>
          <w:lang w:val="en-US"/>
        </w:rPr>
        <w:t xml:space="preserve"> of Regulation (EU) No 575/2013 shall report th</w:t>
      </w:r>
      <w:r>
        <w:rPr>
          <w:lang w:val="en-US"/>
        </w:rPr>
        <w:t>at</w:t>
      </w:r>
      <w:r w:rsidRPr="000A39B9">
        <w:rPr>
          <w:lang w:val="en-US"/>
        </w:rPr>
        <w:t xml:space="preserve"> information as specified in Annex I</w:t>
      </w:r>
      <w:r>
        <w:rPr>
          <w:lang w:val="en-US"/>
        </w:rPr>
        <w:t>,</w:t>
      </w:r>
      <w:r w:rsidRPr="000A39B9">
        <w:rPr>
          <w:lang w:val="en-US"/>
        </w:rPr>
        <w:t xml:space="preserve"> template</w:t>
      </w:r>
      <w:r>
        <w:rPr>
          <w:lang w:val="en-US"/>
        </w:rPr>
        <w:t>s</w:t>
      </w:r>
      <w:r w:rsidRPr="000A39B9">
        <w:rPr>
          <w:lang w:val="en-US"/>
        </w:rPr>
        <w:t> 17.01 and 17.02, in accordance with the instructions in Annex II</w:t>
      </w:r>
      <w:r>
        <w:rPr>
          <w:lang w:val="en-US"/>
        </w:rPr>
        <w:t xml:space="preserve">, </w:t>
      </w:r>
      <w:r w:rsidRPr="000A39B9">
        <w:rPr>
          <w:lang w:val="en-US"/>
        </w:rPr>
        <w:t>Part II</w:t>
      </w:r>
      <w:r>
        <w:rPr>
          <w:lang w:val="en-US"/>
        </w:rPr>
        <w:t>,</w:t>
      </w:r>
      <w:r w:rsidRPr="000A39B9">
        <w:rPr>
          <w:lang w:val="en-US"/>
        </w:rPr>
        <w:t xml:space="preserve"> point 4.2</w:t>
      </w:r>
      <w:r w:rsidRPr="00496B08">
        <w:t>;</w:t>
      </w:r>
    </w:p>
    <w:p w14:paraId="574CD1A6" w14:textId="77777777" w:rsidR="004A4E65" w:rsidRPr="00496B08" w:rsidRDefault="004A4E65" w:rsidP="004A4E65">
      <w:pPr>
        <w:pStyle w:val="Point1"/>
      </w:pPr>
      <w:r>
        <w:t>(b)</w:t>
      </w:r>
      <w:r>
        <w:tab/>
      </w:r>
      <w:r w:rsidRPr="000A39B9">
        <w:rPr>
          <w:lang w:val="en-US"/>
        </w:rPr>
        <w:t>large institutions that calculate own funds requirements relating to operational risk in accordance with Part Three</w:t>
      </w:r>
      <w:r>
        <w:rPr>
          <w:lang w:val="en-US"/>
        </w:rPr>
        <w:t>,</w:t>
      </w:r>
      <w:r w:rsidRPr="000A39B9">
        <w:rPr>
          <w:lang w:val="en-US"/>
        </w:rPr>
        <w:t xml:space="preserve"> Title III</w:t>
      </w:r>
      <w:r>
        <w:rPr>
          <w:lang w:val="en-US"/>
        </w:rPr>
        <w:t>,</w:t>
      </w:r>
      <w:r w:rsidRPr="000A39B9">
        <w:rPr>
          <w:lang w:val="en-US"/>
        </w:rPr>
        <w:t xml:space="preserve"> Chapter 3</w:t>
      </w:r>
      <w:r>
        <w:rPr>
          <w:lang w:val="en-US"/>
        </w:rPr>
        <w:t>,</w:t>
      </w:r>
      <w:r w:rsidRPr="000A39B9">
        <w:rPr>
          <w:lang w:val="en-US"/>
        </w:rPr>
        <w:t xml:space="preserve"> of Regulation (EU) No 575/2013 shall report th</w:t>
      </w:r>
      <w:r>
        <w:rPr>
          <w:lang w:val="en-US"/>
        </w:rPr>
        <w:t>at</w:t>
      </w:r>
      <w:r w:rsidRPr="000A39B9">
        <w:rPr>
          <w:lang w:val="en-US"/>
        </w:rPr>
        <w:t xml:space="preserve"> information as specified in Annex I</w:t>
      </w:r>
      <w:r>
        <w:rPr>
          <w:lang w:val="en-US"/>
        </w:rPr>
        <w:t>,</w:t>
      </w:r>
      <w:r w:rsidRPr="000A39B9">
        <w:rPr>
          <w:lang w:val="en-US"/>
        </w:rPr>
        <w:t xml:space="preserve"> templates 17.01 and 17.02, in accordance with the instructions in Annex II</w:t>
      </w:r>
      <w:r>
        <w:rPr>
          <w:lang w:val="en-US"/>
        </w:rPr>
        <w:t>,</w:t>
      </w:r>
      <w:r w:rsidRPr="000A39B9">
        <w:rPr>
          <w:lang w:val="en-US"/>
        </w:rPr>
        <w:t xml:space="preserve"> Part II</w:t>
      </w:r>
      <w:r>
        <w:rPr>
          <w:lang w:val="en-US"/>
        </w:rPr>
        <w:t>,</w:t>
      </w:r>
      <w:r w:rsidRPr="000A39B9">
        <w:rPr>
          <w:lang w:val="en-US"/>
        </w:rPr>
        <w:t xml:space="preserve"> point  4.2</w:t>
      </w:r>
      <w:r w:rsidRPr="00496B08">
        <w:t>;</w:t>
      </w:r>
    </w:p>
    <w:p w14:paraId="3913C437" w14:textId="77777777" w:rsidR="004A4E65" w:rsidRPr="00496B08" w:rsidRDefault="004A4E65" w:rsidP="004A4E65">
      <w:pPr>
        <w:pStyle w:val="Point1"/>
      </w:pPr>
      <w:r>
        <w:t>(c)</w:t>
      </w:r>
      <w:r>
        <w:tab/>
      </w:r>
      <w:r w:rsidRPr="000A39B9">
        <w:rPr>
          <w:lang w:val="en-US"/>
        </w:rPr>
        <w:t>institutions other than large institutions that calculate own funds requirements relating to operational risk in accordance with Part Three</w:t>
      </w:r>
      <w:r>
        <w:rPr>
          <w:lang w:val="en-US"/>
        </w:rPr>
        <w:t>,</w:t>
      </w:r>
      <w:r w:rsidRPr="000A39B9">
        <w:rPr>
          <w:lang w:val="en-US"/>
        </w:rPr>
        <w:t xml:space="preserve"> Title III</w:t>
      </w:r>
      <w:r>
        <w:rPr>
          <w:lang w:val="en-US"/>
        </w:rPr>
        <w:t>,</w:t>
      </w:r>
      <w:r w:rsidRPr="000A39B9">
        <w:rPr>
          <w:lang w:val="en-US"/>
        </w:rPr>
        <w:t xml:space="preserve"> Chapter 3</w:t>
      </w:r>
      <w:r>
        <w:rPr>
          <w:lang w:val="en-US"/>
        </w:rPr>
        <w:t>,</w:t>
      </w:r>
      <w:r w:rsidRPr="000A39B9">
        <w:rPr>
          <w:lang w:val="en-US"/>
        </w:rPr>
        <w:t xml:space="preserve"> of Regulation (EU) No 575/2013 shall report</w:t>
      </w:r>
      <w:r>
        <w:rPr>
          <w:lang w:val="en-US"/>
        </w:rPr>
        <w:t>,</w:t>
      </w:r>
      <w:r w:rsidRPr="000A39B9">
        <w:rPr>
          <w:lang w:val="en-US"/>
        </w:rPr>
        <w:t xml:space="preserve"> in accordance with the instructions in Annex II</w:t>
      </w:r>
      <w:r>
        <w:rPr>
          <w:lang w:val="en-US"/>
        </w:rPr>
        <w:t>,</w:t>
      </w:r>
      <w:r w:rsidRPr="000A39B9">
        <w:rPr>
          <w:lang w:val="en-US"/>
        </w:rPr>
        <w:t xml:space="preserve"> Part II</w:t>
      </w:r>
      <w:r>
        <w:rPr>
          <w:lang w:val="en-US"/>
        </w:rPr>
        <w:t>,</w:t>
      </w:r>
      <w:r w:rsidRPr="000A39B9">
        <w:rPr>
          <w:lang w:val="en-US"/>
        </w:rPr>
        <w:t xml:space="preserve"> point 4.2</w:t>
      </w:r>
      <w:r>
        <w:rPr>
          <w:lang w:val="en-US"/>
        </w:rPr>
        <w:t>, the following information</w:t>
      </w:r>
      <w:r w:rsidRPr="00496B08">
        <w:t>:</w:t>
      </w:r>
    </w:p>
    <w:p w14:paraId="465B55EF" w14:textId="77777777" w:rsidR="004A4E65" w:rsidRPr="00086C86" w:rsidRDefault="004A4E65" w:rsidP="004A4E65">
      <w:pPr>
        <w:pStyle w:val="Point2"/>
      </w:pPr>
      <w:r>
        <w:t>(i)</w:t>
      </w:r>
      <w:r>
        <w:tab/>
      </w:r>
      <w:r>
        <w:rPr>
          <w:lang w:val="en-US"/>
        </w:rPr>
        <w:t>t</w:t>
      </w:r>
      <w:r w:rsidRPr="000A39B9">
        <w:rPr>
          <w:lang w:val="en-US"/>
        </w:rPr>
        <w:t xml:space="preserve">he information </w:t>
      </w:r>
      <w:r>
        <w:rPr>
          <w:lang w:val="en-US"/>
        </w:rPr>
        <w:t xml:space="preserve">as </w:t>
      </w:r>
      <w:r w:rsidRPr="000A39B9">
        <w:rPr>
          <w:lang w:val="en-US"/>
        </w:rPr>
        <w:t xml:space="preserve">specified </w:t>
      </w:r>
      <w:r>
        <w:rPr>
          <w:lang w:val="en-US"/>
        </w:rPr>
        <w:t>in</w:t>
      </w:r>
      <w:r w:rsidRPr="000A39B9">
        <w:rPr>
          <w:lang w:val="en-US"/>
        </w:rPr>
        <w:t xml:space="preserve"> Annex I</w:t>
      </w:r>
      <w:r>
        <w:rPr>
          <w:lang w:val="en-US"/>
        </w:rPr>
        <w:t>,</w:t>
      </w:r>
      <w:r w:rsidRPr="000A39B9">
        <w:rPr>
          <w:lang w:val="en-US"/>
        </w:rPr>
        <w:t xml:space="preserve"> template 17.01</w:t>
      </w:r>
      <w:r>
        <w:rPr>
          <w:lang w:val="en-US"/>
        </w:rPr>
        <w:t>,</w:t>
      </w:r>
      <w:r w:rsidRPr="000A39B9">
        <w:rPr>
          <w:lang w:val="en-US"/>
        </w:rPr>
        <w:t xml:space="preserve"> column 0080 for the following rows</w:t>
      </w:r>
      <w:r w:rsidRPr="00086C86">
        <w:t>:</w:t>
      </w:r>
    </w:p>
    <w:p w14:paraId="38FC9781" w14:textId="77777777" w:rsidR="004A4E65" w:rsidRPr="00086C86" w:rsidRDefault="004A4E65" w:rsidP="004A4E65">
      <w:pPr>
        <w:pStyle w:val="Point3"/>
      </w:pPr>
      <w:r>
        <w:t>-</w:t>
      </w:r>
      <w:r>
        <w:tab/>
      </w:r>
      <w:r w:rsidRPr="00086C86">
        <w:t xml:space="preserve">number of events (new events) (row </w:t>
      </w:r>
      <w:r>
        <w:t>0</w:t>
      </w:r>
      <w:r w:rsidRPr="00086C86">
        <w:t>910);</w:t>
      </w:r>
    </w:p>
    <w:p w14:paraId="4D4CF5FF" w14:textId="77777777" w:rsidR="004A4E65" w:rsidRPr="00086C86" w:rsidRDefault="004A4E65" w:rsidP="004A4E65">
      <w:pPr>
        <w:pStyle w:val="Point3"/>
      </w:pPr>
      <w:r>
        <w:t>-</w:t>
      </w:r>
      <w:r>
        <w:tab/>
      </w:r>
      <w:r w:rsidRPr="00086C86">
        <w:t xml:space="preserve">gross loss amount (new events) (row </w:t>
      </w:r>
      <w:r>
        <w:t>0</w:t>
      </w:r>
      <w:r w:rsidRPr="00086C86">
        <w:t>920);</w:t>
      </w:r>
    </w:p>
    <w:p w14:paraId="1C861214" w14:textId="77777777" w:rsidR="004A4E65" w:rsidRPr="00086C86" w:rsidRDefault="004A4E65" w:rsidP="004A4E65">
      <w:pPr>
        <w:pStyle w:val="Point3"/>
      </w:pPr>
      <w:r>
        <w:t>-</w:t>
      </w:r>
      <w:r>
        <w:tab/>
      </w:r>
      <w:r w:rsidRPr="00086C86">
        <w:t xml:space="preserve">number of events subject to loss adjustments (row </w:t>
      </w:r>
      <w:r>
        <w:t>0</w:t>
      </w:r>
      <w:r w:rsidRPr="00086C86">
        <w:t>930)</w:t>
      </w:r>
      <w:r>
        <w:t>;</w:t>
      </w:r>
    </w:p>
    <w:p w14:paraId="5E7045F5" w14:textId="77777777" w:rsidR="004A4E65" w:rsidRPr="00086C86" w:rsidRDefault="004A4E65" w:rsidP="004A4E65">
      <w:pPr>
        <w:pStyle w:val="Point3"/>
      </w:pPr>
      <w:r>
        <w:t>-</w:t>
      </w:r>
      <w:r>
        <w:tab/>
        <w:t>l</w:t>
      </w:r>
      <w:r w:rsidRPr="00086C86">
        <w:t xml:space="preserve">oss adjustments relating to previous reporting periods (row </w:t>
      </w:r>
      <w:r>
        <w:t>0</w:t>
      </w:r>
      <w:r w:rsidRPr="00086C86">
        <w:t>940</w:t>
      </w:r>
      <w:r>
        <w:t>)</w:t>
      </w:r>
    </w:p>
    <w:p w14:paraId="1438A6CB" w14:textId="77777777" w:rsidR="004A4E65" w:rsidRPr="00086C86" w:rsidRDefault="004A4E65" w:rsidP="004A4E65">
      <w:pPr>
        <w:pStyle w:val="Point3"/>
      </w:pPr>
      <w:r>
        <w:t>-</w:t>
      </w:r>
      <w:r>
        <w:tab/>
      </w:r>
      <w:r w:rsidRPr="00086C86">
        <w:t xml:space="preserve">maximum single loss (row </w:t>
      </w:r>
      <w:r>
        <w:t>0</w:t>
      </w:r>
      <w:r w:rsidRPr="00086C86">
        <w:t xml:space="preserve">950); </w:t>
      </w:r>
    </w:p>
    <w:p w14:paraId="5C63649B" w14:textId="77777777" w:rsidR="004A4E65" w:rsidRPr="00086C86" w:rsidRDefault="004A4E65" w:rsidP="004A4E65">
      <w:pPr>
        <w:pStyle w:val="Point3"/>
      </w:pPr>
      <w:r>
        <w:t>-</w:t>
      </w:r>
      <w:r>
        <w:tab/>
        <w:t>s</w:t>
      </w:r>
      <w:r w:rsidRPr="00086C86">
        <w:t xml:space="preserve">um of the five largest losses (row </w:t>
      </w:r>
      <w:r>
        <w:t>0</w:t>
      </w:r>
      <w:r w:rsidRPr="00086C86">
        <w:t>960);</w:t>
      </w:r>
    </w:p>
    <w:p w14:paraId="6C176440" w14:textId="77777777" w:rsidR="004A4E65" w:rsidRPr="00086C86" w:rsidRDefault="004A4E65" w:rsidP="004A4E65">
      <w:pPr>
        <w:pStyle w:val="Point3"/>
      </w:pPr>
      <w:r>
        <w:t>-</w:t>
      </w:r>
      <w:r>
        <w:tab/>
      </w:r>
      <w:r w:rsidRPr="00086C86">
        <w:t xml:space="preserve">total direct loss recovery (except insurance and other risk transfer mechanisms) (row </w:t>
      </w:r>
      <w:r>
        <w:t>0</w:t>
      </w:r>
      <w:r w:rsidRPr="00086C86">
        <w:t>970)</w:t>
      </w:r>
    </w:p>
    <w:p w14:paraId="586DD233" w14:textId="77777777" w:rsidR="004A4E65" w:rsidRPr="00086C86" w:rsidRDefault="004A4E65" w:rsidP="004A4E65">
      <w:pPr>
        <w:pStyle w:val="Point3"/>
      </w:pPr>
      <w:r>
        <w:t>-</w:t>
      </w:r>
      <w:r>
        <w:tab/>
      </w:r>
      <w:r w:rsidRPr="00086C86">
        <w:t xml:space="preserve">total recoveries from insurance and other risk transfer mechanisms (row </w:t>
      </w:r>
      <w:r>
        <w:t>0</w:t>
      </w:r>
      <w:r w:rsidRPr="00086C86">
        <w:t>980)</w:t>
      </w:r>
      <w:r>
        <w:t xml:space="preserve">; </w:t>
      </w:r>
    </w:p>
    <w:p w14:paraId="0825DE8D" w14:textId="77777777" w:rsidR="004A4E65" w:rsidRPr="00086C86" w:rsidRDefault="004A4E65" w:rsidP="004A4E65">
      <w:pPr>
        <w:pStyle w:val="Point2"/>
      </w:pPr>
      <w:r>
        <w:t>(ii)</w:t>
      </w:r>
      <w:r>
        <w:tab/>
        <w:t>t</w:t>
      </w:r>
      <w:r w:rsidRPr="00086C86">
        <w:t>he information as specified in Annex I</w:t>
      </w:r>
      <w:r>
        <w:t>,</w:t>
      </w:r>
      <w:r w:rsidRPr="00086C86">
        <w:t xml:space="preserve"> template 17.02.</w:t>
      </w:r>
    </w:p>
    <w:p w14:paraId="2FD7698B" w14:textId="77777777" w:rsidR="004A4E65" w:rsidRPr="00496B08" w:rsidRDefault="004A4E65" w:rsidP="004A4E65">
      <w:pPr>
        <w:pStyle w:val="Point1"/>
      </w:pPr>
      <w:r>
        <w:t>(d)</w:t>
      </w:r>
      <w:r>
        <w:tab/>
      </w:r>
      <w:r w:rsidRPr="000A39B9">
        <w:rPr>
          <w:lang w:val="en-US"/>
        </w:rPr>
        <w:t>the institutions referred to in point (c) may report the complete set of information specified in Annex I</w:t>
      </w:r>
      <w:r>
        <w:rPr>
          <w:lang w:val="en-US"/>
        </w:rPr>
        <w:t>,</w:t>
      </w:r>
      <w:r w:rsidRPr="000A39B9">
        <w:rPr>
          <w:lang w:val="en-US"/>
        </w:rPr>
        <w:t xml:space="preserve"> templates 17.01 and 17.02, in accordance with the instructions in Annex II</w:t>
      </w:r>
      <w:r>
        <w:rPr>
          <w:lang w:val="en-US"/>
        </w:rPr>
        <w:t>,</w:t>
      </w:r>
      <w:r w:rsidRPr="000A39B9">
        <w:rPr>
          <w:lang w:val="en-US"/>
        </w:rPr>
        <w:t xml:space="preserve"> Part II</w:t>
      </w:r>
      <w:r>
        <w:rPr>
          <w:lang w:val="en-US"/>
        </w:rPr>
        <w:t>,</w:t>
      </w:r>
      <w:r w:rsidRPr="000A39B9">
        <w:rPr>
          <w:lang w:val="en-US"/>
        </w:rPr>
        <w:t xml:space="preserve"> point 4.2</w:t>
      </w:r>
      <w:r w:rsidRPr="00496B08">
        <w:t>;</w:t>
      </w:r>
    </w:p>
    <w:p w14:paraId="75F8B450" w14:textId="77777777" w:rsidR="004A4E65" w:rsidRPr="00496B08" w:rsidRDefault="004A4E65" w:rsidP="004A4E65">
      <w:pPr>
        <w:pStyle w:val="Point1"/>
      </w:pPr>
      <w:r>
        <w:t>(e)</w:t>
      </w:r>
      <w:r>
        <w:tab/>
      </w:r>
      <w:r>
        <w:rPr>
          <w:lang w:val="en-US"/>
        </w:rPr>
        <w:t>l</w:t>
      </w:r>
      <w:r w:rsidRPr="000A39B9">
        <w:rPr>
          <w:lang w:val="en-US"/>
        </w:rPr>
        <w:t>arge institutions that calculate own funds requirements relating to operational risk in accordance with Part Three</w:t>
      </w:r>
      <w:r>
        <w:rPr>
          <w:lang w:val="en-US"/>
        </w:rPr>
        <w:t>,</w:t>
      </w:r>
      <w:r w:rsidRPr="000A39B9">
        <w:rPr>
          <w:lang w:val="en-US"/>
        </w:rPr>
        <w:t xml:space="preserve"> Title III</w:t>
      </w:r>
      <w:r>
        <w:rPr>
          <w:lang w:val="en-US"/>
        </w:rPr>
        <w:t>,</w:t>
      </w:r>
      <w:r w:rsidRPr="000A39B9">
        <w:rPr>
          <w:lang w:val="en-US"/>
        </w:rPr>
        <w:t xml:space="preserve"> Chapter 2</w:t>
      </w:r>
      <w:r>
        <w:rPr>
          <w:lang w:val="en-US"/>
        </w:rPr>
        <w:t>,</w:t>
      </w:r>
      <w:r w:rsidRPr="000A39B9">
        <w:rPr>
          <w:lang w:val="en-US"/>
        </w:rPr>
        <w:t xml:space="preserve"> of Regulation (EU) No 575/2013 shall report the information </w:t>
      </w:r>
      <w:r>
        <w:rPr>
          <w:lang w:val="en-US"/>
        </w:rPr>
        <w:t xml:space="preserve">as </w:t>
      </w:r>
      <w:r w:rsidRPr="000A39B9">
        <w:rPr>
          <w:lang w:val="en-US"/>
        </w:rPr>
        <w:t>specified in Annex I</w:t>
      </w:r>
      <w:r>
        <w:rPr>
          <w:lang w:val="en-US"/>
        </w:rPr>
        <w:t>,</w:t>
      </w:r>
      <w:r w:rsidRPr="000A39B9">
        <w:rPr>
          <w:lang w:val="en-US"/>
        </w:rPr>
        <w:t xml:space="preserve"> </w:t>
      </w:r>
      <w:r w:rsidRPr="000A39B9">
        <w:rPr>
          <w:lang w:val="en-US"/>
        </w:rPr>
        <w:lastRenderedPageBreak/>
        <w:t>templates 17.01 and 17.02, in accordance with the instructions in Annex II</w:t>
      </w:r>
      <w:r>
        <w:rPr>
          <w:lang w:val="en-US"/>
        </w:rPr>
        <w:t>,</w:t>
      </w:r>
      <w:r w:rsidRPr="000A39B9">
        <w:rPr>
          <w:lang w:val="en-US"/>
        </w:rPr>
        <w:t xml:space="preserve"> Part II</w:t>
      </w:r>
      <w:r>
        <w:rPr>
          <w:lang w:val="en-US"/>
        </w:rPr>
        <w:t>,</w:t>
      </w:r>
      <w:r w:rsidRPr="000A39B9">
        <w:rPr>
          <w:lang w:val="en-US"/>
        </w:rPr>
        <w:t xml:space="preserve"> point 4.2</w:t>
      </w:r>
      <w:r w:rsidRPr="00496B08">
        <w:t>;</w:t>
      </w:r>
    </w:p>
    <w:p w14:paraId="612A5174" w14:textId="77777777" w:rsidR="004A4E65" w:rsidRDefault="004A4E65" w:rsidP="004A4E65">
      <w:pPr>
        <w:pStyle w:val="Point1"/>
      </w:pPr>
      <w:r>
        <w:t>(f)</w:t>
      </w:r>
      <w:r>
        <w:tab/>
      </w:r>
      <w:r>
        <w:rPr>
          <w:lang w:val="en-US"/>
        </w:rPr>
        <w:t>i</w:t>
      </w:r>
      <w:r w:rsidRPr="000A39B9">
        <w:rPr>
          <w:lang w:val="en-US"/>
        </w:rPr>
        <w:t>nstitutions other than large institutions</w:t>
      </w:r>
      <w:r w:rsidRPr="000A39B9" w:rsidDel="006A2D91">
        <w:rPr>
          <w:lang w:val="en-US"/>
        </w:rPr>
        <w:t xml:space="preserve"> </w:t>
      </w:r>
      <w:r w:rsidRPr="000A39B9">
        <w:rPr>
          <w:lang w:val="en-US"/>
        </w:rPr>
        <w:t>that calculate own funds requirements relating to operational risk in accordance with Part Three</w:t>
      </w:r>
      <w:r>
        <w:rPr>
          <w:lang w:val="en-US"/>
        </w:rPr>
        <w:t>,</w:t>
      </w:r>
      <w:r w:rsidRPr="000A39B9">
        <w:rPr>
          <w:lang w:val="en-US"/>
        </w:rPr>
        <w:t xml:space="preserve"> Title III</w:t>
      </w:r>
      <w:r>
        <w:rPr>
          <w:lang w:val="en-US"/>
        </w:rPr>
        <w:t>,</w:t>
      </w:r>
      <w:r w:rsidRPr="000A39B9">
        <w:rPr>
          <w:lang w:val="en-US"/>
        </w:rPr>
        <w:t xml:space="preserve"> Chapter 2</w:t>
      </w:r>
      <w:r>
        <w:rPr>
          <w:lang w:val="en-US"/>
        </w:rPr>
        <w:t>,</w:t>
      </w:r>
      <w:r w:rsidRPr="000A39B9">
        <w:rPr>
          <w:lang w:val="en-US"/>
        </w:rPr>
        <w:t xml:space="preserve"> of Regulation (EU) No 575/2013 may report the information </w:t>
      </w:r>
      <w:r>
        <w:rPr>
          <w:lang w:val="en-US"/>
        </w:rPr>
        <w:t>as specified</w:t>
      </w:r>
      <w:r w:rsidRPr="000A39B9">
        <w:rPr>
          <w:lang w:val="en-US"/>
        </w:rPr>
        <w:t xml:space="preserve"> in Annex I</w:t>
      </w:r>
      <w:r>
        <w:rPr>
          <w:lang w:val="en-US"/>
        </w:rPr>
        <w:t>,</w:t>
      </w:r>
      <w:r w:rsidRPr="000A39B9">
        <w:rPr>
          <w:lang w:val="en-US"/>
        </w:rPr>
        <w:t xml:space="preserve"> templates 17.01 and 17.02, in accordance with the instructions in Annex II</w:t>
      </w:r>
      <w:r>
        <w:rPr>
          <w:lang w:val="en-US"/>
        </w:rPr>
        <w:t>,</w:t>
      </w:r>
      <w:r w:rsidRPr="000A39B9">
        <w:rPr>
          <w:lang w:val="en-US"/>
        </w:rPr>
        <w:t xml:space="preserve"> Part II</w:t>
      </w:r>
      <w:r>
        <w:rPr>
          <w:lang w:val="en-US"/>
        </w:rPr>
        <w:t>,</w:t>
      </w:r>
      <w:r w:rsidRPr="000A39B9">
        <w:rPr>
          <w:lang w:val="en-US"/>
        </w:rPr>
        <w:t xml:space="preserve"> point 4.2</w:t>
      </w:r>
      <w:r>
        <w:t>.</w:t>
      </w:r>
    </w:p>
    <w:p w14:paraId="2F83BAAA" w14:textId="77777777" w:rsidR="004A4E65" w:rsidRPr="008B4A3F" w:rsidRDefault="004A4E65" w:rsidP="004A4E65">
      <w:pPr>
        <w:pStyle w:val="Text1"/>
      </w:pPr>
      <w:r w:rsidRPr="00116353">
        <w:t>The entry and exit criteria of Article 4(3) shall apply.</w:t>
      </w:r>
    </w:p>
    <w:p w14:paraId="490166B3" w14:textId="6B9CD855" w:rsidR="00496B08" w:rsidRPr="00496B08" w:rsidRDefault="004A4E65" w:rsidP="004A4E65">
      <w:pPr>
        <w:pStyle w:val="NumPar1"/>
      </w:pPr>
      <w:r>
        <w:t>I</w:t>
      </w:r>
      <w:r w:rsidRPr="000A39B9">
        <w:rPr>
          <w:lang w:val="en-US"/>
        </w:rPr>
        <w:t xml:space="preserve">nstitutions applying the simplified standardised approach or the original exposure method for the calculation of counterparty credit risk exposures </w:t>
      </w:r>
      <w:r>
        <w:rPr>
          <w:lang w:val="en-US"/>
        </w:rPr>
        <w:t>in accordance with</w:t>
      </w:r>
      <w:r w:rsidRPr="000A39B9">
        <w:rPr>
          <w:lang w:val="en-US"/>
        </w:rPr>
        <w:t xml:space="preserve"> Part Three</w:t>
      </w:r>
      <w:r>
        <w:rPr>
          <w:lang w:val="en-US"/>
        </w:rPr>
        <w:t>,</w:t>
      </w:r>
      <w:r w:rsidRPr="000A39B9">
        <w:rPr>
          <w:lang w:val="en-US"/>
        </w:rPr>
        <w:t xml:space="preserve"> Title II</w:t>
      </w:r>
      <w:r>
        <w:rPr>
          <w:lang w:val="en-US"/>
        </w:rPr>
        <w:t>,</w:t>
      </w:r>
      <w:r w:rsidRPr="000A39B9">
        <w:rPr>
          <w:lang w:val="en-US"/>
        </w:rPr>
        <w:t xml:space="preserve"> Chapter 6</w:t>
      </w:r>
      <w:r>
        <w:rPr>
          <w:lang w:val="en-US"/>
        </w:rPr>
        <w:t>,</w:t>
      </w:r>
      <w:r w:rsidRPr="000A39B9">
        <w:rPr>
          <w:lang w:val="en-US"/>
        </w:rPr>
        <w:t xml:space="preserve"> Sections 4 and 5 Regulation (EU) No 575/2013</w:t>
      </w:r>
      <w:r>
        <w:rPr>
          <w:lang w:val="en-US"/>
        </w:rPr>
        <w:t xml:space="preserve"> shall submit the </w:t>
      </w:r>
      <w:r w:rsidRPr="000A39B9">
        <w:rPr>
          <w:lang w:val="en-US"/>
        </w:rPr>
        <w:t xml:space="preserve">information on counterparty credit risk </w:t>
      </w:r>
      <w:r>
        <w:rPr>
          <w:lang w:val="en-US"/>
        </w:rPr>
        <w:t xml:space="preserve">as specified </w:t>
      </w:r>
      <w:r w:rsidRPr="000A39B9">
        <w:rPr>
          <w:lang w:val="en-US"/>
        </w:rPr>
        <w:t>in Annex I</w:t>
      </w:r>
      <w:r>
        <w:rPr>
          <w:lang w:val="en-US"/>
        </w:rPr>
        <w:t>,</w:t>
      </w:r>
      <w:r w:rsidRPr="000A39B9">
        <w:rPr>
          <w:lang w:val="en-US"/>
        </w:rPr>
        <w:t xml:space="preserve"> template 34.06</w:t>
      </w:r>
      <w:r>
        <w:rPr>
          <w:lang w:val="en-US"/>
        </w:rPr>
        <w:t>,</w:t>
      </w:r>
      <w:r w:rsidRPr="000A39B9">
        <w:rPr>
          <w:lang w:val="en-US"/>
        </w:rPr>
        <w:t xml:space="preserve"> in accordance with the instructions in Annex II</w:t>
      </w:r>
      <w:r>
        <w:rPr>
          <w:lang w:val="en-US"/>
        </w:rPr>
        <w:t>,</w:t>
      </w:r>
      <w:r w:rsidRPr="000A39B9">
        <w:rPr>
          <w:lang w:val="en-US"/>
        </w:rPr>
        <w:t xml:space="preserve"> Part II</w:t>
      </w:r>
      <w:r>
        <w:rPr>
          <w:lang w:val="en-US"/>
        </w:rPr>
        <w:t>,</w:t>
      </w:r>
      <w:r w:rsidRPr="000A39B9">
        <w:rPr>
          <w:lang w:val="en-US"/>
        </w:rPr>
        <w:t xml:space="preserve"> point 3.9.7</w:t>
      </w:r>
      <w:r w:rsidRPr="00496B08">
        <w:t>.</w:t>
      </w:r>
    </w:p>
    <w:p w14:paraId="6414DB48" w14:textId="77777777" w:rsidR="00FE0C02" w:rsidRPr="00496B08" w:rsidRDefault="00FE0C02" w:rsidP="00FE0C02">
      <w:pPr>
        <w:pStyle w:val="Titrearticle"/>
      </w:pPr>
      <w:r w:rsidRPr="00496B08">
        <w:t xml:space="preserve">Article </w:t>
      </w:r>
      <w:r w:rsidRPr="00496B08">
        <w:fldChar w:fldCharType="begin"/>
      </w:r>
      <w:r w:rsidRPr="00496B08">
        <w:instrText xml:space="preserve"> seq article </w:instrText>
      </w:r>
      <w:r w:rsidRPr="00496B08">
        <w:fldChar w:fldCharType="separate"/>
      </w:r>
      <w:r w:rsidRPr="00496B08">
        <w:t>7</w:t>
      </w:r>
      <w:r w:rsidRPr="00496B08">
        <w:fldChar w:fldCharType="end"/>
      </w:r>
    </w:p>
    <w:p w14:paraId="0F2D57CA" w14:textId="77777777" w:rsidR="00FE0C02" w:rsidRPr="001732B4" w:rsidRDefault="00FE0C02" w:rsidP="00FE0C02">
      <w:pPr>
        <w:pStyle w:val="Titrearticle"/>
        <w:spacing w:before="120"/>
        <w:rPr>
          <w:b/>
          <w:i w:val="0"/>
        </w:rPr>
      </w:pPr>
      <w:r w:rsidRPr="0078668E">
        <w:rPr>
          <w:b/>
          <w:i w:val="0"/>
        </w:rPr>
        <w:t xml:space="preserve">Reporting </w:t>
      </w:r>
      <w:r w:rsidRPr="00116353">
        <w:rPr>
          <w:b/>
          <w:i w:val="0"/>
        </w:rPr>
        <w:t xml:space="preserve">on own funds and own funds requirements </w:t>
      </w:r>
      <w:r w:rsidRPr="0078668E">
        <w:rPr>
          <w:b/>
          <w:i w:val="0"/>
        </w:rPr>
        <w:t>on</w:t>
      </w:r>
      <w:r w:rsidRPr="001732B4">
        <w:rPr>
          <w:b/>
          <w:i w:val="0"/>
        </w:rPr>
        <w:t xml:space="preserve"> a consolidated basis</w:t>
      </w:r>
    </w:p>
    <w:p w14:paraId="598D92CF" w14:textId="77777777" w:rsidR="00FE0C02" w:rsidRPr="00F72F59" w:rsidRDefault="00FE0C02" w:rsidP="00FE0C02">
      <w:pPr>
        <w:widowControl w:val="0"/>
        <w:autoSpaceDE w:val="0"/>
        <w:autoSpaceDN w:val="0"/>
        <w:spacing w:line="228" w:lineRule="auto"/>
      </w:pPr>
      <w:r w:rsidRPr="000A39B9">
        <w:t xml:space="preserve">In order to report information on own funds and </w:t>
      </w:r>
      <w:r>
        <w:t xml:space="preserve">on </w:t>
      </w:r>
      <w:r w:rsidRPr="000A39B9">
        <w:t>own funds requirements in accordance with Article 430(1)</w:t>
      </w:r>
      <w:r>
        <w:t>,</w:t>
      </w:r>
      <w:r w:rsidRPr="000A39B9">
        <w:t xml:space="preserve"> point (a)</w:t>
      </w:r>
      <w:r>
        <w:t>,</w:t>
      </w:r>
      <w:r w:rsidRPr="000A39B9">
        <w:t xml:space="preserve"> of Regulation (EU) No 575/2013 on a consolidated basis, institutions shall submit</w:t>
      </w:r>
      <w:r w:rsidRPr="000A2503">
        <w:rPr>
          <w:lang w:val="en-US"/>
        </w:rPr>
        <w:t xml:space="preserve"> </w:t>
      </w:r>
      <w:r w:rsidRPr="000A39B9">
        <w:rPr>
          <w:lang w:val="en-US"/>
        </w:rPr>
        <w:t>the information specified in</w:t>
      </w:r>
      <w:r w:rsidRPr="00F72F59">
        <w:t>:</w:t>
      </w:r>
    </w:p>
    <w:p w14:paraId="2745F268" w14:textId="77777777" w:rsidR="00FE0C02" w:rsidRPr="00BC49C0" w:rsidRDefault="00FE0C02" w:rsidP="00FE0C02">
      <w:pPr>
        <w:pStyle w:val="Point1"/>
      </w:pPr>
      <w:r>
        <w:t>(a)</w:t>
      </w:r>
      <w:r>
        <w:tab/>
      </w:r>
      <w:r w:rsidRPr="000A39B9">
        <w:rPr>
          <w:lang w:val="en-US"/>
        </w:rPr>
        <w:t xml:space="preserve">Articles 5 and 6 </w:t>
      </w:r>
      <w:r>
        <w:rPr>
          <w:lang w:val="en-US"/>
        </w:rPr>
        <w:t xml:space="preserve">of this Implementing Regulation </w:t>
      </w:r>
      <w:r w:rsidRPr="000A39B9">
        <w:rPr>
          <w:lang w:val="en-US"/>
        </w:rPr>
        <w:t>on a consolidated basis with the frequency specified therein</w:t>
      </w:r>
      <w:r w:rsidRPr="00BC49C0">
        <w:t>;</w:t>
      </w:r>
      <w:r>
        <w:t xml:space="preserve"> and</w:t>
      </w:r>
    </w:p>
    <w:p w14:paraId="41714624" w14:textId="77777777" w:rsidR="00FE0C02" w:rsidRDefault="00FE0C02" w:rsidP="00FE0C02">
      <w:pPr>
        <w:pStyle w:val="Point1"/>
      </w:pPr>
      <w:r>
        <w:t>(b)</w:t>
      </w:r>
      <w:r>
        <w:tab/>
      </w:r>
      <w:r w:rsidRPr="000A39B9">
        <w:rPr>
          <w:lang w:val="en-US"/>
        </w:rPr>
        <w:t>template 6 of Annex I, in accordance with the instructions provided in Annex II</w:t>
      </w:r>
      <w:r>
        <w:rPr>
          <w:lang w:val="en-US"/>
        </w:rPr>
        <w:t>,</w:t>
      </w:r>
      <w:r w:rsidRPr="000A39B9">
        <w:rPr>
          <w:lang w:val="en-US"/>
        </w:rPr>
        <w:t xml:space="preserve"> Part II</w:t>
      </w:r>
      <w:r>
        <w:rPr>
          <w:lang w:val="en-US"/>
        </w:rPr>
        <w:t>,</w:t>
      </w:r>
      <w:r w:rsidRPr="000A39B9">
        <w:rPr>
          <w:lang w:val="en-US"/>
        </w:rPr>
        <w:t xml:space="preserve"> point 2</w:t>
      </w:r>
      <w:r>
        <w:rPr>
          <w:lang w:val="en-US"/>
        </w:rPr>
        <w:t xml:space="preserve"> </w:t>
      </w:r>
      <w:r w:rsidRPr="000A39B9">
        <w:rPr>
          <w:lang w:val="en-US"/>
        </w:rPr>
        <w:t>regarding entities included in the scope of consolidation, with a semi-annual frequency</w:t>
      </w:r>
      <w:r w:rsidRPr="00086C86">
        <w:t>.</w:t>
      </w:r>
    </w:p>
    <w:p w14:paraId="319C9C0F" w14:textId="77777777" w:rsidR="00FE0C02" w:rsidRPr="00496B08" w:rsidRDefault="00FE0C02" w:rsidP="00FE0C02">
      <w:pPr>
        <w:pStyle w:val="Titrearticle"/>
      </w:pPr>
      <w:r w:rsidRPr="00AF7EAA">
        <w:t xml:space="preserve">Article </w:t>
      </w:r>
      <w:r>
        <w:t>8</w:t>
      </w:r>
    </w:p>
    <w:p w14:paraId="601BC224" w14:textId="77777777" w:rsidR="00FE0C02" w:rsidRPr="0078668E" w:rsidRDefault="00FE0C02" w:rsidP="00FE0C02">
      <w:pPr>
        <w:pStyle w:val="Titrearticle"/>
        <w:rPr>
          <w:b/>
          <w:i w:val="0"/>
        </w:rPr>
      </w:pPr>
      <w:r w:rsidRPr="00116353">
        <w:rPr>
          <w:b/>
          <w:i w:val="0"/>
        </w:rPr>
        <w:t>Reporting on own funds and own funds requirements –</w:t>
      </w:r>
      <w:r w:rsidRPr="0078668E">
        <w:rPr>
          <w:b/>
          <w:i w:val="0"/>
        </w:rPr>
        <w:t xml:space="preserve"> additional reporting requirements on individual and consolidated basis</w:t>
      </w:r>
    </w:p>
    <w:p w14:paraId="23F3BEFD" w14:textId="596DDC34" w:rsidR="00FE0C02" w:rsidRPr="00116353" w:rsidRDefault="00125634" w:rsidP="005F180D">
      <w:pPr>
        <w:pStyle w:val="NumPar1"/>
        <w:numPr>
          <w:ilvl w:val="0"/>
          <w:numId w:val="16"/>
        </w:numPr>
      </w:pPr>
      <w:r>
        <w:t>Institutions subject to a requirement to disclose the information referred to in Article 438, points (e) or (h), or Article 452, points (b), (g) or (h), of Regulation (EU) No 575/2013 with the frequency set out in Article 433a or Article 433c, as applicable, on an individual basis in accordance with Article 6 or on a consolidated basis in accordance with Article 13, as applicable, of that Regulation, shall submit the information on credit risk and counterparty credit risk, as specified in Annex I, templates 8.3, 8.4, 8.5, 8.5.1, 8.6, 8.7 and 34.11, to this Regulation, with the same frequency and on the same basis, following the instructions in Annex II, Part II, points 3.3 and 3.9.12, to this Regulation</w:t>
      </w:r>
      <w:r w:rsidR="00FE0C02" w:rsidRPr="00116353">
        <w:t>.</w:t>
      </w:r>
    </w:p>
    <w:p w14:paraId="58F2B691" w14:textId="6662E4F8" w:rsidR="00FE0C02" w:rsidRPr="00496B08" w:rsidRDefault="00977656" w:rsidP="00FE0C02">
      <w:pPr>
        <w:pStyle w:val="NumPar1"/>
      </w:pPr>
      <w:r>
        <w:t>Institutions subject to a requirement to disclose the information referred to in point (l) of Article 439 of Regulation (EU) No 575/2013 with the frequency set out in Article 433a or Article 433c, as applicable, on an individual basis in accordance with Article 6 or on a consolidated basis in accordance with Article 13, as applicable, of that Regulation, shall submit the information on counterparty credit risk, as specified in Annex I, template 34.07, to this Regulation, with the same frequency and on the same basis, following the instructions in Annex II, Part II, point 3.9.8, to this Regulation</w:t>
      </w:r>
      <w:r w:rsidR="00FE0C02" w:rsidRPr="00496B08">
        <w:t>.</w:t>
      </w:r>
    </w:p>
    <w:p w14:paraId="7252BD87" w14:textId="77777777" w:rsidR="00FE0C02" w:rsidRPr="00496B08" w:rsidRDefault="00FE0C02" w:rsidP="00FE0C02">
      <w:pPr>
        <w:pStyle w:val="Titrearticle"/>
      </w:pPr>
      <w:r w:rsidRPr="00496B08">
        <w:lastRenderedPageBreak/>
        <w:t xml:space="preserve">Article </w:t>
      </w:r>
      <w:r w:rsidRPr="00496B08">
        <w:fldChar w:fldCharType="begin"/>
      </w:r>
      <w:r w:rsidRPr="00496B08">
        <w:instrText xml:space="preserve"> seq article </w:instrText>
      </w:r>
      <w:r w:rsidRPr="00496B08">
        <w:fldChar w:fldCharType="separate"/>
      </w:r>
      <w:r w:rsidRPr="00496B08">
        <w:t>9</w:t>
      </w:r>
      <w:r w:rsidRPr="00496B08">
        <w:fldChar w:fldCharType="end"/>
      </w:r>
    </w:p>
    <w:p w14:paraId="6B3DD09D" w14:textId="77777777" w:rsidR="00FE0C02" w:rsidRPr="001732B4" w:rsidRDefault="00FE0C02" w:rsidP="00FE0C02">
      <w:pPr>
        <w:pStyle w:val="Titrearticle"/>
        <w:spacing w:before="120"/>
        <w:rPr>
          <w:b/>
          <w:i w:val="0"/>
        </w:rPr>
      </w:pPr>
      <w:r w:rsidRPr="0078668E">
        <w:rPr>
          <w:b/>
          <w:i w:val="0"/>
        </w:rPr>
        <w:t>Reporting on own funds and own funds requirements</w:t>
      </w:r>
      <w:r>
        <w:rPr>
          <w:b/>
          <w:i w:val="0"/>
        </w:rPr>
        <w:t xml:space="preserve"> </w:t>
      </w:r>
      <w:r w:rsidRPr="001732B4">
        <w:rPr>
          <w:b/>
          <w:i w:val="0"/>
        </w:rPr>
        <w:t xml:space="preserve">for investment firms subject to </w:t>
      </w:r>
      <w:r>
        <w:rPr>
          <w:b/>
          <w:i w:val="0"/>
        </w:rPr>
        <w:t>A</w:t>
      </w:r>
      <w:r w:rsidRPr="001732B4">
        <w:rPr>
          <w:b/>
          <w:i w:val="0"/>
        </w:rPr>
        <w:t xml:space="preserve">rticles 95 and 96 </w:t>
      </w:r>
      <w:r>
        <w:rPr>
          <w:b/>
          <w:i w:val="0"/>
        </w:rPr>
        <w:t>of R</w:t>
      </w:r>
      <w:r w:rsidRPr="001732B4">
        <w:rPr>
          <w:b/>
          <w:i w:val="0"/>
        </w:rPr>
        <w:t>egulation (</w:t>
      </w:r>
      <w:r>
        <w:rPr>
          <w:b/>
          <w:i w:val="0"/>
        </w:rPr>
        <w:t>EU</w:t>
      </w:r>
      <w:r w:rsidRPr="001732B4">
        <w:rPr>
          <w:b/>
          <w:i w:val="0"/>
        </w:rPr>
        <w:t xml:space="preserve">) </w:t>
      </w:r>
      <w:r>
        <w:rPr>
          <w:b/>
          <w:i w:val="0"/>
        </w:rPr>
        <w:t>N</w:t>
      </w:r>
      <w:r w:rsidRPr="001732B4">
        <w:rPr>
          <w:b/>
          <w:i w:val="0"/>
        </w:rPr>
        <w:t>o 575/2013 on an individual basis</w:t>
      </w:r>
    </w:p>
    <w:p w14:paraId="3D78F884" w14:textId="77777777" w:rsidR="00FE0C02" w:rsidRPr="00496B08" w:rsidRDefault="00FE0C02" w:rsidP="005F180D">
      <w:pPr>
        <w:pStyle w:val="NumPar1"/>
        <w:numPr>
          <w:ilvl w:val="0"/>
          <w:numId w:val="17"/>
        </w:numPr>
      </w:pPr>
      <w:r w:rsidRPr="00FD3527">
        <w:rPr>
          <w:lang w:val="en-US"/>
        </w:rPr>
        <w:t>Investment firms that apply the transitional provisions of Article 57(3) of Regulation (EU) 2019/2033 shall submit information as set out in this Article</w:t>
      </w:r>
      <w:r w:rsidRPr="00496B08">
        <w:t>.</w:t>
      </w:r>
    </w:p>
    <w:p w14:paraId="64E2C5EE" w14:textId="77777777" w:rsidR="00FE0C02" w:rsidRPr="00496B08" w:rsidRDefault="00FE0C02" w:rsidP="00FE0C02">
      <w:pPr>
        <w:pStyle w:val="NumPar1"/>
      </w:pPr>
      <w:r w:rsidRPr="00A56B93">
        <w:rPr>
          <w:lang w:val="en-US"/>
        </w:rPr>
        <w:t>In order to report information on own funds and on own funds requirements in accordance with Article 430(1)</w:t>
      </w:r>
      <w:r>
        <w:rPr>
          <w:lang w:val="en-US"/>
        </w:rPr>
        <w:t>,</w:t>
      </w:r>
      <w:r w:rsidRPr="00A56B93">
        <w:rPr>
          <w:lang w:val="en-US"/>
        </w:rPr>
        <w:t xml:space="preserve"> point (a)</w:t>
      </w:r>
      <w:r>
        <w:rPr>
          <w:lang w:val="en-US"/>
        </w:rPr>
        <w:t>,</w:t>
      </w:r>
      <w:r w:rsidRPr="00A56B93">
        <w:rPr>
          <w:lang w:val="en-US"/>
        </w:rPr>
        <w:t xml:space="preserve"> of Regulation (EU) No 575/2013 on an individual basis, with the exception of information on the leverage ratio, investment firms making use of Article 57(3) of Regulation (EU) 2019/2033 with reference to Article 95 of Regulation</w:t>
      </w:r>
      <w:r w:rsidRPr="006C3928">
        <w:rPr>
          <w:lang w:val="en-US"/>
        </w:rPr>
        <w:t xml:space="preserve"> (EU) No 575/2013 shall submit the information specified in Annex I</w:t>
      </w:r>
      <w:r>
        <w:rPr>
          <w:lang w:val="en-US"/>
        </w:rPr>
        <w:t>,</w:t>
      </w:r>
      <w:r w:rsidRPr="006C3928">
        <w:rPr>
          <w:lang w:val="en-US"/>
        </w:rPr>
        <w:t xml:space="preserve"> templates 1 to 5, in accordance with the instructions in Annex II</w:t>
      </w:r>
      <w:r>
        <w:rPr>
          <w:lang w:val="en-US"/>
        </w:rPr>
        <w:t>,</w:t>
      </w:r>
      <w:r w:rsidRPr="006C3928">
        <w:rPr>
          <w:lang w:val="en-US"/>
        </w:rPr>
        <w:t xml:space="preserve"> Part II</w:t>
      </w:r>
      <w:r>
        <w:rPr>
          <w:lang w:val="en-US"/>
        </w:rPr>
        <w:t>,</w:t>
      </w:r>
      <w:r w:rsidRPr="006C3928">
        <w:rPr>
          <w:lang w:val="en-US"/>
        </w:rPr>
        <w:t xml:space="preserve"> point 1, with a quarterly frequency</w:t>
      </w:r>
      <w:r w:rsidRPr="00496B08">
        <w:t>.</w:t>
      </w:r>
    </w:p>
    <w:p w14:paraId="6AD01D77" w14:textId="77777777" w:rsidR="00FE0C02" w:rsidRPr="00496B08" w:rsidRDefault="00FE0C02" w:rsidP="00FE0C02">
      <w:pPr>
        <w:pStyle w:val="NumPar1"/>
      </w:pPr>
      <w:r w:rsidRPr="000A39B9">
        <w:rPr>
          <w:lang w:val="en-US"/>
        </w:rPr>
        <w:t>In order to report information on own funds and own funds requirements in accordance with Article 430(1)</w:t>
      </w:r>
      <w:r>
        <w:rPr>
          <w:lang w:val="en-US"/>
        </w:rPr>
        <w:t>,</w:t>
      </w:r>
      <w:r w:rsidRPr="000A39B9">
        <w:rPr>
          <w:lang w:val="en-US"/>
        </w:rPr>
        <w:t xml:space="preserve"> point (a)</w:t>
      </w:r>
      <w:r>
        <w:rPr>
          <w:lang w:val="en-US"/>
        </w:rPr>
        <w:t xml:space="preserve">, </w:t>
      </w:r>
      <w:r w:rsidRPr="000A39B9">
        <w:rPr>
          <w:lang w:val="en-US"/>
        </w:rPr>
        <w:t xml:space="preserve">of Regulation (EU) No 575/2013 on an individual basis, investment firms making use of Article 57(3) of Regulation (EU) 2019/2033 with reference to Article 96 of Regulation (EU) No 575/2013 shall submit the information </w:t>
      </w:r>
      <w:r>
        <w:rPr>
          <w:lang w:val="en-US"/>
        </w:rPr>
        <w:t>referred to</w:t>
      </w:r>
      <w:r w:rsidRPr="000A39B9">
        <w:rPr>
          <w:lang w:val="en-US"/>
        </w:rPr>
        <w:t xml:space="preserve"> in Article 5</w:t>
      </w:r>
      <w:r>
        <w:rPr>
          <w:lang w:val="en-US"/>
        </w:rPr>
        <w:t xml:space="preserve">, </w:t>
      </w:r>
      <w:r w:rsidRPr="000A39B9">
        <w:rPr>
          <w:lang w:val="en-US"/>
        </w:rPr>
        <w:t>p</w:t>
      </w:r>
      <w:r>
        <w:rPr>
          <w:lang w:val="en-US"/>
        </w:rPr>
        <w:t>aragraphs</w:t>
      </w:r>
      <w:r w:rsidRPr="000A39B9">
        <w:rPr>
          <w:lang w:val="en-US"/>
        </w:rPr>
        <w:t xml:space="preserve"> (1) to (5) and </w:t>
      </w:r>
      <w:r>
        <w:rPr>
          <w:lang w:val="en-US"/>
        </w:rPr>
        <w:t>paragraphs</w:t>
      </w:r>
      <w:r w:rsidRPr="000A39B9">
        <w:rPr>
          <w:lang w:val="en-US"/>
        </w:rPr>
        <w:t> (8) to (13)</w:t>
      </w:r>
      <w:r>
        <w:rPr>
          <w:lang w:val="en-US"/>
        </w:rPr>
        <w:t>,</w:t>
      </w:r>
      <w:r w:rsidRPr="000A39B9">
        <w:rPr>
          <w:lang w:val="en-US"/>
        </w:rPr>
        <w:t xml:space="preserve"> and Article 6(2) of this Regulation with the frequency </w:t>
      </w:r>
      <w:r>
        <w:rPr>
          <w:lang w:val="en-US"/>
        </w:rPr>
        <w:t>laid down in those Articles</w:t>
      </w:r>
      <w:r w:rsidRPr="00496B08">
        <w:t>.</w:t>
      </w:r>
    </w:p>
    <w:p w14:paraId="4D074E8C" w14:textId="77777777" w:rsidR="00FE0C02" w:rsidRPr="00496B08" w:rsidRDefault="00FE0C02" w:rsidP="00FE0C02">
      <w:pPr>
        <w:pStyle w:val="Titrearticle"/>
      </w:pPr>
      <w:r w:rsidRPr="00496B08">
        <w:t xml:space="preserve">Article </w:t>
      </w:r>
      <w:r w:rsidRPr="00496B08">
        <w:fldChar w:fldCharType="begin"/>
      </w:r>
      <w:r w:rsidRPr="00496B08">
        <w:instrText xml:space="preserve"> seq article </w:instrText>
      </w:r>
      <w:r w:rsidRPr="00496B08">
        <w:fldChar w:fldCharType="separate"/>
      </w:r>
      <w:r w:rsidRPr="00496B08">
        <w:t>10</w:t>
      </w:r>
      <w:r w:rsidRPr="00496B08">
        <w:fldChar w:fldCharType="end"/>
      </w:r>
    </w:p>
    <w:p w14:paraId="2C5D357D" w14:textId="77777777" w:rsidR="00FE0C02" w:rsidRPr="00BF07FD" w:rsidRDefault="00FE0C02" w:rsidP="00FE0C02">
      <w:pPr>
        <w:pStyle w:val="Titrearticle"/>
        <w:spacing w:before="120"/>
        <w:rPr>
          <w:b/>
          <w:i w:val="0"/>
        </w:rPr>
      </w:pPr>
      <w:r>
        <w:rPr>
          <w:b/>
          <w:i w:val="0"/>
        </w:rPr>
        <w:t>R</w:t>
      </w:r>
      <w:r w:rsidRPr="00BF07FD">
        <w:rPr>
          <w:b/>
          <w:i w:val="0"/>
        </w:rPr>
        <w:t>epo</w:t>
      </w:r>
      <w:r w:rsidRPr="0078668E">
        <w:rPr>
          <w:b/>
          <w:i w:val="0"/>
        </w:rPr>
        <w:t xml:space="preserve">rting </w:t>
      </w:r>
      <w:r w:rsidRPr="00116353">
        <w:rPr>
          <w:b/>
          <w:i w:val="0"/>
        </w:rPr>
        <w:t>on own funds and own funds requirements</w:t>
      </w:r>
      <w:r>
        <w:rPr>
          <w:b/>
          <w:i w:val="0"/>
        </w:rPr>
        <w:t xml:space="preserve"> </w:t>
      </w:r>
      <w:r w:rsidRPr="00BF07FD">
        <w:rPr>
          <w:b/>
          <w:i w:val="0"/>
        </w:rPr>
        <w:t xml:space="preserve">for groups that consist only of investment firms subject to </w:t>
      </w:r>
      <w:r>
        <w:rPr>
          <w:b/>
          <w:i w:val="0"/>
        </w:rPr>
        <w:t>A</w:t>
      </w:r>
      <w:r w:rsidRPr="00BF07FD">
        <w:rPr>
          <w:b/>
          <w:i w:val="0"/>
        </w:rPr>
        <w:t xml:space="preserve">rticles 95 and 96 of </w:t>
      </w:r>
      <w:r>
        <w:rPr>
          <w:b/>
          <w:i w:val="0"/>
        </w:rPr>
        <w:t>R</w:t>
      </w:r>
      <w:r w:rsidRPr="00BF07FD">
        <w:rPr>
          <w:b/>
          <w:i w:val="0"/>
        </w:rPr>
        <w:t>egulation (</w:t>
      </w:r>
      <w:r>
        <w:rPr>
          <w:b/>
          <w:i w:val="0"/>
        </w:rPr>
        <w:t>EU</w:t>
      </w:r>
      <w:r w:rsidRPr="00BF07FD">
        <w:rPr>
          <w:b/>
          <w:i w:val="0"/>
        </w:rPr>
        <w:t xml:space="preserve">) </w:t>
      </w:r>
      <w:r>
        <w:rPr>
          <w:b/>
          <w:i w:val="0"/>
        </w:rPr>
        <w:t>N</w:t>
      </w:r>
      <w:r w:rsidRPr="00BF07FD">
        <w:rPr>
          <w:b/>
          <w:i w:val="0"/>
        </w:rPr>
        <w:t>o 575/2013 on a consolidated basis</w:t>
      </w:r>
    </w:p>
    <w:p w14:paraId="0ED9D414" w14:textId="77777777" w:rsidR="00FE0C02" w:rsidRPr="00496B08" w:rsidRDefault="00FE0C02" w:rsidP="005F180D">
      <w:pPr>
        <w:pStyle w:val="NumPar1"/>
        <w:numPr>
          <w:ilvl w:val="0"/>
          <w:numId w:val="18"/>
        </w:numPr>
      </w:pPr>
      <w:r w:rsidRPr="00FD3527">
        <w:rPr>
          <w:lang w:val="en-US"/>
        </w:rPr>
        <w:t>Investment firms that apply the transitional provisions of Article 57(3) of Regulation (EU) 2019/2033 shall submit information as set out in this Article</w:t>
      </w:r>
      <w:r w:rsidRPr="00496B08">
        <w:t>.</w:t>
      </w:r>
    </w:p>
    <w:p w14:paraId="55A9CAAC" w14:textId="77777777" w:rsidR="00FE0C02" w:rsidRDefault="00FE0C02" w:rsidP="00FE0C02">
      <w:pPr>
        <w:pStyle w:val="NumPar1"/>
      </w:pPr>
      <w:r w:rsidRPr="00A56B93">
        <w:rPr>
          <w:lang w:val="en-US"/>
        </w:rPr>
        <w:t>In order to report information on own funds and on own funds requirements in accordance with Article 430(1)</w:t>
      </w:r>
      <w:r>
        <w:rPr>
          <w:lang w:val="en-US"/>
        </w:rPr>
        <w:t>,</w:t>
      </w:r>
      <w:r w:rsidRPr="00A56B93">
        <w:rPr>
          <w:lang w:val="en-US"/>
        </w:rPr>
        <w:t xml:space="preserve"> point (a)</w:t>
      </w:r>
      <w:r>
        <w:rPr>
          <w:lang w:val="en-US"/>
        </w:rPr>
        <w:t>,</w:t>
      </w:r>
      <w:r w:rsidRPr="00A56B93">
        <w:rPr>
          <w:lang w:val="en-US"/>
        </w:rPr>
        <w:t xml:space="preserve"> of Regulation (EU) No 575/2013 on a consolidated basis, with the exception of information on the leverage ratio, investment firms of groups that consist only of investment firms making use of Article 57(3) of Regulation (EU) 2019/2033</w:t>
      </w:r>
      <w:r w:rsidRPr="006C3928" w:rsidDel="00AF7EAA">
        <w:rPr>
          <w:lang w:val="en-US"/>
        </w:rPr>
        <w:t xml:space="preserve"> </w:t>
      </w:r>
      <w:r w:rsidRPr="006C3928">
        <w:rPr>
          <w:lang w:val="en-US"/>
        </w:rPr>
        <w:t>with reference to Article 95 of Regulation (EU) No 575/2013 shall submit the following information on a consolidated basis</w:t>
      </w:r>
      <w:r w:rsidRPr="00496B08">
        <w:t>:</w:t>
      </w:r>
    </w:p>
    <w:p w14:paraId="6DD1064B" w14:textId="77777777" w:rsidR="00FE0C02" w:rsidRPr="008B4A3F" w:rsidRDefault="00FE0C02" w:rsidP="00FE0C02">
      <w:pPr>
        <w:pStyle w:val="Point1"/>
      </w:pPr>
      <w:r>
        <w:t>(a)</w:t>
      </w:r>
      <w:r>
        <w:tab/>
      </w:r>
      <w:r w:rsidRPr="000A39B9">
        <w:rPr>
          <w:lang w:val="en-US"/>
        </w:rPr>
        <w:t xml:space="preserve">the information on own funds and </w:t>
      </w:r>
      <w:r>
        <w:rPr>
          <w:lang w:val="en-US"/>
        </w:rPr>
        <w:t xml:space="preserve">on </w:t>
      </w:r>
      <w:r w:rsidRPr="000A39B9">
        <w:rPr>
          <w:lang w:val="en-US"/>
        </w:rPr>
        <w:t xml:space="preserve">own funds requirements </w:t>
      </w:r>
      <w:r>
        <w:rPr>
          <w:lang w:val="en-US"/>
        </w:rPr>
        <w:t xml:space="preserve">as </w:t>
      </w:r>
      <w:r w:rsidRPr="000A39B9">
        <w:rPr>
          <w:lang w:val="en-US"/>
        </w:rPr>
        <w:t>specified in Annex I</w:t>
      </w:r>
      <w:r>
        <w:rPr>
          <w:lang w:val="en-US"/>
        </w:rPr>
        <w:t>,</w:t>
      </w:r>
      <w:r w:rsidRPr="000A39B9">
        <w:rPr>
          <w:lang w:val="en-US"/>
        </w:rPr>
        <w:t xml:space="preserve"> templates 1 to 5, in accordance with the instructions in Annex II</w:t>
      </w:r>
      <w:r>
        <w:rPr>
          <w:lang w:val="en-US"/>
        </w:rPr>
        <w:t>,</w:t>
      </w:r>
      <w:r w:rsidRPr="000A39B9">
        <w:rPr>
          <w:lang w:val="en-US"/>
        </w:rPr>
        <w:t xml:space="preserve"> Part II</w:t>
      </w:r>
      <w:r>
        <w:rPr>
          <w:lang w:val="en-US"/>
        </w:rPr>
        <w:t>,</w:t>
      </w:r>
      <w:r w:rsidRPr="000A39B9">
        <w:rPr>
          <w:lang w:val="en-US"/>
        </w:rPr>
        <w:t xml:space="preserve"> point 1, with a quarterly frequency</w:t>
      </w:r>
      <w:r w:rsidRPr="008B4A3F">
        <w:t>;</w:t>
      </w:r>
    </w:p>
    <w:p w14:paraId="06EB54F9" w14:textId="77777777" w:rsidR="00FE0C02" w:rsidRPr="00496B08" w:rsidRDefault="00FE0C02" w:rsidP="00FE0C02">
      <w:pPr>
        <w:pStyle w:val="Point1"/>
      </w:pPr>
      <w:r>
        <w:t>(b)</w:t>
      </w:r>
      <w:r>
        <w:tab/>
      </w:r>
      <w:r w:rsidRPr="000A39B9">
        <w:rPr>
          <w:lang w:val="en-US"/>
        </w:rPr>
        <w:t xml:space="preserve">the information on own funds and </w:t>
      </w:r>
      <w:r>
        <w:rPr>
          <w:lang w:val="en-US"/>
        </w:rPr>
        <w:t xml:space="preserve">on </w:t>
      </w:r>
      <w:r w:rsidRPr="000A39B9">
        <w:rPr>
          <w:lang w:val="en-US"/>
        </w:rPr>
        <w:t xml:space="preserve">own funds requirements regarding entities included in the scope of consolidation </w:t>
      </w:r>
      <w:r>
        <w:rPr>
          <w:lang w:val="en-US"/>
        </w:rPr>
        <w:t xml:space="preserve">as </w:t>
      </w:r>
      <w:r w:rsidRPr="000A39B9">
        <w:rPr>
          <w:lang w:val="en-US"/>
        </w:rPr>
        <w:t>specified in Annex I</w:t>
      </w:r>
      <w:r>
        <w:rPr>
          <w:lang w:val="en-US"/>
        </w:rPr>
        <w:t>,</w:t>
      </w:r>
      <w:r w:rsidRPr="000A39B9">
        <w:rPr>
          <w:lang w:val="en-US"/>
        </w:rPr>
        <w:t xml:space="preserve"> template 6, in accordance with the instructions in Annex II</w:t>
      </w:r>
      <w:r>
        <w:rPr>
          <w:lang w:val="en-US"/>
        </w:rPr>
        <w:t>,</w:t>
      </w:r>
      <w:r w:rsidRPr="000A39B9">
        <w:rPr>
          <w:lang w:val="en-US"/>
        </w:rPr>
        <w:t xml:space="preserve"> Part II</w:t>
      </w:r>
      <w:r>
        <w:rPr>
          <w:lang w:val="en-US"/>
        </w:rPr>
        <w:t>,</w:t>
      </w:r>
      <w:r w:rsidRPr="000A39B9">
        <w:rPr>
          <w:lang w:val="en-US"/>
        </w:rPr>
        <w:t xml:space="preserve"> point 2, with a semi-annual frequency</w:t>
      </w:r>
      <w:r>
        <w:rPr>
          <w:lang w:val="en-US"/>
        </w:rPr>
        <w:t>.</w:t>
      </w:r>
    </w:p>
    <w:p w14:paraId="0D279353" w14:textId="61576F44" w:rsidR="00FE0C02" w:rsidRPr="00AF5CF5" w:rsidRDefault="00FE0C02" w:rsidP="00FE0C02">
      <w:pPr>
        <w:pStyle w:val="NumPar1"/>
      </w:pPr>
      <w:r w:rsidRPr="000A39B9">
        <w:rPr>
          <w:lang w:val="en-US"/>
        </w:rPr>
        <w:t>In order to report information on own funds and on own funds requirements in accordance with Article 430(1)</w:t>
      </w:r>
      <w:r>
        <w:rPr>
          <w:lang w:val="en-US"/>
        </w:rPr>
        <w:t>,</w:t>
      </w:r>
      <w:r w:rsidRPr="000A39B9">
        <w:rPr>
          <w:lang w:val="en-US"/>
        </w:rPr>
        <w:t xml:space="preserve"> point (a)</w:t>
      </w:r>
      <w:r>
        <w:rPr>
          <w:lang w:val="en-US"/>
        </w:rPr>
        <w:t>,</w:t>
      </w:r>
      <w:r w:rsidRPr="000A39B9">
        <w:rPr>
          <w:lang w:val="en-US"/>
        </w:rPr>
        <w:t xml:space="preserve"> of Regulation (EU) No 575/2013 on a consolidated basis, investment firms of groups that consist only of investment firms subject to Article 95 and  </w:t>
      </w:r>
      <w:r w:rsidR="009D7A29">
        <w:rPr>
          <w:lang w:val="en-US"/>
        </w:rPr>
        <w:t xml:space="preserve">investment firms subject to Article </w:t>
      </w:r>
      <w:r w:rsidRPr="000A39B9">
        <w:rPr>
          <w:lang w:val="en-US"/>
        </w:rPr>
        <w:t xml:space="preserve">96 or </w:t>
      </w:r>
      <w:r w:rsidR="00A10398">
        <w:rPr>
          <w:lang w:val="en-US"/>
        </w:rPr>
        <w:t xml:space="preserve">of </w:t>
      </w:r>
      <w:r w:rsidRPr="000A39B9">
        <w:rPr>
          <w:lang w:val="en-US"/>
        </w:rPr>
        <w:t xml:space="preserve">groups that consist only of investment firms making use of Article 57(3) of Regulation (EU) </w:t>
      </w:r>
      <w:r w:rsidRPr="000A39B9">
        <w:rPr>
          <w:lang w:val="en-US"/>
        </w:rPr>
        <w:lastRenderedPageBreak/>
        <w:t>2019/2033 with reference to Article 96 of Regulation (EU) No 575/2013 shall submit the following information on a consolidated basis</w:t>
      </w:r>
      <w:r w:rsidRPr="00AF5CF5">
        <w:t>:</w:t>
      </w:r>
    </w:p>
    <w:p w14:paraId="424B99D7" w14:textId="77777777" w:rsidR="00FE0C02" w:rsidRPr="008B4A3F" w:rsidRDefault="00FE0C02" w:rsidP="00FE0C02">
      <w:pPr>
        <w:pStyle w:val="Point1"/>
      </w:pPr>
      <w:r>
        <w:t>(a)</w:t>
      </w:r>
      <w:r>
        <w:tab/>
      </w:r>
      <w:r w:rsidRPr="000A39B9">
        <w:rPr>
          <w:lang w:val="en-US"/>
        </w:rPr>
        <w:t>the information specified in Article 5</w:t>
      </w:r>
      <w:r>
        <w:rPr>
          <w:lang w:val="en-US"/>
        </w:rPr>
        <w:t>, paragraphs</w:t>
      </w:r>
      <w:r w:rsidRPr="000A39B9">
        <w:rPr>
          <w:lang w:val="en-US"/>
        </w:rPr>
        <w:t> (1) to (5) and p</w:t>
      </w:r>
      <w:r>
        <w:rPr>
          <w:lang w:val="en-US"/>
        </w:rPr>
        <w:t>aragraphs</w:t>
      </w:r>
      <w:r w:rsidRPr="000A39B9">
        <w:rPr>
          <w:lang w:val="en-US"/>
        </w:rPr>
        <w:t> (8) to (13) Article 6</w:t>
      </w:r>
      <w:r>
        <w:rPr>
          <w:lang w:val="en-US"/>
        </w:rPr>
        <w:t>(2)</w:t>
      </w:r>
      <w:r w:rsidRPr="000A39B9">
        <w:rPr>
          <w:lang w:val="en-US"/>
        </w:rPr>
        <w:t xml:space="preserve"> of this Regulation with the frequency </w:t>
      </w:r>
      <w:r>
        <w:rPr>
          <w:lang w:val="en-US"/>
        </w:rPr>
        <w:t>laid down in those Articles</w:t>
      </w:r>
      <w:r w:rsidRPr="008B4A3F">
        <w:t>;</w:t>
      </w:r>
    </w:p>
    <w:p w14:paraId="695999E8" w14:textId="77777777" w:rsidR="00FE0C02" w:rsidRPr="008B4A3F" w:rsidRDefault="00FE0C02" w:rsidP="00FE0C02">
      <w:pPr>
        <w:pStyle w:val="Point1"/>
      </w:pPr>
      <w:r>
        <w:t>(b)</w:t>
      </w:r>
      <w:r>
        <w:tab/>
      </w:r>
      <w:r w:rsidRPr="000A39B9">
        <w:rPr>
          <w:lang w:val="en-US"/>
        </w:rPr>
        <w:t>the information regarding entities included in the scope of consolidation specified in Annex I</w:t>
      </w:r>
      <w:r>
        <w:rPr>
          <w:lang w:val="en-US"/>
        </w:rPr>
        <w:t>,</w:t>
      </w:r>
      <w:r w:rsidRPr="000A39B9">
        <w:rPr>
          <w:lang w:val="en-US"/>
        </w:rPr>
        <w:t xml:space="preserve"> template 6, in accordance with the instructions in Annex II</w:t>
      </w:r>
      <w:r>
        <w:rPr>
          <w:lang w:val="en-US"/>
        </w:rPr>
        <w:t>,</w:t>
      </w:r>
      <w:r w:rsidRPr="000A39B9">
        <w:rPr>
          <w:lang w:val="en-US"/>
        </w:rPr>
        <w:t xml:space="preserve"> Part II</w:t>
      </w:r>
      <w:r>
        <w:rPr>
          <w:lang w:val="en-US"/>
        </w:rPr>
        <w:t>,</w:t>
      </w:r>
      <w:r w:rsidRPr="000A39B9">
        <w:rPr>
          <w:lang w:val="en-US"/>
        </w:rPr>
        <w:t xml:space="preserve"> point 2, with a semi-annual frequency</w:t>
      </w:r>
      <w:r w:rsidRPr="008B4A3F">
        <w:t>.</w:t>
      </w:r>
    </w:p>
    <w:p w14:paraId="2D723A17" w14:textId="77777777" w:rsidR="00FE0C02" w:rsidRPr="000B18AB" w:rsidRDefault="00FE0C02" w:rsidP="00FE0C02">
      <w:pPr>
        <w:pStyle w:val="Titrearticle"/>
      </w:pPr>
      <w:r w:rsidRPr="00086C86">
        <w:t xml:space="preserve">Article </w:t>
      </w:r>
      <w:r w:rsidRPr="000B18AB">
        <w:fldChar w:fldCharType="begin"/>
      </w:r>
      <w:r w:rsidRPr="00086C86">
        <w:instrText xml:space="preserve"> seq article </w:instrText>
      </w:r>
      <w:r w:rsidRPr="000B18AB">
        <w:fldChar w:fldCharType="separate"/>
      </w:r>
      <w:r>
        <w:t>11</w:t>
      </w:r>
      <w:r w:rsidRPr="000B18AB">
        <w:fldChar w:fldCharType="end"/>
      </w:r>
    </w:p>
    <w:p w14:paraId="122B51E9" w14:textId="77777777" w:rsidR="00FE0C02" w:rsidRPr="001732B4" w:rsidRDefault="00FE0C02" w:rsidP="00FE0C02">
      <w:pPr>
        <w:pStyle w:val="Titrearticle"/>
        <w:spacing w:before="120"/>
        <w:rPr>
          <w:b/>
          <w:i w:val="0"/>
        </w:rPr>
      </w:pPr>
      <w:r w:rsidRPr="0078668E">
        <w:rPr>
          <w:b/>
          <w:i w:val="0"/>
        </w:rPr>
        <w:t>Reporting on financial information on</w:t>
      </w:r>
      <w:r w:rsidRPr="001732B4">
        <w:rPr>
          <w:b/>
          <w:i w:val="0"/>
        </w:rPr>
        <w:t xml:space="preserve"> a consol</w:t>
      </w:r>
      <w:r>
        <w:rPr>
          <w:b/>
          <w:i w:val="0"/>
        </w:rPr>
        <w:t>i</w:t>
      </w:r>
      <w:r w:rsidRPr="001732B4">
        <w:rPr>
          <w:b/>
          <w:i w:val="0"/>
        </w:rPr>
        <w:t xml:space="preserve">dated basis for institutions </w:t>
      </w:r>
      <w:r>
        <w:rPr>
          <w:b/>
          <w:i w:val="0"/>
        </w:rPr>
        <w:t>subject to</w:t>
      </w:r>
      <w:r w:rsidRPr="001732B4">
        <w:rPr>
          <w:b/>
          <w:i w:val="0"/>
        </w:rPr>
        <w:t xml:space="preserve"> </w:t>
      </w:r>
      <w:r>
        <w:rPr>
          <w:b/>
          <w:i w:val="0"/>
        </w:rPr>
        <w:t>R</w:t>
      </w:r>
      <w:r w:rsidRPr="001732B4">
        <w:rPr>
          <w:b/>
          <w:i w:val="0"/>
        </w:rPr>
        <w:t>egulation (</w:t>
      </w:r>
      <w:r>
        <w:rPr>
          <w:b/>
          <w:i w:val="0"/>
        </w:rPr>
        <w:t>EC</w:t>
      </w:r>
      <w:r w:rsidRPr="001732B4">
        <w:rPr>
          <w:b/>
          <w:i w:val="0"/>
        </w:rPr>
        <w:t xml:space="preserve">) </w:t>
      </w:r>
      <w:r>
        <w:rPr>
          <w:b/>
          <w:i w:val="0"/>
        </w:rPr>
        <w:t>N</w:t>
      </w:r>
      <w:r w:rsidRPr="001732B4">
        <w:rPr>
          <w:b/>
          <w:i w:val="0"/>
        </w:rPr>
        <w:t>o 1606/2002</w:t>
      </w:r>
      <w:r w:rsidRPr="00B60583">
        <w:t xml:space="preserve"> </w:t>
      </w:r>
      <w:r>
        <w:rPr>
          <w:b/>
          <w:i w:val="0"/>
        </w:rPr>
        <w:t>of the E</w:t>
      </w:r>
      <w:r w:rsidRPr="00B60583">
        <w:rPr>
          <w:b/>
          <w:i w:val="0"/>
        </w:rPr>
        <w:t xml:space="preserve">uropean </w:t>
      </w:r>
      <w:r>
        <w:rPr>
          <w:b/>
          <w:i w:val="0"/>
        </w:rPr>
        <w:t>P</w:t>
      </w:r>
      <w:r w:rsidRPr="00B60583">
        <w:rPr>
          <w:b/>
          <w:i w:val="0"/>
        </w:rPr>
        <w:t xml:space="preserve">arliament and of the </w:t>
      </w:r>
      <w:r>
        <w:rPr>
          <w:b/>
          <w:i w:val="0"/>
        </w:rPr>
        <w:t>C</w:t>
      </w:r>
      <w:r w:rsidRPr="00B60583">
        <w:rPr>
          <w:b/>
          <w:i w:val="0"/>
        </w:rPr>
        <w:t>ouncil</w:t>
      </w:r>
      <w:r>
        <w:rPr>
          <w:rStyle w:val="FootnoteReference"/>
          <w:b/>
          <w:i w:val="0"/>
        </w:rPr>
        <w:footnoteReference w:id="10"/>
      </w:r>
      <w:r w:rsidRPr="001732B4">
        <w:rPr>
          <w:b/>
          <w:i w:val="0"/>
        </w:rPr>
        <w:t xml:space="preserve"> </w:t>
      </w:r>
    </w:p>
    <w:p w14:paraId="22F20B0C" w14:textId="77777777" w:rsidR="00FE0C02" w:rsidRPr="000B18AB" w:rsidRDefault="00FE0C02" w:rsidP="005F180D">
      <w:pPr>
        <w:pStyle w:val="NumPar1"/>
        <w:numPr>
          <w:ilvl w:val="0"/>
          <w:numId w:val="19"/>
        </w:numPr>
      </w:pPr>
      <w:r w:rsidRPr="00FD3527">
        <w:rPr>
          <w:lang w:val="en-US"/>
        </w:rPr>
        <w:t>In order to report financial information on a consolidated basis in accordance with Article 430(3) or (4) of Regulation (EU) No 575/2013, institutions</w:t>
      </w:r>
      <w:r w:rsidRPr="00FD3527">
        <w:rPr>
          <w:iCs/>
          <w:lang w:val="en-US"/>
        </w:rPr>
        <w:t xml:space="preserve"> </w:t>
      </w:r>
      <w:r w:rsidRPr="00FD3527">
        <w:rPr>
          <w:lang w:val="en-US"/>
        </w:rPr>
        <w:t>shall submit the information as specified in Annex III on a consolidated basis, in accordance with the instructions in Annex V</w:t>
      </w:r>
      <w:r w:rsidRPr="000B18AB">
        <w:t xml:space="preserve">. </w:t>
      </w:r>
    </w:p>
    <w:p w14:paraId="3A9E9610" w14:textId="77777777" w:rsidR="00FE0C02" w:rsidRPr="000B18AB" w:rsidRDefault="00FE0C02" w:rsidP="00FE0C02">
      <w:pPr>
        <w:pStyle w:val="NumPar1"/>
        <w:numPr>
          <w:ilvl w:val="0"/>
          <w:numId w:val="10"/>
        </w:numPr>
      </w:pPr>
      <w:r w:rsidRPr="000A39B9">
        <w:rPr>
          <w:lang w:val="en-US"/>
        </w:rPr>
        <w:t xml:space="preserve">The information referred to in paragraph 1 shall be submitted </w:t>
      </w:r>
      <w:r>
        <w:rPr>
          <w:lang w:val="en-US"/>
        </w:rPr>
        <w:t>as follows</w:t>
      </w:r>
      <w:r w:rsidRPr="000B18AB">
        <w:t>:</w:t>
      </w:r>
    </w:p>
    <w:p w14:paraId="70EFC152" w14:textId="77777777" w:rsidR="00FE0C02" w:rsidRPr="008B4A3F" w:rsidRDefault="00FE0C02" w:rsidP="00FE0C02">
      <w:pPr>
        <w:pStyle w:val="Point1"/>
      </w:pPr>
      <w:r>
        <w:t>(a)</w:t>
      </w:r>
      <w:r>
        <w:tab/>
      </w:r>
      <w:r w:rsidRPr="008B4A3F">
        <w:t>the information specified in Annex III</w:t>
      </w:r>
      <w:r>
        <w:t>,</w:t>
      </w:r>
      <w:r w:rsidRPr="008B4A3F">
        <w:t xml:space="preserve"> Part 1</w:t>
      </w:r>
      <w:r>
        <w:t>,</w:t>
      </w:r>
      <w:r w:rsidRPr="008B4A3F">
        <w:t xml:space="preserve"> with a quarterly frequency;</w:t>
      </w:r>
    </w:p>
    <w:p w14:paraId="38D85B01" w14:textId="77777777" w:rsidR="00FE0C02" w:rsidRPr="008B4A3F" w:rsidRDefault="00FE0C02" w:rsidP="00FE0C02">
      <w:pPr>
        <w:pStyle w:val="Point1"/>
      </w:pPr>
      <w:r>
        <w:t>(b)</w:t>
      </w:r>
      <w:r>
        <w:tab/>
      </w:r>
      <w:r w:rsidRPr="008B4A3F">
        <w:t>the information specified in Annex III</w:t>
      </w:r>
      <w:r>
        <w:t>,</w:t>
      </w:r>
      <w:r w:rsidRPr="008B4A3F">
        <w:t xml:space="preserve"> Part 3</w:t>
      </w:r>
      <w:r>
        <w:t>,</w:t>
      </w:r>
      <w:r w:rsidRPr="008B4A3F">
        <w:t xml:space="preserve"> with a semi-annual frequency;</w:t>
      </w:r>
    </w:p>
    <w:p w14:paraId="5F2804B6" w14:textId="77777777" w:rsidR="00FE0C02" w:rsidRPr="008B4A3F" w:rsidRDefault="00FE0C02" w:rsidP="00FE0C02">
      <w:pPr>
        <w:pStyle w:val="Point1"/>
      </w:pPr>
      <w:r>
        <w:t>(c)</w:t>
      </w:r>
      <w:r>
        <w:tab/>
      </w:r>
      <w:r w:rsidRPr="008B4A3F">
        <w:t>the information specified in Annex III</w:t>
      </w:r>
      <w:r>
        <w:t>,</w:t>
      </w:r>
      <w:r w:rsidRPr="008B4A3F">
        <w:t xml:space="preserve"> Part 4, with the exception of the information specified in template 47, with an annual frequency;</w:t>
      </w:r>
    </w:p>
    <w:p w14:paraId="1D49A1AC" w14:textId="77777777" w:rsidR="00FE0C02" w:rsidRPr="008B4A3F" w:rsidRDefault="00FE0C02" w:rsidP="00FE0C02">
      <w:pPr>
        <w:pStyle w:val="Point1"/>
      </w:pPr>
      <w:r>
        <w:t>(d)</w:t>
      </w:r>
      <w:r>
        <w:tab/>
      </w:r>
      <w:r w:rsidRPr="000A39B9">
        <w:rPr>
          <w:lang w:val="en-US"/>
        </w:rPr>
        <w:t>the information specified in Annex III</w:t>
      </w:r>
      <w:r>
        <w:rPr>
          <w:lang w:val="en-US"/>
        </w:rPr>
        <w:t>,</w:t>
      </w:r>
      <w:r w:rsidRPr="000A39B9">
        <w:rPr>
          <w:lang w:val="en-US"/>
        </w:rPr>
        <w:t xml:space="preserve"> Part 2</w:t>
      </w:r>
      <w:r>
        <w:rPr>
          <w:lang w:val="en-US"/>
        </w:rPr>
        <w:t xml:space="preserve">, </w:t>
      </w:r>
      <w:r w:rsidRPr="000A39B9">
        <w:rPr>
          <w:lang w:val="en-US"/>
        </w:rPr>
        <w:t>template 20</w:t>
      </w:r>
      <w:r>
        <w:rPr>
          <w:lang w:val="en-US"/>
        </w:rPr>
        <w:t>,</w:t>
      </w:r>
      <w:r w:rsidRPr="000A39B9">
        <w:rPr>
          <w:lang w:val="en-US"/>
        </w:rPr>
        <w:t xml:space="preserve"> with a quarterly frequency where the institution exceeds the threshold </w:t>
      </w:r>
      <w:r>
        <w:rPr>
          <w:lang w:val="en-US"/>
        </w:rPr>
        <w:t>laid down</w:t>
      </w:r>
      <w:r w:rsidRPr="000A39B9">
        <w:rPr>
          <w:lang w:val="en-US"/>
        </w:rPr>
        <w:t xml:space="preserve"> in Article 5</w:t>
      </w:r>
      <w:r>
        <w:rPr>
          <w:lang w:val="en-US"/>
        </w:rPr>
        <w:t xml:space="preserve">(5), </w:t>
      </w:r>
      <w:r w:rsidRPr="000A39B9">
        <w:rPr>
          <w:lang w:val="en-US"/>
        </w:rPr>
        <w:t xml:space="preserve">the second </w:t>
      </w:r>
      <w:r>
        <w:rPr>
          <w:lang w:val="en-US"/>
        </w:rPr>
        <w:t>subparagraph</w:t>
      </w:r>
      <w:r w:rsidRPr="008B4A3F">
        <w:t>;</w:t>
      </w:r>
    </w:p>
    <w:p w14:paraId="2CCBF803" w14:textId="77777777" w:rsidR="00FE0C02" w:rsidRPr="008B4A3F" w:rsidRDefault="00FE0C02" w:rsidP="00FE0C02">
      <w:pPr>
        <w:pStyle w:val="Point1"/>
      </w:pPr>
      <w:r>
        <w:t>(e)</w:t>
      </w:r>
      <w:r>
        <w:tab/>
      </w:r>
      <w:r w:rsidRPr="000A39B9">
        <w:rPr>
          <w:lang w:val="en-US"/>
        </w:rPr>
        <w:t>the information specified in Annex III</w:t>
      </w:r>
      <w:r>
        <w:rPr>
          <w:lang w:val="en-US"/>
        </w:rPr>
        <w:t>,</w:t>
      </w:r>
      <w:r w:rsidRPr="000A39B9">
        <w:rPr>
          <w:lang w:val="en-US"/>
        </w:rPr>
        <w:t xml:space="preserve"> Part 2</w:t>
      </w:r>
      <w:r>
        <w:rPr>
          <w:lang w:val="en-US"/>
        </w:rPr>
        <w:t>,</w:t>
      </w:r>
      <w:r w:rsidRPr="000A39B9">
        <w:rPr>
          <w:lang w:val="en-US"/>
        </w:rPr>
        <w:t xml:space="preserve"> template 21</w:t>
      </w:r>
      <w:r>
        <w:rPr>
          <w:lang w:val="en-US"/>
        </w:rPr>
        <w:t>,</w:t>
      </w:r>
      <w:r w:rsidRPr="000A39B9">
        <w:rPr>
          <w:lang w:val="en-US"/>
        </w:rPr>
        <w:t xml:space="preserve"> with a quarterly frequency where tangible assets subject to operating leases are equal to or higher than 10</w:t>
      </w:r>
      <w:r>
        <w:rPr>
          <w:lang w:val="en-US"/>
        </w:rPr>
        <w:t> </w:t>
      </w:r>
      <w:r w:rsidRPr="000A39B9">
        <w:rPr>
          <w:lang w:val="en-US"/>
        </w:rPr>
        <w:t xml:space="preserve">% of total tangible assets as reported in </w:t>
      </w:r>
      <w:r>
        <w:rPr>
          <w:lang w:val="en-US"/>
        </w:rPr>
        <w:t xml:space="preserve">accordance with </w:t>
      </w:r>
      <w:r w:rsidRPr="000A39B9">
        <w:rPr>
          <w:lang w:val="en-US"/>
        </w:rPr>
        <w:t>Annex III</w:t>
      </w:r>
      <w:r>
        <w:rPr>
          <w:lang w:val="en-US"/>
        </w:rPr>
        <w:t>,</w:t>
      </w:r>
      <w:r w:rsidRPr="000A39B9">
        <w:rPr>
          <w:lang w:val="en-US"/>
        </w:rPr>
        <w:t xml:space="preserve"> Part 1</w:t>
      </w:r>
      <w:r>
        <w:rPr>
          <w:lang w:val="en-US"/>
        </w:rPr>
        <w:t>,</w:t>
      </w:r>
      <w:r w:rsidRPr="000A39B9">
        <w:rPr>
          <w:lang w:val="en-US"/>
        </w:rPr>
        <w:t>template 1.1</w:t>
      </w:r>
      <w:r w:rsidRPr="008B4A3F">
        <w:t>;</w:t>
      </w:r>
    </w:p>
    <w:p w14:paraId="27F64B3B" w14:textId="77777777" w:rsidR="00FE0C02" w:rsidRPr="008B4A3F" w:rsidRDefault="00FE0C02" w:rsidP="00FE0C02">
      <w:pPr>
        <w:pStyle w:val="Point1"/>
      </w:pPr>
      <w:r>
        <w:t>(f)</w:t>
      </w:r>
      <w:r>
        <w:tab/>
      </w:r>
      <w:r w:rsidRPr="000A39B9">
        <w:rPr>
          <w:lang w:val="en-US"/>
        </w:rPr>
        <w:t>the information specified in Annex III</w:t>
      </w:r>
      <w:r>
        <w:rPr>
          <w:lang w:val="en-US"/>
        </w:rPr>
        <w:t>,</w:t>
      </w:r>
      <w:r w:rsidRPr="000A39B9">
        <w:rPr>
          <w:lang w:val="en-US"/>
        </w:rPr>
        <w:t xml:space="preserve"> Part 2</w:t>
      </w:r>
      <w:r>
        <w:rPr>
          <w:lang w:val="en-US"/>
        </w:rPr>
        <w:t>,</w:t>
      </w:r>
      <w:r w:rsidRPr="000A39B9">
        <w:rPr>
          <w:lang w:val="en-US"/>
        </w:rPr>
        <w:t xml:space="preserve"> template 22</w:t>
      </w:r>
      <w:r>
        <w:rPr>
          <w:lang w:val="en-US"/>
        </w:rPr>
        <w:t>,</w:t>
      </w:r>
      <w:r w:rsidRPr="000A39B9">
        <w:rPr>
          <w:lang w:val="en-US"/>
        </w:rPr>
        <w:t xml:space="preserve"> with a quarterly frequency where net fee and commission income is equal to or higher than 10</w:t>
      </w:r>
      <w:r>
        <w:rPr>
          <w:lang w:val="en-US"/>
        </w:rPr>
        <w:t> </w:t>
      </w:r>
      <w:r w:rsidRPr="000A39B9">
        <w:rPr>
          <w:lang w:val="en-US"/>
        </w:rPr>
        <w:t xml:space="preserve">% of the sum of net fee and commission income and net interest income as reported in </w:t>
      </w:r>
      <w:r>
        <w:rPr>
          <w:lang w:val="en-US"/>
        </w:rPr>
        <w:t xml:space="preserve">accordance with </w:t>
      </w:r>
      <w:r w:rsidRPr="000A39B9">
        <w:rPr>
          <w:lang w:val="en-US"/>
        </w:rPr>
        <w:t>Annex III</w:t>
      </w:r>
      <w:r>
        <w:rPr>
          <w:lang w:val="en-US"/>
        </w:rPr>
        <w:t>,</w:t>
      </w:r>
      <w:r w:rsidRPr="000A39B9">
        <w:rPr>
          <w:lang w:val="en-US"/>
        </w:rPr>
        <w:t xml:space="preserve"> Part 1</w:t>
      </w:r>
      <w:r>
        <w:rPr>
          <w:lang w:val="en-US"/>
        </w:rPr>
        <w:t xml:space="preserve">, </w:t>
      </w:r>
      <w:r w:rsidRPr="000A39B9">
        <w:rPr>
          <w:lang w:val="en-US"/>
        </w:rPr>
        <w:t>template 2</w:t>
      </w:r>
      <w:r w:rsidRPr="008B4A3F">
        <w:t>;</w:t>
      </w:r>
    </w:p>
    <w:p w14:paraId="2EB0DC7E" w14:textId="77777777" w:rsidR="00FE0C02" w:rsidRPr="008B4A3F" w:rsidRDefault="00FE0C02" w:rsidP="00FE0C02">
      <w:pPr>
        <w:pStyle w:val="Point1"/>
      </w:pPr>
      <w:r>
        <w:t>(g)</w:t>
      </w:r>
      <w:r>
        <w:tab/>
      </w:r>
      <w:r w:rsidRPr="007951FC">
        <w:rPr>
          <w:lang w:val="en-US"/>
        </w:rPr>
        <w:t>the information specified in Annex III</w:t>
      </w:r>
      <w:r>
        <w:rPr>
          <w:lang w:val="en-US"/>
        </w:rPr>
        <w:t>,</w:t>
      </w:r>
      <w:r w:rsidRPr="007951FC">
        <w:rPr>
          <w:lang w:val="en-US"/>
        </w:rPr>
        <w:t xml:space="preserve"> Part 2</w:t>
      </w:r>
      <w:r>
        <w:rPr>
          <w:lang w:val="en-US"/>
        </w:rPr>
        <w:t xml:space="preserve">, </w:t>
      </w:r>
      <w:r w:rsidRPr="007951FC">
        <w:rPr>
          <w:lang w:val="en-US"/>
        </w:rPr>
        <w:t>templates 23</w:t>
      </w:r>
      <w:r>
        <w:rPr>
          <w:lang w:val="en-US"/>
        </w:rPr>
        <w:t xml:space="preserve"> to</w:t>
      </w:r>
      <w:r w:rsidRPr="007951FC">
        <w:rPr>
          <w:lang w:val="en-US"/>
        </w:rPr>
        <w:t xml:space="preserve"> 26</w:t>
      </w:r>
      <w:r>
        <w:rPr>
          <w:lang w:val="en-US"/>
        </w:rPr>
        <w:t xml:space="preserve">, </w:t>
      </w:r>
      <w:r w:rsidRPr="007951FC">
        <w:rPr>
          <w:lang w:val="en-US"/>
        </w:rPr>
        <w:t>with a quarterly frequency where both of the following conditions are fulfilled</w:t>
      </w:r>
      <w:r w:rsidRPr="008B4A3F">
        <w:t>:</w:t>
      </w:r>
    </w:p>
    <w:p w14:paraId="5207A13E" w14:textId="77777777" w:rsidR="00FE0C02" w:rsidRPr="008B4A3F" w:rsidRDefault="00FE0C02" w:rsidP="00FE0C02">
      <w:pPr>
        <w:pStyle w:val="Point2"/>
      </w:pPr>
      <w:r>
        <w:t>(i)</w:t>
      </w:r>
      <w:r>
        <w:tab/>
      </w:r>
      <w:r w:rsidRPr="008B4A3F">
        <w:t>the institution is not a small and non-complex institution</w:t>
      </w:r>
      <w:r>
        <w:t>;</w:t>
      </w:r>
    </w:p>
    <w:p w14:paraId="09C1AEB4" w14:textId="33C5BDBB" w:rsidR="00FE0C02" w:rsidRPr="00CA6817" w:rsidRDefault="00FE0C02" w:rsidP="00FE0C02">
      <w:pPr>
        <w:pStyle w:val="Point2"/>
      </w:pPr>
      <w:r>
        <w:t>(ii)</w:t>
      </w:r>
      <w:r>
        <w:tab/>
      </w:r>
      <w:r w:rsidRPr="007951FC">
        <w:rPr>
          <w:lang w:val="en-US"/>
        </w:rPr>
        <w:t xml:space="preserve">the ratio between the institution’s gross carrying amount of loans and advances </w:t>
      </w:r>
      <w:r w:rsidR="00BB50EB" w:rsidRPr="00BB50EB">
        <w:rPr>
          <w:lang w:val="en-US"/>
        </w:rPr>
        <w:t xml:space="preserve">that fall under Article 47a(3) of Regulation (EU) No 575/2013  </w:t>
      </w:r>
      <w:r w:rsidRPr="007951FC">
        <w:rPr>
          <w:lang w:val="en-US"/>
        </w:rPr>
        <w:t xml:space="preserve">and the total gross carrying amount of loans and advances </w:t>
      </w:r>
      <w:r w:rsidR="00BB50EB" w:rsidRPr="00BB50EB">
        <w:rPr>
          <w:lang w:val="en-US"/>
        </w:rPr>
        <w:t xml:space="preserve">that fall under Article 47a(1) of that Regulation </w:t>
      </w:r>
      <w:r w:rsidRPr="007951FC">
        <w:rPr>
          <w:lang w:val="en-US"/>
        </w:rPr>
        <w:t>is equal to or higher than 5</w:t>
      </w:r>
      <w:r>
        <w:rPr>
          <w:lang w:val="en-US"/>
        </w:rPr>
        <w:t> </w:t>
      </w:r>
      <w:r w:rsidRPr="007951FC">
        <w:rPr>
          <w:lang w:val="en-US"/>
        </w:rPr>
        <w:t>%</w:t>
      </w:r>
      <w:r>
        <w:rPr>
          <w:lang w:val="en-US"/>
        </w:rPr>
        <w:t>;</w:t>
      </w:r>
      <w:r w:rsidRPr="007951FC">
        <w:rPr>
          <w:lang w:val="en-US"/>
        </w:rPr>
        <w:t xml:space="preserve"> </w:t>
      </w:r>
    </w:p>
    <w:p w14:paraId="6657E76F" w14:textId="77777777" w:rsidR="00FE0C02" w:rsidRDefault="00FE0C02" w:rsidP="00FE0C02">
      <w:pPr>
        <w:pStyle w:val="Point1"/>
        <w:rPr>
          <w:lang w:val="en-US"/>
        </w:rPr>
      </w:pPr>
      <w:r w:rsidRPr="000C60D7" w:rsidDel="00B60583">
        <w:lastRenderedPageBreak/>
        <w:t xml:space="preserve"> </w:t>
      </w:r>
      <w:r>
        <w:t>(h)</w:t>
      </w:r>
      <w:r>
        <w:tab/>
      </w:r>
      <w:r w:rsidRPr="007951FC">
        <w:rPr>
          <w:lang w:val="en-US"/>
        </w:rPr>
        <w:t>the information specified in Annex III</w:t>
      </w:r>
      <w:r>
        <w:rPr>
          <w:lang w:val="en-US"/>
        </w:rPr>
        <w:t>,</w:t>
      </w:r>
      <w:r w:rsidRPr="007951FC">
        <w:rPr>
          <w:lang w:val="en-US"/>
        </w:rPr>
        <w:t xml:space="preserve"> Part 4</w:t>
      </w:r>
      <w:r>
        <w:rPr>
          <w:lang w:val="en-US"/>
        </w:rPr>
        <w:t xml:space="preserve">, </w:t>
      </w:r>
      <w:r w:rsidRPr="007951FC">
        <w:rPr>
          <w:lang w:val="en-US"/>
        </w:rPr>
        <w:t>template 47</w:t>
      </w:r>
      <w:r>
        <w:rPr>
          <w:lang w:val="en-US"/>
        </w:rPr>
        <w:t>,</w:t>
      </w:r>
      <w:r w:rsidRPr="007951FC">
        <w:rPr>
          <w:lang w:val="en-US"/>
        </w:rPr>
        <w:t xml:space="preserve"> with an annual frequency where both of the conditions set out in point (g) of this paragraph are fulfilled.</w:t>
      </w:r>
    </w:p>
    <w:p w14:paraId="5556886E" w14:textId="77777777" w:rsidR="00FE0C02" w:rsidRDefault="00FE0C02" w:rsidP="00FE0C02">
      <w:pPr>
        <w:pStyle w:val="Point1"/>
        <w:rPr>
          <w:lang w:val="en-US"/>
        </w:rPr>
      </w:pPr>
      <w:r w:rsidRPr="000C5D2E">
        <w:rPr>
          <w:lang w:val="en-US"/>
        </w:rPr>
        <w:t>For the purpose of point</w:t>
      </w:r>
      <w:r>
        <w:rPr>
          <w:lang w:val="en-US"/>
        </w:rPr>
        <w:t xml:space="preserve"> (g)(ii)</w:t>
      </w:r>
      <w:r w:rsidRPr="000C5D2E">
        <w:rPr>
          <w:lang w:val="en-US"/>
        </w:rPr>
        <w:t>, the ratio shall not include loans and advances classified as held for sale, cash balances at central banks and other demand deposits in either the denominator or the numerator</w:t>
      </w:r>
      <w:r>
        <w:rPr>
          <w:lang w:val="en-US"/>
        </w:rPr>
        <w:t>.</w:t>
      </w:r>
    </w:p>
    <w:p w14:paraId="73BCCE82" w14:textId="77777777" w:rsidR="00FE0C02" w:rsidRPr="008B4A3F" w:rsidRDefault="00FE0C02" w:rsidP="00FE0C02">
      <w:pPr>
        <w:pStyle w:val="Point1"/>
      </w:pPr>
      <w:r>
        <w:rPr>
          <w:lang w:val="en-US"/>
        </w:rPr>
        <w:t>For the purposes of points (d) to (h) of this paragraph,</w:t>
      </w:r>
      <w:r w:rsidRPr="007951FC">
        <w:rPr>
          <w:lang w:val="en-US"/>
        </w:rPr>
        <w:t xml:space="preserve"> </w:t>
      </w:r>
      <w:r>
        <w:rPr>
          <w:lang w:val="en-US"/>
        </w:rPr>
        <w:t>t</w:t>
      </w:r>
      <w:r w:rsidRPr="007951FC">
        <w:rPr>
          <w:lang w:val="en-US"/>
        </w:rPr>
        <w:t>he entry and exit criteria referred to in Article 4(</w:t>
      </w:r>
      <w:r>
        <w:rPr>
          <w:lang w:val="en-US"/>
        </w:rPr>
        <w:t>3</w:t>
      </w:r>
      <w:r w:rsidRPr="007951FC">
        <w:rPr>
          <w:lang w:val="en-US"/>
        </w:rPr>
        <w:t>) shall apply</w:t>
      </w:r>
      <w:r w:rsidRPr="008B4A3F">
        <w:t xml:space="preserve">. </w:t>
      </w:r>
    </w:p>
    <w:p w14:paraId="2D4B364E" w14:textId="77777777" w:rsidR="00FE0C02" w:rsidRPr="00173862" w:rsidRDefault="00FE0C02" w:rsidP="00FE0C02">
      <w:pPr>
        <w:pStyle w:val="Titrearticle"/>
      </w:pPr>
      <w:r w:rsidRPr="00173862">
        <w:t xml:space="preserve">Article </w:t>
      </w:r>
      <w:r w:rsidRPr="00173862">
        <w:fldChar w:fldCharType="begin"/>
      </w:r>
      <w:r w:rsidRPr="00173862">
        <w:instrText xml:space="preserve"> seq article </w:instrText>
      </w:r>
      <w:r w:rsidRPr="00173862">
        <w:fldChar w:fldCharType="separate"/>
      </w:r>
      <w:r w:rsidRPr="00173862">
        <w:t>12</w:t>
      </w:r>
      <w:r w:rsidRPr="00173862">
        <w:fldChar w:fldCharType="end"/>
      </w:r>
    </w:p>
    <w:p w14:paraId="396F2986" w14:textId="77777777" w:rsidR="00FE0C02" w:rsidRPr="001732B4" w:rsidRDefault="00FE0C02" w:rsidP="00FE0C02">
      <w:pPr>
        <w:pStyle w:val="Titrearticle"/>
        <w:spacing w:before="120"/>
        <w:rPr>
          <w:b/>
          <w:i w:val="0"/>
        </w:rPr>
      </w:pPr>
      <w:r w:rsidRPr="0078668E">
        <w:rPr>
          <w:b/>
          <w:i w:val="0"/>
        </w:rPr>
        <w:t>Reporting on financial information on a consolidated basis for institutions</w:t>
      </w:r>
      <w:r w:rsidRPr="001732B4">
        <w:rPr>
          <w:b/>
          <w:i w:val="0"/>
        </w:rPr>
        <w:t xml:space="preserve"> applying national accounting frameworks </w:t>
      </w:r>
    </w:p>
    <w:p w14:paraId="7898D5B0" w14:textId="77777777" w:rsidR="00FE0C02" w:rsidRPr="009675DD" w:rsidRDefault="00FE0C02" w:rsidP="005F180D">
      <w:pPr>
        <w:pStyle w:val="NumPar1"/>
        <w:numPr>
          <w:ilvl w:val="0"/>
          <w:numId w:val="20"/>
        </w:numPr>
      </w:pPr>
      <w:r w:rsidRPr="00FD3527">
        <w:rPr>
          <w:lang w:val="en-US"/>
        </w:rPr>
        <w:t>Where a competent authority has extended the reporting requirements on financial information to institutions established in a Member State in accordance with Article 430(9) of Regulation (EU) No 575/2013, institutions shall submit the information as specified in Annex IV to this Regulation on a consolidated basis, in accordance with the instructions in Annex V</w:t>
      </w:r>
      <w:r w:rsidRPr="00812F7C">
        <w:t xml:space="preserve"> </w:t>
      </w:r>
      <w:r w:rsidRPr="00FD3527">
        <w:rPr>
          <w:lang w:val="en-US"/>
        </w:rPr>
        <w:t>to this Regulation</w:t>
      </w:r>
      <w:r w:rsidRPr="009675DD">
        <w:t>.</w:t>
      </w:r>
    </w:p>
    <w:p w14:paraId="1A4AC33E" w14:textId="77777777" w:rsidR="00FE0C02" w:rsidRPr="009675DD" w:rsidRDefault="00FE0C02" w:rsidP="00FE0C02">
      <w:pPr>
        <w:pStyle w:val="NumPar1"/>
        <w:numPr>
          <w:ilvl w:val="0"/>
          <w:numId w:val="10"/>
        </w:numPr>
      </w:pPr>
      <w:r w:rsidRPr="007951FC">
        <w:rPr>
          <w:lang w:val="en-US"/>
        </w:rPr>
        <w:t xml:space="preserve">The information referred to in paragraph 1 shall be submitted </w:t>
      </w:r>
      <w:r>
        <w:rPr>
          <w:lang w:val="en-US"/>
        </w:rPr>
        <w:t>as follows</w:t>
      </w:r>
      <w:r w:rsidRPr="009675DD">
        <w:t>:</w:t>
      </w:r>
    </w:p>
    <w:p w14:paraId="4130D034" w14:textId="77777777" w:rsidR="00FE0C02" w:rsidRPr="009675DD" w:rsidRDefault="00FE0C02" w:rsidP="00FE0C02">
      <w:pPr>
        <w:pStyle w:val="Point1"/>
      </w:pPr>
      <w:r>
        <w:t>(a)</w:t>
      </w:r>
      <w:r>
        <w:tab/>
      </w:r>
      <w:r w:rsidRPr="009675DD">
        <w:t xml:space="preserve">the information specified </w:t>
      </w:r>
      <w:r>
        <w:t xml:space="preserve">in </w:t>
      </w:r>
      <w:r w:rsidRPr="009675DD">
        <w:t>Annex IV</w:t>
      </w:r>
      <w:r>
        <w:t>,</w:t>
      </w:r>
      <w:r w:rsidRPr="009675DD">
        <w:t xml:space="preserve"> Part 1</w:t>
      </w:r>
      <w:r>
        <w:t xml:space="preserve">, </w:t>
      </w:r>
      <w:r w:rsidRPr="009675DD">
        <w:t>with a quarterly frequency;</w:t>
      </w:r>
    </w:p>
    <w:p w14:paraId="08B03AF4" w14:textId="77777777" w:rsidR="00FE0C02" w:rsidRPr="009675DD" w:rsidRDefault="00FE0C02" w:rsidP="00FE0C02">
      <w:pPr>
        <w:pStyle w:val="Point1"/>
      </w:pPr>
      <w:r>
        <w:t>(b)</w:t>
      </w:r>
      <w:r>
        <w:tab/>
      </w:r>
      <w:r w:rsidRPr="009675DD">
        <w:t>the information specified in Annex IV</w:t>
      </w:r>
      <w:r>
        <w:t>,</w:t>
      </w:r>
      <w:r w:rsidRPr="009675DD">
        <w:t xml:space="preserve"> Part 3</w:t>
      </w:r>
      <w:r>
        <w:t>,</w:t>
      </w:r>
      <w:r w:rsidRPr="009675DD">
        <w:t xml:space="preserve"> with a semi-annual frequency;</w:t>
      </w:r>
    </w:p>
    <w:p w14:paraId="6BD250DE" w14:textId="77777777" w:rsidR="00FE0C02" w:rsidRPr="009675DD" w:rsidRDefault="00FE0C02" w:rsidP="00FE0C02">
      <w:pPr>
        <w:pStyle w:val="Point1"/>
      </w:pPr>
      <w:r>
        <w:t>(c)</w:t>
      </w:r>
      <w:r>
        <w:tab/>
      </w:r>
      <w:r w:rsidRPr="009675DD">
        <w:t>the information specified in Annex IV</w:t>
      </w:r>
      <w:r>
        <w:t>,</w:t>
      </w:r>
      <w:r w:rsidRPr="009675DD">
        <w:t xml:space="preserve"> Part 4, with the exception of the information specified in template 47, with an annual frequency;</w:t>
      </w:r>
    </w:p>
    <w:p w14:paraId="7E75579F" w14:textId="77777777" w:rsidR="00FE0C02" w:rsidRPr="009675DD" w:rsidRDefault="00FE0C02" w:rsidP="00FE0C02">
      <w:pPr>
        <w:pStyle w:val="Point1"/>
      </w:pPr>
      <w:r>
        <w:t>(d)</w:t>
      </w:r>
      <w:r>
        <w:tab/>
      </w:r>
      <w:r w:rsidRPr="007951FC">
        <w:rPr>
          <w:lang w:val="en-US"/>
        </w:rPr>
        <w:t>the information specified in Annex IV</w:t>
      </w:r>
      <w:r>
        <w:rPr>
          <w:lang w:val="en-US"/>
        </w:rPr>
        <w:t>,</w:t>
      </w:r>
      <w:r w:rsidRPr="007951FC">
        <w:rPr>
          <w:lang w:val="en-US"/>
        </w:rPr>
        <w:t xml:space="preserve"> Part 2</w:t>
      </w:r>
      <w:r>
        <w:rPr>
          <w:lang w:val="en-US"/>
        </w:rPr>
        <w:t xml:space="preserve">, </w:t>
      </w:r>
      <w:r w:rsidRPr="007951FC">
        <w:rPr>
          <w:lang w:val="en-US"/>
        </w:rPr>
        <w:t>template 20</w:t>
      </w:r>
      <w:r>
        <w:rPr>
          <w:lang w:val="en-US"/>
        </w:rPr>
        <w:t>,</w:t>
      </w:r>
      <w:r w:rsidRPr="007951FC">
        <w:rPr>
          <w:lang w:val="en-US"/>
        </w:rPr>
        <w:t xml:space="preserve"> with a quarterly frequency where the institution exceeds the threshold </w:t>
      </w:r>
      <w:r>
        <w:rPr>
          <w:lang w:val="en-US"/>
        </w:rPr>
        <w:t>laid down</w:t>
      </w:r>
      <w:r w:rsidRPr="007951FC">
        <w:rPr>
          <w:lang w:val="en-US"/>
        </w:rPr>
        <w:t xml:space="preserve"> in Article 5</w:t>
      </w:r>
      <w:r>
        <w:rPr>
          <w:lang w:val="en-US"/>
        </w:rPr>
        <w:t>(5), the second subparagraph</w:t>
      </w:r>
      <w:r w:rsidRPr="009675DD">
        <w:t>;</w:t>
      </w:r>
    </w:p>
    <w:p w14:paraId="76AF5C14" w14:textId="77777777" w:rsidR="00FE0C02" w:rsidRPr="009675DD" w:rsidRDefault="00FE0C02" w:rsidP="00FE0C02">
      <w:pPr>
        <w:pStyle w:val="Point1"/>
      </w:pPr>
      <w:r>
        <w:t>(e)</w:t>
      </w:r>
      <w:r>
        <w:tab/>
      </w:r>
      <w:r w:rsidRPr="007951FC">
        <w:rPr>
          <w:lang w:val="en-US"/>
        </w:rPr>
        <w:t>the information specified in Annex IV</w:t>
      </w:r>
      <w:r>
        <w:rPr>
          <w:lang w:val="en-US"/>
        </w:rPr>
        <w:t>,</w:t>
      </w:r>
      <w:r w:rsidRPr="007951FC">
        <w:rPr>
          <w:lang w:val="en-US"/>
        </w:rPr>
        <w:t xml:space="preserve"> Part 2</w:t>
      </w:r>
      <w:r>
        <w:rPr>
          <w:lang w:val="en-US"/>
        </w:rPr>
        <w:t xml:space="preserve">, </w:t>
      </w:r>
      <w:r w:rsidRPr="007951FC">
        <w:rPr>
          <w:lang w:val="en-US"/>
        </w:rPr>
        <w:t>template 21</w:t>
      </w:r>
      <w:r>
        <w:rPr>
          <w:lang w:val="en-US"/>
        </w:rPr>
        <w:t>,</w:t>
      </w:r>
      <w:r w:rsidRPr="007951FC">
        <w:rPr>
          <w:lang w:val="en-US"/>
        </w:rPr>
        <w:t xml:space="preserve"> with a quarterly frequency where tangible assets subject to operating leases are equal to or higher than 10</w:t>
      </w:r>
      <w:r>
        <w:rPr>
          <w:lang w:val="en-US"/>
        </w:rPr>
        <w:t> </w:t>
      </w:r>
      <w:r w:rsidRPr="007951FC">
        <w:rPr>
          <w:lang w:val="en-US"/>
        </w:rPr>
        <w:t xml:space="preserve">% of total tangible assets as reported in </w:t>
      </w:r>
      <w:r>
        <w:rPr>
          <w:lang w:val="en-US"/>
        </w:rPr>
        <w:t xml:space="preserve">accordance with </w:t>
      </w:r>
      <w:r w:rsidRPr="007951FC">
        <w:rPr>
          <w:lang w:val="en-US"/>
        </w:rPr>
        <w:t>Annex IV</w:t>
      </w:r>
      <w:r>
        <w:rPr>
          <w:lang w:val="en-US"/>
        </w:rPr>
        <w:t>,</w:t>
      </w:r>
      <w:r w:rsidRPr="007951FC">
        <w:rPr>
          <w:lang w:val="en-US"/>
        </w:rPr>
        <w:t xml:space="preserve"> Part 1</w:t>
      </w:r>
      <w:r>
        <w:rPr>
          <w:lang w:val="en-US"/>
        </w:rPr>
        <w:t xml:space="preserve">, </w:t>
      </w:r>
      <w:r w:rsidRPr="007951FC">
        <w:rPr>
          <w:lang w:val="en-US"/>
        </w:rPr>
        <w:t>template 1.1</w:t>
      </w:r>
      <w:r w:rsidRPr="009675DD">
        <w:t>;</w:t>
      </w:r>
    </w:p>
    <w:p w14:paraId="406C6C11" w14:textId="77777777" w:rsidR="00FE0C02" w:rsidRPr="009675DD" w:rsidRDefault="00FE0C02" w:rsidP="00FE0C02">
      <w:pPr>
        <w:pStyle w:val="Point1"/>
      </w:pPr>
      <w:r>
        <w:t>(f)</w:t>
      </w:r>
      <w:r>
        <w:tab/>
      </w:r>
      <w:r w:rsidRPr="007951FC">
        <w:rPr>
          <w:lang w:val="en-US"/>
        </w:rPr>
        <w:t>the information specified in Annex IV</w:t>
      </w:r>
      <w:r>
        <w:rPr>
          <w:lang w:val="en-US"/>
        </w:rPr>
        <w:t>,</w:t>
      </w:r>
      <w:r w:rsidRPr="007951FC">
        <w:rPr>
          <w:lang w:val="en-US"/>
        </w:rPr>
        <w:t xml:space="preserve"> Part 2</w:t>
      </w:r>
      <w:r>
        <w:rPr>
          <w:lang w:val="en-US"/>
        </w:rPr>
        <w:t>,</w:t>
      </w:r>
      <w:r w:rsidRPr="007951FC">
        <w:rPr>
          <w:lang w:val="en-US"/>
        </w:rPr>
        <w:t xml:space="preserve"> template 22</w:t>
      </w:r>
      <w:r>
        <w:rPr>
          <w:lang w:val="en-US"/>
        </w:rPr>
        <w:t>,</w:t>
      </w:r>
      <w:r w:rsidRPr="007951FC">
        <w:rPr>
          <w:lang w:val="en-US"/>
        </w:rPr>
        <w:t xml:space="preserve"> with a quarterly frequency where net fee and commission income is equal to or higher than 10</w:t>
      </w:r>
      <w:r>
        <w:rPr>
          <w:lang w:val="en-US"/>
        </w:rPr>
        <w:t> </w:t>
      </w:r>
      <w:r w:rsidRPr="007951FC">
        <w:rPr>
          <w:lang w:val="en-US"/>
        </w:rPr>
        <w:t xml:space="preserve">% of the sum of net fee and commission income and net interest income as reported in </w:t>
      </w:r>
      <w:r>
        <w:rPr>
          <w:lang w:val="en-US"/>
        </w:rPr>
        <w:t xml:space="preserve">accordance with </w:t>
      </w:r>
      <w:r w:rsidRPr="007951FC">
        <w:rPr>
          <w:lang w:val="en-US"/>
        </w:rPr>
        <w:t>Annex IV</w:t>
      </w:r>
      <w:r>
        <w:rPr>
          <w:lang w:val="en-US"/>
        </w:rPr>
        <w:t>,</w:t>
      </w:r>
      <w:r w:rsidRPr="007951FC">
        <w:rPr>
          <w:lang w:val="en-US"/>
        </w:rPr>
        <w:t xml:space="preserve"> Part 1</w:t>
      </w:r>
      <w:r>
        <w:rPr>
          <w:lang w:val="en-US"/>
        </w:rPr>
        <w:t xml:space="preserve">, </w:t>
      </w:r>
      <w:r w:rsidRPr="007951FC">
        <w:rPr>
          <w:lang w:val="en-US"/>
        </w:rPr>
        <w:t>template 2</w:t>
      </w:r>
      <w:r w:rsidRPr="009675DD">
        <w:t>;</w:t>
      </w:r>
    </w:p>
    <w:p w14:paraId="1A7AAB4F" w14:textId="77777777" w:rsidR="00FE0C02" w:rsidRPr="009675DD" w:rsidRDefault="00FE0C02" w:rsidP="00FE0C02">
      <w:pPr>
        <w:pStyle w:val="Point1"/>
      </w:pPr>
      <w:r>
        <w:t>(g)</w:t>
      </w:r>
      <w:r>
        <w:tab/>
      </w:r>
      <w:r w:rsidRPr="007951FC">
        <w:rPr>
          <w:lang w:val="en-US"/>
        </w:rPr>
        <w:t>the information specified in Annex IV</w:t>
      </w:r>
      <w:r>
        <w:rPr>
          <w:lang w:val="en-US"/>
        </w:rPr>
        <w:t>,</w:t>
      </w:r>
      <w:r w:rsidRPr="007951FC">
        <w:rPr>
          <w:lang w:val="en-US"/>
        </w:rPr>
        <w:t xml:space="preserve"> Part 2</w:t>
      </w:r>
      <w:r>
        <w:rPr>
          <w:lang w:val="en-US"/>
        </w:rPr>
        <w:t xml:space="preserve">, </w:t>
      </w:r>
      <w:r w:rsidRPr="007951FC">
        <w:rPr>
          <w:lang w:val="en-US"/>
        </w:rPr>
        <w:t>templates 23</w:t>
      </w:r>
      <w:r>
        <w:rPr>
          <w:lang w:val="en-US"/>
        </w:rPr>
        <w:t xml:space="preserve"> to</w:t>
      </w:r>
      <w:r w:rsidRPr="007951FC">
        <w:rPr>
          <w:lang w:val="en-US"/>
        </w:rPr>
        <w:t xml:space="preserve"> 26</w:t>
      </w:r>
      <w:r>
        <w:rPr>
          <w:lang w:val="en-US"/>
        </w:rPr>
        <w:t xml:space="preserve">, </w:t>
      </w:r>
      <w:r w:rsidRPr="007951FC">
        <w:rPr>
          <w:lang w:val="en-US"/>
        </w:rPr>
        <w:t>with a quarterly frequency where both of the following conditions are fulfilled</w:t>
      </w:r>
      <w:r w:rsidRPr="009675DD">
        <w:t>:</w:t>
      </w:r>
    </w:p>
    <w:p w14:paraId="6F0AB516" w14:textId="77777777" w:rsidR="00FE0C02" w:rsidRPr="00CA6817" w:rsidRDefault="00FE0C02" w:rsidP="00FE0C02">
      <w:pPr>
        <w:pStyle w:val="Point2"/>
      </w:pPr>
      <w:r>
        <w:t>(i)</w:t>
      </w:r>
      <w:r>
        <w:tab/>
      </w:r>
      <w:r w:rsidRPr="00CA6817">
        <w:t>the institution is not a small and non-complex;</w:t>
      </w:r>
    </w:p>
    <w:p w14:paraId="08D20076" w14:textId="77777777" w:rsidR="00FE0C02" w:rsidRDefault="00FE0C02" w:rsidP="00FE0C02">
      <w:pPr>
        <w:pStyle w:val="Point1"/>
        <w:ind w:firstLine="0"/>
      </w:pPr>
      <w:r>
        <w:t>(ii)</w:t>
      </w:r>
      <w:r>
        <w:tab/>
      </w:r>
      <w:r w:rsidRPr="007951FC">
        <w:rPr>
          <w:lang w:val="en-US"/>
        </w:rPr>
        <w:t>the institution’s ratio as specified in Article 11(2)</w:t>
      </w:r>
      <w:r>
        <w:rPr>
          <w:lang w:val="en-US"/>
        </w:rPr>
        <w:t>,</w:t>
      </w:r>
      <w:r w:rsidRPr="007951FC">
        <w:rPr>
          <w:lang w:val="en-US"/>
        </w:rPr>
        <w:t xml:space="preserve"> point (g)(ii) is equal to or higher than 5</w:t>
      </w:r>
      <w:r>
        <w:rPr>
          <w:lang w:val="en-US"/>
        </w:rPr>
        <w:t> </w:t>
      </w:r>
      <w:r w:rsidRPr="007951FC">
        <w:rPr>
          <w:lang w:val="en-US"/>
        </w:rPr>
        <w:t>%</w:t>
      </w:r>
      <w:r>
        <w:t>;</w:t>
      </w:r>
      <w:r w:rsidRPr="00CA6817">
        <w:t xml:space="preserve"> </w:t>
      </w:r>
      <w:r w:rsidRPr="000C60D7" w:rsidDel="00812F7C">
        <w:t xml:space="preserve"> </w:t>
      </w:r>
    </w:p>
    <w:p w14:paraId="7B685EE5" w14:textId="77777777" w:rsidR="00FE0C02" w:rsidRDefault="00FE0C02" w:rsidP="00FE0C02">
      <w:pPr>
        <w:pStyle w:val="Point1"/>
        <w:rPr>
          <w:lang w:val="en-US"/>
        </w:rPr>
      </w:pPr>
      <w:r>
        <w:t>(h)</w:t>
      </w:r>
      <w:r>
        <w:tab/>
      </w:r>
      <w:r w:rsidRPr="007951FC">
        <w:rPr>
          <w:lang w:val="en-US"/>
        </w:rPr>
        <w:t>the information specified in Annex IV</w:t>
      </w:r>
      <w:r>
        <w:rPr>
          <w:lang w:val="en-US"/>
        </w:rPr>
        <w:t>,</w:t>
      </w:r>
      <w:r w:rsidRPr="007951FC">
        <w:rPr>
          <w:lang w:val="en-US"/>
        </w:rPr>
        <w:t xml:space="preserve"> Part 4</w:t>
      </w:r>
      <w:r>
        <w:rPr>
          <w:lang w:val="en-US"/>
        </w:rPr>
        <w:t xml:space="preserve">, </w:t>
      </w:r>
      <w:r w:rsidRPr="007951FC">
        <w:rPr>
          <w:lang w:val="en-US"/>
        </w:rPr>
        <w:t>template 47</w:t>
      </w:r>
      <w:r>
        <w:rPr>
          <w:lang w:val="en-US"/>
        </w:rPr>
        <w:t>,</w:t>
      </w:r>
      <w:r w:rsidRPr="007951FC">
        <w:rPr>
          <w:lang w:val="en-US"/>
        </w:rPr>
        <w:t xml:space="preserve"> with an annual frequency where both of the conditions set out in point (g) of this paragraph are fulfilled. </w:t>
      </w:r>
    </w:p>
    <w:p w14:paraId="6E0D6196" w14:textId="77777777" w:rsidR="00FE0C02" w:rsidRPr="009675DD" w:rsidRDefault="00FE0C02" w:rsidP="00FE0C02">
      <w:pPr>
        <w:pStyle w:val="Point1"/>
      </w:pPr>
      <w:r w:rsidRPr="00812F7C">
        <w:rPr>
          <w:lang w:val="en-US"/>
        </w:rPr>
        <w:t xml:space="preserve">For the purposes of points (d) to (h) of this paragraph, </w:t>
      </w:r>
      <w:r>
        <w:rPr>
          <w:lang w:val="en-US"/>
        </w:rPr>
        <w:t>t</w:t>
      </w:r>
      <w:r w:rsidRPr="007951FC">
        <w:rPr>
          <w:lang w:val="en-US"/>
        </w:rPr>
        <w:t>he entry and exit criteria referred to in Article 4(</w:t>
      </w:r>
      <w:r>
        <w:rPr>
          <w:lang w:val="en-US"/>
        </w:rPr>
        <w:t>3</w:t>
      </w:r>
      <w:r w:rsidRPr="007951FC">
        <w:rPr>
          <w:lang w:val="en-US"/>
        </w:rPr>
        <w:t>) shall apply</w:t>
      </w:r>
      <w:r w:rsidRPr="009675DD">
        <w:t xml:space="preserve">. </w:t>
      </w:r>
    </w:p>
    <w:p w14:paraId="1265B500" w14:textId="77777777" w:rsidR="00FE0C02" w:rsidRDefault="00FE0C02" w:rsidP="00FE0C02">
      <w:pPr>
        <w:pStyle w:val="Titrearticle"/>
      </w:pPr>
      <w:r w:rsidRPr="00086C86">
        <w:lastRenderedPageBreak/>
        <w:t xml:space="preserve">Article </w:t>
      </w:r>
      <w:r w:rsidRPr="009675DD">
        <w:fldChar w:fldCharType="begin"/>
      </w:r>
      <w:r w:rsidRPr="00086C86">
        <w:instrText xml:space="preserve"> seq article </w:instrText>
      </w:r>
      <w:r w:rsidRPr="009675DD">
        <w:fldChar w:fldCharType="separate"/>
      </w:r>
      <w:r>
        <w:t>13</w:t>
      </w:r>
      <w:r w:rsidRPr="009675DD">
        <w:fldChar w:fldCharType="end"/>
      </w:r>
    </w:p>
    <w:p w14:paraId="62DD7E11" w14:textId="77777777" w:rsidR="00FE0C02" w:rsidRPr="00761243" w:rsidRDefault="00FE0C02" w:rsidP="00FE0C02">
      <w:pPr>
        <w:pStyle w:val="Text1"/>
      </w:pPr>
      <w:r w:rsidRPr="00116353">
        <w:rPr>
          <w:b/>
        </w:rPr>
        <w:t>Reporting on losses stemming from lending collateralised by immovable property in accordance with Article 430a(1) of Regulation (EU) No 575/2013</w:t>
      </w:r>
      <w:r w:rsidRPr="0078668E">
        <w:rPr>
          <w:b/>
        </w:rPr>
        <w:t xml:space="preserve"> on an individual and a consolidated basis</w:t>
      </w:r>
    </w:p>
    <w:p w14:paraId="663A2D70" w14:textId="77777777" w:rsidR="00FE0C02" w:rsidRPr="009675DD" w:rsidRDefault="00FE0C02" w:rsidP="005F180D">
      <w:pPr>
        <w:pStyle w:val="NumPar1"/>
        <w:numPr>
          <w:ilvl w:val="0"/>
          <w:numId w:val="21"/>
        </w:numPr>
      </w:pPr>
      <w:r w:rsidRPr="00FD3527">
        <w:rPr>
          <w:lang w:val="en-US"/>
        </w:rPr>
        <w:t>Institutions shall submit the information as specified in Annex VI, in accordance with the instructions in Annex VII, on a consolidated basis with an annual frequency</w:t>
      </w:r>
      <w:r w:rsidRPr="009675DD">
        <w:t>.</w:t>
      </w:r>
    </w:p>
    <w:p w14:paraId="60EE04AB" w14:textId="77777777" w:rsidR="00FE0C02" w:rsidRPr="009675DD" w:rsidRDefault="00FE0C02" w:rsidP="00FE0C02">
      <w:pPr>
        <w:pStyle w:val="NumPar1"/>
        <w:numPr>
          <w:ilvl w:val="0"/>
          <w:numId w:val="10"/>
        </w:numPr>
      </w:pPr>
      <w:r w:rsidRPr="007951FC">
        <w:rPr>
          <w:lang w:val="en-US"/>
        </w:rPr>
        <w:t xml:space="preserve">Institutions shall submit the information </w:t>
      </w:r>
      <w:r>
        <w:rPr>
          <w:lang w:val="en-US"/>
        </w:rPr>
        <w:t xml:space="preserve">as </w:t>
      </w:r>
      <w:r w:rsidRPr="007951FC">
        <w:rPr>
          <w:lang w:val="en-US"/>
        </w:rPr>
        <w:t xml:space="preserve">specified in Annex VI, in accordance with the instructions in Annex VII, on a </w:t>
      </w:r>
      <w:r>
        <w:rPr>
          <w:lang w:val="en-US"/>
        </w:rPr>
        <w:t>individual</w:t>
      </w:r>
      <w:r w:rsidRPr="007951FC">
        <w:rPr>
          <w:lang w:val="en-US"/>
        </w:rPr>
        <w:t xml:space="preserve"> basis with an annual frequency</w:t>
      </w:r>
      <w:r w:rsidRPr="009675DD">
        <w:t>.</w:t>
      </w:r>
    </w:p>
    <w:p w14:paraId="2635EBF0" w14:textId="77777777" w:rsidR="00FE0C02" w:rsidRDefault="00FE0C02" w:rsidP="00FE0C02">
      <w:pPr>
        <w:pStyle w:val="NumPar1"/>
        <w:numPr>
          <w:ilvl w:val="0"/>
          <w:numId w:val="10"/>
        </w:numPr>
      </w:pPr>
      <w:r w:rsidRPr="00BF56AE">
        <w:rPr>
          <w:lang w:val="en-US"/>
        </w:rPr>
        <w:t xml:space="preserve">Where an institution has a branch in another Member State, </w:t>
      </w:r>
      <w:r>
        <w:rPr>
          <w:lang w:val="en-US"/>
        </w:rPr>
        <w:t>that b</w:t>
      </w:r>
      <w:r w:rsidRPr="00BF56AE">
        <w:rPr>
          <w:lang w:val="en-US"/>
        </w:rPr>
        <w:t>ranch shall submit to the competent authority of the host Member State the information specified in Annex VI related to that branch, in accordance with the instructions in Annex VII, with an annual frequency</w:t>
      </w:r>
      <w:r w:rsidRPr="009675DD">
        <w:t>.</w:t>
      </w:r>
    </w:p>
    <w:p w14:paraId="7DA92B87" w14:textId="77777777" w:rsidR="00FE0C02" w:rsidRDefault="00FE0C02" w:rsidP="00FE0C02">
      <w:pPr>
        <w:pStyle w:val="Titrearticle"/>
      </w:pPr>
      <w:r w:rsidRPr="00086C86">
        <w:t xml:space="preserve">Article </w:t>
      </w:r>
      <w:r>
        <w:t>14</w:t>
      </w:r>
    </w:p>
    <w:p w14:paraId="5DF7D5F9" w14:textId="77777777" w:rsidR="00FE0C02" w:rsidRPr="00116353" w:rsidRDefault="00FE0C02" w:rsidP="00FE0C02">
      <w:pPr>
        <w:pStyle w:val="Titrearticle"/>
        <w:spacing w:before="120"/>
        <w:rPr>
          <w:b/>
          <w:i w:val="0"/>
        </w:rPr>
      </w:pPr>
      <w:r w:rsidRPr="00116353">
        <w:rPr>
          <w:b/>
          <w:i w:val="0"/>
        </w:rPr>
        <w:t>Reporting on large exposures on an individual and a consolidated basis</w:t>
      </w:r>
    </w:p>
    <w:p w14:paraId="07D89C15" w14:textId="77777777" w:rsidR="00FE0C02" w:rsidRPr="00BF182F" w:rsidRDefault="00FE0C02" w:rsidP="005F180D">
      <w:pPr>
        <w:pStyle w:val="NumPar1"/>
        <w:numPr>
          <w:ilvl w:val="0"/>
          <w:numId w:val="22"/>
        </w:numPr>
      </w:pPr>
      <w:r w:rsidRPr="00FD3527">
        <w:rPr>
          <w:lang w:val="en-US"/>
        </w:rPr>
        <w:t>In order to report information on large exposures to clients and groups of connected clients in accordance with Article 394 of Regulation (EU) No 575/2013 on an individual and a consolidated basis, institutions shall submit the information as specified in Annex VIII, in accordance with the instructions in Annex IX, with a quarterly frequency</w:t>
      </w:r>
      <w:r w:rsidRPr="00BF182F">
        <w:t>.</w:t>
      </w:r>
    </w:p>
    <w:p w14:paraId="1BE89751" w14:textId="77777777" w:rsidR="00FE0C02" w:rsidRPr="00BF182F" w:rsidRDefault="00FE0C02" w:rsidP="00FE0C02">
      <w:pPr>
        <w:pStyle w:val="NumPar1"/>
        <w:numPr>
          <w:ilvl w:val="0"/>
          <w:numId w:val="10"/>
        </w:numPr>
      </w:pPr>
      <w:r w:rsidRPr="007951FC">
        <w:rPr>
          <w:lang w:val="en-US"/>
        </w:rPr>
        <w:t>In order to report information on the 20 largest exposures to clients or groups of connected clients in accordance with Article 394(1) of Regulation (EU) No 575/2013 on a consolidated basis, institutions subject to Part Three</w:t>
      </w:r>
      <w:r>
        <w:rPr>
          <w:lang w:val="en-US"/>
        </w:rPr>
        <w:t>,</w:t>
      </w:r>
      <w:r w:rsidRPr="007951FC">
        <w:rPr>
          <w:lang w:val="en-US"/>
        </w:rPr>
        <w:t xml:space="preserve"> Title II</w:t>
      </w:r>
      <w:r>
        <w:rPr>
          <w:lang w:val="en-US"/>
        </w:rPr>
        <w:t>,</w:t>
      </w:r>
      <w:r w:rsidRPr="007951FC">
        <w:rPr>
          <w:lang w:val="en-US"/>
        </w:rPr>
        <w:t xml:space="preserve"> Chapter 3 of Regulation (EU) No 575/2013 shall submit the information specified in Annex VIII, in accordance with the instructions in Annex IX, with a quarterly frequency</w:t>
      </w:r>
      <w:r w:rsidRPr="00BF182F">
        <w:t>.</w:t>
      </w:r>
    </w:p>
    <w:p w14:paraId="4501AF0E" w14:textId="77777777" w:rsidR="00FE0C02" w:rsidRPr="00BF182F" w:rsidRDefault="00FE0C02" w:rsidP="00FE0C02">
      <w:pPr>
        <w:pStyle w:val="NumPar1"/>
        <w:numPr>
          <w:ilvl w:val="0"/>
          <w:numId w:val="10"/>
        </w:numPr>
      </w:pPr>
      <w:r w:rsidRPr="007951FC">
        <w:rPr>
          <w:lang w:val="en-US"/>
        </w:rPr>
        <w:t>In order to report information on exposures of a value greater than or equal to EUR 300 million but less than 10</w:t>
      </w:r>
      <w:r>
        <w:rPr>
          <w:lang w:val="en-US"/>
        </w:rPr>
        <w:t> </w:t>
      </w:r>
      <w:r w:rsidRPr="007951FC">
        <w:rPr>
          <w:lang w:val="en-US"/>
        </w:rPr>
        <w:t>% of the institution’s Tier 1 capital in accordance with Article 394(1) of Regulation (EU) No 575/2013 on a consolidated basis, institutions shall submit the information specified in Annex VIII, in accordance with the instructions in Annex IX, with a quarterly frequency</w:t>
      </w:r>
      <w:r w:rsidRPr="00BF182F">
        <w:t>.</w:t>
      </w:r>
    </w:p>
    <w:p w14:paraId="6CA58180" w14:textId="77777777" w:rsidR="00FE0C02" w:rsidRPr="00BF182F" w:rsidRDefault="00FE0C02" w:rsidP="00FE0C02">
      <w:pPr>
        <w:pStyle w:val="NumPar1"/>
        <w:numPr>
          <w:ilvl w:val="0"/>
          <w:numId w:val="10"/>
        </w:numPr>
      </w:pPr>
      <w:r w:rsidRPr="007951FC">
        <w:rPr>
          <w:lang w:val="en-US"/>
        </w:rPr>
        <w:t xml:space="preserve">In order to report information on the 10 largest exposures to institutions on a consolidated basis, and on the 10 largest exposures to shadow banking entities that carry out banking activities outside the regulated framework on a consolidated basis, in accordance with Article 394(2) of Regulation (EU) No 575/2013, institutions shall submit the information </w:t>
      </w:r>
      <w:r>
        <w:rPr>
          <w:lang w:val="en-US"/>
        </w:rPr>
        <w:t xml:space="preserve">as </w:t>
      </w:r>
      <w:r w:rsidRPr="007951FC">
        <w:rPr>
          <w:lang w:val="en-US"/>
        </w:rPr>
        <w:t>specified in Annex VIII, in accordance with the instructions in Annex IX, with a quarterly frequency</w:t>
      </w:r>
      <w:r w:rsidRPr="00BF182F">
        <w:t>.</w:t>
      </w:r>
    </w:p>
    <w:p w14:paraId="24660E67" w14:textId="77777777" w:rsidR="00FE0C02" w:rsidRDefault="00FE0C02" w:rsidP="00FE0C02">
      <w:pPr>
        <w:pStyle w:val="Titrearticle"/>
      </w:pPr>
      <w:r w:rsidRPr="00086C86">
        <w:t xml:space="preserve">Article </w:t>
      </w:r>
      <w:r w:rsidRPr="00F91209">
        <w:fldChar w:fldCharType="begin"/>
      </w:r>
      <w:r w:rsidRPr="00086C86">
        <w:instrText xml:space="preserve"> seq article </w:instrText>
      </w:r>
      <w:r w:rsidRPr="00F91209">
        <w:fldChar w:fldCharType="separate"/>
      </w:r>
      <w:r>
        <w:t>15</w:t>
      </w:r>
      <w:r w:rsidRPr="00F91209">
        <w:fldChar w:fldCharType="end"/>
      </w:r>
    </w:p>
    <w:p w14:paraId="7A43457A" w14:textId="77777777" w:rsidR="00FE0C02" w:rsidRPr="00116353" w:rsidRDefault="00FE0C02" w:rsidP="00FE0C02">
      <w:pPr>
        <w:pStyle w:val="Titrearticle"/>
        <w:spacing w:before="120"/>
        <w:rPr>
          <w:b/>
          <w:i w:val="0"/>
        </w:rPr>
      </w:pPr>
      <w:r w:rsidRPr="00116353">
        <w:rPr>
          <w:b/>
          <w:i w:val="0"/>
        </w:rPr>
        <w:t>Reporting on leverage ratio on an individual and a consolidated basis</w:t>
      </w:r>
    </w:p>
    <w:p w14:paraId="01CD6524" w14:textId="77777777" w:rsidR="00FE0C02" w:rsidRPr="00F91209" w:rsidRDefault="00FE0C02" w:rsidP="005F180D">
      <w:pPr>
        <w:pStyle w:val="NumPar1"/>
        <w:numPr>
          <w:ilvl w:val="0"/>
          <w:numId w:val="23"/>
        </w:numPr>
      </w:pPr>
      <w:r w:rsidRPr="00FD3527">
        <w:rPr>
          <w:lang w:val="en-US"/>
        </w:rPr>
        <w:t>In order to report information on the leverage ratio in accordance with Article 430(1), point (a), of Regulation (EU) No 575/2013 on an individual and a consolidated basis, institutions shall submit the information as specified in Annex X, in accordance with the instructions in Annex XI, with a quarterly frequency. Only large institutions shall submit template 48.00 of Annex X</w:t>
      </w:r>
      <w:r w:rsidRPr="00F91209">
        <w:t>.</w:t>
      </w:r>
    </w:p>
    <w:p w14:paraId="3FADC775" w14:textId="77777777" w:rsidR="00FE0C02" w:rsidRPr="00F91209" w:rsidRDefault="00FE0C02" w:rsidP="00FE0C02">
      <w:pPr>
        <w:pStyle w:val="NumPar1"/>
        <w:numPr>
          <w:ilvl w:val="0"/>
          <w:numId w:val="10"/>
        </w:numPr>
      </w:pPr>
      <w:r w:rsidRPr="007951FC">
        <w:rPr>
          <w:lang w:val="en-US"/>
        </w:rPr>
        <w:lastRenderedPageBreak/>
        <w:t>The information specified in Annex X</w:t>
      </w:r>
      <w:r>
        <w:rPr>
          <w:lang w:val="en-US"/>
        </w:rPr>
        <w:t>,</w:t>
      </w:r>
      <w:r w:rsidRPr="007951FC">
        <w:rPr>
          <w:lang w:val="en-US"/>
        </w:rPr>
        <w:t xml:space="preserve"> template 40.00</w:t>
      </w:r>
      <w:r>
        <w:rPr>
          <w:lang w:val="en-US"/>
        </w:rPr>
        <w:t>,</w:t>
      </w:r>
      <w:r w:rsidRPr="007951FC">
        <w:rPr>
          <w:lang w:val="en-US"/>
        </w:rPr>
        <w:t xml:space="preserve"> cell {r0410;c0010} shall be reported only by</w:t>
      </w:r>
      <w:r w:rsidRPr="00F91209">
        <w:t>:</w:t>
      </w:r>
    </w:p>
    <w:p w14:paraId="08C9A1E3" w14:textId="77777777" w:rsidR="00FE0C02" w:rsidRPr="00F91209" w:rsidRDefault="00FE0C02" w:rsidP="00FE0C02">
      <w:pPr>
        <w:pStyle w:val="Point2"/>
      </w:pPr>
      <w:r>
        <w:t>(a)</w:t>
      </w:r>
      <w:r>
        <w:tab/>
      </w:r>
      <w:r w:rsidRPr="007951FC">
        <w:rPr>
          <w:lang w:val="en-US"/>
        </w:rPr>
        <w:t>large institutions that either are G-SIIs or have issued securities that are admitted to trading on a regulated market with a semi-annual frequency</w:t>
      </w:r>
      <w:r w:rsidRPr="00F91209">
        <w:t xml:space="preserve">; </w:t>
      </w:r>
    </w:p>
    <w:p w14:paraId="3A54256E" w14:textId="77777777" w:rsidR="00FE0C02" w:rsidRPr="00F91209" w:rsidRDefault="00FE0C02" w:rsidP="00FE0C02">
      <w:pPr>
        <w:pStyle w:val="Point2"/>
      </w:pPr>
      <w:r>
        <w:t>(b)</w:t>
      </w:r>
      <w:r>
        <w:tab/>
      </w:r>
      <w:r w:rsidRPr="007951FC">
        <w:rPr>
          <w:lang w:val="en-US"/>
        </w:rPr>
        <w:t>large institutions other than G-SIIs that are not listed institutions with an annual frequency</w:t>
      </w:r>
      <w:r w:rsidRPr="00F91209">
        <w:t>;</w:t>
      </w:r>
    </w:p>
    <w:p w14:paraId="492CCDFE" w14:textId="77777777" w:rsidR="00FE0C02" w:rsidRPr="00F91209" w:rsidRDefault="00FE0C02" w:rsidP="00FE0C02">
      <w:pPr>
        <w:pStyle w:val="Point2"/>
      </w:pPr>
      <w:r>
        <w:t>(c)</w:t>
      </w:r>
      <w:r>
        <w:tab/>
      </w:r>
      <w:r w:rsidRPr="00BF07FD">
        <w:rPr>
          <w:szCs w:val="24"/>
        </w:rPr>
        <w:t>institutions other than large institutions and small and non-complex institutions that have issued securities that are admitted to trading on a regulated market with an annual frequency</w:t>
      </w:r>
      <w:r w:rsidRPr="00F91209">
        <w:t xml:space="preserve">. </w:t>
      </w:r>
    </w:p>
    <w:p w14:paraId="56E76BBA" w14:textId="77777777" w:rsidR="00FE0C02" w:rsidRPr="00F91209" w:rsidRDefault="00FE0C02" w:rsidP="00FE0C02">
      <w:pPr>
        <w:pStyle w:val="NumPar1"/>
        <w:numPr>
          <w:ilvl w:val="0"/>
          <w:numId w:val="10"/>
        </w:numPr>
      </w:pPr>
      <w:r w:rsidRPr="00BF07FD">
        <w:rPr>
          <w:szCs w:val="24"/>
        </w:rPr>
        <w:t>Institutions shall calculate the leverage ratio at the reporting reference date in accordance with Article 429 of Regulation (EU) No 575/2013</w:t>
      </w:r>
      <w:r w:rsidRPr="00F91209">
        <w:t>.</w:t>
      </w:r>
    </w:p>
    <w:p w14:paraId="071CB257" w14:textId="77777777" w:rsidR="00FE0C02" w:rsidRDefault="00FE0C02" w:rsidP="00FE0C02">
      <w:pPr>
        <w:pStyle w:val="NumPar1"/>
        <w:numPr>
          <w:ilvl w:val="0"/>
          <w:numId w:val="10"/>
        </w:numPr>
      </w:pPr>
      <w:r w:rsidRPr="00BF07FD">
        <w:rPr>
          <w:szCs w:val="24"/>
        </w:rPr>
        <w:t>Institutions</w:t>
      </w:r>
      <w:r w:rsidRPr="00BF07FD">
        <w:rPr>
          <w:spacing w:val="-10"/>
          <w:szCs w:val="24"/>
        </w:rPr>
        <w:t xml:space="preserve"> </w:t>
      </w:r>
      <w:r w:rsidRPr="00BF07FD">
        <w:rPr>
          <w:szCs w:val="24"/>
        </w:rPr>
        <w:t>shall</w:t>
      </w:r>
      <w:r w:rsidRPr="00BF07FD">
        <w:rPr>
          <w:spacing w:val="-11"/>
          <w:szCs w:val="24"/>
        </w:rPr>
        <w:t xml:space="preserve"> </w:t>
      </w:r>
      <w:r w:rsidRPr="00BF07FD">
        <w:rPr>
          <w:szCs w:val="24"/>
        </w:rPr>
        <w:t>report</w:t>
      </w:r>
      <w:r w:rsidRPr="00BF07FD">
        <w:rPr>
          <w:spacing w:val="-10"/>
          <w:szCs w:val="24"/>
        </w:rPr>
        <w:t xml:space="preserve"> </w:t>
      </w:r>
      <w:r w:rsidRPr="00BF07FD">
        <w:rPr>
          <w:szCs w:val="24"/>
        </w:rPr>
        <w:t>the</w:t>
      </w:r>
      <w:r w:rsidRPr="00BF07FD">
        <w:rPr>
          <w:spacing w:val="-10"/>
          <w:szCs w:val="24"/>
        </w:rPr>
        <w:t xml:space="preserve"> </w:t>
      </w:r>
      <w:r w:rsidRPr="00BF07FD">
        <w:rPr>
          <w:szCs w:val="24"/>
        </w:rPr>
        <w:t>information</w:t>
      </w:r>
      <w:r w:rsidRPr="00BF07FD">
        <w:rPr>
          <w:spacing w:val="-10"/>
          <w:szCs w:val="24"/>
        </w:rPr>
        <w:t xml:space="preserve"> </w:t>
      </w:r>
      <w:r w:rsidRPr="00BF07FD">
        <w:rPr>
          <w:szCs w:val="24"/>
        </w:rPr>
        <w:t>referred</w:t>
      </w:r>
      <w:r w:rsidRPr="00BF07FD">
        <w:rPr>
          <w:spacing w:val="-10"/>
          <w:szCs w:val="24"/>
        </w:rPr>
        <w:t xml:space="preserve"> </w:t>
      </w:r>
      <w:r w:rsidRPr="00BF07FD">
        <w:rPr>
          <w:szCs w:val="24"/>
        </w:rPr>
        <w:t>to</w:t>
      </w:r>
      <w:r w:rsidRPr="00BF07FD">
        <w:rPr>
          <w:spacing w:val="-11"/>
          <w:szCs w:val="24"/>
        </w:rPr>
        <w:t xml:space="preserve"> </w:t>
      </w:r>
      <w:r w:rsidRPr="00BF07FD">
        <w:rPr>
          <w:szCs w:val="24"/>
        </w:rPr>
        <w:t>in</w:t>
      </w:r>
      <w:r w:rsidRPr="00BF07FD">
        <w:rPr>
          <w:spacing w:val="-11"/>
          <w:szCs w:val="24"/>
        </w:rPr>
        <w:t xml:space="preserve"> </w:t>
      </w:r>
      <w:r w:rsidRPr="00BF07FD">
        <w:rPr>
          <w:szCs w:val="24"/>
        </w:rPr>
        <w:t>Annex</w:t>
      </w:r>
      <w:r w:rsidRPr="00BF07FD">
        <w:rPr>
          <w:spacing w:val="-10"/>
          <w:szCs w:val="24"/>
        </w:rPr>
        <w:t> </w:t>
      </w:r>
      <w:r w:rsidRPr="00BF07FD">
        <w:rPr>
          <w:szCs w:val="24"/>
        </w:rPr>
        <w:t>XI</w:t>
      </w:r>
      <w:r>
        <w:rPr>
          <w:szCs w:val="24"/>
        </w:rPr>
        <w:t>,</w:t>
      </w:r>
      <w:r w:rsidRPr="00BF07FD">
        <w:rPr>
          <w:szCs w:val="24"/>
        </w:rPr>
        <w:t xml:space="preserve"> Part</w:t>
      </w:r>
      <w:r w:rsidRPr="00BF07FD">
        <w:rPr>
          <w:spacing w:val="-10"/>
          <w:szCs w:val="24"/>
        </w:rPr>
        <w:t> </w:t>
      </w:r>
      <w:r w:rsidRPr="00BF07FD">
        <w:rPr>
          <w:szCs w:val="24"/>
        </w:rPr>
        <w:t>II</w:t>
      </w:r>
      <w:r>
        <w:rPr>
          <w:szCs w:val="24"/>
        </w:rPr>
        <w:t>,</w:t>
      </w:r>
      <w:r w:rsidRPr="00BF07FD">
        <w:rPr>
          <w:spacing w:val="-10"/>
          <w:szCs w:val="24"/>
        </w:rPr>
        <w:t xml:space="preserve"> </w:t>
      </w:r>
      <w:r w:rsidRPr="00BF07FD">
        <w:rPr>
          <w:szCs w:val="24"/>
        </w:rPr>
        <w:t>p</w:t>
      </w:r>
      <w:r>
        <w:rPr>
          <w:szCs w:val="24"/>
        </w:rPr>
        <w:t>oint</w:t>
      </w:r>
      <w:r w:rsidRPr="00BF07FD">
        <w:rPr>
          <w:szCs w:val="24"/>
        </w:rPr>
        <w:t> 13</w:t>
      </w:r>
      <w:r>
        <w:rPr>
          <w:szCs w:val="24"/>
        </w:rPr>
        <w:t>,</w:t>
      </w:r>
      <w:r w:rsidRPr="00BF07FD">
        <w:rPr>
          <w:szCs w:val="24"/>
        </w:rPr>
        <w:t xml:space="preserve"> </w:t>
      </w:r>
      <w:r>
        <w:rPr>
          <w:szCs w:val="24"/>
        </w:rPr>
        <w:t xml:space="preserve">where at least </w:t>
      </w:r>
      <w:r w:rsidRPr="00BF07FD">
        <w:rPr>
          <w:szCs w:val="24"/>
        </w:rPr>
        <w:t>one of the following conditions is</w:t>
      </w:r>
      <w:r w:rsidRPr="00BF07FD">
        <w:rPr>
          <w:spacing w:val="16"/>
          <w:szCs w:val="24"/>
        </w:rPr>
        <w:t xml:space="preserve"> </w:t>
      </w:r>
      <w:r w:rsidRPr="00BF07FD">
        <w:rPr>
          <w:szCs w:val="24"/>
        </w:rPr>
        <w:t>met</w:t>
      </w:r>
      <w:r w:rsidRPr="00F91209">
        <w:t>:</w:t>
      </w:r>
    </w:p>
    <w:p w14:paraId="72F25911" w14:textId="77777777" w:rsidR="00FE0C02" w:rsidRPr="00F91209" w:rsidRDefault="00FE0C02" w:rsidP="00FE0C02">
      <w:pPr>
        <w:pStyle w:val="Point1"/>
      </w:pPr>
      <w:r>
        <w:t>(a)</w:t>
      </w:r>
      <w:r>
        <w:tab/>
      </w:r>
      <w:r w:rsidRPr="00F91209">
        <w:t>the derivatives share referred to in Annex XI</w:t>
      </w:r>
      <w:r>
        <w:t>,</w:t>
      </w:r>
      <w:r w:rsidRPr="00F91209">
        <w:t xml:space="preserve"> Part II</w:t>
      </w:r>
      <w:r>
        <w:t>,</w:t>
      </w:r>
      <w:r w:rsidRPr="00F91209">
        <w:t xml:space="preserve"> p</w:t>
      </w:r>
      <w:r>
        <w:t>oint</w:t>
      </w:r>
      <w:r w:rsidRPr="00F91209">
        <w:t xml:space="preserve"> 5</w:t>
      </w:r>
      <w:r>
        <w:t>,</w:t>
      </w:r>
      <w:r w:rsidRPr="00F91209">
        <w:t xml:space="preserve"> is more than 1,5 %;</w:t>
      </w:r>
    </w:p>
    <w:p w14:paraId="564FDA7C" w14:textId="77777777" w:rsidR="00FE0C02" w:rsidRPr="002C1097" w:rsidRDefault="00FE0C02" w:rsidP="00FE0C02">
      <w:pPr>
        <w:pStyle w:val="Point1"/>
      </w:pPr>
      <w:r>
        <w:t>(b)</w:t>
      </w:r>
      <w:r>
        <w:tab/>
      </w:r>
      <w:r w:rsidRPr="00A3263C">
        <w:t>the derivatives share referred to in Annex XI</w:t>
      </w:r>
      <w:r>
        <w:t>,</w:t>
      </w:r>
      <w:r w:rsidRPr="00A3263C">
        <w:t xml:space="preserve"> Part II</w:t>
      </w:r>
      <w:r>
        <w:t>,</w:t>
      </w:r>
      <w:r w:rsidRPr="00A3263C">
        <w:t xml:space="preserve"> p</w:t>
      </w:r>
      <w:r>
        <w:t>oint</w:t>
      </w:r>
      <w:r w:rsidRPr="00A3263C">
        <w:t xml:space="preserve"> 5</w:t>
      </w:r>
      <w:r>
        <w:t>,</w:t>
      </w:r>
      <w:r w:rsidRPr="00A3263C">
        <w:t xml:space="preserve"> exceeds</w:t>
      </w:r>
      <w:r>
        <w:t xml:space="preserve"> </w:t>
      </w:r>
      <w:r w:rsidRPr="002C1097">
        <w:t>2 %.</w:t>
      </w:r>
    </w:p>
    <w:p w14:paraId="507DA3E2" w14:textId="77777777" w:rsidR="00FE0C02" w:rsidRDefault="00FE0C02" w:rsidP="00FE0C02">
      <w:pPr>
        <w:pStyle w:val="Text1"/>
        <w:rPr>
          <w:szCs w:val="24"/>
        </w:rPr>
      </w:pPr>
      <w:r>
        <w:rPr>
          <w:szCs w:val="24"/>
        </w:rPr>
        <w:t xml:space="preserve">If an institution meets only the point (a) condition, </w:t>
      </w:r>
      <w:r w:rsidRPr="00982A07">
        <w:rPr>
          <w:szCs w:val="24"/>
        </w:rPr>
        <w:t>the entry and exit criteria of Article 4(3) shall apply.</w:t>
      </w:r>
      <w:r>
        <w:rPr>
          <w:szCs w:val="24"/>
        </w:rPr>
        <w:t xml:space="preserve"> </w:t>
      </w:r>
    </w:p>
    <w:p w14:paraId="7F04F0F6" w14:textId="77777777" w:rsidR="00FE0C02" w:rsidRPr="00E761E4" w:rsidRDefault="00FE0C02" w:rsidP="00FE0C02">
      <w:pPr>
        <w:pStyle w:val="Text1"/>
      </w:pPr>
      <w:r>
        <w:rPr>
          <w:szCs w:val="24"/>
        </w:rPr>
        <w:t>If an institution meets both the point (a) and</w:t>
      </w:r>
      <w:r w:rsidRPr="00BF07FD">
        <w:rPr>
          <w:szCs w:val="24"/>
        </w:rPr>
        <w:t xml:space="preserve"> point (b)</w:t>
      </w:r>
      <w:r>
        <w:rPr>
          <w:szCs w:val="24"/>
        </w:rPr>
        <w:t xml:space="preserve"> conditions</w:t>
      </w:r>
      <w:r w:rsidRPr="00BF07FD">
        <w:rPr>
          <w:szCs w:val="24"/>
        </w:rPr>
        <w:t xml:space="preserve">, </w:t>
      </w:r>
      <w:r>
        <w:rPr>
          <w:szCs w:val="24"/>
        </w:rPr>
        <w:t xml:space="preserve">it </w:t>
      </w:r>
      <w:r w:rsidRPr="00BF07FD">
        <w:rPr>
          <w:szCs w:val="24"/>
        </w:rPr>
        <w:t xml:space="preserve">shall start reporting </w:t>
      </w:r>
      <w:r>
        <w:rPr>
          <w:szCs w:val="24"/>
        </w:rPr>
        <w:t xml:space="preserve">that </w:t>
      </w:r>
      <w:r w:rsidRPr="00BF07FD">
        <w:rPr>
          <w:szCs w:val="24"/>
        </w:rPr>
        <w:t xml:space="preserve">information </w:t>
      </w:r>
      <w:r>
        <w:rPr>
          <w:szCs w:val="24"/>
        </w:rPr>
        <w:t xml:space="preserve">for the </w:t>
      </w:r>
      <w:r w:rsidRPr="00BF07FD">
        <w:rPr>
          <w:szCs w:val="24"/>
        </w:rPr>
        <w:t xml:space="preserve">reference date </w:t>
      </w:r>
      <w:r>
        <w:rPr>
          <w:szCs w:val="24"/>
        </w:rPr>
        <w:t xml:space="preserve">following the reporting reference date on which it </w:t>
      </w:r>
      <w:r w:rsidRPr="00BF07FD">
        <w:rPr>
          <w:szCs w:val="24"/>
        </w:rPr>
        <w:t>exceeded the threshold</w:t>
      </w:r>
      <w:r w:rsidRPr="00E761E4">
        <w:t>.</w:t>
      </w:r>
    </w:p>
    <w:p w14:paraId="7B9D01BA" w14:textId="77777777" w:rsidR="00FE0C02" w:rsidRPr="00F91209" w:rsidRDefault="00FE0C02" w:rsidP="00FE0C02">
      <w:pPr>
        <w:pStyle w:val="NumPar1"/>
        <w:numPr>
          <w:ilvl w:val="0"/>
          <w:numId w:val="10"/>
        </w:numPr>
      </w:pPr>
      <w:r w:rsidRPr="00BF07FD">
        <w:rPr>
          <w:szCs w:val="24"/>
        </w:rPr>
        <w:t>Institutions for which the total notional value of derivatives as defined in Annex XI</w:t>
      </w:r>
      <w:r>
        <w:rPr>
          <w:szCs w:val="24"/>
        </w:rPr>
        <w:t>,</w:t>
      </w:r>
      <w:r w:rsidRPr="00BF07FD">
        <w:rPr>
          <w:szCs w:val="24"/>
        </w:rPr>
        <w:t xml:space="preserve"> Part II</w:t>
      </w:r>
      <w:r>
        <w:rPr>
          <w:szCs w:val="24"/>
        </w:rPr>
        <w:t>,</w:t>
      </w:r>
      <w:r w:rsidRPr="00BF07FD">
        <w:rPr>
          <w:szCs w:val="24"/>
        </w:rPr>
        <w:t xml:space="preserve"> p</w:t>
      </w:r>
      <w:r>
        <w:rPr>
          <w:szCs w:val="24"/>
        </w:rPr>
        <w:t>oint</w:t>
      </w:r>
      <w:r w:rsidRPr="00BF07FD">
        <w:rPr>
          <w:szCs w:val="24"/>
        </w:rPr>
        <w:t> 8</w:t>
      </w:r>
      <w:r>
        <w:rPr>
          <w:szCs w:val="24"/>
        </w:rPr>
        <w:t>,</w:t>
      </w:r>
      <w:r w:rsidRPr="00BF07FD">
        <w:rPr>
          <w:szCs w:val="24"/>
        </w:rPr>
        <w:t xml:space="preserve"> exceeds EUR 10 </w:t>
      </w:r>
      <w:r>
        <w:rPr>
          <w:szCs w:val="24"/>
        </w:rPr>
        <w:t>000 m</w:t>
      </w:r>
      <w:r w:rsidRPr="00BF07FD">
        <w:rPr>
          <w:szCs w:val="24"/>
        </w:rPr>
        <w:t>illion</w:t>
      </w:r>
      <w:r w:rsidRPr="00BF07FD">
        <w:rPr>
          <w:spacing w:val="-10"/>
          <w:szCs w:val="24"/>
        </w:rPr>
        <w:t xml:space="preserve"> </w:t>
      </w:r>
      <w:r w:rsidRPr="00BF07FD">
        <w:rPr>
          <w:szCs w:val="24"/>
        </w:rPr>
        <w:t>shall</w:t>
      </w:r>
      <w:r w:rsidRPr="00BF07FD">
        <w:rPr>
          <w:spacing w:val="-10"/>
          <w:szCs w:val="24"/>
        </w:rPr>
        <w:t xml:space="preserve"> </w:t>
      </w:r>
      <w:r w:rsidRPr="00BF07FD">
        <w:rPr>
          <w:szCs w:val="24"/>
        </w:rPr>
        <w:t>report</w:t>
      </w:r>
      <w:r w:rsidRPr="00BF07FD">
        <w:rPr>
          <w:spacing w:val="-10"/>
          <w:szCs w:val="24"/>
        </w:rPr>
        <w:t xml:space="preserve"> </w:t>
      </w:r>
      <w:r w:rsidRPr="00BF07FD">
        <w:rPr>
          <w:szCs w:val="24"/>
        </w:rPr>
        <w:t>the</w:t>
      </w:r>
      <w:r w:rsidRPr="00BF07FD">
        <w:rPr>
          <w:spacing w:val="-11"/>
          <w:szCs w:val="24"/>
        </w:rPr>
        <w:t xml:space="preserve"> </w:t>
      </w:r>
      <w:r w:rsidRPr="00BF07FD">
        <w:rPr>
          <w:szCs w:val="24"/>
        </w:rPr>
        <w:t>information</w:t>
      </w:r>
      <w:r w:rsidRPr="00BF07FD">
        <w:rPr>
          <w:spacing w:val="-11"/>
          <w:szCs w:val="24"/>
        </w:rPr>
        <w:t xml:space="preserve"> </w:t>
      </w:r>
      <w:r w:rsidRPr="00BF07FD">
        <w:rPr>
          <w:szCs w:val="24"/>
        </w:rPr>
        <w:t>referred</w:t>
      </w:r>
      <w:r w:rsidRPr="00BF07FD">
        <w:rPr>
          <w:spacing w:val="-10"/>
          <w:szCs w:val="24"/>
        </w:rPr>
        <w:t xml:space="preserve"> </w:t>
      </w:r>
      <w:r w:rsidRPr="00BF07FD">
        <w:rPr>
          <w:szCs w:val="24"/>
        </w:rPr>
        <w:t>to</w:t>
      </w:r>
      <w:r w:rsidRPr="00BF07FD">
        <w:rPr>
          <w:spacing w:val="-11"/>
          <w:szCs w:val="24"/>
        </w:rPr>
        <w:t xml:space="preserve"> </w:t>
      </w:r>
      <w:r w:rsidRPr="00BF07FD">
        <w:rPr>
          <w:szCs w:val="24"/>
        </w:rPr>
        <w:t>in</w:t>
      </w:r>
      <w:r w:rsidRPr="00BF07FD">
        <w:rPr>
          <w:spacing w:val="-12"/>
          <w:szCs w:val="24"/>
        </w:rPr>
        <w:t xml:space="preserve"> </w:t>
      </w:r>
      <w:r w:rsidRPr="00BF07FD">
        <w:rPr>
          <w:szCs w:val="24"/>
        </w:rPr>
        <w:t>Annex</w:t>
      </w:r>
      <w:r w:rsidRPr="00BF07FD">
        <w:rPr>
          <w:spacing w:val="-11"/>
          <w:szCs w:val="24"/>
        </w:rPr>
        <w:t> </w:t>
      </w:r>
      <w:r w:rsidRPr="00BF07FD">
        <w:rPr>
          <w:szCs w:val="24"/>
        </w:rPr>
        <w:t>XI</w:t>
      </w:r>
      <w:r>
        <w:rPr>
          <w:szCs w:val="24"/>
        </w:rPr>
        <w:t>,</w:t>
      </w:r>
      <w:r w:rsidRPr="00BF07FD">
        <w:rPr>
          <w:spacing w:val="-11"/>
          <w:szCs w:val="24"/>
        </w:rPr>
        <w:t xml:space="preserve"> </w:t>
      </w:r>
      <w:r w:rsidRPr="00BF07FD">
        <w:rPr>
          <w:szCs w:val="24"/>
        </w:rPr>
        <w:t>Part</w:t>
      </w:r>
      <w:r w:rsidRPr="00BF07FD">
        <w:rPr>
          <w:spacing w:val="-11"/>
          <w:szCs w:val="24"/>
        </w:rPr>
        <w:t> </w:t>
      </w:r>
      <w:r w:rsidRPr="00BF07FD">
        <w:rPr>
          <w:szCs w:val="24"/>
        </w:rPr>
        <w:t>II</w:t>
      </w:r>
      <w:r>
        <w:rPr>
          <w:szCs w:val="24"/>
        </w:rPr>
        <w:t>,</w:t>
      </w:r>
      <w:r w:rsidRPr="00BF07FD">
        <w:rPr>
          <w:spacing w:val="-10"/>
          <w:szCs w:val="24"/>
        </w:rPr>
        <w:t xml:space="preserve"> </w:t>
      </w:r>
      <w:r w:rsidRPr="00BF07FD">
        <w:rPr>
          <w:szCs w:val="24"/>
        </w:rPr>
        <w:t>p</w:t>
      </w:r>
      <w:r>
        <w:rPr>
          <w:szCs w:val="24"/>
        </w:rPr>
        <w:t>oint</w:t>
      </w:r>
      <w:r w:rsidRPr="00BF07FD">
        <w:rPr>
          <w:spacing w:val="-11"/>
          <w:szCs w:val="24"/>
        </w:rPr>
        <w:t> </w:t>
      </w:r>
      <w:r w:rsidRPr="00BF07FD">
        <w:rPr>
          <w:szCs w:val="24"/>
        </w:rPr>
        <w:t>13</w:t>
      </w:r>
      <w:r>
        <w:rPr>
          <w:szCs w:val="24"/>
        </w:rPr>
        <w:t>,</w:t>
      </w:r>
      <w:r w:rsidRPr="00BF07FD">
        <w:rPr>
          <w:spacing w:val="-11"/>
          <w:szCs w:val="24"/>
        </w:rPr>
        <w:t xml:space="preserve"> </w:t>
      </w:r>
      <w:r w:rsidRPr="00BF07FD">
        <w:rPr>
          <w:szCs w:val="24"/>
        </w:rPr>
        <w:t>even</w:t>
      </w:r>
      <w:r w:rsidRPr="00BF07FD">
        <w:rPr>
          <w:spacing w:val="-11"/>
          <w:szCs w:val="24"/>
        </w:rPr>
        <w:t xml:space="preserve"> </w:t>
      </w:r>
      <w:r w:rsidRPr="00BF07FD">
        <w:rPr>
          <w:szCs w:val="24"/>
        </w:rPr>
        <w:t>if</w:t>
      </w:r>
      <w:r w:rsidRPr="00BF07FD">
        <w:rPr>
          <w:spacing w:val="-11"/>
          <w:szCs w:val="24"/>
        </w:rPr>
        <w:t xml:space="preserve"> </w:t>
      </w:r>
      <w:r w:rsidRPr="00BF07FD">
        <w:rPr>
          <w:szCs w:val="24"/>
        </w:rPr>
        <w:t>their derivatives</w:t>
      </w:r>
      <w:r w:rsidRPr="00BF07FD">
        <w:rPr>
          <w:spacing w:val="7"/>
          <w:szCs w:val="24"/>
        </w:rPr>
        <w:t xml:space="preserve"> </w:t>
      </w:r>
      <w:r w:rsidRPr="00BF07FD">
        <w:rPr>
          <w:szCs w:val="24"/>
        </w:rPr>
        <w:t>share</w:t>
      </w:r>
      <w:r w:rsidRPr="00BF07FD">
        <w:rPr>
          <w:spacing w:val="7"/>
          <w:szCs w:val="24"/>
        </w:rPr>
        <w:t xml:space="preserve"> </w:t>
      </w:r>
      <w:r w:rsidRPr="00BF07FD">
        <w:rPr>
          <w:szCs w:val="24"/>
        </w:rPr>
        <w:t>does</w:t>
      </w:r>
      <w:r w:rsidRPr="00BF07FD">
        <w:rPr>
          <w:spacing w:val="7"/>
          <w:szCs w:val="24"/>
        </w:rPr>
        <w:t xml:space="preserve"> </w:t>
      </w:r>
      <w:r w:rsidRPr="00BF07FD">
        <w:rPr>
          <w:szCs w:val="24"/>
        </w:rPr>
        <w:t>not</w:t>
      </w:r>
      <w:r w:rsidRPr="00BF07FD">
        <w:rPr>
          <w:spacing w:val="7"/>
          <w:szCs w:val="24"/>
        </w:rPr>
        <w:t xml:space="preserve"> </w:t>
      </w:r>
      <w:r w:rsidRPr="00BF07FD">
        <w:rPr>
          <w:szCs w:val="24"/>
        </w:rPr>
        <w:t>fulfil</w:t>
      </w:r>
      <w:r w:rsidRPr="00BF07FD">
        <w:rPr>
          <w:spacing w:val="8"/>
          <w:szCs w:val="24"/>
        </w:rPr>
        <w:t xml:space="preserve"> </w:t>
      </w:r>
      <w:r w:rsidRPr="00BF07FD">
        <w:rPr>
          <w:szCs w:val="24"/>
        </w:rPr>
        <w:t>the</w:t>
      </w:r>
      <w:r w:rsidRPr="00BF07FD">
        <w:rPr>
          <w:spacing w:val="7"/>
          <w:szCs w:val="24"/>
        </w:rPr>
        <w:t xml:space="preserve"> </w:t>
      </w:r>
      <w:r w:rsidRPr="00BF07FD">
        <w:rPr>
          <w:szCs w:val="24"/>
        </w:rPr>
        <w:t>conditions</w:t>
      </w:r>
      <w:r w:rsidRPr="00BF07FD">
        <w:rPr>
          <w:spacing w:val="6"/>
          <w:szCs w:val="24"/>
        </w:rPr>
        <w:t xml:space="preserve"> </w:t>
      </w:r>
      <w:r w:rsidRPr="00BF07FD">
        <w:rPr>
          <w:szCs w:val="24"/>
        </w:rPr>
        <w:t>set out</w:t>
      </w:r>
      <w:r w:rsidRPr="00BF07FD">
        <w:rPr>
          <w:spacing w:val="7"/>
          <w:szCs w:val="24"/>
        </w:rPr>
        <w:t xml:space="preserve"> </w:t>
      </w:r>
      <w:r w:rsidRPr="00BF07FD">
        <w:rPr>
          <w:szCs w:val="24"/>
        </w:rPr>
        <w:t>in</w:t>
      </w:r>
      <w:r w:rsidRPr="00BF07FD">
        <w:rPr>
          <w:spacing w:val="5"/>
          <w:szCs w:val="24"/>
        </w:rPr>
        <w:t xml:space="preserve"> </w:t>
      </w:r>
      <w:r w:rsidRPr="00BF07FD">
        <w:rPr>
          <w:szCs w:val="24"/>
        </w:rPr>
        <w:t>paragraph</w:t>
      </w:r>
      <w:r w:rsidRPr="00BF07FD">
        <w:rPr>
          <w:spacing w:val="6"/>
          <w:szCs w:val="24"/>
        </w:rPr>
        <w:t> </w:t>
      </w:r>
      <w:r>
        <w:rPr>
          <w:szCs w:val="24"/>
        </w:rPr>
        <w:t>4 of this Article</w:t>
      </w:r>
      <w:r w:rsidRPr="00F91209">
        <w:t>.</w:t>
      </w:r>
    </w:p>
    <w:p w14:paraId="51584038" w14:textId="77777777" w:rsidR="00FE0C02" w:rsidRPr="00F91209" w:rsidRDefault="00FE0C02" w:rsidP="00FE0C02">
      <w:pPr>
        <w:pStyle w:val="Text1"/>
      </w:pPr>
      <w:r>
        <w:rPr>
          <w:szCs w:val="24"/>
        </w:rPr>
        <w:t>For the purposes of this paragraph, t</w:t>
      </w:r>
      <w:r w:rsidRPr="00BF07FD">
        <w:rPr>
          <w:szCs w:val="24"/>
        </w:rPr>
        <w:t>he</w:t>
      </w:r>
      <w:r w:rsidRPr="00BF07FD">
        <w:rPr>
          <w:spacing w:val="-8"/>
          <w:szCs w:val="24"/>
        </w:rPr>
        <w:t xml:space="preserve"> </w:t>
      </w:r>
      <w:r w:rsidRPr="00BF07FD">
        <w:rPr>
          <w:szCs w:val="24"/>
        </w:rPr>
        <w:t>entry</w:t>
      </w:r>
      <w:r w:rsidRPr="00BF07FD">
        <w:rPr>
          <w:spacing w:val="-10"/>
          <w:szCs w:val="24"/>
        </w:rPr>
        <w:t xml:space="preserve"> </w:t>
      </w:r>
      <w:r w:rsidRPr="00BF07FD">
        <w:rPr>
          <w:szCs w:val="24"/>
        </w:rPr>
        <w:t>criteria</w:t>
      </w:r>
      <w:r w:rsidRPr="00BF07FD">
        <w:rPr>
          <w:spacing w:val="-8"/>
          <w:szCs w:val="24"/>
        </w:rPr>
        <w:t xml:space="preserve"> </w:t>
      </w:r>
      <w:r w:rsidRPr="00BF07FD">
        <w:rPr>
          <w:szCs w:val="24"/>
        </w:rPr>
        <w:t>of</w:t>
      </w:r>
      <w:r w:rsidRPr="00BF07FD">
        <w:rPr>
          <w:spacing w:val="-8"/>
          <w:szCs w:val="24"/>
        </w:rPr>
        <w:t xml:space="preserve"> </w:t>
      </w:r>
      <w:r w:rsidRPr="00BF07FD">
        <w:rPr>
          <w:szCs w:val="24"/>
        </w:rPr>
        <w:t>Article 4(</w:t>
      </w:r>
      <w:r>
        <w:rPr>
          <w:szCs w:val="24"/>
        </w:rPr>
        <w:t>3</w:t>
      </w:r>
      <w:r w:rsidRPr="00BF07FD">
        <w:rPr>
          <w:szCs w:val="24"/>
        </w:rPr>
        <w:t>)</w:t>
      </w:r>
      <w:r w:rsidRPr="00BF07FD">
        <w:rPr>
          <w:spacing w:val="-8"/>
          <w:szCs w:val="24"/>
        </w:rPr>
        <w:t xml:space="preserve"> </w:t>
      </w:r>
      <w:r w:rsidRPr="00BF07FD">
        <w:rPr>
          <w:szCs w:val="24"/>
        </w:rPr>
        <w:t>shall</w:t>
      </w:r>
      <w:r w:rsidRPr="00BF07FD">
        <w:rPr>
          <w:spacing w:val="-8"/>
          <w:szCs w:val="24"/>
        </w:rPr>
        <w:t xml:space="preserve"> </w:t>
      </w:r>
      <w:r w:rsidRPr="00BF07FD">
        <w:rPr>
          <w:szCs w:val="24"/>
        </w:rPr>
        <w:t>not</w:t>
      </w:r>
      <w:r w:rsidRPr="00BF07FD">
        <w:rPr>
          <w:spacing w:val="-8"/>
          <w:szCs w:val="24"/>
        </w:rPr>
        <w:t xml:space="preserve"> </w:t>
      </w:r>
      <w:r w:rsidRPr="00BF07FD">
        <w:rPr>
          <w:szCs w:val="24"/>
        </w:rPr>
        <w:t>apply.</w:t>
      </w:r>
      <w:r w:rsidRPr="00BF07FD">
        <w:rPr>
          <w:spacing w:val="-8"/>
          <w:szCs w:val="24"/>
        </w:rPr>
        <w:t xml:space="preserve"> </w:t>
      </w:r>
      <w:r w:rsidRPr="00BF07FD">
        <w:rPr>
          <w:szCs w:val="24"/>
        </w:rPr>
        <w:t>Institutions</w:t>
      </w:r>
      <w:r w:rsidRPr="00BF07FD">
        <w:rPr>
          <w:spacing w:val="-7"/>
          <w:szCs w:val="24"/>
        </w:rPr>
        <w:t xml:space="preserve"> </w:t>
      </w:r>
      <w:r w:rsidRPr="00BF07FD">
        <w:rPr>
          <w:szCs w:val="24"/>
        </w:rPr>
        <w:t>shall</w:t>
      </w:r>
      <w:r w:rsidRPr="00BF07FD">
        <w:rPr>
          <w:spacing w:val="-8"/>
          <w:szCs w:val="24"/>
        </w:rPr>
        <w:t xml:space="preserve"> </w:t>
      </w:r>
      <w:r w:rsidRPr="00BF07FD">
        <w:rPr>
          <w:szCs w:val="24"/>
        </w:rPr>
        <w:t>start</w:t>
      </w:r>
      <w:r w:rsidRPr="00BF07FD">
        <w:rPr>
          <w:spacing w:val="-8"/>
          <w:szCs w:val="24"/>
        </w:rPr>
        <w:t xml:space="preserve"> </w:t>
      </w:r>
      <w:r w:rsidRPr="00BF07FD">
        <w:rPr>
          <w:szCs w:val="24"/>
        </w:rPr>
        <w:t>reporting</w:t>
      </w:r>
      <w:r w:rsidRPr="00BF07FD">
        <w:rPr>
          <w:spacing w:val="-8"/>
          <w:szCs w:val="24"/>
        </w:rPr>
        <w:t xml:space="preserve"> </w:t>
      </w:r>
      <w:r w:rsidRPr="00BF07FD">
        <w:rPr>
          <w:szCs w:val="24"/>
        </w:rPr>
        <w:t>information</w:t>
      </w:r>
      <w:r w:rsidRPr="00BF07FD">
        <w:rPr>
          <w:spacing w:val="-8"/>
          <w:szCs w:val="24"/>
        </w:rPr>
        <w:t xml:space="preserve"> </w:t>
      </w:r>
      <w:r w:rsidRPr="00BF07FD">
        <w:rPr>
          <w:szCs w:val="24"/>
        </w:rPr>
        <w:t>from</w:t>
      </w:r>
      <w:r w:rsidRPr="00BF07FD">
        <w:rPr>
          <w:spacing w:val="-8"/>
          <w:szCs w:val="24"/>
        </w:rPr>
        <w:t xml:space="preserve"> </w:t>
      </w:r>
      <w:r w:rsidRPr="00BF07FD">
        <w:rPr>
          <w:szCs w:val="24"/>
        </w:rPr>
        <w:t>the next</w:t>
      </w:r>
      <w:r w:rsidRPr="00BF07FD">
        <w:rPr>
          <w:spacing w:val="-5"/>
          <w:szCs w:val="24"/>
        </w:rPr>
        <w:t xml:space="preserve"> </w:t>
      </w:r>
      <w:r w:rsidRPr="00BF07FD">
        <w:rPr>
          <w:szCs w:val="24"/>
        </w:rPr>
        <w:t>reporting</w:t>
      </w:r>
      <w:r w:rsidRPr="00BF07FD">
        <w:rPr>
          <w:spacing w:val="-5"/>
          <w:szCs w:val="24"/>
        </w:rPr>
        <w:t xml:space="preserve"> </w:t>
      </w:r>
      <w:r w:rsidRPr="00BF07FD">
        <w:rPr>
          <w:szCs w:val="24"/>
        </w:rPr>
        <w:t>reference</w:t>
      </w:r>
      <w:r w:rsidRPr="00BF07FD">
        <w:rPr>
          <w:spacing w:val="-5"/>
          <w:szCs w:val="24"/>
        </w:rPr>
        <w:t xml:space="preserve"> </w:t>
      </w:r>
      <w:r w:rsidRPr="00BF07FD">
        <w:rPr>
          <w:szCs w:val="24"/>
        </w:rPr>
        <w:t>date</w:t>
      </w:r>
      <w:r w:rsidRPr="00BF07FD">
        <w:rPr>
          <w:spacing w:val="-7"/>
          <w:szCs w:val="24"/>
        </w:rPr>
        <w:t xml:space="preserve"> </w:t>
      </w:r>
      <w:r w:rsidRPr="00BF07FD">
        <w:rPr>
          <w:szCs w:val="24"/>
        </w:rPr>
        <w:t>where</w:t>
      </w:r>
      <w:r w:rsidRPr="00BF07FD">
        <w:rPr>
          <w:spacing w:val="-5"/>
          <w:szCs w:val="24"/>
        </w:rPr>
        <w:t xml:space="preserve"> </w:t>
      </w:r>
      <w:r w:rsidRPr="00BF07FD">
        <w:rPr>
          <w:szCs w:val="24"/>
        </w:rPr>
        <w:t>they</w:t>
      </w:r>
      <w:r w:rsidRPr="00BF07FD">
        <w:rPr>
          <w:spacing w:val="-5"/>
          <w:szCs w:val="24"/>
        </w:rPr>
        <w:t xml:space="preserve"> </w:t>
      </w:r>
      <w:r w:rsidRPr="00BF07FD">
        <w:rPr>
          <w:szCs w:val="24"/>
        </w:rPr>
        <w:t>have</w:t>
      </w:r>
      <w:r w:rsidRPr="00BF07FD">
        <w:rPr>
          <w:spacing w:val="-6"/>
          <w:szCs w:val="24"/>
        </w:rPr>
        <w:t xml:space="preserve"> </w:t>
      </w:r>
      <w:r w:rsidRPr="00BF07FD">
        <w:rPr>
          <w:szCs w:val="24"/>
        </w:rPr>
        <w:t>exceeded</w:t>
      </w:r>
      <w:r w:rsidRPr="00BF07FD">
        <w:rPr>
          <w:spacing w:val="-6"/>
          <w:szCs w:val="24"/>
        </w:rPr>
        <w:t xml:space="preserve"> </w:t>
      </w:r>
      <w:r w:rsidRPr="00BF07FD">
        <w:rPr>
          <w:szCs w:val="24"/>
        </w:rPr>
        <w:t>the</w:t>
      </w:r>
      <w:r w:rsidRPr="00BF07FD">
        <w:rPr>
          <w:spacing w:val="-6"/>
          <w:szCs w:val="24"/>
        </w:rPr>
        <w:t xml:space="preserve"> </w:t>
      </w:r>
      <w:r w:rsidRPr="00BF07FD">
        <w:rPr>
          <w:szCs w:val="24"/>
        </w:rPr>
        <w:t>threshold</w:t>
      </w:r>
      <w:r w:rsidRPr="00BF07FD">
        <w:rPr>
          <w:spacing w:val="-6"/>
          <w:szCs w:val="24"/>
        </w:rPr>
        <w:t xml:space="preserve"> </w:t>
      </w:r>
      <w:r w:rsidRPr="00BF07FD">
        <w:rPr>
          <w:szCs w:val="24"/>
        </w:rPr>
        <w:t>on</w:t>
      </w:r>
      <w:r w:rsidRPr="00BF07FD">
        <w:rPr>
          <w:spacing w:val="-6"/>
          <w:szCs w:val="24"/>
        </w:rPr>
        <w:t xml:space="preserve"> </w:t>
      </w:r>
      <w:r w:rsidRPr="00BF07FD">
        <w:rPr>
          <w:szCs w:val="24"/>
        </w:rPr>
        <w:t>one</w:t>
      </w:r>
      <w:r w:rsidRPr="00BF07FD">
        <w:rPr>
          <w:spacing w:val="-6"/>
          <w:szCs w:val="24"/>
        </w:rPr>
        <w:t xml:space="preserve"> </w:t>
      </w:r>
      <w:r w:rsidRPr="00BF07FD">
        <w:rPr>
          <w:szCs w:val="24"/>
        </w:rPr>
        <w:t>reporting</w:t>
      </w:r>
      <w:r w:rsidRPr="00BF07FD">
        <w:rPr>
          <w:spacing w:val="-5"/>
          <w:szCs w:val="24"/>
        </w:rPr>
        <w:t xml:space="preserve"> </w:t>
      </w:r>
      <w:r w:rsidRPr="00BF07FD">
        <w:rPr>
          <w:szCs w:val="24"/>
        </w:rPr>
        <w:t>reference</w:t>
      </w:r>
      <w:r w:rsidRPr="00BF07FD">
        <w:rPr>
          <w:spacing w:val="-5"/>
          <w:szCs w:val="24"/>
        </w:rPr>
        <w:t xml:space="preserve"> </w:t>
      </w:r>
      <w:r w:rsidRPr="00BF07FD">
        <w:rPr>
          <w:szCs w:val="24"/>
        </w:rPr>
        <w:t>date</w:t>
      </w:r>
      <w:r w:rsidRPr="00F91209">
        <w:t>.</w:t>
      </w:r>
    </w:p>
    <w:p w14:paraId="41A483BA" w14:textId="77777777" w:rsidR="00FE0C02" w:rsidRPr="00F91209" w:rsidRDefault="00FE0C02" w:rsidP="00FE0C02">
      <w:pPr>
        <w:pStyle w:val="NumPar1"/>
        <w:numPr>
          <w:ilvl w:val="0"/>
          <w:numId w:val="10"/>
        </w:numPr>
      </w:pPr>
      <w:r w:rsidRPr="00BF07FD">
        <w:rPr>
          <w:szCs w:val="24"/>
          <w:lang w:eastAsia="en-GB" w:bidi="en-GB"/>
        </w:rPr>
        <w:t>Institutions are required to report the information referred to in Annex XI</w:t>
      </w:r>
      <w:r>
        <w:rPr>
          <w:szCs w:val="24"/>
          <w:lang w:eastAsia="en-GB" w:bidi="en-GB"/>
        </w:rPr>
        <w:t>,</w:t>
      </w:r>
      <w:r w:rsidRPr="00BF07FD">
        <w:rPr>
          <w:szCs w:val="24"/>
          <w:lang w:eastAsia="en-GB" w:bidi="en-GB"/>
        </w:rPr>
        <w:t xml:space="preserve"> Part II</w:t>
      </w:r>
      <w:r>
        <w:rPr>
          <w:szCs w:val="24"/>
          <w:lang w:eastAsia="en-GB" w:bidi="en-GB"/>
        </w:rPr>
        <w:t>,</w:t>
      </w:r>
      <w:r w:rsidRPr="00BF07FD">
        <w:rPr>
          <w:szCs w:val="24"/>
          <w:lang w:eastAsia="en-GB" w:bidi="en-GB"/>
        </w:rPr>
        <w:t xml:space="preserve"> p</w:t>
      </w:r>
      <w:r>
        <w:rPr>
          <w:szCs w:val="24"/>
          <w:lang w:eastAsia="en-GB" w:bidi="en-GB"/>
        </w:rPr>
        <w:t>oint</w:t>
      </w:r>
      <w:r w:rsidRPr="00BF07FD">
        <w:rPr>
          <w:szCs w:val="24"/>
          <w:lang w:eastAsia="en-GB" w:bidi="en-GB"/>
        </w:rPr>
        <w:t> 14</w:t>
      </w:r>
      <w:r>
        <w:rPr>
          <w:szCs w:val="24"/>
          <w:lang w:eastAsia="en-GB" w:bidi="en-GB"/>
        </w:rPr>
        <w:t>,</w:t>
      </w:r>
      <w:r w:rsidRPr="00BF07FD">
        <w:rPr>
          <w:szCs w:val="24"/>
          <w:lang w:eastAsia="en-GB" w:bidi="en-GB"/>
        </w:rPr>
        <w:t xml:space="preserve"> where </w:t>
      </w:r>
      <w:r>
        <w:rPr>
          <w:szCs w:val="24"/>
          <w:lang w:eastAsia="en-GB" w:bidi="en-GB"/>
        </w:rPr>
        <w:t xml:space="preserve">at least </w:t>
      </w:r>
      <w:r w:rsidRPr="00BF07FD">
        <w:rPr>
          <w:szCs w:val="24"/>
          <w:lang w:eastAsia="en-GB" w:bidi="en-GB"/>
        </w:rPr>
        <w:t>one of the following conditions is met</w:t>
      </w:r>
      <w:r w:rsidRPr="00F91209">
        <w:t>:</w:t>
      </w:r>
    </w:p>
    <w:p w14:paraId="5F5E592D" w14:textId="77777777" w:rsidR="00FE0C02" w:rsidRPr="002C1097" w:rsidRDefault="00FE0C02" w:rsidP="00FE0C02">
      <w:pPr>
        <w:pStyle w:val="Point1"/>
      </w:pPr>
      <w:r>
        <w:t>(a)</w:t>
      </w:r>
      <w:r>
        <w:tab/>
      </w:r>
      <w:r w:rsidRPr="00BF07FD">
        <w:rPr>
          <w:szCs w:val="24"/>
        </w:rPr>
        <w:t>the credit derivatives volume referred to in Annex XI</w:t>
      </w:r>
      <w:r>
        <w:rPr>
          <w:szCs w:val="24"/>
        </w:rPr>
        <w:t>,</w:t>
      </w:r>
      <w:r w:rsidRPr="00BF07FD">
        <w:rPr>
          <w:szCs w:val="24"/>
        </w:rPr>
        <w:t xml:space="preserve"> Part II</w:t>
      </w:r>
      <w:r>
        <w:rPr>
          <w:szCs w:val="24"/>
        </w:rPr>
        <w:t>,</w:t>
      </w:r>
      <w:r w:rsidRPr="00BF07FD">
        <w:rPr>
          <w:szCs w:val="24"/>
        </w:rPr>
        <w:t xml:space="preserve"> p</w:t>
      </w:r>
      <w:r>
        <w:rPr>
          <w:szCs w:val="24"/>
        </w:rPr>
        <w:t>oint</w:t>
      </w:r>
      <w:r w:rsidRPr="00BF07FD">
        <w:rPr>
          <w:szCs w:val="24"/>
        </w:rPr>
        <w:t> 9</w:t>
      </w:r>
      <w:r>
        <w:rPr>
          <w:szCs w:val="24"/>
        </w:rPr>
        <w:t>,</w:t>
      </w:r>
      <w:r w:rsidRPr="00BF07FD">
        <w:rPr>
          <w:szCs w:val="24"/>
        </w:rPr>
        <w:t xml:space="preserve"> is more than EUR 300 million</w:t>
      </w:r>
      <w:r w:rsidRPr="002C1097">
        <w:t>;</w:t>
      </w:r>
    </w:p>
    <w:p w14:paraId="418FEEAF" w14:textId="77777777" w:rsidR="00FE0C02" w:rsidRPr="002C1097" w:rsidRDefault="00FE0C02" w:rsidP="00FE0C02">
      <w:pPr>
        <w:pStyle w:val="Point1"/>
      </w:pPr>
      <w:r>
        <w:t>(b)</w:t>
      </w:r>
      <w:r>
        <w:tab/>
      </w:r>
      <w:r w:rsidRPr="002C1097">
        <w:t>the credit derivatives volume referred to in Annex XI</w:t>
      </w:r>
      <w:r>
        <w:t>,</w:t>
      </w:r>
      <w:r w:rsidRPr="002C1097">
        <w:t xml:space="preserve"> Part II</w:t>
      </w:r>
      <w:r>
        <w:t>,</w:t>
      </w:r>
      <w:r w:rsidRPr="002C1097">
        <w:t xml:space="preserve"> p</w:t>
      </w:r>
      <w:r>
        <w:t>oint</w:t>
      </w:r>
      <w:r w:rsidRPr="002C1097">
        <w:t xml:space="preserve"> 9</w:t>
      </w:r>
      <w:r>
        <w:t>,</w:t>
      </w:r>
      <w:r w:rsidRPr="002C1097">
        <w:t xml:space="preserve"> exceeds EUR 500 million.</w:t>
      </w:r>
    </w:p>
    <w:p w14:paraId="49C49986" w14:textId="77777777" w:rsidR="00FE0C02" w:rsidRPr="00F91209" w:rsidRDefault="00FE0C02" w:rsidP="00FE0C02">
      <w:pPr>
        <w:pStyle w:val="Text1"/>
      </w:pPr>
      <w:r>
        <w:rPr>
          <w:szCs w:val="24"/>
        </w:rPr>
        <w:t>If an institution meets only the point (a) condition, t</w:t>
      </w:r>
      <w:r w:rsidRPr="00BF07FD">
        <w:rPr>
          <w:szCs w:val="24"/>
        </w:rPr>
        <w:t>he entry and exit criteria of Article 4(</w:t>
      </w:r>
      <w:r>
        <w:rPr>
          <w:szCs w:val="24"/>
        </w:rPr>
        <w:t>3</w:t>
      </w:r>
      <w:r w:rsidRPr="00BF07FD">
        <w:rPr>
          <w:szCs w:val="24"/>
        </w:rPr>
        <w:t>) shall apply</w:t>
      </w:r>
      <w:r>
        <w:rPr>
          <w:szCs w:val="24"/>
        </w:rPr>
        <w:t>. If an institution meets both the point (a) and point (b) conditions, it</w:t>
      </w:r>
      <w:r w:rsidRPr="00BF07FD">
        <w:rPr>
          <w:szCs w:val="24"/>
        </w:rPr>
        <w:t xml:space="preserve"> shall start reporting </w:t>
      </w:r>
      <w:r>
        <w:rPr>
          <w:szCs w:val="24"/>
        </w:rPr>
        <w:t xml:space="preserve">that </w:t>
      </w:r>
      <w:r w:rsidRPr="00BF07FD">
        <w:rPr>
          <w:szCs w:val="24"/>
        </w:rPr>
        <w:t xml:space="preserve">information </w:t>
      </w:r>
      <w:r>
        <w:rPr>
          <w:szCs w:val="24"/>
        </w:rPr>
        <w:t xml:space="preserve">for the </w:t>
      </w:r>
      <w:r w:rsidRPr="00BF07FD">
        <w:rPr>
          <w:szCs w:val="24"/>
        </w:rPr>
        <w:t xml:space="preserve">reference date </w:t>
      </w:r>
      <w:r>
        <w:rPr>
          <w:szCs w:val="24"/>
        </w:rPr>
        <w:t xml:space="preserve">following the reporting reference date on which it </w:t>
      </w:r>
      <w:r w:rsidRPr="00BF07FD">
        <w:rPr>
          <w:szCs w:val="24"/>
        </w:rPr>
        <w:t>exceeded the threshold</w:t>
      </w:r>
      <w:r w:rsidRPr="00086C86">
        <w:t>.</w:t>
      </w:r>
    </w:p>
    <w:p w14:paraId="16427D61" w14:textId="77777777" w:rsidR="00FE0C02" w:rsidRPr="00F91209" w:rsidRDefault="00FE0C02" w:rsidP="00FE0C02">
      <w:pPr>
        <w:pStyle w:val="Titrearticle"/>
      </w:pPr>
      <w:r w:rsidRPr="00086C86">
        <w:lastRenderedPageBreak/>
        <w:t xml:space="preserve">Article </w:t>
      </w:r>
      <w:r w:rsidRPr="00F91209">
        <w:fldChar w:fldCharType="begin"/>
      </w:r>
      <w:r w:rsidRPr="00086C86">
        <w:instrText xml:space="preserve"> seq article </w:instrText>
      </w:r>
      <w:r w:rsidRPr="00F91209">
        <w:fldChar w:fldCharType="separate"/>
      </w:r>
      <w:r>
        <w:t>16</w:t>
      </w:r>
      <w:r w:rsidRPr="00F91209">
        <w:fldChar w:fldCharType="end"/>
      </w:r>
    </w:p>
    <w:p w14:paraId="0FD0A199" w14:textId="77777777" w:rsidR="00FE0C02" w:rsidRPr="001732B4" w:rsidRDefault="00FE0C02" w:rsidP="00FE0C02">
      <w:pPr>
        <w:pStyle w:val="Titrearticle"/>
        <w:spacing w:before="120"/>
        <w:rPr>
          <w:b/>
          <w:i w:val="0"/>
        </w:rPr>
      </w:pPr>
      <w:r w:rsidRPr="0078668E">
        <w:rPr>
          <w:b/>
          <w:i w:val="0"/>
        </w:rPr>
        <w:t>Reporting on the liquidity coverage requirement on an individual and a consolidated basis</w:t>
      </w:r>
    </w:p>
    <w:p w14:paraId="51D41644" w14:textId="77777777" w:rsidR="00FE0C02" w:rsidRPr="00F91209" w:rsidRDefault="00FE0C02" w:rsidP="005F180D">
      <w:pPr>
        <w:pStyle w:val="NumPar1"/>
        <w:numPr>
          <w:ilvl w:val="0"/>
          <w:numId w:val="24"/>
        </w:numPr>
      </w:pPr>
      <w:r w:rsidRPr="00FD3527">
        <w:rPr>
          <w:szCs w:val="24"/>
        </w:rPr>
        <w:t>In order to report information on the liquidity coverage requirement in accordance with Article 430(1), point (d), of Regulation (EU) No 575/2013 on an individual and a consolidated basis, institutions shall submit the information specified in Annex XXIV to this Regulation, in accordance with the instructions in Annex XXV to this Regulation, with a monthly frequency</w:t>
      </w:r>
      <w:r w:rsidRPr="00F91209">
        <w:rPr>
          <w:rFonts w:hint="eastAsia"/>
        </w:rPr>
        <w:t>;</w:t>
      </w:r>
    </w:p>
    <w:p w14:paraId="50670492" w14:textId="77777777" w:rsidR="00FE0C02" w:rsidRPr="00F91209" w:rsidRDefault="00FE0C02" w:rsidP="00FE0C02">
      <w:pPr>
        <w:pStyle w:val="NumPar1"/>
        <w:numPr>
          <w:ilvl w:val="0"/>
          <w:numId w:val="10"/>
        </w:numPr>
      </w:pPr>
      <w:r w:rsidRPr="00BF07FD">
        <w:rPr>
          <w:szCs w:val="24"/>
        </w:rPr>
        <w:t>The</w:t>
      </w:r>
      <w:r w:rsidRPr="00BF07FD">
        <w:rPr>
          <w:spacing w:val="-21"/>
          <w:szCs w:val="24"/>
        </w:rPr>
        <w:t xml:space="preserve"> </w:t>
      </w:r>
      <w:r w:rsidRPr="00BF07FD">
        <w:rPr>
          <w:szCs w:val="24"/>
        </w:rPr>
        <w:t>information</w:t>
      </w:r>
      <w:r w:rsidRPr="00BF07FD">
        <w:rPr>
          <w:spacing w:val="-20"/>
          <w:szCs w:val="24"/>
        </w:rPr>
        <w:t xml:space="preserve"> </w:t>
      </w:r>
      <w:r w:rsidRPr="00BF07FD">
        <w:rPr>
          <w:szCs w:val="24"/>
        </w:rPr>
        <w:t>set</w:t>
      </w:r>
      <w:r w:rsidRPr="00BF07FD">
        <w:rPr>
          <w:spacing w:val="-21"/>
          <w:szCs w:val="24"/>
        </w:rPr>
        <w:t xml:space="preserve"> </w:t>
      </w:r>
      <w:r w:rsidRPr="00BF07FD">
        <w:rPr>
          <w:szCs w:val="24"/>
        </w:rPr>
        <w:t>out</w:t>
      </w:r>
      <w:r w:rsidRPr="00BF07FD">
        <w:rPr>
          <w:spacing w:val="-20"/>
          <w:szCs w:val="24"/>
        </w:rPr>
        <w:t xml:space="preserve"> </w:t>
      </w:r>
      <w:r w:rsidRPr="00BF07FD">
        <w:rPr>
          <w:szCs w:val="24"/>
        </w:rPr>
        <w:t>in</w:t>
      </w:r>
      <w:r w:rsidRPr="00BF07FD">
        <w:rPr>
          <w:spacing w:val="-20"/>
          <w:szCs w:val="24"/>
        </w:rPr>
        <w:t xml:space="preserve"> </w:t>
      </w:r>
      <w:r w:rsidRPr="00BF07FD">
        <w:rPr>
          <w:szCs w:val="24"/>
        </w:rPr>
        <w:t>Annex</w:t>
      </w:r>
      <w:r w:rsidRPr="00BF07FD">
        <w:rPr>
          <w:spacing w:val="-20"/>
          <w:szCs w:val="24"/>
        </w:rPr>
        <w:t xml:space="preserve"> XXIV </w:t>
      </w:r>
      <w:r w:rsidRPr="00BF07FD">
        <w:rPr>
          <w:szCs w:val="24"/>
        </w:rPr>
        <w:t>shall</w:t>
      </w:r>
      <w:r w:rsidRPr="00BF07FD">
        <w:rPr>
          <w:spacing w:val="-20"/>
          <w:szCs w:val="24"/>
        </w:rPr>
        <w:t xml:space="preserve"> </w:t>
      </w:r>
      <w:r w:rsidRPr="00BF07FD">
        <w:rPr>
          <w:szCs w:val="24"/>
        </w:rPr>
        <w:t>take</w:t>
      </w:r>
      <w:r w:rsidRPr="00BF07FD">
        <w:rPr>
          <w:spacing w:val="-20"/>
          <w:szCs w:val="24"/>
        </w:rPr>
        <w:t xml:space="preserve"> </w:t>
      </w:r>
      <w:r w:rsidRPr="00BF07FD">
        <w:rPr>
          <w:szCs w:val="24"/>
        </w:rPr>
        <w:t>into</w:t>
      </w:r>
      <w:r w:rsidRPr="00BF07FD">
        <w:rPr>
          <w:spacing w:val="-21"/>
          <w:szCs w:val="24"/>
        </w:rPr>
        <w:t xml:space="preserve"> </w:t>
      </w:r>
      <w:r w:rsidRPr="00BF07FD">
        <w:rPr>
          <w:szCs w:val="24"/>
        </w:rPr>
        <w:t>account</w:t>
      </w:r>
      <w:r w:rsidRPr="00BF07FD">
        <w:rPr>
          <w:spacing w:val="-20"/>
          <w:szCs w:val="24"/>
        </w:rPr>
        <w:t xml:space="preserve"> </w:t>
      </w:r>
      <w:r w:rsidRPr="00BF07FD">
        <w:rPr>
          <w:szCs w:val="24"/>
        </w:rPr>
        <w:t>the</w:t>
      </w:r>
      <w:r w:rsidRPr="00BF07FD">
        <w:rPr>
          <w:spacing w:val="-20"/>
          <w:szCs w:val="24"/>
        </w:rPr>
        <w:t xml:space="preserve"> </w:t>
      </w:r>
      <w:r w:rsidRPr="00BF07FD">
        <w:rPr>
          <w:szCs w:val="24"/>
        </w:rPr>
        <w:t>information</w:t>
      </w:r>
      <w:r w:rsidRPr="00BF07FD">
        <w:rPr>
          <w:spacing w:val="-20"/>
          <w:szCs w:val="24"/>
        </w:rPr>
        <w:t xml:space="preserve"> </w:t>
      </w:r>
      <w:r w:rsidRPr="00BF07FD">
        <w:rPr>
          <w:szCs w:val="24"/>
        </w:rPr>
        <w:t>submitted</w:t>
      </w:r>
      <w:r w:rsidRPr="00BF07FD">
        <w:rPr>
          <w:spacing w:val="-21"/>
          <w:szCs w:val="24"/>
        </w:rPr>
        <w:t xml:space="preserve"> </w:t>
      </w:r>
      <w:r w:rsidRPr="00BF07FD">
        <w:rPr>
          <w:szCs w:val="24"/>
        </w:rPr>
        <w:t>for</w:t>
      </w:r>
      <w:r w:rsidRPr="00BF07FD">
        <w:rPr>
          <w:spacing w:val="-18"/>
          <w:szCs w:val="24"/>
        </w:rPr>
        <w:t xml:space="preserve"> </w:t>
      </w:r>
      <w:r w:rsidRPr="00BF07FD">
        <w:rPr>
          <w:szCs w:val="24"/>
        </w:rPr>
        <w:t>the</w:t>
      </w:r>
      <w:r w:rsidRPr="00BF07FD">
        <w:rPr>
          <w:spacing w:val="-20"/>
          <w:szCs w:val="24"/>
        </w:rPr>
        <w:t xml:space="preserve"> </w:t>
      </w:r>
      <w:r w:rsidRPr="00BF07FD">
        <w:rPr>
          <w:szCs w:val="24"/>
        </w:rPr>
        <w:t>reference</w:t>
      </w:r>
      <w:r w:rsidRPr="00BF07FD">
        <w:rPr>
          <w:spacing w:val="-21"/>
          <w:szCs w:val="24"/>
        </w:rPr>
        <w:t xml:space="preserve"> </w:t>
      </w:r>
      <w:r w:rsidRPr="00BF07FD">
        <w:rPr>
          <w:szCs w:val="24"/>
        </w:rPr>
        <w:t>date</w:t>
      </w:r>
      <w:r w:rsidRPr="00BF07FD">
        <w:rPr>
          <w:spacing w:val="-21"/>
          <w:szCs w:val="24"/>
        </w:rPr>
        <w:t xml:space="preserve"> </w:t>
      </w:r>
      <w:r w:rsidRPr="00BF07FD">
        <w:rPr>
          <w:szCs w:val="24"/>
        </w:rPr>
        <w:t>and the</w:t>
      </w:r>
      <w:r w:rsidRPr="00BF07FD">
        <w:rPr>
          <w:spacing w:val="5"/>
          <w:szCs w:val="24"/>
        </w:rPr>
        <w:t xml:space="preserve"> </w:t>
      </w:r>
      <w:r w:rsidRPr="00BF07FD">
        <w:rPr>
          <w:szCs w:val="24"/>
        </w:rPr>
        <w:t>information</w:t>
      </w:r>
      <w:r w:rsidRPr="00BF07FD">
        <w:rPr>
          <w:spacing w:val="5"/>
          <w:szCs w:val="24"/>
        </w:rPr>
        <w:t xml:space="preserve"> </w:t>
      </w:r>
      <w:r w:rsidRPr="00BF07FD">
        <w:rPr>
          <w:szCs w:val="24"/>
        </w:rPr>
        <w:t>on</w:t>
      </w:r>
      <w:r w:rsidRPr="00BF07FD">
        <w:rPr>
          <w:spacing w:val="5"/>
          <w:szCs w:val="24"/>
        </w:rPr>
        <w:t xml:space="preserve"> </w:t>
      </w:r>
      <w:r w:rsidRPr="00BF07FD">
        <w:rPr>
          <w:szCs w:val="24"/>
        </w:rPr>
        <w:t>the</w:t>
      </w:r>
      <w:r w:rsidRPr="00BF07FD">
        <w:rPr>
          <w:spacing w:val="5"/>
          <w:szCs w:val="24"/>
        </w:rPr>
        <w:t xml:space="preserve"> </w:t>
      </w:r>
      <w:r w:rsidRPr="00BF07FD">
        <w:rPr>
          <w:szCs w:val="24"/>
        </w:rPr>
        <w:t>cash-flows</w:t>
      </w:r>
      <w:r w:rsidRPr="00BF07FD">
        <w:rPr>
          <w:spacing w:val="5"/>
          <w:szCs w:val="24"/>
        </w:rPr>
        <w:t xml:space="preserve"> </w:t>
      </w:r>
      <w:r w:rsidRPr="00BF07FD">
        <w:rPr>
          <w:szCs w:val="24"/>
        </w:rPr>
        <w:t>of</w:t>
      </w:r>
      <w:r w:rsidRPr="00BF07FD">
        <w:rPr>
          <w:spacing w:val="6"/>
          <w:szCs w:val="24"/>
        </w:rPr>
        <w:t xml:space="preserve"> </w:t>
      </w:r>
      <w:r w:rsidRPr="00BF07FD">
        <w:rPr>
          <w:szCs w:val="24"/>
        </w:rPr>
        <w:t>the</w:t>
      </w:r>
      <w:r w:rsidRPr="00BF07FD">
        <w:rPr>
          <w:spacing w:val="5"/>
          <w:szCs w:val="24"/>
        </w:rPr>
        <w:t xml:space="preserve"> </w:t>
      </w:r>
      <w:r w:rsidRPr="00BF07FD">
        <w:rPr>
          <w:szCs w:val="24"/>
        </w:rPr>
        <w:t>institution</w:t>
      </w:r>
      <w:r w:rsidRPr="00BF07FD">
        <w:rPr>
          <w:spacing w:val="5"/>
          <w:szCs w:val="24"/>
        </w:rPr>
        <w:t xml:space="preserve"> </w:t>
      </w:r>
      <w:r w:rsidRPr="00BF07FD">
        <w:rPr>
          <w:szCs w:val="24"/>
        </w:rPr>
        <w:t>over</w:t>
      </w:r>
      <w:r w:rsidRPr="00BF07FD">
        <w:rPr>
          <w:spacing w:val="8"/>
          <w:szCs w:val="24"/>
        </w:rPr>
        <w:t xml:space="preserve"> </w:t>
      </w:r>
      <w:r w:rsidRPr="00BF07FD">
        <w:rPr>
          <w:szCs w:val="24"/>
        </w:rPr>
        <w:t>the</w:t>
      </w:r>
      <w:r w:rsidRPr="00BF07FD">
        <w:rPr>
          <w:spacing w:val="5"/>
          <w:szCs w:val="24"/>
        </w:rPr>
        <w:t xml:space="preserve"> </w:t>
      </w:r>
      <w:r w:rsidRPr="00BF07FD">
        <w:rPr>
          <w:szCs w:val="24"/>
        </w:rPr>
        <w:t>following</w:t>
      </w:r>
      <w:r w:rsidRPr="00BF07FD">
        <w:rPr>
          <w:spacing w:val="5"/>
          <w:szCs w:val="24"/>
        </w:rPr>
        <w:t xml:space="preserve"> </w:t>
      </w:r>
      <w:r w:rsidRPr="00BF07FD">
        <w:rPr>
          <w:szCs w:val="24"/>
        </w:rPr>
        <w:t>30</w:t>
      </w:r>
      <w:r w:rsidRPr="00BF07FD">
        <w:rPr>
          <w:spacing w:val="5"/>
          <w:szCs w:val="24"/>
        </w:rPr>
        <w:t xml:space="preserve"> </w:t>
      </w:r>
      <w:r w:rsidRPr="00BF07FD">
        <w:rPr>
          <w:szCs w:val="24"/>
        </w:rPr>
        <w:t>calendar</w:t>
      </w:r>
      <w:r w:rsidRPr="00BF07FD">
        <w:rPr>
          <w:spacing w:val="3"/>
          <w:szCs w:val="24"/>
        </w:rPr>
        <w:t xml:space="preserve"> </w:t>
      </w:r>
      <w:r w:rsidRPr="00BF07FD">
        <w:rPr>
          <w:szCs w:val="24"/>
        </w:rPr>
        <w:t>days</w:t>
      </w:r>
      <w:r w:rsidRPr="00F91209">
        <w:t>.</w:t>
      </w:r>
    </w:p>
    <w:p w14:paraId="1B273506" w14:textId="77777777" w:rsidR="00FE0C02" w:rsidRPr="00F91209" w:rsidRDefault="00FE0C02" w:rsidP="00FE0C02">
      <w:pPr>
        <w:pStyle w:val="Titrearticle"/>
      </w:pPr>
      <w:r w:rsidRPr="00F91209">
        <w:t xml:space="preserve">Article </w:t>
      </w:r>
      <w:r w:rsidRPr="00F91209">
        <w:fldChar w:fldCharType="begin"/>
      </w:r>
      <w:r w:rsidRPr="00F91209">
        <w:instrText xml:space="preserve"> seq article </w:instrText>
      </w:r>
      <w:r w:rsidRPr="00F91209">
        <w:fldChar w:fldCharType="separate"/>
      </w:r>
      <w:r w:rsidRPr="00F91209">
        <w:t>17</w:t>
      </w:r>
      <w:r w:rsidRPr="00F91209">
        <w:fldChar w:fldCharType="end"/>
      </w:r>
    </w:p>
    <w:p w14:paraId="4A29F4CE" w14:textId="77777777" w:rsidR="00FE0C02" w:rsidRPr="001732B4" w:rsidRDefault="00FE0C02" w:rsidP="00FE0C02">
      <w:pPr>
        <w:pStyle w:val="Titrearticle"/>
        <w:spacing w:before="120"/>
        <w:rPr>
          <w:b/>
          <w:i w:val="0"/>
        </w:rPr>
      </w:pPr>
      <w:r>
        <w:rPr>
          <w:b/>
          <w:i w:val="0"/>
        </w:rPr>
        <w:t>R</w:t>
      </w:r>
      <w:r w:rsidRPr="001732B4">
        <w:rPr>
          <w:b/>
          <w:i w:val="0"/>
        </w:rPr>
        <w:t xml:space="preserve">eporting on </w:t>
      </w:r>
      <w:r w:rsidRPr="0078668E">
        <w:rPr>
          <w:b/>
          <w:i w:val="0"/>
        </w:rPr>
        <w:t xml:space="preserve">stable funding </w:t>
      </w:r>
      <w:r w:rsidRPr="00116353">
        <w:rPr>
          <w:b/>
          <w:i w:val="0"/>
        </w:rPr>
        <w:t>on an individual and a consolidated basis</w:t>
      </w:r>
    </w:p>
    <w:p w14:paraId="46A16391" w14:textId="77777777" w:rsidR="00FE0C02" w:rsidRDefault="00FE0C02" w:rsidP="00FE0C02">
      <w:r w:rsidRPr="00BF07FD">
        <w:rPr>
          <w:szCs w:val="24"/>
        </w:rPr>
        <w:t>In</w:t>
      </w:r>
      <w:r w:rsidRPr="00BF07FD">
        <w:rPr>
          <w:spacing w:val="-8"/>
          <w:szCs w:val="24"/>
        </w:rPr>
        <w:t xml:space="preserve"> </w:t>
      </w:r>
      <w:r w:rsidRPr="00BF07FD">
        <w:rPr>
          <w:szCs w:val="24"/>
        </w:rPr>
        <w:t>order</w:t>
      </w:r>
      <w:r w:rsidRPr="00BF07FD">
        <w:rPr>
          <w:spacing w:val="-5"/>
          <w:szCs w:val="24"/>
        </w:rPr>
        <w:t xml:space="preserve"> </w:t>
      </w:r>
      <w:r w:rsidRPr="00BF07FD">
        <w:rPr>
          <w:szCs w:val="24"/>
        </w:rPr>
        <w:t>to</w:t>
      </w:r>
      <w:r w:rsidRPr="00BF07FD">
        <w:rPr>
          <w:spacing w:val="-9"/>
          <w:szCs w:val="24"/>
        </w:rPr>
        <w:t xml:space="preserve"> </w:t>
      </w:r>
      <w:r w:rsidRPr="00BF07FD">
        <w:rPr>
          <w:szCs w:val="24"/>
        </w:rPr>
        <w:t>report</w:t>
      </w:r>
      <w:r w:rsidRPr="00BF07FD">
        <w:rPr>
          <w:spacing w:val="-8"/>
          <w:szCs w:val="24"/>
        </w:rPr>
        <w:t xml:space="preserve"> </w:t>
      </w:r>
      <w:r w:rsidRPr="00BF07FD">
        <w:rPr>
          <w:szCs w:val="24"/>
        </w:rPr>
        <w:t>information</w:t>
      </w:r>
      <w:r w:rsidRPr="00BF07FD">
        <w:rPr>
          <w:spacing w:val="-8"/>
          <w:szCs w:val="24"/>
        </w:rPr>
        <w:t xml:space="preserve"> </w:t>
      </w:r>
      <w:r w:rsidRPr="00BF07FD">
        <w:rPr>
          <w:szCs w:val="24"/>
        </w:rPr>
        <w:t>on</w:t>
      </w:r>
      <w:r w:rsidRPr="00BF07FD">
        <w:rPr>
          <w:spacing w:val="-9"/>
          <w:szCs w:val="24"/>
        </w:rPr>
        <w:t xml:space="preserve"> </w:t>
      </w:r>
      <w:r w:rsidRPr="00BF07FD">
        <w:rPr>
          <w:szCs w:val="24"/>
        </w:rPr>
        <w:t>stable</w:t>
      </w:r>
      <w:r w:rsidRPr="00BF07FD">
        <w:rPr>
          <w:spacing w:val="-8"/>
          <w:szCs w:val="24"/>
        </w:rPr>
        <w:t xml:space="preserve"> </w:t>
      </w:r>
      <w:r w:rsidRPr="00BF07FD">
        <w:rPr>
          <w:szCs w:val="24"/>
        </w:rPr>
        <w:t>funding</w:t>
      </w:r>
      <w:r w:rsidRPr="00BF07FD">
        <w:rPr>
          <w:spacing w:val="-9"/>
          <w:szCs w:val="24"/>
        </w:rPr>
        <w:t xml:space="preserve"> in </w:t>
      </w:r>
      <w:r w:rsidRPr="00BF07FD">
        <w:rPr>
          <w:szCs w:val="24"/>
        </w:rPr>
        <w:t>accordance</w:t>
      </w:r>
      <w:r w:rsidRPr="00BF07FD">
        <w:rPr>
          <w:spacing w:val="-8"/>
          <w:szCs w:val="24"/>
        </w:rPr>
        <w:t xml:space="preserve"> </w:t>
      </w:r>
      <w:r w:rsidRPr="00BF07FD">
        <w:rPr>
          <w:szCs w:val="24"/>
        </w:rPr>
        <w:t>with</w:t>
      </w:r>
      <w:r w:rsidRPr="00BF07FD">
        <w:rPr>
          <w:spacing w:val="-9"/>
          <w:szCs w:val="24"/>
        </w:rPr>
        <w:t xml:space="preserve"> </w:t>
      </w:r>
      <w:r w:rsidRPr="00BF07FD">
        <w:rPr>
          <w:szCs w:val="24"/>
        </w:rPr>
        <w:t>Article 430(1)</w:t>
      </w:r>
      <w:r>
        <w:rPr>
          <w:szCs w:val="24"/>
        </w:rPr>
        <w:t>,</w:t>
      </w:r>
      <w:r w:rsidRPr="00BF07FD">
        <w:rPr>
          <w:spacing w:val="-8"/>
          <w:szCs w:val="24"/>
        </w:rPr>
        <w:t xml:space="preserve"> </w:t>
      </w:r>
      <w:r w:rsidRPr="00BF07FD">
        <w:rPr>
          <w:spacing w:val="-9"/>
          <w:szCs w:val="24"/>
        </w:rPr>
        <w:t>point (d)</w:t>
      </w:r>
      <w:r>
        <w:rPr>
          <w:spacing w:val="-9"/>
          <w:szCs w:val="24"/>
        </w:rPr>
        <w:t>,</w:t>
      </w:r>
      <w:r w:rsidRPr="00BF07FD">
        <w:rPr>
          <w:spacing w:val="-9"/>
          <w:szCs w:val="24"/>
        </w:rPr>
        <w:t xml:space="preserve"> </w:t>
      </w:r>
      <w:r w:rsidRPr="00BF07FD">
        <w:rPr>
          <w:szCs w:val="24"/>
        </w:rPr>
        <w:t>of</w:t>
      </w:r>
      <w:r w:rsidRPr="00BF07FD">
        <w:rPr>
          <w:spacing w:val="-8"/>
          <w:szCs w:val="24"/>
        </w:rPr>
        <w:t xml:space="preserve"> </w:t>
      </w:r>
      <w:r w:rsidRPr="00BF07FD">
        <w:rPr>
          <w:szCs w:val="24"/>
        </w:rPr>
        <w:t>Regulation</w:t>
      </w:r>
      <w:r w:rsidRPr="00BF07FD">
        <w:rPr>
          <w:spacing w:val="-8"/>
          <w:szCs w:val="24"/>
        </w:rPr>
        <w:t xml:space="preserve"> </w:t>
      </w:r>
      <w:r w:rsidRPr="00BF07FD">
        <w:rPr>
          <w:szCs w:val="24"/>
        </w:rPr>
        <w:t>(EU)</w:t>
      </w:r>
      <w:r w:rsidRPr="00BF07FD">
        <w:rPr>
          <w:spacing w:val="-8"/>
          <w:szCs w:val="24"/>
        </w:rPr>
        <w:t xml:space="preserve"> </w:t>
      </w:r>
      <w:r w:rsidRPr="00BF07FD">
        <w:rPr>
          <w:szCs w:val="24"/>
        </w:rPr>
        <w:t>No</w:t>
      </w:r>
      <w:r w:rsidRPr="00BF07FD">
        <w:rPr>
          <w:spacing w:val="-8"/>
          <w:szCs w:val="24"/>
        </w:rPr>
        <w:t> </w:t>
      </w:r>
      <w:r w:rsidRPr="00BF07FD">
        <w:rPr>
          <w:szCs w:val="24"/>
        </w:rPr>
        <w:t>575/2013</w:t>
      </w:r>
      <w:r w:rsidRPr="00BF07FD">
        <w:rPr>
          <w:spacing w:val="-9"/>
          <w:szCs w:val="24"/>
        </w:rPr>
        <w:t xml:space="preserve"> </w:t>
      </w:r>
      <w:r w:rsidRPr="00BF07FD">
        <w:rPr>
          <w:szCs w:val="24"/>
        </w:rPr>
        <w:t>on</w:t>
      </w:r>
      <w:r w:rsidRPr="00BF07FD">
        <w:rPr>
          <w:spacing w:val="-8"/>
          <w:szCs w:val="24"/>
        </w:rPr>
        <w:t xml:space="preserve"> </w:t>
      </w:r>
      <w:r w:rsidRPr="00BF07FD">
        <w:rPr>
          <w:szCs w:val="24"/>
        </w:rPr>
        <w:t>an individual and a consolidated basis, institutions shall submit the information specified in Annex XII, in accordance with the instructions</w:t>
      </w:r>
      <w:r w:rsidRPr="00BF07FD">
        <w:rPr>
          <w:spacing w:val="10"/>
          <w:szCs w:val="24"/>
        </w:rPr>
        <w:t xml:space="preserve"> </w:t>
      </w:r>
      <w:r w:rsidRPr="00BF07FD">
        <w:rPr>
          <w:szCs w:val="24"/>
        </w:rPr>
        <w:t>in</w:t>
      </w:r>
      <w:r w:rsidRPr="00BF07FD">
        <w:rPr>
          <w:spacing w:val="11"/>
          <w:szCs w:val="24"/>
        </w:rPr>
        <w:t xml:space="preserve"> </w:t>
      </w:r>
      <w:r w:rsidRPr="00BF07FD">
        <w:rPr>
          <w:szCs w:val="24"/>
        </w:rPr>
        <w:t>Annex</w:t>
      </w:r>
      <w:r w:rsidRPr="00BF07FD">
        <w:rPr>
          <w:spacing w:val="10"/>
          <w:szCs w:val="24"/>
        </w:rPr>
        <w:t> </w:t>
      </w:r>
      <w:r w:rsidRPr="00BF07FD">
        <w:rPr>
          <w:szCs w:val="24"/>
        </w:rPr>
        <w:t>XIII,</w:t>
      </w:r>
      <w:r w:rsidRPr="00BF07FD">
        <w:rPr>
          <w:spacing w:val="10"/>
          <w:szCs w:val="24"/>
        </w:rPr>
        <w:t xml:space="preserve"> </w:t>
      </w:r>
      <w:r w:rsidRPr="00BF07FD">
        <w:rPr>
          <w:szCs w:val="24"/>
        </w:rPr>
        <w:t>with</w:t>
      </w:r>
      <w:r w:rsidRPr="00BF07FD">
        <w:rPr>
          <w:spacing w:val="10"/>
          <w:szCs w:val="24"/>
        </w:rPr>
        <w:t xml:space="preserve"> </w:t>
      </w:r>
      <w:r w:rsidRPr="00BF07FD">
        <w:rPr>
          <w:szCs w:val="24"/>
        </w:rPr>
        <w:t>a</w:t>
      </w:r>
      <w:r w:rsidRPr="00BF07FD">
        <w:rPr>
          <w:spacing w:val="10"/>
          <w:szCs w:val="24"/>
        </w:rPr>
        <w:t xml:space="preserve"> </w:t>
      </w:r>
      <w:r w:rsidRPr="00BF07FD">
        <w:rPr>
          <w:szCs w:val="24"/>
        </w:rPr>
        <w:t>quarterly</w:t>
      </w:r>
      <w:r w:rsidRPr="00BF07FD">
        <w:rPr>
          <w:spacing w:val="10"/>
          <w:szCs w:val="24"/>
        </w:rPr>
        <w:t xml:space="preserve"> </w:t>
      </w:r>
      <w:r w:rsidRPr="00BF07FD">
        <w:rPr>
          <w:szCs w:val="24"/>
        </w:rPr>
        <w:t>frequency as follows</w:t>
      </w:r>
      <w:r>
        <w:t>:</w:t>
      </w:r>
    </w:p>
    <w:p w14:paraId="38759E9F" w14:textId="77777777" w:rsidR="00FE0C02" w:rsidRPr="002C1097" w:rsidRDefault="00FE0C02" w:rsidP="00FE0C02">
      <w:pPr>
        <w:pStyle w:val="Point1"/>
      </w:pPr>
      <w:r>
        <w:t>(a)</w:t>
      </w:r>
      <w:r>
        <w:tab/>
      </w:r>
      <w:r w:rsidRPr="00BF07FD">
        <w:rPr>
          <w:szCs w:val="24"/>
        </w:rPr>
        <w:t xml:space="preserve">small and non-complex institutions that have chosen to calculate their </w:t>
      </w:r>
      <w:r w:rsidRPr="000A39B9">
        <w:t xml:space="preserve">net stable funding ratio </w:t>
      </w:r>
      <w:r>
        <w:t>(</w:t>
      </w:r>
      <w:r w:rsidRPr="00BF07FD">
        <w:rPr>
          <w:szCs w:val="24"/>
        </w:rPr>
        <w:t>NSFR</w:t>
      </w:r>
      <w:r>
        <w:rPr>
          <w:szCs w:val="24"/>
        </w:rPr>
        <w:t>)</w:t>
      </w:r>
      <w:r w:rsidRPr="00BF07FD">
        <w:rPr>
          <w:szCs w:val="24"/>
        </w:rPr>
        <w:t xml:space="preserve"> using the methodology set out in Part Six</w:t>
      </w:r>
      <w:r>
        <w:rPr>
          <w:szCs w:val="24"/>
        </w:rPr>
        <w:t>,</w:t>
      </w:r>
      <w:r w:rsidRPr="00BF07FD">
        <w:rPr>
          <w:szCs w:val="24"/>
        </w:rPr>
        <w:t xml:space="preserve"> Title IV</w:t>
      </w:r>
      <w:r>
        <w:rPr>
          <w:szCs w:val="24"/>
        </w:rPr>
        <w:t>,</w:t>
      </w:r>
      <w:r w:rsidRPr="00BF07FD">
        <w:rPr>
          <w:szCs w:val="24"/>
        </w:rPr>
        <w:t xml:space="preserve"> </w:t>
      </w:r>
      <w:r w:rsidRPr="00BF07FD">
        <w:rPr>
          <w:color w:val="000000"/>
          <w:szCs w:val="24"/>
        </w:rPr>
        <w:t>Chapters 6</w:t>
      </w:r>
      <w:r w:rsidRPr="00BF07FD">
        <w:rPr>
          <w:szCs w:val="24"/>
        </w:rPr>
        <w:t xml:space="preserve"> and 7 of Regulation (EU) No 575/2013, with the prior permission of their competent authority in accordance with Article 428ai of </w:t>
      </w:r>
      <w:r>
        <w:rPr>
          <w:szCs w:val="24"/>
        </w:rPr>
        <w:t xml:space="preserve">that </w:t>
      </w:r>
      <w:r w:rsidRPr="00BF07FD">
        <w:rPr>
          <w:szCs w:val="24"/>
        </w:rPr>
        <w:t>Regulation, shall submit templates 82 and 83 of Annex XII</w:t>
      </w:r>
      <w:r>
        <w:rPr>
          <w:szCs w:val="24"/>
        </w:rPr>
        <w:t xml:space="preserve"> to this Regulation</w:t>
      </w:r>
      <w:r w:rsidRPr="00BF07FD">
        <w:rPr>
          <w:szCs w:val="24"/>
        </w:rPr>
        <w:t>, in accordance with the instructions in Annex XIII</w:t>
      </w:r>
      <w:r>
        <w:rPr>
          <w:szCs w:val="24"/>
        </w:rPr>
        <w:t xml:space="preserve"> to this Regulation</w:t>
      </w:r>
      <w:r w:rsidRPr="002C1097">
        <w:t>;</w:t>
      </w:r>
    </w:p>
    <w:p w14:paraId="135317A6" w14:textId="77777777" w:rsidR="00FE0C02" w:rsidRPr="002C1097" w:rsidRDefault="00FE0C02" w:rsidP="00FE0C02">
      <w:pPr>
        <w:pStyle w:val="Point1"/>
      </w:pPr>
      <w:r>
        <w:t>(b)</w:t>
      </w:r>
      <w:r>
        <w:tab/>
      </w:r>
      <w:r w:rsidRPr="00BF07FD">
        <w:rPr>
          <w:szCs w:val="24"/>
        </w:rPr>
        <w:t xml:space="preserve">institutions other </w:t>
      </w:r>
      <w:r>
        <w:rPr>
          <w:szCs w:val="24"/>
        </w:rPr>
        <w:t xml:space="preserve">than those referred to in point (a) </w:t>
      </w:r>
      <w:r w:rsidRPr="00BF07FD">
        <w:rPr>
          <w:szCs w:val="24"/>
        </w:rPr>
        <w:t>shall submit templates 80 and 81 of Annex XII, in accordance with the instructions in Annex XIII</w:t>
      </w:r>
      <w:r w:rsidRPr="002C1097">
        <w:t xml:space="preserve">; </w:t>
      </w:r>
    </w:p>
    <w:p w14:paraId="75BF05A1" w14:textId="77777777" w:rsidR="00FE0C02" w:rsidRPr="002C1097" w:rsidRDefault="00FE0C02" w:rsidP="00FE0C02">
      <w:pPr>
        <w:pStyle w:val="Point1"/>
      </w:pPr>
      <w:r>
        <w:t>(c)</w:t>
      </w:r>
      <w:r>
        <w:tab/>
      </w:r>
      <w:r w:rsidRPr="00BF07FD">
        <w:rPr>
          <w:szCs w:val="24"/>
        </w:rPr>
        <w:t>all institutions shall submit template 84 of Annex XII, in accordance with the instructions in Annex XIII</w:t>
      </w:r>
      <w:r w:rsidRPr="002C1097">
        <w:t>.</w:t>
      </w:r>
    </w:p>
    <w:p w14:paraId="3C47F8E2" w14:textId="77777777" w:rsidR="00FE0C02" w:rsidRDefault="00FE0C02" w:rsidP="00FE0C02">
      <w:pPr>
        <w:pStyle w:val="Titrearticle"/>
      </w:pPr>
      <w:r w:rsidRPr="000C60D7">
        <w:t xml:space="preserve">Article </w:t>
      </w:r>
      <w:r w:rsidRPr="000C60D7">
        <w:fldChar w:fldCharType="begin"/>
      </w:r>
      <w:r w:rsidRPr="000C60D7">
        <w:instrText xml:space="preserve"> seq article </w:instrText>
      </w:r>
      <w:r w:rsidRPr="000C60D7">
        <w:fldChar w:fldCharType="separate"/>
      </w:r>
      <w:r w:rsidRPr="000C60D7">
        <w:t>18</w:t>
      </w:r>
      <w:r w:rsidRPr="000C60D7">
        <w:fldChar w:fldCharType="end"/>
      </w:r>
    </w:p>
    <w:p w14:paraId="3023D8A2" w14:textId="77777777" w:rsidR="00FE0C02" w:rsidRPr="00116353" w:rsidRDefault="00FE0C02" w:rsidP="00FE0C02">
      <w:pPr>
        <w:pStyle w:val="Titrearticle"/>
        <w:spacing w:before="120"/>
        <w:rPr>
          <w:b/>
          <w:i w:val="0"/>
        </w:rPr>
      </w:pPr>
      <w:r w:rsidRPr="00116353">
        <w:rPr>
          <w:b/>
          <w:i w:val="0"/>
        </w:rPr>
        <w:t>R</w:t>
      </w:r>
      <w:r w:rsidRPr="0078668E">
        <w:rPr>
          <w:b/>
          <w:i w:val="0"/>
        </w:rPr>
        <w:t xml:space="preserve">eporting on additional liquidity monitoring metrics </w:t>
      </w:r>
      <w:r w:rsidRPr="00116353">
        <w:rPr>
          <w:b/>
          <w:i w:val="0"/>
        </w:rPr>
        <w:t>on an individual and a consolidated basis</w:t>
      </w:r>
    </w:p>
    <w:p w14:paraId="6A3A9338" w14:textId="77777777" w:rsidR="00FE0C02" w:rsidRPr="00761243" w:rsidRDefault="00FE0C02" w:rsidP="005F180D">
      <w:pPr>
        <w:pStyle w:val="NumPar1"/>
        <w:numPr>
          <w:ilvl w:val="0"/>
          <w:numId w:val="25"/>
        </w:numPr>
      </w:pPr>
      <w:r w:rsidRPr="00FD3527">
        <w:rPr>
          <w:szCs w:val="24"/>
        </w:rPr>
        <w:t>In order to report information on additional liquidity monitoring metrics in accordance with Article 430(1), point (d), of Regulation (EU) No 575/2013 on an individual and a consolidated basis, institutions shall submit all of the following information with a monthly frequency</w:t>
      </w:r>
      <w:r w:rsidRPr="000C60D7">
        <w:t xml:space="preserve">: </w:t>
      </w:r>
    </w:p>
    <w:p w14:paraId="642EB969" w14:textId="77777777" w:rsidR="00FE0C02" w:rsidRPr="008B4A3F" w:rsidRDefault="00FE0C02" w:rsidP="00FE0C02">
      <w:pPr>
        <w:pStyle w:val="Point1"/>
      </w:pPr>
      <w:r>
        <w:t>(a)</w:t>
      </w:r>
      <w:r>
        <w:tab/>
      </w:r>
      <w:r w:rsidRPr="000C60D7">
        <w:t xml:space="preserve">the information specified in Annex XVIII in accordance with the instructions in Annex XIX; </w:t>
      </w:r>
    </w:p>
    <w:p w14:paraId="6F8BEAD3" w14:textId="77777777" w:rsidR="00FE0C02" w:rsidRPr="008B4A3F" w:rsidRDefault="00FE0C02" w:rsidP="00FE0C02">
      <w:pPr>
        <w:pStyle w:val="Point1"/>
      </w:pPr>
      <w:r>
        <w:t>(b)</w:t>
      </w:r>
      <w:r>
        <w:tab/>
      </w:r>
      <w:r w:rsidRPr="000C60D7">
        <w:t xml:space="preserve">the information specified in Annex XX in accordance with the instructions in Annex XXI; </w:t>
      </w:r>
    </w:p>
    <w:p w14:paraId="65BCA041" w14:textId="77777777" w:rsidR="00FE0C02" w:rsidRDefault="00FE0C02" w:rsidP="00FE0C02">
      <w:pPr>
        <w:pStyle w:val="Point1"/>
      </w:pPr>
      <w:r>
        <w:t>(c)</w:t>
      </w:r>
      <w:r>
        <w:tab/>
      </w:r>
      <w:r w:rsidRPr="000C60D7">
        <w:t xml:space="preserve">the information specified in Annex XXII in accordance with the instructions in Annex XXIII. </w:t>
      </w:r>
    </w:p>
    <w:p w14:paraId="105CC458" w14:textId="77777777" w:rsidR="00FE0C02" w:rsidRPr="00761243" w:rsidRDefault="00FE0C02" w:rsidP="00FE0C02">
      <w:pPr>
        <w:pStyle w:val="NumPar1"/>
        <w:rPr>
          <w:szCs w:val="32"/>
        </w:rPr>
      </w:pPr>
      <w:r>
        <w:lastRenderedPageBreak/>
        <w:t>By way of derogation from paragraph 1, an institution that meets all the conditions set out in Article 4(1), point (145), of Regulation (EU) No 575/2013 may report the information on additional liquidity monitoring metrics with a quarterly frequency.</w:t>
      </w:r>
    </w:p>
    <w:p w14:paraId="51E51891" w14:textId="77777777" w:rsidR="00FE0C02" w:rsidRDefault="00FE0C02" w:rsidP="00FE0C02">
      <w:pPr>
        <w:pStyle w:val="Titrearticle"/>
      </w:pPr>
      <w:r w:rsidRPr="00086C86">
        <w:t xml:space="preserve">Article </w:t>
      </w:r>
      <w:r>
        <w:t>19</w:t>
      </w:r>
    </w:p>
    <w:p w14:paraId="5CEC6025" w14:textId="77777777" w:rsidR="00FE0C02" w:rsidRPr="002D5ABA" w:rsidRDefault="00FE0C02" w:rsidP="00FE0C02">
      <w:pPr>
        <w:pStyle w:val="Text1"/>
      </w:pPr>
      <w:r w:rsidRPr="00116353">
        <w:rPr>
          <w:b/>
        </w:rPr>
        <w:t>Reporting on asset encumbrance on an individual and a consolidated basis</w:t>
      </w:r>
    </w:p>
    <w:p w14:paraId="733153BD" w14:textId="77777777" w:rsidR="00FE0C02" w:rsidRPr="000C60D7" w:rsidRDefault="00FE0C02" w:rsidP="005F180D">
      <w:pPr>
        <w:pStyle w:val="NumPar1"/>
        <w:numPr>
          <w:ilvl w:val="0"/>
          <w:numId w:val="26"/>
        </w:numPr>
      </w:pPr>
      <w:r w:rsidRPr="00FD3527">
        <w:rPr>
          <w:szCs w:val="24"/>
        </w:rPr>
        <w:t>In order to report information on asset encumbrance in accordance with Article 430(1), point (g), of Regulation (EU) No 575/2013 on an individual and a consolidated basis, institutions shall submit the information specified in Annex XVI to this Regulation, in accordance with the instructions set out in Annex XVII to this Regulation</w:t>
      </w:r>
      <w:r w:rsidRPr="000C60D7">
        <w:t xml:space="preserve">. </w:t>
      </w:r>
    </w:p>
    <w:p w14:paraId="466673DE" w14:textId="77777777" w:rsidR="00FE0C02" w:rsidRDefault="00FE0C02" w:rsidP="00FE0C02">
      <w:pPr>
        <w:pStyle w:val="NumPar1"/>
        <w:numPr>
          <w:ilvl w:val="0"/>
          <w:numId w:val="10"/>
        </w:numPr>
      </w:pPr>
      <w:r w:rsidRPr="00BF07FD">
        <w:rPr>
          <w:szCs w:val="24"/>
        </w:rPr>
        <w:t xml:space="preserve">The information referred to in paragraph 1 shall be submitted </w:t>
      </w:r>
      <w:r>
        <w:rPr>
          <w:szCs w:val="24"/>
        </w:rPr>
        <w:t>as follows</w:t>
      </w:r>
      <w:r w:rsidRPr="000C60D7">
        <w:t xml:space="preserve">: </w:t>
      </w:r>
    </w:p>
    <w:p w14:paraId="6377EF60" w14:textId="77777777" w:rsidR="00FE0C02" w:rsidRPr="008B4A3F" w:rsidRDefault="00FE0C02" w:rsidP="00FE0C02">
      <w:pPr>
        <w:pStyle w:val="Point1"/>
      </w:pPr>
      <w:r>
        <w:t>(a)</w:t>
      </w:r>
      <w:r>
        <w:tab/>
      </w:r>
      <w:r w:rsidRPr="00BF07FD">
        <w:rPr>
          <w:szCs w:val="24"/>
        </w:rPr>
        <w:t>the information specified in Annex XVI</w:t>
      </w:r>
      <w:r>
        <w:rPr>
          <w:szCs w:val="24"/>
        </w:rPr>
        <w:t>,</w:t>
      </w:r>
      <w:r w:rsidRPr="00BF07FD">
        <w:rPr>
          <w:szCs w:val="24"/>
        </w:rPr>
        <w:t xml:space="preserve"> Parts A, B and D</w:t>
      </w:r>
      <w:r>
        <w:rPr>
          <w:szCs w:val="24"/>
        </w:rPr>
        <w:t>,</w:t>
      </w:r>
      <w:r w:rsidRPr="00BF07FD">
        <w:rPr>
          <w:szCs w:val="24"/>
        </w:rPr>
        <w:t xml:space="preserve"> with a quarterly frequency</w:t>
      </w:r>
      <w:r w:rsidRPr="000C60D7">
        <w:t xml:space="preserve">; </w:t>
      </w:r>
    </w:p>
    <w:p w14:paraId="0B272D04" w14:textId="77777777" w:rsidR="00FE0C02" w:rsidRPr="008B4A3F" w:rsidRDefault="00FE0C02" w:rsidP="00FE0C02">
      <w:pPr>
        <w:pStyle w:val="Point1"/>
      </w:pPr>
      <w:r>
        <w:t>(b)</w:t>
      </w:r>
      <w:r>
        <w:tab/>
      </w:r>
      <w:r w:rsidRPr="000C60D7">
        <w:t>the information specified in Annex XVI</w:t>
      </w:r>
      <w:r>
        <w:t>,</w:t>
      </w:r>
      <w:r w:rsidRPr="000C60D7">
        <w:t xml:space="preserve"> Part </w:t>
      </w:r>
      <w:r>
        <w:t>C,</w:t>
      </w:r>
      <w:r w:rsidRPr="000C60D7">
        <w:t xml:space="preserve"> with an annual frequency; </w:t>
      </w:r>
    </w:p>
    <w:p w14:paraId="78F69E95" w14:textId="77777777" w:rsidR="00FE0C02" w:rsidRPr="008B4A3F" w:rsidRDefault="00FE0C02" w:rsidP="00FE0C02">
      <w:pPr>
        <w:pStyle w:val="Point1"/>
      </w:pPr>
      <w:r>
        <w:t>(c)</w:t>
      </w:r>
      <w:r>
        <w:tab/>
      </w:r>
      <w:r w:rsidRPr="000C60D7">
        <w:t>the</w:t>
      </w:r>
      <w:r>
        <w:t xml:space="preserve"> information specified in </w:t>
      </w:r>
      <w:r w:rsidRPr="000C60D7">
        <w:t>Annex XVI</w:t>
      </w:r>
      <w:r>
        <w:t>,</w:t>
      </w:r>
      <w:r w:rsidRPr="000C60D7">
        <w:t xml:space="preserve"> </w:t>
      </w:r>
      <w:r>
        <w:t xml:space="preserve">Part E, </w:t>
      </w:r>
      <w:r w:rsidRPr="000C60D7">
        <w:t xml:space="preserve">with a semi-annual frequency. </w:t>
      </w:r>
    </w:p>
    <w:p w14:paraId="282EB9CF" w14:textId="77777777" w:rsidR="00FE0C02" w:rsidRDefault="00FE0C02" w:rsidP="00FE0C02">
      <w:pPr>
        <w:pStyle w:val="NumPar1"/>
        <w:numPr>
          <w:ilvl w:val="0"/>
          <w:numId w:val="10"/>
        </w:numPr>
      </w:pPr>
      <w:r w:rsidRPr="00BF07FD">
        <w:rPr>
          <w:szCs w:val="24"/>
        </w:rPr>
        <w:t xml:space="preserve">Institutions shall not be required to report the information </w:t>
      </w:r>
      <w:r>
        <w:rPr>
          <w:szCs w:val="24"/>
        </w:rPr>
        <w:t xml:space="preserve">specified in </w:t>
      </w:r>
      <w:r w:rsidRPr="00BF07FD">
        <w:rPr>
          <w:szCs w:val="24"/>
        </w:rPr>
        <w:t>Annex XVI</w:t>
      </w:r>
      <w:r>
        <w:rPr>
          <w:szCs w:val="24"/>
        </w:rPr>
        <w:t>,</w:t>
      </w:r>
      <w:r w:rsidRPr="00BF07FD">
        <w:rPr>
          <w:szCs w:val="24"/>
        </w:rPr>
        <w:t xml:space="preserve"> Parts B, C and E</w:t>
      </w:r>
      <w:r>
        <w:rPr>
          <w:szCs w:val="24"/>
        </w:rPr>
        <w:t>,</w:t>
      </w:r>
      <w:r w:rsidRPr="00BF07FD">
        <w:rPr>
          <w:szCs w:val="24"/>
        </w:rPr>
        <w:t xml:space="preserve"> where both of the following conditions are met</w:t>
      </w:r>
      <w:r w:rsidRPr="000C60D7">
        <w:t xml:space="preserve">: </w:t>
      </w:r>
    </w:p>
    <w:p w14:paraId="239B0175" w14:textId="77777777" w:rsidR="00FE0C02" w:rsidRPr="000C60D7" w:rsidRDefault="00FE0C02" w:rsidP="00FE0C02">
      <w:pPr>
        <w:pStyle w:val="Point1"/>
      </w:pPr>
      <w:r>
        <w:t>(a)</w:t>
      </w:r>
      <w:r>
        <w:tab/>
      </w:r>
      <w:r w:rsidRPr="000C60D7">
        <w:t>the institution is not considered a large institution;</w:t>
      </w:r>
    </w:p>
    <w:p w14:paraId="0C93B562" w14:textId="77777777" w:rsidR="00FE0C02" w:rsidRPr="000C60D7" w:rsidRDefault="00FE0C02" w:rsidP="00FE0C02">
      <w:pPr>
        <w:pStyle w:val="Point1"/>
      </w:pPr>
      <w:r>
        <w:t>(b)</w:t>
      </w:r>
      <w:r>
        <w:tab/>
      </w:r>
      <w:r w:rsidRPr="00BF07FD">
        <w:rPr>
          <w:szCs w:val="24"/>
        </w:rPr>
        <w:t>the asset encumbrance level of the institution, as calculated in accordance with Annex XVII</w:t>
      </w:r>
      <w:r>
        <w:rPr>
          <w:szCs w:val="24"/>
        </w:rPr>
        <w:t>,</w:t>
      </w:r>
      <w:r w:rsidRPr="00BF07FD">
        <w:rPr>
          <w:szCs w:val="24"/>
        </w:rPr>
        <w:t xml:space="preserve"> point 1.6</w:t>
      </w:r>
      <w:r>
        <w:rPr>
          <w:szCs w:val="24"/>
        </w:rPr>
        <w:t>,</w:t>
      </w:r>
      <w:r w:rsidRPr="00BF07FD">
        <w:rPr>
          <w:szCs w:val="24"/>
        </w:rPr>
        <w:t xml:space="preserve"> </w:t>
      </w:r>
      <w:r>
        <w:rPr>
          <w:szCs w:val="24"/>
        </w:rPr>
        <w:t>sub-point</w:t>
      </w:r>
      <w:r w:rsidRPr="00BF07FD">
        <w:rPr>
          <w:szCs w:val="24"/>
        </w:rPr>
        <w:t> 9</w:t>
      </w:r>
      <w:r>
        <w:rPr>
          <w:szCs w:val="24"/>
        </w:rPr>
        <w:t>,</w:t>
      </w:r>
      <w:r w:rsidRPr="00BF07FD">
        <w:rPr>
          <w:szCs w:val="24"/>
        </w:rPr>
        <w:t xml:space="preserve"> is below 15</w:t>
      </w:r>
      <w:r>
        <w:rPr>
          <w:szCs w:val="24"/>
        </w:rPr>
        <w:t> </w:t>
      </w:r>
      <w:r w:rsidRPr="00BF07FD">
        <w:rPr>
          <w:szCs w:val="24"/>
        </w:rPr>
        <w:t>%</w:t>
      </w:r>
      <w:r w:rsidRPr="000C60D7">
        <w:t>.</w:t>
      </w:r>
    </w:p>
    <w:p w14:paraId="19A215D8" w14:textId="77777777" w:rsidR="00FE0C02" w:rsidRPr="000C60D7" w:rsidRDefault="00FE0C02" w:rsidP="00FE0C02">
      <w:pPr>
        <w:pStyle w:val="Text1"/>
      </w:pPr>
      <w:r w:rsidRPr="00982A07">
        <w:t>The entry and exit criteria of Article 4(3) shall apply.</w:t>
      </w:r>
      <w:r w:rsidRPr="000C60D7">
        <w:t xml:space="preserve"> </w:t>
      </w:r>
    </w:p>
    <w:p w14:paraId="7A2CBD82" w14:textId="77777777" w:rsidR="00FE0C02" w:rsidRPr="000C60D7" w:rsidRDefault="00FE0C02" w:rsidP="00FE0C02">
      <w:pPr>
        <w:pStyle w:val="NumPar1"/>
        <w:numPr>
          <w:ilvl w:val="0"/>
          <w:numId w:val="10"/>
        </w:numPr>
      </w:pPr>
      <w:r w:rsidRPr="00BF07FD">
        <w:rPr>
          <w:szCs w:val="24"/>
        </w:rPr>
        <w:t>Institutions shall report the information specified in Annex XVI</w:t>
      </w:r>
      <w:r>
        <w:rPr>
          <w:szCs w:val="24"/>
        </w:rPr>
        <w:t>,</w:t>
      </w:r>
      <w:r w:rsidRPr="00BF07FD">
        <w:rPr>
          <w:szCs w:val="24"/>
        </w:rPr>
        <w:t xml:space="preserve"> Part D</w:t>
      </w:r>
      <w:r>
        <w:rPr>
          <w:szCs w:val="24"/>
        </w:rPr>
        <w:t>,</w:t>
      </w:r>
      <w:r w:rsidRPr="00BF07FD">
        <w:rPr>
          <w:szCs w:val="24"/>
        </w:rPr>
        <w:t xml:space="preserve"> only where they issue bonds referred to in Article 52(4)</w:t>
      </w:r>
      <w:r>
        <w:rPr>
          <w:szCs w:val="24"/>
        </w:rPr>
        <w:t>,</w:t>
      </w:r>
      <w:r w:rsidRPr="00BF07FD">
        <w:rPr>
          <w:szCs w:val="24"/>
        </w:rPr>
        <w:t xml:space="preserve"> the first subparagraph</w:t>
      </w:r>
      <w:r>
        <w:rPr>
          <w:szCs w:val="24"/>
        </w:rPr>
        <w:t>,</w:t>
      </w:r>
      <w:r w:rsidRPr="00BF07FD">
        <w:rPr>
          <w:szCs w:val="24"/>
        </w:rPr>
        <w:t xml:space="preserve"> of Directive 2009/65/EC of the European Parliament and of the</w:t>
      </w:r>
      <w:r>
        <w:rPr>
          <w:szCs w:val="24"/>
        </w:rPr>
        <w:t xml:space="preserve"> </w:t>
      </w:r>
      <w:r w:rsidRPr="000C60D7">
        <w:t>Council</w:t>
      </w:r>
      <w:r w:rsidRPr="00C14839">
        <w:rPr>
          <w:rStyle w:val="FootnoteReference"/>
        </w:rPr>
        <w:footnoteReference w:id="11"/>
      </w:r>
      <w:r w:rsidRPr="000C60D7">
        <w:t xml:space="preserve">. </w:t>
      </w:r>
    </w:p>
    <w:p w14:paraId="216F0D5A" w14:textId="77777777" w:rsidR="00FE0C02" w:rsidRPr="000C60D7" w:rsidRDefault="00FE0C02" w:rsidP="00FE0C02">
      <w:pPr>
        <w:pStyle w:val="Text1"/>
      </w:pPr>
      <w:r w:rsidRPr="00116353">
        <w:t>The entry and exit criteria of Article 4(3) shall apply.</w:t>
      </w:r>
    </w:p>
    <w:p w14:paraId="3C60098A" w14:textId="77777777" w:rsidR="00FE0C02" w:rsidRDefault="00FE0C02" w:rsidP="00FE0C02">
      <w:pPr>
        <w:pStyle w:val="Titrearticle"/>
      </w:pPr>
      <w:r w:rsidRPr="0016060B">
        <w:t>Article 20</w:t>
      </w:r>
    </w:p>
    <w:p w14:paraId="4B5AD6C9" w14:textId="77777777" w:rsidR="00FE0C02" w:rsidRPr="00761243" w:rsidRDefault="00FE0C02" w:rsidP="00FE0C02">
      <w:pPr>
        <w:pStyle w:val="Text1"/>
      </w:pPr>
      <w:r w:rsidRPr="00116353">
        <w:rPr>
          <w:b/>
        </w:rPr>
        <w:t>Supplementary reporting on a consolidated basis for the purposes of identifying G-SIIs and assigning G-SII buffer rates</w:t>
      </w:r>
    </w:p>
    <w:p w14:paraId="76EECD2F" w14:textId="54CEB2D8" w:rsidR="00FE0C02" w:rsidRPr="000C60D7" w:rsidRDefault="00FE0C02" w:rsidP="005F180D">
      <w:pPr>
        <w:pStyle w:val="NumPar1"/>
        <w:numPr>
          <w:ilvl w:val="0"/>
          <w:numId w:val="27"/>
        </w:numPr>
      </w:pPr>
      <w:r w:rsidRPr="00FD3527">
        <w:rPr>
          <w:szCs w:val="24"/>
        </w:rPr>
        <w:t xml:space="preserve">In order to report supplementary information for the purposes of identifying G-SIIs and assigning G-SII buffer rates under Article 131 of Directive 2013/36/EU, EU parent institutions, EU parent financial holdings and EU </w:t>
      </w:r>
      <w:r w:rsidR="001E7F77">
        <w:rPr>
          <w:szCs w:val="24"/>
        </w:rPr>
        <w:t xml:space="preserve">parent </w:t>
      </w:r>
      <w:r w:rsidRPr="00FD3527">
        <w:rPr>
          <w:szCs w:val="24"/>
        </w:rPr>
        <w:t>mixed financial holdings shall submit the information as specified in Annex XXVI, in accordance with the instructions in Annex XXVII, on a consolidated basis with a quarterly frequency</w:t>
      </w:r>
      <w:r w:rsidRPr="000C60D7">
        <w:t>.</w:t>
      </w:r>
    </w:p>
    <w:p w14:paraId="4242810E" w14:textId="5FDC7845" w:rsidR="00FE0C02" w:rsidRPr="000C60D7" w:rsidRDefault="00FE0C02" w:rsidP="00FE0C02">
      <w:pPr>
        <w:pStyle w:val="NumPar1"/>
        <w:numPr>
          <w:ilvl w:val="0"/>
          <w:numId w:val="10"/>
        </w:numPr>
      </w:pPr>
      <w:r w:rsidRPr="000C60D7">
        <w:t>EU parent institutions, EU parent financial holdings and EU</w:t>
      </w:r>
      <w:r w:rsidR="001E7F77">
        <w:t xml:space="preserve"> parent</w:t>
      </w:r>
      <w:r w:rsidRPr="000C60D7">
        <w:t xml:space="preserve"> mixed financial holdings shall only submit the information </w:t>
      </w:r>
      <w:r>
        <w:t>referred to</w:t>
      </w:r>
      <w:r w:rsidRPr="000C60D7">
        <w:t xml:space="preserve"> in paragraph 1, where both of the following conditions are met:</w:t>
      </w:r>
    </w:p>
    <w:p w14:paraId="0C5DCF08" w14:textId="77777777" w:rsidR="00FE0C02" w:rsidRPr="008B4A3F" w:rsidRDefault="00FE0C02" w:rsidP="00FE0C02">
      <w:pPr>
        <w:pStyle w:val="Point1"/>
      </w:pPr>
      <w:r>
        <w:lastRenderedPageBreak/>
        <w:t>(a)</w:t>
      </w:r>
      <w:r>
        <w:tab/>
      </w:r>
      <w:r w:rsidRPr="00480310">
        <w:t xml:space="preserve">the total exposure measure of the </w:t>
      </w:r>
      <w:r w:rsidRPr="0078668E">
        <w:t>group, including insurance subsidiaries, is</w:t>
      </w:r>
      <w:r w:rsidRPr="00480310">
        <w:t xml:space="preserve"> equa</w:t>
      </w:r>
      <w:r>
        <w:t>l to or exceeds EUR 125 000 million</w:t>
      </w:r>
      <w:r w:rsidRPr="00480310">
        <w:t>;</w:t>
      </w:r>
    </w:p>
    <w:p w14:paraId="05DC0A53" w14:textId="77777777" w:rsidR="00FE0C02" w:rsidRPr="00E4184B" w:rsidRDefault="00FE0C02" w:rsidP="00FE0C02">
      <w:pPr>
        <w:pStyle w:val="Point1"/>
      </w:pPr>
      <w:r>
        <w:t>(b)</w:t>
      </w:r>
      <w:r>
        <w:tab/>
      </w:r>
      <w:r w:rsidRPr="00BF07FD">
        <w:rPr>
          <w:szCs w:val="24"/>
        </w:rPr>
        <w:t>the EU parent or any of its subsidiaries or any branch operated by the parent or by a subsidiary is located in a participating Member State as referred to in Article 4 of Regulation (EU) No 806/2014 of the European Parliament and of the</w:t>
      </w:r>
      <w:r>
        <w:rPr>
          <w:szCs w:val="24"/>
        </w:rPr>
        <w:t xml:space="preserve"> </w:t>
      </w:r>
      <w:r w:rsidRPr="00480310">
        <w:t>Council</w:t>
      </w:r>
      <w:r w:rsidRPr="00C14839">
        <w:rPr>
          <w:rStyle w:val="FootnoteReference"/>
        </w:rPr>
        <w:footnoteReference w:id="12"/>
      </w:r>
      <w:r w:rsidRPr="00480310">
        <w:t>.</w:t>
      </w:r>
    </w:p>
    <w:p w14:paraId="6584D044" w14:textId="77777777" w:rsidR="00FE0C02" w:rsidRPr="00480310" w:rsidRDefault="00FE0C02" w:rsidP="00FE0C02">
      <w:pPr>
        <w:pStyle w:val="NumPar1"/>
        <w:numPr>
          <w:ilvl w:val="0"/>
          <w:numId w:val="10"/>
        </w:numPr>
      </w:pPr>
      <w:r w:rsidRPr="00BF07FD">
        <w:rPr>
          <w:szCs w:val="24"/>
        </w:rPr>
        <w:t xml:space="preserve">By </w:t>
      </w:r>
      <w:r>
        <w:rPr>
          <w:szCs w:val="24"/>
        </w:rPr>
        <w:t xml:space="preserve">way of </w:t>
      </w:r>
      <w:r w:rsidRPr="00BF07FD">
        <w:rPr>
          <w:szCs w:val="24"/>
        </w:rPr>
        <w:t>derogation from Article 3(1)</w:t>
      </w:r>
      <w:r>
        <w:rPr>
          <w:szCs w:val="24"/>
        </w:rPr>
        <w:t xml:space="preserve">, </w:t>
      </w:r>
      <w:r w:rsidRPr="00BF07FD">
        <w:rPr>
          <w:szCs w:val="24"/>
        </w:rPr>
        <w:t>point (b)</w:t>
      </w:r>
      <w:r>
        <w:rPr>
          <w:szCs w:val="24"/>
        </w:rPr>
        <w:t>,</w:t>
      </w:r>
      <w:r w:rsidRPr="00BF07FD">
        <w:rPr>
          <w:szCs w:val="24"/>
        </w:rPr>
        <w:t xml:space="preserve"> the information </w:t>
      </w:r>
      <w:r>
        <w:rPr>
          <w:szCs w:val="24"/>
        </w:rPr>
        <w:t>referred to</w:t>
      </w:r>
      <w:r w:rsidRPr="00BF07FD">
        <w:rPr>
          <w:szCs w:val="24"/>
        </w:rPr>
        <w:t xml:space="preserve"> in paragraph 1 </w:t>
      </w:r>
      <w:r>
        <w:rPr>
          <w:szCs w:val="24"/>
        </w:rPr>
        <w:t xml:space="preserve">of this Article </w:t>
      </w:r>
      <w:r w:rsidRPr="00BF07FD">
        <w:rPr>
          <w:szCs w:val="24"/>
        </w:rPr>
        <w:t>shall be submitted by close of business on the following remittance dates: 1 July, 1 October, 2 January and 1 April</w:t>
      </w:r>
      <w:r w:rsidRPr="00480310">
        <w:t>.</w:t>
      </w:r>
    </w:p>
    <w:p w14:paraId="3336B0CC" w14:textId="77777777" w:rsidR="00FE0C02" w:rsidRPr="00480310" w:rsidRDefault="00FE0C02" w:rsidP="00FE0C02">
      <w:pPr>
        <w:pStyle w:val="NumPar1"/>
        <w:numPr>
          <w:ilvl w:val="0"/>
          <w:numId w:val="10"/>
        </w:numPr>
      </w:pPr>
      <w:r w:rsidRPr="00BF07FD">
        <w:rPr>
          <w:szCs w:val="24"/>
        </w:rPr>
        <w:t xml:space="preserve">By </w:t>
      </w:r>
      <w:r>
        <w:rPr>
          <w:szCs w:val="24"/>
        </w:rPr>
        <w:t xml:space="preserve">way of </w:t>
      </w:r>
      <w:r w:rsidRPr="00BF07FD">
        <w:rPr>
          <w:szCs w:val="24"/>
        </w:rPr>
        <w:t>derogation from Article 4, the following shall apply with regard to the threshold specified in paragraph 2</w:t>
      </w:r>
      <w:r>
        <w:rPr>
          <w:szCs w:val="24"/>
        </w:rPr>
        <w:t xml:space="preserve">, </w:t>
      </w:r>
      <w:r w:rsidRPr="00BF07FD">
        <w:rPr>
          <w:szCs w:val="24"/>
        </w:rPr>
        <w:t>point (a)</w:t>
      </w:r>
      <w:r>
        <w:rPr>
          <w:szCs w:val="24"/>
        </w:rPr>
        <w:t>,</w:t>
      </w:r>
      <w:r w:rsidRPr="00BF07FD">
        <w:rPr>
          <w:szCs w:val="24"/>
        </w:rPr>
        <w:t xml:space="preserve"> </w:t>
      </w:r>
      <w:r>
        <w:rPr>
          <w:szCs w:val="24"/>
        </w:rPr>
        <w:t>of this Article</w:t>
      </w:r>
      <w:r w:rsidRPr="00480310">
        <w:t>:</w:t>
      </w:r>
    </w:p>
    <w:p w14:paraId="542951C2" w14:textId="0D06C811" w:rsidR="00FE0C02" w:rsidRPr="00E4184B" w:rsidRDefault="00FE0C02" w:rsidP="00FE0C02">
      <w:pPr>
        <w:pStyle w:val="Point1"/>
      </w:pPr>
      <w:r>
        <w:t>(a)</w:t>
      </w:r>
      <w:r>
        <w:tab/>
      </w:r>
      <w:r w:rsidRPr="00BF07FD">
        <w:rPr>
          <w:szCs w:val="24"/>
        </w:rPr>
        <w:t xml:space="preserve">the EU parent institution, EU parent financial holding or EU </w:t>
      </w:r>
      <w:r w:rsidR="001E7F77">
        <w:rPr>
          <w:szCs w:val="24"/>
        </w:rPr>
        <w:t xml:space="preserve">parent </w:t>
      </w:r>
      <w:r w:rsidRPr="00BF07FD">
        <w:rPr>
          <w:szCs w:val="24"/>
        </w:rPr>
        <w:t>mixed financial holding shall immediately start reporting the information in accordance with this Article where its leverage ratio exposure measure exceeds the specified threshold as of the end of the accounting year, and shall report this information at least for the end of that accounting year and the subsequent three quarterly reference dates</w:t>
      </w:r>
      <w:r w:rsidRPr="00480310">
        <w:t>;</w:t>
      </w:r>
    </w:p>
    <w:p w14:paraId="50325C89" w14:textId="0290171D" w:rsidR="00FE0C02" w:rsidRPr="00E4184B" w:rsidRDefault="00FE0C02" w:rsidP="00FE0C02">
      <w:pPr>
        <w:pStyle w:val="Point1"/>
      </w:pPr>
      <w:r>
        <w:t>(b)</w:t>
      </w:r>
      <w:r>
        <w:tab/>
      </w:r>
      <w:r w:rsidRPr="00BF07FD">
        <w:rPr>
          <w:szCs w:val="24"/>
        </w:rPr>
        <w:t xml:space="preserve">the EU parent institution, EU parent financial holding or EU </w:t>
      </w:r>
      <w:r w:rsidR="001E7F77">
        <w:rPr>
          <w:szCs w:val="24"/>
        </w:rPr>
        <w:t xml:space="preserve">parent </w:t>
      </w:r>
      <w:r w:rsidRPr="00BF07FD">
        <w:rPr>
          <w:szCs w:val="24"/>
        </w:rPr>
        <w:t>mixed financial holding shall immediately stop reporting the information in accordance with this Article where its leverage ratio exposure measure falls below the specified threshold as of the end of their accounting year</w:t>
      </w:r>
      <w:r w:rsidRPr="00480310">
        <w:t>.</w:t>
      </w:r>
    </w:p>
    <w:p w14:paraId="3714E48A" w14:textId="77777777" w:rsidR="00FE0C02" w:rsidRDefault="00FE0C02" w:rsidP="00FE0C02">
      <w:pPr>
        <w:pStyle w:val="Titrearticle"/>
      </w:pPr>
      <w:r w:rsidRPr="0023528E">
        <w:t>Article 21</w:t>
      </w:r>
    </w:p>
    <w:p w14:paraId="379043C5" w14:textId="77777777" w:rsidR="00FE0C02" w:rsidRPr="00036592" w:rsidRDefault="00FE0C02" w:rsidP="00FE0C02">
      <w:pPr>
        <w:pStyle w:val="Titrearticle"/>
        <w:spacing w:before="120"/>
      </w:pPr>
      <w:r w:rsidRPr="00116353">
        <w:rPr>
          <w:b/>
          <w:i w:val="0"/>
        </w:rPr>
        <w:t>Data exchange formats and information accompanying submissions</w:t>
      </w:r>
    </w:p>
    <w:p w14:paraId="3484BAE7" w14:textId="77777777" w:rsidR="00FE0C02" w:rsidRPr="00480310" w:rsidRDefault="00FE0C02" w:rsidP="005F180D">
      <w:pPr>
        <w:pStyle w:val="NumPar1"/>
        <w:numPr>
          <w:ilvl w:val="0"/>
          <w:numId w:val="28"/>
        </w:numPr>
      </w:pPr>
      <w:r w:rsidRPr="00FD3527">
        <w:rPr>
          <w:szCs w:val="24"/>
        </w:rPr>
        <w:t>Institutions shall submit the information in the data exchange formats and representations specified by the competent authorities and respecting the data point definition of the data point model referred to in Annex XIV and the validation formulae referred to in Annex XV as well as the following specifications</w:t>
      </w:r>
      <w:r w:rsidRPr="00480310">
        <w:t>:</w:t>
      </w:r>
    </w:p>
    <w:p w14:paraId="6302FDB1" w14:textId="77777777" w:rsidR="00FE0C02" w:rsidRPr="00480310" w:rsidRDefault="00FE0C02" w:rsidP="00FE0C02">
      <w:pPr>
        <w:pStyle w:val="Point1"/>
      </w:pPr>
      <w:r>
        <w:t>(a)</w:t>
      </w:r>
      <w:r>
        <w:tab/>
      </w:r>
      <w:r w:rsidRPr="00BF07FD">
        <w:rPr>
          <w:szCs w:val="24"/>
        </w:rPr>
        <w:t>information that is not required or not applicable shall not be included in a data submission</w:t>
      </w:r>
      <w:r w:rsidRPr="00480310">
        <w:t>;</w:t>
      </w:r>
    </w:p>
    <w:p w14:paraId="04CB5DF9" w14:textId="77777777" w:rsidR="00FE0C02" w:rsidRPr="00480310" w:rsidRDefault="00FE0C02" w:rsidP="00FE0C02">
      <w:pPr>
        <w:pStyle w:val="Point1"/>
      </w:pPr>
      <w:r>
        <w:t>(b)</w:t>
      </w:r>
      <w:r>
        <w:tab/>
      </w:r>
      <w:r w:rsidRPr="00BF07FD">
        <w:rPr>
          <w:szCs w:val="24"/>
        </w:rPr>
        <w:t xml:space="preserve">numerical values shall be </w:t>
      </w:r>
      <w:r w:rsidRPr="0078668E">
        <w:rPr>
          <w:szCs w:val="24"/>
        </w:rPr>
        <w:t xml:space="preserve">submitted as </w:t>
      </w:r>
      <w:r w:rsidRPr="00116353">
        <w:rPr>
          <w:szCs w:val="24"/>
        </w:rPr>
        <w:t>follows</w:t>
      </w:r>
      <w:r w:rsidRPr="00480310">
        <w:t>:</w:t>
      </w:r>
    </w:p>
    <w:p w14:paraId="08E0D7CD" w14:textId="77777777" w:rsidR="00FE0C02" w:rsidRPr="00480310" w:rsidRDefault="00FE0C02" w:rsidP="00FE0C02">
      <w:pPr>
        <w:pStyle w:val="Point2"/>
      </w:pPr>
      <w:r>
        <w:t>(i)</w:t>
      </w:r>
      <w:r>
        <w:tab/>
      </w:r>
      <w:r w:rsidRPr="00BF07FD">
        <w:rPr>
          <w:szCs w:val="24"/>
        </w:rPr>
        <w:t xml:space="preserve">data points with the data type </w:t>
      </w:r>
      <w:r w:rsidRPr="00BF07FD">
        <w:rPr>
          <w:color w:val="000000"/>
          <w:szCs w:val="24"/>
        </w:rPr>
        <w:t>‘</w:t>
      </w:r>
      <w:r w:rsidRPr="00BF07FD">
        <w:rPr>
          <w:szCs w:val="24"/>
        </w:rPr>
        <w:t>Monetary</w:t>
      </w:r>
      <w:r w:rsidRPr="00BF07FD">
        <w:rPr>
          <w:color w:val="000000"/>
          <w:szCs w:val="24"/>
        </w:rPr>
        <w:t>’</w:t>
      </w:r>
      <w:r w:rsidRPr="00BF07FD">
        <w:rPr>
          <w:szCs w:val="24"/>
        </w:rPr>
        <w:t xml:space="preserve"> shall be reported using a minimum precision equivalent to thousands of units</w:t>
      </w:r>
      <w:r w:rsidRPr="00480310">
        <w:t>;</w:t>
      </w:r>
    </w:p>
    <w:p w14:paraId="34C38BBF" w14:textId="77777777" w:rsidR="00FE0C02" w:rsidRPr="00480310" w:rsidRDefault="00FE0C02" w:rsidP="00FE0C02">
      <w:pPr>
        <w:pStyle w:val="Point2"/>
      </w:pPr>
      <w:r>
        <w:t>(ii)</w:t>
      </w:r>
      <w:r>
        <w:tab/>
      </w:r>
      <w:r w:rsidRPr="00480310">
        <w:t>data points with the data type ‘Percentage’ shall be expressed as per unit with a minimum precision equivalent to four decimals;</w:t>
      </w:r>
    </w:p>
    <w:p w14:paraId="4CD4E1AC" w14:textId="77777777" w:rsidR="00FE0C02" w:rsidRPr="00480310" w:rsidRDefault="00FE0C02" w:rsidP="00FE0C02">
      <w:pPr>
        <w:pStyle w:val="Point2"/>
      </w:pPr>
      <w:r>
        <w:t>(iii)</w:t>
      </w:r>
      <w:r>
        <w:tab/>
      </w:r>
      <w:r w:rsidRPr="00480310">
        <w:t>data points with the data type ‘Integer’ shall be reported using no decimals and a precision equivalent to units</w:t>
      </w:r>
      <w:r>
        <w:t>;</w:t>
      </w:r>
    </w:p>
    <w:p w14:paraId="1DE261AC" w14:textId="77777777" w:rsidR="00FE0C02" w:rsidRDefault="00FE0C02" w:rsidP="00FE0C02">
      <w:pPr>
        <w:pStyle w:val="Point1"/>
        <w:rPr>
          <w:szCs w:val="24"/>
        </w:rPr>
      </w:pPr>
      <w:r>
        <w:t>(c)</w:t>
      </w:r>
      <w:r>
        <w:tab/>
      </w:r>
      <w:r>
        <w:rPr>
          <w:szCs w:val="24"/>
        </w:rPr>
        <w:t>i</w:t>
      </w:r>
      <w:r w:rsidRPr="00BF07FD">
        <w:rPr>
          <w:szCs w:val="24"/>
        </w:rPr>
        <w:t>nstitutions and insurance undertakings shall be identified solely by their Legal Entity Identifier (LEI)</w:t>
      </w:r>
      <w:r>
        <w:rPr>
          <w:szCs w:val="24"/>
        </w:rPr>
        <w:t>;</w:t>
      </w:r>
    </w:p>
    <w:p w14:paraId="10C9C354" w14:textId="77777777" w:rsidR="00FE0C02" w:rsidRPr="00480310" w:rsidRDefault="00FE0C02" w:rsidP="00FE0C02">
      <w:pPr>
        <w:pStyle w:val="Point1"/>
      </w:pPr>
      <w:r>
        <w:lastRenderedPageBreak/>
        <w:t>(d)</w:t>
      </w:r>
      <w:r w:rsidRPr="00BF07FD">
        <w:rPr>
          <w:szCs w:val="24"/>
        </w:rPr>
        <w:t xml:space="preserve"> </w:t>
      </w:r>
      <w:r>
        <w:rPr>
          <w:szCs w:val="24"/>
        </w:rPr>
        <w:t>l</w:t>
      </w:r>
      <w:r w:rsidRPr="00BF07FD">
        <w:rPr>
          <w:szCs w:val="24"/>
        </w:rPr>
        <w:t>egal entities and counterparties other than institutions and insurance undertakings shall be identified by their LEI where available</w:t>
      </w:r>
      <w:r>
        <w:rPr>
          <w:szCs w:val="24"/>
        </w:rPr>
        <w:t>.</w:t>
      </w:r>
    </w:p>
    <w:p w14:paraId="275717B4" w14:textId="77777777" w:rsidR="00FE0C02" w:rsidRPr="00480310" w:rsidRDefault="00FE0C02" w:rsidP="00FE0C02">
      <w:pPr>
        <w:pStyle w:val="NumPar1"/>
        <w:widowControl w:val="0"/>
        <w:numPr>
          <w:ilvl w:val="0"/>
          <w:numId w:val="10"/>
        </w:numPr>
        <w:autoSpaceDE w:val="0"/>
        <w:autoSpaceDN w:val="0"/>
        <w:spacing w:line="228" w:lineRule="auto"/>
        <w:rPr>
          <w:szCs w:val="24"/>
        </w:rPr>
      </w:pPr>
      <w:r w:rsidRPr="00116353">
        <w:rPr>
          <w:szCs w:val="24"/>
        </w:rPr>
        <w:t>I</w:t>
      </w:r>
      <w:r w:rsidRPr="0078668E">
        <w:rPr>
          <w:szCs w:val="24"/>
        </w:rPr>
        <w:t>nstitutions s</w:t>
      </w:r>
      <w:r w:rsidRPr="00BF07FD">
        <w:rPr>
          <w:szCs w:val="24"/>
        </w:rPr>
        <w:t>hall accompan</w:t>
      </w:r>
      <w:r>
        <w:rPr>
          <w:szCs w:val="24"/>
        </w:rPr>
        <w:t>y the submitted data</w:t>
      </w:r>
      <w:r w:rsidRPr="00BF07FD">
        <w:rPr>
          <w:szCs w:val="24"/>
        </w:rPr>
        <w:t xml:space="preserve"> by the following information</w:t>
      </w:r>
      <w:r w:rsidRPr="00480310">
        <w:rPr>
          <w:szCs w:val="24"/>
        </w:rPr>
        <w:t>:</w:t>
      </w:r>
    </w:p>
    <w:p w14:paraId="533511FB" w14:textId="77777777" w:rsidR="00FE0C02" w:rsidRPr="00480310" w:rsidRDefault="00FE0C02" w:rsidP="00FE0C02">
      <w:pPr>
        <w:pStyle w:val="Point1"/>
      </w:pPr>
      <w:r>
        <w:t>(a)</w:t>
      </w:r>
      <w:r>
        <w:tab/>
      </w:r>
      <w:r w:rsidRPr="00480310">
        <w:t>reporting reference date and reference period;</w:t>
      </w:r>
    </w:p>
    <w:p w14:paraId="35FFAFDD" w14:textId="77777777" w:rsidR="00FE0C02" w:rsidRPr="00480310" w:rsidRDefault="00FE0C02" w:rsidP="00FE0C02">
      <w:pPr>
        <w:pStyle w:val="Point1"/>
      </w:pPr>
      <w:r>
        <w:t>(b)</w:t>
      </w:r>
      <w:r>
        <w:tab/>
      </w:r>
      <w:r w:rsidRPr="00480310">
        <w:t>reporting currency;</w:t>
      </w:r>
    </w:p>
    <w:p w14:paraId="2D0A776B" w14:textId="77777777" w:rsidR="00FE0C02" w:rsidRPr="00480310" w:rsidRDefault="00FE0C02" w:rsidP="00FE0C02">
      <w:pPr>
        <w:pStyle w:val="Point1"/>
      </w:pPr>
      <w:r>
        <w:t>(c)</w:t>
      </w:r>
      <w:r>
        <w:tab/>
      </w:r>
      <w:r w:rsidRPr="00480310">
        <w:t>accounting standard;</w:t>
      </w:r>
    </w:p>
    <w:p w14:paraId="05941E50" w14:textId="77777777" w:rsidR="00FE0C02" w:rsidRPr="00480310" w:rsidRDefault="00FE0C02" w:rsidP="00FE0C02">
      <w:pPr>
        <w:pStyle w:val="Point1"/>
      </w:pPr>
      <w:r>
        <w:t>(d)</w:t>
      </w:r>
      <w:r>
        <w:tab/>
      </w:r>
      <w:r w:rsidRPr="00BF07FD">
        <w:rPr>
          <w:szCs w:val="24"/>
        </w:rPr>
        <w:t>Legal Entity Identifier</w:t>
      </w:r>
      <w:r w:rsidRPr="00480310">
        <w:t xml:space="preserve"> </w:t>
      </w:r>
      <w:r>
        <w:t>(LEI)</w:t>
      </w:r>
      <w:r w:rsidRPr="00480310">
        <w:t xml:space="preserve"> of the reporting institution;</w:t>
      </w:r>
    </w:p>
    <w:p w14:paraId="1E5B9FC2" w14:textId="77777777" w:rsidR="00FE0C02" w:rsidRDefault="00FE0C02" w:rsidP="00FE0C02">
      <w:pPr>
        <w:pStyle w:val="Point1"/>
      </w:pPr>
      <w:r>
        <w:t>(e)</w:t>
      </w:r>
      <w:r>
        <w:tab/>
      </w:r>
      <w:r w:rsidRPr="00480310">
        <w:t>scope of consolidation.</w:t>
      </w:r>
    </w:p>
    <w:p w14:paraId="3C0C8DE6" w14:textId="77777777" w:rsidR="00FE0C02" w:rsidRDefault="00FE0C02" w:rsidP="00FE0C02">
      <w:pPr>
        <w:pStyle w:val="Titrearticle"/>
        <w:spacing w:before="120"/>
      </w:pPr>
      <w:r w:rsidRPr="0023528E">
        <w:t>Article 22</w:t>
      </w:r>
    </w:p>
    <w:p w14:paraId="48AC81C7" w14:textId="77777777" w:rsidR="00FE0C02" w:rsidRPr="002D5ABA" w:rsidRDefault="00FE0C02" w:rsidP="006B3AF7">
      <w:pPr>
        <w:pStyle w:val="Titrearticle"/>
      </w:pPr>
      <w:r w:rsidRPr="0078668E">
        <w:t>Repeal of Implementing Regulation (EU) No 680/2014</w:t>
      </w:r>
    </w:p>
    <w:p w14:paraId="1CFB853D" w14:textId="72EA0D3E" w:rsidR="00FE0C02" w:rsidRPr="00480310" w:rsidRDefault="00FE0C02" w:rsidP="006B3AF7">
      <w:r w:rsidRPr="00BF07FD">
        <w:t>Implementing Regulation (EU) No 680/2014 is repealed</w:t>
      </w:r>
      <w:r>
        <w:t>.</w:t>
      </w:r>
      <w:r w:rsidRPr="00480310">
        <w:t xml:space="preserve"> </w:t>
      </w:r>
    </w:p>
    <w:p w14:paraId="783335BF" w14:textId="7744E337" w:rsidR="00FE0C02" w:rsidRPr="00480310" w:rsidRDefault="00FE0C02" w:rsidP="006B3AF7">
      <w:r w:rsidRPr="00BF07FD">
        <w:t>References to the repealed Regulation shall be construed as references to this Regulation</w:t>
      </w:r>
      <w:r w:rsidRPr="00E142B6">
        <w:t>.</w:t>
      </w:r>
    </w:p>
    <w:p w14:paraId="5FA1D041" w14:textId="77777777" w:rsidR="00FE0C02" w:rsidRDefault="00FE0C02" w:rsidP="00FE0C02">
      <w:pPr>
        <w:pStyle w:val="Titrearticle"/>
      </w:pPr>
      <w:r w:rsidRPr="00922C91">
        <w:t>A</w:t>
      </w:r>
      <w:r>
        <w:t>rticle 23</w:t>
      </w:r>
    </w:p>
    <w:p w14:paraId="5DBF2ECB" w14:textId="77777777" w:rsidR="00FE0C02" w:rsidRPr="0049057D" w:rsidRDefault="00FE0C02" w:rsidP="00FE0C02">
      <w:pPr>
        <w:pStyle w:val="Titrearticle"/>
        <w:rPr>
          <w:b/>
          <w:i w:val="0"/>
        </w:rPr>
      </w:pPr>
      <w:r w:rsidRPr="0049057D">
        <w:rPr>
          <w:b/>
          <w:i w:val="0"/>
        </w:rPr>
        <w:t>Entry into force and application</w:t>
      </w:r>
    </w:p>
    <w:p w14:paraId="0A731224" w14:textId="77777777" w:rsidR="00FE0C02" w:rsidRDefault="00FE0C02" w:rsidP="00FE0C02">
      <w:r w:rsidRPr="00922C91">
        <w:t>This Regulatio</w:t>
      </w:r>
      <w:r>
        <w:t xml:space="preserve">n shall enter into force on the </w:t>
      </w:r>
      <w:r w:rsidRPr="00922C91">
        <w:t xml:space="preserve">day following that of its publication in the </w:t>
      </w:r>
      <w:r w:rsidRPr="00922C91">
        <w:rPr>
          <w:i/>
        </w:rPr>
        <w:t>Official Journal of the European Union</w:t>
      </w:r>
      <w:r w:rsidRPr="00922C91">
        <w:t>.</w:t>
      </w:r>
    </w:p>
    <w:p w14:paraId="7B8BB43C" w14:textId="77777777" w:rsidR="00FE0C02" w:rsidRPr="00FF364B" w:rsidRDefault="00FE0C02" w:rsidP="00FE0C02">
      <w:r w:rsidRPr="00FF364B">
        <w:t>It shall apply from 28 June 2021.</w:t>
      </w:r>
    </w:p>
    <w:p w14:paraId="398E54BD" w14:textId="77777777" w:rsidR="00FE0C02" w:rsidRPr="00FF364B" w:rsidRDefault="00FE0C02" w:rsidP="00FE0C02">
      <w:r w:rsidRPr="00FF364B">
        <w:t xml:space="preserve">Notwithstanding </w:t>
      </w:r>
      <w:r>
        <w:t xml:space="preserve">the second </w:t>
      </w:r>
      <w:r w:rsidRPr="00FF364B">
        <w:t xml:space="preserve">paragraph </w:t>
      </w:r>
      <w:r>
        <w:t>of this Article</w:t>
      </w:r>
      <w:r w:rsidRPr="00FF364B">
        <w:t xml:space="preserve">, reporting on leverage ratio buffer requirement for institutions identified as G-SIIs provided for in template </w:t>
      </w:r>
      <w:r w:rsidRPr="0078668E">
        <w:t>47 of</w:t>
      </w:r>
      <w:r w:rsidRPr="00FF364B">
        <w:t xml:space="preserve"> Annex X shall apply from </w:t>
      </w:r>
      <w:r>
        <w:t>1 January 2023</w:t>
      </w:r>
      <w:r w:rsidRPr="00FF364B">
        <w:t>.</w:t>
      </w:r>
    </w:p>
    <w:p w14:paraId="077B995C" w14:textId="2455A2B7" w:rsidR="00FF364B" w:rsidRPr="00922C91" w:rsidRDefault="00FE0C02" w:rsidP="00FE0C02">
      <w:r w:rsidRPr="00FF364B">
        <w:t>Articles 9 and 10 shall cease to apply on 26 June 2026.</w:t>
      </w:r>
    </w:p>
    <w:p w14:paraId="2BB71259" w14:textId="77777777" w:rsidR="0004170D" w:rsidRPr="00922C91" w:rsidRDefault="0004170D" w:rsidP="009675DD">
      <w:pPr>
        <w:pStyle w:val="Applicationdirecte"/>
      </w:pPr>
      <w:r w:rsidRPr="00922C91">
        <w:t>This Regulation shall be binding in its entirety and directly applicable in all Member States.</w:t>
      </w:r>
    </w:p>
    <w:p w14:paraId="2947B574" w14:textId="4A4C834E" w:rsidR="0004170D" w:rsidRDefault="00AE51EF" w:rsidP="00AE51EF">
      <w:pPr>
        <w:pStyle w:val="Fait"/>
      </w:pPr>
      <w:r w:rsidRPr="00AE51EF">
        <w:t>Done at Brussels,</w:t>
      </w:r>
    </w:p>
    <w:p w14:paraId="3F08E3CE" w14:textId="77777777" w:rsidR="0004170D" w:rsidRDefault="0004170D" w:rsidP="0004170D">
      <w:pPr>
        <w:pStyle w:val="Institutionquisigne"/>
      </w:pPr>
      <w:r w:rsidRPr="0004170D">
        <w:tab/>
        <w:t>For the Commission</w:t>
      </w:r>
    </w:p>
    <w:p w14:paraId="2100579F" w14:textId="77777777" w:rsidR="00A211D2" w:rsidRDefault="0004170D" w:rsidP="0004170D">
      <w:pPr>
        <w:pStyle w:val="Personnequisigne"/>
      </w:pPr>
      <w:r w:rsidRPr="0004170D">
        <w:tab/>
        <w:t>The President</w:t>
      </w:r>
    </w:p>
    <w:p w14:paraId="5318264F" w14:textId="632B2009" w:rsidR="0004170D" w:rsidRPr="0004170D" w:rsidRDefault="00A211D2" w:rsidP="0004170D">
      <w:pPr>
        <w:pStyle w:val="Personnequisigne"/>
      </w:pPr>
      <w:r>
        <w:tab/>
        <w:t>Ursula von der Leyen</w:t>
      </w:r>
      <w:r w:rsidR="0004170D" w:rsidRPr="0004170D">
        <w:br/>
      </w:r>
      <w:r w:rsidR="0004170D" w:rsidRPr="0004170D">
        <w:tab/>
      </w:r>
      <w:r w:rsidR="0004170D" w:rsidRPr="0004170D">
        <w:br/>
      </w:r>
      <w:r w:rsidR="00FF364B">
        <w:tab/>
      </w:r>
      <w:r w:rsidR="0004170D" w:rsidRPr="0004170D">
        <w:br/>
      </w:r>
    </w:p>
    <w:sectPr w:rsidR="0004170D" w:rsidRPr="0004170D" w:rsidSect="00221852">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BCCA" w14:textId="12FD6B10" w:rsidR="007E5F66" w:rsidRPr="00221852" w:rsidRDefault="00221852" w:rsidP="00221852">
    <w:pPr>
      <w:pStyle w:val="Footer"/>
      <w:rPr>
        <w:rFonts w:ascii="Arial" w:hAnsi="Arial" w:cs="Arial"/>
        <w:b/>
        <w:sz w:val="48"/>
      </w:rPr>
    </w:pPr>
    <w:r w:rsidRPr="00221852">
      <w:rPr>
        <w:rFonts w:ascii="Arial" w:hAnsi="Arial" w:cs="Arial"/>
        <w:b/>
        <w:sz w:val="48"/>
      </w:rPr>
      <w:t>EN</w:t>
    </w:r>
    <w:r w:rsidRPr="00221852">
      <w:rPr>
        <w:rFonts w:ascii="Arial" w:hAnsi="Arial" w:cs="Arial"/>
        <w:b/>
        <w:sz w:val="48"/>
      </w:rPr>
      <w:tab/>
    </w:r>
    <w:r w:rsidRPr="00221852">
      <w:rPr>
        <w:rFonts w:ascii="Arial" w:hAnsi="Arial" w:cs="Arial"/>
        <w:b/>
        <w:sz w:val="48"/>
      </w:rPr>
      <w:tab/>
    </w:r>
    <w:r w:rsidRPr="00221852">
      <w:tab/>
    </w:r>
    <w:r w:rsidRPr="00221852">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B70B0" w14:textId="1A39932B" w:rsidR="00221852" w:rsidRPr="00221852" w:rsidRDefault="00221852" w:rsidP="00221852">
    <w:pPr>
      <w:pStyle w:val="Footer"/>
      <w:rPr>
        <w:rFonts w:ascii="Arial" w:hAnsi="Arial" w:cs="Arial"/>
        <w:b/>
        <w:sz w:val="48"/>
      </w:rPr>
    </w:pPr>
    <w:r w:rsidRPr="00221852">
      <w:rPr>
        <w:rFonts w:ascii="Arial" w:hAnsi="Arial" w:cs="Arial"/>
        <w:b/>
        <w:sz w:val="48"/>
      </w:rPr>
      <w:t>EN</w:t>
    </w:r>
    <w:r w:rsidRPr="00221852">
      <w:rPr>
        <w:rFonts w:ascii="Arial" w:hAnsi="Arial" w:cs="Arial"/>
        <w:b/>
        <w:sz w:val="48"/>
      </w:rPr>
      <w:tab/>
    </w:r>
    <w:r>
      <w:fldChar w:fldCharType="begin"/>
    </w:r>
    <w:r>
      <w:instrText xml:space="preserve"> PAGE  \* MERGEFORMAT </w:instrText>
    </w:r>
    <w:r>
      <w:fldChar w:fldCharType="separate"/>
    </w:r>
    <w:r w:rsidR="00A46D9D">
      <w:rPr>
        <w:noProof/>
      </w:rPr>
      <w:t>18</w:t>
    </w:r>
    <w:r>
      <w:fldChar w:fldCharType="end"/>
    </w:r>
    <w:r>
      <w:tab/>
    </w:r>
    <w:r w:rsidRPr="00221852">
      <w:tab/>
    </w:r>
    <w:r w:rsidRPr="00221852">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D98DC" w14:textId="77777777" w:rsidR="00221852" w:rsidRPr="00221852" w:rsidRDefault="00221852" w:rsidP="002218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sidRPr="005A2A1F">
        <w:rPr>
          <w:rStyle w:val="FootnoteReference"/>
        </w:rPr>
        <w:footnoteRef/>
      </w:r>
      <w:r>
        <w:tab/>
      </w:r>
      <w:r w:rsidRPr="002E4D2B">
        <w:t>OJ L 176, 27.6.2013, p. 1.</w:t>
      </w:r>
    </w:p>
  </w:footnote>
  <w:footnote w:id="2">
    <w:p w14:paraId="433B5035" w14:textId="77777777" w:rsidR="00AD21AA" w:rsidRPr="00BD2EEC" w:rsidRDefault="00AD21AA" w:rsidP="00AD21AA">
      <w:pPr>
        <w:pStyle w:val="FootnoteText"/>
        <w:rPr>
          <w:lang w:val="en-US"/>
        </w:rPr>
      </w:pPr>
      <w:r>
        <w:rPr>
          <w:rStyle w:val="FootnoteReference"/>
        </w:rPr>
        <w:footnoteRef/>
      </w:r>
      <w:r>
        <w:rPr>
          <w:lang w:val="en-US"/>
        </w:rPr>
        <w:tab/>
      </w:r>
      <w:r w:rsidRPr="002E4D2B">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r>
        <w:t>.</w:t>
      </w:r>
    </w:p>
  </w:footnote>
  <w:footnote w:id="3">
    <w:p w14:paraId="5580D4CD" w14:textId="77777777" w:rsidR="00AD21AA" w:rsidRPr="00A45B5C" w:rsidRDefault="00AD21AA" w:rsidP="00AD21AA">
      <w:pPr>
        <w:pStyle w:val="FootnoteText"/>
        <w:rPr>
          <w:lang w:val="en-US"/>
        </w:rPr>
      </w:pPr>
      <w:r>
        <w:rPr>
          <w:rStyle w:val="FootnoteReference"/>
        </w:rPr>
        <w:footnoteRef/>
      </w:r>
      <w:r>
        <w:rPr>
          <w:lang w:val="en-US"/>
        </w:rPr>
        <w:tab/>
      </w:r>
      <w:r w:rsidRPr="002E4D2B">
        <w:t>Commission Implementing Regulation (EU) No 680/2014 laying down implementing technical standards with regard to supervisory reporting of institutions according to Regulation (EU) No 575/2013 (OJ L 191, 28.6.2014, p. 1).</w:t>
      </w:r>
    </w:p>
  </w:footnote>
  <w:footnote w:id="4">
    <w:p w14:paraId="4A709B42" w14:textId="77777777" w:rsidR="00AD21AA" w:rsidRPr="002E4D2B" w:rsidRDefault="00AD21AA" w:rsidP="00AD21AA">
      <w:pPr>
        <w:pStyle w:val="FootnoteText"/>
      </w:pPr>
      <w:r w:rsidRPr="005A2A1F">
        <w:rPr>
          <w:rStyle w:val="FootnoteReference"/>
        </w:rPr>
        <w:footnoteRef/>
      </w:r>
      <w:r>
        <w:tab/>
      </w:r>
      <w:r w:rsidRPr="002E4D2B">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 7.6.2019, p. 1).</w:t>
      </w:r>
    </w:p>
  </w:footnote>
  <w:footnote w:id="5">
    <w:p w14:paraId="5D010433" w14:textId="77777777" w:rsidR="00AD21AA" w:rsidRPr="002E4D2B" w:rsidRDefault="00AD21AA" w:rsidP="00AD21AA">
      <w:pPr>
        <w:pStyle w:val="FootnoteText"/>
      </w:pPr>
      <w:r w:rsidRPr="005A2A1F">
        <w:rPr>
          <w:rStyle w:val="FootnoteReference"/>
        </w:rPr>
        <w:footnoteRef/>
      </w:r>
      <w:r>
        <w:tab/>
      </w:r>
      <w:r w:rsidRPr="002E4D2B">
        <w:t>Regulation (EU) 2019/630 of the European Parliament and of the Council of 17</w:t>
      </w:r>
      <w:r>
        <w:t> </w:t>
      </w:r>
      <w:r w:rsidRPr="002E4D2B">
        <w:t>April 2019 amending Regulation (EU) No</w:t>
      </w:r>
      <w:r>
        <w:t> </w:t>
      </w:r>
      <w:r w:rsidRPr="002E4D2B">
        <w:t>575/2013 as regards minimum loss coverage for non-performing exposures (OJ L</w:t>
      </w:r>
      <w:r>
        <w:t> </w:t>
      </w:r>
      <w:r w:rsidRPr="002E4D2B">
        <w:t>111, 25.4.2019, p.</w:t>
      </w:r>
      <w:r>
        <w:t> </w:t>
      </w:r>
      <w:r w:rsidRPr="002E4D2B">
        <w:t xml:space="preserve">4.). </w:t>
      </w:r>
    </w:p>
  </w:footnote>
  <w:footnote w:id="6">
    <w:p w14:paraId="0B0AEE79" w14:textId="77777777" w:rsidR="00AD21AA" w:rsidRPr="008B4A3F" w:rsidRDefault="00AD21AA" w:rsidP="00AD21AA">
      <w:pPr>
        <w:pStyle w:val="FootnoteText"/>
      </w:pPr>
      <w:r w:rsidRPr="005A2A1F">
        <w:rPr>
          <w:rStyle w:val="FootnoteReference"/>
        </w:rPr>
        <w:footnoteRef/>
      </w:r>
      <w:r>
        <w:tab/>
      </w:r>
      <w:r w:rsidRPr="002E4D2B">
        <w:t>Regulation (EU) 2019/2033 of the European Parliament and of the Council of 27</w:t>
      </w:r>
      <w:r>
        <w:t> </w:t>
      </w:r>
      <w:r w:rsidRPr="002E4D2B">
        <w:t>November 2019 on the prudential requirements of investment firms and amending Regulations (EU) No</w:t>
      </w:r>
      <w:r>
        <w:t> </w:t>
      </w:r>
      <w:r w:rsidRPr="002E4D2B">
        <w:t>1093/2010, (EU) No</w:t>
      </w:r>
      <w:r>
        <w:t> </w:t>
      </w:r>
      <w:r w:rsidRPr="002E4D2B">
        <w:t>575/2013, (EU) No</w:t>
      </w:r>
      <w:r>
        <w:t> </w:t>
      </w:r>
      <w:r w:rsidRPr="002E4D2B">
        <w:t>600/2014 and (EU) No</w:t>
      </w:r>
      <w:r>
        <w:t> </w:t>
      </w:r>
      <w:r w:rsidRPr="002E4D2B">
        <w:t>806/2014 (OJ L</w:t>
      </w:r>
      <w:r>
        <w:t> </w:t>
      </w:r>
      <w:r w:rsidRPr="002E4D2B">
        <w:t>314, 5.12.2019, p.</w:t>
      </w:r>
      <w:r>
        <w:t> </w:t>
      </w:r>
      <w:r w:rsidRPr="002E4D2B">
        <w:t>1).</w:t>
      </w:r>
    </w:p>
  </w:footnote>
  <w:footnote w:id="7">
    <w:p w14:paraId="3D6B588C" w14:textId="1C69D305" w:rsidR="00AD21AA" w:rsidRPr="0069688A" w:rsidRDefault="00AD21AA" w:rsidP="00AD21AA">
      <w:pPr>
        <w:pStyle w:val="FootnoteText"/>
      </w:pPr>
      <w:r w:rsidRPr="0014552F">
        <w:rPr>
          <w:rStyle w:val="FootnoteReference"/>
        </w:rPr>
        <w:footnoteRef/>
      </w:r>
      <w:r w:rsidR="0014552F">
        <w:tab/>
      </w:r>
      <w:r>
        <w:t>Regulation (EU) 2020/873 of the European Parliament and of the Council of 24 June 2020 amending Regulations (EU) No 575/2013 and (EU) 2019/876 as regards certain adjustments in response to the COVID-19 pandemic (OJ L 204, 26.6.2020, p. 4).</w:t>
      </w:r>
    </w:p>
  </w:footnote>
  <w:footnote w:id="8">
    <w:p w14:paraId="5A30BC5D" w14:textId="77777777" w:rsidR="00AD21AA" w:rsidRPr="002E4D2B" w:rsidRDefault="00AD21AA" w:rsidP="00AD21AA">
      <w:pPr>
        <w:pStyle w:val="FootnoteText"/>
      </w:pPr>
      <w:r w:rsidRPr="005A2A1F">
        <w:rPr>
          <w:rStyle w:val="FootnoteReference"/>
        </w:rPr>
        <w:footnoteRef/>
      </w:r>
      <w:r>
        <w:tab/>
      </w:r>
      <w:r w:rsidRPr="002E4D2B">
        <w:t>Regulation (EU) No</w:t>
      </w:r>
      <w:r>
        <w:t> </w:t>
      </w:r>
      <w:r w:rsidRPr="002E4D2B">
        <w:t>1093/2010 of the European Parliament and of the Council of 24</w:t>
      </w:r>
      <w:r>
        <w:t> </w:t>
      </w:r>
      <w:r w:rsidRPr="002E4D2B">
        <w:t>November 2010 establishing a European Supervisory Authority (European Banking Authority), amending Decision No</w:t>
      </w:r>
      <w:r>
        <w:t> </w:t>
      </w:r>
      <w:r w:rsidRPr="002E4D2B">
        <w:t>716/2009/EC and repealing Commission Decision 2009/78/EC (OJ L</w:t>
      </w:r>
      <w:r>
        <w:t> </w:t>
      </w:r>
      <w:r w:rsidRPr="002E4D2B">
        <w:t>331, 15.12.2020, p.</w:t>
      </w:r>
      <w:r>
        <w:t> </w:t>
      </w:r>
      <w:r w:rsidRPr="002E4D2B">
        <w:t>12).</w:t>
      </w:r>
    </w:p>
  </w:footnote>
  <w:footnote w:id="9">
    <w:p w14:paraId="2F6DC588" w14:textId="77777777" w:rsidR="0014552F" w:rsidRPr="002E4D2B" w:rsidRDefault="0014552F" w:rsidP="0014552F">
      <w:pPr>
        <w:pStyle w:val="FootnoteText"/>
      </w:pPr>
      <w:r w:rsidRPr="005A2A1F">
        <w:rPr>
          <w:rStyle w:val="FootnoteReference"/>
        </w:rPr>
        <w:footnoteRef/>
      </w:r>
      <w:r>
        <w:tab/>
      </w:r>
      <w:r w:rsidRPr="002E4D2B">
        <w:t>Commission Delegated Regulation (EU) 2016/101 of 26</w:t>
      </w:r>
      <w:r>
        <w:t> </w:t>
      </w:r>
      <w:r w:rsidRPr="002E4D2B">
        <w:t>October 2015 supplementing Regulation (EU) No</w:t>
      </w:r>
      <w:r>
        <w:t> </w:t>
      </w:r>
      <w:r w:rsidRPr="002E4D2B">
        <w:t>575/2013 of the European Parliament and of the Council with regard to regulatory technical standards for prudent valuation under Article 105(14)</w:t>
      </w:r>
      <w:r>
        <w:t xml:space="preserve"> </w:t>
      </w:r>
      <w:r w:rsidRPr="002E4D2B">
        <w:t>( OJ L</w:t>
      </w:r>
      <w:r>
        <w:t> </w:t>
      </w:r>
      <w:r w:rsidRPr="002E4D2B">
        <w:t>21, 28.1.2016, p.</w:t>
      </w:r>
      <w:r>
        <w:t> </w:t>
      </w:r>
      <w:r w:rsidRPr="002E4D2B">
        <w:t>54).</w:t>
      </w:r>
    </w:p>
  </w:footnote>
  <w:footnote w:id="10">
    <w:p w14:paraId="0D4E857F" w14:textId="659ADEF0" w:rsidR="00FE0C02" w:rsidRPr="00B60583" w:rsidRDefault="00FE0C02" w:rsidP="00FE0C02">
      <w:pPr>
        <w:pStyle w:val="FootnoteText"/>
        <w:rPr>
          <w:lang w:val="en-IE"/>
        </w:rPr>
      </w:pPr>
      <w:r w:rsidRPr="00FD3527">
        <w:rPr>
          <w:rStyle w:val="FootnoteReference"/>
        </w:rPr>
        <w:footnoteRef/>
      </w:r>
      <w:r w:rsidR="00FD3527">
        <w:tab/>
      </w:r>
      <w:r>
        <w:t>Regulation (EC) No 1606/2002 of the European Parliament and of the Council of 19 July 2002 on the application of international accounting standards (OJ L 243, 11.9.2002, p. 1).</w:t>
      </w:r>
    </w:p>
  </w:footnote>
  <w:footnote w:id="11">
    <w:p w14:paraId="186408CB" w14:textId="77777777" w:rsidR="00FE0C02" w:rsidRPr="00383524" w:rsidRDefault="00FE0C02" w:rsidP="00FE0C02">
      <w:pPr>
        <w:pStyle w:val="FootnoteText"/>
      </w:pPr>
      <w:r w:rsidRPr="00C14839">
        <w:rPr>
          <w:rStyle w:val="FootnoteReference"/>
        </w:rPr>
        <w:footnoteRef/>
      </w:r>
      <w:r>
        <w:tab/>
      </w:r>
      <w:r w:rsidRPr="00383524">
        <w:t>Directive 2009/65/EC of the European Parliament and of the Council of 13 July 2009 on the coordination of laws, regulations and administrative provisions relating to undertakings for collective investment in transferable securities (UCITS) (OJ L 302, 17.11.2009, p. 32).</w:t>
      </w:r>
    </w:p>
  </w:footnote>
  <w:footnote w:id="12">
    <w:p w14:paraId="50B21B4D" w14:textId="77777777" w:rsidR="00FE0C02" w:rsidRPr="00EF0DDB" w:rsidRDefault="00FE0C02" w:rsidP="00FE0C02">
      <w:pPr>
        <w:pStyle w:val="FootnoteText"/>
      </w:pPr>
      <w:r w:rsidRPr="00C14839">
        <w:rPr>
          <w:rStyle w:val="FootnoteReference"/>
        </w:rPr>
        <w:footnoteRef/>
      </w:r>
      <w:r>
        <w:tab/>
      </w:r>
      <w:r w:rsidRPr="00EF0DDB">
        <w:t>Regulation (EU) No 806/2014 of the European Parliament and of the Council of 15 July 2014 establishing uniform rules and a uniform procedure for the resolution of credit institutions and certain investment firms in the framework of a Single Resolution Mechanism and a Single Resolution Fund and amending Regulation (EU) No 1093/2010 (OJ L 225, 30.7.2014,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03 11:31:0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A719699A-CC13-48E1-B99D-023921C3235D"/>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lt;EMPTY&gt;"/>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aying down implementing technical standards for the application of Regulation (EU) No 575/2013 of the European Parliament and of the Council with regard to supervisory reporting of institutions and repealing Implementing Regulation (EU) No 680/2014_x000b_"/>
    <w:docVar w:name="LW_TYPE.DOC.CP" w:val="COMMISSION IMPLEMENTING REGULATION (EU) \u8230?/..."/>
  </w:docVars>
  <w:rsids>
    <w:rsidRoot w:val="0004170D"/>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759C1"/>
    <w:rsid w:val="00285E17"/>
    <w:rsid w:val="002B6FA8"/>
    <w:rsid w:val="002C0C3E"/>
    <w:rsid w:val="002C1097"/>
    <w:rsid w:val="002C1CA0"/>
    <w:rsid w:val="002D22E3"/>
    <w:rsid w:val="002E476B"/>
    <w:rsid w:val="00332B33"/>
    <w:rsid w:val="00334AD0"/>
    <w:rsid w:val="00352527"/>
    <w:rsid w:val="0036351A"/>
    <w:rsid w:val="003A1165"/>
    <w:rsid w:val="003A6A98"/>
    <w:rsid w:val="003B14E5"/>
    <w:rsid w:val="003B2A70"/>
    <w:rsid w:val="003D6311"/>
    <w:rsid w:val="003E7FD2"/>
    <w:rsid w:val="00403378"/>
    <w:rsid w:val="00445268"/>
    <w:rsid w:val="0047317A"/>
    <w:rsid w:val="00480310"/>
    <w:rsid w:val="00496B08"/>
    <w:rsid w:val="004A4E65"/>
    <w:rsid w:val="004B7AEA"/>
    <w:rsid w:val="004D5E20"/>
    <w:rsid w:val="004D795C"/>
    <w:rsid w:val="00505B92"/>
    <w:rsid w:val="00531744"/>
    <w:rsid w:val="00535526"/>
    <w:rsid w:val="00545C74"/>
    <w:rsid w:val="00563765"/>
    <w:rsid w:val="005A2A1F"/>
    <w:rsid w:val="005A6D07"/>
    <w:rsid w:val="005C3834"/>
    <w:rsid w:val="005E5208"/>
    <w:rsid w:val="005F180D"/>
    <w:rsid w:val="00627D4B"/>
    <w:rsid w:val="00646DA2"/>
    <w:rsid w:val="00656F3B"/>
    <w:rsid w:val="00681997"/>
    <w:rsid w:val="006947FE"/>
    <w:rsid w:val="006B3AF7"/>
    <w:rsid w:val="006B5AAF"/>
    <w:rsid w:val="006B61AF"/>
    <w:rsid w:val="006D20F7"/>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46D9D"/>
    <w:rsid w:val="00A5494A"/>
    <w:rsid w:val="00A62EBB"/>
    <w:rsid w:val="00A74743"/>
    <w:rsid w:val="00A92406"/>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9176D"/>
    <w:rsid w:val="00DC2475"/>
    <w:rsid w:val="00E03572"/>
    <w:rsid w:val="00E10715"/>
    <w:rsid w:val="00E14194"/>
    <w:rsid w:val="00E23D3B"/>
    <w:rsid w:val="00E76D3F"/>
    <w:rsid w:val="00E8608B"/>
    <w:rsid w:val="00EA3E25"/>
    <w:rsid w:val="00EA6449"/>
    <w:rsid w:val="00ED391B"/>
    <w:rsid w:val="00EF4651"/>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en-GB"/>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lang w:val="en-US"/>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en-GB"/>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en-GB"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lang w:val="en-GB"/>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91BF9-35B6-4DFF-B14C-EE5AB68C5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19</Pages>
  <Words>7528</Words>
  <Characters>40130</Characters>
  <Application>Microsoft Office Word</Application>
  <DocSecurity>0</DocSecurity>
  <Lines>716</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2020-12-18T08:02:00Z</dcterms:created>
  <dcterms:modified xsi:type="dcterms:W3CDTF">2020-12-18T08:02:00Z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