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bookmarkStart w:id="2" w:name="_GoBack"/>
      <w:bookmarkEnd w:id="2"/>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BILAG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INSTRUKSER VEDRØRENDE INDBERETNING OM STORE EKSPONERINGER OG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KONCENTRATIONSRISIKO</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Indholdsfortegnelse</w:t>
      </w:r>
    </w:p>
    <w:p w14:paraId="62B9EFFE" w14:textId="646F590B" w:rsidR="00392993" w:rsidRDefault="00621F98">
      <w:pPr>
        <w:pStyle w:val="TOC2"/>
        <w:rPr>
          <w:rFonts w:asciiTheme="minorHAnsi" w:eastAsiaTheme="minorEastAsia" w:hAnsiTheme="minorHAnsi" w:cstheme="minorBidi"/>
          <w:b w:val="0"/>
          <w:smallCaps w:val="0"/>
          <w:sz w:val="22"/>
          <w:lang w:val="en-GB" w:eastAsia="en-GB"/>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337947" w:history="1">
        <w:r w:rsidR="00392993" w:rsidRPr="0027039E">
          <w:rPr>
            <w:rStyle w:val="Hyperlink"/>
            <w:rFonts w:ascii="Times New Roman" w:hAnsi="Times New Roman"/>
          </w:rPr>
          <w:t>DEL I: GENERELLE INSTRUKSER</w:t>
        </w:r>
        <w:r w:rsidR="00392993">
          <w:rPr>
            <w:webHidden/>
          </w:rPr>
          <w:tab/>
        </w:r>
        <w:r w:rsidR="00392993">
          <w:rPr>
            <w:webHidden/>
          </w:rPr>
          <w:fldChar w:fldCharType="begin"/>
        </w:r>
        <w:r w:rsidR="00392993">
          <w:rPr>
            <w:webHidden/>
          </w:rPr>
          <w:instrText xml:space="preserve"> PAGEREF _Toc58337947 \h </w:instrText>
        </w:r>
        <w:r w:rsidR="00392993">
          <w:rPr>
            <w:webHidden/>
          </w:rPr>
        </w:r>
        <w:r w:rsidR="00392993">
          <w:rPr>
            <w:webHidden/>
          </w:rPr>
          <w:fldChar w:fldCharType="separate"/>
        </w:r>
        <w:r w:rsidR="00D05EFE">
          <w:rPr>
            <w:webHidden/>
          </w:rPr>
          <w:t>2</w:t>
        </w:r>
        <w:r w:rsidR="00392993">
          <w:rPr>
            <w:webHidden/>
          </w:rPr>
          <w:fldChar w:fldCharType="end"/>
        </w:r>
      </w:hyperlink>
    </w:p>
    <w:p w14:paraId="1238D312" w14:textId="6467A354" w:rsidR="00392993" w:rsidRDefault="00D05EFE">
      <w:pPr>
        <w:pStyle w:val="TOC2"/>
        <w:rPr>
          <w:rFonts w:asciiTheme="minorHAnsi" w:eastAsiaTheme="minorEastAsia" w:hAnsiTheme="minorHAnsi" w:cstheme="minorBidi"/>
          <w:b w:val="0"/>
          <w:smallCaps w:val="0"/>
          <w:sz w:val="22"/>
          <w:lang w:val="en-GB" w:eastAsia="en-GB"/>
        </w:rPr>
      </w:pPr>
      <w:hyperlink w:anchor="_Toc58337948" w:history="1">
        <w:r w:rsidR="00392993" w:rsidRPr="0027039E">
          <w:rPr>
            <w:rStyle w:val="Hyperlink"/>
            <w:rFonts w:ascii="Times New Roman" w:hAnsi="Times New Roman"/>
          </w:rPr>
          <w:t>1.</w:t>
        </w:r>
        <w:r w:rsidR="00392993">
          <w:rPr>
            <w:rFonts w:asciiTheme="minorHAnsi" w:eastAsiaTheme="minorEastAsia" w:hAnsiTheme="minorHAnsi" w:cstheme="minorBidi"/>
            <w:b w:val="0"/>
            <w:smallCaps w:val="0"/>
            <w:sz w:val="22"/>
            <w:lang w:val="en-GB" w:eastAsia="en-GB"/>
          </w:rPr>
          <w:tab/>
        </w:r>
        <w:r w:rsidR="00392993" w:rsidRPr="0027039E">
          <w:rPr>
            <w:rStyle w:val="Hyperlink"/>
            <w:rFonts w:ascii="Times New Roman" w:hAnsi="Times New Roman"/>
          </w:rPr>
          <w:t>Opbygning og konventioner</w:t>
        </w:r>
        <w:r w:rsidR="00392993">
          <w:rPr>
            <w:webHidden/>
          </w:rPr>
          <w:tab/>
        </w:r>
        <w:r w:rsidR="00392993">
          <w:rPr>
            <w:webHidden/>
          </w:rPr>
          <w:fldChar w:fldCharType="begin"/>
        </w:r>
        <w:r w:rsidR="00392993">
          <w:rPr>
            <w:webHidden/>
          </w:rPr>
          <w:instrText xml:space="preserve"> PAGEREF _Toc58337948 \h </w:instrText>
        </w:r>
        <w:r w:rsidR="00392993">
          <w:rPr>
            <w:webHidden/>
          </w:rPr>
        </w:r>
        <w:r w:rsidR="00392993">
          <w:rPr>
            <w:webHidden/>
          </w:rPr>
          <w:fldChar w:fldCharType="separate"/>
        </w:r>
        <w:r>
          <w:rPr>
            <w:webHidden/>
          </w:rPr>
          <w:t>2</w:t>
        </w:r>
        <w:r w:rsidR="00392993">
          <w:rPr>
            <w:webHidden/>
          </w:rPr>
          <w:fldChar w:fldCharType="end"/>
        </w:r>
      </w:hyperlink>
    </w:p>
    <w:p w14:paraId="29060D51" w14:textId="1FEF638D" w:rsidR="00392993" w:rsidRDefault="00D05EFE">
      <w:pPr>
        <w:pStyle w:val="TOC2"/>
        <w:rPr>
          <w:rFonts w:asciiTheme="minorHAnsi" w:eastAsiaTheme="minorEastAsia" w:hAnsiTheme="minorHAnsi" w:cstheme="minorBidi"/>
          <w:b w:val="0"/>
          <w:smallCaps w:val="0"/>
          <w:sz w:val="22"/>
          <w:lang w:val="en-GB" w:eastAsia="en-GB"/>
        </w:rPr>
      </w:pPr>
      <w:hyperlink w:anchor="_Toc58337949" w:history="1">
        <w:r w:rsidR="00392993" w:rsidRPr="0027039E">
          <w:rPr>
            <w:rStyle w:val="Hyperlink"/>
          </w:rPr>
          <w:t>2.</w:t>
        </w:r>
        <w:r w:rsidR="00392993">
          <w:rPr>
            <w:rFonts w:asciiTheme="minorHAnsi" w:eastAsiaTheme="minorEastAsia" w:hAnsiTheme="minorHAnsi" w:cstheme="minorBidi"/>
            <w:b w:val="0"/>
            <w:smallCaps w:val="0"/>
            <w:sz w:val="22"/>
            <w:lang w:val="en-GB" w:eastAsia="en-GB"/>
          </w:rPr>
          <w:tab/>
        </w:r>
        <w:r w:rsidR="00392993" w:rsidRPr="0027039E">
          <w:rPr>
            <w:rStyle w:val="Hyperlink"/>
            <w:rFonts w:ascii="Times New Roman" w:hAnsi="Times New Roman"/>
          </w:rPr>
          <w:t>Forkortelser</w:t>
        </w:r>
        <w:r w:rsidR="00392993">
          <w:rPr>
            <w:webHidden/>
          </w:rPr>
          <w:tab/>
        </w:r>
        <w:r w:rsidR="00392993">
          <w:rPr>
            <w:webHidden/>
          </w:rPr>
          <w:fldChar w:fldCharType="begin"/>
        </w:r>
        <w:r w:rsidR="00392993">
          <w:rPr>
            <w:webHidden/>
          </w:rPr>
          <w:instrText xml:space="preserve"> PAGEREF _Toc58337949 \h </w:instrText>
        </w:r>
        <w:r w:rsidR="00392993">
          <w:rPr>
            <w:webHidden/>
          </w:rPr>
        </w:r>
        <w:r w:rsidR="00392993">
          <w:rPr>
            <w:webHidden/>
          </w:rPr>
          <w:fldChar w:fldCharType="separate"/>
        </w:r>
        <w:r>
          <w:rPr>
            <w:webHidden/>
          </w:rPr>
          <w:t>2</w:t>
        </w:r>
        <w:r w:rsidR="00392993">
          <w:rPr>
            <w:webHidden/>
          </w:rPr>
          <w:fldChar w:fldCharType="end"/>
        </w:r>
      </w:hyperlink>
    </w:p>
    <w:p w14:paraId="6839A39B" w14:textId="01A2635A" w:rsidR="00392993" w:rsidRDefault="00D05EFE">
      <w:pPr>
        <w:pStyle w:val="TOC2"/>
        <w:rPr>
          <w:rFonts w:asciiTheme="minorHAnsi" w:eastAsiaTheme="minorEastAsia" w:hAnsiTheme="minorHAnsi" w:cstheme="minorBidi"/>
          <w:b w:val="0"/>
          <w:smallCaps w:val="0"/>
          <w:sz w:val="22"/>
          <w:lang w:val="en-GB" w:eastAsia="en-GB"/>
        </w:rPr>
      </w:pPr>
      <w:hyperlink w:anchor="_Toc58337950" w:history="1">
        <w:r w:rsidR="00392993" w:rsidRPr="0027039E">
          <w:rPr>
            <w:rStyle w:val="Hyperlink"/>
            <w:rFonts w:ascii="Times New Roman" w:hAnsi="Times New Roman"/>
          </w:rPr>
          <w:t>DEL II: INSTRUKSER VEDRØRENDE SKEMAER</w:t>
        </w:r>
        <w:r w:rsidR="00392993">
          <w:rPr>
            <w:webHidden/>
          </w:rPr>
          <w:tab/>
        </w:r>
        <w:r w:rsidR="00392993">
          <w:rPr>
            <w:webHidden/>
          </w:rPr>
          <w:fldChar w:fldCharType="begin"/>
        </w:r>
        <w:r w:rsidR="00392993">
          <w:rPr>
            <w:webHidden/>
          </w:rPr>
          <w:instrText xml:space="preserve"> PAGEREF _Toc58337950 \h </w:instrText>
        </w:r>
        <w:r w:rsidR="00392993">
          <w:rPr>
            <w:webHidden/>
          </w:rPr>
        </w:r>
        <w:r w:rsidR="00392993">
          <w:rPr>
            <w:webHidden/>
          </w:rPr>
          <w:fldChar w:fldCharType="separate"/>
        </w:r>
        <w:r>
          <w:rPr>
            <w:webHidden/>
          </w:rPr>
          <w:t>3</w:t>
        </w:r>
        <w:r w:rsidR="00392993">
          <w:rPr>
            <w:webHidden/>
          </w:rPr>
          <w:fldChar w:fldCharType="end"/>
        </w:r>
      </w:hyperlink>
    </w:p>
    <w:p w14:paraId="06466095" w14:textId="2C35E875" w:rsidR="00392993" w:rsidRDefault="00D05EFE">
      <w:pPr>
        <w:pStyle w:val="TOC2"/>
        <w:rPr>
          <w:rFonts w:asciiTheme="minorHAnsi" w:eastAsiaTheme="minorEastAsia" w:hAnsiTheme="minorHAnsi" w:cstheme="minorBidi"/>
          <w:b w:val="0"/>
          <w:smallCaps w:val="0"/>
          <w:sz w:val="22"/>
          <w:lang w:val="en-GB" w:eastAsia="en-GB"/>
        </w:rPr>
      </w:pPr>
      <w:hyperlink w:anchor="_Toc58337951" w:history="1">
        <w:r w:rsidR="00392993" w:rsidRPr="0027039E">
          <w:rPr>
            <w:rStyle w:val="Hyperlink"/>
            <w:rFonts w:ascii="Times New Roman" w:hAnsi="Times New Roman"/>
          </w:rPr>
          <w:t>1.</w:t>
        </w:r>
        <w:r w:rsidR="00392993">
          <w:rPr>
            <w:rFonts w:asciiTheme="minorHAnsi" w:eastAsiaTheme="minorEastAsia" w:hAnsiTheme="minorHAnsi" w:cstheme="minorBidi"/>
            <w:b w:val="0"/>
            <w:smallCaps w:val="0"/>
            <w:sz w:val="22"/>
            <w:lang w:val="en-GB" w:eastAsia="en-GB"/>
          </w:rPr>
          <w:tab/>
        </w:r>
        <w:r w:rsidR="00392993" w:rsidRPr="0027039E">
          <w:rPr>
            <w:rStyle w:val="Hyperlink"/>
            <w:rFonts w:ascii="Times New Roman" w:hAnsi="Times New Roman"/>
          </w:rPr>
          <w:t>Omfang og niveau af indberetning af store eksponeringer (LE)</w:t>
        </w:r>
        <w:r w:rsidR="00392993">
          <w:rPr>
            <w:webHidden/>
          </w:rPr>
          <w:tab/>
        </w:r>
        <w:r w:rsidR="00392993">
          <w:rPr>
            <w:webHidden/>
          </w:rPr>
          <w:fldChar w:fldCharType="begin"/>
        </w:r>
        <w:r w:rsidR="00392993">
          <w:rPr>
            <w:webHidden/>
          </w:rPr>
          <w:instrText xml:space="preserve"> PAGEREF _Toc58337951 \h </w:instrText>
        </w:r>
        <w:r w:rsidR="00392993">
          <w:rPr>
            <w:webHidden/>
          </w:rPr>
        </w:r>
        <w:r w:rsidR="00392993">
          <w:rPr>
            <w:webHidden/>
          </w:rPr>
          <w:fldChar w:fldCharType="separate"/>
        </w:r>
        <w:r>
          <w:rPr>
            <w:webHidden/>
          </w:rPr>
          <w:t>3</w:t>
        </w:r>
        <w:r w:rsidR="00392993">
          <w:rPr>
            <w:webHidden/>
          </w:rPr>
          <w:fldChar w:fldCharType="end"/>
        </w:r>
      </w:hyperlink>
    </w:p>
    <w:p w14:paraId="54F3DD7D" w14:textId="0915B16E" w:rsidR="00392993" w:rsidRDefault="00D05EFE">
      <w:pPr>
        <w:pStyle w:val="TOC2"/>
        <w:rPr>
          <w:rFonts w:asciiTheme="minorHAnsi" w:eastAsiaTheme="minorEastAsia" w:hAnsiTheme="minorHAnsi" w:cstheme="minorBidi"/>
          <w:b w:val="0"/>
          <w:smallCaps w:val="0"/>
          <w:sz w:val="22"/>
          <w:lang w:val="en-GB" w:eastAsia="en-GB"/>
        </w:rPr>
      </w:pPr>
      <w:hyperlink w:anchor="_Toc58337952" w:history="1">
        <w:r w:rsidR="00392993" w:rsidRPr="0027039E">
          <w:rPr>
            <w:rStyle w:val="Hyperlink"/>
            <w:rFonts w:ascii="Times New Roman" w:hAnsi="Times New Roman"/>
          </w:rPr>
          <w:t>2.</w:t>
        </w:r>
        <w:r w:rsidR="00392993">
          <w:rPr>
            <w:rFonts w:asciiTheme="minorHAnsi" w:eastAsiaTheme="minorEastAsia" w:hAnsiTheme="minorHAnsi" w:cstheme="minorBidi"/>
            <w:b w:val="0"/>
            <w:smallCaps w:val="0"/>
            <w:sz w:val="22"/>
            <w:lang w:val="en-GB" w:eastAsia="en-GB"/>
          </w:rPr>
          <w:tab/>
        </w:r>
        <w:r w:rsidR="00392993" w:rsidRPr="0027039E">
          <w:rPr>
            <w:rStyle w:val="Hyperlink"/>
            <w:rFonts w:ascii="Times New Roman" w:hAnsi="Times New Roman"/>
          </w:rPr>
          <w:t>LE-skemaets opbygning</w:t>
        </w:r>
        <w:r w:rsidR="00392993">
          <w:rPr>
            <w:webHidden/>
          </w:rPr>
          <w:tab/>
        </w:r>
        <w:r w:rsidR="00392993">
          <w:rPr>
            <w:webHidden/>
          </w:rPr>
          <w:fldChar w:fldCharType="begin"/>
        </w:r>
        <w:r w:rsidR="00392993">
          <w:rPr>
            <w:webHidden/>
          </w:rPr>
          <w:instrText xml:space="preserve"> PAGEREF _Toc58337952 \h </w:instrText>
        </w:r>
        <w:r w:rsidR="00392993">
          <w:rPr>
            <w:webHidden/>
          </w:rPr>
        </w:r>
        <w:r w:rsidR="00392993">
          <w:rPr>
            <w:webHidden/>
          </w:rPr>
          <w:fldChar w:fldCharType="separate"/>
        </w:r>
        <w:r>
          <w:rPr>
            <w:webHidden/>
          </w:rPr>
          <w:t>4</w:t>
        </w:r>
        <w:r w:rsidR="00392993">
          <w:rPr>
            <w:webHidden/>
          </w:rPr>
          <w:fldChar w:fldCharType="end"/>
        </w:r>
      </w:hyperlink>
    </w:p>
    <w:p w14:paraId="2A84E871" w14:textId="140D4F1B" w:rsidR="00392993" w:rsidRDefault="00D05EFE">
      <w:pPr>
        <w:pStyle w:val="TOC2"/>
        <w:rPr>
          <w:rFonts w:asciiTheme="minorHAnsi" w:eastAsiaTheme="minorEastAsia" w:hAnsiTheme="minorHAnsi" w:cstheme="minorBidi"/>
          <w:b w:val="0"/>
          <w:smallCaps w:val="0"/>
          <w:sz w:val="22"/>
          <w:lang w:val="en-GB" w:eastAsia="en-GB"/>
        </w:rPr>
      </w:pPr>
      <w:hyperlink w:anchor="_Toc58337953" w:history="1">
        <w:r w:rsidR="00392993" w:rsidRPr="0027039E">
          <w:rPr>
            <w:rStyle w:val="Hyperlink"/>
            <w:rFonts w:ascii="Times New Roman" w:eastAsia="Arial" w:hAnsi="Times New Roman"/>
          </w:rPr>
          <w:t>3.</w:t>
        </w:r>
        <w:r w:rsidR="00392993">
          <w:rPr>
            <w:rFonts w:asciiTheme="minorHAnsi" w:eastAsiaTheme="minorEastAsia" w:hAnsiTheme="minorHAnsi" w:cstheme="minorBidi"/>
            <w:b w:val="0"/>
            <w:smallCaps w:val="0"/>
            <w:sz w:val="22"/>
            <w:lang w:val="en-GB" w:eastAsia="en-GB"/>
          </w:rPr>
          <w:tab/>
        </w:r>
        <w:r w:rsidR="00392993" w:rsidRPr="0027039E">
          <w:rPr>
            <w:rStyle w:val="Hyperlink"/>
            <w:rFonts w:ascii="Times New Roman" w:hAnsi="Times New Roman"/>
          </w:rPr>
          <w:t>Definitioner og generelle instrukser til brug i forbindelse med LE-indberetning</w:t>
        </w:r>
        <w:r w:rsidR="00392993">
          <w:rPr>
            <w:webHidden/>
          </w:rPr>
          <w:tab/>
        </w:r>
        <w:r w:rsidR="00392993">
          <w:rPr>
            <w:webHidden/>
          </w:rPr>
          <w:fldChar w:fldCharType="begin"/>
        </w:r>
        <w:r w:rsidR="00392993">
          <w:rPr>
            <w:webHidden/>
          </w:rPr>
          <w:instrText xml:space="preserve"> PAGEREF _Toc58337953 \h </w:instrText>
        </w:r>
        <w:r w:rsidR="00392993">
          <w:rPr>
            <w:webHidden/>
          </w:rPr>
        </w:r>
        <w:r w:rsidR="00392993">
          <w:rPr>
            <w:webHidden/>
          </w:rPr>
          <w:fldChar w:fldCharType="separate"/>
        </w:r>
        <w:r>
          <w:rPr>
            <w:webHidden/>
          </w:rPr>
          <w:t>4</w:t>
        </w:r>
        <w:r w:rsidR="00392993">
          <w:rPr>
            <w:webHidden/>
          </w:rPr>
          <w:fldChar w:fldCharType="end"/>
        </w:r>
      </w:hyperlink>
    </w:p>
    <w:p w14:paraId="47D5FD55" w14:textId="68C077A1" w:rsidR="00392993" w:rsidRDefault="00D05EFE">
      <w:pPr>
        <w:pStyle w:val="TOC2"/>
        <w:rPr>
          <w:rFonts w:asciiTheme="minorHAnsi" w:eastAsiaTheme="minorEastAsia" w:hAnsiTheme="minorHAnsi" w:cstheme="minorBidi"/>
          <w:b w:val="0"/>
          <w:smallCaps w:val="0"/>
          <w:sz w:val="22"/>
          <w:lang w:val="en-GB" w:eastAsia="en-GB"/>
        </w:rPr>
      </w:pPr>
      <w:hyperlink w:anchor="_Toc58337954" w:history="1">
        <w:r w:rsidR="00392993" w:rsidRPr="0027039E">
          <w:rPr>
            <w:rStyle w:val="Hyperlink"/>
            <w:rFonts w:ascii="Times New Roman" w:hAnsi="Times New Roman"/>
          </w:rPr>
          <w:t>4.</w:t>
        </w:r>
        <w:r w:rsidR="00392993">
          <w:rPr>
            <w:rFonts w:asciiTheme="minorHAnsi" w:eastAsiaTheme="minorEastAsia" w:hAnsiTheme="minorHAnsi" w:cstheme="minorBidi"/>
            <w:b w:val="0"/>
            <w:smallCaps w:val="0"/>
            <w:sz w:val="22"/>
            <w:lang w:val="en-GB" w:eastAsia="en-GB"/>
          </w:rPr>
          <w:tab/>
        </w:r>
        <w:r w:rsidR="00392993" w:rsidRPr="0027039E">
          <w:rPr>
            <w:rStyle w:val="Hyperlink"/>
            <w:rFonts w:ascii="Times New Roman" w:hAnsi="Times New Roman"/>
          </w:rPr>
          <w:t>C 26.00 — Skema vedrørende begrænsninger for store eksponeringer (LE limits)</w:t>
        </w:r>
        <w:r w:rsidR="00392993">
          <w:rPr>
            <w:webHidden/>
          </w:rPr>
          <w:tab/>
        </w:r>
        <w:r w:rsidR="00392993">
          <w:rPr>
            <w:webHidden/>
          </w:rPr>
          <w:fldChar w:fldCharType="begin"/>
        </w:r>
        <w:r w:rsidR="00392993">
          <w:rPr>
            <w:webHidden/>
          </w:rPr>
          <w:instrText xml:space="preserve"> PAGEREF _Toc58337954 \h </w:instrText>
        </w:r>
        <w:r w:rsidR="00392993">
          <w:rPr>
            <w:webHidden/>
          </w:rPr>
        </w:r>
        <w:r w:rsidR="00392993">
          <w:rPr>
            <w:webHidden/>
          </w:rPr>
          <w:fldChar w:fldCharType="separate"/>
        </w:r>
        <w:r>
          <w:rPr>
            <w:webHidden/>
          </w:rPr>
          <w:t>5</w:t>
        </w:r>
        <w:r w:rsidR="00392993">
          <w:rPr>
            <w:webHidden/>
          </w:rPr>
          <w:fldChar w:fldCharType="end"/>
        </w:r>
      </w:hyperlink>
    </w:p>
    <w:p w14:paraId="77648E40" w14:textId="154030E1" w:rsidR="00392993" w:rsidRDefault="00D05EFE">
      <w:pPr>
        <w:pStyle w:val="TOC2"/>
        <w:rPr>
          <w:rFonts w:asciiTheme="minorHAnsi" w:eastAsiaTheme="minorEastAsia" w:hAnsiTheme="minorHAnsi" w:cstheme="minorBidi"/>
          <w:b w:val="0"/>
          <w:smallCaps w:val="0"/>
          <w:sz w:val="22"/>
          <w:lang w:val="en-GB" w:eastAsia="en-GB"/>
        </w:rPr>
      </w:pPr>
      <w:hyperlink w:anchor="_Toc58337955" w:history="1">
        <w:r w:rsidR="00392993" w:rsidRPr="0027039E">
          <w:rPr>
            <w:rStyle w:val="Hyperlink"/>
            <w:rFonts w:ascii="Times New Roman" w:hAnsi="Times New Roman"/>
          </w:rPr>
          <w:t>4.1.</w:t>
        </w:r>
        <w:r w:rsidR="00392993">
          <w:rPr>
            <w:rFonts w:asciiTheme="minorHAnsi" w:eastAsiaTheme="minorEastAsia" w:hAnsiTheme="minorHAnsi" w:cstheme="minorBidi"/>
            <w:b w:val="0"/>
            <w:smallCaps w:val="0"/>
            <w:sz w:val="22"/>
            <w:lang w:val="en-GB" w:eastAsia="en-GB"/>
          </w:rPr>
          <w:tab/>
        </w:r>
        <w:r w:rsidR="00392993" w:rsidRPr="0027039E">
          <w:rPr>
            <w:rStyle w:val="Hyperlink"/>
            <w:rFonts w:ascii="Times New Roman" w:hAnsi="Times New Roman"/>
          </w:rPr>
          <w:t>Instrukser vedrørende specifikke rækker</w:t>
        </w:r>
        <w:r w:rsidR="00392993">
          <w:rPr>
            <w:webHidden/>
          </w:rPr>
          <w:tab/>
        </w:r>
        <w:r w:rsidR="00392993">
          <w:rPr>
            <w:webHidden/>
          </w:rPr>
          <w:fldChar w:fldCharType="begin"/>
        </w:r>
        <w:r w:rsidR="00392993">
          <w:rPr>
            <w:webHidden/>
          </w:rPr>
          <w:instrText xml:space="preserve"> PAGEREF _Toc58337955 \h </w:instrText>
        </w:r>
        <w:r w:rsidR="00392993">
          <w:rPr>
            <w:webHidden/>
          </w:rPr>
        </w:r>
        <w:r w:rsidR="00392993">
          <w:rPr>
            <w:webHidden/>
          </w:rPr>
          <w:fldChar w:fldCharType="separate"/>
        </w:r>
        <w:r>
          <w:rPr>
            <w:webHidden/>
          </w:rPr>
          <w:t>5</w:t>
        </w:r>
        <w:r w:rsidR="00392993">
          <w:rPr>
            <w:webHidden/>
          </w:rPr>
          <w:fldChar w:fldCharType="end"/>
        </w:r>
      </w:hyperlink>
    </w:p>
    <w:p w14:paraId="67B22E6D" w14:textId="5826CE2C" w:rsidR="00392993" w:rsidRDefault="00D05EFE">
      <w:pPr>
        <w:pStyle w:val="TOC2"/>
        <w:rPr>
          <w:rFonts w:asciiTheme="minorHAnsi" w:eastAsiaTheme="minorEastAsia" w:hAnsiTheme="minorHAnsi" w:cstheme="minorBidi"/>
          <w:b w:val="0"/>
          <w:smallCaps w:val="0"/>
          <w:sz w:val="22"/>
          <w:lang w:val="en-GB" w:eastAsia="en-GB"/>
        </w:rPr>
      </w:pPr>
      <w:hyperlink w:anchor="_Toc58337956" w:history="1">
        <w:r w:rsidR="00392993" w:rsidRPr="0027039E">
          <w:rPr>
            <w:rStyle w:val="Hyperlink"/>
            <w:rFonts w:ascii="Times New Roman" w:hAnsi="Times New Roman"/>
          </w:rPr>
          <w:t>5.</w:t>
        </w:r>
        <w:r w:rsidR="00392993">
          <w:rPr>
            <w:rFonts w:asciiTheme="minorHAnsi" w:eastAsiaTheme="minorEastAsia" w:hAnsiTheme="minorHAnsi" w:cstheme="minorBidi"/>
            <w:b w:val="0"/>
            <w:smallCaps w:val="0"/>
            <w:sz w:val="22"/>
            <w:lang w:val="en-GB" w:eastAsia="en-GB"/>
          </w:rPr>
          <w:tab/>
        </w:r>
        <w:r w:rsidR="00392993" w:rsidRPr="0027039E">
          <w:rPr>
            <w:rStyle w:val="Hyperlink"/>
            <w:rFonts w:ascii="Times New Roman" w:hAnsi="Times New Roman"/>
          </w:rPr>
          <w:t>C 27.00 — Identifikation af modparten (LE1)</w:t>
        </w:r>
        <w:r w:rsidR="00392993">
          <w:rPr>
            <w:webHidden/>
          </w:rPr>
          <w:tab/>
        </w:r>
        <w:r w:rsidR="00392993">
          <w:rPr>
            <w:webHidden/>
          </w:rPr>
          <w:fldChar w:fldCharType="begin"/>
        </w:r>
        <w:r w:rsidR="00392993">
          <w:rPr>
            <w:webHidden/>
          </w:rPr>
          <w:instrText xml:space="preserve"> PAGEREF _Toc58337956 \h </w:instrText>
        </w:r>
        <w:r w:rsidR="00392993">
          <w:rPr>
            <w:webHidden/>
          </w:rPr>
        </w:r>
        <w:r w:rsidR="00392993">
          <w:rPr>
            <w:webHidden/>
          </w:rPr>
          <w:fldChar w:fldCharType="separate"/>
        </w:r>
        <w:r>
          <w:rPr>
            <w:webHidden/>
          </w:rPr>
          <w:t>7</w:t>
        </w:r>
        <w:r w:rsidR="00392993">
          <w:rPr>
            <w:webHidden/>
          </w:rPr>
          <w:fldChar w:fldCharType="end"/>
        </w:r>
      </w:hyperlink>
    </w:p>
    <w:p w14:paraId="39ABEB22" w14:textId="09737C0B" w:rsidR="00392993" w:rsidRDefault="00D05EFE">
      <w:pPr>
        <w:pStyle w:val="TOC2"/>
        <w:rPr>
          <w:rFonts w:asciiTheme="minorHAnsi" w:eastAsiaTheme="minorEastAsia" w:hAnsiTheme="minorHAnsi" w:cstheme="minorBidi"/>
          <w:b w:val="0"/>
          <w:smallCaps w:val="0"/>
          <w:sz w:val="22"/>
          <w:lang w:val="en-GB" w:eastAsia="en-GB"/>
        </w:rPr>
      </w:pPr>
      <w:hyperlink w:anchor="_Toc58337957" w:history="1">
        <w:r w:rsidR="00392993" w:rsidRPr="0027039E">
          <w:rPr>
            <w:rStyle w:val="Hyperlink"/>
            <w:rFonts w:ascii="Times New Roman" w:hAnsi="Times New Roman"/>
          </w:rPr>
          <w:t>5.1.</w:t>
        </w:r>
        <w:r w:rsidR="00392993">
          <w:rPr>
            <w:rFonts w:asciiTheme="minorHAnsi" w:eastAsiaTheme="minorEastAsia" w:hAnsiTheme="minorHAnsi" w:cstheme="minorBidi"/>
            <w:b w:val="0"/>
            <w:smallCaps w:val="0"/>
            <w:sz w:val="22"/>
            <w:lang w:val="en-GB" w:eastAsia="en-GB"/>
          </w:rPr>
          <w:tab/>
        </w:r>
        <w:r w:rsidR="00392993" w:rsidRPr="0027039E">
          <w:rPr>
            <w:rStyle w:val="Hyperlink"/>
            <w:rFonts w:ascii="Times New Roman" w:hAnsi="Times New Roman"/>
          </w:rPr>
          <w:t>Instrukser vedrørende specifikke kolonner</w:t>
        </w:r>
        <w:r w:rsidR="00392993">
          <w:rPr>
            <w:webHidden/>
          </w:rPr>
          <w:tab/>
        </w:r>
        <w:r w:rsidR="00392993">
          <w:rPr>
            <w:webHidden/>
          </w:rPr>
          <w:fldChar w:fldCharType="begin"/>
        </w:r>
        <w:r w:rsidR="00392993">
          <w:rPr>
            <w:webHidden/>
          </w:rPr>
          <w:instrText xml:space="preserve"> PAGEREF _Toc58337957 \h </w:instrText>
        </w:r>
        <w:r w:rsidR="00392993">
          <w:rPr>
            <w:webHidden/>
          </w:rPr>
        </w:r>
        <w:r w:rsidR="00392993">
          <w:rPr>
            <w:webHidden/>
          </w:rPr>
          <w:fldChar w:fldCharType="separate"/>
        </w:r>
        <w:r>
          <w:rPr>
            <w:webHidden/>
          </w:rPr>
          <w:t>7</w:t>
        </w:r>
        <w:r w:rsidR="00392993">
          <w:rPr>
            <w:webHidden/>
          </w:rPr>
          <w:fldChar w:fldCharType="end"/>
        </w:r>
      </w:hyperlink>
    </w:p>
    <w:p w14:paraId="13684189" w14:textId="42BF0A57" w:rsidR="00392993" w:rsidRDefault="00D05EFE">
      <w:pPr>
        <w:pStyle w:val="TOC2"/>
        <w:rPr>
          <w:rFonts w:asciiTheme="minorHAnsi" w:eastAsiaTheme="minorEastAsia" w:hAnsiTheme="minorHAnsi" w:cstheme="minorBidi"/>
          <w:b w:val="0"/>
          <w:smallCaps w:val="0"/>
          <w:sz w:val="22"/>
          <w:lang w:val="en-GB" w:eastAsia="en-GB"/>
        </w:rPr>
      </w:pPr>
      <w:hyperlink w:anchor="_Toc58337958" w:history="1">
        <w:r w:rsidR="00392993" w:rsidRPr="0027039E">
          <w:rPr>
            <w:rStyle w:val="Hyperlink"/>
            <w:rFonts w:ascii="Times New Roman" w:hAnsi="Times New Roman"/>
          </w:rPr>
          <w:t>6.</w:t>
        </w:r>
        <w:r w:rsidR="00392993">
          <w:rPr>
            <w:rFonts w:asciiTheme="minorHAnsi" w:eastAsiaTheme="minorEastAsia" w:hAnsiTheme="minorHAnsi" w:cstheme="minorBidi"/>
            <w:b w:val="0"/>
            <w:smallCaps w:val="0"/>
            <w:sz w:val="22"/>
            <w:lang w:val="en-GB" w:eastAsia="en-GB"/>
          </w:rPr>
          <w:tab/>
        </w:r>
        <w:r w:rsidR="00392993" w:rsidRPr="0027039E">
          <w:rPr>
            <w:rStyle w:val="Hyperlink"/>
            <w:rFonts w:ascii="Times New Roman" w:hAnsi="Times New Roman"/>
          </w:rPr>
          <w:t>C 28.00 — Eksponeringer uden for handelsbeholdningen og i handelsbeholdningen (LE2)</w:t>
        </w:r>
        <w:r w:rsidR="00392993">
          <w:rPr>
            <w:webHidden/>
          </w:rPr>
          <w:tab/>
        </w:r>
        <w:r w:rsidR="00392993">
          <w:rPr>
            <w:webHidden/>
          </w:rPr>
          <w:fldChar w:fldCharType="begin"/>
        </w:r>
        <w:r w:rsidR="00392993">
          <w:rPr>
            <w:webHidden/>
          </w:rPr>
          <w:instrText xml:space="preserve"> PAGEREF _Toc58337958 \h </w:instrText>
        </w:r>
        <w:r w:rsidR="00392993">
          <w:rPr>
            <w:webHidden/>
          </w:rPr>
        </w:r>
        <w:r w:rsidR="00392993">
          <w:rPr>
            <w:webHidden/>
          </w:rPr>
          <w:fldChar w:fldCharType="separate"/>
        </w:r>
        <w:r>
          <w:rPr>
            <w:webHidden/>
          </w:rPr>
          <w:t>9</w:t>
        </w:r>
        <w:r w:rsidR="00392993">
          <w:rPr>
            <w:webHidden/>
          </w:rPr>
          <w:fldChar w:fldCharType="end"/>
        </w:r>
      </w:hyperlink>
    </w:p>
    <w:p w14:paraId="21A6D181" w14:textId="60503E97" w:rsidR="00392993" w:rsidRDefault="00D05EFE">
      <w:pPr>
        <w:pStyle w:val="TOC2"/>
        <w:rPr>
          <w:rFonts w:asciiTheme="minorHAnsi" w:eastAsiaTheme="minorEastAsia" w:hAnsiTheme="minorHAnsi" w:cstheme="minorBidi"/>
          <w:b w:val="0"/>
          <w:smallCaps w:val="0"/>
          <w:sz w:val="22"/>
          <w:lang w:val="en-GB" w:eastAsia="en-GB"/>
        </w:rPr>
      </w:pPr>
      <w:hyperlink w:anchor="_Toc58337959" w:history="1">
        <w:r w:rsidR="00392993" w:rsidRPr="0027039E">
          <w:rPr>
            <w:rStyle w:val="Hyperlink"/>
            <w:rFonts w:ascii="Times New Roman" w:hAnsi="Times New Roman"/>
          </w:rPr>
          <w:t>6.1.</w:t>
        </w:r>
        <w:r w:rsidR="00392993">
          <w:rPr>
            <w:rFonts w:asciiTheme="minorHAnsi" w:eastAsiaTheme="minorEastAsia" w:hAnsiTheme="minorHAnsi" w:cstheme="minorBidi"/>
            <w:b w:val="0"/>
            <w:smallCaps w:val="0"/>
            <w:sz w:val="22"/>
            <w:lang w:val="en-GB" w:eastAsia="en-GB"/>
          </w:rPr>
          <w:tab/>
        </w:r>
        <w:r w:rsidR="00392993" w:rsidRPr="0027039E">
          <w:rPr>
            <w:rStyle w:val="Hyperlink"/>
            <w:rFonts w:ascii="Times New Roman" w:hAnsi="Times New Roman"/>
          </w:rPr>
          <w:t>Instrukser vedrørende specifikke kolonner</w:t>
        </w:r>
        <w:r w:rsidR="00392993">
          <w:rPr>
            <w:webHidden/>
          </w:rPr>
          <w:tab/>
        </w:r>
        <w:r w:rsidR="00392993">
          <w:rPr>
            <w:webHidden/>
          </w:rPr>
          <w:fldChar w:fldCharType="begin"/>
        </w:r>
        <w:r w:rsidR="00392993">
          <w:rPr>
            <w:webHidden/>
          </w:rPr>
          <w:instrText xml:space="preserve"> PAGEREF _Toc58337959 \h </w:instrText>
        </w:r>
        <w:r w:rsidR="00392993">
          <w:rPr>
            <w:webHidden/>
          </w:rPr>
        </w:r>
        <w:r w:rsidR="00392993">
          <w:rPr>
            <w:webHidden/>
          </w:rPr>
          <w:fldChar w:fldCharType="separate"/>
        </w:r>
        <w:r>
          <w:rPr>
            <w:webHidden/>
          </w:rPr>
          <w:t>9</w:t>
        </w:r>
        <w:r w:rsidR="00392993">
          <w:rPr>
            <w:webHidden/>
          </w:rPr>
          <w:fldChar w:fldCharType="end"/>
        </w:r>
      </w:hyperlink>
    </w:p>
    <w:p w14:paraId="17C00633" w14:textId="122083B3" w:rsidR="00392993" w:rsidRDefault="00D05EFE">
      <w:pPr>
        <w:pStyle w:val="TOC2"/>
        <w:rPr>
          <w:rFonts w:asciiTheme="minorHAnsi" w:eastAsiaTheme="minorEastAsia" w:hAnsiTheme="minorHAnsi" w:cstheme="minorBidi"/>
          <w:b w:val="0"/>
          <w:smallCaps w:val="0"/>
          <w:sz w:val="22"/>
          <w:lang w:val="en-GB" w:eastAsia="en-GB"/>
        </w:rPr>
      </w:pPr>
      <w:hyperlink w:anchor="_Toc58337960" w:history="1">
        <w:r w:rsidR="00392993" w:rsidRPr="0027039E">
          <w:rPr>
            <w:rStyle w:val="Hyperlink"/>
            <w:rFonts w:ascii="Times New Roman" w:hAnsi="Times New Roman"/>
          </w:rPr>
          <w:t>7.</w:t>
        </w:r>
        <w:r w:rsidR="00392993">
          <w:rPr>
            <w:rFonts w:asciiTheme="minorHAnsi" w:eastAsiaTheme="minorEastAsia" w:hAnsiTheme="minorHAnsi" w:cstheme="minorBidi"/>
            <w:b w:val="0"/>
            <w:smallCaps w:val="0"/>
            <w:sz w:val="22"/>
            <w:lang w:val="en-GB" w:eastAsia="en-GB"/>
          </w:rPr>
          <w:tab/>
        </w:r>
        <w:r w:rsidR="00392993" w:rsidRPr="0027039E">
          <w:rPr>
            <w:rStyle w:val="Hyperlink"/>
            <w:rFonts w:ascii="Times New Roman" w:hAnsi="Times New Roman"/>
          </w:rPr>
          <w:t>C 29.00 — Nærmere oplysninger om eksponeringer mod enkelte kunder inden for grupper af indbyrdes forbundne kunder (LE3)</w:t>
        </w:r>
        <w:r w:rsidR="00392993">
          <w:rPr>
            <w:webHidden/>
          </w:rPr>
          <w:tab/>
        </w:r>
        <w:r w:rsidR="00392993">
          <w:rPr>
            <w:webHidden/>
          </w:rPr>
          <w:fldChar w:fldCharType="begin"/>
        </w:r>
        <w:r w:rsidR="00392993">
          <w:rPr>
            <w:webHidden/>
          </w:rPr>
          <w:instrText xml:space="preserve"> PAGEREF _Toc58337960 \h </w:instrText>
        </w:r>
        <w:r w:rsidR="00392993">
          <w:rPr>
            <w:webHidden/>
          </w:rPr>
        </w:r>
        <w:r w:rsidR="00392993">
          <w:rPr>
            <w:webHidden/>
          </w:rPr>
          <w:fldChar w:fldCharType="separate"/>
        </w:r>
        <w:r>
          <w:rPr>
            <w:webHidden/>
          </w:rPr>
          <w:t>18</w:t>
        </w:r>
        <w:r w:rsidR="00392993">
          <w:rPr>
            <w:webHidden/>
          </w:rPr>
          <w:fldChar w:fldCharType="end"/>
        </w:r>
      </w:hyperlink>
    </w:p>
    <w:p w14:paraId="3CBA9F2E" w14:textId="16C4059D" w:rsidR="00392993" w:rsidRDefault="00D05EFE">
      <w:pPr>
        <w:pStyle w:val="TOC2"/>
        <w:rPr>
          <w:rFonts w:asciiTheme="minorHAnsi" w:eastAsiaTheme="minorEastAsia" w:hAnsiTheme="minorHAnsi" w:cstheme="minorBidi"/>
          <w:b w:val="0"/>
          <w:smallCaps w:val="0"/>
          <w:sz w:val="22"/>
          <w:lang w:val="en-GB" w:eastAsia="en-GB"/>
        </w:rPr>
      </w:pPr>
      <w:hyperlink w:anchor="_Toc58337961" w:history="1">
        <w:r w:rsidR="00392993" w:rsidRPr="0027039E">
          <w:rPr>
            <w:rStyle w:val="Hyperlink"/>
            <w:rFonts w:ascii="Times New Roman" w:hAnsi="Times New Roman"/>
          </w:rPr>
          <w:t>7.1.</w:t>
        </w:r>
        <w:r w:rsidR="00392993">
          <w:rPr>
            <w:rFonts w:asciiTheme="minorHAnsi" w:eastAsiaTheme="minorEastAsia" w:hAnsiTheme="minorHAnsi" w:cstheme="minorBidi"/>
            <w:b w:val="0"/>
            <w:smallCaps w:val="0"/>
            <w:sz w:val="22"/>
            <w:lang w:val="en-GB" w:eastAsia="en-GB"/>
          </w:rPr>
          <w:tab/>
        </w:r>
        <w:r w:rsidR="00392993" w:rsidRPr="0027039E">
          <w:rPr>
            <w:rStyle w:val="Hyperlink"/>
            <w:rFonts w:ascii="Times New Roman" w:hAnsi="Times New Roman"/>
          </w:rPr>
          <w:t>Instrukser vedrørende specifikke kolonner</w:t>
        </w:r>
        <w:r w:rsidR="00392993">
          <w:rPr>
            <w:webHidden/>
          </w:rPr>
          <w:tab/>
        </w:r>
        <w:r w:rsidR="00392993">
          <w:rPr>
            <w:webHidden/>
          </w:rPr>
          <w:fldChar w:fldCharType="begin"/>
        </w:r>
        <w:r w:rsidR="00392993">
          <w:rPr>
            <w:webHidden/>
          </w:rPr>
          <w:instrText xml:space="preserve"> PAGEREF _Toc58337961 \h </w:instrText>
        </w:r>
        <w:r w:rsidR="00392993">
          <w:rPr>
            <w:webHidden/>
          </w:rPr>
        </w:r>
        <w:r w:rsidR="00392993">
          <w:rPr>
            <w:webHidden/>
          </w:rPr>
          <w:fldChar w:fldCharType="separate"/>
        </w:r>
        <w:r>
          <w:rPr>
            <w:webHidden/>
          </w:rPr>
          <w:t>18</w:t>
        </w:r>
        <w:r w:rsidR="00392993">
          <w:rPr>
            <w:webHidden/>
          </w:rPr>
          <w:fldChar w:fldCharType="end"/>
        </w:r>
      </w:hyperlink>
    </w:p>
    <w:p w14:paraId="20DF363A" w14:textId="59E93598"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3" w:name="_Toc264038394"/>
      <w:bookmarkStart w:id="4" w:name="_Toc58337947"/>
      <w:r>
        <w:rPr>
          <w:rFonts w:ascii="Times New Roman" w:hAnsi="Times New Roman"/>
        </w:rPr>
        <w:lastRenderedPageBreak/>
        <w:t>DEL I:</w:t>
      </w:r>
      <w:bookmarkEnd w:id="3"/>
      <w:r>
        <w:rPr>
          <w:rFonts w:ascii="Times New Roman" w:hAnsi="Times New Roman"/>
        </w:rPr>
        <w:t xml:space="preserve"> GENERELLE INSTRUKSER</w:t>
      </w:r>
      <w:bookmarkEnd w:id="4"/>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58337948"/>
      <w:r>
        <w:rPr>
          <w:rFonts w:ascii="Times New Roman" w:hAnsi="Times New Roman"/>
          <w:b/>
          <w:sz w:val="24"/>
          <w:u w:val="none"/>
        </w:rPr>
        <w:t>Opbygning og konventioner</w:t>
      </w:r>
      <w:bookmarkEnd w:id="5"/>
    </w:p>
    <w:p w14:paraId="5909C260" w14:textId="784FED9A" w:rsidR="00393539" w:rsidRPr="0039317F" w:rsidRDefault="00D40975" w:rsidP="00EA58FB">
      <w:pPr>
        <w:pStyle w:val="InstructionsText2"/>
      </w:pPr>
      <w:bookmarkStart w:id="6" w:name="_Toc264038399"/>
      <w:bookmarkStart w:id="7" w:name="_Toc294018834"/>
      <w:r>
        <w:t xml:space="preserve">Systemet til indberetning af store eksponeringer (large </w:t>
      </w:r>
      <w:proofErr w:type="spellStart"/>
      <w:r>
        <w:t>exposures</w:t>
      </w:r>
      <w:proofErr w:type="spellEnd"/>
      <w:r>
        <w:t xml:space="preserve"> — "LE") består af fire skemaer, der indeholder følgende oplysninger:</w:t>
      </w:r>
    </w:p>
    <w:p w14:paraId="6672C7F2" w14:textId="77777777" w:rsidR="00DA54E3" w:rsidRPr="0039317F" w:rsidRDefault="00CC2429" w:rsidP="00392993">
      <w:pPr>
        <w:pStyle w:val="InstructionsText2"/>
        <w:numPr>
          <w:ilvl w:val="1"/>
          <w:numId w:val="36"/>
        </w:numPr>
        <w:rPr>
          <w:rFonts w:eastAsia="Arial"/>
        </w:rPr>
      </w:pPr>
      <w:r>
        <w:t>begrænsninger for store eksponeringer</w:t>
      </w:r>
    </w:p>
    <w:p w14:paraId="5C6D7E68" w14:textId="77777777" w:rsidR="00DA54E3" w:rsidRPr="0039317F" w:rsidRDefault="00CC2429" w:rsidP="00392993">
      <w:pPr>
        <w:pStyle w:val="InstructionsText2"/>
        <w:numPr>
          <w:ilvl w:val="1"/>
          <w:numId w:val="36"/>
        </w:numPr>
        <w:rPr>
          <w:rFonts w:eastAsia="Arial"/>
        </w:rPr>
      </w:pPr>
      <w:r>
        <w:t>identifikation af modparten (LE1-skemaet)</w:t>
      </w:r>
    </w:p>
    <w:p w14:paraId="6F974068" w14:textId="77777777" w:rsidR="00393539" w:rsidRPr="0039317F" w:rsidRDefault="00CC2429" w:rsidP="00392993">
      <w:pPr>
        <w:pStyle w:val="InstructionsText2"/>
        <w:numPr>
          <w:ilvl w:val="1"/>
          <w:numId w:val="36"/>
        </w:numPr>
        <w:rPr>
          <w:rFonts w:eastAsia="Arial"/>
        </w:rPr>
      </w:pPr>
      <w:r>
        <w:t xml:space="preserve">eksponeringer uden for handelsbeholdningen og i handelsbeholdningen (LE2-skemaet) </w:t>
      </w:r>
    </w:p>
    <w:p w14:paraId="188ED3D0" w14:textId="77777777" w:rsidR="00393539" w:rsidRPr="0039317F" w:rsidRDefault="00CC2429" w:rsidP="00392993">
      <w:pPr>
        <w:pStyle w:val="InstructionsText2"/>
        <w:numPr>
          <w:ilvl w:val="1"/>
          <w:numId w:val="36"/>
        </w:numPr>
        <w:rPr>
          <w:rFonts w:eastAsia="Arial"/>
        </w:rPr>
      </w:pPr>
      <w:r>
        <w:t>nærmere oplysninger om eksponeringer mod enkelte kunder inden for grupper af indbyrdes forbundne kunder (LE3-skemaet)</w:t>
      </w:r>
    </w:p>
    <w:p w14:paraId="13C0076D" w14:textId="77777777" w:rsidR="003D56DE" w:rsidRPr="0039317F" w:rsidRDefault="00756759">
      <w:pPr>
        <w:pStyle w:val="InstructionsText2"/>
      </w:pPr>
      <w:r>
        <w:t xml:space="preserve">Instrukserne omfatter </w:t>
      </w:r>
      <w:proofErr w:type="spellStart"/>
      <w:r>
        <w:t>retshenvisninger</w:t>
      </w:r>
      <w:proofErr w:type="spellEnd"/>
      <w:r>
        <w:t xml:space="preserve"> og detaljerede oplysninger om de data, der skal indberettes i hvert skema.</w:t>
      </w:r>
    </w:p>
    <w:p w14:paraId="48E9A023" w14:textId="77777777" w:rsidR="00B0191A" w:rsidRPr="0039317F" w:rsidRDefault="003105C6">
      <w:pPr>
        <w:pStyle w:val="InstructionsText2"/>
      </w:pPr>
      <w:r>
        <w:t xml:space="preserve">Instrukserne og valideringsreglerne følger de konventioner for tekst, der er beskrevet i de følgende afsnit, når der henvises til kolonner, rækker og celler i skemaerne. </w:t>
      </w:r>
    </w:p>
    <w:p w14:paraId="45B139C1" w14:textId="77777777" w:rsidR="00B0191A" w:rsidRPr="0039317F" w:rsidRDefault="00F36707">
      <w:pPr>
        <w:pStyle w:val="InstructionsText2"/>
      </w:pPr>
      <w:r>
        <w:t>Følgende konvention bruges generelt i instrukserne og valideringsreglerne: {</w:t>
      </w:r>
      <w:proofErr w:type="spellStart"/>
      <w:proofErr w:type="gramStart"/>
      <w:r>
        <w:t>Skema;Række</w:t>
      </w:r>
      <w:proofErr w:type="gramEnd"/>
      <w:r>
        <w:t>;Kolonne</w:t>
      </w:r>
      <w:proofErr w:type="spellEnd"/>
      <w:r>
        <w:t>}. En asterisk viser, at validering udføres for alle de indberettede rækker.</w:t>
      </w:r>
    </w:p>
    <w:p w14:paraId="3B016F30" w14:textId="77777777" w:rsidR="00B0191A" w:rsidRPr="0039317F" w:rsidRDefault="003105C6">
      <w:pPr>
        <w:pStyle w:val="InstructionsText2"/>
        <w:rPr>
          <w:rFonts w:eastAsia="Arial"/>
        </w:rPr>
      </w:pPr>
      <w:r>
        <w:t>Ved valideringer i et skema, hvor kun datapunkter fra skemaet anvendes, henviser notationer ikke til et skema: {</w:t>
      </w:r>
      <w:proofErr w:type="spellStart"/>
      <w:proofErr w:type="gramStart"/>
      <w:r>
        <w:t>Række;Kolonne</w:t>
      </w:r>
      <w:proofErr w:type="spellEnd"/>
      <w:proofErr w:type="gramEnd"/>
      <w:r>
        <w:t>}.</w:t>
      </w:r>
    </w:p>
    <w:p w14:paraId="4113689E" w14:textId="77777777" w:rsidR="00B0191A" w:rsidRDefault="006217F1">
      <w:pPr>
        <w:pStyle w:val="InstructionsText2"/>
      </w:pPr>
      <w:r>
        <w:t xml:space="preserve">ABS (Værdi): den absolutte værdi uden fortegn. </w:t>
      </w:r>
      <w:bookmarkEnd w:id="6"/>
      <w:bookmarkEnd w:id="7"/>
      <w:r>
        <w:t>Beløb, der forøger eksponeringerne, indberettes som et positivt tal. Modsat indberettes beløb, der reducerer eksponeringerne, som et negativt tal. Hvis der er indsat et negativt fortegn (-) ved teksten ud for en post, indberettes et positivt tal ikke for den pågældende post.</w:t>
      </w:r>
    </w:p>
    <w:p w14:paraId="20A1499F" w14:textId="3AE6C9A6" w:rsidR="0093135A" w:rsidRPr="0078562D" w:rsidRDefault="0078562D" w:rsidP="0078562D">
      <w:pPr>
        <w:pStyle w:val="Instructionsberschrift2"/>
        <w:numPr>
          <w:ilvl w:val="0"/>
          <w:numId w:val="20"/>
        </w:numPr>
        <w:rPr>
          <w:b/>
        </w:rPr>
      </w:pPr>
      <w:bookmarkStart w:id="8" w:name="_Toc58337949"/>
      <w:r>
        <w:rPr>
          <w:rFonts w:ascii="Times New Roman" w:hAnsi="Times New Roman"/>
          <w:b/>
          <w:sz w:val="24"/>
          <w:u w:val="none"/>
        </w:rPr>
        <w:t>Forkortelser</w:t>
      </w:r>
      <w:bookmarkEnd w:id="8"/>
    </w:p>
    <w:p w14:paraId="66921288" w14:textId="77777777" w:rsidR="0093135A" w:rsidRDefault="0093135A" w:rsidP="00EA58FB">
      <w:pPr>
        <w:pStyle w:val="InstructionsText2"/>
      </w:pPr>
      <w:r>
        <w:t>I dette bilag henvises der til forordning (EU) nr. 575/2013 ved hjælp af forkortelsen "CRR".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9" w:name="_Toc264033192"/>
      <w:bookmarkEnd w:id="9"/>
    </w:p>
    <w:p w14:paraId="77E871D2" w14:textId="074CBE32" w:rsidR="00A801A9" w:rsidRPr="00F40CD9" w:rsidRDefault="003105C6" w:rsidP="00D64B66">
      <w:pPr>
        <w:pStyle w:val="Heading2"/>
        <w:rPr>
          <w:rFonts w:ascii="Times New Roman" w:hAnsi="Times New Roman"/>
        </w:rPr>
      </w:pPr>
      <w:bookmarkStart w:id="10" w:name="_Toc58337950"/>
      <w:r>
        <w:rPr>
          <w:rFonts w:ascii="Times New Roman" w:hAnsi="Times New Roman"/>
        </w:rPr>
        <w:lastRenderedPageBreak/>
        <w:t>DEL II: INSTRUKSER VEDRØRENDE SKEMAER</w:t>
      </w:r>
      <w:bookmarkEnd w:id="10"/>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1" w:name="_Toc20819311"/>
      <w:bookmarkStart w:id="12" w:name="_Toc58337951"/>
      <w:bookmarkEnd w:id="11"/>
      <w:r>
        <w:rPr>
          <w:rFonts w:ascii="Times New Roman" w:hAnsi="Times New Roman"/>
          <w:b/>
          <w:sz w:val="24"/>
          <w:u w:val="none"/>
        </w:rPr>
        <w:t>Omfang og niveau af indberetning af store eksponeringer (LE)</w:t>
      </w:r>
      <w:bookmarkEnd w:id="12"/>
    </w:p>
    <w:p w14:paraId="348AB70C" w14:textId="5B5129C3" w:rsidR="000F13EA" w:rsidRPr="00EA58FB" w:rsidRDefault="000F13EA">
      <w:pPr>
        <w:pStyle w:val="InstructionsText2"/>
        <w:numPr>
          <w:ilvl w:val="0"/>
          <w:numId w:val="27"/>
        </w:numPr>
        <w:rPr>
          <w:rFonts w:eastAsia="Arial"/>
        </w:rPr>
      </w:pPr>
      <w:r>
        <w:t xml:space="preserve">For at indberette oplysninger om store eksponeringer mod kunder eller grupper af indbyrdes forbundne kunder i overensstemmelse med artikel 394, stk. 1, i forordning (EU) nr. 575/2013 (CRR) på individuelt grundlag skal institutter anvende skemaerne LE1, LE2 og LE3. </w:t>
      </w:r>
    </w:p>
    <w:p w14:paraId="489D28D7" w14:textId="70A5F703" w:rsidR="00B0191A" w:rsidRPr="0039317F" w:rsidRDefault="000F13EA">
      <w:pPr>
        <w:pStyle w:val="InstructionsText2"/>
        <w:rPr>
          <w:rFonts w:eastAsia="Arial"/>
        </w:rPr>
      </w:pPr>
      <w:r>
        <w:t xml:space="preserve">For at indberette oplysninger om store eksponeringer mod kunder eller grupper af indbyrdes forbundne kunder i overensstemmelse med artikel 394, stk. 1, i CRR på konsolideret grundlag skal moderinstitutterne i en medlemsstat anvende skemaerne LE1, LE2 og LE3. </w:t>
      </w:r>
    </w:p>
    <w:p w14:paraId="5034A602" w14:textId="68BD3E39" w:rsidR="00B0191A" w:rsidRPr="0039317F" w:rsidRDefault="00A11FB0">
      <w:pPr>
        <w:pStyle w:val="InstructionsText2"/>
        <w:rPr>
          <w:rFonts w:eastAsia="Arial"/>
        </w:rPr>
      </w:pPr>
      <w:r>
        <w:t xml:space="preserve">Alle store eksponeringer, der er defineret i overensstemmelse med artikel 392 i CRR, skal indberettes, herunder store eksponeringer, der ikke er underlagt krav om overholdelse af den grænse for stor eksponering, der er fastsat i artikel 395 i CRR. </w:t>
      </w:r>
    </w:p>
    <w:p w14:paraId="0ED175C5" w14:textId="40979611" w:rsidR="00B0191A" w:rsidRPr="0039317F" w:rsidRDefault="001C7BF0">
      <w:pPr>
        <w:pStyle w:val="InstructionsText2"/>
        <w:rPr>
          <w:rFonts w:eastAsia="Arial"/>
        </w:rPr>
      </w:pPr>
      <w:r>
        <w:t xml:space="preserve">For at indberette oplysninger om de 20 største eksponeringer mod kunder eller grupper af indbyrdes forbundne kunder i overensstemmelse med artikel 394, stk. 1, andet afsnit, i CRR på konsolideret grundlag skal moderinstitutterne i en medlemsstat, som er underlagt tredje del, afsnit II, kapitel 3, i CRR, anvende skemaerne LE1, LE2 og LE3. Den eksponeringsværdi, der fås ved at trække beløbet i kolonne 320 ("Undtagne beløb") i LE2-skemaet fra beløbet i kolonne 210 ("I alt") i det samme skema, er det beløb, der bruges til at fastlægge disse 20 største eksponeringer. </w:t>
      </w:r>
    </w:p>
    <w:p w14:paraId="149FAE48" w14:textId="1F7D0EE8" w:rsidR="00B0191A" w:rsidRPr="0039317F" w:rsidRDefault="00C1644D">
      <w:pPr>
        <w:pStyle w:val="InstructionsText2"/>
        <w:rPr>
          <w:rFonts w:eastAsia="Arial"/>
        </w:rPr>
      </w:pPr>
      <w:r>
        <w:t xml:space="preserve">For at indberette oplysninger om de ti største eksponeringer mod institutter på konsolideret grundlag og de ti største eksponeringer mod enheder i skyggebanksektoren, som udfører bankvirksomhed uden for de regulerede rammer, på konsolideret grundlag, i overensstemmelse med artikel 394, stk. 2, litra </w:t>
      </w:r>
      <w:proofErr w:type="gramStart"/>
      <w:r>
        <w:t>a)-</w:t>
      </w:r>
      <w:proofErr w:type="gramEnd"/>
      <w:r>
        <w:t>d), i CRR, skal moderinstitutterne i en medlemsstat anvende skema LE1, LE2 og LE3. Den eksponeringsværdi, der beregnes i kolonne 210 ("I alt") i LE2-skemaet, er det beløb, der bruges til at fastlægge disse 20 største eksponeringer.</w:t>
      </w:r>
    </w:p>
    <w:p w14:paraId="7C7B16A6" w14:textId="4D00F24A" w:rsidR="00FA26D9" w:rsidRPr="00BB02BD" w:rsidRDefault="00FA26D9">
      <w:pPr>
        <w:pStyle w:val="InstructionsText2"/>
        <w:rPr>
          <w:rFonts w:eastAsia="Arial"/>
        </w:rPr>
      </w:pPr>
      <w:r>
        <w:t xml:space="preserve">For at indberette oplysninger om eksponeringer med en værdi, der overstiger eller er lig med 300 mio. EUR, men som udgør mindre end 10 % af instituttets kernekapital, jf. artikel 394, stk. 1, sidste punktum, i CRR, skal moderinstitutterne i en medlemsstat anvende skema LE1, LE2 og LE3. Den eksponeringsværdi, der beregnes i kolonne 210 ("I alt") i LE2-skemaet, er det beløb, der bruges til at fastlægge disse eksponeringer. </w:t>
      </w:r>
    </w:p>
    <w:p w14:paraId="4CEDBDF9" w14:textId="385BED4E" w:rsidR="00B0191A" w:rsidRPr="0039317F" w:rsidRDefault="001E0F83">
      <w:pPr>
        <w:pStyle w:val="InstructionsText2"/>
        <w:rPr>
          <w:rFonts w:eastAsia="Arial"/>
        </w:rPr>
      </w:pPr>
      <w:r>
        <w:t xml:space="preserve">Data om de store eksponeringer og de relevante største eksponeringer samt data om eksponeringer med en værdi, der overstiger eller er lig med 300 mio. EUR, men som udgør mindre end 10 % af instituttets kernekapital, mod grupper af indbyrdes forbundne kunder og enkelte kunder, der ikke tilhører en gruppe af indbyrdes forbundne kunder, indberettes i LE2-skemaet (hvor en gruppe af indbyrdes forbundne kunder indberettes som en enkelt eksponering). </w:t>
      </w:r>
    </w:p>
    <w:p w14:paraId="579DCDAD" w14:textId="77777777" w:rsidR="00B0191A" w:rsidRPr="0039317F" w:rsidRDefault="008A4511">
      <w:pPr>
        <w:pStyle w:val="InstructionsText2"/>
        <w:rPr>
          <w:rFonts w:eastAsia="Arial"/>
        </w:rPr>
      </w:pPr>
      <w:r>
        <w:t xml:space="preserve">Institutterne skal bruge LE3-skemaet til at indberette data vedrørende eksponeringer mod enkelte kunder, der tilhører grupper af indbyrdes forbundne kunder, som indberettes i LE2-skemaet. Indberetningen af eksponeringen mod en enkelt kunde i LE2-skemaet må ikke kopieres i LE3-skemaet.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3" w:name="_Toc58337952"/>
      <w:r>
        <w:rPr>
          <w:rFonts w:ascii="Times New Roman" w:hAnsi="Times New Roman"/>
          <w:b/>
          <w:sz w:val="24"/>
          <w:u w:val="none"/>
        </w:rPr>
        <w:lastRenderedPageBreak/>
        <w:t>LE-skemaets opbygning</w:t>
      </w:r>
      <w:bookmarkEnd w:id="13"/>
    </w:p>
    <w:p w14:paraId="78D189BE" w14:textId="77777777" w:rsidR="00A11EC0" w:rsidRPr="0039317F" w:rsidRDefault="00B945FE">
      <w:pPr>
        <w:pStyle w:val="InstructionsText2"/>
        <w:rPr>
          <w:rFonts w:eastAsia="Arial"/>
        </w:rPr>
      </w:pPr>
      <w:r>
        <w:t>Kolonnerne i LE1-skemaet præsenterer oplysninger vedrørende identifikationen af enkelte kunder eller grupper af indbyrdes forbundne kunder, som et institut har en eksponering mod.</w:t>
      </w:r>
    </w:p>
    <w:p w14:paraId="199E3CE1" w14:textId="77777777" w:rsidR="00B0191A" w:rsidRPr="0039317F" w:rsidRDefault="009362E7">
      <w:pPr>
        <w:pStyle w:val="InstructionsText2"/>
        <w:rPr>
          <w:rFonts w:eastAsia="Arial"/>
        </w:rPr>
      </w:pPr>
      <w:r>
        <w:t xml:space="preserve">Kolonnerne i skema LE2 og LE3 præsenterer følgende informationsblokke:   </w:t>
      </w:r>
    </w:p>
    <w:p w14:paraId="66924B25" w14:textId="77777777" w:rsidR="00B0191A" w:rsidRPr="0039317F" w:rsidRDefault="001E0F83" w:rsidP="00E81BF0">
      <w:pPr>
        <w:pStyle w:val="InstructionsText2"/>
        <w:numPr>
          <w:ilvl w:val="1"/>
          <w:numId w:val="37"/>
        </w:numPr>
        <w:rPr>
          <w:rFonts w:eastAsia="Arial"/>
        </w:rPr>
      </w:pPr>
      <w:r>
        <w:t>eksponeringsværdien før anvendelse af undtagelser og før hensyntagen til virkningen af kreditrisikoreduktion, herunder direkte og indirekte eksponering samt yderligere eksponeringer, der opstår som følge af transaktioner med eksponering mod underliggende aktiver</w:t>
      </w:r>
    </w:p>
    <w:p w14:paraId="1559A841" w14:textId="77777777" w:rsidR="00B0191A" w:rsidRPr="0039317F" w:rsidRDefault="001E0F83" w:rsidP="00E81BF0">
      <w:pPr>
        <w:pStyle w:val="InstructionsText2"/>
        <w:numPr>
          <w:ilvl w:val="1"/>
          <w:numId w:val="37"/>
        </w:numPr>
        <w:rPr>
          <w:rFonts w:eastAsia="Arial"/>
        </w:rPr>
      </w:pPr>
      <w:r>
        <w:t>virkningen af undtagelserne og kreditrisikoreduktionsteknikkerne</w:t>
      </w:r>
    </w:p>
    <w:p w14:paraId="2B9888FA" w14:textId="77777777" w:rsidR="00B0191A" w:rsidRPr="0039317F" w:rsidRDefault="001E0F83" w:rsidP="00E81BF0">
      <w:pPr>
        <w:pStyle w:val="InstructionsText2"/>
        <w:numPr>
          <w:ilvl w:val="1"/>
          <w:numId w:val="37"/>
        </w:numPr>
        <w:rPr>
          <w:rFonts w:eastAsia="Arial"/>
        </w:rPr>
      </w:pPr>
      <w:r>
        <w:t xml:space="preserve">eksponeringsværdien efter anvendelse af undtagelser og efter hensyntagen til virkningen af kreditrisikoreduktion beregnet med henblik på artikel 395, stk. 1, i CRR.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4" w:name="_Toc20819314"/>
      <w:bookmarkStart w:id="15" w:name="_Toc58337953"/>
      <w:bookmarkEnd w:id="14"/>
      <w:r>
        <w:rPr>
          <w:rFonts w:ascii="Times New Roman" w:hAnsi="Times New Roman"/>
          <w:b/>
          <w:sz w:val="24"/>
          <w:u w:val="none"/>
        </w:rPr>
        <w:t>Definitioner og generelle instrukser til brug i forbindelse med LE-indberetning</w:t>
      </w:r>
      <w:bookmarkEnd w:id="15"/>
    </w:p>
    <w:p w14:paraId="6BE8FC09" w14:textId="1BB1A0CB" w:rsidR="001E0F83" w:rsidRPr="0039317F" w:rsidRDefault="00B945FE">
      <w:pPr>
        <w:pStyle w:val="InstructionsText2"/>
        <w:rPr>
          <w:rFonts w:eastAsia="Arial"/>
        </w:rPr>
      </w:pPr>
      <w:r>
        <w:t>"Gruppe af indbyrdes forbundne kunder" er defineret i artikel 4, stk. 1, nr. 39), i CRR.</w:t>
      </w:r>
    </w:p>
    <w:p w14:paraId="4BC25B8A" w14:textId="08723C4E" w:rsidR="00B0191A" w:rsidRPr="0039317F" w:rsidRDefault="00D441A7">
      <w:pPr>
        <w:pStyle w:val="InstructionsText2"/>
        <w:rPr>
          <w:rFonts w:eastAsia="Arial"/>
        </w:rPr>
      </w:pPr>
      <w:r>
        <w:t xml:space="preserve">"Institut" er defineret i artikel 4, stk. 1, nr. 3), i CRR. </w:t>
      </w:r>
    </w:p>
    <w:p w14:paraId="7A3E8C1B" w14:textId="77777777" w:rsidR="00B0191A" w:rsidRPr="0039317F" w:rsidRDefault="009B34D1">
      <w:pPr>
        <w:pStyle w:val="InstructionsText2"/>
        <w:rPr>
          <w:rFonts w:eastAsia="Arial"/>
        </w:rPr>
      </w:pPr>
      <w:r>
        <w:t xml:space="preserve">Eksponeringer mod "privatretlige sammenslutninger" indberettes. Institutterne skal desuden lægge kreditbeløbene for privatretlige sammenslutninger til hver partners gæld. Eksponeringer mod privatretlige sammenslutninger med kvoter opdeles eller henføres til partnerne i henhold til deres respektive kvoter. Visse konstruktioner (f.eks. fælles konti, grupper af arvinger og lån optaget ved hjælp af stråmænd), der i realiteten fungerer som privatretlige sammenslutninger, skal indberettes på samme måde. </w:t>
      </w:r>
    </w:p>
    <w:p w14:paraId="4C91D2E1" w14:textId="0927C7CF" w:rsidR="00910E26" w:rsidRPr="0039317F" w:rsidRDefault="00D441A7">
      <w:pPr>
        <w:pStyle w:val="InstructionsText2"/>
        <w:rPr>
          <w:rFonts w:eastAsia="Arial"/>
        </w:rPr>
      </w:pPr>
      <w:r>
        <w:t>Aktiver og ikkebalanceførte poster anvendes uden risikovægte eller risikograder, jf. artikel 389 i CRR. Kreditkonverteringsfaktorer anvendes ikke på ikkebalanceførte poster.</w:t>
      </w:r>
    </w:p>
    <w:p w14:paraId="1153F14F" w14:textId="56290BD7" w:rsidR="00B0191A" w:rsidRPr="0039317F" w:rsidRDefault="0039317F">
      <w:pPr>
        <w:pStyle w:val="InstructionsText2"/>
        <w:rPr>
          <w:rFonts w:eastAsia="Arial"/>
        </w:rPr>
      </w:pPr>
      <w:r>
        <w:t xml:space="preserve"> "Eksponeringer" er defineret i artikel 389 i CRR. </w:t>
      </w:r>
    </w:p>
    <w:p w14:paraId="5C5D28EE" w14:textId="704D223C" w:rsidR="00B0191A" w:rsidRPr="0039317F" w:rsidRDefault="00FE293E" w:rsidP="00E81BF0">
      <w:pPr>
        <w:pStyle w:val="InstructionsText2"/>
        <w:numPr>
          <w:ilvl w:val="1"/>
          <w:numId w:val="38"/>
        </w:numPr>
        <w:rPr>
          <w:rFonts w:eastAsia="Arial"/>
        </w:rPr>
      </w:pPr>
      <w:r>
        <w:t xml:space="preserve">Ved "eksponeringer" forstås enhver aktivpost eller ikkebalanceført post uden for handelsbeholdningen og i handelsbeholdningen, inklusive poster omhandlet i artikel 400 i CRR, men eksklusive poster omhandlet i artikel 390, stk. 6, litra </w:t>
      </w:r>
      <w:proofErr w:type="gramStart"/>
      <w:r>
        <w:t>a)-</w:t>
      </w:r>
      <w:proofErr w:type="gramEnd"/>
      <w:r>
        <w:t xml:space="preserve">d), i CRR. </w:t>
      </w:r>
    </w:p>
    <w:p w14:paraId="7CF82C5E" w14:textId="25CE0D89" w:rsidR="00B0191A" w:rsidRPr="0039317F" w:rsidRDefault="00AB5AE4" w:rsidP="00E81BF0">
      <w:pPr>
        <w:pStyle w:val="InstructionsText2"/>
        <w:numPr>
          <w:ilvl w:val="1"/>
          <w:numId w:val="38"/>
        </w:numPr>
        <w:rPr>
          <w:rFonts w:eastAsia="Arial"/>
        </w:rPr>
      </w:pPr>
      <w:r>
        <w:t xml:space="preserve">"indirekte eksponeringer" er de eksponeringer, der er henført til garantistilleren for eller udstederen af sikkerheden i stedet for den umiddelbare låntager, jf. artikel 403 i CRR. </w:t>
      </w:r>
      <w:r>
        <w:rPr>
          <w:i/>
        </w:rPr>
        <w:t>Disse definitioner må på ingen måde afvige fra definitionerne i basisretsakten.</w:t>
      </w:r>
    </w:p>
    <w:p w14:paraId="57CB004B" w14:textId="6CEA0075" w:rsidR="00B0191A" w:rsidRPr="0039317F" w:rsidRDefault="00F40CD9">
      <w:pPr>
        <w:pStyle w:val="InstructionsText2"/>
        <w:rPr>
          <w:rFonts w:eastAsia="Arial"/>
        </w:rPr>
      </w:pPr>
      <w:r>
        <w:t>Eksponeringerne mod grupper af indbyrdes forbundne kunder beregnes i overensstemmelse med artikel 390, stk. 1, i CRR.</w:t>
      </w:r>
    </w:p>
    <w:p w14:paraId="7BBA31D9" w14:textId="5C64993F" w:rsidR="002803FF" w:rsidRPr="00A947CE" w:rsidRDefault="008645CF">
      <w:pPr>
        <w:pStyle w:val="InstructionsText2"/>
        <w:rPr>
          <w:rFonts w:eastAsia="Arial"/>
        </w:rPr>
      </w:pPr>
      <w:r>
        <w:lastRenderedPageBreak/>
        <w:t>Det tillades, at "</w:t>
      </w:r>
      <w:proofErr w:type="spellStart"/>
      <w:r>
        <w:t>nettingaftaler</w:t>
      </w:r>
      <w:proofErr w:type="spellEnd"/>
      <w:r>
        <w:t xml:space="preserve">" tager hensyn til virkningerne af store eksponeringsværdier som fastsat i artikel 390, stk. 3, 4 og 5, i CRR. Eksponeringsværdien af derivatkontrakter opført i bilag II til CRR og af derivatkontrakter, der indgås direkte med en kunde, fastsættes i overensstemmelse med tredje del, afsnit II, kapitel 6, i CRR, idet der tages højde for virkningen af kontrakter om nyordning og andre </w:t>
      </w:r>
      <w:proofErr w:type="spellStart"/>
      <w:r>
        <w:t>nettingaftaler</w:t>
      </w:r>
      <w:proofErr w:type="spellEnd"/>
      <w:r>
        <w:t xml:space="preserve"> med henblik på anvendelsen af disse metoder i overensstemmelse med tredje del, afsnit II, kapitel 6, afdeling 3-5, i CRR. Eksponeringsværdien af genkøbstransaktioner, transaktioner vedrørende udlån eller indskud i værdipapirer eller råvarer, transaktioner med lang afviklingstid og margenlånetransaktioner kan fastsættes enten i overensstemmelse med tredje del, afsnit II, kapitel 4 eller 6 i CRR. Ifølge artikel 296 i CRR indberettes eksponeringsværdien af en enkelt retlig forpligtelse, der følger af en aftale om netting på tværs af produkter med det indberettende instituts modpart, som "andre forpligtelser" i LE-skemaerne.</w:t>
      </w:r>
    </w:p>
    <w:p w14:paraId="53B477A1" w14:textId="37E6D77A" w:rsidR="00AB28E2" w:rsidRPr="0039317F" w:rsidRDefault="001E0F83">
      <w:pPr>
        <w:pStyle w:val="InstructionsText2"/>
        <w:rPr>
          <w:rFonts w:eastAsia="Arial"/>
        </w:rPr>
      </w:pPr>
      <w:r>
        <w:t>"Eksponeringsværdien" beregnes i overensstemmelse med artikel 390 i CRR.</w:t>
      </w:r>
    </w:p>
    <w:p w14:paraId="4D5E3A46" w14:textId="4C88152A" w:rsidR="00B0191A" w:rsidRPr="0039317F" w:rsidRDefault="001E0F83">
      <w:pPr>
        <w:pStyle w:val="InstructionsText2"/>
        <w:rPr>
          <w:rFonts w:eastAsia="Arial"/>
        </w:rPr>
      </w:pPr>
      <w:r>
        <w:t xml:space="preserve">Virkningen af fuld eller delvis anvendelse af undtagelser og anerkendte kreditrisikoreduktionsteknikker i forbindelse med beregning af eksponeringer med henblik på artikel 395, stk. 1, i CRR er specificeret i artikel 399-403 i CRR. </w:t>
      </w:r>
    </w:p>
    <w:p w14:paraId="7DFEBC9B" w14:textId="10A786DF" w:rsidR="00B0191A" w:rsidRPr="00C16D53" w:rsidRDefault="002B6BEB" w:rsidP="00A55755">
      <w:pPr>
        <w:pStyle w:val="InstructionsText2"/>
        <w:rPr>
          <w:rFonts w:eastAsia="Arial"/>
        </w:rPr>
      </w:pPr>
      <w:r>
        <w:t>Institutterne indberetter eksponeringer, der følger af omvendte genkøbsaftaler, i overensstemmelse med artikel 402, stk. 3, i CRR. Hvis kriterierne i artikel 402, stk. 3, i CRR er opfyldt, skal instituttet indberette store eksponeringer mod tredjeparter, der svarer til størrelsen af den fordring, som modparten har på tredjeparten, i stedet for eksponeringens tilsvarende størrelse mod modparten.</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6" w:name="_Toc58337954"/>
      <w:r>
        <w:rPr>
          <w:rFonts w:ascii="Times New Roman" w:hAnsi="Times New Roman"/>
          <w:b/>
          <w:sz w:val="24"/>
          <w:u w:val="none"/>
        </w:rPr>
        <w:t>C 26.00 — Skema vedrørende begrænsninger for store eksponeringer (LE limits)</w:t>
      </w:r>
      <w:bookmarkEnd w:id="16"/>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7" w:name="_Toc58337955"/>
      <w:r>
        <w:rPr>
          <w:rFonts w:ascii="Times New Roman" w:hAnsi="Times New Roman"/>
          <w:sz w:val="24"/>
        </w:rPr>
        <w:t>Instrukser vedrørende specifikke rækker</w:t>
      </w:r>
      <w:bookmarkEnd w:id="17"/>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Rækker</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Henvisninger til retsakter og instrukser</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Ikkeinstitutter</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stk. 1, artikel 458, stk. 2, litra d), nr. ii), artikel 458, stk. 10, og artikel 459, litra b), i CRR.</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Størrelsen af den gældende grænse for andre modparter end institutter skal indberettes. Dette beløb er lig med 25 % af kernekapitalen, som indberettes i række 015 i skema C 01.00 i bilag I, medmindre en mere restriktiv procentdel finder anvendelse som følge af anvendelsen af nationale foranstaltninger i overensstemmelse med artikel 458 i CRR eller delegerede retsakter vedtaget i overensstemmelse med artikel 462 med henblik på de krav, der er omhandlet i artikel 459, litra b), i CRR.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Institutter</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395, stk. 1, artikel 458, stk. 2, litra d), nr. ii), artikel 458, stk. 10, og artikel 459, litra b), i CRR.</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Institutterne skal indberette størrelsen af den grænse, der finder anvendelse på modparter, der ikke er institutter. I henhold til artikel 395, stk. 1, i CRR skal dette beløb være følgende:</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Hvis de 25 % af kernekapitalen overstiger 150 mio. EUR (eller en lavere grænse end 150 mio. EUR fastsat af den kompetente myndighed i overensstemmelse med artikel 395, stk. 1, tredje afsnit, i CRR), indberettes 25 % af kernekapitalen.</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Hvis 150 mio. EUR (eller en lavere grænse fastsat af den kompetente myndighed i overensstemmelse med artikel 395, stk. 1, tredje afsnit, i CRR) overstiger 25 % af instituttets kernekapital, indberettes 150 mio. EUR (eller den lavere grænse fastsat af den kompetente myndighed). Hvis instituttet har fastsat en lavere grænse for kernekapitalen, jf. artikel 395, stk. 1, andet afsnit, i CRR, indberettes denne grænse.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grænser kan være strengere, hvis der anvendes nationale foranstaltninger i overensstemmelse med artikel 395, stk. 6, eller artikel 458 i CRR eller delegerede retsakter vedtaget i henhold til artikel 462 med henblik på de krav, der er omhandlet i artikel 459, litra b), i CRR.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Institutter i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stk. 1, og artikel 459, litra a), i CRR.</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Det indberettede beløb skal være den absolutte grænse (indberettet i række 020) udtrykt som en procentdel af kernekapitalen.</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Globale systemisk vigtige institutter (G-</w:t>
            </w:r>
            <w:proofErr w:type="spellStart"/>
            <w:r>
              <w:rPr>
                <w:rStyle w:val="InstructionsTabelleberschrift"/>
                <w:rFonts w:ascii="Times New Roman" w:hAnsi="Times New Roman"/>
                <w:sz w:val="24"/>
              </w:rPr>
              <w:t>SII'er</w:t>
            </w:r>
            <w:proofErr w:type="spellEnd"/>
            <w:r>
              <w:rPr>
                <w:rStyle w:val="InstructionsTabelleberschrift"/>
                <w:rFonts w:ascii="Times New Roman" w:hAnsi="Times New Roman"/>
                <w:sz w:val="24"/>
              </w:rPr>
              <w:t>)</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395, stk. 1, i CRR.</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Størrelsen af den grænse, der finder anvendelse på modparter, der ikke er institutter eller koncerner identificeret som et G-SII eller tredjelands-G-SII, indberettes. I henhold til artikel 395, stk. 1, i CRR skal denne grænse være følgende:</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Et G-SII må ikke indgå en eksponering mod et andet institut eller en anden koncern identificeret som et G-SII eller et tredjelands-G-SII, hvis værdi, efter at der er taget hensyn til virkningen af kreditrisikoreduktion, overstiger 15 % af dets kernekapital.</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8" w:name="_Toc58337956"/>
      <w:r>
        <w:rPr>
          <w:rFonts w:ascii="Times New Roman" w:hAnsi="Times New Roman"/>
          <w:b/>
          <w:sz w:val="24"/>
          <w:u w:val="none"/>
        </w:rPr>
        <w:lastRenderedPageBreak/>
        <w:t>C 27.00 — Identifikation af modparten (LE1)</w:t>
      </w:r>
      <w:bookmarkEnd w:id="18"/>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9" w:name="_Toc58337957"/>
      <w:r>
        <w:rPr>
          <w:rFonts w:ascii="Times New Roman" w:hAnsi="Times New Roman"/>
          <w:sz w:val="24"/>
        </w:rPr>
        <w:t>Instrukser vedrørende specifikke kolonner</w:t>
      </w:r>
      <w:bookmarkEnd w:id="1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Kolonne</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Henvisninger til retsakter og instrukser</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Identifikation af modpart:</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Institutterne skal indberette identifikationen af alle modparter, der indsendes oplysninger om i skema C 28.00 til C 29.00. Identifikationen af gruppen af indbyrdes forbundne kunder skal ikke indberettes, medmindre der i det nationale indberetningssystem findes en unik kode for gruppen af indbyrdes forbundne kunder.</w:t>
            </w:r>
          </w:p>
          <w:p w14:paraId="4122366B" w14:textId="6A8CDE8B" w:rsidR="00B0191A" w:rsidRDefault="003A7A4B">
            <w:pPr>
              <w:pStyle w:val="InstructionsText"/>
            </w:pPr>
            <w:r>
              <w:t>I henhold til artikel 394, stk. 1, tredje afsnit, i CRR skal institutterne indberette identiteten af den modpart, mod hvilken de har eksponeringer med en værdi, der overstiger eller er lig med 300 mio. EUR, men som udgør mindre end 10 % af deres kernekapital.</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henhold til artikel 394, stk. 1, litra a), i CRR skal institutter indberette identiteten af den modpart, de har en stor eksponering mod, jf. definitionen i artikel 392 i CRR.</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 henhold til artikel 394, stk. 2, litra a), i CRR skal institutter indberette identiteten af den modpart, de har de største eksponeringer mod (hvis modparten er et institut eller en enhed i skyggebanksektoren).</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Kode</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Koden som del af en ID-kode for rækken skal være unik for hver indberettet enhed. For institutter og forsikringsselskaber skal koden være LEI-koden. For andre enheder skal koden være LEI-koden, eller, hvis en sådan ikke foreligger, en national kode. Koden skal være unik og skal anvendes konsekvent i skemaerne og over tid. Koden skal altid have en værdi.</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Kodetype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Institutterne skal identificere den kode, der indberettes i kolonne 010, som en "LEI-kode" eller "ikke-LEI-kode".</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Kodetypen skal altid indberettes.</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Navn</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Navnet skal svare til navnet på gruppen, når der indberettes en gruppe af indbyrdes forbundne kunder. I andre tilfælde skal navnet svare til den enkelte modpart.</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For en gruppe af indbyrdes forbundne kunder skal det indberettede navn være navnet på moderselskabet eller gruppens forretningsmæssige navn.</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National kode</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Institutterne kan også indberette den nationale kode, hvis de indberetter LEI-koden som ID-kode i "Kode"-kolonnen.</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Modpartens hjemsted</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ISO-koden 3166-1-alpha-2 for det land, hvor modparten har sit hovedsæde, anvendes (herunder </w:t>
            </w:r>
            <w:proofErr w:type="spellStart"/>
            <w:r>
              <w:rPr>
                <w:rStyle w:val="FormatvorlageInstructionsTabelleText"/>
                <w:rFonts w:ascii="Times New Roman" w:hAnsi="Times New Roman"/>
                <w:sz w:val="24"/>
              </w:rPr>
              <w:t>pseudo</w:t>
            </w:r>
            <w:proofErr w:type="spellEnd"/>
            <w:r>
              <w:rPr>
                <w:rStyle w:val="FormatvorlageInstructionsTabelleText"/>
                <w:rFonts w:ascii="Times New Roman" w:hAnsi="Times New Roman"/>
                <w:sz w:val="24"/>
              </w:rPr>
              <w:t xml:space="preserve">-ISO-koder for internationale organisationer, som er anført i den seneste udgave af Eurostats "Balance of Payments Vademecum").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For grupper af indbyrdes forbundne kunder indberettes intet hovedsæde.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Modpartens sektor</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skal tildeles én sektor til hver modpart på grundlag af de økonomiske sektorer i FINREP, bilag V, del 1, punkt 42, og andre finansielle selskaber inddeles i investeringsselskaber og andre finansielle selskaber som følger:</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centralbanker</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offentlig forvaltning og service</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kreditinstitutter</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investeringsselskaber som defineret i artikel 4, stk. 1, nr. 2), i CRR.</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andre finansielle selskaber (undtagen investeringsselskaber)</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ikkefinansielle selskaber</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husholdninger.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For grupper af indbyrdes forbundne kunder indberettes ingen sektor.</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NACE-kode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 den økonomiske sektor anvendes NACE-koderne (</w:t>
            </w:r>
            <w:proofErr w:type="spellStart"/>
            <w:r>
              <w:rPr>
                <w:rStyle w:val="FormatvorlageInstructionsTabelleText"/>
                <w:rFonts w:ascii="Times New Roman" w:hAnsi="Times New Roman"/>
                <w:sz w:val="24"/>
              </w:rPr>
              <w:t>Nomenclature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statistique</w:t>
            </w:r>
            <w:proofErr w:type="spellEnd"/>
            <w:r>
              <w:rPr>
                <w:rStyle w:val="FormatvorlageInstructionsTabelleText"/>
                <w:rFonts w:ascii="Times New Roman" w:hAnsi="Times New Roman"/>
                <w:sz w:val="24"/>
              </w:rPr>
              <w:t xml:space="preserve"> des </w:t>
            </w:r>
            <w:proofErr w:type="spellStart"/>
            <w:r>
              <w:rPr>
                <w:rStyle w:val="FormatvorlageInstructionsTabelleText"/>
                <w:rFonts w:ascii="Times New Roman" w:hAnsi="Times New Roman"/>
                <w:sz w:val="24"/>
              </w:rPr>
              <w:t>activités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économiques</w:t>
            </w:r>
            <w:proofErr w:type="spellEnd"/>
            <w:r>
              <w:rPr>
                <w:rStyle w:val="FormatvorlageInstructionsTabelleText"/>
                <w:rFonts w:ascii="Times New Roman" w:hAnsi="Times New Roman"/>
                <w:sz w:val="24"/>
              </w:rPr>
              <w:t xml:space="preserve"> dans </w:t>
            </w:r>
            <w:proofErr w:type="spellStart"/>
            <w:r>
              <w:rPr>
                <w:rStyle w:val="FormatvorlageInstructionsTabelleText"/>
                <w:rFonts w:ascii="Times New Roman" w:hAnsi="Times New Roman"/>
                <w:sz w:val="24"/>
              </w:rPr>
              <w:t>l'Union</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européenne</w:t>
            </w:r>
            <w:proofErr w:type="spellEnd"/>
            <w:r>
              <w:rPr>
                <w:rStyle w:val="FormatvorlageInstructionsTabelleText"/>
                <w:rFonts w:ascii="Times New Roman" w:hAnsi="Times New Roman"/>
                <w:sz w:val="24"/>
              </w:rPr>
              <w:t xml:space="preserve"> = statistisk nomenklatur for økonomiske aktiviteter i Den Europæiske Union).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Denne kolonne anvendes kun i forbindelse med modparterne "Andre finansielle selskaber (undtagen investeringsselskaber)" og "Ikkefinansielle selskaber". NACE-koder anvendes for "Ikkefinansielle selskaber" med et opdelingsniveau (f.eks. "F — Bygge- og anlægsvirksomhed") og for "Andre finansielle selskaber (undtagen investeringsselskaber)" med to opdelingsniveauer, der giver separate oplysninger om forsikringsaktiviteter (f.eks. "K65 — Forsikring, genforsikring og pensionsforsikring undtagen lovpligtig socialforsikring)".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økonomiske sektorer "Andre finansielle selskaber (undtagen investeringsselskaber)" og "Ikkefinansielle selskaber" udledes af </w:t>
            </w:r>
            <w:proofErr w:type="spellStart"/>
            <w:r>
              <w:rPr>
                <w:rStyle w:val="FormatvorlageInstructionsTabelleText"/>
                <w:rFonts w:ascii="Times New Roman" w:hAnsi="Times New Roman"/>
                <w:sz w:val="24"/>
              </w:rPr>
              <w:t>FINREP's</w:t>
            </w:r>
            <w:proofErr w:type="spellEnd"/>
            <w:r>
              <w:rPr>
                <w:rStyle w:val="FormatvorlageInstructionsTabelleText"/>
                <w:rFonts w:ascii="Times New Roman" w:hAnsi="Times New Roman"/>
                <w:sz w:val="24"/>
              </w:rPr>
              <w:t xml:space="preserve"> opdeling af modparter.</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For grupper af indbyrdes forbundne kunder indberettes ingen NACE-kode.</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Modpartens type </w:t>
            </w:r>
          </w:p>
          <w:p w14:paraId="3522A370" w14:textId="4BC97512" w:rsidR="00B0191A" w:rsidRPr="00384ADB" w:rsidRDefault="00965DED">
            <w:pPr>
              <w:pStyle w:val="InstructionsText"/>
              <w:rPr>
                <w:rFonts w:eastAsia="Arial"/>
              </w:rPr>
            </w:pPr>
            <w:r>
              <w:t xml:space="preserve">Artikel 394, stk. 2, i CRR.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Modpartens type for de 10 største eksponeringer mod institutter og de 10 største eksponeringer mod enheder i skyggebanksektoren skal angives med "I" for institutter og "S" for enheder i skyggebanksektoren, som udfører bankvirksomhed uden for de regulerede rammer.</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20" w:name="_Toc58337958"/>
      <w:r>
        <w:rPr>
          <w:rFonts w:ascii="Times New Roman" w:hAnsi="Times New Roman"/>
          <w:b/>
          <w:sz w:val="24"/>
          <w:u w:val="none"/>
        </w:rPr>
        <w:t>C 28.00 — Eksponeringer uden for handelsbeholdningen og i handelsbeholdningen (LE2)</w:t>
      </w:r>
      <w:bookmarkEnd w:id="20"/>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1" w:name="_Toc310414968"/>
      <w:bookmarkStart w:id="22" w:name="_Toc58337959"/>
      <w:r>
        <w:rPr>
          <w:rFonts w:ascii="Times New Roman" w:hAnsi="Times New Roman"/>
          <w:sz w:val="24"/>
        </w:rPr>
        <w:t>Instrukser vedrørende specifikke kolonner</w:t>
      </w:r>
      <w:bookmarkStart w:id="23" w:name="_Toc308175821"/>
      <w:bookmarkEnd w:id="23"/>
      <w:bookmarkEnd w:id="21"/>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Kolonne</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Henvisninger til retsakter og instrukser</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Kode</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der findes en unik kode på nationalt plan for en gruppe af indbyrdes forbundne kunder, skal denne kode indberettes som koden for gruppen af indbyrdes forbundne kunder. Hvis der ikke findes en unik kode på nationalt plan, indberettes koden i C 27.00 for moderselskabet.</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gruppen af indbyrdes forbundne kunder ikke har et moderselskab, skal den indberettede kode være koden for den enhed, der efter instituttets vurdering er den mest betydningsfulde i gruppen af indbyrdes forbundne kunder. I andre tilfælde skal koden svare til den enkelte modpart.</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Koderne skal anvendes konsistent over tid.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Sammensætningen af koden afhænger af det nationale indberetningssystem, medmindre der er fastsat ensartede koder på EU-plan.</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Gruppe eller enkelt kunde</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Instituttet skal angive "1", hvis indberetningen vedrører eksponeringer mod enkelte kunder, og "2", hvis indberetningen vedrører eksponeringer mod grupper af indbyrdes forbundne kunder.</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Transaktioner med eksponering mod underliggende aktiver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 stk. 7, i CRR.</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 overensstemmelse med yderligere tekniske specifikationer udstedt af nationale kompetente myndigheder angives "Ja", hvis instituttet har eksponeringer mod den indberettede modpart via en transaktion med eksponering mod underliggende aktiver. Ellers indberettes "Nej".</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Oprindelige eksponeringer</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t>Artikel 24, 389, 390 og 392 i CRR.</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 denne serie af kolonner skal instituttet indberette de oprindelige eksponeringer, for så vidt angår direkte og indirekte eksponeringer, samt yderligere eksponeringer, der opstår som følge af transaktioner med eksponering mod underliggende aktiver.</w:t>
            </w:r>
          </w:p>
          <w:p w14:paraId="5AC53BEE" w14:textId="08BE159D" w:rsidR="00B0191A" w:rsidRPr="0039317F" w:rsidRDefault="00BB3751">
            <w:pPr>
              <w:pStyle w:val="InstructionsText"/>
            </w:pPr>
            <w:r>
              <w:t xml:space="preserve">I henhold til artikel 389 i CRR anvendes aktiver og ikkebalanceførte poster uden risikovægte eller risikograder. Kreditkonverteringsfaktorer anvendes ikke på ikkebalanceførte poster.  </w:t>
            </w:r>
          </w:p>
          <w:p w14:paraId="17E569B0" w14:textId="77777777" w:rsidR="00B0191A" w:rsidRPr="0039317F" w:rsidRDefault="00BB3751">
            <w:pPr>
              <w:pStyle w:val="InstructionsText"/>
            </w:pPr>
            <w:r>
              <w:t>Disse kolonner skal indeholde den oprindelige eksponering, dvs. eksponeringsværdien uden hensyntagen til værdijusteringer og hensættelser, som fratrækkes i kolonne 210.</w:t>
            </w:r>
          </w:p>
          <w:p w14:paraId="397949C7" w14:textId="23DDEC15" w:rsidR="00B0191A" w:rsidRPr="0039317F" w:rsidRDefault="00C92E09">
            <w:pPr>
              <w:pStyle w:val="InstructionsText"/>
            </w:pPr>
            <w:r>
              <w:t>Definitionen og beregningen af eksponeringsværdien er fastsat i artikel 389 og 390 i CRR. Værdiansættelsen af aktiver og ikkebalanceførte poster foretages i overensstemmelse med de regnskabsregler, som instituttet er omfattet af, jf. artikel 24 i CRR.</w:t>
            </w:r>
          </w:p>
          <w:p w14:paraId="71173893" w14:textId="18C285D4" w:rsidR="00B0191A" w:rsidRPr="0039317F" w:rsidRDefault="00BB3751">
            <w:pPr>
              <w:pStyle w:val="InstructionsText"/>
            </w:pPr>
            <w:r>
              <w:t>Eksponeringer, der fratrækkes egentlige kernekapitalposter eller hybride kernekapitalposter, som ikke er eksponeringer som omhandlet i artikel 390, stk. 6, litra e), i CRR, skal angives i disse kolonner. Disse eksponeringer fratrækkes i kolonne 200.</w:t>
            </w:r>
          </w:p>
          <w:p w14:paraId="22E24408" w14:textId="07366094" w:rsidR="00B0191A" w:rsidRPr="0039317F" w:rsidRDefault="00BB3751">
            <w:pPr>
              <w:pStyle w:val="InstructionsText"/>
            </w:pPr>
            <w:r>
              <w:t xml:space="preserve">De i artikel 390, stk. 6, litra </w:t>
            </w:r>
            <w:proofErr w:type="gramStart"/>
            <w:r>
              <w:t>a)-</w:t>
            </w:r>
            <w:proofErr w:type="gramEnd"/>
            <w:r>
              <w:t xml:space="preserve">d), i CRR omhandlede eksponeringer angives ikke i disse kolonner. </w:t>
            </w:r>
          </w:p>
          <w:p w14:paraId="3096B4AE" w14:textId="0C8FCDBE" w:rsidR="00B0191A" w:rsidRPr="0039317F" w:rsidRDefault="00BB3751">
            <w:pPr>
              <w:pStyle w:val="InstructionsText"/>
              <w:rPr>
                <w:rFonts w:eastAsia="Arial"/>
              </w:rPr>
            </w:pPr>
            <w:r>
              <w:t>Oprindelige eksponeringer skal omfatte alle aktiver og ikkebalanceførte poster. Undtagelserne i artikel 400 i CRR fratrækkes med henblik på artikel 395, stk. 1, i CRR i kolonne 320.</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Eksponeringer uden for handelsbeholdningen og i handelsbeholdningen medtages.</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Nettopositionen beregnet i overensstemmelse med artikel 390, stk. 3, litra b), i CRR skal indberettes som direkte eksponering og angives i den kolonne (060 eller 070 eller 080), der svarer til typen af dominerende instrument.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dominerende instrument bestemmes på grundlag af værdien af nettopositionen i hver instrumenttype.</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Med henblik på opdelingen af eksponeringerne i finansielle instrumenter, hvor forskellige eksponeringer, der følger af </w:t>
            </w:r>
            <w:proofErr w:type="spellStart"/>
            <w:r>
              <w:rPr>
                <w:rStyle w:val="InstructionsTabelleberschrift"/>
                <w:rFonts w:ascii="Times New Roman" w:hAnsi="Times New Roman"/>
                <w:b w:val="0"/>
                <w:sz w:val="24"/>
                <w:u w:val="none"/>
              </w:rPr>
              <w:t>nettingaftaler</w:t>
            </w:r>
            <w:proofErr w:type="spellEnd"/>
            <w:r>
              <w:rPr>
                <w:rStyle w:val="InstructionsTabelleberschrift"/>
                <w:rFonts w:ascii="Times New Roman" w:hAnsi="Times New Roman"/>
                <w:b w:val="0"/>
                <w:sz w:val="24"/>
                <w:u w:val="none"/>
              </w:rPr>
              <w:t xml:space="preserve">, udgør en enkelt eksponering, henføres sidstnævnte til det finansielle instrument, der svarer til hovedaktivet i </w:t>
            </w:r>
            <w:proofErr w:type="spellStart"/>
            <w:r>
              <w:rPr>
                <w:rStyle w:val="InstructionsTabelleberschrift"/>
                <w:rFonts w:ascii="Times New Roman" w:hAnsi="Times New Roman"/>
                <w:b w:val="0"/>
                <w:sz w:val="24"/>
                <w:u w:val="none"/>
              </w:rPr>
              <w:t>nettingaftalen</w:t>
            </w:r>
            <w:proofErr w:type="spellEnd"/>
            <w:r>
              <w:rPr>
                <w:rStyle w:val="InstructionsTabelleberschrift"/>
                <w:rFonts w:ascii="Times New Roman" w:hAnsi="Times New Roman"/>
                <w:b w:val="0"/>
                <w:sz w:val="24"/>
                <w:u w:val="none"/>
              </w:rPr>
              <w:t xml:space="preserve"> (jf. desuden indledningen).</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Oprindelig eksponering i alt</w:t>
            </w:r>
          </w:p>
          <w:p w14:paraId="6F58333F" w14:textId="13E14BE1" w:rsidR="00B0191A" w:rsidRPr="00384ADB" w:rsidRDefault="00BB3751">
            <w:pPr>
              <w:pStyle w:val="InstructionsText"/>
              <w:rPr>
                <w:rStyle w:val="FormatvorlageInstructionsTabelleText"/>
                <w:rFonts w:ascii="Times New Roman" w:hAnsi="Times New Roman"/>
                <w:b/>
                <w:sz w:val="24"/>
              </w:rPr>
            </w:pPr>
            <w:r>
              <w:t>Instituttet skal indberette summen af direkte eksponeringer og indirekte eksponeringer samt yderligere eksponeringer, der opstår som følge af transaktioner med eksponering mod underliggende aktiver.</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misligholdte</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178 i CRR.</w:t>
            </w:r>
          </w:p>
          <w:p w14:paraId="71C47675" w14:textId="7AE29748" w:rsidR="00B0191A" w:rsidRPr="00384ADB" w:rsidRDefault="009B2EE9">
            <w:pPr>
              <w:pStyle w:val="InstructionsText"/>
              <w:rPr>
                <w:rStyle w:val="FormatvorlageInstructionsTabelleText"/>
                <w:rFonts w:ascii="Times New Roman" w:hAnsi="Times New Roman"/>
                <w:b/>
                <w:sz w:val="24"/>
              </w:rPr>
            </w:pPr>
            <w:r>
              <w:t>Instituttet skal indberette den del af den samlede oprindelige eksponering, der svarer til de misligholdte eksponeringer.</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Direkte eksponeringer</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Direkte eksponeringer er eksponeringer med udgangspunkt i den "umiddelbare låntager".</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Gældsinstrumenter</w:t>
            </w:r>
          </w:p>
          <w:p w14:paraId="0D12347B" w14:textId="67C87B7B" w:rsidR="00B0191A" w:rsidRPr="0039317F" w:rsidRDefault="00193DDC">
            <w:pPr>
              <w:pStyle w:val="InstructionsText"/>
            </w:pPr>
            <w:r>
              <w:t>Forordning (EU) nr. 1071/2013 ("ECB/2013/33"), bilag II, del 2, tabel, kategori 2 og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Gældsinstrumenter skal omfatte gældsbeviser samt lån og forskud.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Instrumenterne i denne kolonne skal være instrumenter i kategorien "udlån med en oprindelig løbetid på til og med 1 år/over 1 år og til og med 5 år/over 5 år" eller "gældsværdipapirer" i henhold til ECB/2013/33.</w:t>
            </w:r>
          </w:p>
          <w:p w14:paraId="1B8742FC" w14:textId="62D50E44" w:rsidR="00B0191A" w:rsidRPr="00384ADB" w:rsidRDefault="00D95A62">
            <w:pPr>
              <w:pStyle w:val="InstructionsText"/>
              <w:rPr>
                <w:rStyle w:val="FormatvorlageInstructionsTabelleText"/>
                <w:rFonts w:ascii="Times New Roman" w:hAnsi="Times New Roman"/>
                <w:b/>
                <w:sz w:val="24"/>
              </w:rPr>
            </w:pPr>
            <w:r>
              <w:t>Genkøbstransaktioner, transaktioner vedrørende ud- eller indlån af værdipapirer eller råvarer (værdipapirfinansieringstransaktioner) og margenlånetransaktioner indberettes i denne kolonne.</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Aktieinstrumenter</w:t>
            </w:r>
          </w:p>
          <w:p w14:paraId="3C984462" w14:textId="61E69BD9" w:rsidR="00B0191A" w:rsidRPr="0039317F" w:rsidRDefault="00DF008D">
            <w:pPr>
              <w:pStyle w:val="InstructionsText"/>
            </w:pPr>
            <w:r>
              <w:t>ECB/2013/33, bilag II, del 2, tabel, kategori 4 og 5</w:t>
            </w:r>
          </w:p>
          <w:p w14:paraId="419B07BA" w14:textId="7CD79157" w:rsidR="00B0191A" w:rsidRPr="00384ADB" w:rsidRDefault="00BB3751">
            <w:pPr>
              <w:pStyle w:val="InstructionsText"/>
              <w:rPr>
                <w:rStyle w:val="FormatvorlageInstructionsTabelleText"/>
                <w:rFonts w:ascii="Times New Roman" w:hAnsi="Times New Roman"/>
                <w:b/>
                <w:sz w:val="24"/>
              </w:rPr>
            </w:pPr>
            <w:r>
              <w:t>Instrumenterne i denne kolonne skal være i kategorien "ejerandele" eller "aktier/andele i investeringsforeninger" i overensstemmelse med ECB/2013/33.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Derivater </w:t>
            </w:r>
          </w:p>
          <w:p w14:paraId="17102042" w14:textId="51CDA1FC" w:rsidR="00B0191A" w:rsidRPr="0039317F" w:rsidRDefault="00BB3751">
            <w:pPr>
              <w:pStyle w:val="InstructionsText"/>
            </w:pPr>
            <w:r>
              <w:t>Artikel 272, stk. 2, og bilag II til CRR.</w:t>
            </w:r>
          </w:p>
          <w:p w14:paraId="342DBEF7" w14:textId="2BF427FB" w:rsidR="00B0191A" w:rsidRPr="0039317F" w:rsidRDefault="009E58B0">
            <w:pPr>
              <w:pStyle w:val="InstructionsText"/>
            </w:pPr>
            <w:r>
              <w:t>De instrumenter, der skal indberettes i denne kolonne, omfatter de derivater, der er anført i bilag II til CRR, og terminsforretninger som defineret i artikel 272, stk. 2, i CRR.</w:t>
            </w:r>
          </w:p>
          <w:p w14:paraId="5DE2DBE3" w14:textId="50AE93A3" w:rsidR="00B0191A" w:rsidRPr="00384ADB" w:rsidRDefault="00BB3751">
            <w:pPr>
              <w:pStyle w:val="InstructionsText"/>
              <w:rPr>
                <w:rStyle w:val="FormatvorlageInstructionsTabelleText"/>
                <w:rFonts w:ascii="Times New Roman" w:hAnsi="Times New Roman"/>
                <w:sz w:val="24"/>
              </w:rPr>
            </w:pPr>
            <w:r>
              <w:t>Kreditderivater, der er udsat for modpartsrisiko, indberettes i denne kolonne.</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Ikkebalanceførte poster</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Bilag I til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Den indberettede værdi skal være den nominelle værdi inden specifikke kreditrisikojusteringer og uden anvendelse af konverteringsfaktorer.</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Lånetilsagn</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Bilag I, punkt 1, litra c) og h), punkt 2, litra b), nr. ii), punkt 3, litra b), nr. i), og punkt 4, litra a), i CRR. </w:t>
            </w:r>
          </w:p>
          <w:p w14:paraId="55D0FD19" w14:textId="16139D2E" w:rsidR="00B0191A" w:rsidRPr="00384ADB" w:rsidRDefault="00BB3751">
            <w:pPr>
              <w:pStyle w:val="InstructionsText"/>
              <w:rPr>
                <w:rStyle w:val="FormatvorlageInstructionsTabelleText"/>
                <w:rFonts w:ascii="Times New Roman" w:hAnsi="Times New Roman"/>
                <w:sz w:val="24"/>
              </w:rPr>
            </w:pPr>
            <w:r>
              <w:t>Lånetilsagn er faste forpligtelser til at yde kredit på forhåndsfastlagte vilkår og betingelser, med undtagelse af derivater, fordi de kan afregnes netto kontant ved at levere eller udstede et andet finansielt instrument.</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Finansielle garantier</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Bilag I, punkt 1, litra a), b) og f), i CRR.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Finansielle garantier er kontrakter, som kræver, at udsteder betaler bestemte beløb som godtgørelse til indehaveren for et tab, som denne pådrager sig, fordi en bestemt debitor ikke foretager rettidig betaling i henhold til de oprindelige eller ændrede vilkår for et gældsinstrument. Kreditderivater, der ikke er anført i kolonnen "derivater", indberettes i denne kolonne.</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forpligtelser</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 xml:space="preserve">Andre forpligtelser er punkterne i bilag I til CRR, som ikke er anført i de tidligere kategorier. </w:t>
            </w:r>
            <w:r>
              <w:rPr>
                <w:rFonts w:ascii="Times New Roman" w:hAnsi="Times New Roman"/>
                <w:sz w:val="24"/>
              </w:rPr>
              <w:t>Eksponeringsværdien af en enkelt retlig forpligtelse, der følger af en aftale om netting på tværs af produkter med det indberettende instituts modpart, indberettes i denne kolonne.</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Indirekte eksponeringer</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Artikel 403 i CRR.</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t>I henhold til artikel 403 i CRR skal et kreditinstitut benytte substitutionsmetoden, hvis tredjemand har stillet sikkerhed for en eksponering mod en kunde, eller hvis en sådan eksponering er sikret ved sikkerhedsstillelse udstedt af tredjemand.</w:t>
            </w:r>
            <w:r>
              <w:rPr>
                <w:rStyle w:val="InstructionsTabelleberschrift"/>
                <w:rFonts w:ascii="Times New Roman" w:hAnsi="Times New Roman"/>
                <w:b w:val="0"/>
                <w:sz w:val="24"/>
                <w:u w:val="none"/>
              </w:rPr>
              <w:t xml:space="preserve">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Instituttet skal i denne blok af kolonner indberette størrelsen af de direkte eksponeringer, der tildeles garantistilleren eller udstederen af sikkerhedsstillelsen, såfremt sidstnævnte tildeles en tilsvarende eller lavere risikovægt end den risikovægt, der skulle anvendes på tredjemanden i henhold til tredje del, afsnit II, kapitel 2, i CRR. I tilfælde af eksponeringer, der er sikret ved sikkerhedsstillelse udstedt af tredjepart, findes der en alternativ behandling i artikel 403, stk. 3.</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beskyttede oprindelige referenceeksponering (direkte eksponering) skal trækkes fra eksponeringen mod den oprindelige låntager i kolonnerne for "Anerkendte kreditrisikoreduktionsteknikker". Den indirekte eksponering skal øge eksponeringen mod garantistilleren eller udstederen af sikkerhedsstillelsen via substitutionsvirkningen. Dette gælder også for garantier, der gives inden for en gruppe af indbyrdes forbundne kunder.</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Instituttet skal indberette den oprindelige størrelse af de indirekte eksponeringer i den kolonne, der svarer til den type direkte eksponering, der er garanteret eller sikret ved sikkerhedsstillelse. Når den garanterede direkte eksponering er et gældsinstrument, skal størrelsen af den "Indirekte eksponering", der tildeles garantistilleren, f.eks. indberettes i kolonnen "Gældsinstrumenter".</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Eksponeringer, der opstår som følge af </w:t>
            </w:r>
            <w:proofErr w:type="spellStart"/>
            <w:r>
              <w:rPr>
                <w:rStyle w:val="InstructionsTabelleberschrift"/>
                <w:rFonts w:ascii="Times New Roman" w:hAnsi="Times New Roman"/>
                <w:b w:val="0"/>
                <w:sz w:val="24"/>
                <w:u w:val="none"/>
              </w:rPr>
              <w:t>credit</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linked</w:t>
            </w:r>
            <w:proofErr w:type="spellEnd"/>
            <w:r>
              <w:rPr>
                <w:rStyle w:val="InstructionsTabelleberschrift"/>
                <w:rFonts w:ascii="Times New Roman" w:hAnsi="Times New Roman"/>
                <w:b w:val="0"/>
                <w:sz w:val="24"/>
                <w:u w:val="none"/>
              </w:rPr>
              <w:t xml:space="preserve"> notes, indberettes i denne blok af kolonner i henhold til artikel 399 i CRR.</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Gældsinstrumenter</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Aktieinstrumenter</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kolonne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Derivater</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Se kolonne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Ikkebalanceførte poster</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Værdien af disse kolonner skal være den nominelle værdi inden specifikke kreditrisikojusteringer og uden anvendelse af konverteringsfaktorer.</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Lånetilsagn</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Finansielle garantier</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forpligtelser</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Yderligere eksponeringer, der opstår som følge af transaktioner med eksponering mod underliggende aktiver</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390, stk. 7, i CRR.</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Yderligere eksponeringer, der opstår som følge af transaktioner med eksponering mod underliggende aktiver.</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Værdijusteringer og hensættelser</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Artikel 34, 24, 110 og 111 i CRR</w:t>
            </w:r>
          </w:p>
          <w:p w14:paraId="4F6275C0" w14:textId="77777777" w:rsidR="00BB3751" w:rsidRPr="00392993"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Værdijusteringer og hensættelser anført i de tilsvarende regnskabsregler (direktiv 86/635/EØF eller forordning (EF) nr. 1606/2002), som påvirker værdiansættelsen af eksponeringer, fastsættes i overensstemmelse med artikel 24 og 110 i CRR.</w:t>
            </w:r>
            <w:r>
              <w:rPr>
                <w:rFonts w:ascii="Times New Roman" w:hAnsi="Times New Roman"/>
              </w:rPr>
              <w:t xml:space="preserve"> </w:t>
            </w:r>
          </w:p>
          <w:p w14:paraId="79E96BBA" w14:textId="77777777" w:rsidR="00BB3751" w:rsidRPr="00392993"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Værdijusteringer og hensættelser mod bruttoeksponeringen i kolonne 040 indberettes i denne kolonne.</w:t>
            </w:r>
          </w:p>
          <w:p w14:paraId="6A02D374" w14:textId="77777777" w:rsidR="00BB3751" w:rsidRPr="00392993"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Eksponeringer, der fratrækkes kernekapitalposter eller hybride kernekapitalposter</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Artikel 390, stk. 6, litra e), i CRR.</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Eksponeringer, der fratrækkes kernekapitalposter eller hybride kernekapitalposter, som skal angives i de forskellige kolonner for oprindelig eksponering i alt, indberettes.</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Eksponeringsværdi før anvendelse af undtagelser og kreditrisikoreduktion</w:t>
            </w:r>
          </w:p>
          <w:p w14:paraId="3CD948DF" w14:textId="157DE6DA" w:rsidR="00BB3751" w:rsidRPr="00384ADB" w:rsidRDefault="00BB3751">
            <w:pPr>
              <w:pStyle w:val="InstructionsText"/>
            </w:pPr>
            <w:r>
              <w:t>Artikel 394, stk. 1, litra b), i CRR.</w:t>
            </w:r>
          </w:p>
          <w:p w14:paraId="09B6F993" w14:textId="1A0DFE0F" w:rsidR="00BB3751" w:rsidRPr="00384ADB" w:rsidRDefault="008A4511">
            <w:pPr>
              <w:pStyle w:val="InstructionsText"/>
              <w:rPr>
                <w:rStyle w:val="InstructionsTabelleberschrift"/>
                <w:rFonts w:ascii="Times New Roman" w:hAnsi="Times New Roman"/>
                <w:sz w:val="24"/>
              </w:rPr>
            </w:pPr>
            <w:r>
              <w:t>Institutterne skal indberette eksponeringsværdien inden hensyntagen til virkningen af evt. kreditrisikoreduktion.</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 alt</w:t>
            </w:r>
          </w:p>
          <w:p w14:paraId="1BEC7AF8" w14:textId="77777777" w:rsidR="00BB3751" w:rsidRPr="0039317F" w:rsidRDefault="00BB3751">
            <w:pPr>
              <w:pStyle w:val="InstructionsText"/>
            </w:pPr>
            <w:r>
              <w:t>Den eksponeringsværdi, der indberettes i denne kolonne, skal være det beløb, der bruges til at bestemme, om en eksponering er en stor eksponering i henhold til definitionen i artikel 392 i CRR.</w:t>
            </w:r>
          </w:p>
          <w:p w14:paraId="5F3ED5A5" w14:textId="72A2528D" w:rsidR="00B0191A" w:rsidRPr="00384ADB" w:rsidRDefault="00BB3751">
            <w:pPr>
              <w:pStyle w:val="InstructionsText"/>
              <w:rPr>
                <w:rStyle w:val="FormatvorlageInstructionsTabelleText"/>
                <w:rFonts w:ascii="Times New Roman" w:hAnsi="Times New Roman"/>
                <w:b/>
                <w:sz w:val="24"/>
              </w:rPr>
            </w:pPr>
            <w:r>
              <w:t>Dette omfatter den oprindelige eksponering efter fratrækning af værdijusteringer og hensættelser og størrelsen af eksponeringer fratrukket kernekapitalposter eller hybride kernekapitalposter.</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Uden for handelsbeholdningen</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Beløbet uden for handelsbehandlingen af den samlede eksponering inden undtagelser og kreditrisikoreduktion.</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af kernekapital</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Fonts w:ascii="Times New Roman" w:hAnsi="Times New Roman"/>
                <w:sz w:val="24"/>
              </w:rPr>
              <w:t>Artikel 392 og 395 i CRR.</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Det indberettede beløb skal være andelen af eksponeringsværdien inden anvendelse af undtagelser og kreditrisikoreduktion i forbindelse med instituttets kernekapital som defineret i artikel 25 CRR.</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Anerkendte kreditrisikoreduktionsteknikker</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Artikel 399 og artikel 401-403 i CRR. </w:t>
            </w:r>
            <w:r>
              <w:rPr>
                <w:rStyle w:val="FormatvorlageInstructionsTabelleText"/>
                <w:rFonts w:ascii="Times New Roman" w:hAnsi="Times New Roman"/>
                <w:sz w:val="24"/>
              </w:rPr>
              <w:t>Kreditrisikoreduktionsteknikker som defineret i artikel 4, stk. 1, nr. 57), i CRR.</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De kreditrisikoreduktionsteknikker, der er anerkendt i tredje del, afsnit II, kapitel 3 og 4, i CRR, anvendes i overensstemmelse med artikel 401-403 i CRR.</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Kreditrisikoreduktionsteknikker kan have tre forskellige virkninger i LE-systemet: substitutionsvirkning; finansieret kreditrisikoafdækning med fradrag af substitutionsvirkningen og beregninger i forbindelse med fast ejendom.</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Substitutionsvirkning af anerkendte kreditrisikoreduktionsteknikker</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t>Artikel 403 i CRR.</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t>Størrelsen af finansieret og ikkefinansieret kreditafdækning, som skal indberettes i disse kolonner, skal svare til de eksponeringer, der er garanteret af tredjepart eller sikret ved sikkerhedsstillelse udstedt af tredjepart, hvis instituttet beslutter at behandle den del af eksponeringen, hvor sikkerhedsstillelsen eller garantien er dækket af markedsværdien af anerkendt sikkerhedsstillelse, som opstået hos garantistilleren eller udstederen af sikkerhedsstillelse.</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Gældsinstrumenter</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Aktieinstrumenter</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kolonne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Derivater</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Ikkebalanceførte poster</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Værdien af disse kolonner angives uden anvendelse af konverteringsfaktorer.</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Lånetilsagn</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Finansielle garantier</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Andre forpligtelser</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kolonne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Finansieret kreditrisikoafdækning med fradrag af substitutionsvirkningen</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401 i CRR.</w:t>
            </w:r>
          </w:p>
          <w:p w14:paraId="20CD461E" w14:textId="1B68F208" w:rsidR="00B0191A" w:rsidRDefault="0054768B">
            <w:pPr>
              <w:pStyle w:val="InstructionsText"/>
              <w:rPr>
                <w:rStyle w:val="InstructionsTabelleberschrift"/>
                <w:rFonts w:ascii="Times New Roman" w:hAnsi="Times New Roman"/>
                <w:b w:val="0"/>
                <w:sz w:val="24"/>
                <w:u w:val="none"/>
              </w:rPr>
            </w:pPr>
            <w:r>
              <w:lastRenderedPageBreak/>
              <w:t>Instituttet skal indberette størrelsen af finansieret kreditrisikoafdækning som defineret i artikel 4, stk. 1, nr. 58), i CRR, som fratrækkes eksponeringsværdien som følge af anvendelsen af artikel 401 i CRR.</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henhold til artikel 401, stk. 1, i CRR skal der anvendes </w:t>
            </w:r>
            <w:proofErr w:type="spellStart"/>
            <w:r>
              <w:rPr>
                <w:rStyle w:val="InstructionsTabelleberschrift"/>
                <w:rFonts w:ascii="Times New Roman" w:hAnsi="Times New Roman"/>
                <w:b w:val="0"/>
                <w:sz w:val="24"/>
                <w:u w:val="none"/>
              </w:rPr>
              <w:t>volatilitetsjusteringer</w:t>
            </w:r>
            <w:proofErr w:type="spellEnd"/>
            <w:r>
              <w:rPr>
                <w:rStyle w:val="InstructionsTabelleberschrift"/>
                <w:rFonts w:ascii="Times New Roman" w:hAnsi="Times New Roman"/>
                <w:b w:val="0"/>
                <w:sz w:val="24"/>
                <w:u w:val="none"/>
              </w:rPr>
              <w:t xml:space="preserve"> på eksponeringsværdien, og de skal indberettes som en stigning i eksponeringsværdien.</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Fast ejendom</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402 i CRR.</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t>Instituttet skal indberette de beløb, der er fratrukket eksponeringsværdien som følge af anvendelsen af artikel 402 i CRR.</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Undtagne beløb</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Artikel 400 i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Instituttet skal indberette de beløb, der er undtaget fra LE-ordningen.</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Eksponeringsværdi efter anvendelse af undtagelser og kreditrisikoreduktion</w:t>
            </w:r>
          </w:p>
          <w:p w14:paraId="37FBBCBE" w14:textId="1989C0C0" w:rsidR="00BB3751" w:rsidRPr="0039317F" w:rsidRDefault="00BB3751">
            <w:pPr>
              <w:pStyle w:val="InstructionsText"/>
            </w:pPr>
            <w:r>
              <w:t>Artikel 394, stk. 1, litra d), i CRR.</w:t>
            </w:r>
          </w:p>
          <w:p w14:paraId="5D37D332" w14:textId="25A48276" w:rsidR="00B0191A" w:rsidRPr="00384ADB" w:rsidRDefault="0054768B">
            <w:pPr>
              <w:pStyle w:val="InstructionsText"/>
              <w:rPr>
                <w:rStyle w:val="InstructionsTabelleberschrift"/>
                <w:rFonts w:ascii="Times New Roman" w:hAnsi="Times New Roman"/>
                <w:bCs w:val="0"/>
                <w:sz w:val="24"/>
              </w:rPr>
            </w:pPr>
            <w:r>
              <w:t>Instituttet skal indberette eksponeringsværdien efter anvendelse af undtagelser og efter hensyntagen til virkningen af kreditrisikoreduktion beregnet med henblik på artikel 395, stk. 1, i CRR.</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 alt</w:t>
            </w:r>
          </w:p>
          <w:p w14:paraId="5EAE4D20" w14:textId="2997F914" w:rsidR="00B0191A" w:rsidRPr="00384ADB" w:rsidRDefault="00BB3751">
            <w:pPr>
              <w:pStyle w:val="InstructionsText"/>
              <w:rPr>
                <w:rStyle w:val="InstructionsTabelleberschrift"/>
                <w:rFonts w:ascii="Times New Roman" w:hAnsi="Times New Roman"/>
                <w:sz w:val="24"/>
              </w:rPr>
            </w:pPr>
            <w:r>
              <w:t>I denne kolonne angives det beløb, der skal tages hensyn til for at overholde grænsen for store eksponeringer i artikel 395 i CRR.</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Uden for handelsbeholdningen</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Instituttet skal indberette den samlede eksponeringsværdi efter anvendelse af undtagelser og efter hensyntagen til virkningen af kreditrisikoreduktion, som er uden for handelsbeholdningen.</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af kernekapital</w:t>
            </w:r>
          </w:p>
          <w:p w14:paraId="704D471F" w14:textId="0CE27B60" w:rsidR="00BB3751" w:rsidRPr="00384ADB" w:rsidRDefault="0054768B" w:rsidP="00A55755">
            <w:pPr>
              <w:spacing w:before="0"/>
              <w:rPr>
                <w:rStyle w:val="InstructionsTabelleberschrift"/>
                <w:rFonts w:ascii="Times New Roman" w:hAnsi="Times New Roman"/>
                <w:sz w:val="24"/>
              </w:rPr>
            </w:pPr>
            <w:r>
              <w:rPr>
                <w:rFonts w:ascii="Times New Roman" w:hAnsi="Times New Roman"/>
                <w:sz w:val="24"/>
              </w:rPr>
              <w:t>Instituttet skal indberette andelen af eksponeringsværdien efter anvendelse af undtagelser og kreditrisikoreduktion i forbindelse med instituttets kernekapital, som defineret i artikel 25 i CRR.</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4" w:name="_Toc58337960"/>
      <w:r>
        <w:rPr>
          <w:rFonts w:ascii="Times New Roman" w:hAnsi="Times New Roman"/>
          <w:b/>
          <w:sz w:val="24"/>
          <w:u w:val="none"/>
        </w:rPr>
        <w:lastRenderedPageBreak/>
        <w:t>C 29.00 — Nærmere oplysninger om eksponeringer mod enkelte kunder inden for grupper af indbyrdes forbundne kunder (LE3)</w:t>
      </w:r>
      <w:bookmarkStart w:id="25" w:name="_Toc358305157"/>
      <w:bookmarkEnd w:id="25"/>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6" w:name="_Toc310414970"/>
      <w:bookmarkStart w:id="27" w:name="_Toc358305158"/>
      <w:bookmarkStart w:id="28" w:name="_Toc58337961"/>
      <w:r>
        <w:rPr>
          <w:rFonts w:ascii="Times New Roman" w:hAnsi="Times New Roman"/>
          <w:sz w:val="24"/>
        </w:rPr>
        <w:t>Instrukser vedrørende specifikke kolonner</w:t>
      </w:r>
      <w:bookmarkStart w:id="29" w:name="_Toc308175824"/>
      <w:bookmarkEnd w:id="29"/>
      <w:bookmarkEnd w:id="26"/>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Kolonne</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Henvisninger til retsakter og instrukser</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Instituttet skal bruge LE3-skemaet til at indberette data vedrørende eksponeringer mod enkelte kunder, der tilhører grupper af indbyrdes forbundne kunder, som indberettes i LE2-skemaet.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Kode</w:t>
            </w:r>
          </w:p>
          <w:p w14:paraId="0892E5F8" w14:textId="3D4742ED"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Kolonne 010 og 020 er en sammensat </w:t>
            </w:r>
            <w:r w:rsidR="00EF4435">
              <w:rPr>
                <w:rStyle w:val="InstructionsTabelleberschrift"/>
                <w:rFonts w:ascii="Times New Roman" w:hAnsi="Times New Roman"/>
                <w:b w:val="0"/>
                <w:sz w:val="24"/>
                <w:u w:val="none"/>
              </w:rPr>
              <w:t>ID</w:t>
            </w:r>
            <w:r>
              <w:rPr>
                <w:rStyle w:val="InstructionsTabelleberschrift"/>
                <w:rFonts w:ascii="Times New Roman" w:hAnsi="Times New Roman"/>
                <w:b w:val="0"/>
                <w:sz w:val="24"/>
                <w:u w:val="none"/>
              </w:rPr>
              <w:t>-kode for rækken og skal være unik for hver enkelt række i skemaet.</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Koden for den enkelte modpart, der tilhører grupper af indbyrdes forbundne kunder, indberettes.</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Koderne skal anvendes konsistent over tid.</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Gruppekode</w:t>
            </w:r>
          </w:p>
          <w:p w14:paraId="39FD8A12" w14:textId="54F2EBD4"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Kolonne 010 og 020 er en sammensat </w:t>
            </w:r>
            <w:r w:rsidR="00EF4435">
              <w:rPr>
                <w:rStyle w:val="InstructionsTabelleberschrift"/>
                <w:rFonts w:ascii="Times New Roman" w:hAnsi="Times New Roman"/>
                <w:b w:val="0"/>
                <w:sz w:val="24"/>
                <w:u w:val="none"/>
              </w:rPr>
              <w:t>ID</w:t>
            </w:r>
            <w:r>
              <w:rPr>
                <w:rStyle w:val="InstructionsTabelleberschrift"/>
                <w:rFonts w:ascii="Times New Roman" w:hAnsi="Times New Roman"/>
                <w:b w:val="0"/>
                <w:sz w:val="24"/>
                <w:u w:val="none"/>
              </w:rPr>
              <w:t>-kode for rækken og skal være unik for hver enkelt række i skemaet.</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der findes en unik kode på nationalt plan for en gruppe af indbyrdes forbundne kunder, skal denne kode indberettes. Hvis der ikke findes en unik kode på nationalt plan, indberettes den kode i C 28.00 (LE2), der anvendes ved indberetning af eksponeringer for gruppen af indbyrdes forbundne kunder.</w:t>
            </w:r>
          </w:p>
          <w:p w14:paraId="58350F67" w14:textId="3031659B" w:rsidR="00B0191A" w:rsidRPr="00384ADB" w:rsidRDefault="00D46F08">
            <w:pPr>
              <w:pStyle w:val="InstructionsText"/>
              <w:rPr>
                <w:rStyle w:val="InstructionsTabelleberschrift"/>
                <w:rFonts w:ascii="Times New Roman" w:hAnsi="Times New Roman"/>
                <w:sz w:val="24"/>
              </w:rPr>
            </w:pPr>
            <w:r>
              <w:t>Hvis en kunde tilhører flere grupper af indbyrdes forbundne kunder, indberettes denne som medlem af alle grupperne af indbyrdes forbundne kunder.</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Transaktioner med eksponering mod underliggende aktiver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kolonne 030 i LE2-skemaet.</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Når finansielle instrumenter i LE2-skemaet leveres til hele gruppen af indbyrdes forbundne kunder, henføres de til de enkelte modparter i LE3-skemaet i overensstemmelse med instituttets forretningskriterier.</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 øvrige instrukser er de samme som for LE2-skemaet.</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24E614F0"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D05EFE">
      <w:rPr>
        <w:rFonts w:ascii="Times New Roman" w:hAnsi="Times New Roman"/>
        <w:noProof/>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4D740386" w:rsidR="00662DE3" w:rsidRDefault="00662DE3">
    <w:pPr>
      <w:pStyle w:val="Footer"/>
      <w:jc w:val="right"/>
    </w:pPr>
    <w:r>
      <w:fldChar w:fldCharType="begin"/>
    </w:r>
    <w:r>
      <w:instrText xml:space="preserve"> PAGE   \* MERGEFORMAT </w:instrText>
    </w:r>
    <w:r>
      <w:fldChar w:fldCharType="separate"/>
    </w:r>
    <w:r w:rsidR="00D05EFE">
      <w:rPr>
        <w:noProof/>
      </w:rP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684A8EF7"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D05EFE">
      <w:rPr>
        <w:rFonts w:ascii="Times New Roman" w:hAnsi="Times New Roman"/>
        <w:noProof/>
      </w:rPr>
      <w:t>18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4B603B"/>
    <w:multiLevelType w:val="hybridMultilevel"/>
    <w:tmpl w:val="EF8A401A"/>
    <w:lvl w:ilvl="0" w:tplc="236EA62C">
      <w:start w:val="1"/>
      <w:numFmt w:val="decimal"/>
      <w:lvlText w:val="%1."/>
      <w:lvlJc w:val="left"/>
      <w:pPr>
        <w:ind w:left="720" w:hanging="360"/>
      </w:pPr>
    </w:lvl>
    <w:lvl w:ilvl="1" w:tplc="08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57924CE"/>
    <w:multiLevelType w:val="hybridMultilevel"/>
    <w:tmpl w:val="6C628E08"/>
    <w:lvl w:ilvl="0" w:tplc="236EA62C">
      <w:start w:val="1"/>
      <w:numFmt w:val="decimal"/>
      <w:lvlText w:val="%1."/>
      <w:lvlJc w:val="left"/>
      <w:pPr>
        <w:ind w:left="720" w:hanging="360"/>
      </w:pPr>
    </w:lvl>
    <w:lvl w:ilvl="1" w:tplc="08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2"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5326192"/>
    <w:multiLevelType w:val="hybridMultilevel"/>
    <w:tmpl w:val="D0C25D38"/>
    <w:lvl w:ilvl="0" w:tplc="236EA62C">
      <w:start w:val="1"/>
      <w:numFmt w:val="decimal"/>
      <w:lvlText w:val="%1."/>
      <w:lvlJc w:val="left"/>
      <w:pPr>
        <w:ind w:left="720" w:hanging="360"/>
      </w:pPr>
    </w:lvl>
    <w:lvl w:ilvl="1" w:tplc="08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0"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27"/>
  </w:num>
  <w:num w:numId="4">
    <w:abstractNumId w:val="14"/>
  </w:num>
  <w:num w:numId="5">
    <w:abstractNumId w:val="24"/>
  </w:num>
  <w:num w:numId="6">
    <w:abstractNumId w:val="13"/>
  </w:num>
  <w:num w:numId="7">
    <w:abstractNumId w:val="26"/>
  </w:num>
  <w:num w:numId="8">
    <w:abstractNumId w:val="5"/>
  </w:num>
  <w:num w:numId="9">
    <w:abstractNumId w:val="20"/>
  </w:num>
  <w:num w:numId="10">
    <w:abstractNumId w:val="12"/>
  </w:num>
  <w:num w:numId="11">
    <w:abstractNumId w:val="16"/>
  </w:num>
  <w:num w:numId="12">
    <w:abstractNumId w:val="7"/>
  </w:num>
  <w:num w:numId="13">
    <w:abstractNumId w:val="23"/>
  </w:num>
  <w:num w:numId="14">
    <w:abstractNumId w:val="18"/>
  </w:num>
  <w:num w:numId="15">
    <w:abstractNumId w:val="11"/>
  </w:num>
  <w:num w:numId="16">
    <w:abstractNumId w:val="15"/>
  </w:num>
  <w:num w:numId="17">
    <w:abstractNumId w:val="10"/>
  </w:num>
  <w:num w:numId="18">
    <w:abstractNumId w:val="25"/>
  </w:num>
  <w:num w:numId="19">
    <w:abstractNumId w:val="2"/>
  </w:num>
  <w:num w:numId="20">
    <w:abstractNumId w:val="6"/>
  </w:num>
  <w:num w:numId="21">
    <w:abstractNumId w:val="9"/>
  </w:num>
  <w:num w:numId="22">
    <w:abstractNumId w:val="8"/>
  </w:num>
  <w:num w:numId="23">
    <w:abstractNumId w:val="11"/>
    <w:lvlOverride w:ilvl="0">
      <w:startOverride w:val="1"/>
    </w:lvlOverride>
  </w:num>
  <w:num w:numId="24">
    <w:abstractNumId w:val="11"/>
    <w:lvlOverride w:ilvl="0">
      <w:startOverride w:val="1"/>
    </w:lvlOverride>
  </w:num>
  <w:num w:numId="25">
    <w:abstractNumId w:val="17"/>
  </w:num>
  <w:num w:numId="26">
    <w:abstractNumId w:val="22"/>
  </w:num>
  <w:num w:numId="27">
    <w:abstractNumId w:val="11"/>
    <w:lvlOverride w:ilvl="0">
      <w:startOverride w:val="1"/>
    </w:lvlOverride>
  </w:num>
  <w:num w:numId="28">
    <w:abstractNumId w:val="11"/>
  </w:num>
  <w:num w:numId="29">
    <w:abstractNumId w:val="11"/>
  </w:num>
  <w:num w:numId="30">
    <w:abstractNumId w:val="30"/>
  </w:num>
  <w:num w:numId="31">
    <w:abstractNumId w:val="28"/>
  </w:num>
  <w:num w:numId="32">
    <w:abstractNumId w:val="23"/>
  </w:num>
  <w:num w:numId="33">
    <w:abstractNumId w:val="31"/>
  </w:num>
  <w:num w:numId="34">
    <w:abstractNumId w:val="3"/>
  </w:num>
  <w:num w:numId="35">
    <w:abstractNumId w:val="0"/>
  </w:num>
  <w:num w:numId="36">
    <w:abstractNumId w:val="29"/>
  </w:num>
  <w:num w:numId="37">
    <w:abstractNumId w:val="4"/>
  </w:num>
  <w:num w:numId="38">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67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2993"/>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5EFE"/>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1BF0"/>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4435"/>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a-DK"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da-D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da-DK"/>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da-DK"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da-DK"/>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3B5DC-01B3-4061-9CCE-00EA0AD0749A}">
  <ds:schemaRefs>
    <ds:schemaRef ds:uri="http://schemas.openxmlformats.org/officeDocument/2006/bibliography"/>
  </ds:schemaRefs>
</ds:datastoreItem>
</file>

<file path=customXml/itemProps2.xml><?xml version="1.0" encoding="utf-8"?>
<ds:datastoreItem xmlns:ds="http://schemas.openxmlformats.org/officeDocument/2006/customXml" ds:itemID="{C22BB627-411D-40AE-AD4F-E38E71534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5341</Words>
  <Characters>27939</Characters>
  <Application>Microsoft Office Word</Application>
  <DocSecurity>0</DocSecurity>
  <Lines>665</Lines>
  <Paragraphs>421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32859</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CHRISTIANSEN Tine (DGT)</cp:lastModifiedBy>
  <cp:revision>8</cp:revision>
  <dcterms:created xsi:type="dcterms:W3CDTF">2020-12-02T14:20:00Z</dcterms:created>
  <dcterms:modified xsi:type="dcterms:W3CDTF">2020-12-09T08:09:00Z</dcterms:modified>
</cp:coreProperties>
</file>