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XIX PRIEDAS</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INFORMACIJOS APIE PAPILDOMUS LIKVIDUMO STEBĖSENOS PARAMETRUS TEIKIMO NURODYMAI</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Papildomi stebėsenos parametrai</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Bendra informacija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Kad būtų galima stebėti įstaigos likvidumo riziką, nepatenkančią į padengimo likvidžiuoju turtu ir pastovaus finansavimo priežiūros ataskaitas, įstaigos pildo XVIII priede pateiktą formą pagal šiame priede pateiktus nurodymus.</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Visas finansavimas yra visi finansiniai įsipareigojimai, išskyrus išvestines finansines priemones ir trumpąsias pozicijas.</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Laikoma, kad finansavimo, kurio terminas nenustatytas, įskaitant indėlius iki pareikalavimo, terminas sueina per vieną naktį.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Pradinis terminas yra laikas nuo inicijavimo datos iki finansavimo termino datos. Finansavimo termino data nustatoma pagal XXIII priedo 12 dalį. Tai reiškia, kad tuo atveju, kai egzistuoja pasirinkimo galimybė, pavyzdžiui, numatyta XXIII priedo 12 dalyje, tam tikro finansavimo straipsnio pradinis terminas gali būti trumpesnis nei laikas, praėjęs nuo jo inicijavimo.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Likutinis terminas yra laikas nuo ataskaitinio laikotarpio pabaigos iki finansavimo termino datos. Finansavimo termino data nustatoma pagal XXIII priedo 12 dalį.</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Siekiant apskaičiuoti svertinį pradinio arba likutinio termino vidurkį indėliai, kurių terminas sueina per vieną naktį, laikomi vienos dienos termino indėliais.</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Siekiant apskaičiuoti pradinį ir likutinį terminus, kai teikiant finansavimą nustatomas pranešimo apie atsiėmimą laikotarpis arba atšaukimo ar išankstinio atsiėmimo sąlyga įstaigos sandorio šaliai, daroma atsiėmimo pirmą galimą datą prielaida.</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Kalbant apie nuolatinius įsipareigojimus, išskyrus atvejus, kai taikoma pasirinkimo galimybė, kaip nurodyta XXIII priedo 12 dalyje, daroma prielaida, kad pradinis ir likutinis terminas yra fiksuotas dvidešimčiai metų.</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Apskaičiuodamos C 67.00 ir C 68.00 informacijos teikimo formose nurodytą procentinę ribą pagal reikšmingą valiutą, įstaigos naudoja 1 % visų įsipareigojimų visomis valiutomis ribą.</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Finansavimo sutelkimas pagal sandorio šalį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Siekdamos surinkti C 67.00 formoje nurodytą informaciją apie ataskaitas teikiančių įstaigų finansavimo sutelkimą pagal sandorio šalis, įstaigos taiko šiame skirsnyje pateiktus nurodymus.</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Formos 1 skirsnio 020–110 eilutėse įstaigos nurodo dešimt didžiausių sandorio šalių arba susijusių klientų grupę, apibrėžtą Reglamento (ES) Nr. 575/2013 4 straipsnio 1 dalies 39 punkte, kai iš kiekvienos sandorio šalies arba susijusių klientų grupės gautas finansavimas viršija 1 % visų įsipareigojimų ribą. Sandorio šalis, nurodyta 1.01 punkte, atspindi didžiausią iš vienos sandorio šalies arba susijusių klientų grupės gautą finansavimo sumą, kuri ataskaitinę datą viršija 1 % ribą. punkte nurodoma antra didžiausia 1 % ribą viršijanti suma ir t. t. likusiuose punktuose.</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lastRenderedPageBreak/>
        <w:t xml:space="preserve">Kai sandorio šalis priklauso kelioms susijusių klientų grupėms, ji nurodoma tik vieną kartą toje grupėje, kurios finansavimo suma didžiausia.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2 skirsnyje įstaigos nurodo bendrą viso kito likusio finansavimo sumą.</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Bendros 1 ir 2 skirsnių sumos yra lygios visam įstaigos finansavimui, kaip nurodyta jos balanse, pateiktame pagal finansinės informacijos teikimo sistemą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Dėl kiekvienos sandorio šalies įstaigos pateikia visą 010–080 skiltyse nurodytą informaciją.</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Kai gaunamas finansavimas yra daugiau nei vienos rūšies produktai, nurodoma ta rūšis, kurios produktas sudaro didžiausią gauto finansavimo dalį. Pagrindinis vertybinių popierių turėtojas gali būti nustatomas dedant visas įmanomas pastangas. Jeigu įstaiga turi informacijos apie vertybinių popierių turėtoją, nes ji yra juos saugantis bankas, ji turėtų atsižvelgti į tą sumą pranešdama apie sandorio šalių koncentraciją. Jeigu informacijos apie vertybinių popierių turėtoją nėra, atitinkama suma nepranešama.</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Nurodymai dėl konkrečių skilčių: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Skiltis</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Nuorodos į teisės aktus ir nurodymai</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Sandorio šalies pavadinimas</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Kiekvienos sandorio šalies, iš kurios gaunamas finansavimas viršija 1 % visų įsipareigojimų, pavadinimas įrašomas 010 skiltyje mažėjančia, vertinant pagal gauto finansavimo dydį, tvarka.</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Nurodomas sandorio šalies pavadinimas, nepriklausomai nuo to, ar tai juridinis, ar fizinis asmuo. Jei sandorio šalis yra juridinis asmuo, įrašomas sandorio šalies pavadinimas yra visas juridinio asmens, iš kurio gautas finansavimas, pavadinimas, įskaitant bet kokias nuorodas į bendrovės rūšį pagal nacionalinę bendrovių teisę.</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Kodas</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Kiekvienai sandorio šaliai suteikiamas unikalus eilutės identifikatorius. Įstaigų ir draudimo įmonių atveju nurodomas LEI kodas. Kitų subjektų atveju nurodomas LEI kodas arba, jei jo nėra, nacionalinis kodas. Kodas yra unikalus ir nuosekliai naudojamas visiems šablonams visą laiką. Kodas visuomet yra išreikštas tam tikra verte.</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Kodo rūšis</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015 skiltyje nurodyto kodo rūšį įstaigos nurodo kaip LEI kodą arba ne LEI kodą.</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Kodo rūšis nurodoma visada.</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Nacionalinis kodas</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Kai įstaigos nurodo LEI kodą kaip identifikatorių skiltyje „Kodas“, jos gali papildomai nurodyti nacionalinį kodą.</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Sandorio šalies sektorius</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Atsižvelgiant į finansinės informacijos teikimo sistemos FINREP ekonomikos sektorių klases, kiekviena sandorio šalis priskiriama prie vieno sektoriaus:</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centriniai bankai; ii) valdžios sektoriaus institucijos; iii) kredito įstaigos; iv) kitos finansų bendrovės; v) ne finansų bendrovės; vi) namų ūkiai.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Jei tai yra susijusių klientų grupė, sektorius nenurodomas.</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Sandorio šalies įsisteigimo vieta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Nurodomas sandorio šalies įsisteigimo šalies ISO 3166-1 </w:t>
            </w:r>
            <w:proofErr w:type="spellStart"/>
            <w:r>
              <w:rPr>
                <w:rStyle w:val="FormatvorlageInstructionsTabelleText"/>
                <w:rFonts w:ascii="Times New Roman" w:hAnsi="Times New Roman"/>
                <w:sz w:val="24"/>
              </w:rPr>
              <w:t>dviraidis</w:t>
            </w:r>
            <w:proofErr w:type="spellEnd"/>
            <w:r>
              <w:rPr>
                <w:rStyle w:val="FormatvorlageInstructionsTabelleText"/>
                <w:rFonts w:ascii="Times New Roman" w:hAnsi="Times New Roman"/>
                <w:sz w:val="24"/>
              </w:rPr>
              <w:t xml:space="preserve"> kodas, įskaitant</w:t>
            </w:r>
            <w:r>
              <w:rPr>
                <w:sz w:val="24"/>
              </w:rPr>
              <w:t xml:space="preserve"> naujausiame Eurostato „Mokėjimų balanso vadovo“ leidime nurodytus</w:t>
            </w:r>
            <w:r>
              <w:rPr>
                <w:rStyle w:val="FormatvorlageInstructionsTabelleText"/>
                <w:rFonts w:ascii="Times New Roman" w:hAnsi="Times New Roman"/>
                <w:sz w:val="24"/>
              </w:rPr>
              <w:t xml:space="preserve"> tarptautinių organizacijų ISO </w:t>
            </w:r>
            <w:proofErr w:type="spellStart"/>
            <w:r>
              <w:rPr>
                <w:rStyle w:val="FormatvorlageInstructionsTabelleText"/>
                <w:rFonts w:ascii="Times New Roman" w:hAnsi="Times New Roman"/>
                <w:sz w:val="24"/>
              </w:rPr>
              <w:t>pseudokodus</w:t>
            </w:r>
            <w:proofErr w:type="spellEnd"/>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Jei tai yra susijusių klientų grupė, šalis nenurodoma.</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Produkto rūšis</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Į 010 skiltį įrašytoms sandorio šalims priskiriama produkto rūšis, atitinkanti produktą, kurio pavidalu gautas finansavimas arba, jei tai mišrūs produktai, kurio pavidalu gauta didžiausia finansavimo dalis, naudojant paryškintuoju šriftu nurodytus kodus:</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(neužtikrintas didmeninis finansavimas, gautas iš finansinių klientų, įskaitant tarpbankines lėšas);</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(neužtikrintas didmeninis finansavimas, gautas iš nefinansinių klientų);</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(finansavimas, gautas iš atpirkimo sandorių, kaip apibrėžta Reglamento (ES) Nr. 575/2013 4 straipsnio 1 dalies 82 punkte);</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(finansavimas, gautas iš padengtųjų obligacijų išleidimo, kaip apibrėžta Reglamento (ES) Nr. 575/2013 129 straipsnio 4 arba 5 dalyje arba Direktyvos 2009/65/EB 52 straipsnio 4 dalyje);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(iš turtu užtikrintų vertybinių popierių išleidimo gautas finansavimas, įskaitant turtu užtikrintus komercinius vekselius);</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(iš grupei priklausančių sandorio šalių gautas finansavimas);</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(kitas užtikrintas didmeninis finansavimas);</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(kiti finansavimo produktai, pvz., mažmeninis finansavimas).</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Gauta suma</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Bendra iš 010 skiltyje įrašytų sandorio šalių gauto finansavimo suma įrašoma į 060 skiltį, joje įstaigos nurodo balansines vertes.</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Svertinis pradinio termino vidurkis</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Iš 010 skiltyje įrašytos sandorio šalies gautos ir į 060 skiltį įrašytos finansavimo sumos svertinis pradinio termino vidurkis (dienomis) įrašomas į 070 skiltį.</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Svertinis pradinio termino vidurkis apskaičiuojamas kaip iš tos sandorio šalies gauto finansavimo pradinio termino vidurkis (dienomis). Vidurkis yra svertinis dydis, pagrįstas skirtingų gauto finansavimo sumų dydžiu, palyginti su bendru iš tos sandorio šalies gautu finansavimu.</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Svertinis likutinio termino vidurkis</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Iš 010 skiltyje įrašytos sandorio šalies gautos ir į 060 skiltį įrašytos finansavimo sumos svertinis likutinio termino vidurkis (dienomis) įrašomas į 080 skiltį.</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Svertinis likutinio termino vidurkis apskaičiuojamas kaip iš tos sandorio šalies gauto finansavimo likutinio termino vidurkis (likusiomis dienomis). Vidurkis yra svertinis dydis, pagrįstas skirtingų gauto finansavimo sumų dydžiu, palyginti su bendru iš tos sandorio šalies gautu finansavimu.</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Finansavimo sutelkimas pagal produkto rūšį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Šios formos paskirtis – surinkti informaciją apie finansavimo sutelkimą ataskaitas teikiančiose įstaigose pagal produkto rūšį, išskaidytą pagal finansavimo rūšis, kaip nurodyta toliau pateiktuose nurodymuose dėl eilučių: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Eilutė</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mažmeninis finansavimas</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Mažmeniniai indėliai, kaip apibrėžta Deleguotojo reglamento (ES) 2015/61 3 straipsnio 8 dalyje.</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iš jo: indėliai iki pareikalavimo</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010 eilutėje nurodytas mažmeninis finansavimas, kurį sudaro indėliai iki pareikalavimo.</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iš jo: terminuotieji indėliai, kurių negalima atsiimti per kitas 30 dienų</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010 eilutėje nurodytas mažmeninis finansavimas, kurį sudaro terminuotieji indėliai, kurių negalima atsiimti per kitas 30 dienų.</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iš jo: terminuotieji indėliai, kuriuos galima atsiimti per kitas 30 dienų</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010 eilutėje nurodytas mažmeninis finansavimas, kurį sudaro terminuotieji indėliai, kuriuos galima atsiimti per kitas 30 dienų.</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iš jo: taupomosios sąskaitos su viena iš šių ypatybių:</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010 eilutėje nurodytas mažmeninis finansavimas, kurį sudaro taupomosios sąskaitos su viena iš šių ypatybių:</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lastRenderedPageBreak/>
              <w:t>- su pranešimo apie atsiėmimą laikotarpiu, kuris yra ilgesnis nei 30 dienų;</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be pranešimo apie atsiėmimą laikotarpio, kuris yra ilgesnis nei 30 dienų.</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Ši eilutė nepildoma.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su pranešimo apie atsiėmimą laikotarpiu, kuris yra ilgesnis nei 30 dienų;</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010 eilutėje nurodytas mažmeninis finansavimas, kurį sudaro taupomosios sąskaitos su pranešimo apie atsiėmimą laikotarpiu, kuris yra ilgesnis nei 30 dienų.</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be pranešimo apie atsiėmimą laikotarpio, kuris yra ilgesnis nei 30 dienų</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010 eilutėje nurodytas mažmeninis finansavimas, kurį sudaro taupomosios sąskaitos be pranešimo apie atsiėmimą laikotarpio, kuris yra ilgesnis nei 30 dienų.</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Laikoma, kad didmeninį finansavimą sudaro bet kurie iš šių elementų:</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Visos sandorio šalys, išskyrus mažmeninių indėlių, kaip apibrėžta Deleguotojo reglamento (ES) 2015/61 3 straipsnio 8 dalyje.</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Ši eilutė nepildoma.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neužtikrintas didmeninis finansavimas</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Visos sandorio šalys, išskyrus mažmeninių indėlių, kaip apibrėžta Deleguotojo reglamento (ES) 2015/61 3 straipsnio 8 dalyje, sandorio šalis, kai finansavimas yra neužtikrintas.</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iš jo: paskolos ir indėliai iš finansinių klientų</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110 eilutėje nurodytas finansavimas, kurį sudaro paskolos ir indėliai iš finansinių klientų.</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Iš centrinių bankų gautas finansavimas į šią eilutę neįtraukiamas.</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iš jo: paskolos ir indėliai iš nefinansinių klientų</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110 eilutėje nurodytas finansavimas, kurį sudaro paskolos ir indėliai iš nefinansinių klientų.</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Iš centrinių bankų gautas finansavimas į šią eilutę neįtraukiamas.</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iš jo: paskolos ir indėliai iš grupei priklausančių subjektų</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110 eilutėje nurodytas finansavimas, kurį sudaro paskolos ir indėliai iš grupei priklausančių subjektų.</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Didmeninis finansavimas iš grupei priklausančių subjektų nurodomas tik atskirai arba iš dalies konsoliduotai.</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užtikrintas didmeninis finansavimas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Visos sandorio šalys, išskyrus mažmeninių indėlių, kaip apibrėžta Deleguotojo reglamento (ES) 2015/61 3 straipsnio 8 dalyje, sandorio šalis, kai finansavimas yra užtikrintas.</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iš jo: vertybinių popierių įsigijimo finansavimo sandoriai</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150 eilutėje nurodytas finansavimas, kuris yra gautas iš atpirkimo sandorių, kaip apibrėžta Reglamento (ES) Nr. 575/2013 4 straipsnio 1 dalies 82 punkte.</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iš jo: padengtųjų obligacijų išleidimas</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150 eilutėje nurodytas finansavimas, kuris yra gautas iš padengtųjų obligacijų išleidimo, kaip apibrėžta Reglamento (ES) Nr. 575/2013 129 straipsnio 4 arba 5 dalyje arba Direktyvos 2009/65/EB 52 straipsnio 4 dalyje.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iš jo: turtu užtikrintų vertybinių popierių išleidimas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150 eilutėje nurodytas finansavimas, kuris yra gautas iš turtu užtikrintų vertybinių popierių išleidimo, įskaitant turtu užtikrintus komercinius vekselius.</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iš jo: paskolos ir indėliai iš grupei priklausančių subjektų</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150 eilutėje nurodytas finansavimas, kuris yra gautas iš grupei priklausančių subjektų.</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Didmeninis finansavimas iš grupei priklausančių subjektų nurodomas tik atskirai arba iš dalies konsoliduotai.</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Pildydamos šią formą įstaigos nurodo bendrą finansavimo, gauto iš kiekvienos rūšies produkto, sumą, kuri viršija 1 % visų įsipareigojimų ribą.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Apie kiekvienos rūšies produktą įstaigos pateikia visą 010–050 skiltyse nurodytą informaciją.</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1 % visų įsipareigojimų riba naudojama siekiant nustatyti produktų, iš kurių gautas finansavimas, rūšis vadovaujantis šiais nurodymais:</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934FCD">
        <w:rPr>
          <w:u w:val="none"/>
        </w:rPr>
        <w:tab/>
      </w:r>
      <w:r>
        <w:rPr>
          <w:sz w:val="24"/>
          <w:u w:val="none"/>
        </w:rPr>
        <w:t>1 % visų įsipareigojimų riba taikoma visose šiose eilutėse nurodytų rūšių produktams: 1.1. „Mažmeniniai indėliai“; 1.2. „Terminuotieji indėliai, kurių negalima atsiimti per kitas 30 dienų“; 1.3. „Terminuotieji indėliai, kuriuos</w:t>
      </w:r>
      <w:bookmarkStart w:id="2" w:name="_GoBack"/>
      <w:bookmarkEnd w:id="2"/>
      <w:r>
        <w:rPr>
          <w:sz w:val="24"/>
          <w:u w:val="none"/>
        </w:rPr>
        <w:t xml:space="preserve"> galima atsiimti per kitas 30 dienų“; 1.4. „Taupomosios sąskaitos“; 2.1. „Neužtikrintas didmeninis finansavimas“; 2.2. „Užtikrintas didmeninis finansavimas“;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934FCD">
        <w:rPr>
          <w:u w:val="none"/>
        </w:rPr>
        <w:tab/>
      </w:r>
      <w:r>
        <w:rPr>
          <w:sz w:val="24"/>
          <w:u w:val="none"/>
        </w:rPr>
        <w:t>apskaičiuojant 1.4 eilutės „Taupomosios sąskaitos“ 1 % visų įsipareigojimų ribą, riba taikoma 1.4.1 ir 1.4.2 punktų sumai;</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934FCD">
        <w:rPr>
          <w:u w:val="none"/>
        </w:rPr>
        <w:tab/>
      </w:r>
      <w:r>
        <w:rPr>
          <w:sz w:val="24"/>
          <w:u w:val="none"/>
        </w:rPr>
        <w:t>1 eilutei „Mažmeninis finansavimas“ ir 2 eilutei „Didmeninis finansavimas“ 1 % visų įsipareigojimų riba taikoma tik agreguotu lygmeniu.</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lastRenderedPageBreak/>
        <w:t xml:space="preserve">1 eilutėje „Mažmeniniai indėliai“, 2.1 eilutėje „Neužtikrintas didmeninis finansavimas“ ir 2.2 eilutėje „Užtikrintas didmeninis finansavimas“ nurodyti duomenys gali apimti daugiau produktų, nei išvardyti pagrindiniai punktai.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Skiltis</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Gauta balansinė vertė</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Finansavimo, gauto iš kiekvienos į skiltį „Produkto pavadinimas“ įrašytos kategorijos produktų, balansinė vertė įrašoma į formos 010 skiltį.</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Suma, kuriai pagal Direktyvą 2014/49/ES taikoma indėlių garantijų sistema arba lygiavertė indėlių garantijų sistema trečiojoje valstybėje</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Bendros į 010 skiltį įrašytos finansavimo sumos, gautos iš kiekvienos į skiltį „Produkto pavadinimas“ įrašytos kategorijos produktų, dalis, kuriai pagal Direktyvą 2014/49/ES taikoma indėlių garantijų sistema arba lygiavertė indėlių garantijų sistema trečiojoje valstybėje.</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Kiekvienos į skiltį „Produkto pavadinimas“ įrašytos kategorijos produktų į 020 ir 030 skiltis įrašytos sumos lygios į 010 skiltį įrašytai bendrai gautai sumai.</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Suma, kuriai nėra taikoma indėlių garantijų sistema pagal Direktyvą 2014/49/ES arba lygiavertė indėlių garantijų sistema trečiojoje valstybėje</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Bendros į 010 skiltį įrašytos finansavimo sumos, gautos iš kiekvienos į skiltį „Produkto pavadinimas“ įrašytos kategorijos produktų, dalis, kuriai </w:t>
            </w:r>
            <w:r>
              <w:rPr>
                <w:rFonts w:ascii="Times New Roman" w:hAnsi="Times New Roman"/>
                <w:sz w:val="24"/>
                <w:u w:val="single"/>
              </w:rPr>
              <w:t>netaikoma</w:t>
            </w:r>
            <w:r>
              <w:rPr>
                <w:rFonts w:ascii="Times New Roman" w:hAnsi="Times New Roman"/>
                <w:sz w:val="24"/>
              </w:rPr>
              <w:t xml:space="preserve"> indėlių garantijų sistema pagal Direktyvą 2014/49/ES arba lygiavertė indėlių garantijų sistema trečiojoje valstybėje.</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Kiekvienos į skiltį „Produkto pavadinimas“ įrašytos kategorijos produktų į 020 ir 030 skiltis įrašytos sumos lygios į 010 skiltį įrašytai bendrai gautai sumai.</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Svertinis pradinio termino vidurkis</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Iš skiltyje „Produkto pavadinimas“ įrašytų kategorijų produktų gautos ir į 010 skiltį įrašytos finansavimo sumos atžvilgiu įrašomas to finansavimo svertinis pradinio termino vidurkis (dienomis).</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Svertinis pradinio termino vidurkis apskaičiuojamas kaip dėl tos rūšies produkto gauto finansavimo pradinio termino vidurkis (dienomis). Vidurkis yra svertinis dydis, pagrįstas skirtingų gauto finansavimo sumų dydžiu, palyginti su bendru finansavimu, gautu dėl visų tos rūšies produkto emisijų.</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Svertinis likutinio termino vidurkis</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Iš skiltyje „Produkto pavadinimas“ įrašytų kategorijų produktų gautos ir į 010 skiltį įrašytos finansavimo sumos atžvilgiu įrašomas to finansavimo svertinis likutinio termino vidurkis (dienomis).</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lastRenderedPageBreak/>
              <w:t>Svertinis likutinio termino vidurkis apskaičiuojamas kaip dėl tos rūšies produkto gauto finansavimo likusio termino vidurkis (dienomis). Vidurkis yra svertinis dydis, pagrįstas skirtingų gauto finansavimo sumų dydžiu, palyginti su bendru finansavimu, gautu dėl visų tos rūšies produkto emisijų.</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Kainos pagal įvairią finansavimo trukmę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C 69.00 formoje įstaigos pateikia informaciją apie sandorių apimtį ir įstaigų mokamas kainas už finansavimą, gautą per ataskaitinį laikotarpį ir vis dar turimą ataskaitinio laikotarpio pabaigoje, suskirstydamos ją pagal šiuos pradinius terminus:</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vienos nakties 010 ir 020 skiltyse;</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ilgesnis nei vienos nakties, bet ne ilgesnis nei 1 savaitės (030 ir 040 skiltyse</w:t>
      </w:r>
      <w:r>
        <w:rPr>
          <w:sz w:val="24"/>
          <w:szCs w:val="24"/>
          <w:u w:val="none"/>
        </w:rPr>
        <w:t>);</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ilgesnis nei 1 savaitės, bet ne ilgesnis nei 1 mėnesio 050 ir 060 skiltyse;</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ilgesnis nei 1 mėnesio, bet ne ilgesnis nei 3 mėnesių 070 ir 080 skiltyse;</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ilgesnis nei 3 mėnesių, bet ne ilgesnis nei 6 mėnesių 090 ir 100 skiltyse;</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ilgesnis nei 6 mėnesių, bet ne ilgesnis nei 1 metų 110 ir 120 skiltyse;</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ilgesnis nei 1 metų, bet ne ilgesnis nei 2 metų 130 ir 140 skiltyse;</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ilgesnis nei 2 metų, bet ne ilgesnis nei 5 metų 150 ir 160 skiltyse;</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ilgesnis nei 5 metų, bet ne ilgesnis nei 10 metų 170 ir 180 skiltyse.</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Perkainojant valiutą, negaunama jokio naujo finansavimo pradine valiuta, o ataskaitą teikianti įstaiga pradinio lėšų indėlio metu nesumokėjo daugiau nei pradinė kaina. Todėl teigiamas padidėjimas dėl valiutos perkainojimo šioje formoje nenurodomas.</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Nustatydamos gauto finansavimo terminą, įstaigos neatsižvelgia į laikotarpį nuo sandorio dienos iki atsiskaitymo dienos, t. y. trijų mėnesių termino įsipareigojimų vykdymas per dvi savaites įrašomas 3 mėnesių termino skiltyse (070 ir 080 skiltys).</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Kainų skirtumas, nurodytas kiekvieno terminų intervalo kairėje skiltyje, yra vienas iš šių:</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kainų skirtumas, įstaigos mokėtinas už įsipareigojimus, kurių terminas yra ne ilgesnis nei 1 metai, jeigu juos būtų reikėję apkeisti pagal vienos nakties lyginamąjį indeksą atitinkama valiuta ne vėliau kaip iki darbo dienos pabaigos sandorio dieną;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kainų skirtumas, mokėtinas įmonės, kai ji prisiima įsipareigojimus, kurių pradinis terminas yra ilgesnis nei vieni metai, jeigu juos būtų reikėję apkeisti pagal atitinkamą lyginamąjį indeksą atitinkama valiuta, kuris yra trijų mėnesių EURIBOR EUR atveju arba </w:t>
      </w:r>
      <w:r>
        <w:rPr>
          <w:color w:val="1F497D"/>
          <w:sz w:val="24"/>
        </w:rPr>
        <w:t>panašus indeksas kitų valiutų atveju</w:t>
      </w:r>
      <w:r>
        <w:rPr>
          <w:sz w:val="24"/>
          <w:u w:val="none"/>
        </w:rPr>
        <w:t>, ne vėliau kaip iki darbo dienos pabaigos sandorio dieną.</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lastRenderedPageBreak/>
        <w:t>Vien kainų skirtumo apskaičiavimo pagal a ir b punktus tikslais įstaiga, remdamasi ankstesne patirtimi, gali nustatyti pradinį terminą atitinkamai atsižvelgdama arba neatsižvelgdama į pasirinkimo galimybes.</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Kainų skirtumai nurodomi baziniais punktais su neigiamu ženklu, jeigu naujas finansavimas yra pigesnis nei finansavimas taikant atitinkamą lyginamąją normą. Jie apskaičiuojami pagal svertinį vidurkį.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Apskaičiuodamos kelių emisijų, indėlių ir (arba) paskolų mokėtiną kainų skirtumo vidurkį įstaigos apskaičiuoja bendrą kainą išleidimo valiuta, neatsižvelgdamos į jokį valiutų apsikeitimo sandorį, bet atsižvelgdamos į bet kokį priedą arba diskonto normą ir mokėtinus ar gautinus mokesčius, imdamos pagrindu bet kokį teorinį ar faktinį palūkanų normų apsikeitimo sandorio terminą, sutampantį su įsipareigojimo terminu. Kainų skirtumas yra įsipareigojimo norma atėmus apsikeitimo sandorio normą.</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Finansavimo suma, gauta iš į skiltį „Punktas“ įrašytų kategorijų finansavimo, įrašoma į atitinkamo laiko intervalo skiltį „Apimtis“.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Skiltyje „Apimtis“ įstaigos nurodo sumas, atitinkančias gauto naujo finansavimo lėšų balansinę vertę, atitinkamame laiko intervale pagal pradinį terminą.</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Kaip ir visų kitų punktų atveju, įskaitant nebalansinius įsipareigojimus, įstaigos nurodo tik susijusias sumas, pateiktas balanse. Bet koks nebalansinis įsipareigojimas įstaigos atžvilgiu nurodomas C 69.00 formoje tik po panaudojimo. Panaudojimo atveju nurodytina apimtis ir kainų skirtumas yra panaudota suma ir taikytinas kainų skirtumas ataskaitinio laikotarpio pabaigoje. Kai panaudojimo termino negalima pratęsti įstaigos nuožiūra, nurodomas faktinis panaudojimo terminas. Jeigu ankstesnio ataskaitinio laikotarpio pabaigoje įstaiga jau buvo pasinaudojusi priemone ir jeigu vėliau įstaiga priemone naudojasi daugiau, nurodoma tik papildoma panaudota suma.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Mažmeninių klientų pateiktus indėlius sudaro indėliai, apibrėžti Deleguotojo reglamento (ES) 2015/61 3 straipsnio 8 dalyje.</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Ataskaitiniu laikotarpiu pratęsto finansavimo, kuris ataskaitinio laikotarpio pabaigoje tebėra nesumokėtas, atveju nurodomas tuo metu (t. y. ataskaitinio laikotarpio pabaigoje) taikomas kainų skirtumų vidurkis. Pildant C 69.00 formą laikoma, kad pratęstas finansavimas, kuris tebėra turimas ataskaitinio laikotarpio pabaigoje, yra naujas finansavimas.</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Nukrypstant nuo likusios 1.4 skirsnio dalies, indėlių iki pareikalavimo apimtis ir kainų skirtumas nurodomas tik jeigu indėlininkas neturėjo indėlio iki pareikalavimo ankstesniu ataskaitiniu laikotarpiu arba jeigu indėlio suma padidėjo, palyginti su ankstesne ataskaitine data, – tokiu atveju padidėjimas laikomas nauju finansavimu. Nurodomas laikotarpio pabaigos kainų skirtumas.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Jeigu įrašytinos informacijos nėra, su kainų skirtumu susiję laukeliai paliekami tušti.</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Nurodymai dėl konkrečių eilučių: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Eilutė</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Nuorodos į teisės aktus ir nurodymai</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Visas finansavimas</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Bendra viso finansavimo apimtis ir svertinis kainų skirtumo vidurkis apskaičiuojami pagal visus šiuos laikotarpius:</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vienos nakties 010 ir 020 skiltyse;</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ilgesnis nei vienos nakties, bet ne ilgesnis nei 1 savaitės 030 ir 040 skiltyse;</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ilgesnis nei 1 savaitės, bet ne ilgesnis nei 1 mėnesio 050 ir 060 skiltyse;</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ilgesnis nei 1 mėnesio, bet ne ilgesnis nei 3 mėnesių 070 ir 080 skiltyse;</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ilgesnis nei 3 mėnesių, bet ne ilgesnis nei 6 mėnesių 090 ir 100 skiltyse;</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ilgesnis nei 6 mėnesių, bet ne ilgesnis nei 1 metų 110 ir 120 skiltyse;</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ilgesnis nei 1 metų, bet ne ilgesnis nei 2 metų 130 ir 140 skiltyse;</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ilgesnis nei 2 metų, bet ne ilgesnis nei 5 metų 150 ir 160 skiltyse;</w:t>
            </w:r>
          </w:p>
          <w:p w14:paraId="22EC36F6" w14:textId="7C57E11E" w:rsidR="00CE333E" w:rsidRPr="001263B4" w:rsidRDefault="00CD20D9" w:rsidP="00FB0324">
            <w:pPr>
              <w:pStyle w:val="InstructionsText2"/>
              <w:numPr>
                <w:ilvl w:val="0"/>
                <w:numId w:val="49"/>
              </w:numPr>
              <w:spacing w:after="120"/>
              <w:rPr>
                <w:sz w:val="24"/>
              </w:rPr>
            </w:pPr>
            <w:r>
              <w:rPr>
                <w:sz w:val="24"/>
                <w:u w:val="none"/>
              </w:rPr>
              <w:t>ilgesnis nei 5 metų, bet ne ilgesnis nei 10 metų 170 ir 180 skiltyse.</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iš jo: mažmeninis finansavimas</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Iš 1 punkte nurodyto viso finansavimo, bendra gauto mažmeninio finansavimo apimtis ir svertinis kainų skirtumo vidurkis.</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iš jo: neužtikrintas didmeninis finansavimas</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Iš 1 punkte nurodyto viso finansavimo, bendra gauto neužtikrinto didmeninio finansavimo apimtis ir svertinis kainų skirtumo vidurkis.</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iš jo: užtikrintas finansavimas</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Iš 1 punkte nurodyto viso finansavimo, bendra gauto užtikrinto finansavimo apimtis ir svertinis kainų skirtumo vidurkis.</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iš jo: didesnio prioriteto neužtikrinti vertybiniai popieriai</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Iš 1 punkte nurodyto viso finansavimo, bendra gauto didesnio prioriteto neužtikrintų vertybinių popierių apimtis ir svertinis kainų skirtumo vidurkis.</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iš jo: padengtosios obligacijos</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Iš 1 punkte nurodyto viso finansavimo, bendra visų išleistų padengtųjų obligacijų, dėl kurių suvaržomas įstaigų nuosavas turtas, apimtis ir svertinis kainų skirtumo vidurkis.</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iš jo: turtu užtikrinti vertybiniai popieriai, įskaitant turtu užtikrintus komercinius vekselius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Iš 1 punkte nurodyto viso finansavimo, bendra turtu užtikrintų vertybinių popierių, įskaitant turtu užtikrintus komercinius vekselius, išleidimo apimtis ir svertinis kainų skirtumo vidurkis.</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Pratęstas finansavimas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Šios formos paskirtis – surinkti informaciją apie lėšų, kurių terminas sueina, ir naujo gauto finansavimo, t. y. pratęsto finansavimo, apimtį kasdien per mėnesio, ėjusio prieš ataskaitinę datą, laikotarpį.</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lastRenderedPageBreak/>
        <w:t>Įstaigos kalendorinėmis dienomis nurodo finansavimą, kurio terminas sueina, pagal toliau nurodytus laiko intervalus pagal pradinį terminą:</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vienos nakties 010–040 skiltyse;</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nuo 1 iki 7 dienų 050–080 skiltyse;</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nuo 7 iki 14 dienų 090–120 skiltyse;</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nuo 14 dienų iki 1 mėnesio 130–160 skiltyse;</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nuo 1 iki 3 mėnesių 170–200 skiltyse;</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nuo 3 iki 6 mėnesių 210–240 skiltyse;</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ilgesnis nei 6 mėnesiai 250–280 skiltyse.</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Kiekvieno laiko intervalo, aprašyto 2 dalyje, suma, kurios terminas sueina, nurodoma kairėje skiltyje, pratęsto finansavimo suma nurodoma skiltyje „Terminas pratęstas“, gautos naujos lėšos nurodomos skiltyje „Naujos lėšos“, o grynasis skirtumas tarp naujų lėšų ir pratęsto finansavimo atėmus lėšas, kurių terminas sueina, nurodomas dešinėje skiltyje.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Bendra grynųjų pinigų srautų suma nurodoma 290 skiltyje ir yra lygi visų skiltyse „</w:t>
      </w:r>
      <w:proofErr w:type="spellStart"/>
      <w:r>
        <w:rPr>
          <w:sz w:val="24"/>
          <w:u w:val="none"/>
        </w:rPr>
        <w:t>Neto</w:t>
      </w:r>
      <w:proofErr w:type="spellEnd"/>
      <w:r>
        <w:rPr>
          <w:sz w:val="24"/>
          <w:u w:val="none"/>
        </w:rPr>
        <w:t>“, t. y. 040, 080, 120, 160, 200, 240 ir 280, nurodytų sumų sumai.</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Vidutinis finansavimo terminas dienomis, susijęs su lėšomis, kurių terminas sueina, nurodomas 300 skiltyje.</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Vidutinis finansavimo terminas dienomis, susijęs su pratęsto finansavimo lėšomis, nurodomas 310 skiltyje.</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Vidutinis finansavimo terminas dienomis, susijęs su lėšomis, kurių terminas naujas, nurodomas 320 skiltyje.</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Suma, nurodyta skiltyje „Terminas sueina“, apima visus įsipareigojimus, kuriuos finansavimo teikėjas pagal sutartį gali atšaukti arba kurie yra vykdytini atitinkamą ataskaitinio laikotarpio dieną. Ji visada nurodoma su teigiamu ženklu.</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Suma, nurodyta skiltyje „Terminas pratęstas“, apima sumą, kurios terminas sueina, kaip apibrėžta 2 ir 3 dalyse, kuri lieka įstaigai atitinkamą ataskaitinio laikotarpio dieną. Ji visada nurodoma su teigiamu ženklu. Jeigu finansavimo terminas pasikeičia dėl pratęsimo įvykio, suma skiltyje „Terminas pratęstas“ nurodoma atitinkamame laiko intervale pagal naują terminą.</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Suma, nurodyta skiltyje „Naujos lėšos“, apima faktinius gaunamo finansavimo srautus atitinkamą ataskaitinio laikotarpio dieną. Ji visada nurodoma su teigiamu ženklu.</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Suma, nurodyta skiltyje „</w:t>
      </w:r>
      <w:proofErr w:type="spellStart"/>
      <w:r>
        <w:rPr>
          <w:sz w:val="24"/>
          <w:u w:val="none"/>
        </w:rPr>
        <w:t>Neto</w:t>
      </w:r>
      <w:proofErr w:type="spellEnd"/>
      <w:r>
        <w:rPr>
          <w:sz w:val="24"/>
          <w:u w:val="none"/>
        </w:rPr>
        <w:t>“, yra finansavimo pokytis tam tikrame pradinio termino laiko intervale atitinkamą ataskaitinio laikotarpio dieną ir yra apskaičiuojama „</w:t>
      </w:r>
      <w:proofErr w:type="spellStart"/>
      <w:r>
        <w:rPr>
          <w:sz w:val="24"/>
          <w:u w:val="none"/>
        </w:rPr>
        <w:t>Neto</w:t>
      </w:r>
      <w:proofErr w:type="spellEnd"/>
      <w:r>
        <w:rPr>
          <w:sz w:val="24"/>
          <w:u w:val="none"/>
        </w:rPr>
        <w:t xml:space="preserve">“ skiltyje sudedant naujų lėšų sumą ir pratęsto finansavimo sumą atėmus lėšas, kurių terminas sueina.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Skiltis</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Nuorodos į teisės aktus ir nurodymai</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010–040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Vienos nakties</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yra viena naktis, nurodoma 010 skilties 1.1–1.31 eilučių punktuose. Mėnesių, kurie turi mažiau kaip 31 dieną, taip pat savaitgalių atveju neaktualios eilutės nepildomos.</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pratęsiamas atitinkamą ataskaitinio laikotarpio dieną ir kurios pradinis terminas yra viena naktis, nurodoma 020 skilties 1.1–1.31 eilučių punktuose.</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yra viena naktis, nurodoma 030 skilties 1.1–1.31 eilučių punktuose.</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Grynasis lėšų, kurių terminas sueina kasdien, ir pratęsto finansavimo lėšų bei naujų kasdien gaunamų finansavimo lėšų sumos skirtumas nurodomas 040 skilties 1.1–1.31 eilučių punktuose.</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 ≤ 7 d.</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yra nuo vienos dienos iki vienos savaitės, nurodoma 050 skilties 1.1–1.31 eilučių punktuose. Mėnesių, kurie turi mažiau kaip 31 dieną, taip pat savaitgalių atveju neaktualios eilutės nepildomos.</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pratęsiamas atitinkamą ataskaitinio laikotarpio dieną ir kurios pradinis terminas yra nuo vienos dienos iki vienos savaitės, nurodoma 060 skilties 1.1–1.31 eilučių punktuose.</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yra nuo vienos dienos iki vienos savaitės, nurodoma 70 skilties 1.1–1.31 eilučių punktuose.</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080 skilties 1.1–1.31 eilučių punktuose.</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 ≤ 14 d.</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yra nuo vienos savaitės iki dviejų savaičių, nurodoma 090 skilties 1.1–1.31 eilučių punktuose. Mėnesių, kurie turi mažiau kaip 31 dieną, taip pat savaitgalių atveju neaktualios eilutės nepildomos.</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pratęsiamas atitinkamą ataskaitinio laikotarpio dieną ir kurios pradinis terminas yra nuo vienos savaitės iki dviejų savaičių, nurodoma 100 skilties 1.1–1.31 eilučių punktuose.</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 xml:space="preserve">Bendra naujo finansavimo lėšų suma, kuri gaunama atitinkamą ataskaitinio laikotarpio dieną ir kurios pradinis terminas yra nuo vienos </w:t>
            </w:r>
            <w:r>
              <w:rPr>
                <w:rFonts w:ascii="Times New Roman" w:hAnsi="Times New Roman"/>
                <w:sz w:val="24"/>
              </w:rPr>
              <w:lastRenderedPageBreak/>
              <w:t>savaitės iki dviejų savaičių, nurodoma 110 skilties 1.1–1.31 eilučių punktuose.</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120 skilties 1.1–1.31 eilučių punktuose.</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130–160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 ≤ 1 mėn.</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yra nuo dviejų savaičių iki vieno mėnesio, nurodoma 130 skilties 1.1–1.31 eilučių punktuose. Mėnesių, kurie turi mažiau kaip 31 dieną, taip pat savaitgalių atveju neaktualios eilutės nepildomos.</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pratęsimas atitinkamą ataskaitinio laikotarpio dieną ir kurios pradinis terminas yra nuo dviejų savaičių iki vieno mėnesio, nurodoma 140 skilties 1.1–1.31 eilučių punktuose.</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yra nuo dviejų savaičių iki vieno mėnesio, nurodoma 150 skilties 1.1–1.31 eilučių punktuose.</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160 skilties 1.1–1.31 eilučių punktuose.</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mėn. ≤ 3 mėn.</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yra nuo vieno mėnesio iki trijų mėnesių, nurodoma 170 skilties 1.1–1.31 eilučių punktuose. Mėnesių, kurie turi mažiau kaip 31 dieną, taip pat savaitgalių atveju neaktualios eilutės nepildomos.</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pratęsimas atitinkamą ataskaitinio laikotarpio dieną ir kurios pradinis terminas yra nuo vieno mėnesio iki trijų mėnesių, nurodoma 180 skilties 1.1–1.31 eilučių punktuose.</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yra nuo vieno mėnesio iki trijų mėnesių, nurodoma 190 skilties 1.1–1.31 eilučių punktuose.</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200 skilties 1.1–1.31 eilučių punktuose.</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mėn. ≤ 6 mėn.</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Bendra finansavimo lėšų suma, kurios terminas sueina atitinkamą ataskaitinio laikotarpio dieną ir kurios pradinis terminas yra nuo trijų mėnesių iki šešių mėnesių, nurodoma 210 skilties 1.1–1.31 eilučių </w:t>
            </w:r>
            <w:r>
              <w:rPr>
                <w:rFonts w:ascii="Times New Roman" w:hAnsi="Times New Roman"/>
                <w:sz w:val="24"/>
              </w:rPr>
              <w:lastRenderedPageBreak/>
              <w:t>punktuose. Mėnesių, kurie turi mažiau kaip 31 dieną, taip pat savaitgalių atveju neaktualios eilutės nepildomos.</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pratęsiamas atitinkamą ataskaitinio laikotarpio dieną ir kurios pradinis terminas yra nuo trijų mėnesių iki šešių mėnesių, nurodoma 220 skilties 1.1–1.31 eilučių punktuose.</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yra nuo trijų mėnesių iki šešių mėnesių, nurodoma 230 skilties 1.1–1.31 eilučių punktuose.</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240 skilties 1.1–1.31 eilučių punktuose.</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250–280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mėn.</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Bendra finansavimo lėšų suma, kurios terminas sueina atitinkamą ataskaitinio laikotarpio dieną ir kurios pradinis terminas ilgesnis nei šeši mėnesiai, nurodoma 250 skilties 1.1–1.31 eilučių punktuose. Mėnesių, kurie turi mažiau kaip 31 dieną, taip pat savaitgalių atveju neaktualios eilutės nepildomos.</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Bendra finansavimo lėšų suma, kurios finansavimas pratęsiamas atitinkamą ataskaitinio laikotarpio dieną ir kurios pradinis terminas ilgesnis nei šeši mėnesiai, nurodoma 260 skilties 1.1–1.31 eilučių punktuose.</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Bendra naujo finansavimo lėšų suma, kuri gaunama atitinkamą ataskaitinio laikotarpio dieną ir kurios pradinis terminas ilgesnis nei šeši mėnesiai, nurodoma 270 skilties 1.1–1.31 eilučių punktuose.</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Grynasis lėšų, kurių terminas sueina, ir pratęsto finansavimo lėšų bei naujų gaunamų finansavimo lėšų sumos skirtumas nurodomas 280 skilties 1.1–1.31 eilučių punktuose.</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Bendra grynųjų pinigų srautų suma</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Bendra grynųjų pinigų srautų suma lygi visų skiltyse „</w:t>
            </w:r>
            <w:proofErr w:type="spellStart"/>
            <w:r>
              <w:rPr>
                <w:rFonts w:ascii="Times New Roman" w:hAnsi="Times New Roman"/>
                <w:sz w:val="24"/>
              </w:rPr>
              <w:t>Neto</w:t>
            </w:r>
            <w:proofErr w:type="spellEnd"/>
            <w:r>
              <w:rPr>
                <w:rFonts w:ascii="Times New Roman" w:hAnsi="Times New Roman"/>
                <w:sz w:val="24"/>
              </w:rPr>
              <w:t>“, t. y. 040, 080, 120, 160, 200, 240 ir 280, nurodytų sumų sumai ir nurodoma 290 skiltyje.</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Vidutinis terminas (dienomis)</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Svertinis vidutinis terminas dienomis, susijęs su visomis lėšomis, kurių terminas sueina, nurodomas 300 skiltyje. Svertinis vidutinis terminas dienomis, susijęs su visomis pratęsto finansavimo lėšomis, nurodomas 310 skiltyje, o svertinis vidutinis terminas dienomis, susijęs su visomis naujomis lėšomis, nurodomas 320 skiltyje.</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369A4C3E" w:rsidR="003E009D" w:rsidRDefault="003E009D">
        <w:pPr>
          <w:pStyle w:val="Footer"/>
          <w:jc w:val="center"/>
        </w:pPr>
        <w:r>
          <w:fldChar w:fldCharType="begin"/>
        </w:r>
        <w:r>
          <w:instrText xml:space="preserve"> PAGE   \* MERGEFORMAT </w:instrText>
        </w:r>
        <w:r>
          <w:fldChar w:fldCharType="separate"/>
        </w:r>
        <w:r w:rsidR="00934FCD">
          <w:rPr>
            <w:noProof/>
          </w:rPr>
          <w:t>14</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8FBBF1D" w:rsidR="00EA0D1D" w:rsidRDefault="00EA0D1D">
        <w:pPr>
          <w:pStyle w:val="Footer"/>
          <w:jc w:val="center"/>
        </w:pPr>
        <w:r>
          <w:fldChar w:fldCharType="begin"/>
        </w:r>
        <w:r>
          <w:instrText xml:space="preserve"> PAGE   \* MERGEFORMAT </w:instrText>
        </w:r>
        <w:r>
          <w:fldChar w:fldCharType="separate"/>
        </w:r>
        <w:r w:rsidR="00934FCD">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4FCD"/>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t-L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t-L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t-L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lt-LT" w:eastAsia="de-AT"/>
    </w:rPr>
  </w:style>
  <w:style w:type="character" w:customStyle="1" w:styleId="BalloonTextChar">
    <w:name w:val="Balloon Text Char"/>
    <w:link w:val="BalloonText"/>
    <w:semiHidden/>
    <w:rsid w:val="00167536"/>
    <w:rPr>
      <w:rFonts w:ascii="Tahoma" w:hAnsi="Tahoma" w:cs="Tahoma"/>
      <w:sz w:val="16"/>
      <w:szCs w:val="16"/>
      <w:lang w:val="lt-LT" w:eastAsia="en-US"/>
    </w:rPr>
  </w:style>
  <w:style w:type="character" w:customStyle="1" w:styleId="PlainTextChar">
    <w:name w:val="Plain Text Char"/>
    <w:link w:val="PlainText"/>
    <w:semiHidden/>
    <w:rsid w:val="00167536"/>
    <w:rPr>
      <w:rFonts w:ascii="Consolas" w:hAnsi="Consolas"/>
      <w:sz w:val="21"/>
      <w:szCs w:val="21"/>
      <w:lang w:val="lt-L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t-LT" w:eastAsia="en-US"/>
    </w:rPr>
  </w:style>
  <w:style w:type="character" w:customStyle="1" w:styleId="FooterCoverPageChar">
    <w:name w:val="Footer Cover Page Char"/>
    <w:link w:val="FooterCoverPage"/>
    <w:rsid w:val="00167536"/>
    <w:rPr>
      <w:color w:val="4F81BD"/>
      <w:sz w:val="24"/>
      <w:szCs w:val="24"/>
      <w:lang w:val="lt-L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t-L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7E514-CBE3-4078-AEAE-24BC3A996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4387</Words>
  <Characters>28135</Characters>
  <Application>Microsoft Office Word</Application>
  <DocSecurity>0</DocSecurity>
  <Lines>654</Lines>
  <Paragraphs>345</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32177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SARKAUSKAS Remigijus (DGT-EXT)</cp:lastModifiedBy>
  <cp:revision>6</cp:revision>
  <cp:lastPrinted>2014-06-12T08:34:00Z</cp:lastPrinted>
  <dcterms:created xsi:type="dcterms:W3CDTF">2020-10-01T12:52:00Z</dcterms:created>
  <dcterms:modified xsi:type="dcterms:W3CDTF">2020-12-03T14:54:00Z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