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XXIII LISA</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ARUANDLUSJUHISED GLOBAALSETE SÜSTEEMSELT OLULISTE ETTEVÕTJATE KINDLAKSTEGEMISEKS JA NENDE PUHVRI MÄÄRADE MÄÄRAMISEKS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A56158" w:rsidRDefault="002648B0" w:rsidP="00004542">
      <w:pPr>
        <w:pStyle w:val="InstructionsText"/>
      </w:pPr>
      <w:r w:rsidRPr="00A56158">
        <w:t>Sisukord</w:t>
      </w:r>
    </w:p>
    <w:p w14:paraId="79C8C697" w14:textId="274385E3" w:rsidR="00A56158" w:rsidRPr="00A56158" w:rsidRDefault="00745369">
      <w:pPr>
        <w:pStyle w:val="TOC2"/>
        <w:rPr>
          <w:rFonts w:ascii="Times New Roman" w:eastAsiaTheme="minorEastAsia" w:hAnsi="Times New Roman"/>
          <w:b w:val="0"/>
          <w:smallCaps w:val="0"/>
          <w:sz w:val="24"/>
          <w:szCs w:val="24"/>
          <w:lang w:val="en-GB" w:eastAsia="en-GB"/>
        </w:rPr>
      </w:pPr>
      <w:r w:rsidRPr="00A56158">
        <w:rPr>
          <w:rFonts w:ascii="Times New Roman" w:hAnsi="Times New Roman"/>
          <w:sz w:val="24"/>
          <w:szCs w:val="24"/>
        </w:rPr>
        <w:fldChar w:fldCharType="begin"/>
      </w:r>
      <w:r w:rsidRPr="00A56158">
        <w:rPr>
          <w:rFonts w:ascii="Times New Roman" w:hAnsi="Times New Roman"/>
          <w:sz w:val="24"/>
          <w:szCs w:val="24"/>
        </w:rPr>
        <w:instrText xml:space="preserve"> TOC \o "1-3" \h \z \u </w:instrText>
      </w:r>
      <w:r w:rsidRPr="00A56158">
        <w:rPr>
          <w:rFonts w:ascii="Times New Roman" w:hAnsi="Times New Roman"/>
          <w:sz w:val="24"/>
          <w:szCs w:val="24"/>
        </w:rPr>
        <w:fldChar w:fldCharType="separate"/>
      </w:r>
      <w:hyperlink w:anchor="_Toc58922270" w:history="1">
        <w:r w:rsidR="00A56158" w:rsidRPr="00A56158">
          <w:rPr>
            <w:rStyle w:val="Hyperlink"/>
            <w:rFonts w:ascii="Times New Roman" w:hAnsi="Times New Roman"/>
            <w:sz w:val="24"/>
            <w:szCs w:val="24"/>
          </w:rPr>
          <w:t>I OSA. ÜLDISED JUHISED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_Toc58922270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2</w:t>
        </w:r>
        <w:r w:rsidR="00A56158" w:rsidRPr="00A56158">
          <w:rPr>
            <w:rFonts w:ascii="Times New Roman" w:hAnsi="Times New Roman"/>
            <w:webHidden/>
            <w:sz w:val="24"/>
            <w:szCs w:val="24"/>
          </w:rPr>
          <w:fldChar w:fldCharType="end"/>
        </w:r>
      </w:hyperlink>
    </w:p>
    <w:p w14:paraId="26777941" w14:textId="1D75A1EE"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1"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w:t>
        </w:r>
        <w:r w:rsidR="00A56158">
          <w:rPr>
            <w:rStyle w:val="Hyperlink"/>
            <w:rFonts w:ascii="Times New Roman" w:hAnsi="Times New Roman"/>
            <w:sz w:val="24"/>
            <w:szCs w:val="24"/>
          </w:rPr>
          <w:t xml:space="preserve"> </w:t>
        </w:r>
        <w:r w:rsidR="00A56158" w:rsidRPr="00A56158">
          <w:rPr>
            <w:rStyle w:val="Hyperlink"/>
            <w:rFonts w:ascii="Times New Roman" w:hAnsi="Times New Roman"/>
            <w:sz w:val="24"/>
            <w:szCs w:val="24"/>
          </w:rPr>
          <w:t>Struktuur ja põhimõtted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_Toc58922271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2</w:t>
        </w:r>
        <w:r w:rsidR="00A56158" w:rsidRPr="00A56158">
          <w:rPr>
            <w:rFonts w:ascii="Times New Roman" w:hAnsi="Times New Roman"/>
            <w:webHidden/>
            <w:sz w:val="24"/>
            <w:szCs w:val="24"/>
          </w:rPr>
          <w:fldChar w:fldCharType="end"/>
        </w:r>
      </w:hyperlink>
    </w:p>
    <w:p w14:paraId="507389C1" w14:textId="52A7FE89"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2"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w:t>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 Struktuur</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_Toc58922272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2</w:t>
        </w:r>
        <w:r w:rsidR="00A56158" w:rsidRPr="00A56158">
          <w:rPr>
            <w:rFonts w:ascii="Times New Roman" w:hAnsi="Times New Roman"/>
            <w:webHidden/>
            <w:sz w:val="24"/>
            <w:szCs w:val="24"/>
          </w:rPr>
          <w:fldChar w:fldCharType="end"/>
        </w:r>
      </w:hyperlink>
    </w:p>
    <w:p w14:paraId="7B789477" w14:textId="41714AC0"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3"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w:t>
        </w:r>
        <w:r w:rsidR="00A56158" w:rsidRPr="00D13F6A">
          <w:rPr>
            <w:rStyle w:val="Hyperlink"/>
            <w:rFonts w:ascii="Times New Roman" w:hAnsi="Times New Roman"/>
            <w:sz w:val="24"/>
            <w:szCs w:val="24"/>
          </w:rPr>
          <w:t>2</w:t>
        </w:r>
        <w:r w:rsidR="00A56158" w:rsidRPr="00A56158">
          <w:rPr>
            <w:rStyle w:val="Hyperlink"/>
            <w:rFonts w:ascii="Times New Roman" w:hAnsi="Times New Roman"/>
            <w:sz w:val="24"/>
            <w:szCs w:val="24"/>
          </w:rPr>
          <w:t>. Nummerdamise põhimõtted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_Toc58922273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2</w:t>
        </w:r>
        <w:r w:rsidR="00A56158" w:rsidRPr="00A56158">
          <w:rPr>
            <w:rFonts w:ascii="Times New Roman" w:hAnsi="Times New Roman"/>
            <w:webHidden/>
            <w:sz w:val="24"/>
            <w:szCs w:val="24"/>
          </w:rPr>
          <w:fldChar w:fldCharType="end"/>
        </w:r>
      </w:hyperlink>
    </w:p>
    <w:p w14:paraId="5BE493E3" w14:textId="1FBC9A87"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4"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w:t>
        </w:r>
        <w:r w:rsidR="00A56158" w:rsidRPr="00D13F6A">
          <w:rPr>
            <w:rStyle w:val="Hyperlink"/>
            <w:rFonts w:ascii="Times New Roman" w:hAnsi="Times New Roman"/>
            <w:sz w:val="24"/>
            <w:szCs w:val="24"/>
          </w:rPr>
          <w:t>3</w:t>
        </w:r>
        <w:r w:rsidR="00A56158" w:rsidRPr="00A56158">
          <w:rPr>
            <w:rStyle w:val="Hyperlink"/>
            <w:rFonts w:ascii="Times New Roman" w:hAnsi="Times New Roman"/>
            <w:sz w:val="24"/>
            <w:szCs w:val="24"/>
          </w:rPr>
          <w:t>. Märgi põhimõtted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_Toc58922274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2</w:t>
        </w:r>
        <w:r w:rsidR="00A56158" w:rsidRPr="00A56158">
          <w:rPr>
            <w:rFonts w:ascii="Times New Roman" w:hAnsi="Times New Roman"/>
            <w:webHidden/>
            <w:sz w:val="24"/>
            <w:szCs w:val="24"/>
          </w:rPr>
          <w:fldChar w:fldCharType="end"/>
        </w:r>
      </w:hyperlink>
    </w:p>
    <w:p w14:paraId="6B0A52A4" w14:textId="0ECCC9AA"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5"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w:t>
        </w:r>
        <w:r w:rsidR="00A56158" w:rsidRPr="00D13F6A">
          <w:rPr>
            <w:rStyle w:val="Hyperlink"/>
            <w:rFonts w:ascii="Times New Roman" w:hAnsi="Times New Roman"/>
            <w:sz w:val="24"/>
            <w:szCs w:val="24"/>
          </w:rPr>
          <w:t>4</w:t>
        </w:r>
        <w:r w:rsidR="00A56158" w:rsidRPr="00A56158">
          <w:rPr>
            <w:rStyle w:val="Hyperlink"/>
            <w:rFonts w:ascii="Times New Roman" w:hAnsi="Times New Roman"/>
            <w:sz w:val="24"/>
            <w:szCs w:val="24"/>
          </w:rPr>
          <w:t>. Lühendid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_Toc58922275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2</w:t>
        </w:r>
        <w:r w:rsidR="00A56158" w:rsidRPr="00A56158">
          <w:rPr>
            <w:rFonts w:ascii="Times New Roman" w:hAnsi="Times New Roman"/>
            <w:webHidden/>
            <w:sz w:val="24"/>
            <w:szCs w:val="24"/>
          </w:rPr>
          <w:fldChar w:fldCharType="end"/>
        </w:r>
      </w:hyperlink>
    </w:p>
    <w:p w14:paraId="06113BFE" w14:textId="770BA685"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6" w:history="1">
        <w:r w:rsidR="00A56158" w:rsidRPr="00A56158">
          <w:rPr>
            <w:rStyle w:val="Hyperlink"/>
            <w:rFonts w:ascii="Times New Roman" w:hAnsi="Times New Roman"/>
            <w:sz w:val="24"/>
            <w:szCs w:val="24"/>
          </w:rPr>
          <w:t>II OSA. VORMIDE TÄITMISE JUHISED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_Toc58922276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3</w:t>
        </w:r>
        <w:r w:rsidR="00A56158" w:rsidRPr="00A56158">
          <w:rPr>
            <w:rFonts w:ascii="Times New Roman" w:hAnsi="Times New Roman"/>
            <w:webHidden/>
            <w:sz w:val="24"/>
            <w:szCs w:val="24"/>
          </w:rPr>
          <w:fldChar w:fldCharType="end"/>
        </w:r>
      </w:hyperlink>
    </w:p>
    <w:p w14:paraId="5E372DA7" w14:textId="4A052B3C"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7"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1</w:t>
        </w:r>
        <w:r w:rsidR="00A56158" w:rsidRPr="00A56158">
          <w:rPr>
            <w:rStyle w:val="Hyperlink"/>
            <w:rFonts w:ascii="Times New Roman" w:hAnsi="Times New Roman"/>
            <w:sz w:val="24"/>
            <w:szCs w:val="24"/>
          </w:rPr>
          <w:t>. Üldised märkused</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_Toc58922277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3</w:t>
        </w:r>
        <w:r w:rsidR="00A56158" w:rsidRPr="00A56158">
          <w:rPr>
            <w:rFonts w:ascii="Times New Roman" w:hAnsi="Times New Roman"/>
            <w:webHidden/>
            <w:sz w:val="24"/>
            <w:szCs w:val="24"/>
          </w:rPr>
          <w:fldChar w:fldCharType="end"/>
        </w:r>
      </w:hyperlink>
    </w:p>
    <w:p w14:paraId="05DF4A38" w14:textId="0FC28162" w:rsidR="00A56158" w:rsidRPr="00A56158" w:rsidRDefault="00D13F6A">
      <w:pPr>
        <w:pStyle w:val="TOC2"/>
        <w:rPr>
          <w:rFonts w:ascii="Times New Roman" w:eastAsiaTheme="minorEastAsia" w:hAnsi="Times New Roman"/>
          <w:b w:val="0"/>
          <w:smallCaps w:val="0"/>
          <w:sz w:val="24"/>
          <w:szCs w:val="24"/>
          <w:lang w:val="en-GB" w:eastAsia="en-GB"/>
        </w:rPr>
      </w:pPr>
      <w:hyperlink w:anchor="_Toc58922278" w:history="1">
        <w:r w:rsidR="00A56158" w:rsidRPr="00A56158">
          <w:rPr>
            <w:rFonts w:ascii="Times New Roman" w:eastAsiaTheme="minorEastAsia" w:hAnsi="Times New Roman"/>
            <w:b w:val="0"/>
            <w:smallCaps w:val="0"/>
            <w:sz w:val="24"/>
            <w:szCs w:val="24"/>
            <w:lang w:val="en-GB" w:eastAsia="en-GB"/>
          </w:rPr>
          <w:tab/>
        </w:r>
        <w:r w:rsidR="00A56158" w:rsidRPr="00D13F6A">
          <w:rPr>
            <w:rStyle w:val="Hyperlink"/>
            <w:rFonts w:ascii="Times New Roman" w:hAnsi="Times New Roman"/>
            <w:sz w:val="24"/>
            <w:szCs w:val="24"/>
          </w:rPr>
          <w:t>2</w:t>
        </w:r>
        <w:r w:rsidR="00A56158" w:rsidRPr="00A56158">
          <w:rPr>
            <w:rStyle w:val="Hyperlink"/>
            <w:rFonts w:ascii="Times New Roman" w:hAnsi="Times New Roman"/>
            <w:sz w:val="24"/>
            <w:szCs w:val="24"/>
          </w:rPr>
          <w:t>. Juhised konkreetsete kirjete kohta</w:t>
        </w:r>
        <w:r w:rsidR="00A56158" w:rsidRPr="00A56158">
          <w:rPr>
            <w:rFonts w:ascii="Times New Roman" w:hAnsi="Times New Roman"/>
            <w:webHidden/>
            <w:sz w:val="24"/>
            <w:szCs w:val="24"/>
          </w:rPr>
          <w:tab/>
        </w:r>
        <w:r w:rsidR="00A56158" w:rsidRPr="00A56158">
          <w:rPr>
            <w:rFonts w:ascii="Times New Roman" w:hAnsi="Times New Roman"/>
            <w:webHidden/>
            <w:sz w:val="24"/>
            <w:szCs w:val="24"/>
          </w:rPr>
          <w:fldChar w:fldCharType="begin"/>
        </w:r>
        <w:r w:rsidR="00A56158" w:rsidRPr="00A56158">
          <w:rPr>
            <w:rFonts w:ascii="Times New Roman" w:hAnsi="Times New Roman"/>
            <w:webHidden/>
            <w:sz w:val="24"/>
            <w:szCs w:val="24"/>
          </w:rPr>
          <w:instrText xml:space="preserve"> PAGEREF _Toc58922278 \h </w:instrText>
        </w:r>
        <w:r w:rsidR="00A56158" w:rsidRPr="00A56158">
          <w:rPr>
            <w:rFonts w:ascii="Times New Roman" w:hAnsi="Times New Roman"/>
            <w:webHidden/>
            <w:sz w:val="24"/>
            <w:szCs w:val="24"/>
          </w:rPr>
        </w:r>
        <w:r w:rsidR="00A56158" w:rsidRPr="00A56158">
          <w:rPr>
            <w:rFonts w:ascii="Times New Roman" w:hAnsi="Times New Roman"/>
            <w:webHidden/>
            <w:sz w:val="24"/>
            <w:szCs w:val="24"/>
          </w:rPr>
          <w:fldChar w:fldCharType="separate"/>
        </w:r>
        <w:r w:rsidR="00A56158" w:rsidRPr="00D13F6A">
          <w:rPr>
            <w:rFonts w:ascii="Times New Roman" w:hAnsi="Times New Roman"/>
            <w:webHidden/>
            <w:sz w:val="24"/>
            <w:szCs w:val="24"/>
          </w:rPr>
          <w:t>3</w:t>
        </w:r>
        <w:r w:rsidR="00A56158" w:rsidRPr="00A56158">
          <w:rPr>
            <w:rFonts w:ascii="Times New Roman" w:hAnsi="Times New Roman"/>
            <w:webHidden/>
            <w:sz w:val="24"/>
            <w:szCs w:val="24"/>
          </w:rPr>
          <w:fldChar w:fldCharType="end"/>
        </w:r>
      </w:hyperlink>
    </w:p>
    <w:p w14:paraId="7AC7042C" w14:textId="0E0BE7D0"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A56158">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922270"/>
      <w:r>
        <w:lastRenderedPageBreak/>
        <w:t>I OSA.</w:t>
      </w:r>
      <w:bookmarkEnd w:id="2"/>
      <w:r>
        <w:t xml:space="preserve"> ÜLDISED JUHISED</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922271"/>
      <w:r w:rsidRPr="00D13F6A">
        <w:rPr>
          <w:sz w:val="24"/>
        </w:rPr>
        <w:t>1</w:t>
      </w:r>
      <w:r>
        <w:rPr>
          <w:sz w:val="24"/>
        </w:rPr>
        <w:t>.</w:t>
      </w:r>
      <w:r>
        <w:tab/>
      </w:r>
      <w:r>
        <w:rPr>
          <w:sz w:val="24"/>
        </w:rPr>
        <w:t>Struktuur ja põhimõtted</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922272"/>
      <w:bookmarkStart w:id="12" w:name="_Toc264038399"/>
      <w:bookmarkStart w:id="13" w:name="_Toc294018834"/>
      <w:r w:rsidRPr="00D13F6A">
        <w:rPr>
          <w:sz w:val="24"/>
        </w:rPr>
        <w:t>1</w:t>
      </w:r>
      <w:r>
        <w:rPr>
          <w:sz w:val="24"/>
        </w:rPr>
        <w:t>.</w:t>
      </w:r>
      <w:r w:rsidRPr="00D13F6A">
        <w:rPr>
          <w:sz w:val="24"/>
        </w:rPr>
        <w:t>1</w:t>
      </w:r>
      <w:r>
        <w:rPr>
          <w:sz w:val="24"/>
        </w:rPr>
        <w:t>.</w:t>
      </w:r>
      <w:r>
        <w:tab/>
      </w:r>
      <w:r>
        <w:rPr>
          <w:sz w:val="24"/>
        </w:rPr>
        <w:t>Struktuur</w:t>
      </w:r>
      <w:bookmarkEnd w:id="9"/>
      <w:bookmarkEnd w:id="10"/>
      <w:bookmarkEnd w:id="11"/>
    </w:p>
    <w:p w14:paraId="6C67B776" w14:textId="5BE94C55" w:rsidR="005643EA" w:rsidRPr="00EC067D" w:rsidRDefault="00125707" w:rsidP="00004542">
      <w:pPr>
        <w:pStyle w:val="InstructionsText2"/>
        <w:numPr>
          <w:ilvl w:val="0"/>
          <w:numId w:val="0"/>
        </w:numPr>
        <w:ind w:left="993"/>
      </w:pPr>
      <w:r w:rsidRPr="00D13F6A">
        <w:t>1</w:t>
      </w:r>
      <w:r>
        <w:t>.</w:t>
      </w:r>
      <w:r>
        <w:tab/>
        <w:t>Käesolev raamistik koosneb ühest vormist, mis sisaldab teavet globaalse süsteemse olulisuse näitajate ja konkreetsete kirjete kohta, mida on vaja, et kohaldada ELi metoodikat globaalsete süsteemselt oluliste ettevõtjate kindlakstegemiseks ja vastavate globaalsete süsteemselt oluliste ettevõtjate puhvri määrade määramiseks.</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922273"/>
      <w:r w:rsidRPr="00D13F6A">
        <w:rPr>
          <w:sz w:val="24"/>
        </w:rPr>
        <w:t>1</w:t>
      </w:r>
      <w:r>
        <w:rPr>
          <w:sz w:val="24"/>
        </w:rPr>
        <w:t>.</w:t>
      </w:r>
      <w:r w:rsidRPr="00D13F6A">
        <w:rPr>
          <w:sz w:val="24"/>
        </w:rPr>
        <w:t>2</w:t>
      </w:r>
      <w:r>
        <w:rPr>
          <w:sz w:val="24"/>
        </w:rPr>
        <w:t>.</w:t>
      </w:r>
      <w:r>
        <w:tab/>
      </w:r>
      <w:r>
        <w:rPr>
          <w:sz w:val="24"/>
        </w:rPr>
        <w:t>Nummerdamise põhimõtted</w:t>
      </w:r>
      <w:bookmarkEnd w:id="14"/>
      <w:bookmarkEnd w:id="15"/>
      <w:bookmarkEnd w:id="16"/>
    </w:p>
    <w:p w14:paraId="3C0F0268" w14:textId="5212C39C" w:rsidR="002648B0" w:rsidRPr="00EC067D" w:rsidRDefault="006137FD" w:rsidP="00004542">
      <w:pPr>
        <w:pStyle w:val="InstructionsText2"/>
        <w:numPr>
          <w:ilvl w:val="0"/>
          <w:numId w:val="0"/>
        </w:numPr>
        <w:ind w:left="993"/>
      </w:pPr>
      <w:r w:rsidRPr="00D13F6A">
        <w:t>2</w:t>
      </w:r>
      <w:r>
        <w:t>.</w:t>
      </w:r>
      <w:r>
        <w:tab/>
        <w:t xml:space="preserve">Vormide veergudele, ridadele ja lahtritele viitamisel on käesolevas dokumendis aluseks võetud punktides </w:t>
      </w:r>
      <w:r w:rsidRPr="00D13F6A">
        <w:t>3</w:t>
      </w:r>
      <w:r>
        <w:t>–</w:t>
      </w:r>
      <w:r w:rsidRPr="00D13F6A">
        <w:t>5</w:t>
      </w:r>
      <w:r>
        <w:t xml:space="preserve"> kirjeldatud nummerdamispõhimõtted. Need numbrilised koodid on valideerimise eeskirjades laialdaselt kasutusel.</w:t>
      </w:r>
    </w:p>
    <w:p w14:paraId="26DC2799" w14:textId="2C43513E" w:rsidR="005643EA" w:rsidRPr="00EC067D" w:rsidRDefault="006137FD" w:rsidP="00004542">
      <w:pPr>
        <w:pStyle w:val="InstructionsText2"/>
        <w:numPr>
          <w:ilvl w:val="0"/>
          <w:numId w:val="0"/>
        </w:numPr>
        <w:ind w:left="993"/>
      </w:pPr>
      <w:r w:rsidRPr="00D13F6A">
        <w:t>3</w:t>
      </w:r>
      <w:r>
        <w:t>.</w:t>
      </w:r>
      <w:r>
        <w:tab/>
        <w:t>Juhistes kasutatakse järgmisel kujul olevat üldist märget: {Vorm; Rida; Veerg}.</w:t>
      </w:r>
    </w:p>
    <w:p w14:paraId="6A9F72AA" w14:textId="1B191E59" w:rsidR="005643EA" w:rsidRPr="00EC067D" w:rsidRDefault="006137FD" w:rsidP="00004542">
      <w:pPr>
        <w:pStyle w:val="InstructionsText2"/>
        <w:numPr>
          <w:ilvl w:val="0"/>
          <w:numId w:val="0"/>
        </w:numPr>
        <w:ind w:left="993"/>
      </w:pPr>
      <w:r w:rsidRPr="00D13F6A">
        <w:t>4</w:t>
      </w:r>
      <w:r>
        <w:t>.</w:t>
      </w:r>
      <w:r>
        <w:tab/>
        <w:t>Kui ühe vormi sees esitatud viidete korral kasutatakse ainult selles vormis sisalduvaid andmepunkte, siis vormile märkes ei viidata: {Rida; Veerg}. Ainult ühte veergu sisaldavate vormide puhul viidatakse ainult ridadele: {Vorm; Rida}.</w:t>
      </w:r>
    </w:p>
    <w:p w14:paraId="01FECE3C" w14:textId="482B71E1" w:rsidR="002648B0" w:rsidRPr="00EC067D" w:rsidRDefault="006137FD" w:rsidP="00004542">
      <w:pPr>
        <w:pStyle w:val="InstructionsText2"/>
        <w:numPr>
          <w:ilvl w:val="0"/>
          <w:numId w:val="0"/>
        </w:numPr>
        <w:ind w:left="993"/>
      </w:pPr>
      <w:r w:rsidRPr="00D13F6A">
        <w:t>5</w:t>
      </w:r>
      <w:r>
        <w:t>.</w:t>
      </w:r>
      <w:r>
        <w:tab/>
        <w:t>Tärni kasutatakse selle tähistamiseks, et viide hõlmab eelnevalt kindlaks määratud ridu või veerge.</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58922274"/>
      <w:r w:rsidRPr="00D13F6A">
        <w:rPr>
          <w:sz w:val="24"/>
        </w:rPr>
        <w:t>1</w:t>
      </w:r>
      <w:r>
        <w:rPr>
          <w:sz w:val="24"/>
        </w:rPr>
        <w:t>.</w:t>
      </w:r>
      <w:r w:rsidRPr="00D13F6A">
        <w:rPr>
          <w:sz w:val="24"/>
        </w:rPr>
        <w:t>3</w:t>
      </w:r>
      <w:r>
        <w:rPr>
          <w:sz w:val="24"/>
        </w:rPr>
        <w:t>.</w:t>
      </w:r>
      <w:r>
        <w:tab/>
      </w:r>
      <w:r>
        <w:rPr>
          <w:sz w:val="24"/>
        </w:rPr>
        <w:t>Märgi põhimõtted</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rsidRPr="00D13F6A">
        <w:t>6</w:t>
      </w:r>
      <w:r>
        <w:t>.</w:t>
      </w:r>
      <w:r>
        <w:tab/>
        <w:t>Iga summa, mis suurendab näitaja, varade, kohustuste või riskipositsioonide väärtust, kajastatakse aruandes positiivse arvuna. Iga summa, mis vähendab näitaja, varade, kohustuste või riskipositsioonide väärtust, kajastatakse aruandes negatiivse arvuna. Kui kirje nimetuse ees on miinusmärk (–), ei esitata kõnealuse kirje puhul positiivset arvu.</w:t>
      </w:r>
    </w:p>
    <w:p w14:paraId="318F1B9B" w14:textId="19EFDD0F" w:rsidR="00304CA5" w:rsidRPr="00EC067D" w:rsidRDefault="00304CA5" w:rsidP="00EC067D">
      <w:pPr>
        <w:pStyle w:val="Instructionsberschrift2"/>
        <w:rPr>
          <w:rFonts w:cs="Times New Roman"/>
          <w:sz w:val="24"/>
        </w:rPr>
      </w:pPr>
      <w:bookmarkStart w:id="20" w:name="_Toc58922275"/>
      <w:r w:rsidRPr="00D13F6A">
        <w:rPr>
          <w:sz w:val="24"/>
        </w:rPr>
        <w:t>1</w:t>
      </w:r>
      <w:r>
        <w:rPr>
          <w:sz w:val="24"/>
        </w:rPr>
        <w:t>.</w:t>
      </w:r>
      <w:r w:rsidRPr="00D13F6A">
        <w:rPr>
          <w:sz w:val="24"/>
        </w:rPr>
        <w:t>4</w:t>
      </w:r>
      <w:r>
        <w:rPr>
          <w:sz w:val="24"/>
        </w:rPr>
        <w:t>.</w:t>
      </w:r>
      <w:r>
        <w:tab/>
      </w:r>
      <w:r>
        <w:rPr>
          <w:sz w:val="24"/>
        </w:rPr>
        <w:t>Lühendid</w:t>
      </w:r>
      <w:bookmarkEnd w:id="20"/>
    </w:p>
    <w:p w14:paraId="5A22E3D2" w14:textId="07D28013" w:rsidR="00304CA5" w:rsidRPr="00EC067D" w:rsidRDefault="006137FD" w:rsidP="00004542">
      <w:pPr>
        <w:pStyle w:val="InstructionsText2"/>
        <w:numPr>
          <w:ilvl w:val="0"/>
          <w:numId w:val="0"/>
        </w:numPr>
        <w:ind w:left="993"/>
      </w:pPr>
      <w:r w:rsidRPr="00D13F6A">
        <w:t>7</w:t>
      </w:r>
      <w:r>
        <w:t xml:space="preserve">. Selles lisas kasutatakse Euroopa Parlamendi ja nõukogu määruse (EL) nr </w:t>
      </w:r>
      <w:r w:rsidRPr="00D13F6A">
        <w:t>575</w:t>
      </w:r>
      <w:r>
        <w:t>/</w:t>
      </w:r>
      <w:r w:rsidRPr="00D13F6A">
        <w:t>2013</w:t>
      </w:r>
      <w:r>
        <w:rPr>
          <w:rStyle w:val="FootnoteReference"/>
          <w:rFonts w:ascii="Times New Roman" w:hAnsi="Times New Roman"/>
          <w:sz w:val="24"/>
          <w:szCs w:val="24"/>
          <w:vertAlign w:val="superscript"/>
        </w:rPr>
        <w:footnoteReference w:id="2"/>
      </w:r>
      <w:r>
        <w:t xml:space="preserve"> puhul lühendit „kapitalinõuete määrus“ ning Euroopa Parlamendi ja nõukogu direktiivi </w:t>
      </w:r>
      <w:r w:rsidRPr="00D13F6A">
        <w:t>2013</w:t>
      </w:r>
      <w:r>
        <w:t>/</w:t>
      </w:r>
      <w:r w:rsidRPr="00D13F6A">
        <w:t>36</w:t>
      </w:r>
      <w:r>
        <w:t>/EL</w:t>
      </w:r>
      <w:r>
        <w:rPr>
          <w:rStyle w:val="FootnoteReference"/>
          <w:rFonts w:ascii="Times New Roman" w:hAnsi="Times New Roman"/>
          <w:sz w:val="24"/>
          <w:szCs w:val="24"/>
          <w:vertAlign w:val="superscript"/>
        </w:rPr>
        <w:footnoteReference w:id="3"/>
      </w:r>
      <w:r>
        <w:t xml:space="preserve"> puhul lühendit „kapitalinõuete direktiiv“.</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EC067D" w:rsidRDefault="002648B0" w:rsidP="00EC067D">
      <w:pPr>
        <w:pStyle w:val="Heading2"/>
      </w:pPr>
      <w:bookmarkStart w:id="22" w:name="_Toc360188322"/>
      <w:bookmarkStart w:id="23" w:name="_Toc473560870"/>
      <w:bookmarkStart w:id="24" w:name="_Toc58922276"/>
      <w:r>
        <w:lastRenderedPageBreak/>
        <w:t>II OSA. VORMIDE TÄITMISE JUHISED</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58922277"/>
      <w:r w:rsidRPr="00D13F6A">
        <w:rPr>
          <w:sz w:val="24"/>
        </w:rPr>
        <w:t>1</w:t>
      </w:r>
      <w:r>
        <w:rPr>
          <w:sz w:val="24"/>
        </w:rPr>
        <w:t>.</w:t>
      </w:r>
      <w:r>
        <w:tab/>
      </w:r>
      <w:bookmarkStart w:id="28" w:name="_Toc308175819"/>
      <w:bookmarkStart w:id="29" w:name="_Toc360188324"/>
      <w:bookmarkStart w:id="30" w:name="_Toc473560872"/>
      <w:bookmarkEnd w:id="25"/>
      <w:bookmarkEnd w:id="26"/>
      <w:r>
        <w:rPr>
          <w:sz w:val="24"/>
        </w:rPr>
        <w:t>Üldised märkused</w:t>
      </w:r>
      <w:bookmarkEnd w:id="28"/>
      <w:bookmarkEnd w:id="29"/>
      <w:bookmarkEnd w:id="30"/>
      <w:bookmarkEnd w:id="27"/>
    </w:p>
    <w:p w14:paraId="410557ED" w14:textId="2C0E81CE" w:rsidR="006137FD" w:rsidRPr="00EC067D" w:rsidRDefault="00004542" w:rsidP="00004542">
      <w:pPr>
        <w:pStyle w:val="InstructionsText2"/>
        <w:numPr>
          <w:ilvl w:val="0"/>
          <w:numId w:val="0"/>
        </w:numPr>
        <w:ind w:left="993"/>
      </w:pPr>
      <w:r w:rsidRPr="00D13F6A">
        <w:t>8</w:t>
      </w:r>
      <w:r>
        <w:t>.</w:t>
      </w:r>
      <w:r>
        <w:tab/>
        <w:t xml:space="preserve">Vorm on jagatud kaheks osaks. Globaalsete süsteemselt oluliste ettevõtjate näitajaid kajastav ülemine osa sisaldab näitajaid globaalsete süsteemselt oluliste ettevõtjate kindlakstegemiseks, nagu on määratletud Baseli pangajärelevalve komitee väljatöötatud metoodikas. Alumine osa sisaldab mitut kirjet, mis on vajalikud asjakohaste näitajate arvutamiseks vastavalt kapitalinõuete direktiivi artikli </w:t>
      </w:r>
      <w:r w:rsidRPr="00D13F6A">
        <w:t>131</w:t>
      </w:r>
      <w:r>
        <w:t xml:space="preserve"> lõike </w:t>
      </w:r>
      <w:r w:rsidRPr="00D13F6A">
        <w:t>18</w:t>
      </w:r>
      <w:r>
        <w:t xml:space="preserve"> alusel kindlaksmääratud metoodikale. </w:t>
      </w:r>
    </w:p>
    <w:p w14:paraId="285BFC5F" w14:textId="50F4BAE2" w:rsidR="005643EA" w:rsidRPr="00EC067D" w:rsidRDefault="00004542" w:rsidP="00004542">
      <w:pPr>
        <w:pStyle w:val="InstructionsText2"/>
        <w:numPr>
          <w:ilvl w:val="0"/>
          <w:numId w:val="0"/>
        </w:numPr>
        <w:ind w:left="993"/>
      </w:pPr>
      <w:r w:rsidRPr="00D13F6A">
        <w:t>9</w:t>
      </w:r>
      <w:r>
        <w:t>.</w:t>
      </w:r>
      <w:r>
        <w:tab/>
        <w:t xml:space="preserve">Vajaduse korral peab käesolevas vormis esitatud teave olema kooskõlas teabega, mis esitatakse asjaomastele asutustele selleks, et need asutused saaksid koguda näitajate väärtusi, nagu on sätestatud komisjoni delegeeritud määruse (EL) nr </w:t>
      </w:r>
      <w:r w:rsidRPr="00D13F6A">
        <w:t>1222</w:t>
      </w:r>
      <w:r>
        <w:t>/</w:t>
      </w:r>
      <w:r w:rsidRPr="00D13F6A">
        <w:t>2014</w:t>
      </w:r>
      <w:r>
        <w:t xml:space="preserve"> artikli </w:t>
      </w:r>
      <w:r w:rsidRPr="00D13F6A">
        <w:t>3</w:t>
      </w:r>
      <w:r>
        <w:t xml:space="preserve"> lõikes </w:t>
      </w:r>
      <w:r w:rsidRPr="00D13F6A">
        <w:t>2</w:t>
      </w:r>
      <w:r>
        <w:t>.</w:t>
      </w:r>
    </w:p>
    <w:p w14:paraId="1640AAF5" w14:textId="0F89A136" w:rsidR="002648B0" w:rsidRPr="00EC067D" w:rsidRDefault="00125707" w:rsidP="00EC067D">
      <w:pPr>
        <w:pStyle w:val="Instructionsberschrift2"/>
        <w:rPr>
          <w:rFonts w:cs="Times New Roman"/>
          <w:sz w:val="24"/>
        </w:rPr>
      </w:pPr>
      <w:bookmarkStart w:id="31" w:name="_Toc310414968"/>
      <w:bookmarkStart w:id="32" w:name="_Toc360188326"/>
      <w:bookmarkStart w:id="33" w:name="_Toc473560874"/>
      <w:bookmarkStart w:id="34" w:name="_Toc58922278"/>
      <w:r w:rsidRPr="00D13F6A">
        <w:rPr>
          <w:sz w:val="24"/>
        </w:rPr>
        <w:t>2</w:t>
      </w:r>
      <w:r>
        <w:rPr>
          <w:sz w:val="24"/>
        </w:rPr>
        <w:t>.</w:t>
      </w:r>
      <w:r>
        <w:tab/>
      </w:r>
      <w:bookmarkStart w:id="35" w:name="_Toc308175821"/>
      <w:r>
        <w:rPr>
          <w:sz w:val="24"/>
        </w:rPr>
        <w:t>Juhised konkreetsete kirjete kohta</w:t>
      </w:r>
      <w:bookmarkEnd w:id="35"/>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0010</w:t>
            </w:r>
            <w:r>
              <w:rPr>
                <w:rStyle w:val="FormatvorlageInstructionsTabelleText"/>
                <w:rFonts w:ascii="Times New Roman" w:hAnsi="Times New Roman"/>
                <w:sz w:val="24"/>
              </w:rPr>
              <w:t>–</w:t>
            </w:r>
            <w:r w:rsidRPr="00D13F6A">
              <w:rPr>
                <w:rStyle w:val="FormatvorlageInstructionsTabelleText"/>
                <w:rFonts w:ascii="Times New Roman" w:hAnsi="Times New Roman"/>
                <w:sz w:val="24"/>
              </w:rPr>
              <w:t>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Globaalsete süsteemselt oluliste ettevõtjate näitajad</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Näitajate määratlus on sama, mida kasutatakse komisjoni delegeeritud määruse (EL) nr </w:t>
            </w:r>
            <w:r w:rsidRPr="00D13F6A">
              <w:rPr>
                <w:rStyle w:val="FormatvorlageInstructionsTabelleText"/>
                <w:rFonts w:ascii="Times New Roman" w:hAnsi="Times New Roman"/>
                <w:sz w:val="24"/>
              </w:rPr>
              <w:t>1222</w:t>
            </w:r>
            <w:r>
              <w:rPr>
                <w:rStyle w:val="FormatvorlageInstructionsTabelleText"/>
                <w:rFonts w:ascii="Times New Roman" w:hAnsi="Times New Roman"/>
                <w:sz w:val="24"/>
              </w:rPr>
              <w:t>/</w:t>
            </w:r>
            <w:r w:rsidRPr="00D13F6A">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lisas loetletud teabe kindlaksmääramiseks.</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Metoodika muutmise korral kasutatakse sama metoodikat, mida kasutatakse näitajate väärtuste kindlaksmääramiseks alates majandusaasta lõpust, teabe esitamiseks alates sama majandusaasta esimese, teise ja kolmanda kvartali lõpust.</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Näitajad, mis kujutavad endast voogude näitajaid, esitatakse kumulatiivselt alates kalendri- või majandusaasta algusest, nagu on asjakohane.</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Jurisdiktsiooniülesed nõuded</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Jurisdiktsiooniülesed kohustused</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 (finantsvõimenduse määr)</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Finantssüsteemisisesed varad</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Finantssüsteemisisesed kohustused</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Tagasiostmata väärtpaberid</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Hoiul olevad varad</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Maksetegevus</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Võlakirja- ja aktsiaturgudel tehtud emissiooni tagamise tehingud</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Kauplemismaht</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Börsiväliste tuletisinstrumentide tinglik väärtus</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sidRPr="00D13F6A">
              <w:rPr>
                <w:rStyle w:val="InstructionsTabelleberschrift"/>
                <w:rFonts w:ascii="Times New Roman" w:hAnsi="Times New Roman"/>
                <w:sz w:val="24"/>
              </w:rPr>
              <w:t>3</w:t>
            </w:r>
            <w:r>
              <w:rPr>
                <w:rStyle w:val="InstructionsTabelleberschrift"/>
                <w:rFonts w:ascii="Times New Roman" w:hAnsi="Times New Roman"/>
                <w:sz w:val="24"/>
              </w:rPr>
              <w:t>. taseme varad</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Kaubeldavad ja müügivalmis väärtpaberid</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lastRenderedPageBreak/>
              <w:t>0140</w:t>
            </w:r>
            <w:r>
              <w:rPr>
                <w:rStyle w:val="FormatvorlageInstructionsTabelleText"/>
                <w:rFonts w:ascii="Times New Roman" w:hAnsi="Times New Roman"/>
                <w:sz w:val="24"/>
              </w:rPr>
              <w:t>–</w:t>
            </w:r>
            <w:r w:rsidRPr="00D13F6A">
              <w:rPr>
                <w:rStyle w:val="FormatvorlageInstructionsTabelleText"/>
                <w:rFonts w:ascii="Times New Roman" w:hAnsi="Times New Roman"/>
                <w:sz w:val="24"/>
              </w:rPr>
              <w:t>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Kirjed, mille puhul Euroopa pangandusliit on ühtne jurisdiktsioon</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Allpool täpsustatud kirjete kindlaksmääramiseks ning juhul, kui allpool esitatud juhistes ei ole muid täpsustusi, viiakse kasutatavad mõisted ja kontseptsioonid võimalikult suures ulatuses kooskõlla Rahvusvaheliste Arvelduste Panga rahvusvahelise pangandusstatistika aruandluse suunistes määratletud mõistete ja kontseptsioonidega.</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 xml:space="preserve">Erandina jäetakse välja aruandvate üksuste tegevus kõigis osalevates liikmesriikides, nagu on osutatud Euroopa Parlamendi ja nõukogu määruse (EL) nr </w:t>
            </w:r>
            <w:r w:rsidRPr="00D13F6A">
              <w:rPr>
                <w:rStyle w:val="FormatvorlageInstructionsTabelleText"/>
                <w:rFonts w:ascii="Times New Roman" w:hAnsi="Times New Roman"/>
                <w:sz w:val="24"/>
              </w:rPr>
              <w:t>806</w:t>
            </w:r>
            <w:r>
              <w:rPr>
                <w:rStyle w:val="FormatvorlageInstructionsTabelleText"/>
                <w:rFonts w:ascii="Times New Roman" w:hAnsi="Times New Roman"/>
                <w:sz w:val="24"/>
              </w:rPr>
              <w:t>/</w:t>
            </w:r>
            <w:r w:rsidRPr="00D13F6A">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artiklis </w:t>
            </w:r>
            <w:r w:rsidRPr="00D13F6A">
              <w:rPr>
                <w:rStyle w:val="FormatvorlageInstructionsTabelleText"/>
                <w:rFonts w:ascii="Times New Roman" w:hAnsi="Times New Roman"/>
                <w:sz w:val="24"/>
              </w:rPr>
              <w:t>4</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st osalevaid liikmesriike käsitatakse ühe jurisdiktsioonina.</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Välismaiste nõuete kogusumma lõppriski alusel</w:t>
            </w:r>
          </w:p>
          <w:p w14:paraId="3ECF379D" w14:textId="4D79983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Välismaiste nõuete kogusumma on piiriüleste nõuete ja välismaiste sidusettevõtjate kohalike kohalikus valuutas ja välisvaluutas nõuete kogusumma. Välja jäetakse tuletislepingute kirjetest tulenevad nõuded. „Nõuded“, „piiriülesed nõuded“, „välismaiste sidusettevõtjate kohalikud välisvaluutas ja kohalikus valuutas nõuded“ on määratletud Rahvusvaheliste Arvelduste Panga rahvusvahelise panganduss</w:t>
            </w:r>
            <w:r w:rsidR="00D13F6A">
              <w:rPr>
                <w:rStyle w:val="FormatvorlageInstructionsTabelleText"/>
                <w:rFonts w:ascii="Times New Roman" w:hAnsi="Times New Roman"/>
                <w:sz w:val="24"/>
              </w:rPr>
              <w:t>tatistika aruandluse suunistes.</w:t>
            </w:r>
            <w:bookmarkStart w:id="36" w:name="_GoBack"/>
            <w:bookmarkEnd w:id="36"/>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„Lõppriski alusel“ tähendab seda, et selleks, et teha kindlaks, kas nõue on piiriülene või kohalik nõue, määratakse positsioon kolmandale isikule, kes on sõlminud lepingu esimese vastaspoole võlgade või kohustuste ülevõtmiseks, kui see pool ei täida oma kohustusi, kui selline kolmas isik on olemas. Selline määramine toimub kooskõlas riskide ülekandmist käsitlevate sätetega, mis on esitatud Rahvusvaheliste Arvelduste Panga rahvusvahelise pangandusstatistika aruandluse suunistes.</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Tuletisinstrumentidega seotud välismaised nõuded lõppriski alusel</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Kõigi selliste tuletisinstrumentide nõuete positiivne õiglane väärtus, mis on piiriülesed nõuded või välismaiste sidusettevõtjate kohalikud nõuded kohalikus või välisvaluutas.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Tuletisinstrumentide hulka kuuluvad forvardid, vahetuslepingud ja optsioonid, mis on seotud välisvaluuta, intressimäära, aktsiate, kauba ja krediidiinstrumentidega. See hõlmab ostetud krediidituletisinstrumente, millega maandatakse või tasaarvestatakse krediidiriski kaitset, mida müüakse või hoitakse kauplemise eesmärgil.</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Selliste ostetud krediidituletisinstrumentide puhul ei tohi väärtuse ülempiiriks olla tagatiseks ostetud vahetu nõude väärtus.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Tuletislepingute positiivsed õiglased väärtused võib tasaarvestada negatiivsete õiglaste väärtustega ainult juhul, kui positsioonid täideti sama vastaspoolega õiguslikult jõustatava tasaarvestuskokkuleppe alusel. Sellesse kirjesse lisatakse ainult positiivse väärtusega tasaarvestatavate tehingute kogumid.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Tuletisinstrumentide nõuded esitatakse koos mis tahes rahalise tagatisega.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Teabe esitamisel lõppriski alusel kohaldatakse järgmist:</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Kui lõplik risk lasub vastaspoolel, käsitatakse tuletisinstrumenti välismaisena, kui vastaspool ei kuulu aruandvate üksuste asukoha jurisdiktsiooni.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Kui lõplik risk lasub garantii andjal, käsitatakse tuletisinstrumenti välismaisena, kui garantii andja ei kuulu aruandvate üksuste asukoha jurisdiktsiooni.</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Välismaised kohustused kohese riski alusel, sealhulgas tuletisinstrumendid</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Välismaised kohustused, sealhulgas tuletisinstrumendid, on välismaiste kohustuste ja tuletisinstrumentidest tulenevate välismaiste kohustuste summa. Sellest kirjest jäetakse välja väärtpaberitest tulenevad kohustused, mis on aruandva krediidiasutuse või investeerimisühingu emiteeritud kaubeldavad finantsvarad.</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Tuletisinstrumentide määratlus on sama, mida kohaldatakse rea </w:t>
            </w:r>
            <w:r w:rsidRPr="00D13F6A">
              <w:rPr>
                <w:rStyle w:val="FormatvorlageInstructionsTabelleText"/>
                <w:rFonts w:ascii="Times New Roman" w:hAnsi="Times New Roman"/>
                <w:sz w:val="24"/>
              </w:rPr>
              <w:t>0140</w:t>
            </w:r>
            <w:r>
              <w:rPr>
                <w:rStyle w:val="FormatvorlageInstructionsTabelleText"/>
                <w:rFonts w:ascii="Times New Roman" w:hAnsi="Times New Roman"/>
                <w:sz w:val="24"/>
              </w:rPr>
              <w:t xml:space="preserve"> puhul.</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Tuletislepingute negatiivsed õiglased väärtused võib tasaarvestada positiivsete õiglaste väärtustega ainult juhul, kui positsioonid täideti sama vastaspoolega õiguslikult jõustatava tasaarvestuskokkuleppe alusel. Tuletisinstrumentidest tulenevad kohustused kajastatakse koos mis tahes tagatisega (rahaline ja mitterahaline).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„Kohese riski alusel“ tähendab, et selleks, et teha kindlaks, kas nõue on piiriülene või kohalik nõue, määratakse positsioon lepingu otsesele vastaspoolele.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sidRPr="00D13F6A">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tuletisinstrumentidega seotud välismaised kohustused kohese riski alusel</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Rea </w:t>
            </w:r>
            <w:r w:rsidRPr="00D13F6A">
              <w:rPr>
                <w:rStyle w:val="FormatvorlageInstructionsTabelleText"/>
                <w:rFonts w:ascii="Times New Roman" w:hAnsi="Times New Roman"/>
                <w:sz w:val="24"/>
              </w:rPr>
              <w:t>0160</w:t>
            </w:r>
            <w:r>
              <w:rPr>
                <w:rStyle w:val="FormatvorlageInstructionsTabelleText"/>
                <w:rFonts w:ascii="Times New Roman" w:hAnsi="Times New Roman"/>
                <w:sz w:val="24"/>
              </w:rPr>
              <w:t xml:space="preserve"> alamhulk, mis on tuletisinstrumentidest tulenevad kohustused</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F7D0460"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D13F6A">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6E8BABCD"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D13F6A">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CC45501"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13F6A">
      <w:rPr>
        <w:rFonts w:ascii="Times New Roman" w:hAnsi="Times New Roman"/>
        <w:noProof/>
        <w:sz w:val="20"/>
        <w:szCs w:val="20"/>
      </w:rPr>
      <w:t>4</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 xml:space="preserve">Euroopa Parlamendi ja nõukogu </w:t>
      </w:r>
      <w:r w:rsidRPr="00D13F6A">
        <w:rPr>
          <w:rFonts w:ascii="Times New Roman" w:hAnsi="Times New Roman"/>
          <w:color w:val="444444"/>
          <w:sz w:val="20"/>
          <w:szCs w:val="20"/>
        </w:rPr>
        <w:t>26</w:t>
      </w:r>
      <w:r>
        <w:rPr>
          <w:rFonts w:ascii="Times New Roman" w:hAnsi="Times New Roman"/>
          <w:color w:val="444444"/>
          <w:sz w:val="20"/>
          <w:szCs w:val="20"/>
        </w:rPr>
        <w:t xml:space="preserve">. juuni </w:t>
      </w:r>
      <w:r w:rsidRPr="00D13F6A">
        <w:rPr>
          <w:rFonts w:ascii="Times New Roman" w:hAnsi="Times New Roman"/>
          <w:color w:val="444444"/>
          <w:sz w:val="20"/>
          <w:szCs w:val="20"/>
        </w:rPr>
        <w:t>2013</w:t>
      </w:r>
      <w:r>
        <w:rPr>
          <w:rFonts w:ascii="Times New Roman" w:hAnsi="Times New Roman"/>
          <w:color w:val="444444"/>
          <w:sz w:val="20"/>
          <w:szCs w:val="20"/>
        </w:rPr>
        <w:t>. aasta määrus (EL) nr </w:t>
      </w:r>
      <w:r w:rsidRPr="00D13F6A">
        <w:rPr>
          <w:rFonts w:ascii="Times New Roman" w:hAnsi="Times New Roman"/>
          <w:color w:val="444444"/>
          <w:sz w:val="20"/>
          <w:szCs w:val="20"/>
        </w:rPr>
        <w:t>575</w:t>
      </w:r>
      <w:r>
        <w:rPr>
          <w:rFonts w:ascii="Times New Roman" w:hAnsi="Times New Roman"/>
          <w:color w:val="444444"/>
          <w:sz w:val="20"/>
          <w:szCs w:val="20"/>
        </w:rPr>
        <w:t>/</w:t>
      </w:r>
      <w:r w:rsidRPr="00D13F6A">
        <w:rPr>
          <w:rFonts w:ascii="Times New Roman" w:hAnsi="Times New Roman"/>
          <w:color w:val="444444"/>
          <w:sz w:val="20"/>
          <w:szCs w:val="20"/>
        </w:rPr>
        <w:t>2013</w:t>
      </w:r>
      <w:r>
        <w:rPr>
          <w:rFonts w:ascii="Times New Roman" w:hAnsi="Times New Roman"/>
          <w:color w:val="444444"/>
          <w:sz w:val="20"/>
          <w:szCs w:val="20"/>
        </w:rPr>
        <w:t xml:space="preserve"> krediidiasutuste ja investeerimisühingute suhtes kohaldatavate usaldatavusnõuete kohta ja määruse (EL) nr </w:t>
      </w:r>
      <w:r w:rsidRPr="00D13F6A">
        <w:rPr>
          <w:rFonts w:ascii="Times New Roman" w:hAnsi="Times New Roman"/>
          <w:color w:val="444444"/>
          <w:sz w:val="20"/>
          <w:szCs w:val="20"/>
        </w:rPr>
        <w:t>648</w:t>
      </w:r>
      <w:r>
        <w:rPr>
          <w:rFonts w:ascii="Times New Roman" w:hAnsi="Times New Roman"/>
          <w:color w:val="444444"/>
          <w:sz w:val="20"/>
          <w:szCs w:val="20"/>
        </w:rPr>
        <w:t>/</w:t>
      </w:r>
      <w:r w:rsidRPr="00D13F6A">
        <w:rPr>
          <w:rFonts w:ascii="Times New Roman" w:hAnsi="Times New Roman"/>
          <w:color w:val="444444"/>
          <w:sz w:val="20"/>
          <w:szCs w:val="20"/>
        </w:rPr>
        <w:t>2012</w:t>
      </w:r>
      <w:r>
        <w:rPr>
          <w:rFonts w:ascii="Times New Roman" w:hAnsi="Times New Roman"/>
          <w:color w:val="444444"/>
          <w:sz w:val="20"/>
          <w:szCs w:val="20"/>
        </w:rPr>
        <w:t xml:space="preserve"> muutmise kohta (</w:t>
      </w:r>
      <w:r>
        <w:rPr>
          <w:rFonts w:ascii="Times New Roman" w:hAnsi="Times New Roman"/>
          <w:iCs/>
          <w:color w:val="444444"/>
          <w:sz w:val="20"/>
          <w:szCs w:val="20"/>
        </w:rPr>
        <w:t>ELT L </w:t>
      </w:r>
      <w:r w:rsidRPr="00D13F6A">
        <w:rPr>
          <w:rFonts w:ascii="Times New Roman" w:hAnsi="Times New Roman"/>
          <w:iCs/>
          <w:color w:val="444444"/>
          <w:sz w:val="20"/>
          <w:szCs w:val="20"/>
        </w:rPr>
        <w:t>176</w:t>
      </w:r>
      <w:r>
        <w:rPr>
          <w:rFonts w:ascii="Times New Roman" w:hAnsi="Times New Roman"/>
          <w:iCs/>
          <w:color w:val="444444"/>
          <w:sz w:val="20"/>
          <w:szCs w:val="20"/>
        </w:rPr>
        <w:t xml:space="preserve">, </w:t>
      </w:r>
      <w:r w:rsidRPr="00D13F6A">
        <w:rPr>
          <w:rFonts w:ascii="Times New Roman" w:hAnsi="Times New Roman"/>
          <w:iCs/>
          <w:color w:val="444444"/>
          <w:sz w:val="20"/>
          <w:szCs w:val="20"/>
        </w:rPr>
        <w:t>27</w:t>
      </w:r>
      <w:r>
        <w:rPr>
          <w:rFonts w:ascii="Times New Roman" w:hAnsi="Times New Roman"/>
          <w:iCs/>
          <w:color w:val="444444"/>
          <w:sz w:val="20"/>
          <w:szCs w:val="20"/>
        </w:rPr>
        <w:t>.</w:t>
      </w:r>
      <w:r w:rsidRPr="00D13F6A">
        <w:rPr>
          <w:rFonts w:ascii="Times New Roman" w:hAnsi="Times New Roman"/>
          <w:iCs/>
          <w:color w:val="444444"/>
          <w:sz w:val="20"/>
          <w:szCs w:val="20"/>
        </w:rPr>
        <w:t>6</w:t>
      </w:r>
      <w:r>
        <w:rPr>
          <w:rFonts w:ascii="Times New Roman" w:hAnsi="Times New Roman"/>
          <w:iCs/>
          <w:color w:val="444444"/>
          <w:sz w:val="20"/>
          <w:szCs w:val="20"/>
        </w:rPr>
        <w:t>.</w:t>
      </w:r>
      <w:r w:rsidRPr="00D13F6A">
        <w:rPr>
          <w:rFonts w:ascii="Times New Roman" w:hAnsi="Times New Roman"/>
          <w:iCs/>
          <w:color w:val="444444"/>
          <w:sz w:val="20"/>
          <w:szCs w:val="20"/>
        </w:rPr>
        <w:t>2013</w:t>
      </w:r>
      <w:r>
        <w:rPr>
          <w:rFonts w:ascii="Times New Roman" w:hAnsi="Times New Roman"/>
          <w:iCs/>
          <w:color w:val="444444"/>
          <w:sz w:val="20"/>
          <w:szCs w:val="20"/>
        </w:rPr>
        <w:t>, lk </w:t>
      </w:r>
      <w:r w:rsidRPr="00D13F6A">
        <w:rPr>
          <w:rFonts w:ascii="Times New Roman" w:hAnsi="Times New Roman"/>
          <w:iCs/>
          <w:color w:val="444444"/>
          <w:sz w:val="20"/>
          <w:szCs w:val="20"/>
        </w:rPr>
        <w:t>1</w:t>
      </w:r>
      <w:r>
        <w:rPr>
          <w:rFonts w:ascii="Times New Roman" w:hAnsi="Times New Roman"/>
          <w:iCs/>
          <w:color w:val="444444"/>
          <w:sz w:val="20"/>
          <w:szCs w:val="20"/>
        </w:rPr>
        <w:t>).</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 xml:space="preserve">Euroopa Parlamendi ja nõukogu </w:t>
      </w:r>
      <w:r w:rsidRPr="00D13F6A">
        <w:rPr>
          <w:rFonts w:ascii="Times New Roman" w:hAnsi="Times New Roman"/>
          <w:color w:val="444444"/>
          <w:sz w:val="20"/>
          <w:szCs w:val="20"/>
        </w:rPr>
        <w:t>26</w:t>
      </w:r>
      <w:r>
        <w:rPr>
          <w:rFonts w:ascii="Times New Roman" w:hAnsi="Times New Roman"/>
          <w:color w:val="444444"/>
          <w:sz w:val="20"/>
          <w:szCs w:val="20"/>
        </w:rPr>
        <w:t xml:space="preserve">. juuni </w:t>
      </w:r>
      <w:r w:rsidRPr="00D13F6A">
        <w:rPr>
          <w:rFonts w:ascii="Times New Roman" w:hAnsi="Times New Roman"/>
          <w:color w:val="444444"/>
          <w:sz w:val="20"/>
          <w:szCs w:val="20"/>
        </w:rPr>
        <w:t>2013</w:t>
      </w:r>
      <w:r>
        <w:rPr>
          <w:rFonts w:ascii="Times New Roman" w:hAnsi="Times New Roman"/>
          <w:color w:val="444444"/>
          <w:sz w:val="20"/>
          <w:szCs w:val="20"/>
        </w:rPr>
        <w:t xml:space="preserve">. aasta direktiiv </w:t>
      </w:r>
      <w:r w:rsidRPr="00D13F6A">
        <w:rPr>
          <w:rFonts w:ascii="Times New Roman" w:hAnsi="Times New Roman"/>
          <w:color w:val="444444"/>
          <w:sz w:val="20"/>
          <w:szCs w:val="20"/>
        </w:rPr>
        <w:t>2013</w:t>
      </w:r>
      <w:r>
        <w:rPr>
          <w:rFonts w:ascii="Times New Roman" w:hAnsi="Times New Roman"/>
          <w:color w:val="444444"/>
          <w:sz w:val="20"/>
          <w:szCs w:val="20"/>
        </w:rPr>
        <w:t>/</w:t>
      </w:r>
      <w:r w:rsidRPr="00D13F6A">
        <w:rPr>
          <w:rFonts w:ascii="Times New Roman" w:hAnsi="Times New Roman"/>
          <w:color w:val="444444"/>
          <w:sz w:val="20"/>
          <w:szCs w:val="20"/>
        </w:rPr>
        <w:t>36</w:t>
      </w:r>
      <w:r>
        <w:rPr>
          <w:rFonts w:ascii="Times New Roman" w:hAnsi="Times New Roman"/>
          <w:color w:val="444444"/>
          <w:sz w:val="20"/>
          <w:szCs w:val="20"/>
        </w:rPr>
        <w:t xml:space="preserve">/EL, mis käsitleb krediidiasutuste tegevuse alustamise tingimusi ning krediidiasutuste ja investeerimisühingute usaldatavusnõuete täitmise järelevalvet, millega muudetakse direktiivi </w:t>
      </w:r>
      <w:r w:rsidRPr="00D13F6A">
        <w:rPr>
          <w:rFonts w:ascii="Times New Roman" w:hAnsi="Times New Roman"/>
          <w:color w:val="444444"/>
          <w:sz w:val="20"/>
          <w:szCs w:val="20"/>
        </w:rPr>
        <w:t>2002</w:t>
      </w:r>
      <w:r>
        <w:rPr>
          <w:rFonts w:ascii="Times New Roman" w:hAnsi="Times New Roman"/>
          <w:color w:val="444444"/>
          <w:sz w:val="20"/>
          <w:szCs w:val="20"/>
        </w:rPr>
        <w:t>/</w:t>
      </w:r>
      <w:r w:rsidRPr="00D13F6A">
        <w:rPr>
          <w:rFonts w:ascii="Times New Roman" w:hAnsi="Times New Roman"/>
          <w:color w:val="444444"/>
          <w:sz w:val="20"/>
          <w:szCs w:val="20"/>
        </w:rPr>
        <w:t>87</w:t>
      </w:r>
      <w:r>
        <w:rPr>
          <w:rFonts w:ascii="Times New Roman" w:hAnsi="Times New Roman"/>
          <w:color w:val="444444"/>
          <w:sz w:val="20"/>
          <w:szCs w:val="20"/>
        </w:rPr>
        <w:t xml:space="preserve">/EÜ ning millega tunnistatakse kehtetuks direktiivid </w:t>
      </w:r>
      <w:r w:rsidRPr="00D13F6A">
        <w:rPr>
          <w:rFonts w:ascii="Times New Roman" w:hAnsi="Times New Roman"/>
          <w:color w:val="444444"/>
          <w:sz w:val="20"/>
          <w:szCs w:val="20"/>
        </w:rPr>
        <w:t>2006</w:t>
      </w:r>
      <w:r>
        <w:rPr>
          <w:rFonts w:ascii="Times New Roman" w:hAnsi="Times New Roman"/>
          <w:color w:val="444444"/>
          <w:sz w:val="20"/>
          <w:szCs w:val="20"/>
        </w:rPr>
        <w:t>/</w:t>
      </w:r>
      <w:r w:rsidRPr="00D13F6A">
        <w:rPr>
          <w:rFonts w:ascii="Times New Roman" w:hAnsi="Times New Roman"/>
          <w:color w:val="444444"/>
          <w:sz w:val="20"/>
          <w:szCs w:val="20"/>
        </w:rPr>
        <w:t>48</w:t>
      </w:r>
      <w:r>
        <w:rPr>
          <w:rFonts w:ascii="Times New Roman" w:hAnsi="Times New Roman"/>
          <w:color w:val="444444"/>
          <w:sz w:val="20"/>
          <w:szCs w:val="20"/>
        </w:rPr>
        <w:t xml:space="preserve">/EÜ ja </w:t>
      </w:r>
      <w:r w:rsidRPr="00D13F6A">
        <w:rPr>
          <w:rFonts w:ascii="Times New Roman" w:hAnsi="Times New Roman"/>
          <w:color w:val="444444"/>
          <w:sz w:val="20"/>
          <w:szCs w:val="20"/>
        </w:rPr>
        <w:t>2006</w:t>
      </w:r>
      <w:r>
        <w:rPr>
          <w:rFonts w:ascii="Times New Roman" w:hAnsi="Times New Roman"/>
          <w:color w:val="444444"/>
          <w:sz w:val="20"/>
          <w:szCs w:val="20"/>
        </w:rPr>
        <w:t>/</w:t>
      </w:r>
      <w:r w:rsidRPr="00D13F6A">
        <w:rPr>
          <w:rFonts w:ascii="Times New Roman" w:hAnsi="Times New Roman"/>
          <w:color w:val="444444"/>
          <w:sz w:val="20"/>
          <w:szCs w:val="20"/>
        </w:rPr>
        <w:t>49</w:t>
      </w:r>
      <w:r>
        <w:rPr>
          <w:rFonts w:ascii="Times New Roman" w:hAnsi="Times New Roman"/>
          <w:color w:val="444444"/>
          <w:sz w:val="20"/>
          <w:szCs w:val="20"/>
        </w:rPr>
        <w:t>/EÜ (ELT L </w:t>
      </w:r>
      <w:r w:rsidRPr="00D13F6A">
        <w:rPr>
          <w:rFonts w:ascii="Times New Roman" w:hAnsi="Times New Roman"/>
          <w:color w:val="444444"/>
          <w:sz w:val="20"/>
          <w:szCs w:val="20"/>
        </w:rPr>
        <w:t>176</w:t>
      </w:r>
      <w:r>
        <w:rPr>
          <w:rFonts w:ascii="Times New Roman" w:hAnsi="Times New Roman"/>
          <w:color w:val="444444"/>
          <w:sz w:val="20"/>
          <w:szCs w:val="20"/>
        </w:rPr>
        <w:t xml:space="preserve">, </w:t>
      </w:r>
      <w:r w:rsidRPr="00D13F6A">
        <w:rPr>
          <w:rFonts w:ascii="Times New Roman" w:hAnsi="Times New Roman"/>
          <w:color w:val="444444"/>
          <w:sz w:val="20"/>
          <w:szCs w:val="20"/>
        </w:rPr>
        <w:t>27</w:t>
      </w:r>
      <w:r>
        <w:rPr>
          <w:rFonts w:ascii="Times New Roman" w:hAnsi="Times New Roman"/>
          <w:color w:val="444444"/>
          <w:sz w:val="20"/>
          <w:szCs w:val="20"/>
        </w:rPr>
        <w:t>.</w:t>
      </w:r>
      <w:r w:rsidRPr="00D13F6A">
        <w:rPr>
          <w:rFonts w:ascii="Times New Roman" w:hAnsi="Times New Roman"/>
          <w:color w:val="444444"/>
          <w:sz w:val="20"/>
          <w:szCs w:val="20"/>
        </w:rPr>
        <w:t>6</w:t>
      </w:r>
      <w:r>
        <w:rPr>
          <w:rFonts w:ascii="Times New Roman" w:hAnsi="Times New Roman"/>
          <w:color w:val="444444"/>
          <w:sz w:val="20"/>
          <w:szCs w:val="20"/>
        </w:rPr>
        <w:t>.</w:t>
      </w:r>
      <w:r w:rsidRPr="00D13F6A">
        <w:rPr>
          <w:rFonts w:ascii="Times New Roman" w:hAnsi="Times New Roman"/>
          <w:color w:val="444444"/>
          <w:sz w:val="20"/>
          <w:szCs w:val="20"/>
        </w:rPr>
        <w:t>2013</w:t>
      </w:r>
      <w:r>
        <w:rPr>
          <w:rFonts w:ascii="Times New Roman" w:hAnsi="Times New Roman"/>
          <w:color w:val="444444"/>
          <w:sz w:val="20"/>
          <w:szCs w:val="20"/>
        </w:rPr>
        <w:t>, lk </w:t>
      </w:r>
      <w:r w:rsidRPr="00D13F6A">
        <w:rPr>
          <w:rFonts w:ascii="Times New Roman" w:hAnsi="Times New Roman"/>
          <w:color w:val="444444"/>
          <w:sz w:val="20"/>
          <w:szCs w:val="20"/>
        </w:rPr>
        <w:t>338</w:t>
      </w:r>
      <w:r>
        <w:rPr>
          <w:rFonts w:ascii="Times New Roman" w:hAnsi="Times New Roman"/>
          <w:color w:val="444444"/>
          <w:sz w:val="20"/>
          <w:szCs w:val="20"/>
        </w:rPr>
        <w:t>).</w:t>
      </w:r>
    </w:p>
  </w:footnote>
  <w:footnote w:id="4">
    <w:p w14:paraId="7E81C75F" w14:textId="7AFAACB8" w:rsidR="000359E7" w:rsidRPr="00EF0DDB" w:rsidRDefault="000359E7">
      <w:pPr>
        <w:pStyle w:val="FootnoteText"/>
      </w:pPr>
      <w:r>
        <w:rPr>
          <w:rStyle w:val="FootnoteReference"/>
        </w:rPr>
        <w:footnoteRef/>
      </w:r>
      <w:r>
        <w:t xml:space="preserve"> Euroopa Parlamendi ja nõukogu </w:t>
      </w:r>
      <w:r w:rsidRPr="00D13F6A">
        <w:t>15</w:t>
      </w:r>
      <w:r>
        <w:t xml:space="preserve">. juuli </w:t>
      </w:r>
      <w:r w:rsidRPr="00D13F6A">
        <w:t>2014</w:t>
      </w:r>
      <w:r>
        <w:t>. aasta määrus (EL) nr </w:t>
      </w:r>
      <w:r w:rsidRPr="00D13F6A">
        <w:t>806</w:t>
      </w:r>
      <w:r>
        <w:t>/</w:t>
      </w:r>
      <w:r w:rsidRPr="00D13F6A">
        <w:t>2014</w:t>
      </w:r>
      <w:r>
        <w:t>, millega kehtestatakse ühtsed eeskirjad ja ühtne menetlus krediidiasutuste ja teatavate investeerimisühingute kriisilahenduseks ühtse kriisilahenduskorra ja ühtse kriisilahendusfondi raames ning millega muudetakse määrust (EL) nr </w:t>
      </w:r>
      <w:r w:rsidRPr="00D13F6A">
        <w:t>1093</w:t>
      </w:r>
      <w:r>
        <w:t>/</w:t>
      </w:r>
      <w:r w:rsidRPr="00D13F6A">
        <w:t>2010</w:t>
      </w:r>
      <w:r>
        <w:t xml:space="preserve"> (ELT L </w:t>
      </w:r>
      <w:r w:rsidRPr="00D13F6A">
        <w:t>225</w:t>
      </w:r>
      <w:r>
        <w:t xml:space="preserve">, </w:t>
      </w:r>
      <w:r w:rsidRPr="00D13F6A">
        <w:t>30</w:t>
      </w:r>
      <w:r>
        <w:t>.</w:t>
      </w:r>
      <w:r w:rsidRPr="00D13F6A">
        <w:t>7</w:t>
      </w:r>
      <w:r>
        <w:t>.</w:t>
      </w:r>
      <w:r w:rsidRPr="00D13F6A">
        <w:t>2014</w:t>
      </w:r>
      <w:r>
        <w:t>, lk </w:t>
      </w:r>
      <w:r w:rsidRPr="00D13F6A">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158"/>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3F6A"/>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70EEB-3550-41A1-B61B-467CB1B32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935</Words>
  <Characters>7783</Characters>
  <Application>Microsoft Office Word</Application>
  <DocSecurity>0</DocSecurity>
  <Lines>185</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KURG Onne (DGT)</cp:lastModifiedBy>
  <cp:revision>5</cp:revision>
  <dcterms:created xsi:type="dcterms:W3CDTF">2020-12-02T17:25:00Z</dcterms:created>
  <dcterms:modified xsi:type="dcterms:W3CDTF">2020-12-15T10:05:00Z</dcterms:modified>
</cp:coreProperties>
</file>