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BILAG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INSTRUKSER VEDRØRENDE INDBERETNING OM GEARING</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2BCC98A8" w14:textId="77E77305" w:rsidR="00ED017F" w:rsidRDefault="00391EF9">
      <w:pPr>
        <w:pStyle w:val="TOC1"/>
        <w:rPr>
          <w:rFonts w:asciiTheme="minorHAnsi" w:eastAsiaTheme="minorEastAsia" w:hAnsiTheme="minorHAnsi" w:cstheme="minorBidi"/>
          <w:color w:val="auto"/>
          <w:sz w:val="22"/>
          <w:szCs w:val="22"/>
          <w:lang w:val="en-GB" w:eastAsia="en-GB"/>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7978215" w:history="1">
        <w:r w:rsidR="00ED017F" w:rsidRPr="00EF2AAD">
          <w:rPr>
            <w:rStyle w:val="Hyperlink"/>
            <w:rFonts w:ascii="Times New Roman" w:hAnsi="Times New Roman"/>
            <w:b/>
          </w:rPr>
          <w:t>DEL I: GENERELLE INSTRUKSER</w:t>
        </w:r>
        <w:r w:rsidR="00ED017F">
          <w:rPr>
            <w:webHidden/>
          </w:rPr>
          <w:tab/>
        </w:r>
        <w:r w:rsidR="00ED017F">
          <w:rPr>
            <w:webHidden/>
          </w:rPr>
          <w:fldChar w:fldCharType="begin"/>
        </w:r>
        <w:r w:rsidR="00ED017F">
          <w:rPr>
            <w:webHidden/>
          </w:rPr>
          <w:instrText xml:space="preserve"> PAGEREF _Toc57978215 \h </w:instrText>
        </w:r>
        <w:r w:rsidR="00ED017F">
          <w:rPr>
            <w:webHidden/>
          </w:rPr>
        </w:r>
        <w:r w:rsidR="00ED017F">
          <w:rPr>
            <w:webHidden/>
          </w:rPr>
          <w:fldChar w:fldCharType="separate"/>
        </w:r>
        <w:r w:rsidR="00ED017F">
          <w:rPr>
            <w:webHidden/>
          </w:rPr>
          <w:t>2</w:t>
        </w:r>
        <w:r w:rsidR="00ED017F">
          <w:rPr>
            <w:webHidden/>
          </w:rPr>
          <w:fldChar w:fldCharType="end"/>
        </w:r>
      </w:hyperlink>
    </w:p>
    <w:p w14:paraId="63091E33" w14:textId="116BC48F" w:rsidR="00ED017F" w:rsidRDefault="00ED017F">
      <w:pPr>
        <w:pStyle w:val="TOC2"/>
        <w:rPr>
          <w:rFonts w:asciiTheme="minorHAnsi" w:eastAsiaTheme="minorEastAsia" w:hAnsiTheme="minorHAnsi" w:cstheme="minorBidi"/>
          <w:b w:val="0"/>
          <w:smallCaps w:val="0"/>
          <w:sz w:val="22"/>
          <w:lang w:val="en-GB" w:eastAsia="en-GB"/>
        </w:rPr>
      </w:pPr>
      <w:hyperlink w:anchor="_Toc57978216" w:history="1">
        <w:r w:rsidRPr="00EF2AAD">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Opbygning og andre konventioner</w:t>
        </w:r>
        <w:r>
          <w:rPr>
            <w:webHidden/>
          </w:rPr>
          <w:tab/>
        </w:r>
        <w:r>
          <w:rPr>
            <w:webHidden/>
          </w:rPr>
          <w:fldChar w:fldCharType="begin"/>
        </w:r>
        <w:r>
          <w:rPr>
            <w:webHidden/>
          </w:rPr>
          <w:instrText xml:space="preserve"> PAGEREF _Toc57978216 \h </w:instrText>
        </w:r>
        <w:r>
          <w:rPr>
            <w:webHidden/>
          </w:rPr>
        </w:r>
        <w:r>
          <w:rPr>
            <w:webHidden/>
          </w:rPr>
          <w:fldChar w:fldCharType="separate"/>
        </w:r>
        <w:r>
          <w:rPr>
            <w:webHidden/>
          </w:rPr>
          <w:t>2</w:t>
        </w:r>
        <w:r>
          <w:rPr>
            <w:webHidden/>
          </w:rPr>
          <w:fldChar w:fldCharType="end"/>
        </w:r>
      </w:hyperlink>
    </w:p>
    <w:p w14:paraId="6FD87B11" w14:textId="5D826974" w:rsidR="00ED017F" w:rsidRDefault="00ED017F">
      <w:pPr>
        <w:pStyle w:val="TOC3"/>
        <w:rPr>
          <w:rFonts w:asciiTheme="minorHAnsi" w:eastAsiaTheme="minorEastAsia" w:hAnsiTheme="minorHAnsi" w:cstheme="minorBidi"/>
          <w:smallCaps w:val="0"/>
          <w:sz w:val="22"/>
          <w:szCs w:val="22"/>
          <w:lang w:val="en-GB" w:eastAsia="en-GB"/>
        </w:rPr>
      </w:pPr>
      <w:hyperlink w:anchor="_Toc57978217" w:history="1">
        <w:r w:rsidRPr="00EF2AAD">
          <w:rPr>
            <w:rStyle w:val="Hyperlink"/>
            <w:rFonts w:ascii="Times New Roman" w:hAnsi="Times New Roman"/>
            <w:b/>
          </w:rPr>
          <w:t>1.1.</w:t>
        </w:r>
        <w:r>
          <w:rPr>
            <w:rFonts w:asciiTheme="minorHAnsi" w:eastAsiaTheme="minorEastAsia" w:hAnsiTheme="minorHAnsi" w:cstheme="minorBidi"/>
            <w:smallCaps w:val="0"/>
            <w:sz w:val="22"/>
            <w:szCs w:val="22"/>
            <w:lang w:val="en-GB" w:eastAsia="en-GB"/>
          </w:rPr>
          <w:tab/>
        </w:r>
        <w:r w:rsidRPr="00EF2AAD">
          <w:rPr>
            <w:rStyle w:val="Hyperlink"/>
            <w:rFonts w:ascii="Times New Roman" w:hAnsi="Times New Roman"/>
            <w:b/>
          </w:rPr>
          <w:t>Opbygning</w:t>
        </w:r>
        <w:r>
          <w:rPr>
            <w:webHidden/>
          </w:rPr>
          <w:tab/>
        </w:r>
        <w:r>
          <w:rPr>
            <w:webHidden/>
          </w:rPr>
          <w:fldChar w:fldCharType="begin"/>
        </w:r>
        <w:r>
          <w:rPr>
            <w:webHidden/>
          </w:rPr>
          <w:instrText xml:space="preserve"> PAGEREF _Toc57978217 \h </w:instrText>
        </w:r>
        <w:r>
          <w:rPr>
            <w:webHidden/>
          </w:rPr>
        </w:r>
        <w:r>
          <w:rPr>
            <w:webHidden/>
          </w:rPr>
          <w:fldChar w:fldCharType="separate"/>
        </w:r>
        <w:r>
          <w:rPr>
            <w:webHidden/>
          </w:rPr>
          <w:t>2</w:t>
        </w:r>
        <w:r>
          <w:rPr>
            <w:webHidden/>
          </w:rPr>
          <w:fldChar w:fldCharType="end"/>
        </w:r>
      </w:hyperlink>
    </w:p>
    <w:p w14:paraId="5EF634A2" w14:textId="1420C767" w:rsidR="00ED017F" w:rsidRDefault="00ED017F">
      <w:pPr>
        <w:pStyle w:val="TOC3"/>
        <w:rPr>
          <w:rFonts w:asciiTheme="minorHAnsi" w:eastAsiaTheme="minorEastAsia" w:hAnsiTheme="minorHAnsi" w:cstheme="minorBidi"/>
          <w:smallCaps w:val="0"/>
          <w:sz w:val="22"/>
          <w:szCs w:val="22"/>
          <w:lang w:val="en-GB" w:eastAsia="en-GB"/>
        </w:rPr>
      </w:pPr>
      <w:hyperlink w:anchor="_Toc57978218" w:history="1">
        <w:r w:rsidRPr="00EF2AAD">
          <w:rPr>
            <w:rStyle w:val="Hyperlink"/>
            <w:rFonts w:ascii="Times New Roman" w:hAnsi="Times New Roman"/>
            <w:b/>
          </w:rPr>
          <w:t>1.2.</w:t>
        </w:r>
        <w:r>
          <w:rPr>
            <w:rFonts w:asciiTheme="minorHAnsi" w:eastAsiaTheme="minorEastAsia" w:hAnsiTheme="minorHAnsi" w:cstheme="minorBidi"/>
            <w:smallCaps w:val="0"/>
            <w:sz w:val="22"/>
            <w:szCs w:val="22"/>
            <w:lang w:val="en-GB" w:eastAsia="en-GB"/>
          </w:rPr>
          <w:tab/>
        </w:r>
        <w:r w:rsidRPr="00EF2AAD">
          <w:rPr>
            <w:rStyle w:val="Hyperlink"/>
            <w:rFonts w:ascii="Times New Roman" w:hAnsi="Times New Roman"/>
            <w:b/>
          </w:rPr>
          <w:t>Konvention for nummerering</w:t>
        </w:r>
        <w:r>
          <w:rPr>
            <w:webHidden/>
          </w:rPr>
          <w:tab/>
        </w:r>
        <w:r>
          <w:rPr>
            <w:webHidden/>
          </w:rPr>
          <w:fldChar w:fldCharType="begin"/>
        </w:r>
        <w:r>
          <w:rPr>
            <w:webHidden/>
          </w:rPr>
          <w:instrText xml:space="preserve"> PAGEREF _Toc57978218 \h </w:instrText>
        </w:r>
        <w:r>
          <w:rPr>
            <w:webHidden/>
          </w:rPr>
        </w:r>
        <w:r>
          <w:rPr>
            <w:webHidden/>
          </w:rPr>
          <w:fldChar w:fldCharType="separate"/>
        </w:r>
        <w:r>
          <w:rPr>
            <w:webHidden/>
          </w:rPr>
          <w:t>2</w:t>
        </w:r>
        <w:r>
          <w:rPr>
            <w:webHidden/>
          </w:rPr>
          <w:fldChar w:fldCharType="end"/>
        </w:r>
      </w:hyperlink>
    </w:p>
    <w:p w14:paraId="264E15A0" w14:textId="267EE0DE" w:rsidR="00ED017F" w:rsidRDefault="00ED017F">
      <w:pPr>
        <w:pStyle w:val="TOC3"/>
        <w:rPr>
          <w:rFonts w:asciiTheme="minorHAnsi" w:eastAsiaTheme="minorEastAsia" w:hAnsiTheme="minorHAnsi" w:cstheme="minorBidi"/>
          <w:smallCaps w:val="0"/>
          <w:sz w:val="22"/>
          <w:szCs w:val="22"/>
          <w:lang w:val="en-GB" w:eastAsia="en-GB"/>
        </w:rPr>
      </w:pPr>
      <w:hyperlink w:anchor="_Toc57978219" w:history="1">
        <w:r w:rsidRPr="00EF2AAD">
          <w:rPr>
            <w:rStyle w:val="Hyperlink"/>
            <w:rFonts w:ascii="Times New Roman" w:hAnsi="Times New Roman"/>
            <w:b/>
          </w:rPr>
          <w:t>1.3.</w:t>
        </w:r>
        <w:r>
          <w:rPr>
            <w:rFonts w:asciiTheme="minorHAnsi" w:eastAsiaTheme="minorEastAsia" w:hAnsiTheme="minorHAnsi" w:cstheme="minorBidi"/>
            <w:smallCaps w:val="0"/>
            <w:sz w:val="22"/>
            <w:szCs w:val="22"/>
            <w:lang w:val="en-GB" w:eastAsia="en-GB"/>
          </w:rPr>
          <w:tab/>
        </w:r>
        <w:r w:rsidRPr="00EF2AAD">
          <w:rPr>
            <w:rStyle w:val="Hyperlink"/>
            <w:rFonts w:ascii="Times New Roman" w:hAnsi="Times New Roman"/>
            <w:b/>
          </w:rPr>
          <w:t>Forkortelser</w:t>
        </w:r>
        <w:r>
          <w:rPr>
            <w:webHidden/>
          </w:rPr>
          <w:tab/>
        </w:r>
        <w:r>
          <w:rPr>
            <w:webHidden/>
          </w:rPr>
          <w:fldChar w:fldCharType="begin"/>
        </w:r>
        <w:r>
          <w:rPr>
            <w:webHidden/>
          </w:rPr>
          <w:instrText xml:space="preserve"> PAGEREF _Toc57978219 \h </w:instrText>
        </w:r>
        <w:r>
          <w:rPr>
            <w:webHidden/>
          </w:rPr>
        </w:r>
        <w:r>
          <w:rPr>
            <w:webHidden/>
          </w:rPr>
          <w:fldChar w:fldCharType="separate"/>
        </w:r>
        <w:r>
          <w:rPr>
            <w:webHidden/>
          </w:rPr>
          <w:t>2</w:t>
        </w:r>
        <w:r>
          <w:rPr>
            <w:webHidden/>
          </w:rPr>
          <w:fldChar w:fldCharType="end"/>
        </w:r>
      </w:hyperlink>
    </w:p>
    <w:p w14:paraId="1CA06EBF" w14:textId="7067AFA5" w:rsidR="00ED017F" w:rsidRDefault="00ED017F">
      <w:pPr>
        <w:pStyle w:val="TOC3"/>
        <w:rPr>
          <w:rFonts w:asciiTheme="minorHAnsi" w:eastAsiaTheme="minorEastAsia" w:hAnsiTheme="minorHAnsi" w:cstheme="minorBidi"/>
          <w:smallCaps w:val="0"/>
          <w:sz w:val="22"/>
          <w:szCs w:val="22"/>
          <w:lang w:val="en-GB" w:eastAsia="en-GB"/>
        </w:rPr>
      </w:pPr>
      <w:hyperlink w:anchor="_Toc57978220" w:history="1">
        <w:r w:rsidRPr="00EF2AAD">
          <w:rPr>
            <w:rStyle w:val="Hyperlink"/>
            <w:rFonts w:ascii="Times New Roman" w:hAnsi="Times New Roman"/>
            <w:b/>
          </w:rPr>
          <w:t>1.4.</w:t>
        </w:r>
        <w:r>
          <w:rPr>
            <w:rFonts w:asciiTheme="minorHAnsi" w:eastAsiaTheme="minorEastAsia" w:hAnsiTheme="minorHAnsi" w:cstheme="minorBidi"/>
            <w:smallCaps w:val="0"/>
            <w:sz w:val="22"/>
            <w:szCs w:val="22"/>
            <w:lang w:val="en-GB" w:eastAsia="en-GB"/>
          </w:rPr>
          <w:tab/>
        </w:r>
        <w:r w:rsidRPr="00EF2AAD">
          <w:rPr>
            <w:rStyle w:val="Hyperlink"/>
            <w:rFonts w:ascii="Times New Roman" w:hAnsi="Times New Roman"/>
            <w:b/>
          </w:rPr>
          <w:t>Tegnkonvention</w:t>
        </w:r>
        <w:r>
          <w:rPr>
            <w:webHidden/>
          </w:rPr>
          <w:tab/>
        </w:r>
        <w:r>
          <w:rPr>
            <w:webHidden/>
          </w:rPr>
          <w:fldChar w:fldCharType="begin"/>
        </w:r>
        <w:r>
          <w:rPr>
            <w:webHidden/>
          </w:rPr>
          <w:instrText xml:space="preserve"> PAGEREF _Toc57978220 \h </w:instrText>
        </w:r>
        <w:r>
          <w:rPr>
            <w:webHidden/>
          </w:rPr>
        </w:r>
        <w:r>
          <w:rPr>
            <w:webHidden/>
          </w:rPr>
          <w:fldChar w:fldCharType="separate"/>
        </w:r>
        <w:r>
          <w:rPr>
            <w:webHidden/>
          </w:rPr>
          <w:t>3</w:t>
        </w:r>
        <w:r>
          <w:rPr>
            <w:webHidden/>
          </w:rPr>
          <w:fldChar w:fldCharType="end"/>
        </w:r>
      </w:hyperlink>
    </w:p>
    <w:p w14:paraId="51C56423" w14:textId="6B2C1D41" w:rsidR="00ED017F" w:rsidRDefault="00ED017F">
      <w:pPr>
        <w:pStyle w:val="TOC1"/>
        <w:rPr>
          <w:rFonts w:asciiTheme="minorHAnsi" w:eastAsiaTheme="minorEastAsia" w:hAnsiTheme="minorHAnsi" w:cstheme="minorBidi"/>
          <w:color w:val="auto"/>
          <w:sz w:val="22"/>
          <w:szCs w:val="22"/>
          <w:lang w:val="en-GB" w:eastAsia="en-GB"/>
        </w:rPr>
      </w:pPr>
      <w:hyperlink w:anchor="_Toc57978221" w:history="1">
        <w:r w:rsidRPr="00EF2AAD">
          <w:rPr>
            <w:rStyle w:val="Hyperlink"/>
            <w:rFonts w:ascii="Times New Roman" w:hAnsi="Times New Roman"/>
            <w:b/>
          </w:rPr>
          <w:t>DEL II: INSTRUKSER VEDRØRENDE SKEMAER</w:t>
        </w:r>
        <w:r>
          <w:rPr>
            <w:webHidden/>
          </w:rPr>
          <w:tab/>
        </w:r>
        <w:r>
          <w:rPr>
            <w:webHidden/>
          </w:rPr>
          <w:fldChar w:fldCharType="begin"/>
        </w:r>
        <w:r>
          <w:rPr>
            <w:webHidden/>
          </w:rPr>
          <w:instrText xml:space="preserve"> PAGEREF _Toc57978221 \h </w:instrText>
        </w:r>
        <w:r>
          <w:rPr>
            <w:webHidden/>
          </w:rPr>
        </w:r>
        <w:r>
          <w:rPr>
            <w:webHidden/>
          </w:rPr>
          <w:fldChar w:fldCharType="separate"/>
        </w:r>
        <w:r>
          <w:rPr>
            <w:webHidden/>
          </w:rPr>
          <w:t>4</w:t>
        </w:r>
        <w:r>
          <w:rPr>
            <w:webHidden/>
          </w:rPr>
          <w:fldChar w:fldCharType="end"/>
        </w:r>
      </w:hyperlink>
    </w:p>
    <w:p w14:paraId="1C9F68E3" w14:textId="1F04A1B7" w:rsidR="00ED017F" w:rsidRDefault="00ED017F">
      <w:pPr>
        <w:pStyle w:val="TOC2"/>
        <w:rPr>
          <w:rFonts w:asciiTheme="minorHAnsi" w:eastAsiaTheme="minorEastAsia" w:hAnsiTheme="minorHAnsi" w:cstheme="minorBidi"/>
          <w:b w:val="0"/>
          <w:smallCaps w:val="0"/>
          <w:sz w:val="22"/>
          <w:lang w:val="en-GB" w:eastAsia="en-GB"/>
        </w:rPr>
      </w:pPr>
      <w:hyperlink w:anchor="_Toc57978222" w:history="1">
        <w:r w:rsidRPr="00EF2AAD">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Formler til beregning af gearingsgrad</w:t>
        </w:r>
        <w:r>
          <w:rPr>
            <w:webHidden/>
          </w:rPr>
          <w:tab/>
        </w:r>
        <w:r>
          <w:rPr>
            <w:webHidden/>
          </w:rPr>
          <w:fldChar w:fldCharType="begin"/>
        </w:r>
        <w:r>
          <w:rPr>
            <w:webHidden/>
          </w:rPr>
          <w:instrText xml:space="preserve"> PAGEREF _Toc57978222 \h </w:instrText>
        </w:r>
        <w:r>
          <w:rPr>
            <w:webHidden/>
          </w:rPr>
        </w:r>
        <w:r>
          <w:rPr>
            <w:webHidden/>
          </w:rPr>
          <w:fldChar w:fldCharType="separate"/>
        </w:r>
        <w:r>
          <w:rPr>
            <w:webHidden/>
          </w:rPr>
          <w:t>4</w:t>
        </w:r>
        <w:r>
          <w:rPr>
            <w:webHidden/>
          </w:rPr>
          <w:fldChar w:fldCharType="end"/>
        </w:r>
      </w:hyperlink>
    </w:p>
    <w:p w14:paraId="2A877B99" w14:textId="012CB572" w:rsidR="00ED017F" w:rsidRDefault="00ED017F">
      <w:pPr>
        <w:pStyle w:val="TOC2"/>
        <w:rPr>
          <w:rFonts w:asciiTheme="minorHAnsi" w:eastAsiaTheme="minorEastAsia" w:hAnsiTheme="minorHAnsi" w:cstheme="minorBidi"/>
          <w:b w:val="0"/>
          <w:smallCaps w:val="0"/>
          <w:sz w:val="22"/>
          <w:lang w:val="en-GB" w:eastAsia="en-GB"/>
        </w:rPr>
      </w:pPr>
      <w:hyperlink w:anchor="_Toc57978223" w:history="1">
        <w:r w:rsidRPr="00EF2AAD">
          <w:rPr>
            <w:rStyle w:val="Hyperlink"/>
            <w:rFonts w:ascii="Times New Roman" w:hAnsi="Times New Roman"/>
          </w:rPr>
          <w:t>2.</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Tærskelværdier for derivater</w:t>
        </w:r>
        <w:r>
          <w:rPr>
            <w:webHidden/>
          </w:rPr>
          <w:tab/>
        </w:r>
        <w:r>
          <w:rPr>
            <w:webHidden/>
          </w:rPr>
          <w:fldChar w:fldCharType="begin"/>
        </w:r>
        <w:r>
          <w:rPr>
            <w:webHidden/>
          </w:rPr>
          <w:instrText xml:space="preserve"> PAGEREF _Toc57978223 \h </w:instrText>
        </w:r>
        <w:r>
          <w:rPr>
            <w:webHidden/>
          </w:rPr>
        </w:r>
        <w:r>
          <w:rPr>
            <w:webHidden/>
          </w:rPr>
          <w:fldChar w:fldCharType="separate"/>
        </w:r>
        <w:r>
          <w:rPr>
            <w:webHidden/>
          </w:rPr>
          <w:t>4</w:t>
        </w:r>
        <w:r>
          <w:rPr>
            <w:webHidden/>
          </w:rPr>
          <w:fldChar w:fldCharType="end"/>
        </w:r>
      </w:hyperlink>
    </w:p>
    <w:p w14:paraId="2A9D59BA" w14:textId="10FB5F58" w:rsidR="00ED017F" w:rsidRDefault="00ED017F">
      <w:pPr>
        <w:pStyle w:val="TOC2"/>
        <w:rPr>
          <w:rFonts w:asciiTheme="minorHAnsi" w:eastAsiaTheme="minorEastAsia" w:hAnsiTheme="minorHAnsi" w:cstheme="minorBidi"/>
          <w:b w:val="0"/>
          <w:smallCaps w:val="0"/>
          <w:sz w:val="22"/>
          <w:lang w:val="en-GB" w:eastAsia="en-GB"/>
        </w:rPr>
      </w:pPr>
      <w:hyperlink w:anchor="_Toc57978224" w:history="1">
        <w:r w:rsidRPr="00EF2AAD">
          <w:rPr>
            <w:rStyle w:val="Hyperlink"/>
            <w:rFonts w:ascii="Times New Roman" w:hAnsi="Times New Roman"/>
          </w:rPr>
          <w:t>3.</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C 47.00 — Beregning af gearingsgrad (LRCalc)</w:t>
        </w:r>
        <w:r>
          <w:rPr>
            <w:webHidden/>
          </w:rPr>
          <w:tab/>
        </w:r>
        <w:r>
          <w:rPr>
            <w:webHidden/>
          </w:rPr>
          <w:fldChar w:fldCharType="begin"/>
        </w:r>
        <w:r>
          <w:rPr>
            <w:webHidden/>
          </w:rPr>
          <w:instrText xml:space="preserve"> PAGEREF _Toc57978224 \h </w:instrText>
        </w:r>
        <w:r>
          <w:rPr>
            <w:webHidden/>
          </w:rPr>
        </w:r>
        <w:r>
          <w:rPr>
            <w:webHidden/>
          </w:rPr>
          <w:fldChar w:fldCharType="separate"/>
        </w:r>
        <w:r>
          <w:rPr>
            <w:webHidden/>
          </w:rPr>
          <w:t>5</w:t>
        </w:r>
        <w:r>
          <w:rPr>
            <w:webHidden/>
          </w:rPr>
          <w:fldChar w:fldCharType="end"/>
        </w:r>
      </w:hyperlink>
    </w:p>
    <w:p w14:paraId="7187F06F" w14:textId="57D3E884" w:rsidR="00ED017F" w:rsidRDefault="00ED017F">
      <w:pPr>
        <w:pStyle w:val="TOC2"/>
        <w:rPr>
          <w:rFonts w:asciiTheme="minorHAnsi" w:eastAsiaTheme="minorEastAsia" w:hAnsiTheme="minorHAnsi" w:cstheme="minorBidi"/>
          <w:b w:val="0"/>
          <w:smallCaps w:val="0"/>
          <w:sz w:val="22"/>
          <w:lang w:val="en-GB" w:eastAsia="en-GB"/>
        </w:rPr>
      </w:pPr>
      <w:hyperlink w:anchor="_Toc57978225" w:history="1">
        <w:r w:rsidRPr="00EF2AAD">
          <w:rPr>
            <w:rStyle w:val="Hyperlink"/>
            <w:rFonts w:ascii="Times New Roman" w:hAnsi="Times New Roman"/>
          </w:rPr>
          <w:t>4.</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C 40.00 — Alternativ behandling af eksponeringsmålet (LR1)</w:t>
        </w:r>
        <w:r>
          <w:rPr>
            <w:webHidden/>
          </w:rPr>
          <w:tab/>
        </w:r>
        <w:r>
          <w:rPr>
            <w:webHidden/>
          </w:rPr>
          <w:fldChar w:fldCharType="begin"/>
        </w:r>
        <w:r>
          <w:rPr>
            <w:webHidden/>
          </w:rPr>
          <w:instrText xml:space="preserve"> PAGEREF _Toc57978225 \h </w:instrText>
        </w:r>
        <w:r>
          <w:rPr>
            <w:webHidden/>
          </w:rPr>
        </w:r>
        <w:r>
          <w:rPr>
            <w:webHidden/>
          </w:rPr>
          <w:fldChar w:fldCharType="separate"/>
        </w:r>
        <w:r>
          <w:rPr>
            <w:webHidden/>
          </w:rPr>
          <w:t>29</w:t>
        </w:r>
        <w:r>
          <w:rPr>
            <w:webHidden/>
          </w:rPr>
          <w:fldChar w:fldCharType="end"/>
        </w:r>
      </w:hyperlink>
    </w:p>
    <w:p w14:paraId="071FD78D" w14:textId="388C9ECB" w:rsidR="00ED017F" w:rsidRDefault="00ED017F">
      <w:pPr>
        <w:pStyle w:val="TOC2"/>
        <w:rPr>
          <w:rFonts w:asciiTheme="minorHAnsi" w:eastAsiaTheme="minorEastAsia" w:hAnsiTheme="minorHAnsi" w:cstheme="minorBidi"/>
          <w:b w:val="0"/>
          <w:smallCaps w:val="0"/>
          <w:sz w:val="22"/>
          <w:lang w:val="en-GB" w:eastAsia="en-GB"/>
        </w:rPr>
      </w:pPr>
      <w:hyperlink w:anchor="_Toc57978226" w:history="1">
        <w:r w:rsidRPr="00EF2AAD">
          <w:rPr>
            <w:rStyle w:val="Hyperlink"/>
            <w:rFonts w:ascii="Times New Roman" w:hAnsi="Times New Roman"/>
          </w:rPr>
          <w:t>5.</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C 43.00 — Alternativ opdeling af komponenter af eksponeringsmålet bag gearingsgraden (LR4)</w:t>
        </w:r>
        <w:r>
          <w:rPr>
            <w:webHidden/>
          </w:rPr>
          <w:tab/>
        </w:r>
        <w:r>
          <w:rPr>
            <w:webHidden/>
          </w:rPr>
          <w:fldChar w:fldCharType="begin"/>
        </w:r>
        <w:r>
          <w:rPr>
            <w:webHidden/>
          </w:rPr>
          <w:instrText xml:space="preserve"> PAGEREF _Toc57978226 \h </w:instrText>
        </w:r>
        <w:r>
          <w:rPr>
            <w:webHidden/>
          </w:rPr>
        </w:r>
        <w:r>
          <w:rPr>
            <w:webHidden/>
          </w:rPr>
          <w:fldChar w:fldCharType="separate"/>
        </w:r>
        <w:r>
          <w:rPr>
            <w:webHidden/>
          </w:rPr>
          <w:t>41</w:t>
        </w:r>
        <w:r>
          <w:rPr>
            <w:webHidden/>
          </w:rPr>
          <w:fldChar w:fldCharType="end"/>
        </w:r>
      </w:hyperlink>
    </w:p>
    <w:p w14:paraId="6B9CEE33" w14:textId="07655876" w:rsidR="00ED017F" w:rsidRDefault="00ED017F">
      <w:pPr>
        <w:pStyle w:val="TOC2"/>
        <w:rPr>
          <w:rFonts w:asciiTheme="minorHAnsi" w:eastAsiaTheme="minorEastAsia" w:hAnsiTheme="minorHAnsi" w:cstheme="minorBidi"/>
          <w:b w:val="0"/>
          <w:smallCaps w:val="0"/>
          <w:sz w:val="22"/>
          <w:lang w:val="en-GB" w:eastAsia="en-GB"/>
        </w:rPr>
      </w:pPr>
      <w:hyperlink w:anchor="_Toc57978227" w:history="1">
        <w:r w:rsidRPr="00EF2AAD">
          <w:rPr>
            <w:rStyle w:val="Hyperlink"/>
            <w:rFonts w:ascii="Times New Roman" w:hAnsi="Times New Roman"/>
          </w:rPr>
          <w:t>6.</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C 44.00 – Generelle oplysninger (LR5)</w:t>
        </w:r>
        <w:r>
          <w:rPr>
            <w:webHidden/>
          </w:rPr>
          <w:tab/>
        </w:r>
        <w:r>
          <w:rPr>
            <w:webHidden/>
          </w:rPr>
          <w:fldChar w:fldCharType="begin"/>
        </w:r>
        <w:r>
          <w:rPr>
            <w:webHidden/>
          </w:rPr>
          <w:instrText xml:space="preserve"> PAGEREF _Toc57978227 \h </w:instrText>
        </w:r>
        <w:r>
          <w:rPr>
            <w:webHidden/>
          </w:rPr>
        </w:r>
        <w:r>
          <w:rPr>
            <w:webHidden/>
          </w:rPr>
          <w:fldChar w:fldCharType="separate"/>
        </w:r>
        <w:r>
          <w:rPr>
            <w:webHidden/>
          </w:rPr>
          <w:t>67</w:t>
        </w:r>
        <w:r>
          <w:rPr>
            <w:webHidden/>
          </w:rPr>
          <w:fldChar w:fldCharType="end"/>
        </w:r>
      </w:hyperlink>
    </w:p>
    <w:p w14:paraId="7E6AFA48" w14:textId="23430322" w:rsidR="00ED017F" w:rsidRDefault="00ED017F">
      <w:pPr>
        <w:pStyle w:val="TOC2"/>
        <w:rPr>
          <w:rFonts w:asciiTheme="minorHAnsi" w:eastAsiaTheme="minorEastAsia" w:hAnsiTheme="minorHAnsi" w:cstheme="minorBidi"/>
          <w:b w:val="0"/>
          <w:smallCaps w:val="0"/>
          <w:sz w:val="22"/>
          <w:lang w:val="en-GB" w:eastAsia="en-GB"/>
        </w:rPr>
      </w:pPr>
      <w:hyperlink w:anchor="_Toc57978228" w:history="1">
        <w:r w:rsidRPr="00EF2AAD">
          <w:rPr>
            <w:rStyle w:val="Hyperlink"/>
            <w:rFonts w:ascii="Times New Roman" w:hAnsi="Times New Roman"/>
          </w:rPr>
          <w:t>7.</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C 48.00 Gearingsgradens volatilitet (LR6)</w:t>
        </w:r>
        <w:r>
          <w:rPr>
            <w:webHidden/>
          </w:rPr>
          <w:tab/>
        </w:r>
        <w:r>
          <w:rPr>
            <w:webHidden/>
          </w:rPr>
          <w:fldChar w:fldCharType="begin"/>
        </w:r>
        <w:r>
          <w:rPr>
            <w:webHidden/>
          </w:rPr>
          <w:instrText xml:space="preserve"> PAGEREF _Toc57978228 \h </w:instrText>
        </w:r>
        <w:r>
          <w:rPr>
            <w:webHidden/>
          </w:rPr>
        </w:r>
        <w:r>
          <w:rPr>
            <w:webHidden/>
          </w:rPr>
          <w:fldChar w:fldCharType="separate"/>
        </w:r>
        <w:r>
          <w:rPr>
            <w:webHidden/>
          </w:rPr>
          <w:t>69</w:t>
        </w:r>
        <w:r>
          <w:rPr>
            <w:webHidden/>
          </w:rPr>
          <w:fldChar w:fldCharType="end"/>
        </w:r>
      </w:hyperlink>
    </w:p>
    <w:p w14:paraId="6910A1C0" w14:textId="6DB14DAE" w:rsidR="00ED017F" w:rsidRDefault="00ED017F">
      <w:pPr>
        <w:pStyle w:val="TOC2"/>
        <w:rPr>
          <w:rFonts w:asciiTheme="minorHAnsi" w:eastAsiaTheme="minorEastAsia" w:hAnsiTheme="minorHAnsi" w:cstheme="minorBidi"/>
          <w:b w:val="0"/>
          <w:smallCaps w:val="0"/>
          <w:sz w:val="22"/>
          <w:lang w:val="en-GB" w:eastAsia="en-GB"/>
        </w:rPr>
      </w:pPr>
      <w:hyperlink w:anchor="_Toc57978229" w:history="1">
        <w:r w:rsidRPr="00EF2AAD">
          <w:rPr>
            <w:rStyle w:val="Hyperlink"/>
            <w:rFonts w:ascii="Times New Roman" w:hAnsi="Times New Roman"/>
          </w:rPr>
          <w:t>8.</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C 48.01 Gearingsgradens volatilitet: Gennemsnitlig værdi for indberetningsperioden</w:t>
        </w:r>
        <w:r>
          <w:rPr>
            <w:webHidden/>
          </w:rPr>
          <w:tab/>
        </w:r>
        <w:r>
          <w:rPr>
            <w:webHidden/>
          </w:rPr>
          <w:fldChar w:fldCharType="begin"/>
        </w:r>
        <w:r>
          <w:rPr>
            <w:webHidden/>
          </w:rPr>
          <w:instrText xml:space="preserve"> PAGEREF _Toc57978229 \h </w:instrText>
        </w:r>
        <w:r>
          <w:rPr>
            <w:webHidden/>
          </w:rPr>
        </w:r>
        <w:r>
          <w:rPr>
            <w:webHidden/>
          </w:rPr>
          <w:fldChar w:fldCharType="separate"/>
        </w:r>
        <w:r>
          <w:rPr>
            <w:webHidden/>
          </w:rPr>
          <w:t>69</w:t>
        </w:r>
        <w:r>
          <w:rPr>
            <w:webHidden/>
          </w:rPr>
          <w:fldChar w:fldCharType="end"/>
        </w:r>
      </w:hyperlink>
    </w:p>
    <w:p w14:paraId="3E1A3DDC" w14:textId="04AA9121" w:rsidR="00ED017F" w:rsidRDefault="00ED017F">
      <w:pPr>
        <w:pStyle w:val="TOC2"/>
        <w:rPr>
          <w:rFonts w:asciiTheme="minorHAnsi" w:eastAsiaTheme="minorEastAsia" w:hAnsiTheme="minorHAnsi" w:cstheme="minorBidi"/>
          <w:b w:val="0"/>
          <w:smallCaps w:val="0"/>
          <w:sz w:val="22"/>
          <w:lang w:val="en-GB" w:eastAsia="en-GB"/>
        </w:rPr>
      </w:pPr>
      <w:hyperlink w:anchor="_Toc57978230" w:history="1">
        <w:r w:rsidRPr="00EF2AAD">
          <w:rPr>
            <w:rStyle w:val="Hyperlink"/>
            <w:rFonts w:ascii="Times New Roman" w:hAnsi="Times New Roman"/>
          </w:rPr>
          <w:t>9.</w:t>
        </w:r>
        <w:r>
          <w:rPr>
            <w:rFonts w:asciiTheme="minorHAnsi" w:eastAsiaTheme="minorEastAsia" w:hAnsiTheme="minorHAnsi" w:cstheme="minorBidi"/>
            <w:b w:val="0"/>
            <w:smallCaps w:val="0"/>
            <w:sz w:val="22"/>
            <w:lang w:val="en-GB" w:eastAsia="en-GB"/>
          </w:rPr>
          <w:tab/>
        </w:r>
        <w:r w:rsidRPr="00EF2AAD">
          <w:rPr>
            <w:rStyle w:val="Hyperlink"/>
            <w:rFonts w:ascii="Times New Roman" w:hAnsi="Times New Roman"/>
          </w:rPr>
          <w:t>C 48.02 Gearingsgradens volatilitet: Daglige værdier for indberetningsperioden</w:t>
        </w:r>
        <w:r>
          <w:rPr>
            <w:webHidden/>
          </w:rPr>
          <w:tab/>
        </w:r>
        <w:r>
          <w:rPr>
            <w:webHidden/>
          </w:rPr>
          <w:fldChar w:fldCharType="begin"/>
        </w:r>
        <w:r>
          <w:rPr>
            <w:webHidden/>
          </w:rPr>
          <w:instrText xml:space="preserve"> PAGEREF _Toc57978230 \h </w:instrText>
        </w:r>
        <w:r>
          <w:rPr>
            <w:webHidden/>
          </w:rPr>
        </w:r>
        <w:r>
          <w:rPr>
            <w:webHidden/>
          </w:rPr>
          <w:fldChar w:fldCharType="separate"/>
        </w:r>
        <w:r>
          <w:rPr>
            <w:webHidden/>
          </w:rPr>
          <w:t>70</w:t>
        </w:r>
        <w:r>
          <w:rPr>
            <w:webHidden/>
          </w:rPr>
          <w:fldChar w:fldCharType="end"/>
        </w:r>
      </w:hyperlink>
    </w:p>
    <w:p w14:paraId="43D747E1" w14:textId="1D5A49C4"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7978215"/>
      <w:r>
        <w:rPr>
          <w:rFonts w:ascii="Times New Roman" w:hAnsi="Times New Roman"/>
          <w:b/>
          <w:sz w:val="24"/>
          <w:szCs w:val="24"/>
        </w:rPr>
        <w:t>DEL I:</w:t>
      </w:r>
      <w:bookmarkEnd w:id="0"/>
      <w:r>
        <w:rPr>
          <w:rFonts w:ascii="Times New Roman" w:hAnsi="Times New Roman"/>
          <w:b/>
          <w:sz w:val="24"/>
          <w:szCs w:val="24"/>
        </w:rPr>
        <w:t xml:space="preserve"> GENERELLE INSTRUKSER</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7978216"/>
      <w:r>
        <w:rPr>
          <w:rFonts w:ascii="Times New Roman" w:hAnsi="Times New Roman"/>
          <w:b/>
          <w:sz w:val="24"/>
          <w:szCs w:val="24"/>
        </w:rPr>
        <w:t>1.</w:t>
      </w:r>
      <w:r>
        <w:tab/>
      </w:r>
      <w:r>
        <w:rPr>
          <w:rFonts w:ascii="Times New Roman" w:hAnsi="Times New Roman"/>
          <w:b/>
          <w:sz w:val="24"/>
          <w:szCs w:val="24"/>
        </w:rPr>
        <w:t>Opbygning og andre konventioner</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57978217"/>
      <w:r>
        <w:rPr>
          <w:rFonts w:ascii="Times New Roman" w:hAnsi="Times New Roman"/>
          <w:b/>
          <w:sz w:val="24"/>
          <w:szCs w:val="24"/>
        </w:rPr>
        <w:t>1.1.</w:t>
      </w:r>
      <w:r>
        <w:tab/>
      </w:r>
      <w:bookmarkEnd w:id="11"/>
      <w:bookmarkEnd w:id="12"/>
      <w:bookmarkEnd w:id="13"/>
      <w:r>
        <w:rPr>
          <w:rFonts w:ascii="Times New Roman" w:hAnsi="Times New Roman"/>
          <w:b/>
          <w:sz w:val="24"/>
          <w:szCs w:val="24"/>
        </w:rPr>
        <w:t>Opbygning</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Dette bilag indeholder yderligere instrukser vedrørende skemaerne for gearingsgraden (herefter "LR" – </w:t>
      </w:r>
      <w:proofErr w:type="spellStart"/>
      <w:r>
        <w:rPr>
          <w:rFonts w:ascii="Times New Roman" w:hAnsi="Times New Roman"/>
          <w:sz w:val="24"/>
          <w:szCs w:val="24"/>
        </w:rPr>
        <w:t>Leverage</w:t>
      </w:r>
      <w:proofErr w:type="spellEnd"/>
      <w:r>
        <w:rPr>
          <w:rFonts w:ascii="Times New Roman" w:hAnsi="Times New Roman"/>
          <w:sz w:val="24"/>
          <w:szCs w:val="24"/>
        </w:rPr>
        <w:t xml:space="preserve"> Ratio) i bilag X til denne forordning.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Generelt består systemet af fem skemaer:</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Beregning af gearingsgrad (</w:t>
      </w:r>
      <w:proofErr w:type="spellStart"/>
      <w:r>
        <w:rPr>
          <w:bCs/>
          <w:sz w:val="24"/>
        </w:rPr>
        <w:t>LRCalc</w:t>
      </w:r>
      <w:proofErr w:type="spellEnd"/>
      <w:r>
        <w:rPr>
          <w:bCs/>
          <w:sz w:val="24"/>
        </w:rPr>
        <w:t>): Beregning af gearingsgrad</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Skema for gearingsgrad 1 (LR1): Alternativ behandling af eksponeringsmålet</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Skema for gearingsgrad 4 (LR4): Alternativ opdeling af komponenter af eksponeringsmålet bag gearingsgraden</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Skema for gearingsgrad 5 (LR5): Generelle oplysninger.</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 xml:space="preserve">C48.00: Gearingsgradens </w:t>
      </w:r>
      <w:proofErr w:type="spellStart"/>
      <w:r>
        <w:rPr>
          <w:bCs/>
          <w:sz w:val="24"/>
        </w:rPr>
        <w:t>volatilitet</w:t>
      </w:r>
      <w:proofErr w:type="spellEnd"/>
      <w:r>
        <w:rPr>
          <w:bCs/>
          <w:sz w:val="24"/>
        </w:rPr>
        <w:t xml:space="preserve">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For hvert skema gives der henvisninger til retsakter og yderligere detaljerede oplysninger om de mere generelle aspekter af indberetningen.</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7978218"/>
      <w:bookmarkEnd w:id="17"/>
      <w:r>
        <w:rPr>
          <w:rFonts w:ascii="Times New Roman" w:hAnsi="Times New Roman"/>
          <w:b/>
          <w:sz w:val="24"/>
          <w:szCs w:val="24"/>
        </w:rPr>
        <w:t>1.2.</w:t>
      </w:r>
      <w:r>
        <w:tab/>
      </w:r>
      <w:r>
        <w:rPr>
          <w:rFonts w:ascii="Times New Roman" w:hAnsi="Times New Roman"/>
          <w:b/>
          <w:sz w:val="24"/>
          <w:szCs w:val="24"/>
        </w:rPr>
        <w:t>Konvention for nummerering</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Dokumentet følger de konventioner for tekst, der er beskrevet i de følgende afsnit, når der henvises til kolonner, rækker og celler i skemaerne. Disse numeriske koder anvendes generelt i valideringsreglerne.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Følgende generelle notation anvendes i instrukserne: {</w:t>
      </w:r>
      <w:proofErr w:type="spellStart"/>
      <w:proofErr w:type="gramStart"/>
      <w:r>
        <w:rPr>
          <w:bCs/>
          <w:sz w:val="24"/>
        </w:rPr>
        <w:t>Skema;Række</w:t>
      </w:r>
      <w:proofErr w:type="gramEnd"/>
      <w:r>
        <w:rPr>
          <w:bCs/>
          <w:sz w:val="24"/>
        </w:rPr>
        <w:t>;Kolonne</w:t>
      </w:r>
      <w:proofErr w:type="spellEnd"/>
      <w:r>
        <w:rPr>
          <w:bCs/>
          <w:sz w:val="24"/>
        </w:rPr>
        <w:t>}. En asterisk henviser til hele rækken eller kolonnen.</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Ved valideringer i et skema, hvor kun datapunkter fra skemaet anvendes, henviser notationer ikke til et skema: {</w:t>
      </w:r>
      <w:proofErr w:type="spellStart"/>
      <w:proofErr w:type="gramStart"/>
      <w:r>
        <w:rPr>
          <w:bCs/>
          <w:sz w:val="24"/>
        </w:rPr>
        <w:t>Række;Kolonne</w:t>
      </w:r>
      <w:proofErr w:type="spellEnd"/>
      <w:proofErr w:type="gramEnd"/>
      <w:r>
        <w:rPr>
          <w:bCs/>
          <w:sz w:val="24"/>
        </w:rPr>
        <w:t>}.</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Med henblik på indberetning af gearing henviser "heraf" til en post, der er en del af en kategori på et højere eksponeringsniveau, mens "memorandumpost" henviser til en separat post, der ikke er en del af en eksponeringsklasse. Indberetning af begge typer celler er obligatorisk, medmindre andet angives.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7978219"/>
      <w:r>
        <w:rPr>
          <w:rFonts w:ascii="Times New Roman" w:hAnsi="Times New Roman"/>
          <w:b/>
          <w:sz w:val="24"/>
          <w:szCs w:val="24"/>
        </w:rPr>
        <w:t>1.3.</w:t>
      </w:r>
      <w:r>
        <w:tab/>
      </w:r>
      <w:r>
        <w:rPr>
          <w:rFonts w:ascii="Times New Roman" w:hAnsi="Times New Roman"/>
          <w:b/>
          <w:sz w:val="24"/>
          <w:szCs w:val="24"/>
        </w:rPr>
        <w:t>Forkortelser</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tab/>
      </w:r>
      <w:r>
        <w:rPr>
          <w:bCs/>
          <w:sz w:val="24"/>
        </w:rPr>
        <w:t>I dette bilag og de tilhørende skemaer anvendes følgende forkortelser:</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lastRenderedPageBreak/>
        <w:t>a.</w:t>
      </w:r>
      <w:r>
        <w:tab/>
      </w:r>
      <w:r>
        <w:rPr>
          <w:bCs/>
          <w:sz w:val="24"/>
        </w:rPr>
        <w:t>CRR, som er forkortelsen for kapitalkravsforordningen, dvs. forordning (EU) nr.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CRD, som er forkortelsen for kapitalkravsdirektivet, dvs. direktiv 2013/36/EU</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SFT, som er forkortelsen for "værdipapirfinansieringstransaktion" og betyder "genkøbstransaktion, ud- og indlån af værdipapirer eller råvarer eller margenudlånstransaktion", jf. artikel 4, stk. 1, nr. 139), i forordning (EU) nr.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CRM, som er forkortelsen for kreditrisikoreduktion</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CSD, som er forkortelsen for værdipapircentral</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tab/>
      </w:r>
      <w:r>
        <w:rPr>
          <w:bCs/>
          <w:sz w:val="24"/>
        </w:rPr>
        <w:t>QCCP, som er forkortelsen for kvalificerende central modpart</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PFE, som er forkortelsen for potentiel fremtidig eksponering.</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7978220"/>
      <w:r>
        <w:rPr>
          <w:rFonts w:ascii="Times New Roman" w:hAnsi="Times New Roman"/>
          <w:b/>
          <w:sz w:val="24"/>
          <w:szCs w:val="24"/>
        </w:rPr>
        <w:t>1.4.</w:t>
      </w:r>
      <w:r>
        <w:tab/>
      </w:r>
      <w:r>
        <w:rPr>
          <w:rFonts w:ascii="Times New Roman" w:hAnsi="Times New Roman"/>
          <w:b/>
          <w:sz w:val="24"/>
          <w:szCs w:val="24"/>
        </w:rPr>
        <w:t>Tegnkonvention</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tab/>
      </w:r>
      <w:r>
        <w:rPr>
          <w:bCs/>
          <w:sz w:val="24"/>
        </w:rPr>
        <w:t>Alle beløb indberettes som positive tal.</w:t>
      </w:r>
      <w:bookmarkStart w:id="32" w:name="_Toc264033192"/>
      <w:bookmarkEnd w:id="32"/>
      <w:r>
        <w:rPr>
          <w:bCs/>
          <w:sz w:val="24"/>
        </w:rPr>
        <w:t xml:space="preserve"> Med undtagelse af:</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Hvis der er indsat et negativt fortegn (-) ved teksten ud for en post, forventes der ikke en positivt tal ud for den pågældende post.</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{LRCalc;0340;0010} kan indeholde negative værdier, hvis særlige forhold gør sig gældende; ellers indeholder de positive værdier.</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{LRCalc;0280;0010} kan indeholde positive værdier på grund af artikel 473a, stk. 7, i CRR; ellers indeholder de negative værdier.</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7978221"/>
      <w:r>
        <w:rPr>
          <w:rFonts w:ascii="Times New Roman" w:hAnsi="Times New Roman"/>
          <w:b/>
          <w:sz w:val="24"/>
          <w:szCs w:val="24"/>
        </w:rPr>
        <w:lastRenderedPageBreak/>
        <w:t>DEL II: INSTRUKSER VEDRØRENDE SKEMAER</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57978222"/>
      <w:r>
        <w:rPr>
          <w:rFonts w:ascii="Times New Roman" w:hAnsi="Times New Roman"/>
          <w:b/>
          <w:sz w:val="24"/>
          <w:szCs w:val="24"/>
        </w:rPr>
        <w:t>1.</w:t>
      </w:r>
      <w:r>
        <w:tab/>
      </w:r>
      <w:r>
        <w:rPr>
          <w:rFonts w:ascii="Times New Roman" w:hAnsi="Times New Roman"/>
          <w:b/>
          <w:sz w:val="24"/>
          <w:szCs w:val="24"/>
        </w:rPr>
        <w:t>Formler til beregning af gearingsgrad</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Gearingsgraden er baseret på et kapitalmål og et samlet eksponeringsmål, som kan beregnes ved hjælp af cellerne i </w:t>
      </w:r>
      <w:proofErr w:type="spellStart"/>
      <w:r>
        <w:rPr>
          <w:rFonts w:ascii="Times New Roman" w:hAnsi="Times New Roman"/>
          <w:sz w:val="24"/>
          <w:szCs w:val="24"/>
        </w:rPr>
        <w:t>LRCalc</w:t>
      </w:r>
      <w:proofErr w:type="spellEnd"/>
      <w:r>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Gearingsgrad – Definition efter fuld indfasning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Gearingsgrad – Overgangsdefinition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57978223"/>
      <w:bookmarkEnd w:id="39"/>
      <w:r>
        <w:rPr>
          <w:rFonts w:ascii="Times New Roman" w:hAnsi="Times New Roman"/>
          <w:b/>
          <w:sz w:val="24"/>
          <w:szCs w:val="24"/>
        </w:rPr>
        <w:t>2.</w:t>
      </w:r>
      <w:r>
        <w:tab/>
      </w:r>
      <w:r>
        <w:rPr>
          <w:rFonts w:ascii="Times New Roman" w:hAnsi="Times New Roman"/>
          <w:b/>
          <w:sz w:val="24"/>
          <w:szCs w:val="24"/>
        </w:rPr>
        <w:t>Tærskelværdier for derivater</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For at mindske indberetningsbyrden for institutter med begrænsede eksponeringer i forbindelse med derivater anvendes følgende mål til at måle betydningen af eksponeringerne mod derivater i forhold til den samlede eksponering bag gearingsgraden. Institutter skal beregne disse mål på følgende måde:</w:t>
      </w:r>
      <w:bookmarkStart w:id="45" w:name="_Toc322533853"/>
      <w:bookmarkEnd w:id="43"/>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tab/>
      </w:r>
      <w:r>
        <w:rPr>
          <w:rFonts w:ascii="Times New Roman" w:hAnsi="Times New Roman"/>
          <w:sz w:val="24"/>
          <w:szCs w:val="24"/>
        </w:rPr>
        <w:t xml:space="preserve">Andel af derivater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Hvor det samlede derivateksponeringsmål er lig med: {LRCalc;0061;</w:t>
      </w:r>
      <w:proofErr w:type="gramStart"/>
      <w:r>
        <w:rPr>
          <w:rFonts w:ascii="Times New Roman" w:hAnsi="Times New Roman"/>
          <w:sz w:val="24"/>
          <w:szCs w:val="24"/>
        </w:rPr>
        <w:t>0010}+</w:t>
      </w:r>
      <w:proofErr w:type="gramEnd"/>
      <w:r>
        <w:rPr>
          <w:rFonts w:ascii="Times New Roman" w:hAnsi="Times New Roman"/>
          <w:sz w:val="24"/>
          <w:szCs w:val="24"/>
        </w:rPr>
        <w:t>{LRCalc;0065;0010}+{LRCalc;0071;0010}+{LRCalc;0081;0010}+{LRCalc;0091;0010}+{LRCalc;0092;0010}+{LRCalc;0093;0010}+{LRCalc;0101;0010}+{LRCalc;0102;0010}+{LRCalc;0103;0010}+{LRCalc;0104;0010}+{LRCalc;0110;0010}+{LRCalc;0120;0010}+{LRCalc;0130;0010}+{LRCalc;0140;0010}.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Hvor det samlede eksponeringsmål er lig med: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Samlet fiktiv værdi knyttet til derivater = {LR1; 0010;0070}. Denne celle skal institutter altid indberette.</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Mængde af kreditderivater = {LR1;0020;0070} + {LR1;0050;0070}. Disse celler skal institutter altid indberette.</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Institutter skal indberette de celler, der er nævnt i punkt 13, hvis en af følgende betingelser er opfyldt:</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Den andel af derivater, der er nævnt i punkt 5, overstiger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Den andel af derivater, der er nævnt i punkt 5, overstiger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proofErr w:type="spellStart"/>
      <w:r>
        <w:rPr>
          <w:bCs/>
          <w:sz w:val="24"/>
        </w:rPr>
        <w:t>Entry</w:t>
      </w:r>
      <w:proofErr w:type="spellEnd"/>
      <w:r>
        <w:rPr>
          <w:bCs/>
          <w:sz w:val="24"/>
        </w:rPr>
        <w:t>- og exitkriterierne i denne forordnings artikel 4 finder anvendelse, bortset fra litra b), hvor institutter skal begynde at indberette oplysninger fra den næste referencedato for indberetning, hvis de har overskredet tærsklen på en referencedato for indberetning.</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tab/>
      </w:r>
      <w:r>
        <w:rPr>
          <w:rFonts w:ascii="Times New Roman" w:hAnsi="Times New Roman"/>
          <w:sz w:val="24"/>
          <w:szCs w:val="24"/>
        </w:rPr>
        <w:t>Institutter, for hvilke den samlede fiktive værdi knyttet til derivater, jf. definitionen i punkt 8, overstiger 10 mia. EUR, skal indberette de celler, der er nævnt i punkt 13, selv om deres andel af derivater ikke opfylder betingelserne i punkt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proofErr w:type="spellStart"/>
      <w:r>
        <w:rPr>
          <w:rFonts w:ascii="Times New Roman" w:hAnsi="Times New Roman"/>
          <w:sz w:val="24"/>
          <w:szCs w:val="24"/>
        </w:rPr>
        <w:t>Entrykriterierne</w:t>
      </w:r>
      <w:proofErr w:type="spellEnd"/>
      <w:r>
        <w:rPr>
          <w:rFonts w:ascii="Times New Roman" w:hAnsi="Times New Roman"/>
          <w:sz w:val="24"/>
          <w:szCs w:val="24"/>
        </w:rPr>
        <w:t xml:space="preserve"> i denne forordnings artikel 4 finder ikke anvendelse på punkt 4. Institutter begynder at indberette oplysninger fra den næste referencedato for indberetning, når de har overskredet tærsklen på en referencedato for indberetning.</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Institutter skal indberette de celler, der er nævnt i punkt 14, hvis en af følgende betingelser er opfyldt:</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Den mængde af kreditderivater, der er nævnt i punkt 9, overstiger 300 mio. EUR.</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Den mængde af kreditderivater, der er nævnt i punkt 9, overstiger 500 mio. EUR.</w:t>
      </w:r>
    </w:p>
    <w:p w14:paraId="3B88084F" w14:textId="34241752" w:rsidR="00F4754B" w:rsidRPr="000B66BC" w:rsidRDefault="00242493" w:rsidP="000B66BC">
      <w:pPr>
        <w:pStyle w:val="InstructionsText2"/>
        <w:numPr>
          <w:ilvl w:val="0"/>
          <w:numId w:val="0"/>
        </w:numPr>
        <w:ind w:left="709" w:firstLine="11"/>
        <w:rPr>
          <w:sz w:val="24"/>
        </w:rPr>
      </w:pPr>
      <w:proofErr w:type="spellStart"/>
      <w:r>
        <w:rPr>
          <w:bCs/>
          <w:sz w:val="24"/>
        </w:rPr>
        <w:t>Entry</w:t>
      </w:r>
      <w:proofErr w:type="spellEnd"/>
      <w:r>
        <w:rPr>
          <w:bCs/>
          <w:sz w:val="24"/>
        </w:rPr>
        <w:t>- og exitkriterierne i denne forordnings artikel 4 finder anvendelse, bortset fra litra b), hvor institutter skal begynde at indberette oplysninger fra den næste referencedato for indberetning, hvis de har overskredet tærsklen på en referencedato for indberetning.</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De celler, som institutter skal indberette i henhold til punkt 10 og 11, er følgende: {LR1;0010;0010}, {LR1;0010;0020}, {LR1;0020;0010}, {LR1;0020;0020}, {LR1;0030;0070}, {LR1;0040;0070}, {LR1;0050;0010}, {LR1;0050;0020}, {LR1;0060;0010}, {LR1;0060;0020} og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De celler, som institutter skal indberette i henhold til punkt 12, er følgende: {LR1;0020;0075}, {LR1;0050;0075} og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322687879"/>
      <w:bookmarkStart w:id="50" w:name="_Toc315961853"/>
      <w:bookmarkStart w:id="51" w:name="_Toc57978224"/>
      <w:bookmarkEnd w:id="46"/>
      <w:r>
        <w:rPr>
          <w:rFonts w:ascii="Times New Roman" w:hAnsi="Times New Roman"/>
          <w:b/>
          <w:sz w:val="24"/>
          <w:szCs w:val="24"/>
        </w:rPr>
        <w:t>3.</w:t>
      </w:r>
      <w:r>
        <w:tab/>
      </w:r>
      <w:r>
        <w:rPr>
          <w:rFonts w:ascii="Times New Roman" w:hAnsi="Times New Roman"/>
          <w:b/>
          <w:sz w:val="24"/>
          <w:szCs w:val="24"/>
        </w:rPr>
        <w:t>C 47.00 — Beregning af gearingsgrad (</w:t>
      </w:r>
      <w:proofErr w:type="spellStart"/>
      <w:r>
        <w:rPr>
          <w:rFonts w:ascii="Times New Roman" w:hAnsi="Times New Roman"/>
          <w:b/>
          <w:sz w:val="24"/>
          <w:szCs w:val="24"/>
        </w:rPr>
        <w:t>LRCalc</w:t>
      </w:r>
      <w:proofErr w:type="spellEnd"/>
      <w:r>
        <w:rPr>
          <w:rFonts w:ascii="Times New Roman" w:hAnsi="Times New Roman"/>
          <w:b/>
          <w:sz w:val="24"/>
          <w:szCs w:val="24"/>
        </w:rPr>
        <w:t>)</w:t>
      </w:r>
      <w:bookmarkStart w:id="52" w:name="_Toc351048506"/>
      <w:bookmarkEnd w:id="52"/>
      <w:bookmarkEnd w:id="47"/>
      <w:bookmarkEnd w:id="48"/>
      <w:bookmarkEnd w:id="51"/>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I dette skema indsamles de data, der er nødvendige for at beregne gearingsgraden som defineret i syvende del af CRR.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Institutter skal indberette gearingsgraden hvert kvartal. I hvert kvartal er værdien på "referencedatoen for indberetning" værdien på den sidste kalenderdag i den tredje måned i det pågældende kvartal.</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Institutter skal indberette posterne i afsnittet om eksponeringsværdier med positivt fortegn i overensstemmelse med tegnkonventionen i del I, punkt 9, i dette bilag (med undtagelse af ({LRCalc;0270;0010} og {LRCalc;0280;0010}), som om posterne med negativt fortegn (for eksempel undtagelser/fradrag) i overensstemmelse med tegnkonventionen i del I, punkt 9, i dette bilag ikke gjaldt.</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Beløb, der forøger kapitalgrundlaget eller eksponeringsværdien bag gearingsgraden, indberettes som et positivt tal. Modsat indberettes beløb, der reducerer det samlede kapitalgrundlag eller eksponeringsværdien bag gearingsgraden, som et negativt tal. Hvis der er indsat et negativt fortegn (-) ved teksten ud for en post, indberettes et positivt tal ikke for den pågældende post.</w:t>
      </w:r>
    </w:p>
    <w:p w14:paraId="69E62B50" w14:textId="029D4159" w:rsidR="00EC3422" w:rsidRPr="000B66BC" w:rsidRDefault="006A4991" w:rsidP="009339D1">
      <w:pPr>
        <w:pStyle w:val="InstructionsText2"/>
        <w:numPr>
          <w:ilvl w:val="0"/>
          <w:numId w:val="0"/>
        </w:numPr>
        <w:ind w:left="720" w:hanging="360"/>
        <w:rPr>
          <w:sz w:val="24"/>
        </w:rPr>
      </w:pPr>
      <w:r>
        <w:rPr>
          <w:sz w:val="24"/>
        </w:rPr>
        <w:t>19.  Når et beløb kunne være kvalificeret til fradrag af flere årsager, fratrækkes beløbet kun fra eksponeringen i én række i skema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Henvisninger til retsakter og instrukser</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Række og kolonne</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Eksponeringsværdier</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proofErr w:type="spellStart"/>
            <w:r>
              <w:rPr>
                <w:rFonts w:ascii="Times New Roman" w:hAnsi="Times New Roman"/>
                <w:b/>
                <w:bCs/>
                <w:sz w:val="24"/>
                <w:szCs w:val="24"/>
              </w:rPr>
              <w:t>SFT'er</w:t>
            </w:r>
            <w:proofErr w:type="spellEnd"/>
            <w:r>
              <w:rPr>
                <w:rFonts w:ascii="Times New Roman" w:hAnsi="Times New Roman"/>
                <w:b/>
                <w:bCs/>
                <w:sz w:val="24"/>
                <w:szCs w:val="24"/>
              </w:rPr>
              <w:t xml:space="preserve">: Eksponeringsværdi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szCs w:val="24"/>
              </w:rPr>
              <w:t>Artikel 429b, stk. 1, litra b), artikel 429b, stk. 4 og 5, i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af </w:t>
            </w:r>
            <w:proofErr w:type="spellStart"/>
            <w:r>
              <w:rPr>
                <w:rFonts w:ascii="Times New Roman" w:hAnsi="Times New Roman"/>
                <w:bCs/>
                <w:sz w:val="24"/>
                <w:szCs w:val="24"/>
              </w:rPr>
              <w:t>SFT'er</w:t>
            </w:r>
            <w:proofErr w:type="spellEnd"/>
            <w:r>
              <w:rPr>
                <w:rFonts w:ascii="Times New Roman" w:hAnsi="Times New Roman"/>
                <w:bCs/>
                <w:sz w:val="24"/>
                <w:szCs w:val="24"/>
              </w:rPr>
              <w:t xml:space="preserve"> beregnet i overensstemmelse med artikel 429b, stk. 1, litra b), artikel 429b, stk. 4 og 5, i CRR.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denne celle skal institutter medtage værdien af transaktioner i overensstemmelse med artikel 429e, stk. 7, litra c), i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disse poster i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 xml:space="preserve">Institutter skal i denne celle ikke medtage </w:t>
            </w:r>
            <w:proofErr w:type="spellStart"/>
            <w:r>
              <w:rPr>
                <w:rFonts w:ascii="Times New Roman" w:hAnsi="Times New Roman"/>
                <w:bCs/>
                <w:sz w:val="24"/>
                <w:szCs w:val="24"/>
              </w:rPr>
              <w:t>SFT'er</w:t>
            </w:r>
            <w:proofErr w:type="spellEnd"/>
            <w:r>
              <w:rPr>
                <w:rFonts w:ascii="Times New Roman" w:hAnsi="Times New Roman"/>
                <w:bCs/>
                <w:sz w:val="24"/>
                <w:szCs w:val="24"/>
              </w:rPr>
              <w:t>,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429e, stk. 7, litra a), i CRR.</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proofErr w:type="spellStart"/>
            <w:r>
              <w:rPr>
                <w:rFonts w:ascii="Times New Roman" w:hAnsi="Times New Roman"/>
                <w:b/>
                <w:bCs/>
                <w:sz w:val="24"/>
                <w:szCs w:val="24"/>
              </w:rPr>
              <w:t>SFT'er</w:t>
            </w:r>
            <w:proofErr w:type="spellEnd"/>
            <w:r>
              <w:rPr>
                <w:rFonts w:ascii="Times New Roman" w:hAnsi="Times New Roman"/>
                <w:b/>
                <w:bCs/>
                <w:sz w:val="24"/>
                <w:szCs w:val="24"/>
              </w:rPr>
              <w:t>: Tillæg for modpartskreditrisiko</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429e, stk. 1, i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Tillægget for modpartskreditrisiko for </w:t>
            </w:r>
            <w:proofErr w:type="spellStart"/>
            <w:r>
              <w:rPr>
                <w:rFonts w:ascii="Times New Roman" w:hAnsi="Times New Roman"/>
                <w:bCs/>
                <w:sz w:val="24"/>
                <w:szCs w:val="24"/>
              </w:rPr>
              <w:t>SFT'er</w:t>
            </w:r>
            <w:proofErr w:type="spellEnd"/>
            <w:r>
              <w:rPr>
                <w:rFonts w:ascii="Times New Roman" w:hAnsi="Times New Roman"/>
                <w:bCs/>
                <w:sz w:val="24"/>
                <w:szCs w:val="24"/>
              </w:rPr>
              <w:t xml:space="preserve">, herunder ikkebalanceførte </w:t>
            </w:r>
            <w:proofErr w:type="spellStart"/>
            <w:r>
              <w:rPr>
                <w:rFonts w:ascii="Times New Roman" w:hAnsi="Times New Roman"/>
                <w:bCs/>
                <w:sz w:val="24"/>
                <w:szCs w:val="24"/>
              </w:rPr>
              <w:t>SFT'er</w:t>
            </w:r>
            <w:proofErr w:type="spellEnd"/>
            <w:r>
              <w:rPr>
                <w:rFonts w:ascii="Times New Roman" w:hAnsi="Times New Roman"/>
                <w:bCs/>
                <w:sz w:val="24"/>
                <w:szCs w:val="24"/>
              </w:rPr>
              <w:t>, opgjort i overensstemmelse med artikel 429e, stk. 2 eller 3, og stk. 4, i CRR, alt efter hvad der er relevant.</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denne celle skal institutter medtage værdien af transaktioner i overensstemmelse med artikel 429e, stk. 7, litra c), i CRR.</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Institutter skal i denne celle ikke medtage </w:t>
            </w:r>
            <w:proofErr w:type="spellStart"/>
            <w:r>
              <w:rPr>
                <w:rFonts w:ascii="Times New Roman" w:hAnsi="Times New Roman"/>
                <w:bCs/>
                <w:sz w:val="24"/>
                <w:szCs w:val="24"/>
              </w:rPr>
              <w:t>SFT'er</w:t>
            </w:r>
            <w:proofErr w:type="spellEnd"/>
            <w:r>
              <w:rPr>
                <w:rFonts w:ascii="Times New Roman" w:hAnsi="Times New Roman"/>
                <w:bCs/>
                <w:sz w:val="24"/>
                <w:szCs w:val="24"/>
              </w:rPr>
              <w:t>,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429e, stk. 7, litra a), i CRR. Institutter skal i stedet angive disse poster i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Undtagelse for </w:t>
            </w:r>
            <w:proofErr w:type="spellStart"/>
            <w:r>
              <w:rPr>
                <w:rFonts w:ascii="Times New Roman" w:hAnsi="Times New Roman"/>
                <w:b/>
                <w:bCs/>
                <w:sz w:val="24"/>
                <w:szCs w:val="24"/>
              </w:rPr>
              <w:t>SFT'er</w:t>
            </w:r>
            <w:proofErr w:type="spellEnd"/>
            <w:r>
              <w:rPr>
                <w:rFonts w:ascii="Times New Roman" w:hAnsi="Times New Roman"/>
                <w:b/>
                <w:bCs/>
                <w:sz w:val="24"/>
                <w:szCs w:val="24"/>
              </w:rPr>
              <w:t>: Tillæg i henhold til artikel 429e, stk. 5, og artikel 222 i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429e, stk. 5, og artikel 222 i 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Eksponeringsværdien af </w:t>
            </w:r>
            <w:proofErr w:type="spellStart"/>
            <w:r>
              <w:rPr>
                <w:rFonts w:ascii="Times New Roman" w:hAnsi="Times New Roman"/>
                <w:bCs/>
                <w:sz w:val="24"/>
                <w:szCs w:val="24"/>
              </w:rPr>
              <w:t>SFT'er</w:t>
            </w:r>
            <w:proofErr w:type="spellEnd"/>
            <w:r>
              <w:rPr>
                <w:rFonts w:ascii="Times New Roman" w:hAnsi="Times New Roman"/>
                <w:bCs/>
                <w:sz w:val="24"/>
                <w:szCs w:val="24"/>
              </w:rPr>
              <w:t xml:space="preserve">, herunder ikkebalanceførte </w:t>
            </w:r>
            <w:proofErr w:type="spellStart"/>
            <w:r>
              <w:rPr>
                <w:rFonts w:ascii="Times New Roman" w:hAnsi="Times New Roman"/>
                <w:bCs/>
                <w:sz w:val="24"/>
                <w:szCs w:val="24"/>
              </w:rPr>
              <w:t>SFT'er</w:t>
            </w:r>
            <w:proofErr w:type="spellEnd"/>
            <w:r>
              <w:rPr>
                <w:rFonts w:ascii="Times New Roman" w:hAnsi="Times New Roman"/>
                <w:bCs/>
                <w:sz w:val="24"/>
                <w:szCs w:val="24"/>
              </w:rPr>
              <w:t xml:space="preserve">, beregnet i overensstemmelse med artikel 222 CRR, med en minimumssats på 20 % for den gældende risikovægt.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denne celle skal institutter medtage værdien af transaktioner i overensstemmelse med artikel 429e, stk. 7, litra c), i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denne celle skal institutter ikke medtage værdien af transaktioner, for hvilke den del af eksponeringsværdien bag gearingsgraden, der udgøres af tillægget, bestemmes i overensstemmelse med den metode, der er omhandlet i artikel 429e, stk. 1, i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Modpartskreditrisiko for </w:t>
            </w:r>
            <w:proofErr w:type="spellStart"/>
            <w:r>
              <w:rPr>
                <w:rFonts w:ascii="Times New Roman" w:hAnsi="Times New Roman"/>
                <w:b/>
                <w:bCs/>
                <w:sz w:val="24"/>
                <w:szCs w:val="24"/>
              </w:rPr>
              <w:t>SFT'er</w:t>
            </w:r>
            <w:proofErr w:type="spellEnd"/>
            <w:r>
              <w:rPr>
                <w:rFonts w:ascii="Times New Roman" w:hAnsi="Times New Roman"/>
                <w:b/>
                <w:bCs/>
                <w:sz w:val="24"/>
                <w:szCs w:val="24"/>
              </w:rPr>
              <w:t xml:space="preserve">, hvor instituttet handler som agent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429e, stk. 7, litra a), artikel 429b, stk. 2 og 3, i CRR.</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af </w:t>
            </w:r>
            <w:proofErr w:type="spellStart"/>
            <w:r>
              <w:rPr>
                <w:rFonts w:ascii="Times New Roman" w:hAnsi="Times New Roman"/>
                <w:bCs/>
                <w:sz w:val="24"/>
                <w:szCs w:val="24"/>
              </w:rPr>
              <w:t>SFT'er</w:t>
            </w:r>
            <w:proofErr w:type="spellEnd"/>
            <w:r>
              <w:rPr>
                <w:rFonts w:ascii="Times New Roman" w:hAnsi="Times New Roman"/>
                <w:bCs/>
                <w:sz w:val="24"/>
                <w:szCs w:val="24"/>
              </w:rPr>
              <w:t>, hvor instituttet fungerer som agent, hvis instituttet yder en kunde eller en modpart en godtgørelse eller en garanti, som er begrænset til forskellen mellem værdien af værdipapiret eller det kontante beløb, som kunden har udlånt, og værdien af den af låntager stillede sikkerhed, jf. artikel 429e, stk. 7, litra a), i CRR, udelukkende bestående af det i overensstemmelse med artikel 429e, stk. 2 eller 3, i CRR bestemte tillæg.</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denne celle skal institutter ikke medtage værdien af transaktioner i overensstemmelse med artikel 429e, stk. 7, litra c). Institutter skal i stedet angive disse poster i {0010;0010} og {0020;0010} eller {0010;0010} og {0030;0010}.</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Ikke medregnet CCP-element af kundeclearede SFT-eksponeringer</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g), og artikel 306, stk. 1, litra c), i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ikke medregnede CCP-element af kundeclearede SFT-handelseksponeringer, forudsat at de pågældende elementer opfylder betingelserne i artikel 306, stk. 1, litra c), i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Hvis det ikke medregnede CCP-element er et værdipapir, skal det ikke indberettes i denne celle, medmindre der er tale om et genpantsat værdipapir, som i henhold til de gældende regnskabsregler (dvs. i henhold til artikel 111, stk. 1, første punktum, i CRR) er medtaget til fuld værdi.</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også medtage det beløb, der indberettes i denne celle, i {0010;0010}, {0020;0010} og {0030;0010}, og, hvis der er tale om et genpantsat værdipapir som i henhold til de gældende regnskabsregler er medtaget til fuld værdi, også i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Hvis instituttet stiller en initialmargen for et ikke medregnet CCP-element, som indberettes i {0190;0010}, men ikke i {0020;0010} eller {0030;0010}, kan instituttet indberette beløbet i denne celle.</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Derivater: Genanskaffelsesomkostningsandel efter standardmetoden for modpartskreditrisiko (uden virkningen af sikkerhedsstillelse på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1, i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Genanskaffelsesomkostninger, jf. artikel 275 i CRR, uden virkningen af sikkerhedsstillelse på NICA og uden virkningen af variationsmargen. Institutter anvender ikke undtagelserne i artikel 429c, stk. 3 og 4, og artikel 429a, stk. 1, litra g), i CRR med henblik på denne celle. Beløbet skal indberettes efter anvendelse af alfafaktoren 1,4 som fastsat i artikel 274, stk. 2, i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Ifølge artikel 429c, stk. 1, i CRR kan institutter tage hensyn til virkningen af kontrakter om nyordning ("novation") og andre aftaler om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jf. artikel 295 i CRR.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på tværs af produkter må ikke anvendes. Institutter kan imidlertid modregne inden for den i artikel 272, nr. 25), litra c), i CRR omhandlede produktkategori og inden for kreditderivater omfattet af en aftale om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på tværs af produkter, jf. artikel 295, litra c), i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medtage alle kreditderivater og ikke kun derivaterne i handelsbeholdningen.</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Institutter skal i denne celle ikke medtage kontrakter, der måles ved anvendelse af den forenklede standardmetode eller den oprindelige eksponeringsmetode.</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Virkning af indregning af sikkerhedsstillelse på NICA på kundeclearede QCCP-transaktioner (standardmetode for modpartskreditrisiko — genanskaffelsesomkostninger)</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4, i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Anvendelse af undtagelsen i artikel 429c, stk. 4, i CRR på beregningen af genanskaffelsesomkostningerne for derivatkontrakter med kunder, hvor kontrakterne cleares af en QCCP. Beløbet skal indberettes efter anvendelse af alfafaktoren 1,4 som fastsat i artikel 274, stk. 2, i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også medtage det beløb, der indberettes i denne celle, i {0061;0010}, som om der ikke gjaldt nogen undtagelse.</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Virkning af godkendt variationsmargen modtaget kontant modregnet i derivaters markedsværdi (standardmetode for modpartskreditrisiko — genanskaffelsesomkostninger)</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3, i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Variationsmargen modtaget kontant fra modparten, som kan modregnes i derivateksponeringens genanskaffelsesomkostninger i henhold til artikel 429c, stk. 3, i CRR. Beløbet skal indberettes efter anvendelse af alfafaktoren 1,4 som fastsat i artikel 274, stk. 2, i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En eventuel kontant variationsmargen, der måtte være modtaget for et ikke medregnet CCP-element i henhold til artikel 429a, stk. 1, litra g), i CRR, indberettes ikke.</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også medtage det beløb, der indberettes i denne celle, i {0061;0010}, som om der ikke gjaldt noget fradrag for variationsmargen modtaget kontant.</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Virkning af ikke medregnet CCP-element af kundeclearede handelseksponeringer (standardmetode for modpartskreditrisiko — genanskaffelsesomkostninger)</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g), i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Genanskaffelsesomkostningsandelen for ikke medregnede handelseksponeringer mod en QCCP fra kundeclearede derivattransaktioner, forudsat at de pågældende poster opfylder betingelserne i artikel 306, stk. 1, litra c), i CRR. Dette beløb skal indberettes uden fradrag af kontant variationsmargen modtaget for dette element. Beløbet skal indberettes efter anvendelse af alfafaktoren 1,4 som fastsat i artikel 274, stk. 2, i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også medtage det beløb, der indberettes i denne celle, i {0061;0010}, som om der ikke gjaldt nogen undtagelse.</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Derivater: Andel af potentiel fremtidig eksponering i henhold til standardmetoden for modpartskreditrisiko (multiplikator på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5, i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Potentiel fremtidig eksponering, jf. artikel 278 i CRR, under antagelse af en multiplikator på 1, dvs. uden anvendelse af undtagelsen vedrørende kontrakter med kunder, hvor kontrakterne cleares af en QCCP, i artikel 429c, stk. 5, i CRR. Beløbet skal indberettes efter anvendelse af alfafaktoren 1,4 som fastsat i artikel 274, stk. 2, i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Virkning af lavere multiplikator for kundeclearede QCCP-transaktioner på PFE-andel (standardmetode for modpartskreditrisiko — potentiel fremtidig eksponering)</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5, i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Anvendelse af undtagelsen i artikel 429c, stk. 5, i CRR på beregningen af PFE for derivatkontrakter med kunder, hvor kontrakterne cleares af en QCCP. Beløbet skal indberettes efter anvendelse af alfafaktoren 1,4 som fastsat i artikel 274, stk. 2, i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også medtage det beløb, der indberettes i denne celle, i {0091;0010}, som om der ikke gjaldt nogen undtagelse.</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Virkning af ikke medregnet CCP-element af kundeclearede handelseksponeringer (standardmetode for modpartskreditrisiko — potentiel fremtidig eksponering)</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g), i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potentielle fremtidige eksponering for ikke medregnede handelseksponeringer mod en QCCP fra kundeclearede derivattransaktioner, forudsat at de pågældende poster opfylder betingelserne i artikel 306, stk. 1, litra c), i CRR. Beløbet skal indberettes efter anvendelse af alfafaktoren 1,4 som fastsat i artikel 274, stk. 2, i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også medtage det beløb, der indberettes i denne celle, i {0091;0010}, som om der ikke gjaldt nogen undtagelse.</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Undtagelse for derivater: genanskaffelsesomkostningsandel i henhold til den forenklede standardmetode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6, og artikel 281 i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denne celle angives eksponeringsmålet for kontrakter opført i bilag II, punkt 1 og 2, til CRR, beregnet efter den forenklede standardmetode som fastlagt i artikel 281 i CRR. Beløbet skal indberettes efter anvendelse af alfafaktoren 1,4 som fastsat i artikel 274, stk. 2, i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der anvender den forenklede standardmetode, skal ikke reducere eksponeringsmålet med den modtagne margen, jf. artikel 429c, stk. 6, i CRR. Undtagelsen for derivatkontrakter med kunder, hvor kontrakterne cleares af en QCCP, i artikel 429c, stk. 4, i CRR finder derfor ikke anvendelse.</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i denne celle ikke medtage kontrakter, der måles ved anvendelse af standardmetoden for modpartskreditrisiko eller den oprindelige eksponeringsmetode.</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Virkning af ikke medregnet CCP-element af kundeclearede handelseksponeringer (forenklet standardmetode — genanskaffelsesomkostninger)</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g), i 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Genanskaffelsesomkostningsandelen for ikke medregnede handelseksponeringer mod en QCCP fra kundeclearede derivattransaktioner, forudsat at de pågældende poster opfylder betingelserne i artikel 306, stk. 1, litra c), i CRR. Dette beløb skal indberettes uden fradrag af kontant variationsmargen modtaget for dette element. Beløbet skal indberettes efter anvendelse af alfafaktoren 1,4 som fastsat i artikel 274, stk. 2, i CRR.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også medtage det beløb, der indberettes i denne celle, i {0101;0010}, som om der ikke gjaldt nogen undtagelse.</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Undtagelse for derivater: Andel af potentiel fremtidig eksponering i henhold til den forenklede standardmetode (multiplikator på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Artikel 281, stk. 2, litra f), og artikel 429c, stk. 6, i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Den potentielle fremtidige eksponering i henhold til den forenklede standardmetode som fastlagt i artikel 281 i CRR, under antagelse af en multiplikator på 1. Beløbet skal indberettes efter anvendelse af alfafaktoren 1,4 som fastsat i artikel 274, stk. 2, i CRR.</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Institutter, der anvender den forenklede standardmetode, skal ikke reducere eksponeringsmålet med den modtagne margen, jf. artikel 429c, stk. 6, i CRR.</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Virkning af ikke medregnet CCP-element af kundeclearede handelseksponeringer (forenklet standardmetode — potentiel fremtidig eksponering)</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g), i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potentielle fremtidige eksponering for ikke medregnede handelseksponeringer mod en QCCP fra kundeclearede derivattransaktioner, forudsat at de pågældende poster opfylder betingelserne i artikel 306, stk. 1, litra c), i CRR. Beløbet skal indberettes efter anvendelse af alfafaktoren 1,4 som fastsat i artikel 274, stk. 2, i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også medtage det beløb, der indberettes i denne celle, i {0103;0010}, som om der ikke gjaldt nogen undtagelse.</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Undtagelse for derivater: oprindelig eksponeringsmetode</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6, og artikel 282 i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 denne celle angives eksponeringsmålet for kontrakter opført i punkt 1 og 2 i bilag II til CRR, beregnet efter den oprindelige eksponeringsmetode som fastlagt i artikel 282 i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der anvender den oprindelige eksponeringsmetode, skal ikke reducere eksponeringsmålet med den modtagne margen, jf. artikel 429c, stk. 6, i CRR.</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der ikke anvender den oprindelige eksponeringsmetode, skal ikke indberette oplysningerne i denne celle.</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Institutter skal i denne celle ikke medtage kontrakter, der måles ved anvendelse af standardmetoden for modpartskreditrisiko eller den forenklede standardmetode.</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Ikke medregnet CCP-element af kundeclearede handelseksponeringer (oprindelig eksponeringsmetode)</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Artikel 429a, stk. 1, litra g), i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ikke medregnede CCP-element af kundeclearede handelseksponeringer ved anvendelse af den oprindelige eksponeringsmetode som fastsat i artikel 282 i CRR, forudsat at de pågældende poster opfylder betingelserne i artikel 306, stk. 1, litra c), i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også medtage det beløb, der indberettes i denne celle, i {0110;0010}, som om der ikke gjaldt nogen undtagelse.</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Maksimal fiktiv værdi af solgte kreditderivater</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429d i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bestemme den maksimale fiktive værdi af solgte kreditderivater, som fastsat i artikel 429d, stk. 1, i overensstemmelse med artikel 429d i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Anerkendte erhvervede kreditderivater modregnet i solgte kreditderivater</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429d i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maksimale fiktive værdi af erhvervede kreditderivater (dvs. hvor instituttet køber kreditrisikoafdækning fra en modpart) for de samme referencenavne som de kreditderivater, der er udstedt af instituttet, når den købte kreditrisikoafdæknings restløbetid er lig med eller længere end den solgte afdæknings restløbetid. Værdien må derfor ikke være højere end den værdi, der er angivet i {0130;0010} for hvert referencenavn.</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Ikkebalanceførte poster med en konverteringsfaktor på 10 % i overensstemmelse med artikel 429f i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429f, artikel 111, stk. 1, litra d), og artikel 166, stk. 9, i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Eksponeringsværdien, jf. artikel 429f og artikel 111, stk. 1, litra d), i CRR, af ikkebalanceførte poster med lav risiko, der tildeles en kreditkonverteringsfaktor på 0 %, jf. punkt 4, litra </w:t>
            </w:r>
            <w:proofErr w:type="gramStart"/>
            <w:r>
              <w:rPr>
                <w:rFonts w:ascii="Times New Roman" w:hAnsi="Times New Roman"/>
                <w:sz w:val="24"/>
                <w:szCs w:val="24"/>
              </w:rPr>
              <w:t>a)-</w:t>
            </w:r>
            <w:proofErr w:type="gramEnd"/>
            <w:r>
              <w:rPr>
                <w:rFonts w:ascii="Times New Roman" w:hAnsi="Times New Roman"/>
                <w:sz w:val="24"/>
                <w:szCs w:val="24"/>
              </w:rPr>
              <w:t>c), i bilag I til CRR (det understreges, at eksponeringsværdien her skal være 10 % af den nominelle værdi).</w:t>
            </w:r>
            <w:r>
              <w:rPr>
                <w:rFonts w:ascii="Times New Roman" w:hAnsi="Times New Roman"/>
                <w:bCs/>
                <w:sz w:val="24"/>
                <w:szCs w:val="24"/>
              </w:rPr>
              <w:t xml:space="preserve"> </w:t>
            </w:r>
            <w:r>
              <w:rPr>
                <w:rFonts w:ascii="Times New Roman" w:hAnsi="Times New Roman"/>
                <w:sz w:val="24"/>
                <w:szCs w:val="24"/>
              </w:rPr>
              <w:t>Dette er forpligtelser, der af instituttet kan opsiges uden betingelser når som helst uden varsel, eller som effektivt sikrer automatisk opsigelse ved en forringelse af en låntagers kreditværdighed.</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understreges, at justeringer af den specifikke kreditrisiko ikke må trækkes fra den nominelle værdi.</w:t>
            </w:r>
            <w:r>
              <w:rPr>
                <w:sz w:val="24"/>
                <w:szCs w:val="24"/>
              </w:rPr>
              <w:t xml:space="preserve"> </w:t>
            </w:r>
            <w:r>
              <w:rPr>
                <w:rFonts w:ascii="Times New Roman" w:hAnsi="Times New Roman"/>
                <w:bCs/>
                <w:sz w:val="24"/>
                <w:szCs w:val="24"/>
              </w:rPr>
              <w:t>Som anført i artikel 429f, stk. 2, kan institutterne i stedet reducere den krediteksponeringsækvivalente værdi af en ikkebalanceført post med den tilsvarende værdi af specifikke kreditrisikojusteringer. Denne beregning er underlagt en nedre grænse på nul.</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Er en forpligtelse knyttet til udvidelsen af en anden forpligtelse, anvendes den laveste af de to konverteringsfaktorer, der gælder for det enkelte tilsagn, jf. artikel 166, stk. 9, i CRR.</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 xml:space="preserve">Institutter skal i denne celle ikke angive kontrakter opført i bilag II til CRR, kreditderivater, </w:t>
            </w:r>
            <w:proofErr w:type="spellStart"/>
            <w:r>
              <w:rPr>
                <w:rFonts w:ascii="Times New Roman" w:hAnsi="Times New Roman"/>
                <w:bCs/>
                <w:sz w:val="24"/>
                <w:szCs w:val="24"/>
              </w:rPr>
              <w:t>SFT'er</w:t>
            </w:r>
            <w:proofErr w:type="spellEnd"/>
            <w:r>
              <w:rPr>
                <w:rFonts w:ascii="Times New Roman" w:hAnsi="Times New Roman"/>
                <w:bCs/>
                <w:sz w:val="24"/>
                <w:szCs w:val="24"/>
              </w:rPr>
              <w:t xml:space="preserve"> og positioner omhandlet i artikel 429d, jf. artikel 429f i CRR.</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Ikkebalanceførte poster med en konverteringsfaktor på 20 % i overensstemmelse med artikel 429f i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429f, artikel 111, stk. 1, litra c), og artikel 166, stk. 9, i CRR.</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sz w:val="24"/>
                <w:szCs w:val="24"/>
              </w:rPr>
              <w:t>Eksponeringsværdien, jf. artikel 429f og artikel 111, stk. 1, litra c), i CRR, af ikkebalanceførte poster med middel/lav risiko, der tildeles en kreditkonverteringsfaktor på 20 %, jf. punkt 3, litra a) og b), i bilag I til CRR (det understreges, at eksponeringsværdien her skal være 20 % af den nominelle værdi).</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understreges, at justeringer af den specifikke kreditrisiko ikke må trækkes fra den nominelle værdi. Som anført i artikel 429f, stk. 2, kan institutterne i stedet reducere den krediteksponeringsækvivalente værdi af en ikkebalanceført post med den tilsvarende værdi af specifikke kreditrisikojusteringer. Denne beregning er underlagt en nedre grænse på nul.</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Er en forpligtelse knyttet til udvidelsen af en anden forpligtelse, anvendes den laveste af de to konverteringsfaktorer, der gælder for det enkelte tilsagn, jf. artikel 166, stk. 9, i CRR.</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Institutter skal i denne celle ikke angive kontrakter opført i bilag II til CRR, kreditderivater, </w:t>
            </w:r>
            <w:proofErr w:type="spellStart"/>
            <w:r>
              <w:rPr>
                <w:rFonts w:ascii="Times New Roman" w:hAnsi="Times New Roman"/>
                <w:bCs/>
                <w:sz w:val="24"/>
                <w:szCs w:val="24"/>
              </w:rPr>
              <w:t>SFT'er</w:t>
            </w:r>
            <w:proofErr w:type="spellEnd"/>
            <w:r>
              <w:rPr>
                <w:rFonts w:ascii="Times New Roman" w:hAnsi="Times New Roman"/>
                <w:bCs/>
                <w:sz w:val="24"/>
                <w:szCs w:val="24"/>
              </w:rPr>
              <w:t xml:space="preserve"> og positioner omhandlet i artikel 429d, jf. artikel 429f i CRR.</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Ikkebalanceførte poster med en konverteringsfaktor på 50 % i overensstemmelse med artikel 429f i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429f, artikel 111, stk. 1, litra b), og artikel 166, stk. 9, i 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jf. artikel 429f og artikel 111, stk. 1, litra b), i CRR, af ikkebalanceførte poster med middel risiko, der tildeles en kreditkonverteringsfaktor på 50 % som fastsat i standardmetoden for kreditrisiko, jf. punkt 2, litra a) og b), i bilag I til CRR (det understreges, at eksponeringsværdien her skal være 50 % af den nominelle værdi).</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understreges, at justeringer af den specifikke kreditrisiko ikke må trækkes fra den nominelle værdi. Som anført i artikel 429f, stk. 2, kan institutterne i stedet reducere den krediteksponeringsækvivalente værdi af en ikkebalanceført post med den tilsvarende værdi af specifikke kreditrisikojusteringer. Denne beregning er underlagt en nedre grænse på nul.</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I denne celle medtages likviditetsfaciliteter og andre forpligtelser vedrørende </w:t>
            </w:r>
            <w:proofErr w:type="spellStart"/>
            <w:r>
              <w:rPr>
                <w:rFonts w:ascii="Times New Roman" w:hAnsi="Times New Roman"/>
                <w:bCs/>
                <w:sz w:val="24"/>
                <w:szCs w:val="24"/>
              </w:rPr>
              <w:t>securitiseringer</w:t>
            </w:r>
            <w:proofErr w:type="spellEnd"/>
            <w:r>
              <w:rPr>
                <w:rFonts w:ascii="Times New Roman" w:hAnsi="Times New Roman"/>
                <w:bCs/>
                <w:sz w:val="24"/>
                <w:szCs w:val="24"/>
              </w:rPr>
              <w:t>. Det vil med andre ord sige, at konverteringsfaktoren for alle likviditetsfaciliteter i henhold til artikel 255 i CRR er 50 %, uanset løbetid.</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Er en forpligtelse knyttet til udvidelsen af en anden forpligtelse, anvendes den laveste af de to konverteringsfaktorer, der gælder for det enkelte tilsagn, jf. artikel 166, stk. 9, i CRR.</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Institutter skal i denne celle ikke angive kontrakter opført i bilag II til CRR, kreditderivater, </w:t>
            </w:r>
            <w:proofErr w:type="spellStart"/>
            <w:r>
              <w:rPr>
                <w:rFonts w:ascii="Times New Roman" w:hAnsi="Times New Roman"/>
                <w:bCs/>
                <w:sz w:val="24"/>
                <w:szCs w:val="24"/>
              </w:rPr>
              <w:t>SFT'er</w:t>
            </w:r>
            <w:proofErr w:type="spellEnd"/>
            <w:r>
              <w:rPr>
                <w:rFonts w:ascii="Times New Roman" w:hAnsi="Times New Roman"/>
                <w:bCs/>
                <w:sz w:val="24"/>
                <w:szCs w:val="24"/>
              </w:rPr>
              <w:t xml:space="preserve"> og positioner omhandlet i artikel 429d, jf. artikel 429f i CRR.</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Ikkebalanceførte poster med en konverteringsfaktor på 100 % i overensstemmelse med artikel 429f i CRR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429f, artikel 111, stk. 1, litra a), og artikel 166, stk. 9, i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jf. artikel 429f og artikel 111, stk. 1, litra a), i CRR, af ikkebalanceførte poster med høj risiko, der tildeles en kreditkonverteringsfaktor på 100 %, jf. punkt 1, litra </w:t>
            </w:r>
            <w:proofErr w:type="gramStart"/>
            <w:r>
              <w:rPr>
                <w:rFonts w:ascii="Times New Roman" w:hAnsi="Times New Roman"/>
                <w:bCs/>
                <w:sz w:val="24"/>
                <w:szCs w:val="24"/>
              </w:rPr>
              <w:t>a)-</w:t>
            </w:r>
            <w:proofErr w:type="gramEnd"/>
            <w:r>
              <w:rPr>
                <w:rFonts w:ascii="Times New Roman" w:hAnsi="Times New Roman"/>
                <w:bCs/>
                <w:sz w:val="24"/>
                <w:szCs w:val="24"/>
              </w:rPr>
              <w:t>k), i bilag I til CRR (det understreges, at eksponeringsværdien her skal være 100 % af den nominelle værdi).</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understreges, at justeringer af den specifikke kreditrisiko ikke må trækkes fra den nominelle værdi. Som anført i artikel 429f, stk. 2, kan institutterne i stedet reducere den krediteksponeringsækvivalente værdi af en ikkebalanceført post med den tilsvarende værdi af specifikke kreditrisikojusteringer. Denne beregning er underlagt en nedre grænse på nul.</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 denne celle medtages likviditetsfaciliteter og andre forpligtelser vedrørende </w:t>
            </w:r>
            <w:proofErr w:type="spellStart"/>
            <w:r>
              <w:rPr>
                <w:rFonts w:ascii="Times New Roman" w:hAnsi="Times New Roman"/>
                <w:bCs/>
                <w:sz w:val="24"/>
                <w:szCs w:val="24"/>
              </w:rPr>
              <w:t>securitiseringer</w:t>
            </w:r>
            <w:proofErr w:type="spellEnd"/>
            <w:r>
              <w:rPr>
                <w:rFonts w:ascii="Times New Roman" w:hAnsi="Times New Roman"/>
                <w:bCs/>
                <w:sz w:val="24"/>
                <w:szCs w:val="24"/>
              </w:rPr>
              <w:t>.</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Er en forpligtelse knyttet til udvidelsen af en anden forpligtelse, anvendes den laveste af de to konverteringsfaktorer, der gælder for det enkelte tilsagn, jf. artikel 166, stk. 9, i CRR.</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 xml:space="preserve">Institutter skal i denne celle ikke angive kontrakter opført i bilag II til CRR, kreditderivater, </w:t>
            </w:r>
            <w:proofErr w:type="spellStart"/>
            <w:r>
              <w:rPr>
                <w:rFonts w:ascii="Times New Roman" w:hAnsi="Times New Roman"/>
                <w:bCs/>
                <w:sz w:val="24"/>
                <w:szCs w:val="24"/>
              </w:rPr>
              <w:t>SFT'er</w:t>
            </w:r>
            <w:proofErr w:type="spellEnd"/>
            <w:r>
              <w:rPr>
                <w:rFonts w:ascii="Times New Roman" w:hAnsi="Times New Roman"/>
                <w:bCs/>
                <w:sz w:val="24"/>
                <w:szCs w:val="24"/>
              </w:rPr>
              <w:t xml:space="preserve"> og positioner omhandlet i artikel 429d, jf. artikel 429f i CRR.</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Generelle kreditrisikojusteringer i forbindelse med ikkebalanceførte poster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Artikel 429, stk. 4, i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Værdien af generelle kreditrisikojusteringer svarende til ikkebalanceførte poster omhandlet i artikel 429, stk. 4, litra d), som institutterne fratrækker i overensstemmelse med artikel 429, stk. 4, sidste afsnit, i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lastRenderedPageBreak/>
              <w:t>Den indberettede værdi skal ikke betragtes som en reduktion ved beregningen af ikkebalanceførte poster indberettet i rækker fra {0150;0010} til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Almindelige køb og salg, der endnu ikke er afregnet: Regnskabsværdi ved bogføring efter handelsdato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Artikel 429g, stk. 1, i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Summen af:</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likvide midler relateret til almindelige køb, som forbliver på balancen indtil afregningsdatoen som aktiver i overensstemmelse med artikel 429, stk. 4, litra a), i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likvide tilgodehavender relateret til almindelige salg, som forbliver på balancen indtil afregningsdatoen som aktiver i overensstemmelse med artikel 429, stk. 4, litra a), i CRR. Dette er værdien efter virkningen af modregningen mellem likvide tilgodehavender for almindelige salg, der endnu ikke er afregnet, og likvide forpligtelser for almindelige køb, der endnu ikke er afregnet, som tilladt i henhold til de gældende regnskabsregler.</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Institutter, der bogfører efter handelsdato, skal indberette ovennævnte sum i denne celle i stedet for række 0190 "andre aktiver" og skal indberette værdipapirer relateret til almindelige køb i række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Almindelige salg, der endnu ikke er afregnet: Tilbageføring af regnskabsmæssig modregning ved bogføring efter handelsdato</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Artikel 429g, stk. 2, i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Værdien af modregningen mellem likvide tilgodehavender for almindelige salg, der endnu ikke er afregnet, og likvide forpligtelser for almindelige køb, der endnu ikke er afregnet, som tilladt i henhold til regnskabsreglerne.</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Almindelige salg, der endnu ikke er afregnet: modregning i overensstemmelse med artikel 429g, stk. 2, i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Artikel 429g, stk. 2, i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Værdien af modregningen mellem likvide tilgodehavender og likvide forpligtelser, hvor både de relaterede almindelige salg og køb afregnes på grundlag af levering mod betaling i overensstemmelse med artikel 429g, stk. 2, i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lastRenderedPageBreak/>
              <w:t xml:space="preserve">Almindelige køb, der endnu ikke er afregnet: Fuldstændig indregning af betalingsforpligtelser ved bogføring efter afregningsdato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Artikel 429g, stk. 3, i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Den fulde nominelle værdi af betalingsforpligtelser vedrørende almindelige køb for institutter, der i overensstemmelse med de gældende regnskabsregler bogfører almindelige køb og salg efter afregningsdato.</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Værdipapirer relateret til almindelige salg skal indberettes i række 0190 "andre aktiver".</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Almindelige køb, der endnu ikke er afregnet: udligning af betalingsforpligtelser ved bogføring efter afregningsdato i overensstemmelse med artikel 429g, stk. 3, i 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Artikel 429g, stk. 3, i CRR.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Den del af det i række 0188 indberettede beløb, der udlignes med den fulde nominelle værdi af likvide tilgodehavender relateret til almindelige salg, der endnu ikke er afregnet, i overensstemmelse med artikel 429g, stk. 3, i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Andre aktiver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Artikel 429, stk. 4, litra a), i CRR.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Alle andre aktiver end derivatkontrakter opført i bilag II til CRR, kreditderivater og </w:t>
            </w:r>
            <w:proofErr w:type="spellStart"/>
            <w:r>
              <w:rPr>
                <w:rFonts w:ascii="Times New Roman" w:hAnsi="Times New Roman"/>
                <w:bCs/>
                <w:sz w:val="24"/>
                <w:szCs w:val="24"/>
              </w:rPr>
              <w:t>SFT'er</w:t>
            </w:r>
            <w:proofErr w:type="spellEnd"/>
            <w:r>
              <w:rPr>
                <w:rFonts w:ascii="Times New Roman" w:hAnsi="Times New Roman"/>
                <w:bCs/>
                <w:sz w:val="24"/>
                <w:szCs w:val="24"/>
              </w:rPr>
              <w:t xml:space="preserve"> (blandt de andre aktiver, der skal indberettes i denne celle, er f.eks. regnskabsmæssige fordringer vedrørende kontant variationsmargen, hvis indregnet i henhold til de gældende regnskabsregler, likvide aktiver som defineret i henhold til likviditetsdækningsgraden, fejlslagne og </w:t>
            </w:r>
            <w:proofErr w:type="spellStart"/>
            <w:r>
              <w:rPr>
                <w:rFonts w:ascii="Times New Roman" w:hAnsi="Times New Roman"/>
                <w:bCs/>
                <w:sz w:val="24"/>
                <w:szCs w:val="24"/>
              </w:rPr>
              <w:t>uafviklede</w:t>
            </w:r>
            <w:proofErr w:type="spellEnd"/>
            <w:r>
              <w:rPr>
                <w:rFonts w:ascii="Times New Roman" w:hAnsi="Times New Roman"/>
                <w:bCs/>
                <w:sz w:val="24"/>
                <w:szCs w:val="24"/>
              </w:rPr>
              <w:t xml:space="preserve"> transaktioner). Institutter skal fastsætte eksponeringsværdien efter principperne i artikel 429b, stk. 1, og artikel 429b, stk. 7, i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Institutter skal i denne celle medtage modtagne kontantbeløb eller værdipapirer, der leveres til en modpart via </w:t>
            </w:r>
            <w:proofErr w:type="spellStart"/>
            <w:r>
              <w:rPr>
                <w:rFonts w:ascii="Times New Roman" w:hAnsi="Times New Roman"/>
                <w:bCs/>
                <w:sz w:val="24"/>
                <w:szCs w:val="24"/>
              </w:rPr>
              <w:t>SFT'er</w:t>
            </w:r>
            <w:proofErr w:type="spellEnd"/>
            <w:r>
              <w:rPr>
                <w:rFonts w:ascii="Times New Roman" w:hAnsi="Times New Roman"/>
                <w:bCs/>
                <w:sz w:val="24"/>
                <w:szCs w:val="24"/>
              </w:rPr>
              <w:t>, og som stadig balanceføres (dvs. at regnskabskriterierne for ophør af indregning ikke opfyldes). Institutter skal endvidere indregne poster trukket fra egentlige kernekapitalposter og hybride kernekapitalsposter (f.eks. immaterielle aktiver, udskudte skatteaktiver osv.) her.</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i række {0191;0010} indberettede værdi skal ikke betragtes som en reduktion ved beregningen af denne række.</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Cash pool-ordninger indberettes i række {0193;0010}, {0194;0010}, {0195;0010}, {0196;0010}, {0197;0010} og {0198;0010} og ikke her.</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Generelle kreditrisikojusteringer i forbindelse med balanceførte poster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Artikel 429, stk. 4, i CRR.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lastRenderedPageBreak/>
              <w:t>Værdien af generelle kreditrisikojusteringer svarende til balanceførte poster omhandlet i artikel 429, stk. 4, litra a), i CRR, som institutterne fratrækker i overensstemmelse med artikel 429, stk. 4, sidste afsnit, i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Den indberettede værdi skal ikke betragtes som en reduktion ved beregningen af andre aktiver indberettet i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Cash pool-ordninger, der ikke kan underkastes tilsynsmæssig </w:t>
            </w:r>
            <w:proofErr w:type="spellStart"/>
            <w:r>
              <w:rPr>
                <w:rFonts w:ascii="Times New Roman" w:hAnsi="Times New Roman"/>
                <w:b/>
                <w:color w:val="auto"/>
                <w:sz w:val="24"/>
                <w:szCs w:val="24"/>
              </w:rPr>
              <w:t>netting</w:t>
            </w:r>
            <w:proofErr w:type="spellEnd"/>
            <w:r>
              <w:rPr>
                <w:rFonts w:ascii="Times New Roman" w:hAnsi="Times New Roman"/>
                <w:b/>
                <w:color w:val="auto"/>
                <w:sz w:val="24"/>
                <w:szCs w:val="24"/>
              </w:rPr>
              <w:t>: værdi i regnskabsreglerne</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429b, stk. 2 og 3, i 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Regnskabsværdien af </w:t>
            </w:r>
            <w:proofErr w:type="spellStart"/>
            <w:r>
              <w:rPr>
                <w:rFonts w:ascii="Times New Roman" w:hAnsi="Times New Roman"/>
                <w:color w:val="auto"/>
                <w:sz w:val="24"/>
                <w:szCs w:val="24"/>
              </w:rPr>
              <w:t>cash</w:t>
            </w:r>
            <w:proofErr w:type="spellEnd"/>
            <w:r>
              <w:rPr>
                <w:rFonts w:ascii="Times New Roman" w:hAnsi="Times New Roman"/>
                <w:color w:val="auto"/>
                <w:sz w:val="24"/>
                <w:szCs w:val="24"/>
              </w:rPr>
              <w:t xml:space="preserve"> pool-ordninger, dvs. af ordninger, hvorved kredit- og debetsaldi for flere individuelle konti kombineres med henblik på kontant- eller likviditetsstyring, som ikke kan nettes i overensstemmelse med artikel 429b, stk. 2 og 3, i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Cash pool-ordninger, der ikke kan underkastes tilsynsmæssig </w:t>
            </w:r>
            <w:proofErr w:type="spellStart"/>
            <w:r>
              <w:rPr>
                <w:rFonts w:ascii="Times New Roman" w:hAnsi="Times New Roman"/>
                <w:b/>
                <w:color w:val="auto"/>
                <w:sz w:val="24"/>
                <w:szCs w:val="24"/>
              </w:rPr>
              <w:t>netting</w:t>
            </w:r>
            <w:proofErr w:type="spellEnd"/>
            <w:r>
              <w:rPr>
                <w:rFonts w:ascii="Times New Roman" w:hAnsi="Times New Roman"/>
                <w:b/>
                <w:color w:val="auto"/>
                <w:sz w:val="24"/>
                <w:szCs w:val="24"/>
              </w:rPr>
              <w:t xml:space="preserve">: virkning af </w:t>
            </w:r>
            <w:proofErr w:type="spellStart"/>
            <w:r>
              <w:rPr>
                <w:rFonts w:ascii="Times New Roman" w:hAnsi="Times New Roman"/>
                <w:b/>
                <w:color w:val="auto"/>
                <w:sz w:val="24"/>
                <w:szCs w:val="24"/>
              </w:rPr>
              <w:t>gross</w:t>
            </w:r>
            <w:proofErr w:type="spellEnd"/>
            <w:r>
              <w:rPr>
                <w:rFonts w:ascii="Times New Roman" w:hAnsi="Times New Roman"/>
                <w:b/>
                <w:color w:val="auto"/>
                <w:sz w:val="24"/>
                <w:szCs w:val="24"/>
              </w:rPr>
              <w:t xml:space="preserve">-up af den efter regnskabsreglerne anvendte </w:t>
            </w:r>
            <w:proofErr w:type="spellStart"/>
            <w:r>
              <w:rPr>
                <w:rFonts w:ascii="Times New Roman" w:hAnsi="Times New Roman"/>
                <w:b/>
                <w:color w:val="auto"/>
                <w:sz w:val="24"/>
                <w:szCs w:val="24"/>
              </w:rPr>
              <w:t>netting</w:t>
            </w:r>
            <w:proofErr w:type="spellEnd"/>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 stk. 7, litra b), og artikel 429b, stk. 2 og 3, i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Den efter regnskabsreglerne nettede værdi af </w:t>
            </w:r>
            <w:proofErr w:type="spellStart"/>
            <w:r>
              <w:rPr>
                <w:rFonts w:ascii="Times New Roman" w:hAnsi="Times New Roman"/>
                <w:color w:val="auto"/>
                <w:sz w:val="24"/>
                <w:szCs w:val="24"/>
              </w:rPr>
              <w:t>cash</w:t>
            </w:r>
            <w:proofErr w:type="spellEnd"/>
            <w:r>
              <w:rPr>
                <w:rFonts w:ascii="Times New Roman" w:hAnsi="Times New Roman"/>
                <w:color w:val="auto"/>
                <w:sz w:val="24"/>
                <w:szCs w:val="24"/>
              </w:rPr>
              <w:t xml:space="preserve"> pool-ordningerne, som ikke kan underkastes tilsynsmæssig </w:t>
            </w:r>
            <w:proofErr w:type="spellStart"/>
            <w:r>
              <w:rPr>
                <w:rFonts w:ascii="Times New Roman" w:hAnsi="Times New Roman"/>
                <w:color w:val="auto"/>
                <w:sz w:val="24"/>
                <w:szCs w:val="24"/>
              </w:rPr>
              <w:t>netting</w:t>
            </w:r>
            <w:proofErr w:type="spellEnd"/>
            <w:r>
              <w:rPr>
                <w:rFonts w:ascii="Times New Roman" w:hAnsi="Times New Roman"/>
                <w:color w:val="auto"/>
                <w:sz w:val="24"/>
                <w:szCs w:val="24"/>
              </w:rPr>
              <w:t>, indberettet i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Cash pool-ordninger, der kan underkastes tilsynsmæssig </w:t>
            </w:r>
            <w:proofErr w:type="spellStart"/>
            <w:r>
              <w:rPr>
                <w:rFonts w:ascii="Times New Roman" w:hAnsi="Times New Roman"/>
                <w:b/>
                <w:color w:val="auto"/>
                <w:sz w:val="24"/>
                <w:szCs w:val="24"/>
              </w:rPr>
              <w:t>netting</w:t>
            </w:r>
            <w:proofErr w:type="spellEnd"/>
            <w:r>
              <w:rPr>
                <w:rFonts w:ascii="Times New Roman" w:hAnsi="Times New Roman"/>
                <w:b/>
                <w:color w:val="auto"/>
                <w:sz w:val="24"/>
                <w:szCs w:val="24"/>
              </w:rPr>
              <w:t>: værdi i regnskabsreglerne</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429b, stk. 2 og 3, i 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Regnskabsværdien af </w:t>
            </w:r>
            <w:proofErr w:type="spellStart"/>
            <w:r>
              <w:rPr>
                <w:rFonts w:ascii="Times New Roman" w:hAnsi="Times New Roman"/>
                <w:color w:val="auto"/>
                <w:sz w:val="24"/>
                <w:szCs w:val="24"/>
              </w:rPr>
              <w:t>cash</w:t>
            </w:r>
            <w:proofErr w:type="spellEnd"/>
            <w:r>
              <w:rPr>
                <w:rFonts w:ascii="Times New Roman" w:hAnsi="Times New Roman"/>
                <w:color w:val="auto"/>
                <w:sz w:val="24"/>
                <w:szCs w:val="24"/>
              </w:rPr>
              <w:t xml:space="preserve"> pool-ordninger, dvs. af ordninger, hvorved kredit- og debetsaldi for flere individuelle konti kombineres med henblik på kontant- eller likviditetsstyring, som kan nettes i overensstemmelse med artikel 429b, stk. 2 og 3, i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Cash pool-ordninger, der kan underkastes tilsynsmæssig </w:t>
            </w:r>
            <w:proofErr w:type="spellStart"/>
            <w:r>
              <w:rPr>
                <w:rFonts w:ascii="Times New Roman" w:hAnsi="Times New Roman"/>
                <w:b/>
                <w:color w:val="auto"/>
                <w:sz w:val="24"/>
                <w:szCs w:val="24"/>
              </w:rPr>
              <w:t>netting</w:t>
            </w:r>
            <w:proofErr w:type="spellEnd"/>
            <w:r>
              <w:rPr>
                <w:rFonts w:ascii="Times New Roman" w:hAnsi="Times New Roman"/>
                <w:b/>
                <w:color w:val="auto"/>
                <w:sz w:val="24"/>
                <w:szCs w:val="24"/>
              </w:rPr>
              <w:t xml:space="preserve">: virkning af </w:t>
            </w:r>
            <w:proofErr w:type="spellStart"/>
            <w:r>
              <w:rPr>
                <w:rFonts w:ascii="Times New Roman" w:hAnsi="Times New Roman"/>
                <w:b/>
                <w:color w:val="auto"/>
                <w:sz w:val="24"/>
                <w:szCs w:val="24"/>
              </w:rPr>
              <w:t>gross</w:t>
            </w:r>
            <w:proofErr w:type="spellEnd"/>
            <w:r>
              <w:rPr>
                <w:rFonts w:ascii="Times New Roman" w:hAnsi="Times New Roman"/>
                <w:b/>
                <w:color w:val="auto"/>
                <w:sz w:val="24"/>
                <w:szCs w:val="24"/>
              </w:rPr>
              <w:t xml:space="preserve">-up af den efter regnskabsreglerne anvendte </w:t>
            </w:r>
            <w:proofErr w:type="spellStart"/>
            <w:r>
              <w:rPr>
                <w:rFonts w:ascii="Times New Roman" w:hAnsi="Times New Roman"/>
                <w:b/>
                <w:color w:val="auto"/>
                <w:sz w:val="24"/>
                <w:szCs w:val="24"/>
              </w:rPr>
              <w:t>netting</w:t>
            </w:r>
            <w:proofErr w:type="spellEnd"/>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429b, stk. 2 og 3, i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 xml:space="preserve">Den efter regnskabsreglerne nettede værdi af </w:t>
            </w:r>
            <w:proofErr w:type="spellStart"/>
            <w:r>
              <w:rPr>
                <w:rFonts w:ascii="Times New Roman" w:hAnsi="Times New Roman"/>
                <w:color w:val="auto"/>
                <w:sz w:val="24"/>
                <w:szCs w:val="24"/>
              </w:rPr>
              <w:t>cash</w:t>
            </w:r>
            <w:proofErr w:type="spellEnd"/>
            <w:r>
              <w:rPr>
                <w:rFonts w:ascii="Times New Roman" w:hAnsi="Times New Roman"/>
                <w:color w:val="auto"/>
                <w:sz w:val="24"/>
                <w:szCs w:val="24"/>
              </w:rPr>
              <w:t xml:space="preserve"> pool-ordningerne, som kan underkastes tilsynsmæssig </w:t>
            </w:r>
            <w:proofErr w:type="spellStart"/>
            <w:r>
              <w:rPr>
                <w:rFonts w:ascii="Times New Roman" w:hAnsi="Times New Roman"/>
                <w:color w:val="auto"/>
                <w:sz w:val="24"/>
                <w:szCs w:val="24"/>
              </w:rPr>
              <w:t>netting</w:t>
            </w:r>
            <w:proofErr w:type="spellEnd"/>
            <w:r>
              <w:rPr>
                <w:rFonts w:ascii="Times New Roman" w:hAnsi="Times New Roman"/>
                <w:color w:val="auto"/>
                <w:sz w:val="24"/>
                <w:szCs w:val="24"/>
              </w:rPr>
              <w:t>, indberettet i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Hvis instituttet opfylder betingelsen i artikel 429b, stk. 2, i litra b), anvender det ikke opregning i denne række på saldi, der nulstilles på grundlag af proceduren i artikel 429b, stk. 2, litra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lastRenderedPageBreak/>
              <w:t xml:space="preserve">(-) Cash pool-ordninger, der kan underkastes tilsynsmæssig </w:t>
            </w:r>
            <w:proofErr w:type="spellStart"/>
            <w:r>
              <w:rPr>
                <w:rFonts w:ascii="Times New Roman" w:hAnsi="Times New Roman"/>
                <w:b/>
                <w:color w:val="auto"/>
                <w:sz w:val="24"/>
                <w:szCs w:val="24"/>
              </w:rPr>
              <w:t>netting</w:t>
            </w:r>
            <w:proofErr w:type="spellEnd"/>
            <w:r>
              <w:rPr>
                <w:rFonts w:ascii="Times New Roman" w:hAnsi="Times New Roman"/>
                <w:b/>
                <w:color w:val="auto"/>
                <w:sz w:val="24"/>
                <w:szCs w:val="24"/>
              </w:rPr>
              <w:t xml:space="preserve">: Indregning af </w:t>
            </w:r>
            <w:proofErr w:type="spellStart"/>
            <w:r>
              <w:rPr>
                <w:rFonts w:ascii="Times New Roman" w:hAnsi="Times New Roman"/>
                <w:b/>
                <w:color w:val="auto"/>
                <w:sz w:val="24"/>
                <w:szCs w:val="24"/>
              </w:rPr>
              <w:t>netting</w:t>
            </w:r>
            <w:proofErr w:type="spellEnd"/>
            <w:r>
              <w:rPr>
                <w:rFonts w:ascii="Times New Roman" w:hAnsi="Times New Roman"/>
                <w:b/>
                <w:color w:val="auto"/>
                <w:sz w:val="24"/>
                <w:szCs w:val="24"/>
              </w:rPr>
              <w:t xml:space="preserve"> i henhold til artikel 429b, stk. 2, i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Artikel 429b, stk. 2, i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Den værdi, der nettes fra bruttoeksponeringen vedrørende </w:t>
            </w:r>
            <w:proofErr w:type="spellStart"/>
            <w:r>
              <w:rPr>
                <w:rFonts w:ascii="Times New Roman" w:hAnsi="Times New Roman"/>
                <w:color w:val="auto"/>
                <w:sz w:val="24"/>
                <w:szCs w:val="24"/>
              </w:rPr>
              <w:t>cash</w:t>
            </w:r>
            <w:proofErr w:type="spellEnd"/>
            <w:r>
              <w:rPr>
                <w:rFonts w:ascii="Times New Roman" w:hAnsi="Times New Roman"/>
                <w:color w:val="auto"/>
                <w:sz w:val="24"/>
                <w:szCs w:val="24"/>
              </w:rPr>
              <w:t xml:space="preserve"> pool-ordninger (summen af række 0195 og 0196) i henhold til artikel 429b, stk.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Cash pool-ordninger, der kan underkastes tilsynsmæssig </w:t>
            </w:r>
            <w:proofErr w:type="spellStart"/>
            <w:r>
              <w:rPr>
                <w:rFonts w:ascii="Times New Roman" w:hAnsi="Times New Roman"/>
                <w:b/>
                <w:color w:val="auto"/>
                <w:sz w:val="24"/>
                <w:szCs w:val="24"/>
              </w:rPr>
              <w:t>netting</w:t>
            </w:r>
            <w:proofErr w:type="spellEnd"/>
            <w:r>
              <w:rPr>
                <w:rFonts w:ascii="Times New Roman" w:hAnsi="Times New Roman"/>
                <w:b/>
                <w:color w:val="auto"/>
                <w:sz w:val="24"/>
                <w:szCs w:val="24"/>
              </w:rPr>
              <w:t xml:space="preserve">: Indregning af </w:t>
            </w:r>
            <w:proofErr w:type="spellStart"/>
            <w:r>
              <w:rPr>
                <w:rFonts w:ascii="Times New Roman" w:hAnsi="Times New Roman"/>
                <w:b/>
                <w:color w:val="auto"/>
                <w:sz w:val="24"/>
                <w:szCs w:val="24"/>
              </w:rPr>
              <w:t>netting</w:t>
            </w:r>
            <w:proofErr w:type="spellEnd"/>
            <w:r>
              <w:rPr>
                <w:rFonts w:ascii="Times New Roman" w:hAnsi="Times New Roman"/>
                <w:b/>
                <w:color w:val="auto"/>
                <w:sz w:val="24"/>
                <w:szCs w:val="24"/>
              </w:rPr>
              <w:t xml:space="preserve"> i henhold til artikel 429b, stk. 3, i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Artikel 429b, stk. 3, i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Den værdi, der nettes fra bruttoeksponeringen vedrørende </w:t>
            </w:r>
            <w:proofErr w:type="spellStart"/>
            <w:r>
              <w:rPr>
                <w:rFonts w:ascii="Times New Roman" w:hAnsi="Times New Roman"/>
                <w:color w:val="auto"/>
                <w:sz w:val="24"/>
                <w:szCs w:val="24"/>
              </w:rPr>
              <w:t>cash</w:t>
            </w:r>
            <w:proofErr w:type="spellEnd"/>
            <w:r>
              <w:rPr>
                <w:rFonts w:ascii="Times New Roman" w:hAnsi="Times New Roman"/>
                <w:color w:val="auto"/>
                <w:sz w:val="24"/>
                <w:szCs w:val="24"/>
              </w:rPr>
              <w:t xml:space="preserve"> pool-ordninger (summen af række 0195 og 0196) i henhold til artikel 429b, stk.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Gross-up for sikkerhedsstillelse i forbindelse med derivatkontrakter</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2, i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beløb, som er stillet som sikkerhed i forbindelse med derivater, hvis sikkerhedsstillelsen i henhold til de gældende regnskabsregler reducerer summen af aktiver, jf. artikel 429c, stk. 2, i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i denne celle ikke medtage initialmargenen for kundetransaktioner i derivater clearet gennem en kvalificerende CCP (QCCP) (kundeclearede transaktioner) eller godkendt variationsmargen modtaget kontant som defineret i artikel 429c, stk. 3, i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Fordringer vedrørende kontant variationsmargen i forbindelse med derivattransaktioner</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429c, stk. 3, litra c), i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Fordringer vedrørende variationsmargen udbetalt kontant til modparten i forbindelse med derivattransaktioner, hvis instituttet i henhold til de gældende regnskabsregler har pligt til at indregne disse fordringer som et aktiv, og forudsat at betingelserne i artikel 429c, stk. 3, litra </w:t>
            </w:r>
            <w:proofErr w:type="gramStart"/>
            <w:r>
              <w:rPr>
                <w:rFonts w:ascii="Times New Roman" w:hAnsi="Times New Roman"/>
                <w:bCs/>
                <w:sz w:val="24"/>
                <w:szCs w:val="24"/>
              </w:rPr>
              <w:t>a)-</w:t>
            </w:r>
            <w:proofErr w:type="gramEnd"/>
            <w:r>
              <w:rPr>
                <w:rFonts w:ascii="Times New Roman" w:hAnsi="Times New Roman"/>
                <w:bCs/>
                <w:sz w:val="24"/>
                <w:szCs w:val="24"/>
              </w:rPr>
              <w:t>e), i CRR er opfyldt.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indberettede beløb skal også indgå i de andre aktiver, som indberettes i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Ikke medregnet CCP-element af kundeclearede handelseksponeringer (initialmargen)</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g), i 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(stillede) initialmargens andel af ikke medregnede handelseksponeringer mod en QCCP fra kundeclearede derivattransaktioner, forudsat at de pågældende poster opfylder betingelserne i artikel 306, stk. 1, litra c), i CRR.</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indberettede beløb skal også indgå i de andre aktiver, som indberettes i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Justeringer for regnskabsmæssige transaktioner vedrørende salg af værdipapirer</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429e, stk. 6, i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Værdien af værdipapirer, der er udlånt i en genkøbstransaktion, og som i henhold til de gældende regnskabsregler ikke længere indregnes som følge af en transaktion, der er bogført som salg.</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Reduktion af eksponeringsværdien af </w:t>
            </w:r>
            <w:proofErr w:type="spellStart"/>
            <w:r>
              <w:rPr>
                <w:rFonts w:ascii="Times New Roman" w:hAnsi="Times New Roman"/>
                <w:b/>
                <w:bCs/>
                <w:sz w:val="24"/>
                <w:szCs w:val="24"/>
              </w:rPr>
              <w:t>forfinansieringslån</w:t>
            </w:r>
            <w:proofErr w:type="spellEnd"/>
            <w:r>
              <w:rPr>
                <w:rFonts w:ascii="Times New Roman" w:hAnsi="Times New Roman"/>
                <w:b/>
                <w:bCs/>
                <w:sz w:val="24"/>
                <w:szCs w:val="24"/>
              </w:rPr>
              <w:t xml:space="preserve"> eller overgangslån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 stk. 8, i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 xml:space="preserve">Det beløb, der trækkes fra eksponeringsværdien af et </w:t>
            </w:r>
            <w:proofErr w:type="spellStart"/>
            <w:r>
              <w:rPr>
                <w:rFonts w:ascii="Times New Roman" w:hAnsi="Times New Roman"/>
                <w:bCs/>
                <w:sz w:val="24"/>
                <w:szCs w:val="24"/>
              </w:rPr>
              <w:t>forfinansieringslån</w:t>
            </w:r>
            <w:proofErr w:type="spellEnd"/>
            <w:r>
              <w:rPr>
                <w:rFonts w:ascii="Times New Roman" w:hAnsi="Times New Roman"/>
                <w:bCs/>
                <w:sz w:val="24"/>
                <w:szCs w:val="24"/>
              </w:rPr>
              <w:t xml:space="preserve"> eller overgangslån i overensstemmelse med artikel 429, stk. 8, i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Det indberettede beløb skal indgå i de andre aktiver, som indberettes i {0190, 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Aktiver under forvaltning (</w:t>
            </w:r>
            <w:proofErr w:type="spellStart"/>
            <w:r>
              <w:rPr>
                <w:rFonts w:ascii="Times New Roman" w:hAnsi="Times New Roman"/>
                <w:b/>
                <w:bCs/>
                <w:sz w:val="24"/>
                <w:szCs w:val="24"/>
              </w:rPr>
              <w:t>fiduciary</w:t>
            </w:r>
            <w:proofErr w:type="spellEnd"/>
            <w:r>
              <w:rPr>
                <w:rFonts w:ascii="Times New Roman" w:hAnsi="Times New Roman"/>
                <w:b/>
                <w:bCs/>
                <w:sz w:val="24"/>
                <w:szCs w:val="24"/>
              </w:rPr>
              <w:t xml:space="preserve"> assets)</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i), i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Værdien af aktiver under forvaltning (</w:t>
            </w:r>
            <w:proofErr w:type="spellStart"/>
            <w:r>
              <w:rPr>
                <w:rFonts w:ascii="Times New Roman" w:hAnsi="Times New Roman"/>
                <w:bCs/>
                <w:sz w:val="24"/>
                <w:szCs w:val="24"/>
              </w:rPr>
              <w:t>fiduciary</w:t>
            </w:r>
            <w:proofErr w:type="spellEnd"/>
            <w:r>
              <w:rPr>
                <w:rFonts w:ascii="Times New Roman" w:hAnsi="Times New Roman"/>
                <w:bCs/>
                <w:sz w:val="24"/>
                <w:szCs w:val="24"/>
              </w:rPr>
              <w:t xml:space="preserve"> assets), som indregnes på instituttets balance ifølge de nationale almindeligt anerkendte regnskabsprincipper, og som opfylder kriterierne i IFRS 9 for ophør af indregning og, hvis det er relevant, for </w:t>
            </w:r>
            <w:proofErr w:type="spellStart"/>
            <w:r>
              <w:rPr>
                <w:rFonts w:ascii="Times New Roman" w:hAnsi="Times New Roman"/>
                <w:bCs/>
                <w:sz w:val="24"/>
                <w:szCs w:val="24"/>
              </w:rPr>
              <w:t>dekonsolidering</w:t>
            </w:r>
            <w:proofErr w:type="spellEnd"/>
            <w:r>
              <w:rPr>
                <w:rFonts w:ascii="Times New Roman" w:hAnsi="Times New Roman"/>
                <w:bCs/>
                <w:sz w:val="24"/>
                <w:szCs w:val="24"/>
              </w:rPr>
              <w:t xml:space="preserve"> i IFRS 10, jf. artikel 429a, stk. 1 litra i), i CRR, uden hensyntagen til virkninger af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anden risikoreduktion (dvs. at eventuelle virkninger af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risikoreduktion på den balanceførte regnskabsværdi skal tilbageføres).</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indberettede beløb skal også indgå i de andre aktiver, som indberettes i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Koncerninterne eksponeringer (individuelt grundlag) ikke medregnet i henhold til artikel 429a, stk. 1, litra c), i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c), og artikel 113, stk. 6, i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Eksponeringer, der ikke er konsolideret på det relevante konsolideringsniveau, og som kan omfattes af den i artikel 113, stk. 6, i CRR omhandlede behandling, under forudsætning af at alle betingelserne i artikel 113, stk. 6, litra </w:t>
            </w:r>
            <w:proofErr w:type="gramStart"/>
            <w:r>
              <w:rPr>
                <w:rFonts w:ascii="Times New Roman" w:hAnsi="Times New Roman"/>
                <w:bCs/>
                <w:sz w:val="24"/>
                <w:szCs w:val="24"/>
              </w:rPr>
              <w:t>a)-</w:t>
            </w:r>
            <w:proofErr w:type="gramEnd"/>
            <w:r>
              <w:rPr>
                <w:rFonts w:ascii="Times New Roman" w:hAnsi="Times New Roman"/>
                <w:bCs/>
                <w:sz w:val="24"/>
                <w:szCs w:val="24"/>
              </w:rPr>
              <w:t>e), i CRR er opfyldt og at de kompetente myndigheder har givet deres godkendelse.</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Eksponeringer, som er tilknyttet en institutsikringsordning, og som ikke medregnes i henhold til artikel 429a, stk. 1, litra c), i CRR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c), og artikel 113, stk. 7, i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Eksponeringer, som kan omfattes af den i artikel 113, stk. 7, i CRR omhandlede behandling, under forudsætning af at alle betingelserne i artikel 113, stk. 7, litra </w:t>
            </w:r>
            <w:proofErr w:type="gramStart"/>
            <w:r>
              <w:rPr>
                <w:rFonts w:ascii="Times New Roman" w:hAnsi="Times New Roman"/>
                <w:bCs/>
                <w:sz w:val="24"/>
                <w:szCs w:val="24"/>
              </w:rPr>
              <w:t>a)-</w:t>
            </w:r>
            <w:proofErr w:type="gramEnd"/>
            <w:r>
              <w:rPr>
                <w:rFonts w:ascii="Times New Roman" w:hAnsi="Times New Roman"/>
                <w:bCs/>
                <w:sz w:val="24"/>
                <w:szCs w:val="24"/>
              </w:rPr>
              <w:t>i), i CRR er opfyldt, og at de kompetente myndigheder har givet deres godkendelse.</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Det indberettede beløb skal også medtages i de relevante celler ovenfor, som om der ikke gjaldt nogen undtagelse.</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Udelukkede garanterede dele af eksponeringer, der følger af eksportkreditter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f), i 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De garanterede dele af eksponeringer, der følger af eksportkreditter, og som kan udelukkes, når betingelserne i artikel 429a, stk. 1, litra f), i CRR er opfyldt.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Udelukket overskydende sikkerhedsstillelse deponeret hos trepartsagenter</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k), i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overskydende sikkerhedsstillelse deponeret hos trepartsagenter, der ikke er blevet udlånt, og som kan udelukkes i henhold til artikel 429a, stk. 1, litra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Udelukkede </w:t>
            </w:r>
            <w:proofErr w:type="spellStart"/>
            <w:r>
              <w:rPr>
                <w:rFonts w:ascii="Times New Roman" w:hAnsi="Times New Roman"/>
                <w:b/>
                <w:color w:val="auto"/>
                <w:sz w:val="24"/>
                <w:szCs w:val="24"/>
              </w:rPr>
              <w:t>securitiserede</w:t>
            </w:r>
            <w:proofErr w:type="spellEnd"/>
            <w:r>
              <w:rPr>
                <w:rFonts w:ascii="Times New Roman" w:hAnsi="Times New Roman"/>
                <w:b/>
                <w:color w:val="auto"/>
                <w:sz w:val="24"/>
                <w:szCs w:val="24"/>
              </w:rPr>
              <w:t xml:space="preserve"> eksponeringer, der repræsenterer væsentlig risikooverførsel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429a, stk. 1, litra m), i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 </w:t>
            </w:r>
            <w:proofErr w:type="spellStart"/>
            <w:r>
              <w:rPr>
                <w:rFonts w:ascii="Times New Roman" w:hAnsi="Times New Roman"/>
                <w:bCs/>
                <w:sz w:val="24"/>
                <w:szCs w:val="24"/>
              </w:rPr>
              <w:t>securitiserede</w:t>
            </w:r>
            <w:proofErr w:type="spellEnd"/>
            <w:r>
              <w:rPr>
                <w:rFonts w:ascii="Times New Roman" w:hAnsi="Times New Roman"/>
                <w:bCs/>
                <w:sz w:val="24"/>
                <w:szCs w:val="24"/>
              </w:rPr>
              <w:t xml:space="preserve"> eksponeringer fra traditionelle </w:t>
            </w:r>
            <w:proofErr w:type="spellStart"/>
            <w:r>
              <w:rPr>
                <w:rFonts w:ascii="Times New Roman" w:hAnsi="Times New Roman"/>
                <w:bCs/>
                <w:sz w:val="24"/>
                <w:szCs w:val="24"/>
              </w:rPr>
              <w:t>securitiseringer</w:t>
            </w:r>
            <w:proofErr w:type="spellEnd"/>
            <w:r>
              <w:rPr>
                <w:rFonts w:ascii="Times New Roman" w:hAnsi="Times New Roman"/>
                <w:bCs/>
                <w:sz w:val="24"/>
                <w:szCs w:val="24"/>
              </w:rPr>
              <w:t>, der opfylder betingelserne for væsentlig risikooverførsel fastsat i artikel 244, stk.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Eksponeringer mod centralbanken, som ikke medregnes i henhold til artikel 429a, stk. 1, litra n), i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Artikel 429a, stk. 1, litra n), i 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Udelukkede bankmæssige accessoriske tjenesteydelser fra værdipapircentraler/institutter i henhold til artikel 429a, stk. 1, litra o), i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o), i 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Udelukkede bankmæssige accessoriske tjenesteydelser fra udpegede institutter i henhold til artikel 429a, stk. 1, litra p), i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Artikel 429a, stk. 1, litra p), i 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Eksponeringer, som ikke medregnes i henhold til artikel 429a, stk. 1, litra j), i 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j), i 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Eksponeringer, som i overensstemmelse med artikel 429a, stk. 1, litra j), ikke medregnes, under forudsætning af at de i samme stykke fastsatte betingelser er opfyldt.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Offentlige udviklingskreditinstitutters udelukkede eksponeringer — Offentlige investeringer</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d), og artikel 429a, stk. 2, i 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De eksponeringer, der følger af aktiver, som udgør fordringer på centralregeringer, regionale eller lokale myndigheder eller offentlige enheder vedrørende offentlige investeringer, og som kan udelukkes i henhold til artikel 429a, stk. 1, litra d), i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Hvis fordringen også kan betragtes som et støttelån som defineret i artikel 429a, stk. 3, skal den ikke indberettes her, men i række 0262-0264, alt efter hvad der er relevant.</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Offentlige kreditinstitutters udelukkede eksponeringer — Støttelån ydet af et offentligt udviklingskreditinstitut</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d), og artikel 429a, stk. 2 og 3, i 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De eksponeringer, der følger af støttelån, herunder </w:t>
            </w:r>
            <w:proofErr w:type="spellStart"/>
            <w:r>
              <w:rPr>
                <w:rFonts w:ascii="Times New Roman" w:hAnsi="Times New Roman"/>
                <w:color w:val="auto"/>
                <w:sz w:val="24"/>
                <w:szCs w:val="24"/>
              </w:rPr>
              <w:t>pass</w:t>
            </w:r>
            <w:proofErr w:type="spellEnd"/>
            <w:r>
              <w:rPr>
                <w:rFonts w:ascii="Times New Roman" w:hAnsi="Times New Roman"/>
                <w:color w:val="auto"/>
                <w:sz w:val="24"/>
                <w:szCs w:val="24"/>
              </w:rPr>
              <w:t xml:space="preserve"> </w:t>
            </w:r>
            <w:proofErr w:type="spellStart"/>
            <w:r>
              <w:rPr>
                <w:rFonts w:ascii="Times New Roman" w:hAnsi="Times New Roman"/>
                <w:color w:val="auto"/>
                <w:sz w:val="24"/>
                <w:szCs w:val="24"/>
              </w:rPr>
              <w:t>through</w:t>
            </w:r>
            <w:proofErr w:type="spellEnd"/>
            <w:r>
              <w:rPr>
                <w:rFonts w:ascii="Times New Roman" w:hAnsi="Times New Roman"/>
                <w:color w:val="auto"/>
                <w:sz w:val="24"/>
                <w:szCs w:val="24"/>
              </w:rPr>
              <w:t xml:space="preserve">-støttelån, ydet af et offentligt udviklingskreditinstitut, som kan udelukkes i henhold til artikel 429a, stk. 1, litra d), i CRR. </w:t>
            </w:r>
            <w:r>
              <w:rPr>
                <w:rFonts w:ascii="Times New Roman" w:hAnsi="Times New Roman"/>
                <w:sz w:val="24"/>
                <w:szCs w:val="24"/>
              </w:rPr>
              <w:t>Eksponeringer hos en enhed i et institut, der behandles som et offentligt udviklingskreditinstitut af en kompetent myndighed i henhold til artikel 429a, stk. 2, sidste afsnit, i CRR, skal også tages i betragtning.</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Offentlige udviklingskreditinstitutters udelukkede eksponeringer — Støttelån ydet af en enhed oprettet direkte af centralregeringen eller regionale eller lokale myndigheder i en medlemsstat</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d), og artikel 429a, stk. 2 og 3, i CRR.</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 xml:space="preserve">De eksponeringer, der følger af støttelån, herunder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-støttelån, ydet af en enhed oprettet direkte af centralregeringen eller regionale eller lokale myndigheder, og som kan udelukkes i henhold til artikel 429a, stk. 1, litra d), i CRR.</w:t>
            </w:r>
            <w:r>
              <w:rPr>
                <w:rFonts w:ascii="Times New Roman" w:hAnsi="Times New Roman"/>
                <w:bCs/>
                <w:sz w:val="24"/>
                <w:szCs w:val="24"/>
              </w:rPr>
              <w:t xml:space="preserve"> </w:t>
            </w:r>
            <w:r>
              <w:rPr>
                <w:rFonts w:ascii="Times New Roman" w:hAnsi="Times New Roman"/>
                <w:sz w:val="24"/>
                <w:szCs w:val="24"/>
              </w:rPr>
              <w:t>Eksponeringer hos en enhed i et institut, der behandles som et offentligt udviklingskreditinstitut af en kompetent myndighed i henhold til artikel 429a, stk. 2, sidste afsnit, skal også tages i betragtning.</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Offentlige udviklingskreditinstitutters udelukkede eksponeringer — Støttelån ydet af en enhed oprettet af centralregeringen eller regionale eller lokale myndigheder i en medlemsstat gennem et mellemliggende kreditinstitut</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d), og artikel 429a, stk. 2 og 3, i CRR.</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 xml:space="preserve">De eksponeringer, der følger af støttelån, herunder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-støttelån, ydet af en enhed oprettet af centralregeringen eller regionale eller lokale myndigheder gennem et mellemliggende kreditinstitut, og som kan udelukkes i henhold til artikel 429a, stk. 1, litra d), i CRR.</w:t>
            </w:r>
            <w:r>
              <w:rPr>
                <w:rFonts w:ascii="Times New Roman" w:hAnsi="Times New Roman"/>
                <w:bCs/>
                <w:sz w:val="24"/>
                <w:szCs w:val="24"/>
              </w:rPr>
              <w:t xml:space="preserve"> </w:t>
            </w:r>
            <w:r>
              <w:rPr>
                <w:rFonts w:ascii="Times New Roman" w:hAnsi="Times New Roman"/>
                <w:sz w:val="24"/>
                <w:szCs w:val="24"/>
              </w:rPr>
              <w:t>Eksponeringer hos en enhed i et institut, der behandles som et offentligt udviklingskreditinstitut af en kompetent myndighed i henhold til artikel 429a, stk. 2, sidste afsnit, skal også tages i betragtning.</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Udelukkede eksponeringer fra </w:t>
            </w:r>
            <w:proofErr w:type="spellStart"/>
            <w:r>
              <w:rPr>
                <w:rFonts w:ascii="Times New Roman" w:hAnsi="Times New Roman"/>
                <w:b/>
                <w:color w:val="auto"/>
                <w:sz w:val="24"/>
                <w:szCs w:val="24"/>
              </w:rPr>
              <w:t>pass</w:t>
            </w:r>
            <w:proofErr w:type="spellEnd"/>
            <w:r>
              <w:rPr>
                <w:rFonts w:ascii="Times New Roman" w:hAnsi="Times New Roman"/>
                <w:b/>
                <w:color w:val="auto"/>
                <w:sz w:val="24"/>
                <w:szCs w:val="24"/>
              </w:rPr>
              <w:t xml:space="preserve"> </w:t>
            </w:r>
            <w:proofErr w:type="spellStart"/>
            <w:r>
              <w:rPr>
                <w:rFonts w:ascii="Times New Roman" w:hAnsi="Times New Roman"/>
                <w:b/>
                <w:color w:val="auto"/>
                <w:sz w:val="24"/>
                <w:szCs w:val="24"/>
              </w:rPr>
              <w:t>through</w:t>
            </w:r>
            <w:proofErr w:type="spellEnd"/>
            <w:r>
              <w:rPr>
                <w:rFonts w:ascii="Times New Roman" w:hAnsi="Times New Roman"/>
                <w:b/>
                <w:color w:val="auto"/>
                <w:sz w:val="24"/>
                <w:szCs w:val="24"/>
              </w:rPr>
              <w:t>-støttelån gennem ikkeoffentlige udviklingskreditinstitutter (eller enheder) —Støttelån ydet af et offentligt udviklingskreditinstitut</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e), og artikel 429a, stk. 2 og 3, i 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 dele af eksponeringer, der følger af </w:t>
            </w:r>
            <w:proofErr w:type="spellStart"/>
            <w:r>
              <w:rPr>
                <w:rFonts w:ascii="Times New Roman" w:hAnsi="Times New Roman"/>
                <w:color w:val="auto"/>
                <w:sz w:val="24"/>
                <w:szCs w:val="24"/>
              </w:rPr>
              <w:t>pass</w:t>
            </w:r>
            <w:proofErr w:type="spellEnd"/>
            <w:r>
              <w:rPr>
                <w:rFonts w:ascii="Times New Roman" w:hAnsi="Times New Roman"/>
                <w:color w:val="auto"/>
                <w:sz w:val="24"/>
                <w:szCs w:val="24"/>
              </w:rPr>
              <w:t xml:space="preserve"> </w:t>
            </w:r>
            <w:proofErr w:type="spellStart"/>
            <w:r>
              <w:rPr>
                <w:rFonts w:ascii="Times New Roman" w:hAnsi="Times New Roman"/>
                <w:color w:val="auto"/>
                <w:sz w:val="24"/>
                <w:szCs w:val="24"/>
              </w:rPr>
              <w:t>through</w:t>
            </w:r>
            <w:proofErr w:type="spellEnd"/>
            <w:r>
              <w:rPr>
                <w:rFonts w:ascii="Times New Roman" w:hAnsi="Times New Roman"/>
                <w:color w:val="auto"/>
                <w:sz w:val="24"/>
                <w:szCs w:val="24"/>
              </w:rPr>
              <w:t xml:space="preserve">-støttelån til andre kreditinstitutter, når støttelånene er ydet af et offentligt udviklingskreditinstitut. </w:t>
            </w:r>
            <w:r>
              <w:rPr>
                <w:rFonts w:ascii="Times New Roman" w:hAnsi="Times New Roman"/>
                <w:sz w:val="24"/>
                <w:szCs w:val="24"/>
              </w:rPr>
              <w:t>De dele af eksponeringerne hos enhederne i et institut, der ikke behandles som et offentligt udviklingskreditinstitut af en kompetent myndighed i henhold til artikel 429a, stk. 2, sidste afsnit, skal også tages i betragtning.</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Udelukkede eksponeringer fra </w:t>
            </w:r>
            <w:proofErr w:type="spellStart"/>
            <w:r>
              <w:rPr>
                <w:rFonts w:ascii="Times New Roman" w:hAnsi="Times New Roman"/>
                <w:b/>
                <w:color w:val="auto"/>
                <w:sz w:val="24"/>
                <w:szCs w:val="24"/>
              </w:rPr>
              <w:t>pass</w:t>
            </w:r>
            <w:proofErr w:type="spellEnd"/>
            <w:r>
              <w:rPr>
                <w:rFonts w:ascii="Times New Roman" w:hAnsi="Times New Roman"/>
                <w:b/>
                <w:color w:val="auto"/>
                <w:sz w:val="24"/>
                <w:szCs w:val="24"/>
              </w:rPr>
              <w:t xml:space="preserve"> </w:t>
            </w:r>
            <w:proofErr w:type="spellStart"/>
            <w:r>
              <w:rPr>
                <w:rFonts w:ascii="Times New Roman" w:hAnsi="Times New Roman"/>
                <w:b/>
                <w:color w:val="auto"/>
                <w:sz w:val="24"/>
                <w:szCs w:val="24"/>
              </w:rPr>
              <w:t>through</w:t>
            </w:r>
            <w:proofErr w:type="spellEnd"/>
            <w:r>
              <w:rPr>
                <w:rFonts w:ascii="Times New Roman" w:hAnsi="Times New Roman"/>
                <w:b/>
                <w:color w:val="auto"/>
                <w:sz w:val="24"/>
                <w:szCs w:val="24"/>
              </w:rPr>
              <w:t>-støttelån gennem ikkeoffentlige udviklingskreditinstitutter (eller enheder) — Støttelån ydet af en enhed oprettet direkte af centralregeringen eller regionale eller lokale myndigheder i en medlemsstat</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e), og artikel 429a, stk. 2 og 3, i CRR.</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 dele af eksponeringer, der følger af </w:t>
            </w:r>
            <w:proofErr w:type="spellStart"/>
            <w:r>
              <w:rPr>
                <w:rFonts w:ascii="Times New Roman" w:hAnsi="Times New Roman"/>
                <w:color w:val="auto"/>
                <w:sz w:val="24"/>
                <w:szCs w:val="24"/>
              </w:rPr>
              <w:t>pass</w:t>
            </w:r>
            <w:proofErr w:type="spellEnd"/>
            <w:r>
              <w:rPr>
                <w:rFonts w:ascii="Times New Roman" w:hAnsi="Times New Roman"/>
                <w:color w:val="auto"/>
                <w:sz w:val="24"/>
                <w:szCs w:val="24"/>
              </w:rPr>
              <w:t xml:space="preserve"> </w:t>
            </w:r>
            <w:proofErr w:type="spellStart"/>
            <w:r>
              <w:rPr>
                <w:rFonts w:ascii="Times New Roman" w:hAnsi="Times New Roman"/>
                <w:color w:val="auto"/>
                <w:sz w:val="24"/>
                <w:szCs w:val="24"/>
              </w:rPr>
              <w:t>through</w:t>
            </w:r>
            <w:proofErr w:type="spellEnd"/>
            <w:r>
              <w:rPr>
                <w:rFonts w:ascii="Times New Roman" w:hAnsi="Times New Roman"/>
                <w:color w:val="auto"/>
                <w:sz w:val="24"/>
                <w:szCs w:val="24"/>
              </w:rPr>
              <w:t xml:space="preserve">-støttelån til andre kreditinstitutter, når støttelånene er ydet af en enhed direkte oprettet af centralregeringen eller de regionale eller lokale myndigheder i en medlemsstat. </w:t>
            </w:r>
            <w:r>
              <w:rPr>
                <w:rFonts w:ascii="Times New Roman" w:hAnsi="Times New Roman"/>
                <w:sz w:val="24"/>
                <w:szCs w:val="24"/>
              </w:rPr>
              <w:t>De dele af eksponeringerne hos enhederne i et institut, der ikke behandles som et offentligt udviklingskreditinstitut af en kompetent myndighed i henhold til artikel 429a, stk. 2, sidste afsnit, skal også tages i betragtning.</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Det indberettede beløb skal også medtages i de relevante celler ovenfor, som om der ikke gjaldt nogen undtagelse.</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Udelukkede eksponeringer fra </w:t>
            </w:r>
            <w:proofErr w:type="spellStart"/>
            <w:r>
              <w:rPr>
                <w:rFonts w:ascii="Times New Roman" w:hAnsi="Times New Roman"/>
                <w:b/>
                <w:color w:val="auto"/>
                <w:sz w:val="24"/>
                <w:szCs w:val="24"/>
              </w:rPr>
              <w:t>pass</w:t>
            </w:r>
            <w:proofErr w:type="spellEnd"/>
            <w:r>
              <w:rPr>
                <w:rFonts w:ascii="Times New Roman" w:hAnsi="Times New Roman"/>
                <w:b/>
                <w:color w:val="auto"/>
                <w:sz w:val="24"/>
                <w:szCs w:val="24"/>
              </w:rPr>
              <w:t xml:space="preserve"> </w:t>
            </w:r>
            <w:proofErr w:type="spellStart"/>
            <w:r>
              <w:rPr>
                <w:rFonts w:ascii="Times New Roman" w:hAnsi="Times New Roman"/>
                <w:b/>
                <w:color w:val="auto"/>
                <w:sz w:val="24"/>
                <w:szCs w:val="24"/>
              </w:rPr>
              <w:t>through</w:t>
            </w:r>
            <w:proofErr w:type="spellEnd"/>
            <w:r>
              <w:rPr>
                <w:rFonts w:ascii="Times New Roman" w:hAnsi="Times New Roman"/>
                <w:b/>
                <w:color w:val="auto"/>
                <w:sz w:val="24"/>
                <w:szCs w:val="24"/>
              </w:rPr>
              <w:t>-støttelån gennem ikkeoffentlige udviklingskreditinstitutter (eller enheder) — Støttelån ydet af en enhed oprettet af centralregeringen eller regionale eller lokale myndigheder i en medlemsstat gennem et mellemliggende kreditinstitut</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e), og artikel 429a, stk. 2 og 3, i 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De dele af eksponeringer, der følger af </w:t>
            </w:r>
            <w:proofErr w:type="spellStart"/>
            <w:r>
              <w:rPr>
                <w:rFonts w:ascii="Times New Roman" w:hAnsi="Times New Roman"/>
                <w:color w:val="auto"/>
                <w:sz w:val="24"/>
                <w:szCs w:val="24"/>
              </w:rPr>
              <w:t>pass</w:t>
            </w:r>
            <w:proofErr w:type="spellEnd"/>
            <w:r>
              <w:rPr>
                <w:rFonts w:ascii="Times New Roman" w:hAnsi="Times New Roman"/>
                <w:color w:val="auto"/>
                <w:sz w:val="24"/>
                <w:szCs w:val="24"/>
              </w:rPr>
              <w:t xml:space="preserve"> </w:t>
            </w:r>
            <w:proofErr w:type="spellStart"/>
            <w:r>
              <w:rPr>
                <w:rFonts w:ascii="Times New Roman" w:hAnsi="Times New Roman"/>
                <w:color w:val="auto"/>
                <w:sz w:val="24"/>
                <w:szCs w:val="24"/>
              </w:rPr>
              <w:t>through</w:t>
            </w:r>
            <w:proofErr w:type="spellEnd"/>
            <w:r>
              <w:rPr>
                <w:rFonts w:ascii="Times New Roman" w:hAnsi="Times New Roman"/>
                <w:color w:val="auto"/>
                <w:sz w:val="24"/>
                <w:szCs w:val="24"/>
              </w:rPr>
              <w:t xml:space="preserve">-støttelån til andre kreditinstitutter, når støttelånene er ydet af en enhed oprettet af centralregeringen eller de regionale eller lokale myndigheder i en medlemsstat gennem et mellemliggende kreditinstitut. </w:t>
            </w:r>
            <w:r>
              <w:rPr>
                <w:rFonts w:ascii="Times New Roman" w:hAnsi="Times New Roman"/>
                <w:sz w:val="24"/>
                <w:szCs w:val="24"/>
              </w:rPr>
              <w:t>De dele af eksponeringerne hos enhederne i et institut, der ikke behandles som et offentligt udviklingskreditinstitut af en kompetent myndighed i henhold til artikel 429a, stk. 2, sidste afsnit, skal også tages i betragtning.</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Det indberettede beløb skal også medtages i de relevante celler ovenfor, som om der ikke gjaldt nogen undtagelse.</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Fratrukket aktivbeløb — Kernekapital — Definition efter fuld indfasning</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t>Artikel 429a, stk. 1, litra b), og artikel 499, stk. 1, litra a), i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Omfatter alle justeringer, der specifikt vedrører værdien af et aktiv og kræves i henhold til:</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artikel 32 til 35 i CRR eller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artikel 36 til 47 i CRR eller</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artikel 56 til 60 i CRR.</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alt efter det enkelte tilfælde.</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tage hensyn til de undtagelser, alternativer og fravigelser fra sådanne fradrag, der er omhandlet i artikel 48, 49 og 79 i CRR, dog ikke til undtagelsesbestemmelserne i tiende del, afsnit I, kapitel 1, 2 og 4, i CRR. For at undgå dobbelttælling skal institutter hverken indberette justeringer, der allerede er anvendt i henhold til artikel 111 i CRR ved beregning af eksponeringsværdien i {0010;0010} til {0267;0010}, eller eventuelle justeringer, der ikke indebærer fradrag af værdien af et bestemt aktiv.</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Da disse beløb allerede er trukket fra kapitalmålet, reducerer de eksponeringsværdien bag gearingsgraden og skal indberettes som et negativt tal.</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proofErr w:type="gramStart"/>
            <w:r>
              <w:rPr>
                <w:rFonts w:ascii="Times New Roman" w:hAnsi="Times New Roman"/>
                <w:b/>
                <w:bCs/>
                <w:sz w:val="24"/>
                <w:szCs w:val="24"/>
              </w:rPr>
              <w:t>Fratrukket(</w:t>
            </w:r>
            <w:proofErr w:type="gramEnd"/>
            <w:r>
              <w:rPr>
                <w:rFonts w:ascii="Times New Roman" w:hAnsi="Times New Roman"/>
                <w:b/>
                <w:bCs/>
                <w:sz w:val="24"/>
                <w:szCs w:val="24"/>
              </w:rPr>
              <w:t>-) eller adderet (+) aktivbeløb — Kernekapital — overgangsdefinition</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szCs w:val="24"/>
              </w:rPr>
              <w:t>Artikel 429a, stk. 1, litra b), og artikel 499, stk. 1, litra a), i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omfatter alle justeringer, der justerer værdien af et aktiv og kræves i henhold til:</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artikel 32 til 35 i CRR eller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artikel 36 til 47 i CRR eller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artikel 56 til 60 i CRR.</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alt efter det enkelte tilfælde.</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Institutter skal tage hensyn til de undtagelser, alternativer og fravigelser vedrørende sådanne fradrag, der er omhandlet i artikel 48, 49 og 79 i CRR, men skal også tage hensyn til undtagelsesbestemmelserne i tiende del, afsnit I, kapitel 1, 2 og 4, i CRR. For at undgå dobbelttælling skal institutter hverken </w:t>
            </w:r>
            <w:r>
              <w:rPr>
                <w:rFonts w:ascii="Times New Roman" w:hAnsi="Times New Roman"/>
                <w:bCs/>
                <w:sz w:val="24"/>
                <w:szCs w:val="24"/>
              </w:rPr>
              <w:lastRenderedPageBreak/>
              <w:t>indberette justeringer, der allerede er anvendt i henhold til artikel 111 i CRR ved beregning af eksponeringsværdien i {0010;0010} til {0267;0010}, eller eventuelle justeringer, der ikke indebærer fradrag af værdien af et bestemt aktiv.</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Da disse beløb allerede er trukket fra kapitalmålet, reducerer de eksponeringsværdien bag gearingsgraden og skal indberettes som et negativt tal.</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sz w:val="24"/>
                <w:szCs w:val="24"/>
              </w:rPr>
              <w:t>I denne række skal institutter endvidere som en positiv værdi indberette de beløb, der igen skal lægges til eksponeringsmålet bag gearingsgraden i henhold til artikel 473a, stk. 7 og stk. 7a, i CRR.</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Samlet eksponeringsmål bag gearingsgraden — Definition af kernekapital efter fuld indfasning</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indberetter summen af alle rækker fra 0010 til 0267 og række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Samlet eksponeringsmål bag gearingsgraden — Overgangsdefinition af kernekapital</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indberetter summen af alle rækker fra 0010 til 0267 og række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Række og kolonne</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Kernekapital – Definition efter fuld indfasning</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 stk. 3, og artikel 499, stk. 1, litra a), i 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beløbet for kernekapitalen beregnet i overensstemmelse med artikel 25 i CRR uden hensyntagen til den undtagelse, der er omhandlet i tiende del, afsnit I, kapitel 1, 2 og 4, i CRR.</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Kernekapital – Overgangsdefinition</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 stk. 3, og artikel 499, stk. 1, litra b), i 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Dette er beløbet for kernekapitalen beregnet i overensstemmelse med artikel 25 i CRR efter hensyntagen til den undtagelse, der er omhandlet i tiende del, afsnit I, kapitel 1, 2 og 4, i CRR.</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Række og kolonne</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Gearingsgrad</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Gearingsgrad – Definition af kernekapital efter fuld indfasning</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 stk. 2, og artikel 499, stk. 1, i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Dette er gearingsgraden opgjort i overensstemmelse med dette bilags del II, punkt 4.</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Gearingsgrad – Overgangsdefinition af kernekapital</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429, stk. 2, og artikel 499, stk. 1, i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Dette er gearingsgraden opgjort i overensstemmelse med dette bilags del II, punkt 5.</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Række og kolonne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Krav: beløb</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Søjle 2-krav (P2R) til håndtering af risici for overdreven gearing</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Artikel 104 og 104a i CRD. </w:t>
            </w:r>
            <w:r>
              <w:rPr>
                <w:rFonts w:ascii="Times New Roman" w:hAnsi="Times New Roman"/>
                <w:sz w:val="24"/>
                <w:szCs w:val="24"/>
              </w:rPr>
              <w:t>Yderligere kapitalgrundlag, der kræves af den kompetente myndighed med henblik på håndtering af risici for overdreven gearing som omhandlet i artikel 104 i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heraf: i form af egentlig kernekapital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Den del af P2R, omhandlet i række 0350, som den kompetente myndighed kræver besiddelse af i form af egentlig kernekapital.</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G-SII-gearingsgradbuffer</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Artikel 92, stk. 1a, i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w:t>
            </w:r>
            <w:proofErr w:type="spellStart"/>
            <w:r>
              <w:rPr>
                <w:rFonts w:ascii="Times New Roman" w:hAnsi="Times New Roman"/>
                <w:bCs/>
                <w:color w:val="auto"/>
                <w:sz w:val="24"/>
                <w:szCs w:val="24"/>
              </w:rPr>
              <w:t>SII'er</w:t>
            </w:r>
            <w:proofErr w:type="spellEnd"/>
            <w:r>
              <w:rPr>
                <w:rFonts w:ascii="Times New Roman" w:hAnsi="Times New Roman"/>
                <w:bCs/>
                <w:color w:val="auto"/>
                <w:sz w:val="24"/>
                <w:szCs w:val="24"/>
              </w:rPr>
              <w:t xml:space="preserve"> skal indberette værdien af tillægget for gearingsgraden som fastsat i overensstemmelse med artikel 92, stk. 1a, i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w:t>
            </w:r>
            <w:proofErr w:type="spellStart"/>
            <w:r>
              <w:rPr>
                <w:rFonts w:ascii="Times New Roman" w:hAnsi="Times New Roman"/>
                <w:bCs/>
                <w:color w:val="auto"/>
                <w:sz w:val="24"/>
                <w:szCs w:val="24"/>
              </w:rPr>
              <w:t>SII'er</w:t>
            </w:r>
            <w:proofErr w:type="spellEnd"/>
            <w:r>
              <w:rPr>
                <w:rFonts w:ascii="Times New Roman" w:hAnsi="Times New Roman"/>
                <w:bCs/>
                <w:color w:val="auto"/>
                <w:sz w:val="24"/>
                <w:szCs w:val="24"/>
              </w:rPr>
              <w:t xml:space="preserve"> skal indberette dette beløb pr. anvendelsesdatoen for bufferen ifølge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Søjle 2-vejledning (P2G) til håndtering af risici for overdreven gearing</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Artikel 104b i CRD. Yderligere kapitalgrundlag, der meddeles af den kompetente myndighed med henblik på håndtering af risici for overdreven gearing som omhandlet i artikel 104b i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heraf: i form af egentlig kernekapital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Den del af P2G, omhandlet i række 0380, som den kompetente myndighed kræver besiddelse af i form af egentlig kernekapital.</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heraf: i form af kernekapital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Den del af P2G, omhandlet i række 0380, som den kompetente myndighed kræver besiddelse af i form af kernekapital.</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lastRenderedPageBreak/>
              <w:t>Række og kolonne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Krav: procentsatser</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Søjle 1-krav til gearingsgrad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Artikel 92, stk. 1, litra d), artikel 429a, stk. 7, og artikel 429a, stk. 1, litra n). Den gearingsgrad, der kræves med henblik på håndtering af risici for overdreven gearing som omhandlet i artikel 92, stk. 1, litra d), i 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szCs w:val="24"/>
              </w:rPr>
              <w:t>Institutter, der udelukker eksponeringer mod instituttets centralbank, jf. artikel 429a, stk. 1, litra n), skal indberette kravet om tilpasset gearingsgrad som fastsat i artikel 429a, stk. 7, i CRR.</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Samlet SREP-gearingsgradkrav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104 og 104a i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Summen af i) og ii) som følger:</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søjle 1-kravet til gearingsgrad som indberettet i række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szCs w:val="24"/>
              </w:rPr>
              <w:t>den yderligere kapitalgrundlagsprocent, der kræves af den kompetente myndighed (P2R) med henblik på håndtering af risici for overdreven gearing som omhandlet i artikel 104 i CRD.</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szCs w:val="24"/>
              </w:rPr>
              <w:t>Institutter beregner nr. ii) ved at dividere værdien i {0350;0010} med værdien i {0300;0010}.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Hvis den kompetente myndighed ikke har oplyst om nogen yderligere krav til kapitalgrundlag, er det kun nr. i), der skal indberettes.</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i form af egentlig kernekapital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Den del af den yderligere kapitalgrundlagsprocent, omhandlet i nr. ii) i række 0420, som den kompetente myndighed kræver besiddelse af i form af egentlig kernekapital.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szCs w:val="24"/>
              </w:rPr>
              <w:t>Institutter beregner denne værdi ved at dele værdien i {0360;0010} med værdien i {0300;0010}.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Sammenlagt SREP-gearingsgradkrav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92, stk. 1a, i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Summen af i) og ii) som følger:</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TSLRR i række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szCs w:val="24"/>
              </w:rPr>
              <w:lastRenderedPageBreak/>
              <w:t>G-SII-gearingsgradbufferen i overensstemmelse med artikel 92, stk. 1a, i CRR, udtrykt som en procentdel af den samlede eksponering bag gearingsgraden.</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szCs w:val="24"/>
              </w:rPr>
              <w:t>Institutter beregner nr. ii) ved at dividere værdien i {0370;0010} med værdien i {0300;0010}.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w:t>
            </w:r>
            <w:proofErr w:type="spellStart"/>
            <w:r>
              <w:rPr>
                <w:rFonts w:ascii="Times New Roman" w:hAnsi="Times New Roman"/>
                <w:bCs/>
                <w:color w:val="auto"/>
                <w:sz w:val="24"/>
                <w:szCs w:val="24"/>
              </w:rPr>
              <w:t>SII'er</w:t>
            </w:r>
            <w:proofErr w:type="spellEnd"/>
            <w:r>
              <w:rPr>
                <w:rFonts w:ascii="Times New Roman" w:hAnsi="Times New Roman"/>
                <w:bCs/>
                <w:color w:val="auto"/>
                <w:sz w:val="24"/>
                <w:szCs w:val="24"/>
              </w:rPr>
              <w:t xml:space="preserve"> skal kun tage højde for nr. ii) pr. datoen for anvendelse af bufferen ifølge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Hvis intet G-SII-tillæg finder anvendelse, indberettes kun nr.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Sammenlagt gearingsgradkrav (OLRR) og søjle 2-vejledning (P2G), i %</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104b i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Summen af i) og ii) som følger:</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OLRR i række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yderligere kapitalgrundlag, der meddeles af den kompetente myndighed med henblik på håndtering af risici for overdreven gearing som omhandlet i artikel 104b i CRD, udtrykt som en procentdel af den samlede eksponering bag gearingsgraden.</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szCs w:val="24"/>
              </w:rPr>
              <w:t>Institutter beregner nr. ii) ved at dividere værdien i {0380;0010} med værdien i {0300;0010}.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Hvis den kompetente myndighed ikke har oplyst om nogen P2G, er det kun nr. i), der skal indberettes.</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og P2G: i form af egentlig kernekapital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Summen af i) og ii) som følger:</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Den del af den yderligere kapitalgrundlagsprocent, som den kompetente myndighed kræver besiddelse af i form af egentlig kernekapital, som omhandlet i række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den del af P2G-andelen, omhandlet i nr. ii) i række 0450, som den kompetente myndighed kræver besiddelse af i form af egentlig kernekapital.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Institutter beregner nr. ii) ved at dividere værdien i {0390;0010} med værdien i {0300;0010}.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Hvis den kompetente myndighed ikke har oplyst om nogen P2G, er det kun nr. i), der skal indberettes.</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og P2G: i form af kernekapital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Summen af i), ii) og iii) som følger:</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Det samlede SREP-gearingsgradkrav, som omhandlet i række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G-SII-gearingsgradbufferen i overensstemmelse med artikel 92, stk. 1a, i CRR, udtrykt som en procentdel af den samlede eksponering bag gearingsgraden.</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den del af P2G-andelen, omhandlet i nr. ii) i række 0450, som den kompetente myndighed kræver besiddelse af i form af kernekapital.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Institutter beregner nr. ii) ved at dividere værdien i {0370;0010} med værdien i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szCs w:val="24"/>
              </w:rPr>
              <w:t>Institutter beregner nr. iii) ved at dividere værdien i {0400;0010} med værdien i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Hvis intet G-SII-tillæg finder anvendelse, indberettes kun nr. i) og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Hvis den kompetente myndighed ikke har oplyst om nogen P2G, er det kun nr. i) og ii), der skal indberettes.</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Række og kolonne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Memorandumposter</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Gearingsgrad, som om IFRS 9 eller tilsvarende overgangsordninger for forventede kredittab ikke var blevet anvendt</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473a, stk. 8, i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Institutter, der har besluttet at anvende de overgangsordninger, der er fastsat i artikel 473a i CRR, skal indberette den gearingsgrad, de ville have, hvis de ikke anvendte nævnte artikel.</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Gearingsgrad som om den midlertidige behandling af </w:t>
            </w:r>
            <w:proofErr w:type="spellStart"/>
            <w:r>
              <w:rPr>
                <w:rFonts w:ascii="Times New Roman" w:hAnsi="Times New Roman"/>
                <w:b/>
                <w:color w:val="auto"/>
                <w:sz w:val="24"/>
                <w:szCs w:val="24"/>
              </w:rPr>
              <w:t>urealiserede</w:t>
            </w:r>
            <w:proofErr w:type="spellEnd"/>
            <w:r>
              <w:rPr>
                <w:rFonts w:ascii="Times New Roman" w:hAnsi="Times New Roman"/>
                <w:b/>
                <w:color w:val="auto"/>
                <w:sz w:val="24"/>
                <w:szCs w:val="24"/>
              </w:rPr>
              <w:t xml:space="preserve"> gevinster og tab målt til dagsværdi gennem anden totalindkomst ikke var blevet anvendt</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Artikel 468, stk. 5, i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Institutter, der har besluttet at anvende den midlertidige behandling, der er fastsat i artikel 468, stk. 1, i CRR, skal indberette den gearingsgrad, de ville have, hvis de ikke anvendte nævnte behandling.</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9414286"/>
      <w:bookmarkStart w:id="54" w:name="_Toc423089071"/>
      <w:bookmarkStart w:id="55" w:name="_Toc57978225"/>
      <w:r>
        <w:rPr>
          <w:rFonts w:ascii="Times New Roman" w:hAnsi="Times New Roman"/>
          <w:b/>
          <w:sz w:val="24"/>
          <w:szCs w:val="24"/>
        </w:rPr>
        <w:t>4.</w:t>
      </w:r>
      <w:r>
        <w:tab/>
      </w:r>
      <w:bookmarkStart w:id="56" w:name="_Toc351048507"/>
      <w:bookmarkEnd w:id="49"/>
      <w:bookmarkEnd w:id="53"/>
      <w:bookmarkEnd w:id="56"/>
      <w:r>
        <w:rPr>
          <w:rFonts w:ascii="Times New Roman" w:hAnsi="Times New Roman"/>
          <w:b/>
          <w:sz w:val="24"/>
          <w:szCs w:val="24"/>
        </w:rPr>
        <w:t>C 40.00 — Alternativ behandling af eksponeringsmålet (LR1)</w:t>
      </w:r>
      <w:bookmarkEnd w:id="54"/>
      <w:bookmarkEnd w:id="55"/>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20.</w:t>
      </w:r>
      <w:r>
        <w:tab/>
      </w:r>
      <w:r>
        <w:rPr>
          <w:rFonts w:ascii="Times New Roman" w:hAnsi="Times New Roman"/>
          <w:sz w:val="24"/>
          <w:szCs w:val="24"/>
        </w:rPr>
        <w:t xml:space="preserve">I denne del af indberetningen indsamles data om alternativ behandling af derivater, </w:t>
      </w:r>
      <w:proofErr w:type="spellStart"/>
      <w:r>
        <w:rPr>
          <w:rFonts w:ascii="Times New Roman" w:hAnsi="Times New Roman"/>
          <w:sz w:val="24"/>
          <w:szCs w:val="24"/>
        </w:rPr>
        <w:t>SFT'er</w:t>
      </w:r>
      <w:proofErr w:type="spellEnd"/>
      <w:r>
        <w:rPr>
          <w:rFonts w:ascii="Times New Roman" w:hAnsi="Times New Roman"/>
          <w:sz w:val="24"/>
          <w:szCs w:val="24"/>
        </w:rPr>
        <w:t xml:space="preserve">, ikkebalanceførte poster, udelukkede offentlige investeringer og udelukkede eksponeringer mod støttelån.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Institutter skal beregne de "balanceførte regnskabsværdier" i LR1 ved hjælp af de gældende regnskabsregler, jf. artikel 4, stk. 1, nr. 77), i CRR. "Regnskabsværdi såfremt ingen </w:t>
      </w:r>
      <w:proofErr w:type="spellStart"/>
      <w:r>
        <w:rPr>
          <w:rFonts w:ascii="Times New Roman" w:hAnsi="Times New Roman"/>
          <w:sz w:val="24"/>
          <w:szCs w:val="24"/>
        </w:rPr>
        <w:t>netting</w:t>
      </w:r>
      <w:proofErr w:type="spellEnd"/>
      <w:r>
        <w:rPr>
          <w:rFonts w:ascii="Times New Roman" w:hAnsi="Times New Roman"/>
          <w:sz w:val="24"/>
          <w:szCs w:val="24"/>
        </w:rPr>
        <w:t xml:space="preserve"> eller anden kreditrisikoreduktion" er den balanceførte regnskabsværdi uden hensyntagen til virkningerne af </w:t>
      </w:r>
      <w:proofErr w:type="spellStart"/>
      <w:r>
        <w:rPr>
          <w:rFonts w:ascii="Times New Roman" w:hAnsi="Times New Roman"/>
          <w:sz w:val="24"/>
          <w:szCs w:val="24"/>
        </w:rPr>
        <w:t>netting</w:t>
      </w:r>
      <w:proofErr w:type="spellEnd"/>
      <w:r>
        <w:rPr>
          <w:rFonts w:ascii="Times New Roman" w:hAnsi="Times New Roman"/>
          <w:sz w:val="24"/>
          <w:szCs w:val="24"/>
        </w:rPr>
        <w:t xml:space="preserve"> eller anden kreditrisikoreduktion.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 xml:space="preserve">Institutter skal indberette LR1-poster, som om posterne med negativt fortegn i </w:t>
      </w:r>
      <w:proofErr w:type="spellStart"/>
      <w:r>
        <w:rPr>
          <w:rFonts w:ascii="Times New Roman" w:hAnsi="Times New Roman"/>
          <w:sz w:val="24"/>
          <w:szCs w:val="24"/>
        </w:rPr>
        <w:t>LRCalc</w:t>
      </w:r>
      <w:proofErr w:type="spellEnd"/>
      <w:r>
        <w:rPr>
          <w:rFonts w:ascii="Times New Roman" w:hAnsi="Times New Roman"/>
          <w:sz w:val="24"/>
          <w:szCs w:val="24"/>
        </w:rPr>
        <w:t>-skemaet (for eksempel undtagelser/fradrag) i overensstemmelse med tegnkonventionen i del I, punkt 9, i dette bilag, med undtagelse af række {270;0010} {0280;0010}, ikke gjaldt.</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{r</w:t>
      </w:r>
      <w:proofErr w:type="gramStart"/>
      <w:r>
        <w:rPr>
          <w:rFonts w:ascii="Times New Roman" w:hAnsi="Times New Roman"/>
          <w:sz w:val="24"/>
          <w:szCs w:val="24"/>
        </w:rPr>
        <w:t>0410;c</w:t>
      </w:r>
      <w:proofErr w:type="gramEnd"/>
      <w:r>
        <w:rPr>
          <w:rFonts w:ascii="Times New Roman" w:hAnsi="Times New Roman"/>
          <w:sz w:val="24"/>
          <w:szCs w:val="24"/>
        </w:rPr>
        <w:t>0010} i skema 40.00 skal kun indberettes:</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halvårligt af store institutter, som enten er G-</w:t>
      </w:r>
      <w:proofErr w:type="spellStart"/>
      <w:r>
        <w:rPr>
          <w:rFonts w:ascii="Times New Roman" w:hAnsi="Times New Roman"/>
          <w:sz w:val="24"/>
          <w:szCs w:val="24"/>
        </w:rPr>
        <w:t>SII'er</w:t>
      </w:r>
      <w:proofErr w:type="spellEnd"/>
      <w:r>
        <w:rPr>
          <w:rFonts w:ascii="Times New Roman" w:hAnsi="Times New Roman"/>
          <w:sz w:val="24"/>
          <w:szCs w:val="24"/>
        </w:rPr>
        <w:t xml:space="preserve">, eller som har udstedt værdipapirer, som er optaget til handel på et reguleret marked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årligt af store institutter, som ikke er G-</w:t>
      </w:r>
      <w:proofErr w:type="spellStart"/>
      <w:r>
        <w:rPr>
          <w:rFonts w:ascii="Times New Roman" w:hAnsi="Times New Roman"/>
          <w:sz w:val="24"/>
          <w:szCs w:val="24"/>
        </w:rPr>
        <w:t>SII'er</w:t>
      </w:r>
      <w:proofErr w:type="spellEnd"/>
      <w:r>
        <w:rPr>
          <w:rFonts w:ascii="Times New Roman" w:hAnsi="Times New Roman"/>
          <w:sz w:val="24"/>
          <w:szCs w:val="24"/>
        </w:rPr>
        <w:t>, og som er ikkebørsnoterede institutter</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årligt af andre institutter end store institutter og små og ikkekomplekse institutter, som har udstedt værdipapirer, som er optaget til handel på et reguleret marked.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Række og kolonne</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Henvisninger til retsakter og instrukser</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Derivater — Balanceført regnskabsværdi</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Dette er summen af {0020;010}, {0050;0010} og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Derivater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Dette er summen af {0020;0020}, {0050;0020} og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Derivater – Fiktiv værdi</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Dette er summen af {0020;0070}, {0050;0070} og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(solgt afdækning) – Balanceført regnskabsværdi</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Artikel 4, stk. 1, nr. 77), i CRR. Den balanceførte regnskabsværdi i henhold til de gældende regnskabsregler af kreditderivater, når instituttet sælger afdækning til en modpart, og kontrakten balanceføres som et aktiv.</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Kreditderivater (solgt afdækning)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 xml:space="preserve">Artikel 4, stk. 1, nr. 77), i CRR. Den balanceførte regnskabsværdi i henhold til de gældende regnskabsregler af kreditderivater, når instituttet sælger afdækning til en modpart, og kontrakten balanceføres som et aktiv uden hensyntagen til virkninger af forsigtighedsjusteringer,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anden risikoreduktion (dvs. at eventuelle virkninger af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risikoreduktion på den balanceførte regnskabsværdi skal tilbageføres).</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(solgt afdækning) – Fiktiv værdi</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Dette er summen af cellerne {0030;0070} og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(solgt afdækning) – Maksimal fiktiv værdi</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 denne celle skal institutter indberette den fiktive værdi knyttet til kreditderivaterne (solgt afdækning) som i {0020; 0070} efter fradrag af eventuelle ændringer af den negative dagsværdi, som er indregnet i kernekapitalen i forbindelse med det solgte kreditderivat.</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(solgt afdækning), som er underlagt en slutafregningsklausul — Fiktiv værdi</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indberette den fiktive værdi knyttet til kreditderivater, når instituttet sælger kreditafdækning til en modpart, der er underlagt en slutafregningsklausul.</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En slutafregningsklausul defineres som en klausul, der giver den ikkemisligholdende part ret til at opsige og foretage rettidig afregning af alle transaktioner, der er omfattet af aftalen, i tilfælde af misligholdelse, herunder i tilfælde af modpartens insolvens eller konkurs.</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tage hensyn til alle kreditderivater, ikke kun derivaterne i handelsbeholdningen.</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(solgt afdækning), som ikke er underlagt en slutafregningsklausul — Fiktiv værdi</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Institutter skal indberette den fiktive værdi knyttet til kreditderivater, når instituttet sælger kreditafdækning til en modpart, der ikke er underlagt en slutafregningsklausul.</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En slutafregningsklausul defineres som en klausul, der giver den ikkemisligholdende part ret til at opsige og foretage rettidig afregning af alle transaktioner, der er omfattet af aftalen, i tilfælde af misligholdelse, herunder i tilfælde af modpartens insolvens eller konkurs.</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 skal tage hensyn til alle kreditderivater, ikke kun derivaterne i handelsbeholdningen.</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(købt afdækning) – Balanceført regnskabsværdi</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 stk. 1, nr. 77), i CRR. Den balanceførte regnskabsværdi i henhold til de gældende regnskabsregler af kreditderivater, når instituttet køber afdækning af en modpart, og kontrakten balanceføres som et aktiv.</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 skal tage hensyn til alle kreditderivater, ikke kun derivaterne i handelsbeholdningen.</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Kreditderivater (købt afdækning)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Artikel 4, stk. 1, nr. 77), i CRR. Den balanceførte regnskabsværdi i henhold til de gældende regnskabsregler af kreditderivater, når instituttet køber afdækning af en modpart, og kontrakten balanceføres som et aktiv uden hensyntagen til virkninger af forsigtighedsjusteringer,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risikoreduktion (dvs. at eventuelle virkninger af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risikoreduktion på den balanceførte regnskabsværdi skal tilbageføres).</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 skal tage hensyn til alle kreditderivater, ikke kun derivaterne i handelsbeholdningen.</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(købt afdækning) – Fiktiv værdi</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Institutter skal indberette den fiktive værdi knyttet til kreditderivater, når instituttet køber kreditafdækning af en modpart.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 skal tage hensyn til alle kreditderivater, ikke kun derivaterne i handelsbeholdningen.</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(købt afdækning) – Maksimal fiktiv værdi</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indberette den fiktive værdi knyttet til kreditderivater (købt afdækning) som i {0050;0070} efter fradrag af eventuelle ændringer af den positive dagsværdi, som er indregnet i kernekapitalen i forbindelse med det købte kreditderivat.</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Kreditderivater (købt afdækning) – Maksimal fiktiv værdi (samme referencenavn)</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Institutter skal indberette den fiktive værdi knyttet til kreditderivater, når instituttet køber kreditafdækning for det samme underliggende referencenavn som de kreditderivater, der er udstedt af det indberettende institut.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Ved indberetningen af denne celleværdi betragtes de underliggende referencenavne som de samme, hvis de henviser til den samme retlige enhed og det samme niveau i rangordenen.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Kreditafdækning købt for en pulje af referenceenheder behandles som den samme, hvis denne afdækning økonomisk svarer til separat køb af afdækning for hvert af de individuelle navne i puljen.</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Hvis et institut køber kreditafdækning for en pulje af referencenavne, betragtes denne kreditafdækning kun som den samme, hvis den købte kreditafdækning dækker alle dele af puljen, for hvilken kreditafdækning er blevet solgt. Det betyder, at modregning kun anerkendes, når puljen af referenceenheder og niveauet i rangordenen er identiske.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For hvert referencenavn må de fiktive værdier af kreditafdækning, der tages højde for med henblik på indberetningen i denne celle, ikke overstige de beløb, der er indberettet i {0020;0075} og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Finansielle derivater – Balanceført regnskabsværdi</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 stk. 1, nr. 77), i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 skal indberette den balanceførte regnskabsværdi i henhold til de gældende regnskabsregler af kontrakter opført i bilag II til CRR, når kontrakterne balanceføres som aktiver.</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Finansielle derivater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Artikel 4, stk. 1, nr. 77), i CRR. Den balanceførte regnskabsværdi i henhold til de gældende regnskabsregler af kontrakter opført i bilag II til CRR, når kontrakterne balanceføres som aktiver uden hensyntagen til virkninger af forsigtighedsjusteringer,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anden risikoreduktion (dvs. at eventuelle virkninger af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risikoreduktion på den balanceførte regnskabsværdi skal tilbageføres).</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Finansielle derivater – Fiktiv værdi</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Denne celle skal omfatte den fiktive værdi knyttet til kontrakter opført i bilag II til CRR.</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Værdipapirfinansieringstransaktioner — Balanceført regnskabsværdi</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Artikel 4, stk. 1, nr. 77), i CRR. Den balanceførte regnskabsværdi af værdipapirfinansieringstransaktioner i henhold til de gældende regnskabsregler, når kontrakterne balanceføres som aktiver.</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dette i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Værdipapirfinansieringstransaktioner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Artikel 4, stk. 1, nr. 77), i CRR. Den balanceførte regnskabsværdi i henhold til de gældende regnskabsregler, når kontrakterne balanceføres som aktiver uden hensyntagen til virkninger af forsigtighedsjusteringer,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anden risikoreduktion (dvs. at eventuelle virkninger af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risikoreduktion på den balanceførte regnskabsværdi skal tilbageføres).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Hvis en SFT bogføres som regnskabsmæssigt salg i henhold til de gældende regnskabsregler, skal institutter tilbageføre alle salgsrelaterede regnskabsposter.</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i denne celle ikke medtage modtagne kontantbeløb eller værdipapirer, der leveres til en modpart via ovennævnte transaktioner, og som stadig balanceføres (dvs. at regnskabskriterierne for ophør af indregning ikke opfyldes). Institutter skal i stedet angive dette i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Andre aktiver – Balanceført regnskabsværdi</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Artikel 4, stk. 1, nr. 77), i CRR. Den balanceførte regnskabsværdi i henhold til de gældende regnskabsregler af alle andre aktiver end kontrakter opført i bilag II til CRR, kreditderivater og </w:t>
            </w:r>
            <w:proofErr w:type="spellStart"/>
            <w:r>
              <w:rPr>
                <w:rFonts w:ascii="Times New Roman" w:hAnsi="Times New Roman"/>
                <w:bCs/>
                <w:sz w:val="24"/>
                <w:szCs w:val="24"/>
              </w:rPr>
              <w:t>SFT'er</w:t>
            </w:r>
            <w:proofErr w:type="spellEnd"/>
            <w:r>
              <w:rPr>
                <w:rFonts w:ascii="Times New Roman" w:hAnsi="Times New Roman"/>
                <w:bCs/>
                <w:sz w:val="24"/>
                <w:szCs w:val="24"/>
              </w:rPr>
              <w: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Andre aktiver: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Artikel 4, stk. 1, nr. 77), i CRR. Den balanceførte regnskabsværdi i henhold til de gældende regnskabsregler af alle andre aktiver end kontrakter opført i bilag II til CRR, kreditderivater og </w:t>
            </w:r>
            <w:proofErr w:type="spellStart"/>
            <w:r>
              <w:rPr>
                <w:rFonts w:ascii="Times New Roman" w:hAnsi="Times New Roman"/>
                <w:bCs/>
                <w:sz w:val="24"/>
                <w:szCs w:val="24"/>
              </w:rPr>
              <w:t>SFT'er</w:t>
            </w:r>
            <w:proofErr w:type="spellEnd"/>
            <w:r>
              <w:rPr>
                <w:rFonts w:ascii="Times New Roman" w:hAnsi="Times New Roman"/>
                <w:bCs/>
                <w:sz w:val="24"/>
                <w:szCs w:val="24"/>
              </w:rPr>
              <w:t xml:space="preserve"> uden hensyntagen til virkninger af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anden risikoreduktion (dvs. at eventuelle virkninger af regnskabsmæssig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eller risikoreduktion på den balanceførte regnskabsværdi skal tilbageføres).</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Ikkebalanceførte poster</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 skal indberette den nominelle værdi af ikkebalanceførte poster. Justeringer af den specifikke kreditrisiko ikke må trækkes fra den nominelle værdi.</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Institutter skal i denne celle ikke angive kontrakter opført i bilag II til CRR, kreditderivater og </w:t>
            </w:r>
            <w:proofErr w:type="spellStart"/>
            <w:r>
              <w:rPr>
                <w:rFonts w:ascii="Times New Roman" w:hAnsi="Times New Roman"/>
                <w:bCs/>
                <w:sz w:val="24"/>
                <w:szCs w:val="24"/>
              </w:rPr>
              <w:t>SFT'er</w:t>
            </w:r>
            <w:proofErr w:type="spellEnd"/>
            <w:r>
              <w:rPr>
                <w:rFonts w:ascii="Times New Roman" w:hAnsi="Times New Roman"/>
                <w:bCs/>
                <w:sz w:val="24"/>
                <w:szCs w:val="24"/>
              </w:rPr>
              <w:t>, jf. artikel 429f, stk. 1, i CRR.</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Kontant sikkerhed modtaget i forbindelse med derivattransaktioner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Den balanceførte regnskabsværdi i henhold til de gældende regnskabsregler af kontant sikkerhed modtaget i forbindelse med derivattransaktioner uden hensyntagen til virkninger af regnskabsmæssig </w:t>
            </w:r>
            <w:proofErr w:type="spellStart"/>
            <w:r>
              <w:rPr>
                <w:rFonts w:ascii="Times New Roman" w:hAnsi="Times New Roman"/>
                <w:sz w:val="24"/>
                <w:szCs w:val="24"/>
              </w:rPr>
              <w:t>netting</w:t>
            </w:r>
            <w:proofErr w:type="spellEnd"/>
            <w:r>
              <w:rPr>
                <w:rFonts w:ascii="Times New Roman" w:hAnsi="Times New Roman"/>
                <w:sz w:val="24"/>
                <w:szCs w:val="24"/>
              </w:rPr>
              <w:t xml:space="preserve"> eller anden </w:t>
            </w:r>
            <w:r>
              <w:rPr>
                <w:rFonts w:ascii="Times New Roman" w:hAnsi="Times New Roman"/>
                <w:sz w:val="24"/>
                <w:szCs w:val="24"/>
              </w:rPr>
              <w:lastRenderedPageBreak/>
              <w:t xml:space="preserve">risikoreduktion (dvs. at eventuelle virkninger af regnskabsmæssig </w:t>
            </w:r>
            <w:proofErr w:type="spellStart"/>
            <w:r>
              <w:rPr>
                <w:rFonts w:ascii="Times New Roman" w:hAnsi="Times New Roman"/>
                <w:sz w:val="24"/>
                <w:szCs w:val="24"/>
              </w:rPr>
              <w:t>netting</w:t>
            </w:r>
            <w:proofErr w:type="spellEnd"/>
            <w:r>
              <w:rPr>
                <w:rFonts w:ascii="Times New Roman" w:hAnsi="Times New Roman"/>
                <w:sz w:val="24"/>
                <w:szCs w:val="24"/>
              </w:rPr>
              <w:t xml:space="preserve"> eller risikoreduktion på den balanceførte regnskabsværdi skal tilbageføres).</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I forbindelse med denne celle defineres kontanter som summen af alle kontanter, herunder mønter og pengesedler/valuta. Summen af alle indlån i centralbanker medtages, i det omfang disse indlån kan hæves i stresssituationer. Institutter skal ikke indberette indskud i kontanter placeret i andre institutter i denne celle.</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Fordringer vedrørende kontant sikkerhed stillet i forbindelse med derivattransaktioner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Den balanceførte regnskabsværdi i henhold til de gældende regnskabsregler af fordringer vedrørende kontant sikkerhed stillet i forbindelse med derivattransaktioner uden hensyntagen til virkninger af regnskabsmæssig </w:t>
            </w:r>
            <w:proofErr w:type="spellStart"/>
            <w:r>
              <w:rPr>
                <w:rFonts w:ascii="Times New Roman" w:hAnsi="Times New Roman"/>
                <w:sz w:val="24"/>
                <w:szCs w:val="24"/>
              </w:rPr>
              <w:t>netting</w:t>
            </w:r>
            <w:proofErr w:type="spellEnd"/>
            <w:r>
              <w:rPr>
                <w:rFonts w:ascii="Times New Roman" w:hAnsi="Times New Roman"/>
                <w:sz w:val="24"/>
                <w:szCs w:val="24"/>
              </w:rPr>
              <w:t xml:space="preserve"> eller risikoreduktion (dvs. at eventuelle virkninger af regnskabsmæssig </w:t>
            </w:r>
            <w:proofErr w:type="spellStart"/>
            <w:r>
              <w:rPr>
                <w:rFonts w:ascii="Times New Roman" w:hAnsi="Times New Roman"/>
                <w:sz w:val="24"/>
                <w:szCs w:val="24"/>
              </w:rPr>
              <w:t>netting</w:t>
            </w:r>
            <w:proofErr w:type="spellEnd"/>
            <w:r>
              <w:rPr>
                <w:rFonts w:ascii="Times New Roman" w:hAnsi="Times New Roman"/>
                <w:sz w:val="24"/>
                <w:szCs w:val="24"/>
              </w:rPr>
              <w:t xml:space="preserve"> eller risikoreduktion på den balanceførte regnskabsværdi skal tilbageføres).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Institutter, der i henhold til de gældende regnskabsregler kan modregne fordringer vedrørende kontant sikkerhed stillet i forbindelse med den tilknyttede derivatforpligtelse (negativ dagsværdi), og som vælger at gøre det, skal tilbageføre denne </w:t>
            </w:r>
            <w:proofErr w:type="spellStart"/>
            <w:r>
              <w:rPr>
                <w:rFonts w:ascii="Times New Roman" w:hAnsi="Times New Roman"/>
                <w:sz w:val="24"/>
                <w:szCs w:val="24"/>
              </w:rPr>
              <w:t>netting</w:t>
            </w:r>
            <w:proofErr w:type="spellEnd"/>
            <w:r>
              <w:rPr>
                <w:rFonts w:ascii="Times New Roman" w:hAnsi="Times New Roman"/>
                <w:sz w:val="24"/>
                <w:szCs w:val="24"/>
              </w:rPr>
              <w:t xml:space="preserve"> og indberette nettokontantfordringen.</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Værdipapirer modtaget i forbindelse med en SFT, der balanceføres som et aktiv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 xml:space="preserve">Den balanceførte regnskabsværdi i henhold til de gældende regnskabsregler af værdipapirer modtaget i forbindelse med en SFT, der i henhold til de gældende regnskabsregler balanceføres som et aktiv, uden hensyntagen til virkninger af regnskabsmæssig </w:t>
            </w:r>
            <w:proofErr w:type="spellStart"/>
            <w:r>
              <w:rPr>
                <w:rFonts w:ascii="Times New Roman" w:hAnsi="Times New Roman"/>
                <w:sz w:val="24"/>
                <w:szCs w:val="24"/>
              </w:rPr>
              <w:t>netting</w:t>
            </w:r>
            <w:proofErr w:type="spellEnd"/>
            <w:r>
              <w:rPr>
                <w:rFonts w:ascii="Times New Roman" w:hAnsi="Times New Roman"/>
                <w:sz w:val="24"/>
                <w:szCs w:val="24"/>
              </w:rPr>
              <w:t xml:space="preserve"> eller anden risikoreduktion (dvs. at eventuelle virkninger af regnskabsmæssig </w:t>
            </w:r>
            <w:proofErr w:type="spellStart"/>
            <w:r>
              <w:rPr>
                <w:rFonts w:ascii="Times New Roman" w:hAnsi="Times New Roman"/>
                <w:sz w:val="24"/>
                <w:szCs w:val="24"/>
              </w:rPr>
              <w:t>netting</w:t>
            </w:r>
            <w:proofErr w:type="spellEnd"/>
            <w:r>
              <w:rPr>
                <w:rFonts w:ascii="Times New Roman" w:hAnsi="Times New Roman"/>
                <w:sz w:val="24"/>
                <w:szCs w:val="24"/>
              </w:rPr>
              <w:t xml:space="preserve"> eller risikoreduktion på den balanceførte regnskabsværdi skal tilbageføres).</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SFT med kontant genudlån (kontantfordringer) – Regnskabsværdi såfremt ingen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eller anden kreditrisikoreduktion</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 xml:space="preserve">Den balanceførte regnskabsværdi i henhold til de gældende regnskabsregler af kontantfordringer vedrørende kontant genudlån til værdipapirejer i en kvalificeret genudlånstransaktion i kontanter uden hensyntagen til virkninger af regnskabsmæssig </w:t>
            </w:r>
            <w:proofErr w:type="spellStart"/>
            <w:r>
              <w:rPr>
                <w:rFonts w:ascii="Times New Roman" w:hAnsi="Times New Roman"/>
                <w:sz w:val="24"/>
                <w:szCs w:val="24"/>
              </w:rPr>
              <w:t>netting</w:t>
            </w:r>
            <w:proofErr w:type="spellEnd"/>
            <w:r>
              <w:rPr>
                <w:rFonts w:ascii="Times New Roman" w:hAnsi="Times New Roman"/>
                <w:sz w:val="24"/>
                <w:szCs w:val="24"/>
              </w:rPr>
              <w:t xml:space="preserve"> eller risikoreduktion (dvs. at eventuelle virkninger af regnskabsmæssig </w:t>
            </w:r>
            <w:proofErr w:type="spellStart"/>
            <w:r>
              <w:rPr>
                <w:rFonts w:ascii="Times New Roman" w:hAnsi="Times New Roman"/>
                <w:sz w:val="24"/>
                <w:szCs w:val="24"/>
              </w:rPr>
              <w:t>netting</w:t>
            </w:r>
            <w:proofErr w:type="spellEnd"/>
            <w:r>
              <w:rPr>
                <w:rFonts w:ascii="Times New Roman" w:hAnsi="Times New Roman"/>
                <w:sz w:val="24"/>
                <w:szCs w:val="24"/>
              </w:rPr>
              <w:t xml:space="preserve"> eller anden risikoreduktion på den balanceførte regnskabsværdi skal tilbageføres).</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 xml:space="preserve">I forbindelse med denne celle defineres kontanter som summen af alle kontanter, herunder mønter og pengesedler/valuta. Summen af alle indlån i centralbanker medtages, i det omfang disse indlån kan hæves i </w:t>
            </w:r>
            <w:r>
              <w:rPr>
                <w:rFonts w:ascii="Times New Roman" w:hAnsi="Times New Roman"/>
                <w:sz w:val="24"/>
                <w:szCs w:val="24"/>
              </w:rPr>
              <w:lastRenderedPageBreak/>
              <w:t>stresssituationer. Institutter skal ikke indberette indskud i kontanter placeret i andre institutter i denne celle.</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En kvalificeret genudlånstransaktion i kontanter defineres som en kombination af to transaktioner, hvor et institut låner værdipapirer fra værdipapirejeren og genudlåner værdipapirer til værdipapirlåntageren. Samtidig modtager instituttet kontant sikkerhed fra værdipapirlåntageren og genudlåner de modtagne kontanter til værdipapirejeren. En kvalificeret genudlånstransaktion i kontanter skal opfylde følgende betingelser:</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Begge de individuelle transaktioner, der udgør den kvalificerede genudlånstransaktion i kontanter, skal gennemføres på den samme handelsdag eller på sammenhængende bankdage i tilfælde af internationale transaktioner.</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Hvis der ikke er anført en løbetid for de omfattede transaktioner, har instituttet ret til når som helst og uden varsel at lukke en af delene af transaktionen, dvs. begge de omfattede transaktioner.</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Hvis der er anført en løbetid for de omfattede transaktioner, medfører transaktionen ikke uoverensstemmende løbetider for instituttet. Instituttet har ret til når som helst og uden varsel at lukke en af delene af transaktionen, dvs. begge de omfattede transaktioner.</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Den medfører andre forøgede eksponeringer.</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0"/>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Offentlige investeringer — Fordringer på centralregeringer — Balanceført regnskabsværdi</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Hvis instituttet er et offentligt udviklingskreditinstitut, den balanceførte regnskabsværdi i henhold til de gældende regnskabsregler af aktiver, der udgør fordringer på centralregeringer vedrørende offentlige investeringer.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 balanceførte regnskabsværdier i et institut, der behandles som et offentligt udviklingskreditinstitut af en kompetent myndighed i henhold til artikel 429a, stk. 2, sidste afsnit, skal også tages i betragtning.</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Offentlige investeringer — Fordringer på regionale myndigheder — Balanceført regnskabsværdi</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Hvis instituttet er et offentligt udviklingskreditinstitut, den balanceførte regnskabsværdi i henhold til de gældende regnskabsregler af aktiver, der udgør fordringer på regionale myndigheder vedrørende offentlige investeringer.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balanceførte regnskabsværdier i et institut, der behandles som et offentligt udviklingskreditinstitut af en kompetent myndighed i henhold til artikel 429a, stk. 2, sidste afsnit, skal også tages i betragtning.</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Offentlige investeringer — Fordringer på lokale myndigheder — Balanceført regnskabsværdi</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balanceførte regnskabsværdi i henhold til de gældende regnskabsregler af aktiver, der udgør fordringer på lokale myndigheder vedrørende offentlige investeringer.</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balanceførte regnskabsværdier i et institut, der behandles som et offentligt udviklingskreditinstitut af en kompetent myndighed i henhold til artikel 429a, stk. 2, sidste afsnit, skal også tages i betragtning.</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Offentlige investeringer — Fordringer på offentlige enheder — Balanceført regnskabsværdi</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balanceførte regnskabsværdi i henhold til de gældende regnskabsregler af aktiver, der udgør fordringer på offentlige enheder vedrørende offentlige investeringer.</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balanceførte regnskabsværdier i enheden i et institut, der behandles som et offentligt udviklingskreditinstitut af en kompetent myndighed i henhold til artikel 429a, stk. 2, sidste afsnit, skal også tages i betragtning.</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Støttelån — Fordringer på centralregeringer — Balanceført regnskabsværdi</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Hvis instituttet er et offentligt udviklingskreditinstitut, den balanceførte regnskabsværdi i henhold til de gældende regnskabsregler af aktiver, der udgør fordringer på centralregeringer vedrørende støttelån.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balanceførte regnskabsværdier i en enhed i et institut, der behandles som et offentligt udviklingskreditinstitut af en kompetent myndighed i henhold til artikel 429a, stk. 2, sidste afsnit, skal også tages i betragtning.</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Støttelån — Fordringer på centralregeringer — Fiktiv værdi/nominel værdi</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nominelle værdi af ikkebalanceførte poster vedrørende den uudnyttede del af støttelån ydet til centralregeringer.</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De nominelle værdier i en enhed i et institut, der behandles som et offentligt udviklingskreditinstitut af en kompetent myndighed i henhold til artikel 429a, stk. 2, sidste afsnit, skal også tages i betragtning.</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Støttelån — Fordringer på regionale myndigheder— Balanceført regnskabsværdi</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balanceførte regnskabsværdi i henhold til de gældende regnskabsregler af aktiver, der udgør fordringer på regionale myndigheder vedrørende støttelån.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lastRenderedPageBreak/>
              <w:t>De balanceførte regnskabsværdier i enheden i et institut, der behandles som et offentligt udviklingskreditinstitut af en kompetent myndighed i henhold til artikel 429a, stk. 2, sidste afsnit, skal også tages i betragtning.</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lastRenderedPageBreak/>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Støttelån — Fordringer på regionale myndigheder — Fiktiv værdi/nominel værdi</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nominelle værdi af ikkebalanceførte poster vedrørende den uudnyttede del af støttelån ydet til regionale myndigheder.</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nominelle værdier i en enhed i et institut, der behandles som et offentligt udviklingskreditinstitut af en kompetent myndighed i henhold til artikel 429a, stk. 2, sidste afsnit, skal også tages i betragtning.</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Støttelån — Fordringer på lokale myndigheder— Balanceført regnskabsværdi</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balanceførte regnskabsværdi i henhold til de gældende regnskabsregler af aktiver, der udgør fordringer på lokale myndigheder vedrørende støttelån.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balanceførte regnskabsværdier i enheden i et institut, der behandles som et offentligt udviklingskreditinstitut af en kompetent myndighed i henhold til artikel 429a, stk. 2, sidste afsnit, skal også tages i betragtning.</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Støttelån — Fordringer på lokale myndigheder — Fiktiv værdi/nominel værdi</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nominelle værdi af ikkebalanceførte poster vedrørende den uudnyttede del af støttelån ydet til lokale myndigheder.</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De nominelle værdier i en enhed i et institut, der behandles som et offentligt udviklingskreditinstitut af en kompetent myndighed i henhold til artikel 429a, stk. 2, sidste afsnit, skal også tages i betragtning.</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Støttelån — Fordringer på offentlige enheder — Balanceført regnskabsværdi</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balanceførte regnskabsværdi i henhold til de gældende regnskabsregler af aktiver, der udgør fordringer på offentlige enheder vedrørende støttelån.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 balanceførte regnskabsværdier i enheden i et institut, der behandles som et offentligt udviklingskreditinstitut af en kompetent myndighed i henhold til artikel 429a, stk. 2, sidste afsnit, skal også tages i betragtning.</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Støttelån — Fordringer på offentlige enheder — Fiktiv værdi/nominel værdi</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nominelle værdi af ikkebalanceførte poster vedrørende den uudnyttede del af støttelån ydet til offentlige enheder.</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nominelle værdier i en enhed i et institut, der behandles som et offentligt udviklingskreditinstitut af en kompetent myndighed i henhold til artikel 429a, stk. 2, sidste afsnit, skal også tages i betragtning.</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Støttelån — Fordringer på ikkefinansielle selskaber — Balanceført regnskabsværdi</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balanceførte regnskabsværdi i henhold til de gældende regnskabsregler af aktiver, der udgør fordringer på ikkefinansielle selskaber vedrørende støttelån.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balanceførte regnskabsværdier i enheden i et institut, der behandles som et offentligt udviklingskreditinstitut af en kompetent myndighed i henhold til artikel 429a, stk. 2, sidste afsnit, skal også tages i betragtning.</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Støttelån — Fordringer på ikkefinansielle selskaber — Fiktiv værdi/nominel værdi</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nominelle værdi af ikkebalanceførte poster vedrørende den uudnyttede del af støttelån ydet til ikkefinansielle selskaber.</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nominelle værdier i en enhed i et institut, der behandles som et offentligt udviklingskreditinstitut af en kompetent myndighed i henhold til artikel 429a, stk. 2, sidste afsnit, skal også tages i betragtning.</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Støttelån — Fordringer på husholdninger — Balanceført regnskabsværdi</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balanceførte regnskabsværdi i henhold til de gældende regnskabsregler af aktiver, der udgør fordringer på husholdninger vedrørende støttelån.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balanceførte regnskabsværdier i enheden i et institut, der behandles som et offentligt udviklingskreditinstitut af en kompetent myndighed i henhold til artikel 429a, stk. 2, sidste afsnit, skal også tages i betragtning.</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Støttelån — Fordringer på husholdninger — Fiktiv værdi/nominel værdi</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Hvis instituttet er et offentligt udviklingskreditinstitut, den nominelle værdi af ikkebalanceførte poster vedrørende den uudnyttede del af støttelån ydet til husholdninger.</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De nominelle værdier i en enhed i et institut, der behandles som et offentligt udviklingskreditinstitut af en kompetent myndighed i henhold til artikel 429a, stk. 2, sidste afsnit, skal også tages i betragtning.</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Støttelån — </w:t>
            </w:r>
            <w:proofErr w:type="spellStart"/>
            <w:r>
              <w:rPr>
                <w:rFonts w:ascii="Times New Roman" w:hAnsi="Times New Roman"/>
                <w:b/>
                <w:bCs/>
                <w:sz w:val="24"/>
                <w:szCs w:val="24"/>
              </w:rPr>
              <w:t>Pass</w:t>
            </w:r>
            <w:proofErr w:type="spellEnd"/>
            <w:r>
              <w:rPr>
                <w:rFonts w:ascii="Times New Roman" w:hAnsi="Times New Roman"/>
                <w:b/>
                <w:bCs/>
                <w:sz w:val="24"/>
                <w:szCs w:val="24"/>
              </w:rPr>
              <w:t xml:space="preserve"> </w:t>
            </w:r>
            <w:proofErr w:type="spellStart"/>
            <w:r>
              <w:rPr>
                <w:rFonts w:ascii="Times New Roman" w:hAnsi="Times New Roman"/>
                <w:b/>
                <w:bCs/>
                <w:sz w:val="24"/>
                <w:szCs w:val="24"/>
              </w:rPr>
              <w:t>through</w:t>
            </w:r>
            <w:proofErr w:type="spellEnd"/>
            <w:r>
              <w:rPr>
                <w:rFonts w:ascii="Times New Roman" w:hAnsi="Times New Roman"/>
                <w:b/>
                <w:bCs/>
                <w:sz w:val="24"/>
                <w:szCs w:val="24"/>
              </w:rPr>
              <w:t xml:space="preserve"> — Balanceført regnskabsværdi</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 xml:space="preserve">Hvis instituttet er et offentligt udviklingskreditinstitut, den balanceførte regnskabsværdi i henhold til de gældende regnskabsregler af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-støttelån, når støttelånene ikke er ydet af instituttet selv.</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balanceførte regnskabsværdier i enheden i et institut, der behandles som et offentligt udviklingskreditinstitut af en kompetent myndighed i henhold til artikel 429a, stk. 2, sidste afsnit, skal også tages i betragtning.</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Støttelån — </w:t>
            </w:r>
            <w:proofErr w:type="spellStart"/>
            <w:r>
              <w:rPr>
                <w:rFonts w:ascii="Times New Roman" w:hAnsi="Times New Roman"/>
                <w:b/>
                <w:bCs/>
                <w:sz w:val="24"/>
                <w:szCs w:val="24"/>
              </w:rPr>
              <w:t>Pass</w:t>
            </w:r>
            <w:proofErr w:type="spellEnd"/>
            <w:r>
              <w:rPr>
                <w:rFonts w:ascii="Times New Roman" w:hAnsi="Times New Roman"/>
                <w:b/>
                <w:bCs/>
                <w:sz w:val="24"/>
                <w:szCs w:val="24"/>
              </w:rPr>
              <w:t xml:space="preserve"> </w:t>
            </w:r>
            <w:proofErr w:type="spellStart"/>
            <w:r>
              <w:rPr>
                <w:rFonts w:ascii="Times New Roman" w:hAnsi="Times New Roman"/>
                <w:b/>
                <w:bCs/>
                <w:sz w:val="24"/>
                <w:szCs w:val="24"/>
              </w:rPr>
              <w:t>through</w:t>
            </w:r>
            <w:proofErr w:type="spellEnd"/>
            <w:r>
              <w:rPr>
                <w:rFonts w:ascii="Times New Roman" w:hAnsi="Times New Roman"/>
                <w:b/>
                <w:bCs/>
                <w:sz w:val="24"/>
                <w:szCs w:val="24"/>
              </w:rPr>
              <w:t xml:space="preserve"> — Fiktiv værdi/nominel værdi</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 xml:space="preserve">Hvis instituttet er et offentligt udviklingskreditinstitut, den nominelle værdi af ikkebalanceførte poster vedrørende den uudnyttede del af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-støttelån, når støttelånene ikke er ydet af instituttet selv.</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De nominelle værdier i en enhed i et institut, der behandles som et offentligt udviklingskreditinstitut af en kompetent myndighed i henhold til artikel 429a, stk. 2, sidste afsnit, skal også tages i betragtning.</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Eksponeringer mod centralbanker — Balanceført regnskabsværdi</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 henhold til de gældende regnskabsregler skal institutter indberette værdien af følgende eksponeringer mod instituttets centralbank: i) mønter og sedler, der udgør lovlig valuta i centralbankens jurisdiktion, ii) aktiver, der udgør fordringer på centralbanken, herunder reserver i centralbanken.</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Institutter skal kun medtage eksponeringer, der opfylder begge følgende betingelser: a) de er denomineret i den samme valuta som de indskud, der modtages af instituttet, b) deres gennemsnitlige løbetid overstiger ikke væsentligt den gennemsnitlige løbetid for de indskud, der modtages af instituttet.</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Institutter skal indberette disse eksponeringer uanset om de er undtaget fra det samlede eksponeringsmål i henhold til artikel 429a, stk. 5 og 6, i CRR.</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Den værdi af eksponeringer mod centralbanker, der anvendes ved beregningen af kravet om tilpasset gearingsgrad som omhandlet i artikel 429a, stk. 7, i CRR — Eksponeringsværdi bag gearingsgrad</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Den samlede daglige gennemsnitlige værdi af instituttets eksponeringer mod dets centralbank, beregnet over den fulde reservekravsperiode for centralbanken umiddelbart inden datoen omhandlet i artikel 429a, stk. 5, litra c), som kan udelukkes i overensstemmelse med artikel 429a, stk. 1, litra n), i CRR.</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Det eksponeringsmål bag gearingsgraden, der anvendes ved beregningen af kravet om tilpasset gearingsgrad som omhandlet i artikel 429a, stk. 7, i CRR — Eksponeringsværdi bag gearingsgrad</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Instituttets samlede eksponeringsmål som fastlagt i artikel 429, stk. 4, i CRR, herunder eventuelle eksponeringer, der er udelukkede i overensstemmelse med artikel 429, stk. 1, litra n), på den dato, der er omhandlet i artikel 429a, stk. 5, litra c).</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Aktiver i alt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 denne post skal institutter indberette de samlede aktiver i henhold til den konsolidering, der anvendes i de offentliggjorte regnskaber.</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57978226"/>
      <w:bookmarkEnd w:id="57"/>
      <w:bookmarkEnd w:id="65"/>
      <w:bookmarkEnd w:id="66"/>
      <w:bookmarkEnd w:id="67"/>
      <w:r>
        <w:rPr>
          <w:rFonts w:ascii="Times New Roman" w:hAnsi="Times New Roman"/>
          <w:b/>
          <w:sz w:val="24"/>
          <w:szCs w:val="24"/>
        </w:rPr>
        <w:t>5.</w:t>
      </w:r>
      <w:r>
        <w:tab/>
      </w:r>
      <w:r>
        <w:rPr>
          <w:rFonts w:ascii="Times New Roman" w:hAnsi="Times New Roman"/>
          <w:b/>
          <w:sz w:val="24"/>
          <w:szCs w:val="24"/>
        </w:rPr>
        <w:t>C 43.00 — Alternativ opdeling af komponenter af eksponeringsmålet bag gearingsgraden (LR4)</w:t>
      </w:r>
      <w:bookmarkEnd w:id="68"/>
      <w:bookmarkEnd w:id="69"/>
      <w:bookmarkEnd w:id="70"/>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 xml:space="preserve">Institutter skal indberette eksponeringsværdierne bag gearingsgraden i LR4 efter anvendelse af undtagelserne og fradragene i </w:t>
      </w:r>
      <w:proofErr w:type="spellStart"/>
      <w:r>
        <w:rPr>
          <w:rFonts w:ascii="Times New Roman" w:hAnsi="Times New Roman"/>
          <w:sz w:val="24"/>
          <w:szCs w:val="24"/>
        </w:rPr>
        <w:t>LRCalc</w:t>
      </w:r>
      <w:proofErr w:type="spellEnd"/>
      <w:r>
        <w:rPr>
          <w:rFonts w:ascii="Times New Roman" w:hAnsi="Times New Roman"/>
          <w:sz w:val="24"/>
          <w:szCs w:val="24"/>
        </w:rPr>
        <w:t>-skemaet, dvs. poster med negativt fortegn i overensstemmelse med tegnkonventionen i del I, punkt 9, i dette bilag, bortset fra række {0270;0010} og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For at undgå dobbelttælling skal institutter iagttage følgende ligning:</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 xml:space="preserve">Summen af alle rækker fra {0010; 0010} til {0267;0010} i </w:t>
      </w:r>
      <w:proofErr w:type="spellStart"/>
      <w:r>
        <w:rPr>
          <w:rFonts w:ascii="Times New Roman" w:hAnsi="Times New Roman"/>
          <w:sz w:val="24"/>
          <w:szCs w:val="24"/>
        </w:rPr>
        <w:t>LRCalc</w:t>
      </w:r>
      <w:proofErr w:type="spellEnd"/>
      <w:r>
        <w:rPr>
          <w:rFonts w:ascii="Times New Roman" w:hAnsi="Times New Roman"/>
          <w:sz w:val="24"/>
          <w:szCs w:val="24"/>
        </w:rPr>
        <w:t>-skemaet skal være lig med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For at bevare sammenhængen med eksponeringsværdierne bag gearingsgraden skal de risikovægtede eksponeringer også indberettes efter fuld indfasning.</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Institutter skal indberette modparten i forbindelse med risikovægtede eksponeringer efter kreditrisikoreduktionsteknikker og substitutionsvirkninger deraf. Institutter skal indberette modparten i forbindelse med eksponeringsværdien bag gearingsgraden i overensstemmelse med den oprindelige modpart, dvs. uden at tage højde for kreditrisikoreduktionsteknikker eller substitutionsvirkninger, der er relevante for risikovægtede eksponeringer.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Række og kolonne</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Henvisninger til retsakter og instrukser</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Ikkebalanceførte poster — Eksponeringsværdi bag gearingsgraden</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bag gearingsgraden beregnet som summen af {LRCalc;0150;0010}, {LRCalc;0160;0010}, {LRCalc;0170;0010} og {LRCalc;0180;0010} eksklusive de respektive koncerninterne eksponeringer (individuelt grundlag), som er undtaget i henhold til artikel 429a, stk. 1, litra c).</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Ikkebalanceførte poster — risikovægtede eksponeringer</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Den risikovægtede eksponeringsværdi af ikkebalanceførte poster — ekskl. </w:t>
            </w:r>
            <w:proofErr w:type="spellStart"/>
            <w:r>
              <w:rPr>
                <w:rFonts w:ascii="Times New Roman" w:hAnsi="Times New Roman"/>
                <w:bCs/>
                <w:sz w:val="24"/>
                <w:szCs w:val="24"/>
              </w:rPr>
              <w:t>SFT'er</w:t>
            </w:r>
            <w:proofErr w:type="spellEnd"/>
            <w:r>
              <w:rPr>
                <w:rFonts w:ascii="Times New Roman" w:hAnsi="Times New Roman"/>
                <w:bCs/>
                <w:sz w:val="24"/>
                <w:szCs w:val="24"/>
              </w:rPr>
              <w:t xml:space="preserve"> og derivater – i overensstemmelse med standardmetoden og IRB-metoden. </w:t>
            </w:r>
            <w:r>
              <w:rPr>
                <w:rFonts w:ascii="Times New Roman" w:hAnsi="Times New Roman"/>
                <w:sz w:val="24"/>
                <w:szCs w:val="24"/>
              </w:rPr>
              <w:t>I forbindelse med eksponeringer opgjort i henhold til standardmetoden skal institutter beregne de risikovægtede eksponeringer i overensstemmelse med tredje del, afsnit II, kapitel 2, i CRR.</w:t>
            </w:r>
            <w:r>
              <w:rPr>
                <w:rFonts w:ascii="Times New Roman" w:hAnsi="Times New Roman"/>
                <w:bCs/>
                <w:sz w:val="24"/>
                <w:szCs w:val="24"/>
              </w:rPr>
              <w:t xml:space="preserve"> </w:t>
            </w:r>
            <w:r>
              <w:rPr>
                <w:rFonts w:ascii="Times New Roman" w:hAnsi="Times New Roman"/>
                <w:sz w:val="24"/>
                <w:szCs w:val="24"/>
              </w:rPr>
              <w:t>I forbindelse med eksponeringer opgjort i henhold til IRB-metoden skal institutter beregne de risikovægtede eksponeringer i overensstemmelse med tredje del, afsnit II, kapitel 3, i 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szCs w:val="24"/>
              </w:rPr>
              <w:t>heraf: Handelsfinansiering — Eksponeringsværdi bag gearingsgraden</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ikkebalanceførte poster vedrørende handelsfinansiering.</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Med henblik på indberetning i LR4 skal ikkebalanceførte poster vedrørende handelsfinansiering omhandle udstedte og bekræftede import- og eksportremburser, som er kortfristede og selvlikviderende transaktioner, samt lignende transaktioner.</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heraf: Handelsfinansiering — Risikovægtede eksponeringer</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Den risikovægtede eksponeringsværdi af ikkebalanceførte poster – ekskl. </w:t>
            </w:r>
            <w:proofErr w:type="spellStart"/>
            <w:r>
              <w:rPr>
                <w:rFonts w:ascii="Times New Roman" w:hAnsi="Times New Roman"/>
                <w:bCs/>
                <w:sz w:val="24"/>
                <w:szCs w:val="24"/>
              </w:rPr>
              <w:t>SFT'er</w:t>
            </w:r>
            <w:proofErr w:type="spellEnd"/>
            <w:r>
              <w:rPr>
                <w:rFonts w:ascii="Times New Roman" w:hAnsi="Times New Roman"/>
                <w:bCs/>
                <w:sz w:val="24"/>
                <w:szCs w:val="24"/>
              </w:rPr>
              <w:t xml:space="preserve"> og derivater – vedrørende handelsfinansiering.</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Med henblik på indberetning i LR4 skal ikkebalanceførte poster vedrørende handelsfinansiering omhandle udstedte og bekræftede import- og eksportremburser, som er kortfristede og selvlikviderende transaktioner, samt lignende transaktioner.</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szCs w:val="24"/>
              </w:rPr>
              <w:t>heraf: I henhold til en officiel eksportkreditforsikringsordning — Eksponeringsværdi bag gearingsgraden</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Eksponeringsværdien bag gearingsgraden af ikkebalanceførte poster vedrørende handelsfinansiering i henhold til en officiel eksportkreditforsikringsordning.</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w:t>
            </w:r>
            <w:r>
              <w:rPr>
                <w:rFonts w:ascii="Times New Roman" w:hAnsi="Times New Roman"/>
                <w:sz w:val="24"/>
                <w:szCs w:val="24"/>
              </w:rPr>
              <w:lastRenderedPageBreak/>
              <w:t>garanteres i kredittens løbetid), bistandsfinansiering (kreditter og tilskud), eksportkreditforsikring og garantier.</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heraf: i henhold til officiel eksportkreditforsikringsordning — Risikovægtede eksponeringer</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Den risikovægtede eksponeringsværdi af ikkebalanceførte poster – undtagen </w:t>
            </w:r>
            <w:proofErr w:type="spellStart"/>
            <w:r>
              <w:rPr>
                <w:rFonts w:ascii="Times New Roman" w:hAnsi="Times New Roman"/>
                <w:sz w:val="24"/>
                <w:szCs w:val="24"/>
              </w:rPr>
              <w:t>SFT'er</w:t>
            </w:r>
            <w:proofErr w:type="spellEnd"/>
            <w:r>
              <w:rPr>
                <w:rFonts w:ascii="Times New Roman" w:hAnsi="Times New Roman"/>
                <w:sz w:val="24"/>
                <w:szCs w:val="24"/>
              </w:rPr>
              <w:t xml:space="preserve"> og derivater – vedrørende handelsfinansiering i henhold til en officiel eksportkreditforsikringsordning.</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Derivater og </w:t>
            </w:r>
            <w:proofErr w:type="spellStart"/>
            <w:r>
              <w:rPr>
                <w:rFonts w:ascii="Times New Roman" w:hAnsi="Times New Roman"/>
                <w:b/>
                <w:sz w:val="24"/>
                <w:szCs w:val="24"/>
              </w:rPr>
              <w:t>SFT'er</w:t>
            </w:r>
            <w:proofErr w:type="spellEnd"/>
            <w:r>
              <w:rPr>
                <w:rFonts w:ascii="Times New Roman" w:hAnsi="Times New Roman"/>
                <w:b/>
                <w:sz w:val="24"/>
                <w:szCs w:val="24"/>
              </w:rPr>
              <w:t xml:space="preserve"> omfattet af en aftale om </w:t>
            </w:r>
            <w:proofErr w:type="spellStart"/>
            <w:r>
              <w:rPr>
                <w:rFonts w:ascii="Times New Roman" w:hAnsi="Times New Roman"/>
                <w:b/>
                <w:sz w:val="24"/>
                <w:szCs w:val="24"/>
              </w:rPr>
              <w:t>netting</w:t>
            </w:r>
            <w:proofErr w:type="spellEnd"/>
            <w:r>
              <w:rPr>
                <w:rFonts w:ascii="Times New Roman" w:hAnsi="Times New Roman"/>
                <w:b/>
                <w:sz w:val="24"/>
                <w:szCs w:val="24"/>
              </w:rPr>
              <w:t xml:space="preserve"> på tværs af produkter – Eksponeringsværdi bag gearingsgraden</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Eksponeringsværdien bag gearingsgraden af derivater og </w:t>
            </w:r>
            <w:proofErr w:type="spellStart"/>
            <w:r>
              <w:rPr>
                <w:rFonts w:ascii="Times New Roman" w:hAnsi="Times New Roman"/>
                <w:bCs/>
                <w:sz w:val="24"/>
                <w:szCs w:val="24"/>
              </w:rPr>
              <w:t>SFT'er</w:t>
            </w:r>
            <w:proofErr w:type="spellEnd"/>
            <w:r>
              <w:rPr>
                <w:rFonts w:ascii="Times New Roman" w:hAnsi="Times New Roman"/>
                <w:bCs/>
                <w:sz w:val="24"/>
                <w:szCs w:val="24"/>
              </w:rPr>
              <w:t xml:space="preserve">, hvis de er omfattet af en aftale om </w:t>
            </w:r>
            <w:proofErr w:type="spellStart"/>
            <w:r>
              <w:rPr>
                <w:rFonts w:ascii="Times New Roman" w:hAnsi="Times New Roman"/>
                <w:bCs/>
                <w:sz w:val="24"/>
                <w:szCs w:val="24"/>
              </w:rPr>
              <w:t>netting</w:t>
            </w:r>
            <w:proofErr w:type="spellEnd"/>
            <w:r>
              <w:rPr>
                <w:rFonts w:ascii="Times New Roman" w:hAnsi="Times New Roman"/>
                <w:bCs/>
                <w:sz w:val="24"/>
                <w:szCs w:val="24"/>
              </w:rPr>
              <w:t xml:space="preserve"> på tværs af produkter som defineret i artikel 272, nr. 25), i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Derivater og </w:t>
            </w:r>
            <w:proofErr w:type="spellStart"/>
            <w:r>
              <w:rPr>
                <w:rFonts w:ascii="Times New Roman" w:hAnsi="Times New Roman"/>
                <w:b/>
                <w:bCs/>
                <w:sz w:val="24"/>
                <w:szCs w:val="24"/>
              </w:rPr>
              <w:t>SFT'er</w:t>
            </w:r>
            <w:proofErr w:type="spellEnd"/>
            <w:r>
              <w:rPr>
                <w:rFonts w:ascii="Times New Roman" w:hAnsi="Times New Roman"/>
                <w:b/>
                <w:bCs/>
                <w:sz w:val="24"/>
                <w:szCs w:val="24"/>
              </w:rPr>
              <w:t xml:space="preserve"> omfattet af en aftale om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på tværs af produkter – Risikovægtede eksponeringer</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 risikovægtede eksponeringer mod kredit- og modpartskreditrisici opgjort i henhold til tredje del, afsnit II, i CRR for derivater og </w:t>
            </w:r>
            <w:proofErr w:type="spellStart"/>
            <w:r>
              <w:rPr>
                <w:rFonts w:ascii="Times New Roman" w:hAnsi="Times New Roman"/>
                <w:sz w:val="24"/>
                <w:szCs w:val="24"/>
              </w:rPr>
              <w:t>SFT'er</w:t>
            </w:r>
            <w:proofErr w:type="spellEnd"/>
            <w:r>
              <w:rPr>
                <w:rFonts w:ascii="Times New Roman" w:hAnsi="Times New Roman"/>
                <w:sz w:val="24"/>
                <w:szCs w:val="24"/>
              </w:rPr>
              <w:t xml:space="preserve">, herunder sådanne, der ikke er balanceført, hvis de er omfattet af en aftale om </w:t>
            </w:r>
            <w:proofErr w:type="spellStart"/>
            <w:r>
              <w:rPr>
                <w:rFonts w:ascii="Times New Roman" w:hAnsi="Times New Roman"/>
                <w:sz w:val="24"/>
                <w:szCs w:val="24"/>
              </w:rPr>
              <w:t>netting</w:t>
            </w:r>
            <w:proofErr w:type="spellEnd"/>
            <w:r>
              <w:rPr>
                <w:rFonts w:ascii="Times New Roman" w:hAnsi="Times New Roman"/>
                <w:sz w:val="24"/>
                <w:szCs w:val="24"/>
              </w:rPr>
              <w:t xml:space="preserve"> på tværs af produkter som defineret i artikel 272, nr. 25), i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Derivater, der ikke er omfattet af en aftale om </w:t>
            </w:r>
            <w:proofErr w:type="spellStart"/>
            <w:r>
              <w:rPr>
                <w:rFonts w:ascii="Times New Roman" w:hAnsi="Times New Roman"/>
                <w:b/>
                <w:sz w:val="24"/>
                <w:szCs w:val="24"/>
              </w:rPr>
              <w:t>netting</w:t>
            </w:r>
            <w:proofErr w:type="spellEnd"/>
            <w:r>
              <w:rPr>
                <w:rFonts w:ascii="Times New Roman" w:hAnsi="Times New Roman"/>
                <w:b/>
                <w:sz w:val="24"/>
                <w:szCs w:val="24"/>
              </w:rPr>
              <w:t xml:space="preserve"> på tværs af produkter – Eksponeringsværdi bag gearingsgraden</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Eksponeringsværdien bag gearingsgraden af derivater, hvis de </w:t>
            </w:r>
            <w:r>
              <w:rPr>
                <w:rFonts w:ascii="Times New Roman" w:hAnsi="Times New Roman"/>
                <w:bCs/>
                <w:sz w:val="24"/>
                <w:szCs w:val="24"/>
              </w:rPr>
              <w:t>ikke</w:t>
            </w:r>
            <w:r>
              <w:rPr>
                <w:rFonts w:ascii="Times New Roman" w:hAnsi="Times New Roman"/>
                <w:sz w:val="24"/>
                <w:szCs w:val="24"/>
              </w:rPr>
              <w:t xml:space="preserve"> er omfattet af en aftale om </w:t>
            </w:r>
            <w:proofErr w:type="spellStart"/>
            <w:r>
              <w:rPr>
                <w:rFonts w:ascii="Times New Roman" w:hAnsi="Times New Roman"/>
                <w:sz w:val="24"/>
                <w:szCs w:val="24"/>
              </w:rPr>
              <w:t>netting</w:t>
            </w:r>
            <w:proofErr w:type="spellEnd"/>
            <w:r>
              <w:rPr>
                <w:rFonts w:ascii="Times New Roman" w:hAnsi="Times New Roman"/>
                <w:sz w:val="24"/>
                <w:szCs w:val="24"/>
              </w:rPr>
              <w:t xml:space="preserve"> på tværs af produkter som defineret i artikel 272, nr. 25), i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Derivater, der ikke er omfattet af en aftale om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på tværs af produkter – Risikovægtede eksponeringer</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 xml:space="preserve">De risikovægtede eksponeringer mod kredit- og modpartskreditrisici for derivater opgjort i henhold til tredje del, afsnit II, i CRR, herunder sådanne, der ikke er balanceført, hvis de er omfattet af en aftale om </w:t>
            </w:r>
            <w:proofErr w:type="spellStart"/>
            <w:r>
              <w:rPr>
                <w:rFonts w:ascii="Times New Roman" w:hAnsi="Times New Roman"/>
                <w:sz w:val="24"/>
                <w:szCs w:val="24"/>
              </w:rPr>
              <w:t>netting</w:t>
            </w:r>
            <w:proofErr w:type="spellEnd"/>
            <w:r>
              <w:rPr>
                <w:rFonts w:ascii="Times New Roman" w:hAnsi="Times New Roman"/>
                <w:sz w:val="24"/>
                <w:szCs w:val="24"/>
              </w:rPr>
              <w:t xml:space="preserve"> på tværs af produkter som defineret i artikel 272, nr. 25), i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sz w:val="24"/>
                <w:szCs w:val="24"/>
              </w:rPr>
              <w:t>SFT'er</w:t>
            </w:r>
            <w:proofErr w:type="spellEnd"/>
            <w:r>
              <w:rPr>
                <w:rFonts w:ascii="Times New Roman" w:hAnsi="Times New Roman"/>
                <w:b/>
                <w:sz w:val="24"/>
                <w:szCs w:val="24"/>
              </w:rPr>
              <w:t xml:space="preserve">, der ikke er omfattet af en aftale om </w:t>
            </w:r>
            <w:proofErr w:type="spellStart"/>
            <w:r>
              <w:rPr>
                <w:rFonts w:ascii="Times New Roman" w:hAnsi="Times New Roman"/>
                <w:b/>
                <w:sz w:val="24"/>
                <w:szCs w:val="24"/>
              </w:rPr>
              <w:t>netting</w:t>
            </w:r>
            <w:proofErr w:type="spellEnd"/>
            <w:r>
              <w:rPr>
                <w:rFonts w:ascii="Times New Roman" w:hAnsi="Times New Roman"/>
                <w:b/>
                <w:sz w:val="24"/>
                <w:szCs w:val="24"/>
              </w:rPr>
              <w:t xml:space="preserve"> på tværs af produkter – Eksponeringsværdi bag gearingsgraden</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 xml:space="preserve">Eksponeringsværdien bag gearingsgraden af eksponeringer i forbindelse med </w:t>
            </w:r>
            <w:proofErr w:type="spellStart"/>
            <w:r>
              <w:rPr>
                <w:rFonts w:ascii="Times New Roman" w:hAnsi="Times New Roman"/>
                <w:sz w:val="24"/>
                <w:szCs w:val="24"/>
              </w:rPr>
              <w:t>SFT'er</w:t>
            </w:r>
            <w:proofErr w:type="spellEnd"/>
            <w:r>
              <w:rPr>
                <w:rFonts w:ascii="Times New Roman" w:hAnsi="Times New Roman"/>
                <w:sz w:val="24"/>
                <w:szCs w:val="24"/>
              </w:rPr>
              <w:t xml:space="preserve">, hvis de </w:t>
            </w:r>
            <w:r>
              <w:rPr>
                <w:rFonts w:ascii="Times New Roman" w:hAnsi="Times New Roman"/>
                <w:bCs/>
                <w:sz w:val="24"/>
                <w:szCs w:val="24"/>
              </w:rPr>
              <w:t>ikke</w:t>
            </w:r>
            <w:r>
              <w:rPr>
                <w:rFonts w:ascii="Times New Roman" w:hAnsi="Times New Roman"/>
                <w:sz w:val="24"/>
                <w:szCs w:val="24"/>
              </w:rPr>
              <w:t xml:space="preserve"> er omfattet af en aftale om </w:t>
            </w:r>
            <w:proofErr w:type="spellStart"/>
            <w:r>
              <w:rPr>
                <w:rFonts w:ascii="Times New Roman" w:hAnsi="Times New Roman"/>
                <w:sz w:val="24"/>
                <w:szCs w:val="24"/>
              </w:rPr>
              <w:t>netting</w:t>
            </w:r>
            <w:proofErr w:type="spellEnd"/>
            <w:r>
              <w:rPr>
                <w:rFonts w:ascii="Times New Roman" w:hAnsi="Times New Roman"/>
                <w:sz w:val="24"/>
                <w:szCs w:val="24"/>
              </w:rPr>
              <w:t xml:space="preserve"> på tværs af produkter som defineret i artikel 272, nr. 25), i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proofErr w:type="spellStart"/>
            <w:r>
              <w:rPr>
                <w:rFonts w:ascii="Times New Roman" w:hAnsi="Times New Roman"/>
                <w:b/>
                <w:bCs/>
                <w:sz w:val="24"/>
                <w:szCs w:val="24"/>
              </w:rPr>
              <w:t>SFT'er</w:t>
            </w:r>
            <w:proofErr w:type="spellEnd"/>
            <w:r>
              <w:rPr>
                <w:rFonts w:ascii="Times New Roman" w:hAnsi="Times New Roman"/>
                <w:b/>
                <w:bCs/>
                <w:sz w:val="24"/>
                <w:szCs w:val="24"/>
              </w:rPr>
              <w:t xml:space="preserve">, der ikke er omfattet af en aftale om </w:t>
            </w:r>
            <w:proofErr w:type="spellStart"/>
            <w:r>
              <w:rPr>
                <w:rFonts w:ascii="Times New Roman" w:hAnsi="Times New Roman"/>
                <w:b/>
                <w:bCs/>
                <w:sz w:val="24"/>
                <w:szCs w:val="24"/>
              </w:rPr>
              <w:t>netting</w:t>
            </w:r>
            <w:proofErr w:type="spellEnd"/>
            <w:r>
              <w:rPr>
                <w:rFonts w:ascii="Times New Roman" w:hAnsi="Times New Roman"/>
                <w:b/>
                <w:bCs/>
                <w:sz w:val="24"/>
                <w:szCs w:val="24"/>
              </w:rPr>
              <w:t xml:space="preserve"> på tværs af produkter – Risikovægtede eksponeringer</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 xml:space="preserve">De risikovægtede eksponeringer mod kredit- og modpartskreditrisici for </w:t>
            </w:r>
            <w:proofErr w:type="spellStart"/>
            <w:r>
              <w:rPr>
                <w:rFonts w:ascii="Times New Roman" w:hAnsi="Times New Roman"/>
                <w:sz w:val="24"/>
                <w:szCs w:val="24"/>
              </w:rPr>
              <w:t>SFT'er</w:t>
            </w:r>
            <w:proofErr w:type="spellEnd"/>
            <w:r>
              <w:rPr>
                <w:rFonts w:ascii="Times New Roman" w:hAnsi="Times New Roman"/>
                <w:sz w:val="24"/>
                <w:szCs w:val="24"/>
              </w:rPr>
              <w:t xml:space="preserve"> opgjort i henhold til tredje del, afsnit II, i CRR, herunder sådanne, der ikke er balanceført, hvis de ikke er omfattet af en aftale om </w:t>
            </w:r>
            <w:proofErr w:type="spellStart"/>
            <w:r>
              <w:rPr>
                <w:rFonts w:ascii="Times New Roman" w:hAnsi="Times New Roman"/>
                <w:sz w:val="24"/>
                <w:szCs w:val="24"/>
              </w:rPr>
              <w:t>netting</w:t>
            </w:r>
            <w:proofErr w:type="spellEnd"/>
            <w:r>
              <w:rPr>
                <w:rFonts w:ascii="Times New Roman" w:hAnsi="Times New Roman"/>
                <w:sz w:val="24"/>
                <w:szCs w:val="24"/>
              </w:rPr>
              <w:t xml:space="preserve"> på tværs af produkter som defineret i artikel 272, nr. 25), i CRR.</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Eksponeringer som følge af den supplerende behandling for kreditderivater – Eksponeringsværdi bag gearingsgraden</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Denne celle skal være lig med forskellen mellem {LRCalc;0130;0010} og {LRCalc;0140;0010}, eksklusive de respektive koncerninterne eksponeringer (individuelt grundlag), som er undtaget i henhold til artikel 429, stk. 1, litra c), i 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Andre aktiver i handelsbeholdningen — Eksponeringsværdi bag gearingsgraden</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poster indberettet i {LRCalc;0190;0010}, ekskl. poster uden for handelsbeholdningen.</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Andre aktiver i handelsbeholdningen – Risikovægtede eksponeringer</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Kapitalgrundlagskrav ganget med 12,5 for poster omfattet af tredje del, afsnit IV, i 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Særligt dækkede obligationer og særligt dækkede realkreditobligationer – Eksponeringsværdi bag gearingsgraden – Eksponeringer opgjort efter standardmetoden</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bag gearingsgraden af aktiver, der er eksponeringer opgjort efter standardmetoden i form af særligt dækkede obligationer og særligt dækkede realkreditobligationer som defineret i artikel 129 i CRR.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Særligt dækkede obligationer og særligt dækkede realkreditobligationer – Eksponeringsværdi bag gearingsgraden – Eksponeringer opgjort efter IRB-metoden</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IRB-metoden i form af særligt dækkede obligationer og særligt dækkede realkreditobligationer som defineret i artikel 161, stk. 1, litra d), i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Institutterne skal indberette denne post fratrukket misligholdte eksponeringer opgjort efter IRB-metoden.</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Særligt dækkede obligationer og særligt dækkede realkreditobligationer — Risikovægtede eksponeringer — Eksponeringer opgjort efter standardmetoden</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standardmetoden i form af særligt dækkede obligationer og særligt dækkede realkreditobligationer som defineret i artikel 129 i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Særligt dækkede obligationer og særligt dækkede realkreditobligationer — Risikovægtede eksponeringer — Eksponeringer opgjort efter IRB-metoden</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IRB-metoden i form af særligt dækkede obligationer og særligt dækkede realkreditobligationer som defineret i artikel 161, stk. 1, litra d), i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Eksponeringer, der behandles som eksponeringer mod stater – Eksponeringsværdi bag gearingsgraden – Eksponeringer opgjort efter standardmetoden</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summen af cellerne fra {0100,0010} til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Eksponeringer, der behandles som eksponeringer mod stater – Eksponeringsværdi bag gearingsgraden – Eksponeringer opgjort efter IRB-metoden</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summen af cellerne fra {0100,0020} til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Eksponeringer, der behandles som eksponeringer mod stater — Risikovægtede eksponeringer — Eksponeringer opgjort efter standardmetoden</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summen af cellerne fra {0100,0030} til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Institutterne skal indberette denne post fratrukket misligholdte eksponeringer opgjort efter standardmetoden.</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Eksponeringer, der behandles som eksponeringer mod stater — Risikovægtede eksponeringer — Eksponeringer opgjort efter IRB-metoden</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summen af cellerne fra {0100,0040} til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Centralregeringer og centralbanker —</w:t>
            </w:r>
            <w:r>
              <w:rPr>
                <w:rFonts w:ascii="Times New Roman" w:hAnsi="Times New Roman"/>
                <w:b/>
                <w:sz w:val="24"/>
                <w:szCs w:val="24"/>
              </w:rPr>
              <w:t xml:space="preserve"> Eksponeringsværdi bag gearingsgraden – Eksponeringer opgjort efter standardmetoden</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standardmetoden mod centralregeringer eller centralbanker som defineret i artikel 114 i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Centralregeringer og centralbanker —</w:t>
            </w:r>
            <w:r>
              <w:rPr>
                <w:rFonts w:ascii="Times New Roman" w:hAnsi="Times New Roman"/>
                <w:b/>
                <w:sz w:val="24"/>
                <w:szCs w:val="24"/>
              </w:rPr>
              <w:t xml:space="preserve"> Eksponeringsværdi bag gearingsgraden – Eksponeringer opgjort efter IRB-metoden</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bag gearingsgraden af aktiver, der er eksponeringer opgjort efter IRB-metoden mod centralregeringer eller centralbanker som defineret i artikel 147, stk. 2, litra a), i CRR.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Centralregeringer og centralbanker — Risikovægtede eksponeringer — Eksponeringer opgjort efter standardmetoden</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standardmetoden mod centralregeringer eller centralbanker som defineret i artikel 114 i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Centralregeringer og centralbanker — Risikovægtede eksponeringer — Eksponeringer opgjort efter IRB-metoden</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IRB-metoden mod centralregeringer eller centralbanker som defineret i artikel 147, stk. 2, litra a), i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Institutterne skal indberette denne post fratrukket misligholdte eksponeringer opgjort efter IRB-metoden.</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Regionale og lokale myndigheder, der behandles som stater – Eksponeringsværdi bag gearingsgraden – Eksponeringer opgjort efter standardmetoden</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standardmetoden mod regionale og lokale myndigheder, der behandles som stater, og som er omfattet af artikel 115, stk. 2 og 4, i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Regionale og lokale myndigheder, der behandles som stater – Eksponeringsværdi bag gearingsgraden – Eksponeringer opgjort efter IRB-metoden</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Eksponeringsværdien bag gearingsgraden af aktiver, der er eksponeringer opgjort efter IRB-metoden mod regionale og lokale myndigheder, og som er omfattet af artikel 147, stk. 3, litra a), i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Regionale og lokale myndigheder, der behandles som stater — Risikovægtede eksponeringer — Eksponeringer opgjort efter standardmetoden</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standardmetoden mod regionale og lokale myndigheder, der behandles som stater, og som er omfattet af artikel 115, stk. 2 og 4, i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Regionale og lokale myndigheder, der behandles som stater — Risikovægtede eksponeringer — Eksponeringer opgjort efter IRB-metoden</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Den risikovægtede eksponeringsværdi af aktiver, der er eksponeringer opgjort efter IRB-metoden mod regionale og lokale myndigheder, og som er omfattet af artikel 147, stk. 3, litra a), i CRR.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Multilaterale udviklingsbanker og internationale organisationer, der behandles som stater – Eksponeringsværdi bag gearingsgraden – Eksponeringer opgjort efter standardmetoden</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Eksponeringsværdien bag gearingsgraden af aktiver, der er eksponeringer opgjort efter standardmetoden mod multilaterale udviklingsbanker og internationale organisationer, og som er omfattet af artikel 117, stk. 2, og artikel 118 i CRR.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Multilaterale udviklingsbanker og internationale organisationer, der behandles som stater – Eksponeringsværdi bag gearingsgraden – Eksponeringer opgjort efter IRB-metoden</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IRB-metoden mod multilaterale udviklingsbanker og internationale organisationer, og som er omfattet af artikel 147, stk. 3, litra b) og c), i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Multilaterale udviklingsbanker og internationale organisationer, der behandles som stater — Risikovægtede eksponeringer — Eksponeringer opgjort efter standardmetoden</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standardmetoden mod multilaterale udviklingsbanker og internationale organisationer, og som er omfattet af artikel 117, stk. 2, og artikel 118 i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Multilaterale udviklingsbanker og internationale organisationer, der behandles som stater — Risikovægtede eksponeringer — Eksponeringer opgjort efter IRB-metoden</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IRB-metoden mod multilaterale udviklingsbanker og internationale organisationer, og som er omfattet af artikel 147, stk. 3, litra b) og c), i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Offentlige enheder, der behandles som stater – Eksponeringsværdi bag gearingsgraden – Eksponeringer opgjort efter standardmetoden</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standardmetoden mod offentlige enheder, og som er omfattet af artikel 116, stk. 4, i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Institutterne skal indberette denne post fratrukket misligholdte eksponeringer opgjort efter standardmetoden.</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Offentlige enheder, der behandles som stater – Eksponeringsværdi bag gearingsgraden – Eksponeringer opgjort efter IRB-metoden</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IRB-metoden mod offentlige enheder, og som er omfattet af artikel 147, stk. 3, litra a), i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Offentlige enheder, der behandles som stater — Risikovægtede eksponeringer — Eksponeringer opgjort efter standardmetoden</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standardmetoden mod offentlige enheder, og som er omfattet af artikel 116, stk. 4, i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Offentlige enheder, der behandles som stater — Risikovægtede eksponeringer — Eksponeringer opgjort efter IRB-metoden</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IRB-metoden mod offentlige enheder, og som er omfattet af artikel 147, stk. 3, litra a), i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Eksponeringer mod regionale myndigheder, multilaterale udviklingsbanker, internationale organisationer og offentlige enheder, der ikke behandles som stater — Eksponeringsværdi bag gearingsgraden — Eksponeringer opgjort efter standardmetoden</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Dette er summen af cellerne fra {0150,0010} til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Eksponeringer mod regionale myndigheder, multilaterale udviklingsbanker, internationale organisationer og offentlige enheder, der ikke behandles som stater — Eksponeringsværdi bag gearingsgraden — Eksponeringer opgjort efter IRB-metoden</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Dette er summen af cellerne fra {0150,0020} til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Institutterne skal indberette denne post fratrukket misligholdte eksponeringer opgjort efter IRB-metoden.</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Eksponeringer mod regionale myndigheder, multilaterale udviklingsbanker, internationale organisationer og offentlige enheder, der ikke behandles som stater — Risikovægtede eksponeringer — Eksponeringer opgjort efter standardmetoden</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Dette er summen af cellerne fra {0150,0030} til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Eksponeringer mod regionale myndigheder, multilaterale udviklingsbanker, internationale organisationer og offentlige enheder, der ikke behandles som stater — Risikovægtede eksponeringer — Eksponeringer opgjort efter IRB-metoden</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Dette er summen af cellerne fra {0150,0040} til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Regionale og lokale myndigheder, der ikke behandles som stater — Eksponeringsværdi bag gearingsgraden — Eksponeringer opgjort efter standardmetoden</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standardmetoden mod regionale og lokale myndigheder, der ikke behandles som stater, og som er omfattet af artikel 115, stk. 1, 3 og 5, i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Regionale og lokale myndigheder, der ikke behandles som stater — Eksponeringsværdi bag gearingsgraden — Eksponeringer opgjort efter IRB-metoden</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IRB-metoden mod regionale og lokale myndigheder, der ikke behandles som stater, og som er omfattet af artikel 147, stk. 4, litra a), i 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Institutterne skal indberette denne post fratrukket misligholdte eksponeringer opgjort efter IRB-metoden.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Regionale og lokale myndigheder, der ikke behandles som stater — Risikovægtede eksponeringer — Eksponeringer opgjort efter standardmetoden</w:t>
            </w:r>
            <w:r>
              <w:rPr>
                <w:rFonts w:ascii="Times New Roman" w:hAnsi="Times New Roman"/>
                <w:b/>
                <w:bCs/>
                <w:sz w:val="24"/>
                <w:szCs w:val="24"/>
              </w:rPr>
              <w:t xml:space="preserve">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Den risikovægtede eksponeringsværdi af aktiver, der er eksponeringer mod regionale og lokale myndigheder, der ikke behandles som stater, og som er omfattet af artikel 115, stk. 1, 3 og 5, i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Regionale og lokale myndigheder, der ikke behandles som stater — Risikovægtede eksponeringer — Eksponeringer opgjort efter IRB-metoden</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IRB-metoden mod regionale og lokale myndigheder, der ikke behandles som stater, og som er omfattet af artikel 147, stk. 4, litra a), i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Multilaterale udviklingsbanker, der </w:t>
            </w:r>
            <w:r>
              <w:rPr>
                <w:rFonts w:ascii="Times New Roman" w:hAnsi="Times New Roman"/>
                <w:b/>
                <w:sz w:val="24"/>
                <w:szCs w:val="24"/>
                <w:u w:val="single"/>
              </w:rPr>
              <w:t>ikke</w:t>
            </w:r>
            <w:r>
              <w:rPr>
                <w:rFonts w:ascii="Times New Roman" w:hAnsi="Times New Roman"/>
                <w:b/>
                <w:sz w:val="24"/>
                <w:szCs w:val="24"/>
              </w:rPr>
              <w:t xml:space="preserve"> behandles som stater – Eksponeringsværdi bag gearingsgraden – Eksponeringer opgjort efter standardmetoden</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bag gearingsgraden af aktiver, der er eksponeringer opgjort efter standardmetoden mod multilaterale udviklingsbanker, og som er omfattet af artikel 117, stk. 1 og 3, i CRR.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Multilaterale udviklingsbanker, der </w:t>
            </w:r>
            <w:r>
              <w:rPr>
                <w:rFonts w:ascii="Times New Roman" w:hAnsi="Times New Roman"/>
                <w:b/>
                <w:sz w:val="24"/>
                <w:szCs w:val="24"/>
                <w:u w:val="single"/>
              </w:rPr>
              <w:t>ikke</w:t>
            </w:r>
            <w:r>
              <w:rPr>
                <w:rFonts w:ascii="Times New Roman" w:hAnsi="Times New Roman"/>
                <w:b/>
                <w:sz w:val="24"/>
                <w:szCs w:val="24"/>
              </w:rPr>
              <w:t xml:space="preserve"> behandles som stater — Eksponeringsværdi bag gearingsgraden — Eksponeringer opgjort efter IRB-metoden</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IRB-metoden mod multilaterale udviklingsbanker, der ikke behandles som stater, og som er omfattet af artikel 147, stk. 4, litra c), i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Multilaterale udviklingsbanker, der ikke behandles som stater — Risikovægtede eksponeringer —– Eksponeringer opgjort efter standardmetoden</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Den risikovægtede eksponeringsværdi af aktiver, der er eksponeringer opgjort efter standardmetoden mod multilaterale udviklingsbanker, og som er omfattet af artikel 117, stk. 1 og 3, i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Institutterne skal indberette denne post fratrukket misligholdte eksponeringer opgjort efter standardmetoden.</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Multilaterale udviklingsbanker, der ikke behandles som stater — Risikovægtede eksponeringer —– Eksponeringer opgjort efter IRB-metoden</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IRB-metoden mod multilaterale udviklingsbanker, der ikke behandles som stater, og som er omfattet af artikel 147, stk. 4, litra c), i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Offentlige enheder, der ikke behandles som stater – Eksponeringsværdi bag gearingsgraden – Eksponeringer opgjort efter standardmetoden</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mod offentlige enheder, og som er omfattet af artikel 116, stk. 1, 2, 3 og 5, i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Offentlige enheder, der ikke behandles som stater — Eksponeringsværdi bag gearingsgraden — Eksponeringer opgjort efter IRB-metoden</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IRB-metoden mod offentlige enheder, der ikke behandles som stater, og som er omfattet af artikel 147, stk. 4, litra b), i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Offentlige enheder, der ikke behandles som stater — Risikovægtede eksponeringer — Eksponeringer opgjort efter standardmetoden</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Den risikovægtede eksponeringsværdi af aktiver, der er eksponeringer mod offentlige enheder, og som er omfattet af artikel 116, stk. 1, 2, 3 og 5, i CRR.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Offentlige enheder, der ikke behandles som stater — Risikovægtede eksponeringer — Eksponeringer opgjort efter IRB-metoden</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Den risikovægtede eksponeringsværdi af aktiver, der er eksponeringer opgjort efter IRB-metoden mod offentlige enheder, der ikke behandles som stater, og som er omfattet af artikel 147, stk. 4, litra b), i CRR.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Institutter – Eksponeringsværdi bag gearingsgraden – Eksponeringer opgjort efter standardmetoden</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standardmetoden mod institutter, og som er omfattet af artikel 119-121 i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Institutter —</w:t>
            </w:r>
            <w:r>
              <w:rPr>
                <w:rFonts w:ascii="Times New Roman" w:hAnsi="Times New Roman"/>
                <w:b/>
                <w:sz w:val="24"/>
                <w:szCs w:val="24"/>
              </w:rPr>
              <w:t xml:space="preserve"> Eksponeringsværdi bag gearingsgraden – Eksponeringer opgjort efter IRB-metoden</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Eksponeringsværdien bag gearingsgraden af aktiver, der er eksponeringer opgjort efter IRB-metoden mod institutter, og som er omfattet af artikel 147, stk. 2, litra b), i CRR, og som ikke er eksponeringer i form af særligt dækkede obligationer og særligt dækkede realkreditobligationer som defineret i artikel 161, stk. 1, litra d), i CRR, og som ikke er omfattet af artikel 147, stk. 4, litra </w:t>
            </w:r>
            <w:proofErr w:type="gramStart"/>
            <w:r>
              <w:rPr>
                <w:rFonts w:ascii="Times New Roman" w:hAnsi="Times New Roman"/>
                <w:sz w:val="24"/>
                <w:szCs w:val="24"/>
              </w:rPr>
              <w:t>a)-</w:t>
            </w:r>
            <w:proofErr w:type="gramEnd"/>
            <w:r>
              <w:rPr>
                <w:rFonts w:ascii="Times New Roman" w:hAnsi="Times New Roman"/>
                <w:sz w:val="24"/>
                <w:szCs w:val="24"/>
              </w:rPr>
              <w:t>c), i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Institutter — Risikovægtede eksponeringer — Eksponeringer opgjort efter standardmetoden</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mod institutter, og som er omfattet af artikel 119-121 i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Institutter — Risikovægtede eksponeringer — Eksponeringer opgjort efter IRB-metoden</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Den risikovægtede eksponeringsværdi af aktiver, der er eksponeringer opgjort efter IRB-metoden mod institutter, og som er omfattet af artikel 147, stk. 2, litra b), i CRR, og som ikke er eksponeringer i form af særligt dækkede obligationer og særligt dækkede realkreditobligationer som defineret i artikel 161, stk. 1, litra d), i CRR, og som ikke er omfattet af artikel 147, stk. 4, litra </w:t>
            </w:r>
            <w:proofErr w:type="gramStart"/>
            <w:r>
              <w:rPr>
                <w:rFonts w:ascii="Times New Roman" w:hAnsi="Times New Roman"/>
                <w:sz w:val="24"/>
                <w:szCs w:val="24"/>
              </w:rPr>
              <w:t>a)-</w:t>
            </w:r>
            <w:proofErr w:type="gramEnd"/>
            <w:r>
              <w:rPr>
                <w:rFonts w:ascii="Times New Roman" w:hAnsi="Times New Roman"/>
                <w:sz w:val="24"/>
                <w:szCs w:val="24"/>
              </w:rPr>
              <w:t>c), i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Institutterne skal indberette denne post fratrukket misligholdte eksponeringer opgjort efter IRB-metoden.</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Sikret ved pant i fast ejendom — Eksponeringsværdi bag gearingsgraden — Eksponeringer opgjort efter standardmetoden</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standardmetoden sikret ved pant i fast ejendom, og som er omfattet af artikel 124 i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Sikret ved pant i fast ejendom — Eksponeringsværdi bag gearingsgraden — Eksponeringer opgjort efter IRB-metoden</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IRB-metoden mod selskaber i henhold til artikel 147, stk. 2, litra c), eller detaileksponeringer i henhold til artikel 147, stk. 2, litra d), i CRR, hvis disse eksponeringer er sikret ved pant i fast ejendom i overensstemmelse med artikel 199, stk. 1, litra a), i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Sikret ved pant i fast ejendom – Risikovægtede eksponeringer – Eksponeringer opgjort efter standardmetoden</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Den risikovægtede eksponeringsværdi af aktiver, der er eksponeringer sikret ved pant i fast ejendom, og som er omfattet af artikel 124 i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Sikret ved pant i fast ejendom – Risikovægtede eksponeringer – Eksponeringer opgjort efter IRB-metoden</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IRB-metoden mod selskaber i henhold til artikel 147, stk. 2, litra c), eller detaileksponeringer i henhold til artikel 147, stk. 2, litra d), i CRR, hvis disse eksponeringer er sikret ved pant i fast ejendom i overensstemmelse med artikel 199, stk. 1, litra a), i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szCs w:val="24"/>
              </w:rPr>
              <w:t>heraf: Sikret ved pant i beboelsesejendom — Eksponeringsværdi bag gearingsgraden — Eksponeringer opgjort efter standardmetoden</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Eksponeringsværdien bag gearingsgraden af aktiver, der er eksponeringer opgjort efter standardmetoden fuldt og helt sikret ved pant i beboelsesejendom, og som er omfattet af artikel 125 i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szCs w:val="24"/>
              </w:rPr>
              <w:t>heraf: Sikret ved pant i beboelsesejendom — Eksponeringsværdi bag gearingsgraden — Eksponeringer opgjort efter IRB-metoden</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IRB-metoden mod selskaber i henhold til artikel 147, stk. 2, litra c), eller detaileksponeringer i henhold til artikel 147, stk. 2, litra d), i CRR, hvis disse eksponeringer er sikret ved pant i beboelsesejendom i overensstemmelse med artikel 199, stk. 1, litra a), i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heraf: Sikret ved pant i beboelsesejendom – Risikovægtede eksponeringer – Eksponeringer opgjort efter standardmetoden</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standardmetoden fuldt og helt sikret ved pant i beboelsesejendom, og som er omfattet af artikel 125 i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heraf: Sikret ved pant i beboelsesejendom – Risikovægtede eksponeringer – Eksponeringer opgjort efter IRB-metoden</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IRB-metoden mod selskaber i henhold til artikel 147, stk. 2, litra c), eller detaileksponeringer i henhold til artikel 147, stk. 2, litra d), i CRR, hvis disse eksponeringer er sikret ved pant i beboelsesejendom i overensstemmelse med artikel 199, stk. 1, litra a), i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Detaileksponeringer — Eksponeringsværdi bag gearingsgraden — Eksponeringer opgjort efter standardmetoden</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detaileksponeringer opgjort efter standardmetoden, og som er omfattet af artikel 123 i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Detaileksponeringer — Eksponeringsværdi bag gearingsgraden — Eksponeringer opgjort efter IRB-metoden</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bag gearingsgraden af aktiver, der er detaileksponeringer opgjort efter IRB-metoden i henhold til artikel 147, stk. 2, litra d), i CRR, hvis disse eksponeringer ikke er sikret ved pant i fast ejendom i overensstemmelse med artikel 199, stk. 1, litra a), i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Detaileksponeringer — Risikovægtede eksponeringer — Eksponeringer opgjort efter standardmetoden</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detaileksponeringer, og som er omfattet af artikel 123 i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Detaileksponeringer — Risikovægtede eksponeringer — Eksponeringer opgjort efter IRB-metoden</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Den risikovægtede eksponeringsværdi af aktiver, der er detaileksponeringer opgjort efter IRB-metoden i henhold til artikel 147, stk. 2, litra d), i CRR, hvis disse eksponeringer ikke er sikret ved pant i fast ejendom i overensstemmelse med artikel 199, stk. 1, litra a), i CRR.</w:t>
            </w:r>
            <w:r>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heraf: </w:t>
            </w:r>
            <w:proofErr w:type="spellStart"/>
            <w:r>
              <w:rPr>
                <w:rFonts w:ascii="Times New Roman" w:hAnsi="Times New Roman"/>
                <w:b/>
                <w:sz w:val="24"/>
                <w:szCs w:val="24"/>
              </w:rPr>
              <w:t>Detail</w:t>
            </w:r>
            <w:proofErr w:type="spellEnd"/>
            <w:r>
              <w:rPr>
                <w:rFonts w:ascii="Times New Roman" w:hAnsi="Times New Roman"/>
                <w:b/>
                <w:sz w:val="24"/>
                <w:szCs w:val="24"/>
              </w:rPr>
              <w:t>-SMV'er – Eksponeringsværdi bag gearingsgraden – Eksponeringer opgjort efter standardmetoden</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detaileksponeringer opgjort efter standardmetoden mod små og mellemstore virksomheder, og som er omfattet af artikel 123 i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For så vidt angår denne celle skal institutterne anvende termen "små og mellemstore virksomheder" som defineret i artikel 501, stk. 2, litra b), i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heraf: </w:t>
            </w:r>
            <w:proofErr w:type="spellStart"/>
            <w:r>
              <w:rPr>
                <w:rFonts w:ascii="Times New Roman" w:hAnsi="Times New Roman"/>
                <w:b/>
                <w:sz w:val="24"/>
                <w:szCs w:val="24"/>
              </w:rPr>
              <w:t>Detail</w:t>
            </w:r>
            <w:proofErr w:type="spellEnd"/>
            <w:r>
              <w:rPr>
                <w:rFonts w:ascii="Times New Roman" w:hAnsi="Times New Roman"/>
                <w:b/>
                <w:sz w:val="24"/>
                <w:szCs w:val="24"/>
              </w:rPr>
              <w:t>-SMV'er – Eksponeringsværdi bag gearingsgraden – Eksponeringer opgjort efter IRB-metoden</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Eksponeringsværdien bag gearingsgraden af aktiver, der er detaileksponeringer opgjort efter IRB-metoden i henhold til artikel 147, stk. 2, litra d), i CRR, hvis disse eksponeringer er eksponeringer mod små og </w:t>
            </w:r>
            <w:r>
              <w:rPr>
                <w:rFonts w:ascii="Times New Roman" w:hAnsi="Times New Roman"/>
                <w:sz w:val="24"/>
                <w:szCs w:val="24"/>
              </w:rPr>
              <w:lastRenderedPageBreak/>
              <w:t>mellemstore virksomheder, som ikke er sikret ved pant i fast ejendom i overensstemmelse med artikel 199, stk. 1, litra a), i CRR.</w:t>
            </w:r>
            <w:r>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For så vidt angår denne celle skal institutterne anvende termen "små og mellemstore virksomheder" som defineret i artikel 501, stk. 2, litra b), i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heraf: </w:t>
            </w:r>
            <w:proofErr w:type="spellStart"/>
            <w:r>
              <w:rPr>
                <w:rFonts w:ascii="Times New Roman" w:hAnsi="Times New Roman"/>
                <w:b/>
                <w:bCs/>
                <w:sz w:val="24"/>
                <w:szCs w:val="24"/>
              </w:rPr>
              <w:t>Detail</w:t>
            </w:r>
            <w:proofErr w:type="spellEnd"/>
            <w:r>
              <w:rPr>
                <w:rFonts w:ascii="Times New Roman" w:hAnsi="Times New Roman"/>
                <w:b/>
                <w:bCs/>
                <w:sz w:val="24"/>
                <w:szCs w:val="24"/>
              </w:rPr>
              <w:t>-SMV'er — Risikovægtede eksponeringer — Eksponeringer opgjort efter standardmetoden</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detaileksponeringer mod små og mellemstore virksomheder, og som er omfattet af artikel 123 i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For så vidt angår denne celle skal institutterne anvende termen "små og mellemstore virksomheder" som defineret i artikel 501, stk. 2, litra b), i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heraf: </w:t>
            </w:r>
            <w:proofErr w:type="spellStart"/>
            <w:r>
              <w:rPr>
                <w:rFonts w:ascii="Times New Roman" w:hAnsi="Times New Roman"/>
                <w:b/>
                <w:bCs/>
                <w:sz w:val="24"/>
                <w:szCs w:val="24"/>
              </w:rPr>
              <w:t>Detail</w:t>
            </w:r>
            <w:proofErr w:type="spellEnd"/>
            <w:r>
              <w:rPr>
                <w:rFonts w:ascii="Times New Roman" w:hAnsi="Times New Roman"/>
                <w:b/>
                <w:bCs/>
                <w:sz w:val="24"/>
                <w:szCs w:val="24"/>
              </w:rPr>
              <w:t>-SMV'er — Risikovægtede eksponeringer — Eksponeringer opgjort efter IRB-metoden</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Den risikovægtede eksponeringsværdi af aktiver, der er detaileksponeringer opgjort efter IRB-metoden i henhold til artikel 147, stk. 2, litra d), i CRR, hvis disse eksponeringer er eksponeringer mod små og mellemstore virksomheder, som ikke er sikret ved pant i fast ejendom i overensstemmelse med artikel 199, stk. 1, litra a), i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For så vidt angår denne celle skal institutterne anvende termen "små og mellemstore virksomheder" som defineret i artikel 501, stk. 2, litra b), i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Selskaber — Eksponeringsværdi bag gearingsgraden — Eksponeringer opgjort efter standardmetoden</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Dette er summen af {0240,0010} og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Institutterne skal indberette denne post fratrukket misligholdte eksponeringer opgjort efter standardmetoden.</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Selskaber — Eksponeringsværdi bag gearingsgraden — Eksponeringer opgjort efter IRB-metoden</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Dette er summen af {0240,0020} og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Selskaber — Risikovægtede eksponeringer — Eksponeringer opgjort efter standardmetoden</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Dette er summen af {0240,0030} og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Selskaber — Risikovægtede eksponeringer — Eksponeringer opgjort efter IRB-metoden</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Dette er summen af {0240,0040} og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Finansielle selskaber – Eksponeringsværdi bag gearingsgraden – Eksponeringer opgjort efter standardmetoden</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standardmetoden mod finansielle selskaber, og som er omfattet af artikel 122 i 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Ved indberetning i LR4 forstås ved finansielle selskaber regulerede og uregulerede virksomheder, som ikke er institutter nævnt i {0180;0010}, og hvis hovedvirksomhed består i at erhverve kapitalandele eller i at udøve en eller flere af aktiviteterne i bilag I til direktiv 2013/36/EU, samt virksomheder som defineret i artikel 4, stk. 1, nr. 27), i CRR, som ikke er institutter nævnt i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Finansielle selskaber – Eksponeringsværdi bag gearingsgraden – Eksponeringer opgjort efter IRB-metoden</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bag gearingsgraden af aktiver, der er eksponeringer opgjort efter IRB-metoden mod finansielle selskaber i henhold til artikel 147, stk. 2, litra c), i CRR, hvis disse eksponeringer ikke er sikret ved pant i fast ejendom i overensstemmelse med artikel 199, stk. 1, litra a), i 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Ved indberetning i LR4 forstås ved finansielle selskaber regulerede og uregulerede virksomheder, som ikke er institutter nævnt i {0180;0010}, og hvis hovedvirksomhed består i at erhverve kapitalandele eller i at udøve en eller flere af aktiviteterne i bilag I til direktiv 2013/36/EU, samt </w:t>
            </w:r>
            <w:r>
              <w:rPr>
                <w:rFonts w:ascii="Times New Roman" w:hAnsi="Times New Roman"/>
                <w:bCs/>
                <w:sz w:val="24"/>
                <w:szCs w:val="24"/>
              </w:rPr>
              <w:lastRenderedPageBreak/>
              <w:t xml:space="preserve">virksomheder som defineret i artikel 4, stk. 1, nr. 27), i CRR, som ikke er institutter nævnt i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Finansielle selskaber — Risikovægtede eksponeringer — Eksponeringer opgjort efter standardmetoden</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mod finansielle selskaber, og som er omfattet af artikel 122 i 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Ved indberetning i LR4 forstås ved finansielle selskaber regulerede og uregulerede virksomheder, som ikke er institutter nævnt i {0180;0010}, og hvis hovedvirksomhed består i at erhverve kapitalandele eller i at udøve en eller flere af aktiviteterne i bilag I til direktiv 2013/36/EU, samt virksomheder som defineret i artikel 4, stk. 1, nr. 27), i CRR, som ikke er institutter nævnt i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Finansielle selskaber — Risikovægtede eksponeringer — Eksponeringer opgjort efter IRB-metoden</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Den risikovægtede eksponeringsværdi af aktiver, der er eksponeringer opgjort efter IRB-metoden mod finansielle selskaber i henhold til artikel 147, stk. 2, litra c), i CRR, hvis disse eksponeringer ikke er sikret ved pant i fast ejendom i overensstemmelse med artikel 199, stk. 1, litra a), i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Ved indberetning i LR4 forstås ved finansielle selskaber regulerede og uregulerede virksomheder, som ikke er institutter nævnt i {0180;0010}, og hvis hovedvirksomhed består i at erhverve kapitalandele eller i at udøve en eller flere af aktiviteterne i bilag I til direktiv 2013/36/EU, samt virksomheder som defineret i artikel 4, stk. 1, nr. 27), i CRR, som ikke er institutter nævnt i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Ikkefinansielle selskaber – Eksponeringsværdi bag gearingsgraden – Eksponeringer opgjort efter standardmetoden</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bag gearingsgraden af aktiver, der er eksponeringer opgjort efter standardmetoden mod ikkefinansielle selskaber, og som er omfattet af artikel 122 i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summen af {0260,0010} og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Institutterne skal indberette denne post fratrukket misligholdte eksponeringer opgjort efter standardmetoden.</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Ikkefinansielle selskaber – Eksponeringsværdi bag gearingsgraden – Eksponeringer opgjort efter IRB-metoden</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bag gearingsgraden af aktiver, der er eksponeringer opgjort efter IRB-metoden mod ikkefinansielle selskaber i henhold til artikel 147, stk. 2, litra c), i CRR, hvis disse eksponeringer ikke er sikret ved pant i fast ejendom i overensstemmelse med artikel 199, stk. 1, litra a), i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summen af {0260,0020} og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Ikkefinansielle selskaber — Risikovægtede eksponeringer — Eksponeringer opgjort efter standardmetoden</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Den risikovægtede eksponeringsværdi af aktiver, der er eksponeringer mod ikkefinansielle selskaber, og som er omfattet af artikel 122 i CRR.</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summen af {0260,0030} og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Ikkefinansielle selskaber — Risikovægtede eksponeringer — Eksponeringer opgjort efter IRB-metoden</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Den risikovægtede eksponeringsværdi af aktiver, der er eksponeringer opgjort efter IRB-metoden mod ikkefinansielle selskaber i henhold til artikel 147, stk. 2, litra c), i CRR, hvis disse eksponeringer ikke er sikret ved pant i fast ejendom i overensstemmelse med artikel 199, stk. 1, litra a), i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Dette er summen af {0260,0040} og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SMV-eksponeringer – Eksponeringsværdi bag gearingsgraden – Eksponeringer opgjort efter standardmetoden</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bag gearingsgraden af aktiver, der er eksponeringer opgjort efter standardmetoden mod selskaber i form af små og mellemstore virksomheder, og som er omfattet af artikel 122 i CRR.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For så vidt angår denne celle skal institutterne anvende termen "små og mellemstore virksomheder" som defineret i artikel 501, stk. 2, litra b), i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SMV-eksponeringer – Eksponeringsværdi bag gearingsgraden – Eksponeringer opgjort efter IRB-metoden</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bag gearingsgraden af aktiver, der er eksponeringer opgjort efter IRB-metoden mod selskaber i henhold til artikel 147, stk. 2, litra c), i CRR, hvis disse eksponeringer er eksponeringer mod små og mellemstore virksomheder, som ikke er sikret ved pant i fast ejendom i overensstemmelse med artikel 199, stk. 1, litra a), i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For så vidt angår denne celle skal institutterne anvende termen "små og mellemstore virksomheder" som defineret i artikel 501, stk. 2, litra b), i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SMV-eksponeringer — Risikovægtede eksponeringer — Eksponeringer opgjort efter standardmetoden</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standardmetoden mod selskaber i form af små og mellemstore virksomheder, og som er omfattet af artikel 122 i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For så vidt angår denne celle skal institutterne anvende termen "små og mellemstore virksomheder" som defineret i artikel 501, stk. 2, litra b), i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SMV-eksponeringer — Risikovægtede eksponeringer — Eksponeringer opgjort efter IRB-metoden</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Den risikovægtede eksponeringsværdi af aktiver, der er eksponeringer opgjort efter IRB-metoden mod selskaber i henhold til artikel 147, stk. 2, litra c), i CRR, hvis disse eksponeringer er eksponeringer mod små og mellemstore virksomheder, som ikke er sikret ved pant i fast ejendom i overensstemmelse med artikel 199, stk. 1, litra a), i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For så vidt angår denne celle skal institutterne anvende termen "små og mellemstore virksomheder" som defineret i artikel 501, stk. 2, litra b), i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Institutterne skal indberette denne post fratrukket misligholdte eksponeringer opgjort efter IRB-metoden.</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Andre eksponeringer end SMV-eksponeringer — Eksponeringsværdi bag gearingsgraden – Eksponeringer opgjort efter standardmetoden</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eksponeringer opgjort efter standardmetoden mod selskaber, og som er omfattet af artikel 122 i CRR, og som ikke indberettes i {0230;0040} og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Andre eksponeringer end SMV-eksponeringer – Eksponeringsværdi bag gearingsgraden – Eksponeringer opgjort efter IRB-metoden</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Eksponeringsværdien bag gearingsgraden af aktiver, der er eksponeringer opgjort efter IRB-metoden mod selskaber i henhold til artikel 147, stk. 2, litra c), i CRR, hvis disse eksponeringer ikke er sikret ved pant i fast ejendom i overensstemmelse med artikel 199, stk. 1, litra a), i CRR, og som ikke er indberettet i {0230;0040} og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Andre eksponeringer end SMV-eksponeringer — Risikovægtede eksponeringer — Eksponeringer opgjort efter standardmetoden</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eksponeringer opgjort efter standardmetoden mod selskaber, og som er omfattet af artikel 122 i CRR, og som ikke indberettes i {0230;0040} og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Andre eksponeringer end SMV-eksponeringer — Risikovægtede eksponeringer — Eksponeringer opgjort efter IRB-metoden</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Den risikovægtede eksponeringsværdi af aktiver, der er eksponeringer opgjort efter IRB-metoden mod selskaber i henhold til artikel 147, stk. 2, litra c), i CRR, hvis disse eksponeringer ikke er sikret ved pant i fast ejendom i overensstemmelse med artikel 199, stk. 1, litra a), i CRR, og som ikke er indberettet i {0230;0040} og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Misligholdte eksponeringer – Eksponeringsværdi bag gearingsgraden – Eksponeringer opgjort efter standardmetoden</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Institutter skal indberette eksponeringsværdien bag gearingsgraden af aktiver, der er misligholdte eksponeringer opgjort efter standardmetoden, og som dermed er omfattet af artikel 127 i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Misligholdte eksponeringer – Eksponeringsværdi bag gearingsgraden – Eksponeringer opgjort efter IRB-metoden</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eksponeringsværdien bag gearingsgraden af aktiver, der er kategoriseret i de eksponeringsklasser, der er opført i artikel 147, stk. 2, i CRR, hvis misligholdelse som defineret i artikel 178 i CRR har fundet sted.</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Misligholdte eksponeringer — Risikovægtede eksponeringer — Eksponeringer opgjort efter standardmetoden</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 skal indberette den risikovægtede eksponeringsværdi af aktiver, der er misligholdte eksponeringer, og som dermed er omfattet af artikel 127 i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Misligholdte eksponeringer — Risikovægtede eksponeringer — Eksponeringer opgjort efter IRB-metoden</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 skal indberette den risikovægtede eksponeringsværdi af aktiver, der er kategoriseret i de eksponeringsklasser, der er opført i artikel 147, stk. 2, i CRR, hvis misligholdelse som defineret i artikel 178 i CRR har fundet sted.</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Andre eksponeringer — Eksponeringsværdi bag gearingsgraden — Eksponeringer opgjort efter standardmetoden</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bag gearingsgraden af aktiver, der er kategoriseret i de eksponeringsklasser, der er opført i artikel 112, litra k), m), n), o), p) og q), i CRR.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aktiver, der fratrækkes kapitalgrundlaget (f.eks. immaterielle aktiver), men som ikke kan kategoriseres på anden måde her, selv om en sådan kategorisering ikke kræves med henblik på at bestemme det risikobaserede kapitalgrundlagskrav i kolonne {*; 0030} og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Andre eksponeringer — Eksponeringsværdi bag gearingsgraden — Eksponeringer opgjort efter IRB-metoden</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aktiver, der er kategoriseret i de eksponeringsklasser, der er opført i artikel 147, stk. 2, litra e), f) og g), i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Institutterne skal indberette aktiver, der fratrækkes kapitalgrundlaget (f.eks. immaterielle aktiver), men som ikke kan kategoriseres på anden måde her, selv om en sådan kategorisering ikke kræves med henblik på at bestemme det risikobaserede kapitalgrundlagskrav i kolonne {*; 0030} og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Andre eksponeringer — Risikovægtede eksponeringer — Eksponeringer opgjort efter standardmetoden</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kategoriseret i de eksponeringsklasser, der er opført i artikel 112, litra k), m), n), o), p) og q), i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Andre eksponeringer — Risikovægtede eksponeringer — Eksponeringer opgjort efter IRB-metoden</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aktiver, der er kategoriseret i de eksponeringsklasser, der er opført i artikel 147, stk. 2, litra e), f) og g), i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heraf: </w:t>
            </w:r>
            <w:proofErr w:type="spellStart"/>
            <w:r>
              <w:rPr>
                <w:rFonts w:ascii="Times New Roman" w:hAnsi="Times New Roman"/>
                <w:b/>
                <w:sz w:val="24"/>
                <w:szCs w:val="24"/>
              </w:rPr>
              <w:t>Securitiseringseksponeringer</w:t>
            </w:r>
            <w:proofErr w:type="spellEnd"/>
            <w:r>
              <w:rPr>
                <w:rFonts w:ascii="Times New Roman" w:hAnsi="Times New Roman"/>
                <w:b/>
                <w:sz w:val="24"/>
                <w:szCs w:val="24"/>
              </w:rPr>
              <w:t xml:space="preserve"> – Eksponeringsværdi bag gearingsgraden – Eksponeringer opgjort efter standardmetoden</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bag gearingsgraden af aktiver, der er eksponeringer opgjort efter standardmetoden mod </w:t>
            </w:r>
            <w:proofErr w:type="spellStart"/>
            <w:r>
              <w:rPr>
                <w:rFonts w:ascii="Times New Roman" w:hAnsi="Times New Roman"/>
                <w:bCs/>
                <w:sz w:val="24"/>
                <w:szCs w:val="24"/>
              </w:rPr>
              <w:t>securitiseringer</w:t>
            </w:r>
            <w:proofErr w:type="spellEnd"/>
            <w:r>
              <w:rPr>
                <w:rFonts w:ascii="Times New Roman" w:hAnsi="Times New Roman"/>
                <w:bCs/>
                <w:sz w:val="24"/>
                <w:szCs w:val="24"/>
              </w:rPr>
              <w:t>, og som er omfattet af artikel 112, litra m), i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heraf: </w:t>
            </w:r>
            <w:proofErr w:type="spellStart"/>
            <w:r>
              <w:rPr>
                <w:rFonts w:ascii="Times New Roman" w:hAnsi="Times New Roman"/>
                <w:b/>
                <w:sz w:val="24"/>
                <w:szCs w:val="24"/>
              </w:rPr>
              <w:t>Securitiseringseksponeringer</w:t>
            </w:r>
            <w:proofErr w:type="spellEnd"/>
            <w:r>
              <w:rPr>
                <w:rFonts w:ascii="Times New Roman" w:hAnsi="Times New Roman"/>
                <w:b/>
                <w:sz w:val="24"/>
                <w:szCs w:val="24"/>
              </w:rPr>
              <w:t xml:space="preserve"> – Eksponeringsværdi bag gearingsgraden – Eksponeringer opgjort efter IRB-metoden</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Eksponeringsværdien bag gearingsgraden af aktiver, der er eksponeringer opgjort efter IRB-metoden mod </w:t>
            </w:r>
            <w:proofErr w:type="spellStart"/>
            <w:r>
              <w:rPr>
                <w:rFonts w:ascii="Times New Roman" w:hAnsi="Times New Roman"/>
                <w:bCs/>
                <w:sz w:val="24"/>
                <w:szCs w:val="24"/>
              </w:rPr>
              <w:t>securitiseringer</w:t>
            </w:r>
            <w:proofErr w:type="spellEnd"/>
            <w:r>
              <w:rPr>
                <w:rFonts w:ascii="Times New Roman" w:hAnsi="Times New Roman"/>
                <w:bCs/>
                <w:sz w:val="24"/>
                <w:szCs w:val="24"/>
              </w:rPr>
              <w:t>, og som er omfattet af artikel 147, litra f), i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heraf: </w:t>
            </w:r>
            <w:proofErr w:type="spellStart"/>
            <w:r>
              <w:rPr>
                <w:rFonts w:ascii="Times New Roman" w:hAnsi="Times New Roman"/>
                <w:b/>
                <w:bCs/>
                <w:sz w:val="24"/>
                <w:szCs w:val="24"/>
              </w:rPr>
              <w:t>Securitiseringseksponeringer</w:t>
            </w:r>
            <w:proofErr w:type="spellEnd"/>
            <w:r>
              <w:rPr>
                <w:rFonts w:ascii="Times New Roman" w:hAnsi="Times New Roman"/>
                <w:b/>
                <w:bCs/>
                <w:sz w:val="24"/>
                <w:szCs w:val="24"/>
              </w:rPr>
              <w:t xml:space="preserve"> — Risikovægtede eksponeringer — Eksponeringer opgjort efter standardmetoden</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Den risikovægtede eksponeringsværdi af aktiver, der er eksponeringer mod </w:t>
            </w:r>
            <w:proofErr w:type="spellStart"/>
            <w:r>
              <w:rPr>
                <w:rFonts w:ascii="Times New Roman" w:hAnsi="Times New Roman"/>
                <w:bCs/>
                <w:sz w:val="24"/>
                <w:szCs w:val="24"/>
              </w:rPr>
              <w:t>securitiseringer</w:t>
            </w:r>
            <w:proofErr w:type="spellEnd"/>
            <w:r>
              <w:rPr>
                <w:rFonts w:ascii="Times New Roman" w:hAnsi="Times New Roman"/>
                <w:bCs/>
                <w:sz w:val="24"/>
                <w:szCs w:val="24"/>
              </w:rPr>
              <w:t xml:space="preserve">, og som er omfattet af artikel 112, litra m), i CRR.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heraf: </w:t>
            </w:r>
            <w:proofErr w:type="spellStart"/>
            <w:r>
              <w:rPr>
                <w:rFonts w:ascii="Times New Roman" w:hAnsi="Times New Roman"/>
                <w:b/>
                <w:bCs/>
                <w:sz w:val="24"/>
                <w:szCs w:val="24"/>
              </w:rPr>
              <w:t>Securitiseringseksponeringer</w:t>
            </w:r>
            <w:proofErr w:type="spellEnd"/>
            <w:r>
              <w:rPr>
                <w:rFonts w:ascii="Times New Roman" w:hAnsi="Times New Roman"/>
                <w:b/>
                <w:bCs/>
                <w:sz w:val="24"/>
                <w:szCs w:val="24"/>
              </w:rPr>
              <w:t xml:space="preserve"> — Risikovægtede eksponeringer — Eksponeringer opgjort efter IRB-metoden</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Den risikovægtede eksponeringsværdi af aktiver, der er eksponeringer opgjort efter IRB-metoden mod </w:t>
            </w:r>
            <w:proofErr w:type="spellStart"/>
            <w:r>
              <w:rPr>
                <w:rFonts w:ascii="Times New Roman" w:hAnsi="Times New Roman"/>
                <w:bCs/>
                <w:sz w:val="24"/>
                <w:szCs w:val="24"/>
              </w:rPr>
              <w:t>securitiseringer</w:t>
            </w:r>
            <w:proofErr w:type="spellEnd"/>
            <w:r>
              <w:rPr>
                <w:rFonts w:ascii="Times New Roman" w:hAnsi="Times New Roman"/>
                <w:bCs/>
                <w:sz w:val="24"/>
                <w:szCs w:val="24"/>
              </w:rPr>
              <w:t xml:space="preserve">, og som er omfattet af artikel 147, stk. 2, litra f), i CRR.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Handelsfinansiering (memorandumpost) — Eksponeringsværdi bag gearingsgraden — Eksponeringer opgjort efter standardmetoden</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balanceførte poster vedrørende udlån til en eksportør eller importør af varer eller tjenester via import- og eksportkreditter og lignende transaktioner.</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standardmetoden.</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Handelsfinansiering (memorandumpost) — Eksponeringsværdi bag gearingsgraden — Eksponeringer opgjort efter IRB-metoden</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Eksponeringsværdien bag gearingsgraden af balanceførte poster vedrørende udlån til en eksportør eller importør af varer eller tjenester via import- og eksportkreditter og lignende transaktioner.</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Institutterne skal indberette denne post fratrukket misligholdte eksponeringer opgjort efter IRB-metoden.</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Handelsfinansiering (memorandumpost) — Risikovægtede eksponeringer — Eksponeringer opgjort efter standardmetoden</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Den risikovægtede eksponeringsværdi af balanceførte poster vedrørende udlån til en eksportør eller importør af varer eller tjenester via import- og eksportkreditter og lignende transaktioner.</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standardmetoden.</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Handelsfinansiering (memorandumpost) — Risikovægtede eksponeringer — Eksponeringer opgjort efter IRB-metoden</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Den risikovægtede eksponeringsværdi af balanceførte poster vedrørende udlån til en eksportør eller importør af varer eller tjenester via import- og eksportkreditter og lignende transaktioner.</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szCs w:val="24"/>
              </w:rPr>
              <w:t>heraf: I henhold til en officiel eksportkreditforsikringsordning — Eksponeringsværdi bag gearingsgraden — Eksponeringer opgjort efter standardmetoden</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bag gearingsgraden af balanceførte poster vedrørende handelsfinansiering i henhold til en officiel eksportkreditforsikringsordning.</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Institutterne skal indberette denne post fratrukket misligholdte eksponeringer opgjort efter standardmetoden.</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szCs w:val="24"/>
              </w:rPr>
              <w:t>heraf: I henhold til en officiel eksportkreditforsikringsordning — Eksponeringsværdi bag gearingsgraden — Eksponeringer opgjort efter IRB-metoden</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Eksponeringsværdien bag gearingsgraden af balanceførte poster vedrørende handelsfinansiering i henhold til en officiel eksportkreditforsikringsordning.</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heraf: i henhold til officiel eksportkreditforsikringsordning — Risikovægtede eksponeringer — Eksponeringer opgjort efter standardmetoden</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Den risikovægtede eksponeringsværdi af balanceførte poster vedrørende handelsfinansiering i henhold til en officiel eksportkreditforsikringsordning.</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Institutterne skal indberette denne post fratrukket misligholdte eksponeringer opgjort efter standardmetoden.</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heraf: i henhold til officiel eksportkreditforsikringsordning — Risikovægtede eksponeringer — Eksponeringer opgjort efter IRB-metoden</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Den risikovægtede eksponeringsværdi af balanceførte poster vedrørende handelsfinansiering i henhold til en officiel eksportkreditforsikringsordning.</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Med henblik på indberetning i LR4 skal en officiel eksportkreditforsikringsordning vedrøre officiel støtte ydet af regeringen eller en anden enhed, som f.eks. et eksportkreditagentur, i form af bl.a. direkte kredit/finansiering, refinansiering, rentestøtte (når en fast rente garanteres i kredittens løbetid), bistandsfinansiering (kreditter og tilskud), eksportkreditforsikring og garantier.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Institutterne skal indberette denne post fratrukket misligholdte eksponeringer opgjort efter IRB-metoden.</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57978227"/>
      <w:r>
        <w:rPr>
          <w:rFonts w:ascii="Times New Roman" w:hAnsi="Times New Roman"/>
          <w:b/>
          <w:sz w:val="24"/>
          <w:szCs w:val="24"/>
        </w:rPr>
        <w:t>6.</w:t>
      </w:r>
      <w:r>
        <w:tab/>
      </w:r>
      <w:r>
        <w:rPr>
          <w:rFonts w:ascii="Times New Roman" w:hAnsi="Times New Roman"/>
          <w:b/>
          <w:sz w:val="24"/>
          <w:szCs w:val="24"/>
        </w:rPr>
        <w:t>C 44.00 – Generelle oplysninger (LR5)</w:t>
      </w:r>
      <w:bookmarkEnd w:id="74"/>
      <w:bookmarkEnd w:id="75"/>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Her indberettes yderligere oplysninger med henblik på at kategorisere instituttets aktiviteter og reguleringsmæssige valg.</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Række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og kolonne</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Vejledning</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Instituttets selskabsstruktur</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Instituttet skal klassificere sin selskabsstruktur i en af følgende kategorier:</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Aktieselskab</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Gensidigt selskab/kooperativt selskab</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Andre ikkeaktieselskaber.</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Behandling af derivater</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Instituttet skal angive den regelomfattede behandling af derivater ved hjælp af følgende kategorier:</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Standardmetoden for modpartskreditrisiko</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Forenklet standardmetode for modpartskreditrisiko</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Den oprindelige eksponeringsmetode.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Instituttet skal klassificere sin instituttype i en af følgende kategorier:</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Almindelig bankvirksomhed (</w:t>
            </w:r>
            <w:proofErr w:type="spellStart"/>
            <w:r>
              <w:rPr>
                <w:rFonts w:ascii="Times New Roman" w:hAnsi="Times New Roman"/>
                <w:bCs/>
                <w:sz w:val="24"/>
                <w:szCs w:val="24"/>
              </w:rPr>
              <w:t>detail</w:t>
            </w:r>
            <w:proofErr w:type="spellEnd"/>
            <w:r>
              <w:rPr>
                <w:rFonts w:ascii="Times New Roman" w:hAnsi="Times New Roman"/>
                <w:bCs/>
                <w:sz w:val="24"/>
                <w:szCs w:val="24"/>
              </w:rPr>
              <w:t>-, forretnings- og investeringsbanker)</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Detail- og forretningsbankvirksomhed</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Investeringsbankvirksomhed</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Specialiseret långivning</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 xml:space="preserve">-     </w:t>
            </w:r>
            <w:r>
              <w:rPr>
                <w:rFonts w:ascii="Times New Roman" w:hAnsi="Times New Roman"/>
                <w:sz w:val="24"/>
                <w:szCs w:val="24"/>
              </w:rPr>
              <w:t>Offentlige udviklingskreditinstitutter</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Anden forretningsmodel.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Institut med en offentlig udviklingsenhed</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Institutter, som ikke er offentlige udviklingskreditinstitutter, skal angive, om de har en offentlig udviklingsenhed.</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Enhed, der garanterer for den/det offentlige udviklingskreditinstitut/-enhed i overensstemmelse med artikel 429a, stk. 2, litra d), i CRR: centralregering eller regional eller lokal myndighed</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szCs w:val="24"/>
              </w:rPr>
              <w:t>De institutter, der enten er et offentligt udviklingskreditinstitut eller har en offentlig udviklingsenhed, skal indberette, om de er garanteret af en centralregering eller en regional eller lokal myndighed.</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angive "TRUE" i den række, der svarer til den eller de relevante typer af udbyder af kreditrisikoafdækning, og ellers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Centralregering, der garanterer for den/det offentlige udviklingskreditinstitut/-enhed</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Regional myndighed, der garanterer for den/det offentlige udviklingskreditinstitut/-enhed</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Lokal myndighed, der garanterer for den/det offentlige udviklingskreditinstitut/-enhed</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Type af modtaget garanti i overensstemmelse med artikel 429a, stk. 2, litra d), i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szCs w:val="24"/>
              </w:rPr>
              <w:t>De institutter, der enten er et offentligt udviklingskreditinstitut eller har en offentlig udviklingsenhed, skal indberette typen af modtaget garanti.</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Institutter skal angive "TRUE" i den række, der svarer til den eller de relevante garantityper, og ellers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Forpligtelse til at opretholde kreditinstitutters levedygtighed</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Direkte garanti for kreditinstitutters kapitalgrundlagskrav, finansieringskrav eller ydede støttelån</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Indirekte garanti for kreditinstitutters kapitalgrundlagskrav, finansieringskrav eller ydede støttelån</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57978228"/>
      <w:r>
        <w:rPr>
          <w:rFonts w:ascii="Times New Roman" w:hAnsi="Times New Roman"/>
          <w:b/>
          <w:sz w:val="24"/>
          <w:szCs w:val="24"/>
        </w:rPr>
        <w:t>7.</w:t>
      </w:r>
      <w:r>
        <w:tab/>
      </w:r>
      <w:r>
        <w:rPr>
          <w:rFonts w:ascii="Times New Roman" w:hAnsi="Times New Roman"/>
          <w:b/>
          <w:sz w:val="24"/>
          <w:szCs w:val="24"/>
        </w:rPr>
        <w:t xml:space="preserve">C 48.00 Gearingsgradens </w:t>
      </w:r>
      <w:proofErr w:type="spellStart"/>
      <w:r>
        <w:rPr>
          <w:rFonts w:ascii="Times New Roman" w:hAnsi="Times New Roman"/>
          <w:b/>
          <w:sz w:val="24"/>
          <w:szCs w:val="24"/>
        </w:rPr>
        <w:t>volatilitet</w:t>
      </w:r>
      <w:proofErr w:type="spellEnd"/>
      <w:r>
        <w:rPr>
          <w:rFonts w:ascii="Times New Roman" w:hAnsi="Times New Roman"/>
          <w:b/>
          <w:sz w:val="24"/>
          <w:szCs w:val="24"/>
        </w:rPr>
        <w:t xml:space="preserve">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Oplysningerne indsamles med henblik på at overvåge gearingsgradens </w:t>
      </w:r>
      <w:proofErr w:type="spellStart"/>
      <w:r>
        <w:rPr>
          <w:rFonts w:ascii="Times New Roman" w:hAnsi="Times New Roman"/>
          <w:sz w:val="24"/>
          <w:szCs w:val="24"/>
        </w:rPr>
        <w:t>volatilitet</w:t>
      </w:r>
      <w:proofErr w:type="spellEnd"/>
      <w:r>
        <w:rPr>
          <w:rFonts w:ascii="Times New Roman" w:hAnsi="Times New Roman"/>
          <w:sz w:val="24"/>
          <w:szCs w:val="24"/>
        </w:rPr>
        <w:t xml:space="preserve">. Disse oplysninger indberettes kun af store institutter.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57978229"/>
      <w:r>
        <w:rPr>
          <w:rFonts w:ascii="Times New Roman" w:hAnsi="Times New Roman"/>
          <w:b/>
          <w:sz w:val="24"/>
          <w:szCs w:val="24"/>
        </w:rPr>
        <w:t>8.</w:t>
      </w:r>
      <w:r>
        <w:tab/>
      </w:r>
      <w:r>
        <w:rPr>
          <w:rFonts w:ascii="Times New Roman" w:hAnsi="Times New Roman"/>
          <w:b/>
          <w:sz w:val="24"/>
          <w:szCs w:val="24"/>
        </w:rPr>
        <w:t xml:space="preserve">C 48.01 Gearingsgradens </w:t>
      </w:r>
      <w:proofErr w:type="spellStart"/>
      <w:r>
        <w:rPr>
          <w:rFonts w:ascii="Times New Roman" w:hAnsi="Times New Roman"/>
          <w:b/>
          <w:sz w:val="24"/>
          <w:szCs w:val="24"/>
        </w:rPr>
        <w:t>volatilitet</w:t>
      </w:r>
      <w:proofErr w:type="spellEnd"/>
      <w:r>
        <w:rPr>
          <w:rFonts w:ascii="Times New Roman" w:hAnsi="Times New Roman"/>
          <w:b/>
          <w:sz w:val="24"/>
          <w:szCs w:val="24"/>
        </w:rPr>
        <w:t>: Gennemsnitlig værdi for indberetningsperioden</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Række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og kolonne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Vejledning</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Gennemsnitlig værdi for indberetningsperioden — </w:t>
            </w:r>
            <w:proofErr w:type="spellStart"/>
            <w:r>
              <w:rPr>
                <w:rFonts w:ascii="Times New Roman" w:hAnsi="Times New Roman"/>
                <w:b/>
                <w:color w:val="auto"/>
                <w:sz w:val="24"/>
                <w:szCs w:val="24"/>
              </w:rPr>
              <w:t>SFT'ers</w:t>
            </w:r>
            <w:proofErr w:type="spellEnd"/>
            <w:r>
              <w:rPr>
                <w:rFonts w:ascii="Times New Roman" w:hAnsi="Times New Roman"/>
                <w:b/>
                <w:color w:val="auto"/>
                <w:sz w:val="24"/>
                <w:szCs w:val="24"/>
              </w:rPr>
              <w:t xml:space="preserve"> eksponeringsværdi</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Institutter skal indberette den gennemsnitlige værdi af de daglige værdier af SFT-eksponeringsværdien med fradrag af det ikke medregnede CCP-element af kundeclearede handelseksponeringer som fastsat i række 0010 og 0050 i skema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Gennemsnitlig værdi for indberetningsperioden — Justeringer for regnskabsmæssige transaktioner vedrørende salg af værdipapirer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 xml:space="preserve">Institutter skal indberette den gennemsnitlige værdi af indberetningsperiodens daglige værdier af justeringer for </w:t>
            </w:r>
            <w:r>
              <w:rPr>
                <w:rFonts w:ascii="Times New Roman" w:hAnsi="Times New Roman"/>
                <w:sz w:val="24"/>
                <w:szCs w:val="24"/>
              </w:rPr>
              <w:lastRenderedPageBreak/>
              <w:t>regnskabsmæssige transaktioner vedrørende salg af værdipapirer som fastsat i række 0230 af skema C 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57978230"/>
      <w:r>
        <w:rPr>
          <w:rFonts w:ascii="Times New Roman" w:hAnsi="Times New Roman"/>
          <w:b/>
          <w:sz w:val="24"/>
          <w:szCs w:val="24"/>
        </w:rPr>
        <w:t>9.</w:t>
      </w:r>
      <w:r>
        <w:tab/>
      </w:r>
      <w:r>
        <w:rPr>
          <w:rFonts w:ascii="Times New Roman" w:hAnsi="Times New Roman"/>
          <w:b/>
          <w:sz w:val="24"/>
          <w:szCs w:val="24"/>
        </w:rPr>
        <w:t xml:space="preserve">C 48.02 Gearingsgradens </w:t>
      </w:r>
      <w:proofErr w:type="spellStart"/>
      <w:r>
        <w:rPr>
          <w:rFonts w:ascii="Times New Roman" w:hAnsi="Times New Roman"/>
          <w:b/>
          <w:sz w:val="24"/>
          <w:szCs w:val="24"/>
        </w:rPr>
        <w:t>volatilitet</w:t>
      </w:r>
      <w:proofErr w:type="spellEnd"/>
      <w:r>
        <w:rPr>
          <w:rFonts w:ascii="Times New Roman" w:hAnsi="Times New Roman"/>
          <w:b/>
          <w:sz w:val="24"/>
          <w:szCs w:val="24"/>
        </w:rPr>
        <w:t>: Daglige værdier for indberetningsperioden</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De daglige værdier i løbet af kvartalet skal indberettes.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Række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og kolonne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Vejledning</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Referencedato inden for indberetningsperiode</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Institutter skal indberette, hvilken dato den indberettede daglige værdi vedrører. Hver dag i indberetningsperioden skal indberettes.</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proofErr w:type="spellStart"/>
            <w:r>
              <w:rPr>
                <w:rFonts w:ascii="Times New Roman" w:hAnsi="Times New Roman"/>
                <w:b/>
                <w:color w:val="auto"/>
                <w:sz w:val="24"/>
                <w:szCs w:val="24"/>
              </w:rPr>
              <w:t>SFT'ers</w:t>
            </w:r>
            <w:proofErr w:type="spellEnd"/>
            <w:r>
              <w:rPr>
                <w:rFonts w:ascii="Times New Roman" w:hAnsi="Times New Roman"/>
                <w:b/>
                <w:color w:val="auto"/>
                <w:sz w:val="24"/>
                <w:szCs w:val="24"/>
              </w:rPr>
              <w:t xml:space="preserve"> eksponeringsværdi</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Institutter skal indberette de daglige værdier af SFT-eksponeringsværdien med fradrag af det ikke medregnede CCP-element af kundeclearede handelseksponeringer som fastsat i række 0010 og 0050 i skema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Justeringer for regnskabsmæssige transaktioner vedrørende salg af værdipapirer</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Institutter skal indberette indberetningsperiodens daglige værdier af justeringer for regnskabsmæssige transaktioner vedrørende salg af værdipapirer som fastsat i række 0230 i skema C 47.00.</w:t>
            </w:r>
          </w:p>
        </w:tc>
      </w:tr>
    </w:tbl>
    <w:p w14:paraId="49B21AC1" w14:textId="77777777" w:rsidR="0009615C" w:rsidRPr="000B66BC" w:rsidRDefault="0009615C" w:rsidP="000B66BC">
      <w:pPr>
        <w:pStyle w:val="BodyText1"/>
        <w:spacing w:after="240"/>
        <w:rPr>
          <w:rFonts w:ascii="Times New Roman" w:hAnsi="Times New Roman"/>
          <w:sz w:val="24"/>
          <w:szCs w:val="24"/>
        </w:rPr>
      </w:pPr>
      <w:bookmarkStart w:id="81" w:name="_GoBack"/>
      <w:bookmarkEnd w:id="81"/>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6663A4AF" w:rsidR="000B66BC" w:rsidRDefault="000B66BC">
        <w:pPr>
          <w:pStyle w:val="Footer"/>
          <w:jc w:val="center"/>
        </w:pPr>
        <w:r>
          <w:fldChar w:fldCharType="begin"/>
        </w:r>
        <w:r>
          <w:instrText xml:space="preserve"> PAGE   \* MERGEFORMAT </w:instrText>
        </w:r>
        <w:r>
          <w:fldChar w:fldCharType="separate"/>
        </w:r>
        <w:r w:rsidR="00ED017F">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6BE8F465"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ED017F">
          <w:rPr>
            <w:rFonts w:ascii="Times New Roman" w:hAnsi="Times New Roman"/>
            <w:noProof/>
            <w:sz w:val="20"/>
          </w:rPr>
          <w:t>70</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val="en-GB" w:eastAsia="en-GB"/>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activeWritingStyle w:appName="MSWord" w:lang="da-DK" w:vendorID="64" w:dllVersion="131078"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17F"/>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a-D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a-D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a-DK"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2.xml><?xml version="1.0" encoding="utf-8"?>
<ds:datastoreItem xmlns:ds="http://schemas.openxmlformats.org/officeDocument/2006/customXml" ds:itemID="{6735FA28-51C3-48C9-8F89-B5134D62CEDE}">
  <ds:schemaRefs>
    <ds:schemaRef ds:uri="http://schemas.openxmlformats.org/officeDocument/2006/bibliography"/>
  </ds:schemaRefs>
</ds:datastoreItem>
</file>

<file path=customXml/itemProps3.xml><?xml version="1.0" encoding="utf-8"?>
<ds:datastoreItem xmlns:ds="http://schemas.openxmlformats.org/officeDocument/2006/customXml" ds:itemID="{B37FE034-3924-4B5E-9007-2AC44C7D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19206</Words>
  <Characters>127679</Characters>
  <Application>Microsoft Office Word</Application>
  <DocSecurity>0</DocSecurity>
  <Lines>2969</Lines>
  <Paragraphs>1707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145178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2020-12-04T11:44:00Z</dcterms:modified>
</cp:coreProperties>
</file>