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ПРИЛОЖЕНИЕ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УКАЗАНИЯ ЗА ДОКЛАДВАНЕ НА ДОПЪЛНИТЕЛНИТЕ ПОКАЗАТЕЛИ ЗА НАБЛЮДЕНИЕ НА ЛИКВИДНОСТТА</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Допълнителни показатели за наблюдение</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Общи положения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С цел наблюдение на ликвидния риск на институцията, попадащ извън обхвата на докладите относно ликвидното покритие и стабилното финансиране, институциите попълват образеца в приложение XVIII съгласно указанията в настоящото приложение.</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Общият размер на финансирането включва всички финансови пасиви, различни от деривати и къси позиции.</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Счита се, че падежът на финансирането с отворен падеж, включително при безсрочни влогове, настъпва на следващия ден.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Първоначалният срок до падежа представлява времето между датата на иницииране и датата на падеж на финансирането. Датата на падежа на финансирането се определя в съответствие с параграф 12 от приложение XXIII. Това означава, че при възможност за избор, какъвто е случаят по параграф 12 от приложение XXIII, първоначалният падеж на финансираната позиция може да бъде по-кратък от времето, което е изтекло от инициирането ѝ.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Остатъчният срок до падежа представлява времето между края на периода на докладване и датата на падеж на финансирането. Датата на падежа на финансирането се определя в съответствие с параграф 12 от приложение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При изчисляването на средно претегления първоначален или остатъчен срок до падежа на влоговете с падеж на следващия ден се счита, че срокът им до падежа е един ден.</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При изчисляването на първоначалния и остатъчния срок до падежа на финансирането, по което е предвидено предизвестие или клауза за обезсилване или предсрочно теглене в полза на контрагента на институцията, се приема, че предсрочното теглене ще настъпи на първата възможна дата.</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 xml:space="preserve">Приема се, че </w:t>
      </w:r>
      <w:proofErr w:type="spellStart"/>
      <w:r>
        <w:rPr>
          <w:sz w:val="24"/>
          <w:u w:val="none"/>
        </w:rPr>
        <w:t>перпетюитетните</w:t>
      </w:r>
      <w:proofErr w:type="spellEnd"/>
      <w:r>
        <w:rPr>
          <w:sz w:val="24"/>
          <w:u w:val="none"/>
        </w:rPr>
        <w:t xml:space="preserve"> пасиви, с изключение на тези с възможност за избор, както е посочено в параграф 12 от приложение XXIII, имат фиксиран първоначален и остатъчен срок до падежа от двадесет години.</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За изчисляването на процентния праг в образци C 67.00 и C 68.00 по съществена валута институциите използват праг в размер на 1 % от общия размер на пасивите във всички валути.</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Концентрация на финансирането по контрагенти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Институциите следват указанията от настоящия раздел във връзка със събирането на информация относно концентрацията на финансирането по контрагенти на докладващата институция в образец C 67.00.</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lastRenderedPageBreak/>
        <w:t>Институциите докладват десетте най-значими контрагенти или група от свързани клиенти — определени в член 4, параграф 1, точка 39 от Регламент (ЕС) № 575/2013, когато финансирането, получено от един контрагент или група от свързани клиенти, превишава праг от 1 % от общия размер на пасивите, докладвани в раздел 1, редове 020 — 110 от образеца. Контрагентът, докладван в позиция 1.01, представлява най-голямата сума на финансиране, получено от един контрагент или група от свързани клиенти, която превишава прага от 1 % към датата на докладване. Позиция 1.02 е втората по големина над прага от 1 %, а за останалите позиции е аналогично.</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Информацията за контрагент, принадлежащ към няколко групи от свързани клиенти, се докладва само веднъж в групата с най-големия размер на финансирането.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Институциите докладват общия размер на останалата част от финансирането в раздел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Общите суми по раздел 1 и раздел 2 са равни на общия размер на финансирането на институцията съгласно нейния счетоводен баланс, докладван в съответствие с рамката за финансова отчетност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За всеки контрагент институциите докладват всички колони от 010 до 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Когато е получено финансиране в повече от един вид продукт, се докладва видът продукт, в който е получен най-голям дял от финансирането. Притежателят на ценните книжа може да бъде идентифициран на базата на полагане на максимални усилия. Когато разполага с информация за притежателя на ценните книжа (в ролята си на банка депозитар), институция взима предвид тази сума при докладването на концентрацията на контрагентите. Когато за притежателя на ценните книжа няма налична информация, съответната сума не е необходимо да се докладва.</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Указания относно конкретни колони:</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Колона</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Име/фирма на контрагента</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Името/фирмата на всеки контрагент, от когото е получено финансиране, превишаващо 1 % от общия размер на пасивите, се вписва в колона 010 в низходящ ред, т.е. по реда на размера на полученото финансиране.</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Посочва се името/фирмата на контрагента — физическо лице или правен субект. Когато контрагентът е правен субект, се вписва пълното наименование на правния субект, от когото произхожда финансирането, включително видът на дружеството в съответствие с националното дружествено право.</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Код</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 xml:space="preserve">Този код представлява идентификационният номер на съответния ред и е индивидуален за всеки ред в таблицата. За институциите и застрахователните предприятия кодът е ИКПС. За останалите субекти кодът е ИКПС или, ако няма такъв, национален код. Кодът </w:t>
            </w:r>
            <w:r>
              <w:rPr>
                <w:rStyle w:val="FormatvorlageInstructionsTabelleText"/>
                <w:rFonts w:ascii="Times New Roman" w:hAnsi="Times New Roman"/>
                <w:sz w:val="24"/>
              </w:rPr>
              <w:lastRenderedPageBreak/>
              <w:t>е индивидуален и се използва само той във всички образци и във времето. Той трябва винаги да има стойност.</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lastRenderedPageBreak/>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Вид на кода</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Институциите посочват вида код, посочен в колона 015, като „ИКПС“ или „код, различен от ИКПС“.</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Видът на кода винаги се посочва.</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Национален код</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Когато в колона „Код“ посочват ИКПС като идентификационен код, институциите могат да посочват и национален код.</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Сектор на контрагента</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Всеки контрагент се разпределя в отделен икономически сектор според класовете икономически сектори съгласно FINREP:</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централна банка; ii) сектор „Държавно управление“; iii) кредитна институция; iv) друго финансово предприятие; v) нефинансово предприятие; vi) домакинство.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За групите от свързани клиенти не се посочва сектор.</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Местопребиваване на контрагента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Използва се </w:t>
            </w:r>
            <w:proofErr w:type="spellStart"/>
            <w:r>
              <w:rPr>
                <w:rStyle w:val="FormatvorlageInstructionsTabelleText"/>
                <w:rFonts w:ascii="Times New Roman" w:hAnsi="Times New Roman"/>
                <w:sz w:val="24"/>
              </w:rPr>
              <w:t>двубуквеният</w:t>
            </w:r>
            <w:proofErr w:type="spellEnd"/>
            <w:r>
              <w:rPr>
                <w:rStyle w:val="FormatvorlageInstructionsTabelleText"/>
                <w:rFonts w:ascii="Times New Roman" w:hAnsi="Times New Roman"/>
                <w:sz w:val="24"/>
              </w:rPr>
              <w:t xml:space="preserve"> код по стандарт ISO 3166-1 на държавата на учредяване на контрагента (включително </w:t>
            </w:r>
            <w:proofErr w:type="spellStart"/>
            <w:r>
              <w:rPr>
                <w:rStyle w:val="FormatvorlageInstructionsTabelleText"/>
                <w:rFonts w:ascii="Times New Roman" w:hAnsi="Times New Roman"/>
                <w:sz w:val="24"/>
              </w:rPr>
              <w:t>псевдокодовете</w:t>
            </w:r>
            <w:proofErr w:type="spellEnd"/>
            <w:r>
              <w:rPr>
                <w:rStyle w:val="FormatvorlageInstructionsTabelleText"/>
                <w:rFonts w:ascii="Times New Roman" w:hAnsi="Times New Roman"/>
                <w:sz w:val="24"/>
              </w:rPr>
              <w:t xml:space="preserve"> по ISO на международните организации</w:t>
            </w:r>
            <w:r>
              <w:rPr>
                <w:sz w:val="24"/>
              </w:rPr>
              <w:t>, публикувани в най-актуалното издание на наръчника на Евростат относно платежния баланс)</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За групите от свързани клиенти не се посочва държава.</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Вид продукт</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За контрагентите, посочени в колона 010, се определя видът продукт, съответстващ на емитирания продукт, в който е получено финансирането, или при смесени видове продукти — продуктът, в който е получен най-голям дял от финансирането, като се използват следните кодове с удебелен шрифт:</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UWF</w:t>
            </w:r>
            <w:r>
              <w:rPr>
                <w:rFonts w:ascii="Times New Roman" w:hAnsi="Times New Roman"/>
                <w:color w:val="000000"/>
                <w:sz w:val="24"/>
              </w:rPr>
              <w:t xml:space="preserve"> (необезпечено финансиране на едро, получено от финансови клиенти, в т.ч. междубанкови парични средства);</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UWNF</w:t>
            </w:r>
            <w:r>
              <w:rPr>
                <w:rFonts w:ascii="Times New Roman" w:hAnsi="Times New Roman"/>
                <w:color w:val="000000"/>
                <w:sz w:val="24"/>
              </w:rPr>
              <w:t xml:space="preserve"> (необезпечено финансиране на едро, получено от нефинансови клиенти);</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SFT</w:t>
            </w:r>
            <w:r>
              <w:rPr>
                <w:rFonts w:ascii="Times New Roman" w:hAnsi="Times New Roman"/>
                <w:color w:val="000000"/>
                <w:sz w:val="24"/>
              </w:rPr>
              <w:t xml:space="preserve"> (финансиране, получено по </w:t>
            </w:r>
            <w:proofErr w:type="spellStart"/>
            <w:r>
              <w:rPr>
                <w:rFonts w:ascii="Times New Roman" w:hAnsi="Times New Roman"/>
                <w:color w:val="000000"/>
                <w:sz w:val="24"/>
              </w:rPr>
              <w:t>репо</w:t>
            </w:r>
            <w:proofErr w:type="spellEnd"/>
            <w:r>
              <w:rPr>
                <w:rFonts w:ascii="Times New Roman" w:hAnsi="Times New Roman"/>
                <w:color w:val="000000"/>
                <w:sz w:val="24"/>
              </w:rPr>
              <w:t xml:space="preserve"> споразумения, както са определени в член 4, параграф 1, точка 82 от Регламент (ЕС) № 575/2013);</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CB</w:t>
            </w:r>
            <w:r>
              <w:rPr>
                <w:rFonts w:ascii="Times New Roman" w:hAnsi="Times New Roman"/>
                <w:color w:val="000000"/>
                <w:sz w:val="24"/>
              </w:rPr>
              <w:t xml:space="preserve"> (финансиране, получено от емитиране на покрити облигации, както са определени в член 129, параграф 4 или </w:t>
            </w:r>
            <w:r>
              <w:rPr>
                <w:rFonts w:ascii="Times New Roman" w:hAnsi="Times New Roman"/>
                <w:color w:val="000000"/>
                <w:sz w:val="24"/>
              </w:rPr>
              <w:lastRenderedPageBreak/>
              <w:t>5 от Регламент (ЕС) № 575/2013 или в член 52, параграф 4 от Директива 2009/65/ЕО);</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ABS</w:t>
            </w:r>
            <w:r>
              <w:rPr>
                <w:rFonts w:ascii="Times New Roman" w:hAnsi="Times New Roman"/>
                <w:color w:val="000000"/>
                <w:sz w:val="24"/>
              </w:rPr>
              <w:t xml:space="preserve"> (финансиране, получено от емитиране на ценни книжа, обезпечени с активи, в т.ч. търговски книжа, обезпечени с активи);</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IGCP</w:t>
            </w:r>
            <w:r>
              <w:rPr>
                <w:rFonts w:ascii="Times New Roman" w:hAnsi="Times New Roman"/>
                <w:color w:val="000000"/>
                <w:sz w:val="24"/>
              </w:rPr>
              <w:t xml:space="preserve"> (финансиране, получено от контрагенти в рамките на групата);</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OSWF</w:t>
            </w:r>
            <w:r>
              <w:rPr>
                <w:rFonts w:ascii="Times New Roman" w:hAnsi="Times New Roman"/>
                <w:color w:val="000000"/>
                <w:sz w:val="24"/>
              </w:rPr>
              <w:t xml:space="preserve"> (друго обезпечено финансиране на едро);</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bCs/>
                <w:color w:val="000000"/>
                <w:sz w:val="24"/>
              </w:rPr>
              <w:t>OFP</w:t>
            </w:r>
            <w:r>
              <w:rPr>
                <w:rFonts w:ascii="Times New Roman" w:hAnsi="Times New Roman"/>
                <w:color w:val="000000"/>
                <w:sz w:val="24"/>
              </w:rPr>
              <w:t xml:space="preserve"> (други продукти за финансиране, например финансиране на дребно).</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Получена сума</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Общият размер на финансирането, получено от посочените в колона 010 контрагенти, се докладва в колона 060, където институциите докладват балансовите стойности.</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proofErr w:type="spellStart"/>
            <w:r>
              <w:rPr>
                <w:rFonts w:ascii="Times New Roman" w:hAnsi="Times New Roman"/>
                <w:b/>
                <w:sz w:val="24"/>
                <w:u w:val="single"/>
              </w:rPr>
              <w:t>Среднопретеглен</w:t>
            </w:r>
            <w:proofErr w:type="spellEnd"/>
            <w:r>
              <w:rPr>
                <w:rFonts w:ascii="Times New Roman" w:hAnsi="Times New Roman"/>
                <w:b/>
                <w:sz w:val="24"/>
                <w:u w:val="single"/>
              </w:rPr>
              <w:t xml:space="preserve"> първоначален срок до падежа</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 xml:space="preserve">За размера на докладваното в колона 060 финансиране, получено от посочения в колона 010 контрагент, в колона 070 се вписва </w:t>
            </w:r>
            <w:proofErr w:type="spellStart"/>
            <w:r>
              <w:rPr>
                <w:rFonts w:ascii="Times New Roman" w:hAnsi="Times New Roman"/>
                <w:sz w:val="24"/>
              </w:rPr>
              <w:t>среднопретегленият</w:t>
            </w:r>
            <w:proofErr w:type="spellEnd"/>
            <w:r>
              <w:rPr>
                <w:rFonts w:ascii="Times New Roman" w:hAnsi="Times New Roman"/>
                <w:sz w:val="24"/>
              </w:rPr>
              <w:t xml:space="preserve"> първоначален срок до падежа (в дни) на това финансиране.</w:t>
            </w:r>
          </w:p>
          <w:p w14:paraId="33D52360" w14:textId="2813CB18" w:rsidR="005B086D" w:rsidRPr="001263B4" w:rsidRDefault="008563C0" w:rsidP="001263B4">
            <w:pPr>
              <w:spacing w:before="0"/>
              <w:rPr>
                <w:rFonts w:ascii="Times New Roman" w:hAnsi="Times New Roman"/>
                <w:sz w:val="24"/>
              </w:rPr>
            </w:pPr>
            <w:proofErr w:type="spellStart"/>
            <w:r>
              <w:rPr>
                <w:rFonts w:ascii="Times New Roman" w:hAnsi="Times New Roman"/>
                <w:sz w:val="24"/>
              </w:rPr>
              <w:t>Среднопретегленият</w:t>
            </w:r>
            <w:proofErr w:type="spellEnd"/>
            <w:r>
              <w:rPr>
                <w:rFonts w:ascii="Times New Roman" w:hAnsi="Times New Roman"/>
                <w:sz w:val="24"/>
              </w:rPr>
              <w:t xml:space="preserve"> първоначален срок до падежа се изчислява като средната стойност за първоначалния срок до падежа (в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proofErr w:type="spellStart"/>
            <w:r>
              <w:rPr>
                <w:rFonts w:ascii="Times New Roman" w:hAnsi="Times New Roman"/>
                <w:b/>
                <w:sz w:val="24"/>
                <w:u w:val="single"/>
              </w:rPr>
              <w:t>Среднопретеглен</w:t>
            </w:r>
            <w:proofErr w:type="spellEnd"/>
            <w:r>
              <w:rPr>
                <w:rFonts w:ascii="Times New Roman" w:hAnsi="Times New Roman"/>
                <w:b/>
                <w:sz w:val="24"/>
                <w:u w:val="single"/>
              </w:rPr>
              <w:t xml:space="preserve"> остатъчен срок до падежа</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 xml:space="preserve">За размера на докладваното в колона 060 финансиране, получено от посочения в колона 010 контрагент, в колона 080 се вписва </w:t>
            </w:r>
            <w:proofErr w:type="spellStart"/>
            <w:r>
              <w:rPr>
                <w:rFonts w:ascii="Times New Roman" w:hAnsi="Times New Roman"/>
                <w:sz w:val="24"/>
              </w:rPr>
              <w:t>среднопретегленият</w:t>
            </w:r>
            <w:proofErr w:type="spellEnd"/>
            <w:r>
              <w:rPr>
                <w:rFonts w:ascii="Times New Roman" w:hAnsi="Times New Roman"/>
                <w:sz w:val="24"/>
              </w:rPr>
              <w:t xml:space="preserve"> остатъчен срок до падежа (в дни) на това финансиране.</w:t>
            </w:r>
          </w:p>
          <w:p w14:paraId="4CB0B549" w14:textId="150F8974" w:rsidR="00A344AA" w:rsidRPr="001263B4" w:rsidRDefault="009C059B" w:rsidP="001263B4">
            <w:pPr>
              <w:spacing w:before="0"/>
              <w:rPr>
                <w:rFonts w:ascii="Times New Roman" w:hAnsi="Times New Roman"/>
                <w:b/>
                <w:sz w:val="24"/>
                <w:u w:val="single"/>
              </w:rPr>
            </w:pPr>
            <w:proofErr w:type="spellStart"/>
            <w:r>
              <w:rPr>
                <w:rFonts w:ascii="Times New Roman" w:hAnsi="Times New Roman"/>
                <w:sz w:val="24"/>
              </w:rPr>
              <w:t>Среднопретегленият</w:t>
            </w:r>
            <w:proofErr w:type="spellEnd"/>
            <w:r>
              <w:rPr>
                <w:rFonts w:ascii="Times New Roman" w:hAnsi="Times New Roman"/>
                <w:sz w:val="24"/>
              </w:rPr>
              <w:t xml:space="preserve"> остатъчен срок до падежа се изчислява като средната стойност за остатъчния срок до падежа (в оставащи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Концентрация на финансирането по видове продукти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Този образец е предназначен за събиране на информация за концентрацията на финансирането по видове продукти на докладващата институция, разпределена по следните видове финансиране съгласно посочените по-долу указания за редовете: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Ред</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tab/>
            </w:r>
            <w:r>
              <w:rPr>
                <w:rFonts w:ascii="Times New Roman" w:hAnsi="Times New Roman"/>
                <w:b/>
                <w:sz w:val="24"/>
                <w:u w:val="single"/>
              </w:rPr>
              <w:t>Финансиране на дребно</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Влогове на дребно по смисъла на член 3, параграф 8 от Делегиран регламент (ЕС)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tab/>
            </w:r>
            <w:r>
              <w:rPr>
                <w:rFonts w:ascii="Times New Roman" w:hAnsi="Times New Roman"/>
                <w:b/>
                <w:sz w:val="24"/>
                <w:u w:val="single"/>
              </w:rPr>
              <w:t>в т.ч. безсрочни влогове</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Тази част от финансирането на дребно по ред 010, която представлява безсрочни влогове.</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tab/>
            </w:r>
            <w:r>
              <w:rPr>
                <w:rFonts w:ascii="Times New Roman" w:hAnsi="Times New Roman"/>
                <w:b/>
                <w:sz w:val="24"/>
                <w:u w:val="single"/>
              </w:rPr>
              <w:t>в т.ч. срочни влогове без възможност за теглене в рамките на следващите 30 дни</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Тази част от финансирането на дребно по ред 010, която представлява срочни влогове без възможност за теглене в рамките на следващите 30 дни.</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tab/>
            </w:r>
            <w:r>
              <w:rPr>
                <w:rFonts w:ascii="Times New Roman" w:hAnsi="Times New Roman"/>
                <w:b/>
                <w:sz w:val="24"/>
                <w:u w:val="single"/>
              </w:rPr>
              <w:t>в т.ч. срочни влогове с възможност за теглене в рамките на следващите 30 дни</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Тази част от финансирането на дребно по ред 010, която представлява срочни влогове с възможност за теглене в рамките на следващите 30 дни.</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tab/>
            </w:r>
            <w:r>
              <w:rPr>
                <w:rFonts w:ascii="Times New Roman" w:hAnsi="Times New Roman"/>
                <w:b/>
                <w:sz w:val="24"/>
                <w:u w:val="single"/>
              </w:rPr>
              <w:t>в т.ч. спестовни сметки, притежаващи някоя от следните характеристики;</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Тази част от финансирането на дребно по ред 010, която представлява спестовни сметки, притежаващи някоя от следните характеристики:</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със срок за предизвестие за теглене, по-дълъг от 30 дни;</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без срок за предизвестие за теглене, по-дълъг от 30 дни.</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Този ред не се докладва.</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tab/>
            </w:r>
            <w:r>
              <w:rPr>
                <w:rFonts w:ascii="Times New Roman" w:hAnsi="Times New Roman"/>
                <w:b/>
                <w:sz w:val="24"/>
                <w:u w:val="single"/>
              </w:rPr>
              <w:t>със срок за предизвестие за теглене, по-дълъг от 30 дни;</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Тази част от финансирането на дребно по ред 010, която представлява спестовни сметки, чийто срок за предизвестие за теглене е по-дълъг от 30 дни.</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tab/>
            </w:r>
            <w:r>
              <w:rPr>
                <w:rFonts w:ascii="Times New Roman" w:hAnsi="Times New Roman"/>
                <w:b/>
                <w:sz w:val="24"/>
                <w:u w:val="single"/>
              </w:rPr>
              <w:t>без срок за предизвестие за теглене, по-дълъг от 30 дни;</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Тази част от финансирането на дребно по ред 010, която представлява спестовни сметки без срок за предизвестие за теглене, по-дълъг от 30 дни.</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tab/>
            </w:r>
            <w:r>
              <w:rPr>
                <w:rFonts w:ascii="Times New Roman" w:hAnsi="Times New Roman"/>
                <w:b/>
                <w:sz w:val="24"/>
                <w:u w:val="single"/>
              </w:rPr>
              <w:t>Финансирането на едро се счита, че включва всеки от следните елементи:</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Всички контрагенти, различни от тези с влогове на дребно, както последните са определени в член 3, точка 8 от Делегиран регламент (ЕС)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Този ред не се докладва.</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tab/>
            </w:r>
            <w:r>
              <w:rPr>
                <w:rFonts w:ascii="Times New Roman" w:hAnsi="Times New Roman"/>
                <w:b/>
                <w:sz w:val="24"/>
                <w:u w:val="single"/>
              </w:rPr>
              <w:t>необезпечено финансиране на едро</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Всички контрагенти, различни от тези с влогове на дребно, както последните са определени в член 3, точка 8 от Делегиран регламент (ЕС) 2015/61, когато финансирането е необезпечено.</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tab/>
            </w:r>
            <w:r>
              <w:rPr>
                <w:rFonts w:ascii="Times New Roman" w:hAnsi="Times New Roman"/>
                <w:b/>
                <w:sz w:val="24"/>
                <w:u w:val="single"/>
              </w:rPr>
              <w:t>в т.ч. заеми и влогове от финансови клиенти</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Тази част от финансирането по ред 110, която се състои от заеми и влогове от финансови клиенти.</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Финансирането от централни банки не се включва в този ред.</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tab/>
            </w:r>
            <w:r>
              <w:rPr>
                <w:rFonts w:ascii="Times New Roman" w:hAnsi="Times New Roman"/>
                <w:b/>
                <w:sz w:val="24"/>
                <w:u w:val="single"/>
              </w:rPr>
              <w:t>в т.ч. заеми и влогове от нефинансови клиенти</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Тази част от финансирането по ред 110, която се състои от заеми и влогове от нефинансови клиенти.</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Финансирането от централни банки не се включва в този ред.</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tab/>
            </w:r>
            <w:r>
              <w:rPr>
                <w:rFonts w:ascii="Times New Roman" w:hAnsi="Times New Roman"/>
                <w:b/>
                <w:sz w:val="24"/>
                <w:u w:val="single"/>
              </w:rPr>
              <w:t>в т.ч. заеми и влогове от субекти в рамките на групата</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Тази част от финансирането по ред 110, която се състои от заеми и влогове от субекти в рамките на групата.</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Финансирането на едро от субекти в рамките на групата се докладва само на индивидуална или </w:t>
            </w:r>
            <w:proofErr w:type="spellStart"/>
            <w:r>
              <w:rPr>
                <w:rFonts w:ascii="Times New Roman" w:hAnsi="Times New Roman"/>
                <w:sz w:val="24"/>
              </w:rPr>
              <w:t>подконсолидирана</w:t>
            </w:r>
            <w:proofErr w:type="spellEnd"/>
            <w:r>
              <w:rPr>
                <w:rFonts w:ascii="Times New Roman" w:hAnsi="Times New Roman"/>
                <w:sz w:val="24"/>
              </w:rPr>
              <w:t xml:space="preserve"> основа.</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tab/>
            </w:r>
            <w:r>
              <w:rPr>
                <w:rFonts w:ascii="Times New Roman" w:hAnsi="Times New Roman"/>
                <w:b/>
                <w:sz w:val="24"/>
                <w:u w:val="single"/>
              </w:rPr>
              <w:t xml:space="preserve">обезпечено финансиране на едро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Всички контрагенти, различни от тези с влогове на дребно, както последните са определени в член 3, точка 8 от Делегиран регламент (ЕС) 2015/61, когато финансирането е обезпечено.</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tab/>
            </w:r>
            <w:r>
              <w:rPr>
                <w:rFonts w:ascii="Times New Roman" w:hAnsi="Times New Roman"/>
                <w:b/>
                <w:sz w:val="24"/>
                <w:u w:val="single"/>
              </w:rPr>
              <w:t>в т.ч. сделки за финансиране с ценни книжа</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Тази част от финансирането по ред 150, която е получена по </w:t>
            </w:r>
            <w:proofErr w:type="spellStart"/>
            <w:r>
              <w:rPr>
                <w:rFonts w:ascii="Times New Roman" w:hAnsi="Times New Roman"/>
                <w:sz w:val="24"/>
              </w:rPr>
              <w:t>репо</w:t>
            </w:r>
            <w:proofErr w:type="spellEnd"/>
            <w:r>
              <w:rPr>
                <w:rFonts w:ascii="Times New Roman" w:hAnsi="Times New Roman"/>
                <w:sz w:val="24"/>
              </w:rPr>
              <w:t xml:space="preserve"> споразумения, както са определени в член 4, параграф 1, точка 82 от Регламент (ЕС) №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tab/>
            </w:r>
            <w:r>
              <w:rPr>
                <w:rFonts w:ascii="Times New Roman" w:hAnsi="Times New Roman"/>
                <w:b/>
                <w:sz w:val="24"/>
                <w:u w:val="single"/>
              </w:rPr>
              <w:t>в т.ч. емитиране на покрити облигации</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Тази част от финансирането по ред 150, която е получена от емитиране на покрити облигации, както са определени в член 129, параграф 4 или 5 от Регламент (ЕС) № 575/2013 или в член 52, параграф 4 от Директива 2009/65/ЕО.</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tab/>
            </w:r>
            <w:r>
              <w:rPr>
                <w:rFonts w:ascii="Times New Roman" w:hAnsi="Times New Roman"/>
                <w:b/>
                <w:sz w:val="24"/>
                <w:u w:val="single"/>
              </w:rPr>
              <w:t>в т.ч. емитиране на ценни книжа, обезпечени с активи</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Тази част от финансирането по ред 150, която е получена от емитирането на ценни книжа, обезпечени с активи, включително търговски книжа, обезпечени с активи.</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tab/>
            </w:r>
            <w:r>
              <w:rPr>
                <w:rFonts w:ascii="Times New Roman" w:hAnsi="Times New Roman"/>
                <w:b/>
                <w:sz w:val="24"/>
                <w:u w:val="single"/>
              </w:rPr>
              <w:t>в т.ч. заеми и влогове от субекти в рамките на групата</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Тази част от финансирането по ред 150, която е получена от субекти в рамките на групата.</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 xml:space="preserve">Финансирането на едро от субекти в рамките на групата се докладва само на индивидуална или </w:t>
            </w:r>
            <w:proofErr w:type="spellStart"/>
            <w:r>
              <w:rPr>
                <w:rFonts w:ascii="Times New Roman" w:hAnsi="Times New Roman"/>
                <w:sz w:val="24"/>
              </w:rPr>
              <w:t>подконсолидирана</w:t>
            </w:r>
            <w:proofErr w:type="spellEnd"/>
            <w:r>
              <w:rPr>
                <w:rFonts w:ascii="Times New Roman" w:hAnsi="Times New Roman"/>
                <w:sz w:val="24"/>
              </w:rPr>
              <w:t xml:space="preserve"> основа.</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lastRenderedPageBreak/>
        <w:t xml:space="preserve">За попълването на този образец институциите докладват общия размер на финансирането, получено по всеки вид продукт, което превишава прага от 1 % от общия размер на пасивите.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За всеки вид продукт институциите докладват всички колони от 010 до 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За определяне на тези видове продукти, от които е получено финансиране, се използва прагът от 1 % от общия размер на пасивите в съответствие със следното:</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a)</w:t>
      </w:r>
      <w:r>
        <w:tab/>
      </w:r>
      <w:r>
        <w:rPr>
          <w:sz w:val="24"/>
          <w:u w:val="none"/>
        </w:rPr>
        <w:t xml:space="preserve">прагът от 1 % от общия размер на пасивите се прилага за видовете продукти, посочени в следните редове: 1.1 „Безсрочни влогове“; 1.2 „Срочни влогове без възможност за теглене в рамките на следващите 30 дни“; 1.3 „Срочни влогове с възможност за теглене в рамките на следващите 30 дни“; 1.4 „Спестовни сметки“; 2.1 „Необезпечено финансиране на едро“; 2.2 „Обезпечено финансиране на едро“;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б)</w:t>
      </w:r>
      <w:r>
        <w:tab/>
      </w:r>
      <w:r>
        <w:rPr>
          <w:sz w:val="24"/>
          <w:u w:val="none"/>
        </w:rPr>
        <w:t>по отношение на изчисляването на прага от 1 % от общия размер на пасивите за ред 1.4 „спестовни сметки“, прагът се прилага спрямо сбора на 1.4.1 и 1.4.2;</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в)</w:t>
      </w:r>
      <w:r>
        <w:tab/>
      </w:r>
      <w:r>
        <w:rPr>
          <w:sz w:val="24"/>
          <w:u w:val="none"/>
        </w:rPr>
        <w:t>за редове 1. „Финансиране на дребно“ и 2. „Финансиране на едро“, прагът от 1 % от общия размер на пасивите се прилага единствено на съвкупно равнище.</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Стойностите, докладвани в редове 1. „Финансиране на дребно“, 2.1 „Необезпечено финансиране на едро“, 2.2 „Обезпечено финансиране на едро“, може да включват по-широки типове продукти от базисните позиции, докладвани „в т.ч.“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Указания относно конкретни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Колона</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Получена балансова сума</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Балансовата стойност на финансирането, получено по всяка от категориите продукти, изброени в колона „Име на продукта“, се докладва в колона 010 от образеца.</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Сума,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Тази част от общия размер на докладваното в колона 010 финансиране, получено по всяка от категориите продукти, изброени в колона „Име на продукта“, чиято сума е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Сумите, докладвани в колони 020 и 030 за всяка една от категориите продукти, изброени в колона „Име на продукта“, са равни на общата получена сума, докладвана в колона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Сума, която не е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Тази част от общия размер на докладваното в колона 010 финансиране, получено по всяка от категориите продукти, изброени в колона „Име на продукта“, чиято сума </w:t>
            </w:r>
            <w:r>
              <w:rPr>
                <w:rFonts w:ascii="Times New Roman" w:hAnsi="Times New Roman"/>
                <w:sz w:val="24"/>
                <w:u w:val="single"/>
              </w:rPr>
              <w:t>не</w:t>
            </w:r>
            <w:r>
              <w:rPr>
                <w:rFonts w:ascii="Times New Roman" w:hAnsi="Times New Roman"/>
                <w:sz w:val="24"/>
              </w:rPr>
              <w:t xml:space="preserve"> е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Сумите, докладвани в колони 020 и 030 за всяка една от категориите продукти, изброени в колона „Име на продукта“, са равни на общата получена сума, докладвана в колона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proofErr w:type="spellStart"/>
            <w:r>
              <w:rPr>
                <w:rFonts w:ascii="Times New Roman" w:hAnsi="Times New Roman"/>
                <w:b/>
                <w:sz w:val="24"/>
                <w:u w:val="single"/>
              </w:rPr>
              <w:t>Среднопретеглен</w:t>
            </w:r>
            <w:proofErr w:type="spellEnd"/>
            <w:r>
              <w:rPr>
                <w:rFonts w:ascii="Times New Roman" w:hAnsi="Times New Roman"/>
                <w:b/>
                <w:sz w:val="24"/>
                <w:u w:val="single"/>
              </w:rPr>
              <w:t xml:space="preserve"> първоначален срок до падежа</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 xml:space="preserve">За размера на докладваното в колона 010 финансиране, получено по категориите продукти, изброени в колона „Име на продукта“, се вписва </w:t>
            </w:r>
            <w:proofErr w:type="spellStart"/>
            <w:r>
              <w:rPr>
                <w:rFonts w:ascii="Times New Roman" w:hAnsi="Times New Roman"/>
                <w:sz w:val="24"/>
              </w:rPr>
              <w:t>среднопретегленият</w:t>
            </w:r>
            <w:proofErr w:type="spellEnd"/>
            <w:r>
              <w:rPr>
                <w:rFonts w:ascii="Times New Roman" w:hAnsi="Times New Roman"/>
                <w:sz w:val="24"/>
              </w:rPr>
              <w:t xml:space="preserve"> първоначален срок до падежа (в дни) на това финансиране.</w:t>
            </w:r>
          </w:p>
          <w:p w14:paraId="4993C5F5" w14:textId="1018E08A" w:rsidR="00A344AA" w:rsidRPr="001263B4" w:rsidRDefault="00B06740" w:rsidP="001263B4">
            <w:pPr>
              <w:spacing w:before="0"/>
              <w:rPr>
                <w:rFonts w:ascii="Times New Roman" w:hAnsi="Times New Roman"/>
                <w:sz w:val="24"/>
              </w:rPr>
            </w:pPr>
            <w:proofErr w:type="spellStart"/>
            <w:r>
              <w:rPr>
                <w:rFonts w:ascii="Times New Roman" w:hAnsi="Times New Roman"/>
                <w:sz w:val="24"/>
              </w:rPr>
              <w:t>Среднопретегленият</w:t>
            </w:r>
            <w:proofErr w:type="spellEnd"/>
            <w:r>
              <w:rPr>
                <w:rFonts w:ascii="Times New Roman" w:hAnsi="Times New Roman"/>
                <w:sz w:val="24"/>
              </w:rPr>
              <w:t xml:space="preserve"> първоначален срок до падежа се изчислява като средната стойност за първоначалния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proofErr w:type="spellStart"/>
            <w:r>
              <w:rPr>
                <w:rFonts w:ascii="Times New Roman" w:hAnsi="Times New Roman"/>
                <w:b/>
                <w:sz w:val="24"/>
                <w:u w:val="single"/>
              </w:rPr>
              <w:t>Среднопретеглен</w:t>
            </w:r>
            <w:proofErr w:type="spellEnd"/>
            <w:r>
              <w:rPr>
                <w:rFonts w:ascii="Times New Roman" w:hAnsi="Times New Roman"/>
                <w:b/>
                <w:sz w:val="24"/>
                <w:u w:val="single"/>
              </w:rPr>
              <w:t xml:space="preserve"> остатъчен срок до падежа</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 xml:space="preserve">За размера на докладваното в колона 010 финансиране, получено в рамките на категориите продукти, изброени в колона „Име на продукта“, се вписва </w:t>
            </w:r>
            <w:proofErr w:type="spellStart"/>
            <w:r>
              <w:rPr>
                <w:rFonts w:ascii="Times New Roman" w:hAnsi="Times New Roman"/>
                <w:sz w:val="24"/>
              </w:rPr>
              <w:t>среднопретегленият</w:t>
            </w:r>
            <w:proofErr w:type="spellEnd"/>
            <w:r>
              <w:rPr>
                <w:rFonts w:ascii="Times New Roman" w:hAnsi="Times New Roman"/>
                <w:sz w:val="24"/>
              </w:rPr>
              <w:t xml:space="preserve"> остатъчен срок до падежа (в дни) на това финансиране.</w:t>
            </w:r>
          </w:p>
          <w:p w14:paraId="7FC1A546" w14:textId="6B82AB77" w:rsidR="00A344AA" w:rsidRPr="001263B4" w:rsidRDefault="00B06740" w:rsidP="001263B4">
            <w:pPr>
              <w:spacing w:before="0"/>
              <w:rPr>
                <w:rFonts w:ascii="Times New Roman" w:hAnsi="Times New Roman"/>
                <w:b/>
                <w:sz w:val="24"/>
                <w:u w:val="single"/>
              </w:rPr>
            </w:pPr>
            <w:proofErr w:type="spellStart"/>
            <w:r>
              <w:rPr>
                <w:rFonts w:ascii="Times New Roman" w:hAnsi="Times New Roman"/>
                <w:sz w:val="24"/>
              </w:rPr>
              <w:t>Среднопретегленият</w:t>
            </w:r>
            <w:proofErr w:type="spellEnd"/>
            <w:r>
              <w:rPr>
                <w:rFonts w:ascii="Times New Roman" w:hAnsi="Times New Roman"/>
                <w:sz w:val="24"/>
              </w:rPr>
              <w:t xml:space="preserve"> остатъчен срок до падежа се изчислява като средната стойност за остатъчния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Цени за различни срокове на финансиране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В образец C 69.00 институциите предоставят информация за обема на операциите и платените от тях цени за финансирането, получено през периода на докладване и налично към края на този период, според следните първоначални срокове до падежа:</w:t>
      </w:r>
    </w:p>
    <w:p w14:paraId="43E76F50" w14:textId="1DD328FA" w:rsidR="0019013A" w:rsidRPr="001263B4" w:rsidRDefault="00684947" w:rsidP="00FB0324">
      <w:pPr>
        <w:pStyle w:val="InstructionsText2"/>
        <w:numPr>
          <w:ilvl w:val="0"/>
          <w:numId w:val="48"/>
        </w:numPr>
        <w:spacing w:after="120"/>
        <w:rPr>
          <w:sz w:val="24"/>
          <w:u w:val="none"/>
        </w:rPr>
      </w:pPr>
      <w:proofErr w:type="spellStart"/>
      <w:r>
        <w:rPr>
          <w:sz w:val="24"/>
          <w:u w:val="none"/>
        </w:rPr>
        <w:t>овърнайт</w:t>
      </w:r>
      <w:proofErr w:type="spellEnd"/>
      <w:r>
        <w:rPr>
          <w:sz w:val="24"/>
          <w:u w:val="none"/>
        </w:rPr>
        <w:t xml:space="preserve"> (колони 010 и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 xml:space="preserve">по-голям от </w:t>
      </w:r>
      <w:proofErr w:type="spellStart"/>
      <w:r>
        <w:rPr>
          <w:sz w:val="24"/>
          <w:u w:val="none"/>
        </w:rPr>
        <w:t>овърнайт</w:t>
      </w:r>
      <w:proofErr w:type="spellEnd"/>
      <w:r>
        <w:rPr>
          <w:sz w:val="24"/>
          <w:u w:val="none"/>
        </w:rPr>
        <w:t xml:space="preserve"> и по-малък или равен на 1 седмица — в колони 030 и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lastRenderedPageBreak/>
        <w:t>по-голям от 1 седмица и по-малък или равен на 1 месец (колони 050 и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по-голям от 1 месец и по-малък или равен на 3 месеца (колони 070 и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по-голям от 3 месеца и по-малък или равен на 6 месеца (колони 090 и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по-голям от 6 месеца и по-малък или равен на 1 година (колони 110 и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по-голям от 1 година и по-малък или равен на 2 години (колони 130 и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по-голям от 2 години и по-малък или равен на 5 години (колони 150 и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по-голям от 5 години и по-малък или равен на 10 години (колони 170 и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При валутни преоценки не е било получено ново финансиране в първоначалната валута и докладващата институция не е изплатила нищо повече от първоначалната цена при първоначалния депозит на средствата. Следователно в този образец не се докладва положително увеличение поради валутната преоценка.</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 xml:space="preserve">За определянето на срока до падежа на полученото финансиране институциите не вземат предвид периода между датата на сделката и датата на </w:t>
      </w:r>
      <w:proofErr w:type="spellStart"/>
      <w:r>
        <w:rPr>
          <w:sz w:val="24"/>
          <w:u w:val="none"/>
        </w:rPr>
        <w:t>сетълмента</w:t>
      </w:r>
      <w:proofErr w:type="spellEnd"/>
      <w:r>
        <w:rPr>
          <w:sz w:val="24"/>
          <w:u w:val="none"/>
        </w:rPr>
        <w:t xml:space="preserve">, например тримесечен пасив със </w:t>
      </w:r>
      <w:proofErr w:type="spellStart"/>
      <w:r>
        <w:rPr>
          <w:sz w:val="24"/>
          <w:u w:val="none"/>
        </w:rPr>
        <w:t>сетълмент</w:t>
      </w:r>
      <w:proofErr w:type="spellEnd"/>
      <w:r>
        <w:rPr>
          <w:sz w:val="24"/>
          <w:u w:val="none"/>
        </w:rPr>
        <w:t xml:space="preserve"> след две седмици се докладва с тримесечен срок до падежа (колони 070 и 080).</w:t>
      </w:r>
    </w:p>
    <w:p w14:paraId="3300B61A" w14:textId="77777777" w:rsidR="00A211F3" w:rsidRPr="001263B4" w:rsidRDefault="002C154A" w:rsidP="001263B4">
      <w:pPr>
        <w:pStyle w:val="InstructionsText2"/>
        <w:numPr>
          <w:ilvl w:val="0"/>
          <w:numId w:val="20"/>
        </w:numPr>
        <w:spacing w:after="120"/>
        <w:rPr>
          <w:sz w:val="24"/>
          <w:u w:val="none"/>
        </w:rPr>
      </w:pPr>
      <w:proofErr w:type="spellStart"/>
      <w:r>
        <w:rPr>
          <w:sz w:val="24"/>
          <w:u w:val="none"/>
        </w:rPr>
        <w:t>Спредът</w:t>
      </w:r>
      <w:proofErr w:type="spellEnd"/>
      <w:r>
        <w:rPr>
          <w:sz w:val="24"/>
          <w:u w:val="none"/>
        </w:rPr>
        <w:t>, докладван в лявата колона на всеки времеви интервал, е един от следните:</w:t>
      </w:r>
    </w:p>
    <w:p w14:paraId="3D56C5E8" w14:textId="5BBC2BEA" w:rsidR="0050708F" w:rsidRPr="001263B4" w:rsidRDefault="0050708F" w:rsidP="001263B4">
      <w:pPr>
        <w:pStyle w:val="InstructionsText2"/>
        <w:numPr>
          <w:ilvl w:val="1"/>
          <w:numId w:val="20"/>
        </w:numPr>
        <w:spacing w:after="120"/>
        <w:ind w:left="993" w:hanging="284"/>
        <w:rPr>
          <w:sz w:val="24"/>
          <w:u w:val="none"/>
        </w:rPr>
      </w:pPr>
      <w:proofErr w:type="spellStart"/>
      <w:r>
        <w:rPr>
          <w:sz w:val="24"/>
          <w:u w:val="none"/>
        </w:rPr>
        <w:t>спредът</w:t>
      </w:r>
      <w:proofErr w:type="spellEnd"/>
      <w:r>
        <w:rPr>
          <w:sz w:val="24"/>
          <w:u w:val="none"/>
        </w:rPr>
        <w:t xml:space="preserve">, дължим от институцията за пасиви със срок, по-малък или равен на една година, в случай на замяна с референтния </w:t>
      </w:r>
      <w:proofErr w:type="spellStart"/>
      <w:r>
        <w:rPr>
          <w:sz w:val="24"/>
          <w:u w:val="none"/>
        </w:rPr>
        <w:t>овърнайт</w:t>
      </w:r>
      <w:proofErr w:type="spellEnd"/>
      <w:r>
        <w:rPr>
          <w:sz w:val="24"/>
          <w:u w:val="none"/>
        </w:rPr>
        <w:t xml:space="preserve"> индекс за съответната валута не по-късно от края на работното време в деня на сделката; </w:t>
      </w:r>
    </w:p>
    <w:p w14:paraId="44F3338B" w14:textId="2ABE3AF4" w:rsidR="0050708F" w:rsidRPr="001263B4" w:rsidRDefault="0050708F" w:rsidP="001263B4">
      <w:pPr>
        <w:pStyle w:val="InstructionsText2"/>
        <w:numPr>
          <w:ilvl w:val="1"/>
          <w:numId w:val="20"/>
        </w:numPr>
        <w:spacing w:after="120"/>
        <w:ind w:left="993" w:hanging="284"/>
        <w:rPr>
          <w:sz w:val="24"/>
          <w:u w:val="none"/>
        </w:rPr>
      </w:pPr>
      <w:proofErr w:type="spellStart"/>
      <w:r>
        <w:rPr>
          <w:sz w:val="24"/>
          <w:u w:val="none"/>
        </w:rPr>
        <w:t>спредът</w:t>
      </w:r>
      <w:proofErr w:type="spellEnd"/>
      <w:r>
        <w:rPr>
          <w:sz w:val="24"/>
          <w:u w:val="none"/>
        </w:rPr>
        <w:t xml:space="preserve">, дължим от дружеството при емитирането на пасиви с първоначален срок до падежа, надхвърлящ една година, при замяна с референтния </w:t>
      </w:r>
      <w:proofErr w:type="spellStart"/>
      <w:r>
        <w:rPr>
          <w:sz w:val="24"/>
          <w:u w:val="none"/>
        </w:rPr>
        <w:t>овърнайт</w:t>
      </w:r>
      <w:proofErr w:type="spellEnd"/>
      <w:r>
        <w:rPr>
          <w:sz w:val="24"/>
          <w:u w:val="none"/>
        </w:rPr>
        <w:t xml:space="preserve"> индекс за съответната валута, който е тримесечният EURIBOR за еврото или </w:t>
      </w:r>
      <w:r>
        <w:rPr>
          <w:color w:val="1F497D"/>
          <w:sz w:val="24"/>
        </w:rPr>
        <w:t>подобен индекс за останалите валути</w:t>
      </w:r>
      <w:r>
        <w:rPr>
          <w:sz w:val="24"/>
          <w:u w:val="none"/>
        </w:rPr>
        <w:t xml:space="preserve">, не </w:t>
      </w:r>
      <w:bookmarkStart w:id="2" w:name="_GoBack"/>
      <w:bookmarkEnd w:id="2"/>
      <w:r>
        <w:rPr>
          <w:sz w:val="24"/>
          <w:u w:val="none"/>
        </w:rPr>
        <w:t>по-късно от края на работното време в деня на сделката.</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 xml:space="preserve">Единствено за целите на изчисляването на </w:t>
      </w:r>
      <w:proofErr w:type="spellStart"/>
      <w:r>
        <w:rPr>
          <w:sz w:val="24"/>
          <w:u w:val="none"/>
        </w:rPr>
        <w:t>спреда</w:t>
      </w:r>
      <w:proofErr w:type="spellEnd"/>
      <w:r>
        <w:rPr>
          <w:sz w:val="24"/>
          <w:u w:val="none"/>
        </w:rPr>
        <w:t xml:space="preserve"> по точки а) и б) по-горе, въз основа на натрупания опит институцията може да определи първоначалния срок до падежа, като според случая взима или не взима предвид възможността за избор.</w:t>
      </w:r>
    </w:p>
    <w:p w14:paraId="5EBCC42F" w14:textId="0D3FAA90" w:rsidR="00A211F3" w:rsidRPr="001263B4" w:rsidRDefault="0019013A" w:rsidP="001263B4">
      <w:pPr>
        <w:pStyle w:val="InstructionsText2"/>
        <w:numPr>
          <w:ilvl w:val="0"/>
          <w:numId w:val="20"/>
        </w:numPr>
        <w:spacing w:after="120"/>
        <w:rPr>
          <w:sz w:val="24"/>
          <w:u w:val="none"/>
        </w:rPr>
      </w:pPr>
      <w:proofErr w:type="spellStart"/>
      <w:r>
        <w:rPr>
          <w:sz w:val="24"/>
          <w:u w:val="none"/>
        </w:rPr>
        <w:t>Спредовете</w:t>
      </w:r>
      <w:proofErr w:type="spellEnd"/>
      <w:r>
        <w:rPr>
          <w:sz w:val="24"/>
          <w:u w:val="none"/>
        </w:rPr>
        <w:t xml:space="preserve"> се докладват в базисни пунктове с отрицателен знак, в случай че новото финансиране е по-евтино отколкото при съответния референтен процент. Те се изчисляват въз основа на </w:t>
      </w:r>
      <w:proofErr w:type="spellStart"/>
      <w:r>
        <w:rPr>
          <w:sz w:val="24"/>
          <w:u w:val="none"/>
        </w:rPr>
        <w:t>среднопретеглените</w:t>
      </w:r>
      <w:proofErr w:type="spellEnd"/>
      <w:r>
        <w:rPr>
          <w:sz w:val="24"/>
          <w:u w:val="none"/>
        </w:rPr>
        <w:t xml:space="preserve"> стойности.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 xml:space="preserve">За определянето на средния дължим </w:t>
      </w:r>
      <w:proofErr w:type="spellStart"/>
      <w:r>
        <w:rPr>
          <w:sz w:val="24"/>
          <w:u w:val="none"/>
        </w:rPr>
        <w:t>спред</w:t>
      </w:r>
      <w:proofErr w:type="spellEnd"/>
      <w:r>
        <w:rPr>
          <w:sz w:val="24"/>
          <w:u w:val="none"/>
        </w:rPr>
        <w:t xml:space="preserve"> по няколко емисии/влогове/заеми институциите изчисляват общите разходи във </w:t>
      </w:r>
      <w:r>
        <w:rPr>
          <w:sz w:val="24"/>
          <w:u w:val="none"/>
        </w:rPr>
        <w:lastRenderedPageBreak/>
        <w:t xml:space="preserve">валутата на емитиране, като не вземат под внимание валутните суапове, но включват всички подлежащи на плащане или получаване премии, отстъпки и такси, като за основа използват срока на всеки теоретичен или фактически лихвен суап, който съответства на срока на пасива. </w:t>
      </w:r>
      <w:proofErr w:type="spellStart"/>
      <w:r>
        <w:rPr>
          <w:sz w:val="24"/>
          <w:u w:val="none"/>
        </w:rPr>
        <w:t>Спредът</w:t>
      </w:r>
      <w:proofErr w:type="spellEnd"/>
      <w:r>
        <w:rPr>
          <w:sz w:val="24"/>
          <w:u w:val="none"/>
        </w:rPr>
        <w:t xml:space="preserve"> представлява процента по пасива минус процента по суапа.</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Размерът на полученото финансиране в рамките на категориите, изброени в колона „Позиция“, се докладва в колона „Обем“ на съответния времеви интервал.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В колона „Обем“ институциите посочват сумите, представляващи балансовата стойност на полученото ново финансиране, в съответния времеви интервал според първоначалния срок до падежа.</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За </w:t>
      </w:r>
      <w:proofErr w:type="spellStart"/>
      <w:r>
        <w:rPr>
          <w:sz w:val="24"/>
          <w:u w:val="none"/>
        </w:rPr>
        <w:t>задбалансовите</w:t>
      </w:r>
      <w:proofErr w:type="spellEnd"/>
      <w:r>
        <w:rPr>
          <w:sz w:val="24"/>
          <w:u w:val="none"/>
        </w:rPr>
        <w:t xml:space="preserve"> ангажименти, както за всички други позиции, институциите докладват единствено съответните стойности, отразени в счетоводния баланс. </w:t>
      </w:r>
      <w:proofErr w:type="spellStart"/>
      <w:r>
        <w:rPr>
          <w:sz w:val="24"/>
          <w:u w:val="none"/>
        </w:rPr>
        <w:t>Задбалансовите</w:t>
      </w:r>
      <w:proofErr w:type="spellEnd"/>
      <w:r>
        <w:rPr>
          <w:sz w:val="24"/>
          <w:u w:val="none"/>
        </w:rPr>
        <w:t xml:space="preserve"> ангажименти, предоставени на институцията, се докладват в C 69.00 единствено след усвояване. При усвояване обемът и </w:t>
      </w:r>
      <w:proofErr w:type="spellStart"/>
      <w:r>
        <w:rPr>
          <w:sz w:val="24"/>
          <w:u w:val="none"/>
        </w:rPr>
        <w:t>спредът</w:t>
      </w:r>
      <w:proofErr w:type="spellEnd"/>
      <w:r>
        <w:rPr>
          <w:sz w:val="24"/>
          <w:u w:val="none"/>
        </w:rPr>
        <w:t xml:space="preserve">, които следва да се докладват, са усвоената сума и съответният </w:t>
      </w:r>
      <w:proofErr w:type="spellStart"/>
      <w:r>
        <w:rPr>
          <w:sz w:val="24"/>
          <w:u w:val="none"/>
        </w:rPr>
        <w:t>спред</w:t>
      </w:r>
      <w:proofErr w:type="spellEnd"/>
      <w:r>
        <w:rPr>
          <w:sz w:val="24"/>
          <w:u w:val="none"/>
        </w:rPr>
        <w:t xml:space="preserve"> към края на периода на докладване. Когато усвояването не може да бъде подновено по преценка на институцията, се докладва фактическият му срок до падежа. Когато институцията вече е усвоила част от този механизъм към края на предходния период на докладване и впоследствие увеличава използването на механизма се докладва само допълнително усвоената сума.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Депозитите от клиенти на дребно обхващат депозитите по смисъла на член 3, точка 8 от Делегиран регламент (ЕС)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 xml:space="preserve">За подновеното през периода на докладване финансиране, което все още не е погасено в края на този период, се докладва средната стойност на </w:t>
      </w:r>
      <w:proofErr w:type="spellStart"/>
      <w:r>
        <w:rPr>
          <w:sz w:val="24"/>
          <w:u w:val="none"/>
        </w:rPr>
        <w:t>спредовете</w:t>
      </w:r>
      <w:proofErr w:type="spellEnd"/>
      <w:r>
        <w:rPr>
          <w:sz w:val="24"/>
          <w:u w:val="none"/>
        </w:rPr>
        <w:t>, приложими към този момент (т.е. края на периода на докладване). За целите на образец C 69.00 се приема, че финансирането, което е било подновено и все още съществува към края на периода на докладване, представлява ново финансиране.</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Чрез </w:t>
      </w:r>
      <w:proofErr w:type="spellStart"/>
      <w:r>
        <w:rPr>
          <w:sz w:val="24"/>
          <w:u w:val="none"/>
        </w:rPr>
        <w:t>дерогация</w:t>
      </w:r>
      <w:proofErr w:type="spellEnd"/>
      <w:r>
        <w:rPr>
          <w:sz w:val="24"/>
          <w:u w:val="none"/>
        </w:rPr>
        <w:t xml:space="preserve"> от посоченото в останалата част на раздел 1.4 обемът и </w:t>
      </w:r>
      <w:proofErr w:type="spellStart"/>
      <w:r>
        <w:rPr>
          <w:sz w:val="24"/>
          <w:u w:val="none"/>
        </w:rPr>
        <w:t>спредът</w:t>
      </w:r>
      <w:proofErr w:type="spellEnd"/>
      <w:r>
        <w:rPr>
          <w:sz w:val="24"/>
          <w:u w:val="none"/>
        </w:rPr>
        <w:t xml:space="preserve"> на безсрочните влогове се докладват само когато вложителят е нямал безсрочен влог в предходния периода на докладване или когато сумата на влога се е увеличила в сравнение с предходната референтна дата, в който случай увеличението следва да се третира като ново финансиране. Докладва се </w:t>
      </w:r>
      <w:proofErr w:type="spellStart"/>
      <w:r>
        <w:rPr>
          <w:sz w:val="24"/>
          <w:u w:val="none"/>
        </w:rPr>
        <w:t>спредът</w:t>
      </w:r>
      <w:proofErr w:type="spellEnd"/>
      <w:r>
        <w:rPr>
          <w:sz w:val="24"/>
          <w:u w:val="none"/>
        </w:rPr>
        <w:t xml:space="preserve"> към края на периода.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 xml:space="preserve">Ако няма информация, която да се докладва, полетата за </w:t>
      </w:r>
      <w:proofErr w:type="spellStart"/>
      <w:r>
        <w:rPr>
          <w:sz w:val="24"/>
          <w:u w:val="none"/>
        </w:rPr>
        <w:t>спредовете</w:t>
      </w:r>
      <w:proofErr w:type="spellEnd"/>
      <w:r>
        <w:rPr>
          <w:sz w:val="24"/>
          <w:u w:val="none"/>
        </w:rPr>
        <w:t xml:space="preserve"> се оставят празни.</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Указания относно отделните редове: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Ред</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Общ размер на финансирането</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 xml:space="preserve">Общият обем и </w:t>
            </w:r>
            <w:proofErr w:type="spellStart"/>
            <w:r>
              <w:rPr>
                <w:rFonts w:ascii="Times New Roman" w:hAnsi="Times New Roman"/>
                <w:sz w:val="24"/>
              </w:rPr>
              <w:t>среднопретегленият</w:t>
            </w:r>
            <w:proofErr w:type="spellEnd"/>
            <w:r>
              <w:rPr>
                <w:rFonts w:ascii="Times New Roman" w:hAnsi="Times New Roman"/>
                <w:sz w:val="24"/>
              </w:rPr>
              <w:t xml:space="preserve"> </w:t>
            </w:r>
            <w:proofErr w:type="spellStart"/>
            <w:r>
              <w:rPr>
                <w:rFonts w:ascii="Times New Roman" w:hAnsi="Times New Roman"/>
                <w:sz w:val="24"/>
              </w:rPr>
              <w:t>спред</w:t>
            </w:r>
            <w:proofErr w:type="spellEnd"/>
            <w:r>
              <w:rPr>
                <w:rFonts w:ascii="Times New Roman" w:hAnsi="Times New Roman"/>
                <w:sz w:val="24"/>
              </w:rPr>
              <w:t xml:space="preserve"> на цялото финансиране се изчисляват за всеки от посочените по-долу периоди, както следва:</w:t>
            </w:r>
          </w:p>
          <w:p w14:paraId="3D5903C1" w14:textId="2E3AE74B" w:rsidR="007778A0" w:rsidRPr="00FB0324" w:rsidRDefault="00CD20D9" w:rsidP="00FB0324">
            <w:pPr>
              <w:pStyle w:val="InstructionsText2"/>
              <w:numPr>
                <w:ilvl w:val="0"/>
                <w:numId w:val="49"/>
              </w:numPr>
              <w:spacing w:after="120"/>
              <w:rPr>
                <w:sz w:val="24"/>
                <w:u w:val="none"/>
              </w:rPr>
            </w:pPr>
            <w:proofErr w:type="spellStart"/>
            <w:r>
              <w:rPr>
                <w:sz w:val="24"/>
                <w:u w:val="none"/>
              </w:rPr>
              <w:lastRenderedPageBreak/>
              <w:t>овърнайт</w:t>
            </w:r>
            <w:proofErr w:type="spellEnd"/>
            <w:r>
              <w:rPr>
                <w:sz w:val="24"/>
                <w:u w:val="none"/>
              </w:rPr>
              <w:t xml:space="preserve"> (колони 010 и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 xml:space="preserve">по-голям от </w:t>
            </w:r>
            <w:proofErr w:type="spellStart"/>
            <w:r>
              <w:rPr>
                <w:sz w:val="24"/>
                <w:u w:val="none"/>
              </w:rPr>
              <w:t>овърнайт</w:t>
            </w:r>
            <w:proofErr w:type="spellEnd"/>
            <w:r>
              <w:rPr>
                <w:sz w:val="24"/>
                <w:u w:val="none"/>
              </w:rPr>
              <w:t xml:space="preserve"> и по-малък или равен на 1 седмица (колони 030 и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по-голям от 1 седмица и по-малък или равен на 1 месец (колони 050 и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по-голям от 1 месец и по-малък или равен на 3 месеца (колони 070 и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по-голям от 3 месеца и по-малък или равен на 6 месеца (колони 090 и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по-голям от 6 месеца и по-малък или равен на 1 година (колони 110 и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по-голям от 1 година и по-малък или равен на 2 години (колони 130 и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по-голям от 2 години и по-малък или равен на 5 години (колони 150 и 160);</w:t>
            </w:r>
          </w:p>
          <w:p w14:paraId="22EC36F6" w14:textId="7C57E11E" w:rsidR="00CE333E" w:rsidRPr="001263B4" w:rsidRDefault="00CD20D9" w:rsidP="00FB0324">
            <w:pPr>
              <w:pStyle w:val="InstructionsText2"/>
              <w:numPr>
                <w:ilvl w:val="0"/>
                <w:numId w:val="49"/>
              </w:numPr>
              <w:spacing w:after="120"/>
              <w:rPr>
                <w:sz w:val="24"/>
              </w:rPr>
            </w:pPr>
            <w:r>
              <w:rPr>
                <w:sz w:val="24"/>
                <w:u w:val="none"/>
              </w:rPr>
              <w:t>по-голям от 5 години и по-малък или равен на 10 години (колони 170 и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от които: финансиране на дребно</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 xml:space="preserve">От общия размер на финансирането, докладвано в позиция 1, се посочват общият обем и </w:t>
            </w:r>
            <w:proofErr w:type="spellStart"/>
            <w:r>
              <w:rPr>
                <w:rFonts w:ascii="Times New Roman" w:hAnsi="Times New Roman"/>
                <w:sz w:val="24"/>
              </w:rPr>
              <w:t>среднопретегленият</w:t>
            </w:r>
            <w:proofErr w:type="spellEnd"/>
            <w:r>
              <w:rPr>
                <w:rFonts w:ascii="Times New Roman" w:hAnsi="Times New Roman"/>
                <w:sz w:val="24"/>
              </w:rPr>
              <w:t xml:space="preserve"> </w:t>
            </w:r>
            <w:proofErr w:type="spellStart"/>
            <w:r>
              <w:rPr>
                <w:rFonts w:ascii="Times New Roman" w:hAnsi="Times New Roman"/>
                <w:sz w:val="24"/>
              </w:rPr>
              <w:t>спред</w:t>
            </w:r>
            <w:proofErr w:type="spellEnd"/>
            <w:r>
              <w:rPr>
                <w:rFonts w:ascii="Times New Roman" w:hAnsi="Times New Roman"/>
                <w:sz w:val="24"/>
              </w:rPr>
              <w:t xml:space="preserve"> на полученото финансиране на дребно.</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от които: необезпечено финансиране на едро</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 xml:space="preserve">От общия размер на финансирането, докладвано в позиция 1, се посочват общият обем и </w:t>
            </w:r>
            <w:proofErr w:type="spellStart"/>
            <w:r>
              <w:rPr>
                <w:rFonts w:ascii="Times New Roman" w:hAnsi="Times New Roman"/>
                <w:sz w:val="24"/>
              </w:rPr>
              <w:t>среднопретегленият</w:t>
            </w:r>
            <w:proofErr w:type="spellEnd"/>
            <w:r>
              <w:rPr>
                <w:rFonts w:ascii="Times New Roman" w:hAnsi="Times New Roman"/>
                <w:sz w:val="24"/>
              </w:rPr>
              <w:t xml:space="preserve"> </w:t>
            </w:r>
            <w:proofErr w:type="spellStart"/>
            <w:r>
              <w:rPr>
                <w:rFonts w:ascii="Times New Roman" w:hAnsi="Times New Roman"/>
                <w:sz w:val="24"/>
              </w:rPr>
              <w:t>спред</w:t>
            </w:r>
            <w:proofErr w:type="spellEnd"/>
            <w:r>
              <w:rPr>
                <w:rFonts w:ascii="Times New Roman" w:hAnsi="Times New Roman"/>
                <w:sz w:val="24"/>
              </w:rPr>
              <w:t xml:space="preserve"> на полученото финансиране на дребно.</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от които: обезпечено финансиране</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 xml:space="preserve">От общия размер на финансирането, докладвано в позиция 1, се посочват общият обем и </w:t>
            </w:r>
            <w:proofErr w:type="spellStart"/>
            <w:r>
              <w:rPr>
                <w:rFonts w:ascii="Times New Roman" w:hAnsi="Times New Roman"/>
                <w:sz w:val="24"/>
              </w:rPr>
              <w:t>среднопретегленият</w:t>
            </w:r>
            <w:proofErr w:type="spellEnd"/>
            <w:r>
              <w:rPr>
                <w:rFonts w:ascii="Times New Roman" w:hAnsi="Times New Roman"/>
                <w:sz w:val="24"/>
              </w:rPr>
              <w:t xml:space="preserve"> </w:t>
            </w:r>
            <w:proofErr w:type="spellStart"/>
            <w:r>
              <w:rPr>
                <w:rFonts w:ascii="Times New Roman" w:hAnsi="Times New Roman"/>
                <w:sz w:val="24"/>
              </w:rPr>
              <w:t>спред</w:t>
            </w:r>
            <w:proofErr w:type="spellEnd"/>
            <w:r>
              <w:rPr>
                <w:rFonts w:ascii="Times New Roman" w:hAnsi="Times New Roman"/>
                <w:sz w:val="24"/>
              </w:rPr>
              <w:t xml:space="preserve"> на полученото обезпечено финансиране.</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от които: първостепенни необезпечени ценни книжа</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От общия размер на финансирането, докладвано в позиция 1, се посочват общият обем и </w:t>
            </w:r>
            <w:proofErr w:type="spellStart"/>
            <w:r>
              <w:rPr>
                <w:rFonts w:ascii="Times New Roman" w:hAnsi="Times New Roman"/>
                <w:sz w:val="24"/>
              </w:rPr>
              <w:t>среднопретегленият</w:t>
            </w:r>
            <w:proofErr w:type="spellEnd"/>
            <w:r>
              <w:rPr>
                <w:rFonts w:ascii="Times New Roman" w:hAnsi="Times New Roman"/>
                <w:sz w:val="24"/>
              </w:rPr>
              <w:t xml:space="preserve"> </w:t>
            </w:r>
            <w:proofErr w:type="spellStart"/>
            <w:r>
              <w:rPr>
                <w:rFonts w:ascii="Times New Roman" w:hAnsi="Times New Roman"/>
                <w:sz w:val="24"/>
              </w:rPr>
              <w:t>спред</w:t>
            </w:r>
            <w:proofErr w:type="spellEnd"/>
            <w:r>
              <w:rPr>
                <w:rFonts w:ascii="Times New Roman" w:hAnsi="Times New Roman"/>
                <w:sz w:val="24"/>
              </w:rPr>
              <w:t xml:space="preserve"> на получените първостепенни необезпечени ценни книжа.</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от които: покрити облигации</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От общия размер на финансирането, докладвано в позиция 1, се посочват общият обем и </w:t>
            </w:r>
            <w:proofErr w:type="spellStart"/>
            <w:r>
              <w:rPr>
                <w:rFonts w:ascii="Times New Roman" w:hAnsi="Times New Roman"/>
                <w:sz w:val="24"/>
              </w:rPr>
              <w:t>среднопретегленият</w:t>
            </w:r>
            <w:proofErr w:type="spellEnd"/>
            <w:r>
              <w:rPr>
                <w:rFonts w:ascii="Times New Roman" w:hAnsi="Times New Roman"/>
                <w:sz w:val="24"/>
              </w:rPr>
              <w:t xml:space="preserve"> </w:t>
            </w:r>
            <w:proofErr w:type="spellStart"/>
            <w:r>
              <w:rPr>
                <w:rFonts w:ascii="Times New Roman" w:hAnsi="Times New Roman"/>
                <w:sz w:val="24"/>
              </w:rPr>
              <w:t>спред</w:t>
            </w:r>
            <w:proofErr w:type="spellEnd"/>
            <w:r>
              <w:rPr>
                <w:rFonts w:ascii="Times New Roman" w:hAnsi="Times New Roman"/>
                <w:sz w:val="24"/>
              </w:rPr>
              <w:t xml:space="preserve"> на всички емитирани покрити облигации, които обременяват с тежести собствените активи на институцията.</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от които: ценни книжа, обезпечени с активи, в т.ч. търговски книжа, обезпечени с активи</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lastRenderedPageBreak/>
              <w:t xml:space="preserve">От общия размер на финансирането, докладвано в позиция 1, се посочват общият обем и </w:t>
            </w:r>
            <w:proofErr w:type="spellStart"/>
            <w:r>
              <w:rPr>
                <w:rFonts w:ascii="Times New Roman" w:hAnsi="Times New Roman"/>
                <w:sz w:val="24"/>
              </w:rPr>
              <w:t>среднопретегленият</w:t>
            </w:r>
            <w:proofErr w:type="spellEnd"/>
            <w:r>
              <w:rPr>
                <w:rFonts w:ascii="Times New Roman" w:hAnsi="Times New Roman"/>
                <w:sz w:val="24"/>
              </w:rPr>
              <w:t xml:space="preserve"> </w:t>
            </w:r>
            <w:proofErr w:type="spellStart"/>
            <w:r>
              <w:rPr>
                <w:rFonts w:ascii="Times New Roman" w:hAnsi="Times New Roman"/>
                <w:sz w:val="24"/>
              </w:rPr>
              <w:t>спред</w:t>
            </w:r>
            <w:proofErr w:type="spellEnd"/>
            <w:r>
              <w:rPr>
                <w:rFonts w:ascii="Times New Roman" w:hAnsi="Times New Roman"/>
                <w:sz w:val="24"/>
              </w:rPr>
              <w:t xml:space="preserve"> на емитираните ценни книжа, обезпечени с активи, в т.ч. търговски книжа, обезпечени с активи.</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lastRenderedPageBreak/>
        <w:t>Подновяване на финансирането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Този образец е предназначен за събиране на информация относно обема на средствата с настъпващ падеж и полученото ново финансиране, т.е. „подновяването на финансирането“, ежедневно в рамките на месеца, предхождащ датата на докладване.</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Финансирането с настъпващ падеж се докладва, в календарни дни, от институциите в следните времеви интервали според първоначалния срок до падежа:</w:t>
      </w:r>
    </w:p>
    <w:p w14:paraId="10B482AB" w14:textId="6285BE75" w:rsidR="00DB3C37" w:rsidRPr="001263B4" w:rsidRDefault="00237D15" w:rsidP="00FB0324">
      <w:pPr>
        <w:pStyle w:val="InstructionsText2"/>
        <w:numPr>
          <w:ilvl w:val="0"/>
          <w:numId w:val="47"/>
        </w:numPr>
        <w:spacing w:after="120"/>
        <w:rPr>
          <w:sz w:val="24"/>
          <w:u w:val="none"/>
        </w:rPr>
      </w:pPr>
      <w:proofErr w:type="spellStart"/>
      <w:r>
        <w:rPr>
          <w:sz w:val="24"/>
          <w:u w:val="none"/>
        </w:rPr>
        <w:t>овърнайт</w:t>
      </w:r>
      <w:proofErr w:type="spellEnd"/>
      <w:r>
        <w:rPr>
          <w:sz w:val="24"/>
          <w:u w:val="none"/>
        </w:rPr>
        <w:t xml:space="preserve"> (колони 010 — 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между 1 и 7 дни (колони 050 — 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между 7 и 14 дни (колони 090 — 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между 14 дни и 1 месец (колони 130 — 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между 1 и 3 месеца (колони 170 — 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между 3 и 6 месеца (колони 210 — 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повече от 6 месеца (колони 250 — 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За всеки времеви интервал, описан в параграф 2 по-горе, сумата с настъпващ падеж се докладва в лявата колона, подновеното финансиране — в колона „Подновяване“, получените нови средства — в колона „Ново финансиране“, а нетната разлика между, от една страна, новите средства плюс подновеното финансиране минус средствата с настъпващ падеж, от друга — в дясната колона.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Общият размер на нетните парични потоци се докладва в колона 290 и е равен на сбора от всички колони, в които е докладвана нетна разлика, с номера 040, 080, 120, 160, 200, 240 и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Средният срок на финансирането, в дни, за средства с настъпващ падеж се докладва в колона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Средният срок на финансирането, в дни, за подновено финансиране се докладва в колона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Средният срок на финансирането, в дни, за нови срочни средства се докладва в колона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Сумата в колона „Настъпващ падеж“ включва всички пасиви, които договорно е можело да бъдат изтеглени от доставчика на финансирането или са били дължими към съответния ден през периода на докладване. Докладваните суми са винаги с положителен знак.</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 xml:space="preserve">Сумата в колона „Подновяване“ включва сумата с настъпващ падеж съгласно определението в параграфи 2 и 3, която остава в институцията към съответния ден през отчетния период. Ако срокът до падежа на финансиране се е променил поради подновяване, сумата в колона </w:t>
      </w:r>
      <w:r>
        <w:rPr>
          <w:sz w:val="24"/>
          <w:u w:val="none"/>
        </w:rPr>
        <w:lastRenderedPageBreak/>
        <w:t>„Подновяване“ се докладва в съответния времеви интервал според новия срок до падежа.</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Сумата в колона „Ново финансиране“ включва фактическите входящи потоци на финансиране към съответния ден през периода на докладване. Докладваните суми са винаги с положителен знак.</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Чрез сумата в колона „Нетна разлика“ се представя промяната на финансирането в рамките на съответния падежен интервал към съответния ден през периода ма докладване. Изчислява се като към новите средства се добави подновеното финансиране минус средствата с настъпващ падеж.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Указания относно конкретни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7000"/>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Колона</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Препратки към правни норми и указания</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 —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proofErr w:type="spellStart"/>
            <w:r>
              <w:rPr>
                <w:rFonts w:ascii="Times New Roman" w:hAnsi="Times New Roman"/>
                <w:b/>
                <w:sz w:val="24"/>
                <w:u w:val="single"/>
              </w:rPr>
              <w:t>Овърнайт</w:t>
            </w:r>
            <w:proofErr w:type="spellEnd"/>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 xml:space="preserve">Общият размер на финансирането, чийто падеж настъпва на съответния ден през периода на докладване, с първоначален срок до падежа — </w:t>
            </w:r>
            <w:proofErr w:type="spellStart"/>
            <w:r>
              <w:rPr>
                <w:rFonts w:ascii="Times New Roman" w:hAnsi="Times New Roman"/>
                <w:sz w:val="24"/>
              </w:rPr>
              <w:t>овърнайт</w:t>
            </w:r>
            <w:proofErr w:type="spellEnd"/>
            <w:r>
              <w:rPr>
                <w:rFonts w:ascii="Times New Roman" w:hAnsi="Times New Roman"/>
                <w:sz w:val="24"/>
              </w:rPr>
              <w:t>, се докладва в колона 010 под идентификационни номера 1.1—1.31. За месеци с по-малко от 31 дни, както и за уикенди, редовете, които не са от значение, се оставят празни.</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 xml:space="preserve">Общият размер на финансирането, подновено на съответния ден през периода на докладване, с първоначален срок до падежа — </w:t>
            </w:r>
            <w:proofErr w:type="spellStart"/>
            <w:r>
              <w:rPr>
                <w:rFonts w:ascii="Times New Roman" w:hAnsi="Times New Roman"/>
                <w:sz w:val="24"/>
              </w:rPr>
              <w:t>овърнайт</w:t>
            </w:r>
            <w:proofErr w:type="spellEnd"/>
            <w:r>
              <w:rPr>
                <w:rFonts w:ascii="Times New Roman" w:hAnsi="Times New Roman"/>
                <w:sz w:val="24"/>
              </w:rPr>
              <w:t>, се докладва в колона 020 под идентификационни номера 1.1—1.31.</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 xml:space="preserve">Общият размер на новото финансиране, получено на съответния ден през периода на докладване, с първоначален срок до падежа — </w:t>
            </w:r>
            <w:proofErr w:type="spellStart"/>
            <w:r>
              <w:rPr>
                <w:rFonts w:ascii="Times New Roman" w:hAnsi="Times New Roman"/>
                <w:sz w:val="24"/>
              </w:rPr>
              <w:t>овърнайт</w:t>
            </w:r>
            <w:proofErr w:type="spellEnd"/>
            <w:r>
              <w:rPr>
                <w:rFonts w:ascii="Times New Roman" w:hAnsi="Times New Roman"/>
                <w:sz w:val="24"/>
              </w:rPr>
              <w:t>, се докладва в колона 030 под идентификационни номера 1.1—1.31.</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Нетната разлика между, от една страна, ежедневното финансиране с настъпващ падеж и, от друга, подновеното плюс полученото ново ежедневно финансиране се докладва в колона 040 под идентификационни номера 1.1—1.31.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 —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ден ≤ 7 дни</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Общият размер на финансирането, чийто падеж настъпва на съответния ден през периода на докладване, с първоначален срок до падежа — между един ден и една седмица, се докладва в колона 050 под идентификационни номера 1.1—1.31. За месеци с по-малко от 31 дни, както и за уикенди, редовете, които не са от значение, се оставят празни.</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Общият размер на финансирането, подновено на съответния ден през периода на докладване, с първоначален срок до падежа — между един ден и една седмица, се докладва в колона 060 под идентификационни номера 1.1—1.31.</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 xml:space="preserve">Общият размер на новото финансиране, получено на съответния ден през периода на докладване, с първоначален срок до падежа </w:t>
            </w:r>
            <w:r>
              <w:rPr>
                <w:rFonts w:ascii="Times New Roman" w:hAnsi="Times New Roman"/>
                <w:sz w:val="24"/>
              </w:rPr>
              <w:lastRenderedPageBreak/>
              <w:t>— между един ден и една седмица, се докладва в колона 70 под идентификационни номера 1.1—1.31.</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Нетната разлика между, от една страна, финансирането с настъпващ падеж и, от друга, подновеното плюс полученото ново финансиране се докладва в колона 080 под идентификационни номера 1.1—1.31.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090 —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дни ≤ 14 дни</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Общият размер на финансирането, чийто падеж настъпва на съответния ден през периода на докладване, с първоначален срок до падежа — между една седмица и две седмици, се докладва в колона 090 под идентификационни номера 1.1—1.31. За месеци с по-малко от 31 дни, както и за уикенди, редовете, които не са от значение, се оставят празни.</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Общият размер на финансирането, подновено на съответния ден през периода на докладване, с първоначален срок до падежа — между една седмица и две седмици, се докладва в колона 100 под идентификационни номера 1.1—1.31.</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Общият размер на новото финансиране, получено на съответния ден през периода на докладване, с първоначален срок до падежа — между една седмица и две седмици, се докладва в колона 110 под идентификационни номера 1.1—1.31.</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Нетната разлика между, от една страна, финансирането с настъпващ падеж и, от друга, подновеното плюс полученото ново финансиране се докладва в колона 120 под идентификационни номера 1.1—1.31.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130 —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дни ≤ 1 месец</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Общият размер на финансирането, чийто падеж настъпва на съответния ден през периода на докладване, с първоначален срок до падежа — между две седмици и един месец, се докладва в колона 130 под идентификационни номера 1.1—1.31. За месеци с по-малко от 31 дни, както и за уикенди, редовете, които не са от значение, се оставят празни.</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Общият размер на финансирането, подновено на съответния ден през периода на докладване, с първоначален срок до падежа — между две седмици и един месец, се докладва в колона 140 под идентификационни номера 1.1—1.31.</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Общият размер на новото финансиране, получено на съответния ден през периода на докладване, с първоначален срок до падежа — между две седмици и един месец, се докладва в колона 150 под идентификационни номера 1.1—1.31.</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Нетната разлика между, от една страна, финансирането с настъпващ падеж и, от друга, подновеното плюс полученото ново финансиране се докладва в колона 160 под идентификационни номера 1.1—1.31.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170 —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месец ≤ 3 месеца</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Общият размер на финансирането, чийто падеж настъпва на съответния ден през периода на докладване, с първоначален срок до падежа — между един месец и три месеца, се докладва в колона 170 под идентификационни номера 1.1—1.31. За месеци с по-малко от 31 дни, както и за уикенди, редовете, които не са от значение, се оставят празни.</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Общият размер на финансирането, подновено на съответния ден през периода на докладване, с първоначален срок до падежа — между един месец и три месеца, се докладва в колона 180 под идентификационни номера 1.1—1.31.</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Общият размер на новото финансиране, получено на съответния ден през периода на докладване, с първоначален срок до падежа — между един месец и три месеца, се докладва в колона 190 под идентификационни номера 1.1—1.31.</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Нетната разлика между, от една страна, финансирането с настъпващ падеж и, от друга, подновеното плюс полученото ново финансиране се докладва в колона 200 под идентификационни номера 1.1—1.31.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210 —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месеца ≤ 6 месеца</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Общият размер на финансирането, чийто падеж настъпва на съответния ден през периода на докладване, с първоначален срок до падежа — между три месеца и шест месеца, се докладва в колона 210 под идентификационни номера 1.1—1.31. За месеци с по-малко от 31 дни, както и за уикенди, редовете, които не са от значение, се оставят празни.</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Общият размер на финансирането, подновено на съответния ден през периода на докладване, с първоначален срок до падежа — между три месеца и шест месеца, се докладва в колона 220 под идентификационни номера 1.1—1.31.</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Общият размер на новото финансиране, получено на съответния ден през периода на докладване, с първоначален срок до падежа — между три месеца и шест месеца, се докладва в колона 230 под идентификационни номера 1.1—1.31.</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Нетната разлика между, от една страна, финансирането с настъпващ падеж и, от друга, подновеното плюс полученото ново финансиране се докладва в колона 240 под идентификационни номера 1.1—1.31.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250 —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месеца</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 xml:space="preserve">Общият размер на финансирането, чийто падеж настъпва на съответния ден през периода на докладване, с първоначален срок до падежа — над шест месеца, се докладва в колона 250 под идентификационни номера 1.1—1.31. За месеци с по-малко от 31 </w:t>
            </w:r>
            <w:r>
              <w:rPr>
                <w:rFonts w:ascii="Times New Roman" w:hAnsi="Times New Roman"/>
                <w:sz w:val="24"/>
              </w:rPr>
              <w:lastRenderedPageBreak/>
              <w:t>дни, както и за уикенди, редовете, които не са от значение, се оставят празни.</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Общият размер на финансирането, подновено на съответния ден през периода на докладване, с първоначален срок до падежа — над шест месеца, се докладва в колона 260 под идентификационни номера 1.1—1.31.</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Общият размер на новото финансиране, получено на съответния ден през периода на докладване, с първоначален срок до падежа — над шест месеца, се докладва в колона 270 под идентификационни номера 1.1—1.31.</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Нетната разлика между, от една страна, финансирането с настъпващ падеж и, от друга, подновеното плюс полученото ново финансиране се докладва в колона 280 под идентификационни номера 1.1—1.31.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Общо нетни парични потоци</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Общият размер на нетните парични потоци се докладва в колона 290 и е равен на сбора от всички колони, в които е посочена нетна разлика, с номера 040, 080, 120, 160, 200, 240, 280.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 —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Среден срок (в дни)</w:t>
            </w:r>
          </w:p>
          <w:p w14:paraId="51F755D8" w14:textId="4DE32C79" w:rsidR="007C6B89" w:rsidRPr="001263B4" w:rsidRDefault="007C6B89" w:rsidP="001263B4">
            <w:pPr>
              <w:spacing w:before="0"/>
              <w:rPr>
                <w:rFonts w:ascii="Times New Roman" w:hAnsi="Times New Roman"/>
                <w:b/>
                <w:sz w:val="24"/>
                <w:u w:val="single"/>
              </w:rPr>
            </w:pPr>
            <w:proofErr w:type="spellStart"/>
            <w:r>
              <w:rPr>
                <w:rFonts w:ascii="Times New Roman" w:hAnsi="Times New Roman"/>
                <w:sz w:val="24"/>
              </w:rPr>
              <w:t>Среднопретегленият</w:t>
            </w:r>
            <w:proofErr w:type="spellEnd"/>
            <w:r>
              <w:rPr>
                <w:rFonts w:ascii="Times New Roman" w:hAnsi="Times New Roman"/>
                <w:sz w:val="24"/>
              </w:rPr>
              <w:t xml:space="preserve"> срок, в дни, на всички средства с настъпващ падеж се докладва в колона 300. </w:t>
            </w:r>
            <w:proofErr w:type="spellStart"/>
            <w:r>
              <w:rPr>
                <w:rFonts w:ascii="Times New Roman" w:hAnsi="Times New Roman"/>
                <w:sz w:val="24"/>
              </w:rPr>
              <w:t>Среднопретегленият</w:t>
            </w:r>
            <w:proofErr w:type="spellEnd"/>
            <w:r>
              <w:rPr>
                <w:rFonts w:ascii="Times New Roman" w:hAnsi="Times New Roman"/>
                <w:sz w:val="24"/>
              </w:rPr>
              <w:t xml:space="preserve"> срок, в дни, на подновеното финансиране се докладва в колона 310, а </w:t>
            </w:r>
            <w:proofErr w:type="spellStart"/>
            <w:r>
              <w:rPr>
                <w:rFonts w:ascii="Times New Roman" w:hAnsi="Times New Roman"/>
                <w:sz w:val="24"/>
              </w:rPr>
              <w:t>среднопретегленият</w:t>
            </w:r>
            <w:proofErr w:type="spellEnd"/>
            <w:r>
              <w:rPr>
                <w:rFonts w:ascii="Times New Roman" w:hAnsi="Times New Roman"/>
                <w:sz w:val="24"/>
              </w:rPr>
              <w:t xml:space="preserve"> срок, в дни, на новото финансиране се докладва в колона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7D87B20C" w:rsidR="003E009D" w:rsidRDefault="003E009D">
        <w:pPr>
          <w:pStyle w:val="Footer"/>
          <w:jc w:val="center"/>
        </w:pPr>
        <w:r>
          <w:fldChar w:fldCharType="begin"/>
        </w:r>
        <w:r>
          <w:instrText xml:space="preserve"> PAGE   \* MERGEFORMAT </w:instrText>
        </w:r>
        <w:r>
          <w:fldChar w:fldCharType="separate"/>
        </w:r>
        <w:r w:rsidR="00765AF6">
          <w:rPr>
            <w:noProof/>
          </w:rPr>
          <w:t>16</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3F5436F" w:rsidR="00EA0D1D" w:rsidRDefault="00EA0D1D">
        <w:pPr>
          <w:pStyle w:val="Footer"/>
          <w:jc w:val="center"/>
        </w:pPr>
        <w:r>
          <w:fldChar w:fldCharType="begin"/>
        </w:r>
        <w:r>
          <w:instrText xml:space="preserve"> PAGE   \* MERGEFORMAT </w:instrText>
        </w:r>
        <w:r>
          <w:fldChar w:fldCharType="separate"/>
        </w:r>
        <w:r w:rsidR="00765AF6">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943E91B4"/>
    <w:lvl w:ilvl="0">
      <w:start w:val="2"/>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5AF6"/>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bg-BG"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bg-BG"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bg-B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bg-BG" w:eastAsia="en-US" w:bidi="ar-SA"/>
    </w:rPr>
  </w:style>
  <w:style w:type="character" w:customStyle="1" w:styleId="FunoteChar">
    <w:name w:val="Fußnote Char"/>
    <w:aliases w:val=" Char Char Char"/>
    <w:semiHidden/>
    <w:rsid w:val="009D253B"/>
    <w:rPr>
      <w:rFonts w:ascii="Arial" w:hAnsi="Arial"/>
      <w:sz w:val="18"/>
      <w:lang w:val="bg-BG"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bg-BG"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bg-BG"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bg-BG"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bg-BG"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bg-BG" w:eastAsia="de-AT"/>
    </w:rPr>
  </w:style>
  <w:style w:type="character" w:customStyle="1" w:styleId="BalloonTextChar">
    <w:name w:val="Balloon Text Char"/>
    <w:link w:val="BalloonText"/>
    <w:semiHidden/>
    <w:rsid w:val="00167536"/>
    <w:rPr>
      <w:rFonts w:ascii="Tahoma" w:hAnsi="Tahoma" w:cs="Tahoma"/>
      <w:sz w:val="16"/>
      <w:szCs w:val="16"/>
      <w:lang w:val="bg-BG" w:eastAsia="en-US"/>
    </w:rPr>
  </w:style>
  <w:style w:type="character" w:customStyle="1" w:styleId="PlainTextChar">
    <w:name w:val="Plain Text Char"/>
    <w:link w:val="PlainText"/>
    <w:semiHidden/>
    <w:rsid w:val="00167536"/>
    <w:rPr>
      <w:rFonts w:ascii="Consolas" w:hAnsi="Consolas"/>
      <w:sz w:val="21"/>
      <w:szCs w:val="21"/>
      <w:lang w:val="bg-BG"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bg-BG" w:eastAsia="en-US"/>
    </w:rPr>
  </w:style>
  <w:style w:type="character" w:customStyle="1" w:styleId="FooterCoverPageChar">
    <w:name w:val="Footer Cover Page Char"/>
    <w:link w:val="FooterCoverPage"/>
    <w:rsid w:val="00167536"/>
    <w:rPr>
      <w:color w:val="4F81BD"/>
      <w:sz w:val="24"/>
      <w:szCs w:val="24"/>
      <w:lang w:val="bg-BG"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bg-BG"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C46645-6AA8-4376-8268-EC4605A23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5277</Words>
  <Characters>28554</Characters>
  <Application>Microsoft Office Word</Application>
  <DocSecurity>0</DocSecurity>
  <Lines>713</Lines>
  <Paragraphs>341</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33490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BAKOS Tamas (DGT)</cp:lastModifiedBy>
  <cp:revision>6</cp:revision>
  <cp:lastPrinted>2014-06-12T08:34:00Z</cp:lastPrinted>
  <dcterms:created xsi:type="dcterms:W3CDTF">2020-10-01T12:52:00Z</dcterms:created>
  <dcterms:modified xsi:type="dcterms:W3CDTF">2020-12-10T15:29:00Z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