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1F5720B5" w:rsidR="00C36E0D" w:rsidRPr="00AB4BEA" w:rsidRDefault="00743390" w:rsidP="00AB4BEA">
      <w:pPr>
        <w:pStyle w:val="Pagedecouverture"/>
      </w:pPr>
      <w:bookmarkStart w:id="0" w:name="_GoBack"/>
      <w:bookmarkEnd w:id="0"/>
      <w:r>
        <w:pict w14:anchorId="62C68F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EDC27E2-D58B-4922-8055-8D948A8E62CC" style="width:450.65pt;height:408.6pt">
            <v:imagedata r:id="rId8" o:title=""/>
          </v:shape>
        </w:pict>
      </w:r>
    </w:p>
    <w:p w14:paraId="703F7C0E" w14:textId="77777777" w:rsidR="0004170D" w:rsidRPr="00AB4BEA" w:rsidRDefault="0004170D">
      <w:pPr>
        <w:sectPr w:rsidR="0004170D" w:rsidRPr="00AB4BEA" w:rsidSect="00C22300">
          <w:footerReference w:type="default" r:id="rId9"/>
          <w:pgSz w:w="11907" w:h="16839"/>
          <w:pgMar w:top="1134" w:right="1417" w:bottom="1134" w:left="1417" w:header="709" w:footer="709" w:gutter="0"/>
          <w:pgNumType w:start="0"/>
          <w:cols w:space="720"/>
          <w:docGrid w:linePitch="360"/>
        </w:sectPr>
      </w:pPr>
    </w:p>
    <w:p w14:paraId="4E87218B" w14:textId="4A2B1CA0" w:rsidR="0004170D" w:rsidRPr="00AB4BEA" w:rsidRDefault="00AB4BEA" w:rsidP="00AB4BEA">
      <w:pPr>
        <w:pStyle w:val="Typedudocument"/>
      </w:pPr>
      <w:r w:rsidRPr="00AB4BEA">
        <w:lastRenderedPageBreak/>
        <w:t>KOMMISSIONENS GENOMFÖRANDEFÖRORDNING (EU) …/…</w:t>
      </w:r>
    </w:p>
    <w:p w14:paraId="311EA019" w14:textId="1AAB2330" w:rsidR="0004170D" w:rsidRPr="00AB4BEA" w:rsidRDefault="00AB4BEA" w:rsidP="00AB4BEA">
      <w:pPr>
        <w:pStyle w:val="Datedadoption"/>
      </w:pPr>
      <w:r w:rsidRPr="00AB4BEA">
        <w:t xml:space="preserve">av den </w:t>
      </w:r>
      <w:r w:rsidRPr="00AB4BEA">
        <w:rPr>
          <w:rStyle w:val="Marker2"/>
        </w:rPr>
        <w:t>XXX</w:t>
      </w:r>
    </w:p>
    <w:p w14:paraId="7EF0A74F" w14:textId="69FF97DD" w:rsidR="0004170D" w:rsidRPr="00AB4BEA" w:rsidRDefault="00AB4BEA" w:rsidP="00AB4BEA">
      <w:pPr>
        <w:pStyle w:val="Titreobjet"/>
      </w:pPr>
      <w:r w:rsidRPr="00AB4BEA">
        <w:t xml:space="preserve">om tekniska genomförandestandarder för tillämpningen av Europaparlamentets och rådets förordning (EU) nr 575/2013 vad gäller instituts tillsynsrapportering och om upphävande av genomförandeförordning (EU) nr 680/2014 </w:t>
      </w:r>
      <w:r w:rsidRPr="00AB4BEA">
        <w:br/>
      </w:r>
    </w:p>
    <w:p w14:paraId="714F85CC" w14:textId="648EEF58" w:rsidR="0004170D" w:rsidRPr="00AB4BEA" w:rsidRDefault="00AB4BEA" w:rsidP="00AB4BEA">
      <w:pPr>
        <w:pStyle w:val="IntrtEEE"/>
      </w:pPr>
      <w:r w:rsidRPr="00AB4BEA">
        <w:t>(Text av betydelse för EES)</w:t>
      </w:r>
    </w:p>
    <w:p w14:paraId="12CCC5F1" w14:textId="77777777" w:rsidR="0004170D" w:rsidRPr="00AB4BEA" w:rsidRDefault="0004170D" w:rsidP="009675DD">
      <w:pPr>
        <w:pStyle w:val="Institutionquiagit"/>
      </w:pPr>
      <w:r w:rsidRPr="00AB4BEA">
        <w:t>EUROPEISKA KOMMISSIONEN HAR ANTAGIT DENNA FÖRORDNING</w:t>
      </w:r>
    </w:p>
    <w:p w14:paraId="54D27881" w14:textId="77777777" w:rsidR="0004170D" w:rsidRPr="00AB4BEA" w:rsidRDefault="0004170D" w:rsidP="009675DD">
      <w:r w:rsidRPr="00AB4BEA">
        <w:t>med beaktande av fördraget om Europeiska unionens funktionssätt,</w:t>
      </w:r>
    </w:p>
    <w:p w14:paraId="2965D16B" w14:textId="4EFD17A3" w:rsidR="0004170D" w:rsidRPr="00AB4BEA" w:rsidRDefault="00AD21AA" w:rsidP="009675DD">
      <w:pPr>
        <w:rPr>
          <w:rFonts w:eastAsia="Times New Roman"/>
          <w:noProof/>
          <w:color w:val="000000"/>
        </w:rPr>
      </w:pPr>
      <w:r w:rsidRPr="00AB4BEA">
        <w:t>med beaktande av Europaparlamentets och rådets förordning (EU) nr 575/2013 av den 26 juni 2013 om tillsynskrav för kreditinstitut och värdepappersföretag och om ändring av förordning (EU) nr 648/2012</w:t>
      </w:r>
      <w:r w:rsidRPr="00AB4BEA">
        <w:rPr>
          <w:rStyle w:val="FootnoteReference"/>
        </w:rPr>
        <w:footnoteReference w:id="1"/>
      </w:r>
      <w:r w:rsidRPr="00AB4BEA">
        <w:t>, särskilt artikel 415.3 första stycket, artikel 415.3a första stycket, artikel 430.7 första stycket och artikel 430.9 andra stycket, och</w:t>
      </w:r>
    </w:p>
    <w:p w14:paraId="421FC692" w14:textId="77777777" w:rsidR="0004170D" w:rsidRPr="00AB4BEA" w:rsidRDefault="0004170D" w:rsidP="009675DD">
      <w:r w:rsidRPr="00AB4BEA">
        <w:t>av följande skäl:</w:t>
      </w:r>
    </w:p>
    <w:p w14:paraId="0A7D0586" w14:textId="77777777" w:rsidR="00AD21AA" w:rsidRPr="00AB4BEA" w:rsidRDefault="00AD21AA" w:rsidP="0047317A">
      <w:pPr>
        <w:pStyle w:val="Considrant"/>
        <w:numPr>
          <w:ilvl w:val="0"/>
          <w:numId w:val="11"/>
        </w:numPr>
      </w:pPr>
      <w:r w:rsidRPr="00AB4BEA">
        <w:t>Utan att det påverkar de behöriga myndigheternas befogenheter enligt artikel 104.1 j i Europaparlamentets och rådets direktiv 2013/36/EU</w:t>
      </w:r>
      <w:r w:rsidRPr="00AB4BEA">
        <w:rPr>
          <w:rStyle w:val="FootnoteReference"/>
        </w:rPr>
        <w:footnoteReference w:id="2"/>
      </w:r>
      <w:r w:rsidRPr="00AB4BEA">
        <w:t xml:space="preserve"> fastställs en enhetlig rapporteringsram i kommissionens genomförandeförordning (EU) nr 680/2014</w:t>
      </w:r>
      <w:r w:rsidRPr="00AB4BEA">
        <w:rPr>
          <w:rStyle w:val="FootnoteReference"/>
        </w:rPr>
        <w:footnoteReference w:id="3"/>
      </w:r>
      <w:r w:rsidRPr="00AB4BEA">
        <w:t xml:space="preserve"> på grundval av artikel 430 i förordning (EU) nr 575/2013. Genomförandeförordning (EU) nr 680/2014 har ändrats flera gånger till följd av de ändringar av förordning (EU) nr 575/2013 som antagits för att införa, vidareutveckla eller anpassa inslag i tillsynen.</w:t>
      </w:r>
    </w:p>
    <w:p w14:paraId="7949AA03" w14:textId="77777777" w:rsidR="00AD21AA" w:rsidRPr="00AB4BEA" w:rsidRDefault="00AD21AA" w:rsidP="0047317A">
      <w:pPr>
        <w:pStyle w:val="Considrant"/>
        <w:numPr>
          <w:ilvl w:val="0"/>
          <w:numId w:val="11"/>
        </w:numPr>
      </w:pPr>
      <w:r w:rsidRPr="00AB4BEA">
        <w:t>Det finns starka kopplingar med bestämmelserna i denna förordning, eftersom de handlar om institutens rapporteringskrav. För att se till att dessa bestämmelser, som bör träda i kraft samtidigt, är enhetliga och göra det lättare för de personer som får dessa skyldigheter att få överblick över och hitta dem på ett och samma ställe, bör alla relaterade tekniska standarder för genomförande som krävs enligt förordning (EU) nr 575/2013 samlas i en enda förordning.</w:t>
      </w:r>
    </w:p>
    <w:p w14:paraId="1A0C281B" w14:textId="77777777" w:rsidR="00AD21AA" w:rsidRPr="00AB4BEA" w:rsidRDefault="00AD21AA" w:rsidP="00AD21AA">
      <w:pPr>
        <w:pStyle w:val="Considrant"/>
      </w:pPr>
      <w:r w:rsidRPr="00AB4BEA">
        <w:t>Med beaktande av Baselkommitténs internationella standarder ändrades förordning (EU) nr 575/2013 genom Europaparlamentets och rådets förordning (EU) 2019/876</w:t>
      </w:r>
      <w:r w:rsidRPr="00AB4BEA">
        <w:rPr>
          <w:rStyle w:val="FootnoteReference"/>
        </w:rPr>
        <w:footnoteReference w:id="4"/>
      </w:r>
      <w:r w:rsidRPr="00AB4BEA">
        <w:t xml:space="preserve"> i fråga om ett antal aspekter, såsom bruttosoliditetsgrad, stabil nettofinansieringskvot, </w:t>
      </w:r>
      <w:r w:rsidRPr="00AB4BEA">
        <w:lastRenderedPageBreak/>
        <w:t>krav för kapitalbas och kvalificerade skulder, motpartsrisk, marknadsrisk, exponeringar mot centrala motparter, exponeringar mot företag för kollektiva investeringar, stora exponeringar, rapporteringskrav och krav på offentliggörande av information. Den rapporteringsram som fastställs i genomförandeförordning (EU) nr 680/2014 bör därför ses över och mallarna för insamling av uppgifter för tillsynsrapportering uppdateras.</w:t>
      </w:r>
    </w:p>
    <w:p w14:paraId="5F6B66C1" w14:textId="77777777" w:rsidR="00AD21AA" w:rsidRPr="00AB4BEA" w:rsidRDefault="00AD21AA" w:rsidP="00AD21AA">
      <w:pPr>
        <w:pStyle w:val="Considrant"/>
      </w:pPr>
      <w:r w:rsidRPr="00AB4BEA">
        <w:t>Genom förordning (EU) 2019/876 infördes i förordning (EU) nr 575/2013 ett krav på primärkapital avseende bruttosoliditetsgraden kalibrerat till 3 %, en rad justeringar av beräkningen av exponeringsmåttet för bruttosoliditetsgrad och ett krav på bruttosoliditetsbuffert för institut som identifieras som globala systemviktiga institut i enlighet med direktiv 2013/36/EU. Rapporteringen av bruttosoliditetsgraden bör därför uppdateras för att återspegla dessa krav och justeringar i exponeringsberäkningen.</w:t>
      </w:r>
    </w:p>
    <w:p w14:paraId="3651D6E0" w14:textId="77777777" w:rsidR="00AD21AA" w:rsidRPr="00AB4BEA" w:rsidRDefault="00AD21AA" w:rsidP="00AD21AA">
      <w:pPr>
        <w:pStyle w:val="Considrant"/>
      </w:pPr>
      <w:r w:rsidRPr="00AB4BEA">
        <w:t>Genom förordning (EU) 2019/876 infördes i förordning (EU) nr 575/2013 rapporteringskrav angående stabil nettofinansieringskvot, inklusive förenklade krav. Det är därför nödvändigt att fastställa en ny uppsättning mallar och instruktioner för rapportering.</w:t>
      </w:r>
    </w:p>
    <w:p w14:paraId="7CAD2444" w14:textId="77777777" w:rsidR="00AD21AA" w:rsidRPr="00AB4BEA" w:rsidRDefault="00AD21AA" w:rsidP="00AD21AA">
      <w:pPr>
        <w:pStyle w:val="Considrant"/>
      </w:pPr>
      <w:r w:rsidRPr="00AB4BEA">
        <w:t>Genom förordning (EU) 2019/876 infördes i förordning (EU) nr 575/2013 en ny stödfaktor som ska tillämpas på exponeringar i samband med infrastrukturprojekt och uppdaterade metoder för beräkning av riskvägda exponeringsbelopp för företag för kollektiva investeringar. Det är därför nödvändigt att, även i enlighet med ramen för offentliggörande av information, fastställa nya mallar och instruktioner för rapportering av kreditrisk och att uppdatera de nuvarande instruktionerna.</w:t>
      </w:r>
    </w:p>
    <w:p w14:paraId="19553D31" w14:textId="77777777" w:rsidR="00AD21AA" w:rsidRPr="00AB4BEA" w:rsidRDefault="00AD21AA" w:rsidP="00AD21AA">
      <w:pPr>
        <w:pStyle w:val="Considrant"/>
      </w:pPr>
      <w:r w:rsidRPr="00AB4BEA">
        <w:t>Genom förordning (EU) 2019/876 ersattes i förordning (EU) nr 575/2013 schablonmetoden med en mer riskkänslig schablonmetod för motpartskreditrisk och en förenklad version (den förenklade schablonmetoden för motpartskreditrisk) för institut som uppfyller på förhand fastställda kvalificeringskriterier. Den ursprungliga åtagandemetoden är, även om den har reviderats, fortfarande tillgänglig för institut som uppfyller i förväg fastställda kriterier. Det är därför nödvändigt att lägga till nya mallar och instruktioner för rapportering av motpartskreditrisk och att uppdatera de nuvarande instruktionerna.</w:t>
      </w:r>
    </w:p>
    <w:p w14:paraId="76193745" w14:textId="77777777" w:rsidR="00AD21AA" w:rsidRPr="00AB4BEA" w:rsidRDefault="00AD21AA" w:rsidP="00AD21AA">
      <w:pPr>
        <w:pStyle w:val="Considrant"/>
      </w:pPr>
      <w:r w:rsidRPr="00AB4BEA">
        <w:t>Genom förordning (EU) 2019/876 ersattes i förordning (EU) nr 575/2013 hänvisningarna till ”godtagbart kapital” i beräkningen av stora exponeringar med hänvisningar till ”primärkapital” och infördes ett annat tröskelvärde för rapportering av stora exponeringar på gruppnivå. Rapporteringen av stora exponeringar bör därför uppdateras.</w:t>
      </w:r>
    </w:p>
    <w:p w14:paraId="406A544B" w14:textId="77777777" w:rsidR="00AD21AA" w:rsidRPr="00AB4BEA" w:rsidRDefault="00AD21AA" w:rsidP="00AD21AA">
      <w:pPr>
        <w:pStyle w:val="Considrant"/>
      </w:pPr>
      <w:r w:rsidRPr="00AB4BEA">
        <w:t>Genom Europaparlamentets och rådets förordning (EU) 2019/630</w:t>
      </w:r>
      <w:r w:rsidRPr="00AB4BEA">
        <w:rPr>
          <w:rStyle w:val="FootnoteReference"/>
        </w:rPr>
        <w:footnoteReference w:id="5"/>
      </w:r>
      <w:r w:rsidRPr="00AB4BEA">
        <w:t xml:space="preserve"> infördes i förordning (EU) nr 575/2013 en säkerhetsspärr för nödlidande exponeringar som innebär ett avdrag från institutens kapitalbas i de fall nödlidande exponeringar inte i tillräcklig utsträckning täcks av avsättningar eller andra justeringar, enligt en på förhand fastställd tidsplan för att bygga upp en fullständig täckning över tiden. Denna säkerhetsspärr bygger på definitionerna av ”nödlidande exponeringar” och ”anståndsåtgärder” i genomförandeförordning (EU) nr 680/2014. Det är därför nödvändigt att ändra mallar och instruktioner för att säkerställa att det finns en enda </w:t>
      </w:r>
      <w:r w:rsidRPr="00AB4BEA">
        <w:lastRenderedPageBreak/>
        <w:t>definition av ”nödlidande exponeringar” och ”anståndsåtgärder” för både rapporteringsändamål och tillämpning av säkerhetsspärren. Nya mallar behövs också för insamling av information vid beräkningen av säkerhetsspärren.</w:t>
      </w:r>
    </w:p>
    <w:p w14:paraId="4A308F65" w14:textId="77777777" w:rsidR="00AD21AA" w:rsidRPr="00AB4BEA" w:rsidRDefault="00AD21AA" w:rsidP="00AD21AA">
      <w:pPr>
        <w:pStyle w:val="Considrant"/>
      </w:pPr>
      <w:r w:rsidRPr="00AB4BEA">
        <w:t>Genom Europaparlamentets och rådets förordning (EU) 2019/2033</w:t>
      </w:r>
      <w:r w:rsidRPr="00AB4BEA">
        <w:rPr>
          <w:rStyle w:val="FootnoteReference"/>
        </w:rPr>
        <w:footnoteReference w:id="6"/>
      </w:r>
      <w:r w:rsidRPr="00AB4BEA">
        <w:t xml:space="preserve"> upphävs med verkan från och med den 26 juni 2026 del tre avdelning I kapitel 1 avsnitt 2 (artiklarna 95–98) i förordning (EU) nr 575/2013. Därför bör bestämmelserna om rapportering för grupper som endast består av värdepappersföretag som omfattas av artiklarna 95 och 96 i förordning (EU) nr 575/2013 på individuell nivå eller gruppnivå upphöra att gälla den 26 juni 2026.</w:t>
      </w:r>
    </w:p>
    <w:p w14:paraId="43FA00D7" w14:textId="77777777" w:rsidR="00AD21AA" w:rsidRPr="00AB4BEA" w:rsidRDefault="00AD21AA" w:rsidP="00AD21AA">
      <w:pPr>
        <w:pStyle w:val="Considrant"/>
      </w:pPr>
      <w:r w:rsidRPr="00AB4BEA">
        <w:t>Med tanke på ändringarnas omfattning och för tydlighetens skull bör genomförandeförordning (EU) nr 680/2014 upphävas och ersättas med den här förordningen.</w:t>
      </w:r>
    </w:p>
    <w:p w14:paraId="68FF0834" w14:textId="77777777" w:rsidR="00AD21AA" w:rsidRPr="00AB4BEA" w:rsidRDefault="00AD21AA" w:rsidP="00AD21AA">
      <w:pPr>
        <w:pStyle w:val="Considrant"/>
      </w:pPr>
      <w:r w:rsidRPr="00AB4BEA">
        <w:t>Europaparlamentets och rådets förordning (EU) 2020/873</w:t>
      </w:r>
      <w:r w:rsidRPr="00AB4BEA">
        <w:rPr>
          <w:rStyle w:val="FootnoteReference"/>
        </w:rPr>
        <w:footnoteReference w:id="7"/>
      </w:r>
      <w:r w:rsidRPr="00AB4BEA">
        <w:t xml:space="preserve"> ingår i en rad åtgärder för att mildra effekterna av covid-19-pandemin på institut i hela unionen. Genom den förordningen infördes vissa ändringar av förordningarna (EU) nr 575/2013 och (EU) 2019/876 som påverkar tillsynsrapporteringen. Dessa ändringar bör därför återspeglas i rapporteringsramen. </w:t>
      </w:r>
    </w:p>
    <w:p w14:paraId="1AEA9367" w14:textId="77777777" w:rsidR="00AD21AA" w:rsidRPr="00AB4BEA" w:rsidRDefault="00AD21AA" w:rsidP="00AD21AA">
      <w:pPr>
        <w:pStyle w:val="Considrant"/>
      </w:pPr>
      <w:r w:rsidRPr="00AB4BEA">
        <w:t>Instituten bör inleda tillsynsrapporteringen vid utgången av andra kvartalet 2021. Rapporteringen av bruttosoliditetsbuffert bör dock inledas från och med januari 2023 eftersom tillämpningen av kraven på bruttosoliditetsbuffert sköts upp till januari 2023 genom förordning (EU) 2020/873.</w:t>
      </w:r>
    </w:p>
    <w:p w14:paraId="34258819" w14:textId="77777777" w:rsidR="00AD21AA" w:rsidRPr="00AB4BEA" w:rsidRDefault="00AD21AA" w:rsidP="00AD21AA">
      <w:pPr>
        <w:pStyle w:val="Considrant"/>
      </w:pPr>
      <w:r w:rsidRPr="00AB4BEA">
        <w:t>Denna förordning grundar sig på det förslag till tekniska standarder för genomförande som Europeiska bankmyndigheten (EBA) har överlämnat till kommissionen.</w:t>
      </w:r>
    </w:p>
    <w:p w14:paraId="1EE2EAF8" w14:textId="77777777" w:rsidR="00AD21AA" w:rsidRPr="00AB4BEA" w:rsidRDefault="00AD21AA" w:rsidP="00AD21AA">
      <w:pPr>
        <w:pStyle w:val="Considrant"/>
        <w:rPr>
          <w:noProof/>
        </w:rPr>
      </w:pPr>
      <w:r w:rsidRPr="00AB4BEA">
        <w:t>EBA har anordnat öppna offentliga samråd om det förslag till tekniska standarder för genomförande som den här förordningen grundas på, analyserat de möjliga relaterade kostnaderna och fördelarna samt begärt råd från den bankintressentgrupp som inrättats i enlighet med artikel 37 i Europaparlamentets och rådets förordning (EU) nr 1093/2010</w:t>
      </w:r>
      <w:r w:rsidRPr="00AB4BEA">
        <w:rPr>
          <w:rStyle w:val="FootnoteReference"/>
        </w:rPr>
        <w:footnoteReference w:id="8"/>
      </w:r>
      <w:r w:rsidRPr="00AB4BEA">
        <w:t>, med undantag för de bestämmelser som återspeglar ändringarna av förordning (EU) nr 575/2013 genom förordning (EU) 2020/873. EBA beslutade att det inte alls vore proportionerligt att genomföra offentliga samråd eller en analys av kostnader och fördelar avseende dessa bestämmelser, eftersom de rör mycket få rader i rapporteringsmallarna om solvens och bruttosoliditet och sannolikt inte kommer att ha någon väsentlig inverkan på rapporteringskostnaderna. Dessutom skulle ett sådant offentligt samråd eller en sådan analys av kostnader och fördelar hindra tillsynsmyndigheterna från att i tid samla in relevanta uppgifter på ett enhetligt och regelbundet sätt.</w:t>
      </w:r>
    </w:p>
    <w:p w14:paraId="38285338" w14:textId="5E242B95" w:rsidR="0004170D" w:rsidRPr="00AB4BEA" w:rsidRDefault="00AD21AA" w:rsidP="00AD21AA">
      <w:pPr>
        <w:pStyle w:val="Considrant"/>
        <w:rPr>
          <w:noProof/>
        </w:rPr>
      </w:pPr>
      <w:r w:rsidRPr="00AB4BEA">
        <w:lastRenderedPageBreak/>
        <w:t xml:space="preserve">För att ge instituten tillräckligt med tid för att förbereda sig på rapportering i enlighet med denna förordning bör den träda i kraft dagen efter det att den har offentliggjorts i Europeiska unionens officiella tidning. </w:t>
      </w:r>
    </w:p>
    <w:p w14:paraId="7E0D596A" w14:textId="77777777" w:rsidR="0004170D" w:rsidRPr="00AB4BEA" w:rsidRDefault="0004170D" w:rsidP="009675DD">
      <w:pPr>
        <w:pStyle w:val="Formuledadoption"/>
      </w:pPr>
      <w:r w:rsidRPr="00AB4BEA">
        <w:t>HÄRIGENOM FÖRESKRIVS FÖLJANDE.</w:t>
      </w:r>
    </w:p>
    <w:p w14:paraId="576F9D8E" w14:textId="77777777" w:rsidR="0004170D" w:rsidRPr="00AB4BEA" w:rsidRDefault="0004170D" w:rsidP="009675DD">
      <w:pPr>
        <w:pStyle w:val="Titrearticle"/>
      </w:pPr>
      <w:r w:rsidRPr="00AB4BEA">
        <w:t>Artikel 1</w:t>
      </w:r>
    </w:p>
    <w:p w14:paraId="288B3999" w14:textId="77777777" w:rsidR="006B61AF" w:rsidRPr="00AB4BEA" w:rsidRDefault="006B61AF" w:rsidP="006B61AF">
      <w:pPr>
        <w:pStyle w:val="Titrearticle"/>
        <w:spacing w:before="120"/>
        <w:rPr>
          <w:b/>
          <w:i w:val="0"/>
        </w:rPr>
      </w:pPr>
      <w:r w:rsidRPr="00AB4BEA">
        <w:rPr>
          <w:b/>
          <w:i w:val="0"/>
        </w:rPr>
        <w:t>Innehåll och tillämpningsområde</w:t>
      </w:r>
    </w:p>
    <w:p w14:paraId="37986D69" w14:textId="774022E5" w:rsidR="0004170D" w:rsidRPr="00AB4BEA" w:rsidRDefault="006B61AF" w:rsidP="00BC75BD">
      <w:r w:rsidRPr="00AB4BEA">
        <w:t xml:space="preserve">I denna förordning fastställs enhetliga format och mallar för rapportering, instruktioner om och en metod för hur dessa mallar ska användas, rapporteringsfrekvens och rapporteringsdatum, definitioner och it-lösningar för institutens rapportering till sina behöriga myndigheter i enlighet med artikel 415.3, artikel 415.3a, artikel 430.1–430.4, artikel 430.7 och artikel 430.9 i förordning (EU) nr 575/2013. </w:t>
      </w:r>
    </w:p>
    <w:p w14:paraId="46D6B4CF" w14:textId="2B331565" w:rsidR="00FF364B" w:rsidRPr="00AB4BEA" w:rsidRDefault="00FF364B" w:rsidP="00FF364B">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1</w:t>
      </w:r>
      <w:r w:rsidR="005D6DF1">
        <w:rPr>
          <w:noProof/>
        </w:rPr>
        <w:fldChar w:fldCharType="end"/>
      </w:r>
    </w:p>
    <w:p w14:paraId="35E34B0E" w14:textId="1A25917F" w:rsidR="00FF364B" w:rsidRPr="00AB4BEA" w:rsidRDefault="006B61AF" w:rsidP="00FF364B">
      <w:pPr>
        <w:pStyle w:val="Titrearticle"/>
        <w:spacing w:before="120"/>
        <w:rPr>
          <w:b/>
          <w:i w:val="0"/>
        </w:rPr>
      </w:pPr>
      <w:r w:rsidRPr="00AB4BEA">
        <w:rPr>
          <w:b/>
          <w:i w:val="0"/>
        </w:rPr>
        <w:t>Rapporteringsreferensdatum</w:t>
      </w:r>
    </w:p>
    <w:p w14:paraId="10AD0363" w14:textId="77777777" w:rsidR="006B61AF" w:rsidRPr="00AB4BEA" w:rsidRDefault="006B61AF" w:rsidP="006B61AF">
      <w:pPr>
        <w:pStyle w:val="NumPar1"/>
        <w:numPr>
          <w:ilvl w:val="0"/>
          <w:numId w:val="10"/>
        </w:numPr>
      </w:pPr>
      <w:r w:rsidRPr="00AB4BEA">
        <w:t>Instituten ska överlämna information till de behöriga myndigheterna om ställningen per följande rapporteringsreferensdatum:</w:t>
      </w:r>
    </w:p>
    <w:p w14:paraId="7FC44D08" w14:textId="2BC9CD43" w:rsidR="006B61AF" w:rsidRPr="00AB4BEA" w:rsidRDefault="00D9176D" w:rsidP="006B61AF">
      <w:pPr>
        <w:pStyle w:val="Point1"/>
      </w:pPr>
      <w:r w:rsidRPr="00AB4BEA">
        <w:t>a)</w:t>
      </w:r>
      <w:r w:rsidRPr="00AB4BEA">
        <w:tab/>
        <w:t>Månadsrapportering: sista dagen i varje månad.</w:t>
      </w:r>
    </w:p>
    <w:p w14:paraId="28CC3121" w14:textId="77777777" w:rsidR="006B61AF" w:rsidRPr="00AB4BEA" w:rsidRDefault="006B61AF" w:rsidP="006B61AF">
      <w:pPr>
        <w:pStyle w:val="Point1"/>
      </w:pPr>
      <w:r w:rsidRPr="00AB4BEA">
        <w:t>b)</w:t>
      </w:r>
      <w:r w:rsidRPr="00AB4BEA">
        <w:tab/>
        <w:t>Kvartalsrapportering: 31 mars, 30 juni, 30 september samt 31 december.</w:t>
      </w:r>
    </w:p>
    <w:p w14:paraId="3C859754" w14:textId="77777777" w:rsidR="006B61AF" w:rsidRPr="00AB4BEA" w:rsidRDefault="006B61AF" w:rsidP="006B61AF">
      <w:pPr>
        <w:pStyle w:val="Point1"/>
      </w:pPr>
      <w:r w:rsidRPr="00AB4BEA">
        <w:t>c)</w:t>
      </w:r>
      <w:r w:rsidRPr="00AB4BEA">
        <w:tab/>
        <w:t>Halvårsrapportering: 30 juni och 31 december.</w:t>
      </w:r>
    </w:p>
    <w:p w14:paraId="03865441" w14:textId="5E46B259" w:rsidR="00FF364B" w:rsidRPr="00AB4BEA" w:rsidRDefault="006B61AF" w:rsidP="006B61AF">
      <w:pPr>
        <w:pStyle w:val="Point1"/>
      </w:pPr>
      <w:r w:rsidRPr="00AB4BEA">
        <w:t>d)</w:t>
      </w:r>
      <w:r w:rsidRPr="00AB4BEA">
        <w:tab/>
        <w:t>Årsrapportering: 31 december.</w:t>
      </w:r>
    </w:p>
    <w:p w14:paraId="40A4E6AA" w14:textId="77777777" w:rsidR="006B61AF" w:rsidRPr="00AB4BEA" w:rsidRDefault="006B61AF" w:rsidP="006B61AF">
      <w:pPr>
        <w:pStyle w:val="NumPar1"/>
      </w:pPr>
      <w:r w:rsidRPr="00AB4BEA">
        <w:t>Information som lämnas enligt de mallar som anges i bilagorna III och IV enligt instruktionerna i bilaga V och som avser en viss period ska rapporteras kumulativt från räkenskapsårets första dag till referensdatumet.</w:t>
      </w:r>
    </w:p>
    <w:p w14:paraId="65D209FF" w14:textId="1131E63F" w:rsidR="00FF364B" w:rsidRPr="00AB4BEA" w:rsidRDefault="006B61AF" w:rsidP="006B61AF">
      <w:pPr>
        <w:pStyle w:val="NumPar1"/>
      </w:pPr>
      <w:r w:rsidRPr="00AB4BEA">
        <w:t>Om institut enligt nationell lagstiftning får rapportera finansiell information på grundval av ett räkenskapsår som skiljer sig från kalenderåret, får rapporteringsreferensdatumen justeras därefter, så att rapporteringen av finansiell information samt information för identifiering av globala systemviktiga institut och tilldelning av buffertvärden för globala systemviktiga institut sker var tredje, sjätte respektive tolfte månad från utgången av deras räkenskapsår.</w:t>
      </w:r>
    </w:p>
    <w:p w14:paraId="45D66A15" w14:textId="77777777" w:rsidR="00725875" w:rsidRPr="00AB4BEA" w:rsidRDefault="00725875" w:rsidP="00725875">
      <w:pPr>
        <w:pStyle w:val="Titrearticle"/>
      </w:pPr>
      <w:r w:rsidRPr="00AB4BEA">
        <w:t>Artikel 3</w:t>
      </w:r>
    </w:p>
    <w:p w14:paraId="19D84E1B" w14:textId="77777777" w:rsidR="0014552F" w:rsidRPr="00AB4BEA" w:rsidRDefault="0014552F" w:rsidP="0014552F">
      <w:pPr>
        <w:pStyle w:val="Titrearticle"/>
        <w:spacing w:before="120"/>
        <w:rPr>
          <w:b/>
          <w:i w:val="0"/>
        </w:rPr>
      </w:pPr>
      <w:r w:rsidRPr="00AB4BEA">
        <w:rPr>
          <w:b/>
          <w:i w:val="0"/>
        </w:rPr>
        <w:t>Rapportöverföringsdatum</w:t>
      </w:r>
    </w:p>
    <w:p w14:paraId="1A3916EF" w14:textId="77777777" w:rsidR="0014552F" w:rsidRPr="00AB4BEA" w:rsidRDefault="0014552F" w:rsidP="0047317A">
      <w:pPr>
        <w:pStyle w:val="NumPar1"/>
        <w:numPr>
          <w:ilvl w:val="0"/>
          <w:numId w:val="12"/>
        </w:numPr>
      </w:pPr>
      <w:r w:rsidRPr="00AB4BEA">
        <w:t>Instituten ska överlämna information till de behöriga myndigheterna senast vid utgången av arbetsdagen på följande överföringsdatum:</w:t>
      </w:r>
    </w:p>
    <w:p w14:paraId="1B31A059" w14:textId="77777777" w:rsidR="0014552F" w:rsidRPr="00AB4BEA" w:rsidRDefault="0014552F" w:rsidP="0014552F">
      <w:pPr>
        <w:pStyle w:val="Point1"/>
      </w:pPr>
      <w:r w:rsidRPr="00AB4BEA">
        <w:t>a)</w:t>
      </w:r>
      <w:r w:rsidRPr="00AB4BEA">
        <w:tab/>
        <w:t>Månadsrapportering: femtonde kalenderdagen efter rapporteringsreferensdatumet.</w:t>
      </w:r>
    </w:p>
    <w:p w14:paraId="59E141C9" w14:textId="77777777" w:rsidR="0014552F" w:rsidRPr="00AB4BEA" w:rsidRDefault="0014552F" w:rsidP="0014552F">
      <w:pPr>
        <w:pStyle w:val="Point1"/>
      </w:pPr>
      <w:r w:rsidRPr="00AB4BEA">
        <w:t>b)</w:t>
      </w:r>
      <w:r w:rsidRPr="00AB4BEA">
        <w:tab/>
        <w:t>Kvartalsrapportering: 12 maj, 11 augusti, 11 november och 11 februari.</w:t>
      </w:r>
    </w:p>
    <w:p w14:paraId="31A5927D" w14:textId="77777777" w:rsidR="0014552F" w:rsidRPr="00AB4BEA" w:rsidRDefault="0014552F" w:rsidP="0014552F">
      <w:pPr>
        <w:pStyle w:val="Point1"/>
      </w:pPr>
      <w:r w:rsidRPr="00AB4BEA">
        <w:t>c)</w:t>
      </w:r>
      <w:r w:rsidRPr="00AB4BEA">
        <w:tab/>
        <w:t>Halvårsrapportering: 11 augusti och 11 februari.</w:t>
      </w:r>
    </w:p>
    <w:p w14:paraId="37F1906A" w14:textId="77777777" w:rsidR="0014552F" w:rsidRPr="00AB4BEA" w:rsidRDefault="0014552F" w:rsidP="0014552F">
      <w:pPr>
        <w:pStyle w:val="Point1"/>
      </w:pPr>
      <w:r w:rsidRPr="00AB4BEA">
        <w:t>d)</w:t>
      </w:r>
      <w:r w:rsidRPr="00AB4BEA">
        <w:tab/>
        <w:t>Årsrapportering: 11 februari.</w:t>
      </w:r>
    </w:p>
    <w:p w14:paraId="493E0587" w14:textId="77777777" w:rsidR="0014552F" w:rsidRPr="00AB4BEA" w:rsidRDefault="0014552F" w:rsidP="0014552F">
      <w:pPr>
        <w:pStyle w:val="NumPar1"/>
        <w:numPr>
          <w:ilvl w:val="0"/>
          <w:numId w:val="10"/>
        </w:numPr>
      </w:pPr>
      <w:r w:rsidRPr="00AB4BEA">
        <w:lastRenderedPageBreak/>
        <w:t>Om överföringsdatumet är en allmän helgdag i medlemsstaten för den behöriga myndighet som rapporten ska överlämnas till, eller är en lördag eller söndag, ska informationen överlämnas närmast följande arbetsdag.</w:t>
      </w:r>
    </w:p>
    <w:p w14:paraId="6B66EFC5" w14:textId="77777777" w:rsidR="0014552F" w:rsidRPr="00AB4BEA" w:rsidRDefault="0014552F" w:rsidP="0014552F">
      <w:pPr>
        <w:pStyle w:val="NumPar1"/>
        <w:numPr>
          <w:ilvl w:val="0"/>
          <w:numId w:val="10"/>
        </w:numPr>
      </w:pPr>
      <w:r w:rsidRPr="00AB4BEA">
        <w:t>Om instituten rapporterar sin finansiella information eller information för identifiering av globala systemviktiga institut och tilldelning av buffertvärden för globala systemviktiga institut enligt justerade rapporteringsreferensdatum baserat på utgången av deras räkenskapsår i enlighet med artikel 2.3, får överföringsdatumen också justeras på motsvarande sätt, så att överföringsperioden från det justerade rapporteringsreferensdatumet blir densamma.</w:t>
      </w:r>
    </w:p>
    <w:p w14:paraId="67094FB3" w14:textId="77777777" w:rsidR="0014552F" w:rsidRPr="00AB4BEA" w:rsidRDefault="0014552F" w:rsidP="0014552F">
      <w:pPr>
        <w:pStyle w:val="NumPar1"/>
        <w:numPr>
          <w:ilvl w:val="0"/>
          <w:numId w:val="10"/>
        </w:numPr>
      </w:pPr>
      <w:r w:rsidRPr="00AB4BEA">
        <w:t>Instituten får överlämna oreviderade uppgifter. Om de reviderade uppgifterna avviker från överlämnade oreviderade uppgifter, ska de ändrade reviderade uppgifterna överlämnas utan onödigt dröjsmål. Oreviderade uppgifter är uppgifter som inte har blivit föremål för ett uttalande från en extern revisor, medan reviderade uppgifter är uppgifter som har granskats av en extern revisor som har lämnat ett revisionsuttalande.</w:t>
      </w:r>
    </w:p>
    <w:p w14:paraId="758E2E74" w14:textId="6B437F09" w:rsidR="00725875" w:rsidRPr="00AB4BEA" w:rsidRDefault="0014552F" w:rsidP="0014552F">
      <w:pPr>
        <w:pStyle w:val="NumPar1"/>
        <w:numPr>
          <w:ilvl w:val="0"/>
          <w:numId w:val="10"/>
        </w:numPr>
      </w:pPr>
      <w:r w:rsidRPr="00AB4BEA">
        <w:t>Andra rättelser av de överlämnade rapporterna ska också överlämnas till de behöriga myndigheterna utan onödigt dröjsmål.</w:t>
      </w:r>
    </w:p>
    <w:p w14:paraId="60D8A63C" w14:textId="64062D7B" w:rsidR="0014552F" w:rsidRPr="00AB4BEA" w:rsidRDefault="0014552F" w:rsidP="0014552F">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2</w:t>
      </w:r>
      <w:r w:rsidR="005D6DF1">
        <w:rPr>
          <w:noProof/>
        </w:rPr>
        <w:fldChar w:fldCharType="end"/>
      </w:r>
    </w:p>
    <w:p w14:paraId="726E257C" w14:textId="77777777" w:rsidR="0014552F" w:rsidRPr="00AB4BEA" w:rsidRDefault="0014552F" w:rsidP="0014552F">
      <w:pPr>
        <w:pStyle w:val="Titrearticle"/>
        <w:spacing w:before="120"/>
        <w:rPr>
          <w:b/>
          <w:i w:val="0"/>
        </w:rPr>
      </w:pPr>
      <w:r w:rsidRPr="00AB4BEA">
        <w:rPr>
          <w:b/>
          <w:i w:val="0"/>
        </w:rPr>
        <w:t>Tröskelvärden för rapportering – kriterier för inträde och utträde</w:t>
      </w:r>
    </w:p>
    <w:p w14:paraId="06A0F026" w14:textId="77777777" w:rsidR="0014552F" w:rsidRPr="00AB4BEA" w:rsidRDefault="0014552F" w:rsidP="0047317A">
      <w:pPr>
        <w:pStyle w:val="NumPar1"/>
        <w:numPr>
          <w:ilvl w:val="0"/>
          <w:numId w:val="13"/>
        </w:numPr>
      </w:pPr>
      <w:r w:rsidRPr="00AB4BEA">
        <w:t>Institut som uppfyller villkoren i artikel 4.1.145 i förordning (EU) nr 575/2013 ska börja rapportera information som små och icke-komplexa institut på det första rapporteringsreferensdatumet efter det att dessa villkor har uppfyllts. Om instituten inte längre uppfyller dessa villkor ska de upphöra att rapportera denna information på det första rapporteringsreferensdatumet därefter.</w:t>
      </w:r>
    </w:p>
    <w:p w14:paraId="67299D12" w14:textId="77777777" w:rsidR="0014552F" w:rsidRPr="00AB4BEA" w:rsidRDefault="0014552F" w:rsidP="0014552F">
      <w:pPr>
        <w:pStyle w:val="NumPar1"/>
        <w:numPr>
          <w:ilvl w:val="0"/>
          <w:numId w:val="10"/>
        </w:numPr>
      </w:pPr>
      <w:r w:rsidRPr="00AB4BEA">
        <w:t>Institut som uppfyller villkoren i artikel 4.1.146 i förordning (EU) nr 575/2013 ska börja rapportera information som stora institut på det första rapporteringsreferensdatumet efter det att dessa villkor har uppfyllts. Om instituten inte längre uppfyller dessa villkor ska de upphöra att rapportera denna information på det första rapporteringsreferensdatumet därefter.</w:t>
      </w:r>
    </w:p>
    <w:p w14:paraId="427BAF61" w14:textId="77777777" w:rsidR="0014552F" w:rsidRPr="00AB4BEA" w:rsidRDefault="0014552F" w:rsidP="0014552F">
      <w:pPr>
        <w:pStyle w:val="NumPar1"/>
        <w:numPr>
          <w:ilvl w:val="0"/>
          <w:numId w:val="10"/>
        </w:numPr>
      </w:pPr>
      <w:r w:rsidRPr="00AB4BEA">
        <w:t>Institut ska börja rapportera information som omfattas av de tröskelvärden som anges i denna förordning på nästa rapporteringsreferensdatum efter det att dessa tröskelvärden har överskridits vid två på varandra följande rapporteringsreferensdatum. Instituten får upphöra att rapportera information som omfattas av de tröskelvärden som anges i denna förordning på nästa rapporteringsreferensdatum när de har underskridit de relevanta tröskelvärdena vid tre på varandra följande rapporteringsreferensdatum.</w:t>
      </w:r>
    </w:p>
    <w:p w14:paraId="1E03EF09" w14:textId="4562E1CD" w:rsidR="0014552F" w:rsidRPr="00AB4BEA" w:rsidRDefault="0014552F" w:rsidP="0014552F">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3</w:t>
      </w:r>
      <w:r w:rsidR="005D6DF1">
        <w:rPr>
          <w:noProof/>
        </w:rPr>
        <w:fldChar w:fldCharType="end"/>
      </w:r>
    </w:p>
    <w:p w14:paraId="17F5FB19" w14:textId="77777777" w:rsidR="0014552F" w:rsidRPr="00AB4BEA" w:rsidRDefault="0014552F" w:rsidP="0014552F">
      <w:pPr>
        <w:pStyle w:val="Titrearticle"/>
        <w:spacing w:before="120"/>
        <w:rPr>
          <w:b/>
          <w:i w:val="0"/>
        </w:rPr>
      </w:pPr>
      <w:r w:rsidRPr="00AB4BEA">
        <w:rPr>
          <w:b/>
          <w:i w:val="0"/>
        </w:rPr>
        <w:t xml:space="preserve">Rapportering av information om kapitalbas och kapitalbaskrav på individuell nivå – kvartalsrapportering </w:t>
      </w:r>
    </w:p>
    <w:p w14:paraId="52AEA4DB" w14:textId="77777777" w:rsidR="0014552F" w:rsidRPr="00AB4BEA" w:rsidRDefault="0014552F" w:rsidP="0047317A">
      <w:pPr>
        <w:pStyle w:val="NumPar1"/>
        <w:numPr>
          <w:ilvl w:val="0"/>
          <w:numId w:val="14"/>
        </w:numPr>
      </w:pPr>
      <w:r w:rsidRPr="00AB4BEA">
        <w:t>Vid rapportering av information om kapitalbas och kapitalbaskrav i enlighet med artikel 430.1 a i förordning (EU) nr 575/2013 på individuell nivå ska instituten överlämna den information som avses i denna artikel kvartalsvis.</w:t>
      </w:r>
    </w:p>
    <w:p w14:paraId="10F736EF" w14:textId="77777777" w:rsidR="0014552F" w:rsidRPr="00AB4BEA" w:rsidRDefault="0014552F" w:rsidP="0014552F">
      <w:pPr>
        <w:pStyle w:val="NumPar1"/>
      </w:pPr>
      <w:r w:rsidRPr="00AB4BEA">
        <w:lastRenderedPageBreak/>
        <w:t>Instituten ska överlämna information om kapitalbas och kapitalbaskrav enligt specifikationerna i mallarna 1–5 i bilaga I och i enlighet med instruktionerna i del II punkt 1 i bilaga II.</w:t>
      </w:r>
    </w:p>
    <w:p w14:paraId="77032C56" w14:textId="77777777" w:rsidR="0014552F" w:rsidRPr="00AB4BEA" w:rsidRDefault="0014552F" w:rsidP="0014552F">
      <w:pPr>
        <w:pStyle w:val="NumPar1"/>
      </w:pPr>
      <w:r w:rsidRPr="00AB4BEA">
        <w:t>Instituten ska överlämna information om exponeringar mot kreditrisk och motpartskreditrisk som behandlas enligt schablonmetoden, enligt specifikationerna i mall 7 i bilaga I och i enlighet med instruktionerna i del II punkt 3.2 i bilaga II.</w:t>
      </w:r>
    </w:p>
    <w:p w14:paraId="4FC8E450" w14:textId="77777777" w:rsidR="0014552F" w:rsidRPr="00AB4BEA" w:rsidRDefault="0014552F" w:rsidP="0014552F">
      <w:pPr>
        <w:pStyle w:val="NumPar1"/>
      </w:pPr>
      <w:r w:rsidRPr="00AB4BEA">
        <w:t>Instituten ska överlämna information om exponeringar mot kreditrisk och motpartskreditrisk som behandlas enligt internmetoden, enligt specifikationerna i mallarna 8.1 och 8.2 i bilaga I och i enlighet med instruktionerna i del II punkt 3.3 i bilaga II.</w:t>
      </w:r>
    </w:p>
    <w:p w14:paraId="68EBC1AD" w14:textId="77777777" w:rsidR="0014552F" w:rsidRPr="00AB4BEA" w:rsidRDefault="0014552F" w:rsidP="0014552F">
      <w:pPr>
        <w:pStyle w:val="NumPar1"/>
      </w:pPr>
      <w:r w:rsidRPr="00AB4BEA">
        <w:t xml:space="preserve">Instituten ska överlämna information om den geografiska fördelningen av exponeringar per land och om aggregerade exponeringar på total nivå enligt specifikationerna i mall 9 i bilaga I och i enlighet med instruktionerna i del II punkt 3.4 i bilaga II. </w:t>
      </w:r>
    </w:p>
    <w:p w14:paraId="37720A47" w14:textId="380C1EA6" w:rsidR="0014552F" w:rsidRPr="00AB4BEA" w:rsidRDefault="0014552F" w:rsidP="006B3AF7">
      <w:pPr>
        <w:pStyle w:val="Text1"/>
      </w:pPr>
      <w:r w:rsidRPr="00AB4BEA">
        <w:t xml:space="preserve">Instituten ska överlämna den information som avses i mallarna 9.1 och 9.2, särskilt information om den geografiska fördelningen av exponeringar per land, i de fall icke-inhemska ursprungliga åtaganden i alla ”icke-inhemska” länder i samtliga exponeringsklasser, rapporterade i enlighet med mall 4 rad 0850 i bilaga I, minst motsvarar 10 % av de sammanlagda inhemska och icke-inhemska ursprungliga åtaganden som rapporteras i enlighet med mall 4 rad 0860 i bilaga I. Exponeringar ska betraktas som inhemska när de utgör exponeringar mot motparter belägna i samma medlemsstat som den där institutet är etablerat. </w:t>
      </w:r>
    </w:p>
    <w:p w14:paraId="2D010602" w14:textId="678AF76C" w:rsidR="0014552F" w:rsidRPr="00AB4BEA" w:rsidRDefault="0014552F" w:rsidP="006B3AF7">
      <w:pPr>
        <w:pStyle w:val="Text1"/>
      </w:pPr>
      <w:r w:rsidRPr="00AB4BEA">
        <w:t>Inträdes- och utträdeskriterierna enligt artikel 4 ska tillämpas.</w:t>
      </w:r>
    </w:p>
    <w:p w14:paraId="1B5047C1" w14:textId="77777777" w:rsidR="0014552F" w:rsidRPr="00AB4BEA" w:rsidRDefault="0014552F" w:rsidP="0014552F">
      <w:pPr>
        <w:pStyle w:val="NumPar1"/>
      </w:pPr>
      <w:r w:rsidRPr="00AB4BEA">
        <w:t>Instituten ska överlämna information om motpartskreditrisk enligt specifikationerna i mallarna 34.01–34.05 och 34.08–34.10 i bilaga I och i enlighet med instruktionerna i del II punkt 3.9 i bilaga II.</w:t>
      </w:r>
    </w:p>
    <w:p w14:paraId="71DD8676" w14:textId="77777777" w:rsidR="0014552F" w:rsidRPr="00AB4BEA" w:rsidRDefault="0014552F" w:rsidP="0014552F">
      <w:pPr>
        <w:pStyle w:val="NumPar1"/>
      </w:pPr>
      <w:r w:rsidRPr="00AB4BEA">
        <w:t>Institut som tillämpar schablonmetoden eller metoden med interna modeller för beräkning av exponeringar mot motpartskreditrisk i enlighet med del tre avdelning II kapitel 6 avsnitten 3 och 6 i förordning (EU) nr 575/2013 ska överlämna information om motpartskreditrisk enligt specifikationerna i mall 34.06 i bilaga I och i enlighet med instruktionerna i del II punkt 3.9.7 i bilaga II.</w:t>
      </w:r>
    </w:p>
    <w:p w14:paraId="5A7C446B" w14:textId="77777777" w:rsidR="0014552F" w:rsidRPr="00AB4BEA" w:rsidRDefault="0014552F" w:rsidP="0014552F">
      <w:pPr>
        <w:pStyle w:val="NumPar1"/>
      </w:pPr>
      <w:r w:rsidRPr="00AB4BEA">
        <w:t>Instituten ska överlämna information om aktieexponeringar som behandlas enligt internmetoden, enligt specifikationerna i mall 10 i bilaga I och i enlighet med instruktionerna i del II punkt 3.5 i bilaga II.</w:t>
      </w:r>
    </w:p>
    <w:p w14:paraId="6C5997E8" w14:textId="77777777" w:rsidR="0014552F" w:rsidRPr="00AB4BEA" w:rsidRDefault="0014552F" w:rsidP="0014552F">
      <w:pPr>
        <w:pStyle w:val="NumPar1"/>
      </w:pPr>
      <w:r w:rsidRPr="00AB4BEA">
        <w:t>Instituten ska överlämna information om avvecklingsrisk enligt specifikationerna i mall 11 i bilaga I och i enlighet med instruktionerna i del II punkt 3.6 i bilaga II.</w:t>
      </w:r>
    </w:p>
    <w:p w14:paraId="442593B8" w14:textId="77777777" w:rsidR="0014552F" w:rsidRPr="00AB4BEA" w:rsidRDefault="0014552F" w:rsidP="0014552F">
      <w:pPr>
        <w:pStyle w:val="NumPar1"/>
      </w:pPr>
      <w:r w:rsidRPr="00AB4BEA">
        <w:t>Instituten ska överlämna information om värdepapperiseringsexponeringar enligt specifikationerna i mall 13.01 i bilaga I och i enlighet med instruktionerna i del II punkt 3.7 i bilaga II.</w:t>
      </w:r>
    </w:p>
    <w:p w14:paraId="70A0DE2C" w14:textId="77777777" w:rsidR="0014552F" w:rsidRPr="00AB4BEA" w:rsidRDefault="0014552F" w:rsidP="0014552F">
      <w:pPr>
        <w:pStyle w:val="NumPar1"/>
      </w:pPr>
      <w:r w:rsidRPr="00AB4BEA">
        <w:t>Instituten ska överlämna information om kapitalbaskrav och förluster i samband med operativ risk enligt specifikationerna i mall 16 i bilaga I och i enlighet med instruktionerna i del II punkt 4.1 i bilaga II.</w:t>
      </w:r>
    </w:p>
    <w:p w14:paraId="66782023" w14:textId="77777777" w:rsidR="0014552F" w:rsidRPr="00AB4BEA" w:rsidRDefault="0014552F" w:rsidP="0014552F">
      <w:pPr>
        <w:pStyle w:val="NumPar1"/>
      </w:pPr>
      <w:r w:rsidRPr="00AB4BEA">
        <w:t>Instituten ska överlämna information om kapitalbaskrav i samband med marknadsrisk enligt specifikationerna i mallarna 18–24 i bilaga I och i enlighet med instruktionerna i del II punkterna 5.1–5.7 i bilaga II.</w:t>
      </w:r>
    </w:p>
    <w:p w14:paraId="2975DD1F" w14:textId="77777777" w:rsidR="0014552F" w:rsidRPr="00AB4BEA" w:rsidRDefault="0014552F" w:rsidP="0014552F">
      <w:pPr>
        <w:pStyle w:val="NumPar1"/>
      </w:pPr>
      <w:r w:rsidRPr="00AB4BEA">
        <w:lastRenderedPageBreak/>
        <w:t>Instituten ska överlämna information om kapitalbaskrav i samband med kreditvärdighetsjusteringsrisk enligt specifikationerna i mall 25 i bilaga I och i enlighet med instruktionerna i del II punkt 5.8 i bilaga II.</w:t>
      </w:r>
    </w:p>
    <w:p w14:paraId="29B0B226" w14:textId="5F3CD6D2" w:rsidR="0014552F" w:rsidRPr="00AB4BEA" w:rsidRDefault="0014552F" w:rsidP="0014552F">
      <w:pPr>
        <w:pStyle w:val="NumPar1"/>
      </w:pPr>
      <w:r w:rsidRPr="00AB4BEA">
        <w:t>Instituten ska överlämna information om försiktig värdering enligt specifikationerna i mall 32 i bilaga I och i enlighet med instruktionerna i del II punkt 6 i bilaga II, enligt följande:</w:t>
      </w:r>
    </w:p>
    <w:p w14:paraId="7AAF2502" w14:textId="77777777" w:rsidR="0014552F" w:rsidRPr="00AB4BEA" w:rsidRDefault="0014552F" w:rsidP="0014552F">
      <w:pPr>
        <w:pStyle w:val="Point1"/>
      </w:pPr>
      <w:r w:rsidRPr="00AB4BEA">
        <w:t>a)</w:t>
      </w:r>
      <w:r w:rsidRPr="00AB4BEA">
        <w:tab/>
        <w:t>Samtliga institut ska överlämna information enligt specifikationerna i mall 32.1 i bilaga I och i enlighet med instruktionerna i del II punkt 6 i bilaga II.</w:t>
      </w:r>
    </w:p>
    <w:p w14:paraId="2C2BA953" w14:textId="77777777" w:rsidR="0014552F" w:rsidRPr="00AB4BEA" w:rsidRDefault="0014552F" w:rsidP="0014552F">
      <w:pPr>
        <w:pStyle w:val="Point1"/>
      </w:pPr>
      <w:r w:rsidRPr="00AB4BEA">
        <w:t>b)</w:t>
      </w:r>
      <w:r w:rsidRPr="00AB4BEA">
        <w:tab/>
        <w:t>Institut som tillämpar huvudmetoden i enlighet med kommissionens delegerade förordning (EU) 2016/101</w:t>
      </w:r>
      <w:r w:rsidRPr="00AB4BEA">
        <w:rPr>
          <w:rStyle w:val="FootnoteReference"/>
        </w:rPr>
        <w:footnoteReference w:id="9"/>
      </w:r>
      <w:r w:rsidRPr="00AB4BEA">
        <w:t xml:space="preserve"> ska, utöver den information som avses i led a i denna punkt, rapportera information enligt specifikationerna i mall 32.2 i bilaga I och i enlighet med instruktionerna i del II punkt 6 i bilaga II.</w:t>
      </w:r>
    </w:p>
    <w:p w14:paraId="220BA8B3" w14:textId="77777777" w:rsidR="0014552F" w:rsidRPr="00AB4BEA" w:rsidRDefault="0014552F" w:rsidP="0014552F">
      <w:pPr>
        <w:pStyle w:val="Point1"/>
      </w:pPr>
      <w:r w:rsidRPr="00AB4BEA">
        <w:t>c)</w:t>
      </w:r>
      <w:r w:rsidRPr="00AB4BEA">
        <w:tab/>
        <w:t>Institut som tillämpar huvudmetoden i enlighet med kommissionens delegerade förordning (EU) 2016/101 och som överskrider det tröskelvärde som avses i artikel 4.1 i den förordningen ska, utöver den information som avses i leden a och b i denna punkt, rapportera information enligt specifikationerna i mallarna 32.3 och 32.4 i bilaga I och i enlighet med instruktionerna i del II punkt 6 i bilaga II.</w:t>
      </w:r>
    </w:p>
    <w:p w14:paraId="3453A2CF" w14:textId="77777777" w:rsidR="0014552F" w:rsidRPr="00AB4BEA" w:rsidRDefault="0014552F" w:rsidP="0014552F">
      <w:pPr>
        <w:pStyle w:val="Text1"/>
      </w:pPr>
      <w:r w:rsidRPr="00AB4BEA">
        <w:t>Vid tillämpning av denna punkt ska inträdes- och utträdeskriterierna enligt artikel 4 inte tillämpas.</w:t>
      </w:r>
    </w:p>
    <w:p w14:paraId="3329EA93" w14:textId="0799B97E" w:rsidR="00725875" w:rsidRPr="00AB4BEA" w:rsidRDefault="0014552F" w:rsidP="0014552F">
      <w:pPr>
        <w:pStyle w:val="NumPar1"/>
      </w:pPr>
      <w:r w:rsidRPr="00AB4BEA">
        <w:t>Instituten ska överlämna information om säkerhetsspärren för nödlidande exponeringar enligt specifikationerna i mallarna 35.01, 35.02 och 35.03 i bilaga I och i enlighet med instruktionerna i del II punkt 8 i bilaga II.</w:t>
      </w:r>
    </w:p>
    <w:p w14:paraId="2263BAFA" w14:textId="499DD5A6" w:rsidR="004A4E65" w:rsidRPr="00AB4BEA" w:rsidRDefault="004A4E65" w:rsidP="004A4E65">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4</w:t>
      </w:r>
      <w:r w:rsidR="005D6DF1">
        <w:rPr>
          <w:noProof/>
        </w:rPr>
        <w:fldChar w:fldCharType="end"/>
      </w:r>
      <w:r w:rsidRPr="00AB4BEA">
        <w:t xml:space="preserve"> </w:t>
      </w:r>
    </w:p>
    <w:p w14:paraId="6708BD45" w14:textId="77777777" w:rsidR="004A4E65" w:rsidRPr="00AB4BEA" w:rsidRDefault="004A4E65" w:rsidP="004A4E65">
      <w:pPr>
        <w:pStyle w:val="Titrearticle"/>
        <w:rPr>
          <w:b/>
          <w:i w:val="0"/>
        </w:rPr>
      </w:pPr>
      <w:r w:rsidRPr="00AB4BEA">
        <w:rPr>
          <w:b/>
          <w:i w:val="0"/>
        </w:rPr>
        <w:t xml:space="preserve">Rapportering av information om kapitalbas och kapitalbaskrav på individuell nivå – halvårsrapportering </w:t>
      </w:r>
    </w:p>
    <w:p w14:paraId="5551DF99" w14:textId="77777777" w:rsidR="004A4E65" w:rsidRPr="00AB4BEA" w:rsidRDefault="004A4E65" w:rsidP="005F180D">
      <w:pPr>
        <w:pStyle w:val="NumPar1"/>
        <w:numPr>
          <w:ilvl w:val="0"/>
          <w:numId w:val="15"/>
        </w:numPr>
      </w:pPr>
      <w:r w:rsidRPr="00AB4BEA">
        <w:t xml:space="preserve">Vid rapportering av information om kapitalbas och kapitalbaskrav i enlighet med artikel 430.1 a i förordning (EU) nr 575/2013 på individuell nivå ska instituten överlämna den information som avses i denna artikel halvårsvis. </w:t>
      </w:r>
    </w:p>
    <w:p w14:paraId="40FBE120" w14:textId="77777777" w:rsidR="004A4E65" w:rsidRPr="00AB4BEA" w:rsidRDefault="004A4E65" w:rsidP="004A4E65">
      <w:pPr>
        <w:pStyle w:val="NumPar1"/>
      </w:pPr>
      <w:r w:rsidRPr="00AB4BEA">
        <w:t>Instituten ska överlämna information om samtliga värdepapperiseringsexponeringar enligt specifikationerna i mallarna 14 och 14.01 i bilaga I och i enlighet med instruktionerna i del II punkt 3.8 i bilaga II, utom när de utgör en del av en grupp i samma land som det i vilket de är underställda kapitalbaskrav.</w:t>
      </w:r>
    </w:p>
    <w:p w14:paraId="19F85BB9" w14:textId="77777777" w:rsidR="004A4E65" w:rsidRPr="00AB4BEA" w:rsidRDefault="004A4E65" w:rsidP="004A4E65">
      <w:pPr>
        <w:pStyle w:val="NumPar1"/>
      </w:pPr>
      <w:r w:rsidRPr="00AB4BEA">
        <w:t>Instituten ska överlämna information om exponeringar i statspapper enligt följande:</w:t>
      </w:r>
    </w:p>
    <w:p w14:paraId="67E38C8A" w14:textId="77777777" w:rsidR="004A4E65" w:rsidRPr="00AB4BEA" w:rsidRDefault="004A4E65" w:rsidP="004A4E65">
      <w:pPr>
        <w:pStyle w:val="Point1"/>
      </w:pPr>
      <w:r w:rsidRPr="00AB4BEA">
        <w:t>a)</w:t>
      </w:r>
      <w:r w:rsidRPr="00AB4BEA">
        <w:tab/>
        <w:t xml:space="preserve">Om det aggregerade redovisade värdet av finansiella tillgångar från motpartssektorn ”Offentlig sektor” minst motsvarar 1 % av summan av det totala redovisade värdet av ”Räntebärande värdepapper” och ”Lån och förskott” ska instituten överlämna information enligt specifikationerna i mall 33 i bilaga I och i enlighet med instruktionerna i del II punkt 7 i bilaga II, samt </w:t>
      </w:r>
      <w:r w:rsidRPr="00AB4BEA">
        <w:lastRenderedPageBreak/>
        <w:t>följa instruktionerna i bilaga V avseende mall 4 i bilaga III eller bilaga IV, beroende på vad som är tillämpligt, när de beräknar de relevanta värdena.</w:t>
      </w:r>
    </w:p>
    <w:p w14:paraId="1F937D26" w14:textId="77777777" w:rsidR="004A4E65" w:rsidRPr="00AB4BEA" w:rsidRDefault="004A4E65" w:rsidP="004A4E65">
      <w:pPr>
        <w:pStyle w:val="Point1"/>
      </w:pPr>
      <w:r w:rsidRPr="00AB4BEA">
        <w:t>b)</w:t>
      </w:r>
      <w:r w:rsidRPr="00AB4BEA">
        <w:tab/>
        <w:t>Om det värde som rapporteras för inhemska exponeringar för finansiella tillgångar som inte är derivat enligt definitionen i rad 0010 kolumn 0010 i mall 33 i bilaga I är mindre än 90 % av det värde som rapporteras för inhemska och icke-inhemska exponeringar för samma datapunkt, ska institut som uppfyller villkoret i led a överlämna information enligt specifikationerna i mall 33 i bilaga I och i enlighet med instruktionerna i del II punkt 7 i bilaga II, med en fullständig uppdelning per land.</w:t>
      </w:r>
    </w:p>
    <w:p w14:paraId="7834EDAC" w14:textId="77777777" w:rsidR="004A4E65" w:rsidRPr="00AB4BEA" w:rsidRDefault="004A4E65" w:rsidP="004A4E65">
      <w:pPr>
        <w:pStyle w:val="Point1"/>
      </w:pPr>
      <w:r w:rsidRPr="00AB4BEA">
        <w:t>c)</w:t>
      </w:r>
      <w:r w:rsidRPr="00AB4BEA">
        <w:tab/>
        <w:t>Institut som uppfyller villkoret i led a och som inte uppfyller villkoret i led b ska överlämna information enligt specifikationerna i mall 33 i bilaga I och i enlighet med instruktionerna i del II punkt 7 i bilaga II, med exponeringar aggregerade på</w:t>
      </w:r>
    </w:p>
    <w:p w14:paraId="218EDBA5" w14:textId="77777777" w:rsidR="004A4E65" w:rsidRPr="00AB4BEA" w:rsidRDefault="004A4E65" w:rsidP="004A4E65">
      <w:pPr>
        <w:pStyle w:val="Point1"/>
        <w:ind w:firstLine="0"/>
      </w:pPr>
      <w:r w:rsidRPr="00AB4BEA">
        <w:t>i) total nivå, och</w:t>
      </w:r>
    </w:p>
    <w:p w14:paraId="008CFBAC" w14:textId="77777777" w:rsidR="004A4E65" w:rsidRPr="00AB4BEA" w:rsidRDefault="004A4E65" w:rsidP="004A4E65">
      <w:pPr>
        <w:pStyle w:val="Point1"/>
        <w:ind w:firstLine="0"/>
      </w:pPr>
      <w:r w:rsidRPr="00AB4BEA">
        <w:t>ii) inhemsk nivå.</w:t>
      </w:r>
    </w:p>
    <w:p w14:paraId="3B9FA7D6" w14:textId="77777777" w:rsidR="004A4E65" w:rsidRPr="00AB4BEA" w:rsidRDefault="004A4E65" w:rsidP="004A4E65">
      <w:pPr>
        <w:pStyle w:val="Text1"/>
      </w:pPr>
      <w:r w:rsidRPr="00AB4BEA">
        <w:t>Inträdes- och utträdeskriterierna enligt artikel 4.3 ska tillämpas.</w:t>
      </w:r>
    </w:p>
    <w:p w14:paraId="76F698FA" w14:textId="77777777" w:rsidR="004A4E65" w:rsidRPr="00AB4BEA" w:rsidRDefault="004A4E65" w:rsidP="004A4E65">
      <w:pPr>
        <w:pStyle w:val="NumPar1"/>
      </w:pPr>
      <w:r w:rsidRPr="00AB4BEA">
        <w:t>Information om väsentliga förluster i samband med operativ risk ska rapporteras enligt följande:</w:t>
      </w:r>
    </w:p>
    <w:p w14:paraId="6D57AB20" w14:textId="77777777" w:rsidR="004A4E65" w:rsidRPr="00AB4BEA" w:rsidRDefault="004A4E65" w:rsidP="004A4E65">
      <w:pPr>
        <w:pStyle w:val="Point1"/>
      </w:pPr>
      <w:r w:rsidRPr="00AB4BEA">
        <w:t>a)</w:t>
      </w:r>
      <w:r w:rsidRPr="00AB4BEA">
        <w:tab/>
        <w:t>Institut som beräknar kapitalbaskrav i samband med operativ risk i enlighet med del tre avdelning III kapitel 4 i förordning (EU) nr 575/2013 ska rapportera denna information enligt specifikationerna i mallarna 17.01 och 17.02 i bilaga I och i enlighet med instruktionerna i del II punkt 4.2 i bilaga II.</w:t>
      </w:r>
    </w:p>
    <w:p w14:paraId="574CD1A6" w14:textId="77777777" w:rsidR="004A4E65" w:rsidRPr="00AB4BEA" w:rsidRDefault="004A4E65" w:rsidP="004A4E65">
      <w:pPr>
        <w:pStyle w:val="Point1"/>
      </w:pPr>
      <w:r w:rsidRPr="00AB4BEA">
        <w:t>b)</w:t>
      </w:r>
      <w:r w:rsidRPr="00AB4BEA">
        <w:tab/>
        <w:t>Stora institut som beräknar kapitalbaskrav i samband med operativ risk i enlighet med del tre avdelning III kapitel 3 i förordning (EU) nr 575/2013 ska rapportera denna information enligt specifikationerna i mallarna 17.01 och 17.02 i bilaga I och i enlighet med instruktionerna i del II punkt 4.2 i bilaga II.</w:t>
      </w:r>
    </w:p>
    <w:p w14:paraId="3913C437" w14:textId="77777777" w:rsidR="004A4E65" w:rsidRPr="00AB4BEA" w:rsidRDefault="004A4E65" w:rsidP="004A4E65">
      <w:pPr>
        <w:pStyle w:val="Point1"/>
      </w:pPr>
      <w:r w:rsidRPr="00AB4BEA">
        <w:t>c)</w:t>
      </w:r>
      <w:r w:rsidRPr="00AB4BEA">
        <w:tab/>
        <w:t>Institut som inte är stora och som beräknar kapitalbaskrav i samband med operativ risk i enlighet med del tre avdelning III kapitel 3 i förordning (EU) nr 575/2013 ska i enlighet med instruktionerna i del II punkt 4.2 i bilaga II rapportera följande information:</w:t>
      </w:r>
    </w:p>
    <w:p w14:paraId="465B55EF" w14:textId="77777777" w:rsidR="004A4E65" w:rsidRPr="00AB4BEA" w:rsidRDefault="004A4E65" w:rsidP="004A4E65">
      <w:pPr>
        <w:pStyle w:val="Point2"/>
      </w:pPr>
      <w:r w:rsidRPr="00AB4BEA">
        <w:t>i)</w:t>
      </w:r>
      <w:r w:rsidRPr="00AB4BEA">
        <w:tab/>
        <w:t>Den information som avses i mall 17.01 kolumn 0080 i bilaga I, för följande rader:</w:t>
      </w:r>
    </w:p>
    <w:p w14:paraId="38FC9781" w14:textId="77777777" w:rsidR="004A4E65" w:rsidRPr="00AB4BEA" w:rsidRDefault="004A4E65" w:rsidP="004A4E65">
      <w:pPr>
        <w:pStyle w:val="Point3"/>
      </w:pPr>
      <w:r w:rsidRPr="00AB4BEA">
        <w:t>-</w:t>
      </w:r>
      <w:r w:rsidRPr="00AB4BEA">
        <w:tab/>
        <w:t>Antal händelser (nya händelser) (rad 0910).</w:t>
      </w:r>
    </w:p>
    <w:p w14:paraId="4D4CF5FF" w14:textId="77777777" w:rsidR="004A4E65" w:rsidRPr="00AB4BEA" w:rsidRDefault="004A4E65" w:rsidP="004A4E65">
      <w:pPr>
        <w:pStyle w:val="Point3"/>
      </w:pPr>
      <w:r w:rsidRPr="00AB4BEA">
        <w:t>-</w:t>
      </w:r>
      <w:r w:rsidRPr="00AB4BEA">
        <w:tab/>
        <w:t>Bruttoförlustbelopp (nya händelser) (rad 0920).</w:t>
      </w:r>
    </w:p>
    <w:p w14:paraId="1C861214" w14:textId="77777777" w:rsidR="004A4E65" w:rsidRPr="00AB4BEA" w:rsidRDefault="004A4E65" w:rsidP="004A4E65">
      <w:pPr>
        <w:pStyle w:val="Point3"/>
      </w:pPr>
      <w:r w:rsidRPr="00AB4BEA">
        <w:t>-</w:t>
      </w:r>
      <w:r w:rsidRPr="00AB4BEA">
        <w:tab/>
        <w:t>Antal händelser som är föremål för förlustkorrigeringar (rad 0930).</w:t>
      </w:r>
    </w:p>
    <w:p w14:paraId="5E7045F5" w14:textId="77777777" w:rsidR="004A4E65" w:rsidRPr="00AB4BEA" w:rsidRDefault="004A4E65" w:rsidP="004A4E65">
      <w:pPr>
        <w:pStyle w:val="Point3"/>
      </w:pPr>
      <w:r w:rsidRPr="00AB4BEA">
        <w:t>-</w:t>
      </w:r>
      <w:r w:rsidRPr="00AB4BEA">
        <w:tab/>
        <w:t>Förlustkorrigeringar som avser tidigare rapporteringsperioder (rad 0940).</w:t>
      </w:r>
    </w:p>
    <w:p w14:paraId="1438A6CB" w14:textId="77777777" w:rsidR="004A4E65" w:rsidRPr="00AB4BEA" w:rsidRDefault="004A4E65" w:rsidP="004A4E65">
      <w:pPr>
        <w:pStyle w:val="Point3"/>
      </w:pPr>
      <w:r w:rsidRPr="00AB4BEA">
        <w:t>-</w:t>
      </w:r>
      <w:r w:rsidRPr="00AB4BEA">
        <w:tab/>
        <w:t xml:space="preserve">Största enskilda förlust (rad 0950). </w:t>
      </w:r>
    </w:p>
    <w:p w14:paraId="5C63649B" w14:textId="77777777" w:rsidR="004A4E65" w:rsidRPr="00AB4BEA" w:rsidRDefault="004A4E65" w:rsidP="004A4E65">
      <w:pPr>
        <w:pStyle w:val="Point3"/>
      </w:pPr>
      <w:r w:rsidRPr="00AB4BEA">
        <w:t>-</w:t>
      </w:r>
      <w:r w:rsidRPr="00AB4BEA">
        <w:tab/>
        <w:t>Summan av de fem största förlusterna (rad 0960).</w:t>
      </w:r>
    </w:p>
    <w:p w14:paraId="6C176440" w14:textId="77777777" w:rsidR="004A4E65" w:rsidRPr="00AB4BEA" w:rsidRDefault="004A4E65" w:rsidP="004A4E65">
      <w:pPr>
        <w:pStyle w:val="Point3"/>
      </w:pPr>
      <w:r w:rsidRPr="00AB4BEA">
        <w:t>-</w:t>
      </w:r>
      <w:r w:rsidRPr="00AB4BEA">
        <w:tab/>
        <w:t>Total direkt återvinning av förluster (utom försäkringar och andra mekanismer för risköverföring) (rad 0970).</w:t>
      </w:r>
    </w:p>
    <w:p w14:paraId="586DD233" w14:textId="77777777" w:rsidR="004A4E65" w:rsidRPr="00AB4BEA" w:rsidRDefault="004A4E65" w:rsidP="004A4E65">
      <w:pPr>
        <w:pStyle w:val="Point3"/>
      </w:pPr>
      <w:r w:rsidRPr="00AB4BEA">
        <w:t>-</w:t>
      </w:r>
      <w:r w:rsidRPr="00AB4BEA">
        <w:tab/>
        <w:t xml:space="preserve">Total återvinning från försäkringar och andra mekanismer för risköverföring (rad 0980). </w:t>
      </w:r>
    </w:p>
    <w:p w14:paraId="0825DE8D" w14:textId="77777777" w:rsidR="004A4E65" w:rsidRPr="00AB4BEA" w:rsidRDefault="004A4E65" w:rsidP="004A4E65">
      <w:pPr>
        <w:pStyle w:val="Point2"/>
      </w:pPr>
      <w:r w:rsidRPr="00AB4BEA">
        <w:lastRenderedPageBreak/>
        <w:t>ii)</w:t>
      </w:r>
      <w:r w:rsidRPr="00AB4BEA">
        <w:tab/>
        <w:t>Den information som avses i mall 17.02 i bilaga I.</w:t>
      </w:r>
    </w:p>
    <w:p w14:paraId="2FD7698B" w14:textId="77777777" w:rsidR="004A4E65" w:rsidRPr="00AB4BEA" w:rsidRDefault="004A4E65" w:rsidP="004A4E65">
      <w:pPr>
        <w:pStyle w:val="Point1"/>
      </w:pPr>
      <w:r w:rsidRPr="00AB4BEA">
        <w:t>d)</w:t>
      </w:r>
      <w:r w:rsidRPr="00AB4BEA">
        <w:tab/>
        <w:t>De institut som avses i led c får rapportera all den information som avses i mallarna 17.01 och 17.02 i bilaga I i enlighet med instruktionerna i del II punkt 4.2 i bilaga II.</w:t>
      </w:r>
    </w:p>
    <w:p w14:paraId="75F8B450" w14:textId="77777777" w:rsidR="004A4E65" w:rsidRPr="00AB4BEA" w:rsidRDefault="004A4E65" w:rsidP="004A4E65">
      <w:pPr>
        <w:pStyle w:val="Point1"/>
      </w:pPr>
      <w:r w:rsidRPr="00AB4BEA">
        <w:t>e)</w:t>
      </w:r>
      <w:r w:rsidRPr="00AB4BEA">
        <w:tab/>
        <w:t>Stora institut som beräknar kapitalbaskrav i samband med operativ risk i enlighet med del tre avdelning III kapitel 2 i förordning (EU) nr 575/2013 ska rapportera denna information enligt specifikationerna i mallarna 17.01 och 17.02 i bilaga I och i enlighet med instruktionerna i del II punkt 4.2 i bilaga II.</w:t>
      </w:r>
    </w:p>
    <w:p w14:paraId="612A5174" w14:textId="77777777" w:rsidR="004A4E65" w:rsidRPr="00AB4BEA" w:rsidRDefault="004A4E65" w:rsidP="004A4E65">
      <w:pPr>
        <w:pStyle w:val="Point1"/>
      </w:pPr>
      <w:r w:rsidRPr="00AB4BEA">
        <w:t>f)</w:t>
      </w:r>
      <w:r w:rsidRPr="00AB4BEA">
        <w:tab/>
        <w:t>Institut som inte är stora och som beräknar kapitalbaskrav i samband med operativ risk i enlighet med del tre avdelning III kapitel 2 i förordning (EU) nr 575/2013 får rapportera denna information enligt specifikationerna i mallarna 17.01 och 17.02 i bilaga I och i enlighet med instruktionerna i del II punkt 4.2 i bilaga II.</w:t>
      </w:r>
    </w:p>
    <w:p w14:paraId="2F83BAAA" w14:textId="77777777" w:rsidR="004A4E65" w:rsidRPr="00AB4BEA" w:rsidRDefault="004A4E65" w:rsidP="004A4E65">
      <w:pPr>
        <w:pStyle w:val="Text1"/>
      </w:pPr>
      <w:r w:rsidRPr="00AB4BEA">
        <w:t>Inträdes- och utträdeskriterierna enligt artikel 4.3 ska tillämpas.</w:t>
      </w:r>
    </w:p>
    <w:p w14:paraId="490166B3" w14:textId="6B9CD855" w:rsidR="00496B08" w:rsidRPr="00AB4BEA" w:rsidRDefault="004A4E65" w:rsidP="004A4E65">
      <w:pPr>
        <w:pStyle w:val="NumPar1"/>
      </w:pPr>
      <w:r w:rsidRPr="00AB4BEA">
        <w:t>Institut som tillämpar den förenklade schablonmetoden eller den ursprungliga åtagandemetoden för beräkning av exponeringar mot motpartskreditrisk i enlighet med del tre avdelning II kapitel 6 avsnitten 4 och 5 i förordning (EU) nr 575/2013 ska överlämna information om motpartskreditrisk enligt specifikationerna i mall 34.06 i bilaga I och i enlighet med instruktionerna i del II punkt 3.9.7 i bilaga II.</w:t>
      </w:r>
    </w:p>
    <w:p w14:paraId="6414DB48" w14:textId="529E08F0" w:rsidR="00FE0C02" w:rsidRPr="00AB4BEA" w:rsidRDefault="00FE0C02" w:rsidP="00FE0C02">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5</w:t>
      </w:r>
      <w:r w:rsidR="005D6DF1">
        <w:rPr>
          <w:noProof/>
        </w:rPr>
        <w:fldChar w:fldCharType="end"/>
      </w:r>
    </w:p>
    <w:p w14:paraId="0F2D57CA" w14:textId="77777777" w:rsidR="00FE0C02" w:rsidRPr="00AB4BEA" w:rsidRDefault="00FE0C02" w:rsidP="00FE0C02">
      <w:pPr>
        <w:pStyle w:val="Titrearticle"/>
        <w:spacing w:before="120"/>
        <w:rPr>
          <w:b/>
          <w:i w:val="0"/>
        </w:rPr>
      </w:pPr>
      <w:r w:rsidRPr="00AB4BEA">
        <w:rPr>
          <w:b/>
          <w:i w:val="0"/>
        </w:rPr>
        <w:t>Rapportering av information om kapitalbas och kapitalbaskrav på gruppnivå</w:t>
      </w:r>
    </w:p>
    <w:p w14:paraId="598D92CF" w14:textId="77777777" w:rsidR="00FE0C02" w:rsidRPr="00AB4BEA" w:rsidRDefault="00FE0C02" w:rsidP="00FE0C02">
      <w:pPr>
        <w:widowControl w:val="0"/>
        <w:autoSpaceDE w:val="0"/>
        <w:autoSpaceDN w:val="0"/>
        <w:spacing w:line="228" w:lineRule="auto"/>
      </w:pPr>
      <w:r w:rsidRPr="00AB4BEA">
        <w:t>Vid rapportering av information om kapitalbas och kapitalbaskrav i enlighet med artikel 430.1 a i förordning (EU) nr 575/2013 på gruppnivå ska instituten överlämna den information som avses i</w:t>
      </w:r>
    </w:p>
    <w:p w14:paraId="2745F268" w14:textId="77777777" w:rsidR="00FE0C02" w:rsidRPr="00AB4BEA" w:rsidRDefault="00FE0C02" w:rsidP="00FE0C02">
      <w:pPr>
        <w:pStyle w:val="Point1"/>
      </w:pPr>
      <w:r w:rsidRPr="00AB4BEA">
        <w:t>a)</w:t>
      </w:r>
      <w:r w:rsidRPr="00AB4BEA">
        <w:tab/>
        <w:t>artiklarna 5 och 6 i denna genomförandeförordning på gruppnivå med den frekvens som anges där, och</w:t>
      </w:r>
    </w:p>
    <w:p w14:paraId="41714624" w14:textId="77777777" w:rsidR="00FE0C02" w:rsidRPr="00AB4BEA" w:rsidRDefault="00FE0C02" w:rsidP="00FE0C02">
      <w:pPr>
        <w:pStyle w:val="Point1"/>
      </w:pPr>
      <w:r w:rsidRPr="00AB4BEA">
        <w:t>b)</w:t>
      </w:r>
      <w:r w:rsidRPr="00AB4BEA">
        <w:tab/>
        <w:t>mall 6 i bilaga I, i enlighet med instruktionerna i del II punkt 2 i bilaga II, halvårsvis, när det gäller enheter som ingår i konsolideringen.</w:t>
      </w:r>
    </w:p>
    <w:p w14:paraId="319C9C0F" w14:textId="77777777" w:rsidR="00FE0C02" w:rsidRPr="00AB4BEA" w:rsidRDefault="00FE0C02" w:rsidP="00FE0C02">
      <w:pPr>
        <w:pStyle w:val="Titrearticle"/>
      </w:pPr>
      <w:r w:rsidRPr="00AB4BEA">
        <w:t>Artikel 8</w:t>
      </w:r>
    </w:p>
    <w:p w14:paraId="601BC224" w14:textId="77777777" w:rsidR="00FE0C02" w:rsidRPr="00AB4BEA" w:rsidRDefault="00FE0C02" w:rsidP="00FE0C02">
      <w:pPr>
        <w:pStyle w:val="Titrearticle"/>
        <w:rPr>
          <w:b/>
          <w:i w:val="0"/>
        </w:rPr>
      </w:pPr>
      <w:r w:rsidRPr="00AB4BEA">
        <w:rPr>
          <w:b/>
          <w:i w:val="0"/>
        </w:rPr>
        <w:t>Rapportering av information om kapitalbas och kapitalbaskrav – krav på ytterligare rapportering på individuell nivå och gruppnivå</w:t>
      </w:r>
    </w:p>
    <w:p w14:paraId="23F3BEFD" w14:textId="596DDC34" w:rsidR="00FE0C02" w:rsidRPr="00AB4BEA" w:rsidRDefault="00125634" w:rsidP="005F180D">
      <w:pPr>
        <w:pStyle w:val="NumPar1"/>
        <w:numPr>
          <w:ilvl w:val="0"/>
          <w:numId w:val="16"/>
        </w:numPr>
      </w:pPr>
      <w:r w:rsidRPr="00AB4BEA">
        <w:t>Institut som omfattas av ett krav på att offentliggöra den information som avses i artikel 438 e eller h eller artikel 452 b, g eller h i förordning (EU) nr 575/2013 med den frekvens som anges i artikel 433a eller, i tillämpliga fall, artikel 433c och på individuell nivå i enlighet med artikel 6 eller, i tillämpliga fall, på gruppnivå i enlighet med artikel 13 i den förordningen, ska överlämna information om kreditrisk och motpartskreditrisk enligt specifikationerna i mallarna 8.3, 8.4, 8.5, 8.5.1, 8.6, 8.7 och 34.11 i bilaga I till den här förordningen, med samma frekvens, på samma nivå och i enlighet med instruktionerna i del II punkterna 3.3 och 3.9.12 i bilaga II till den här förordningen.</w:t>
      </w:r>
    </w:p>
    <w:p w14:paraId="58F2B691" w14:textId="6662E4F8" w:rsidR="00FE0C02" w:rsidRPr="00AB4BEA" w:rsidRDefault="00977656" w:rsidP="00FE0C02">
      <w:pPr>
        <w:pStyle w:val="NumPar1"/>
      </w:pPr>
      <w:r w:rsidRPr="00AB4BEA">
        <w:t xml:space="preserve">Institut som omfattas av ett krav på att offentliggöra den information som avses i artikel 439 l i förordning (EU) nr 575/2013 med den frekvens som anges i artikel </w:t>
      </w:r>
      <w:r w:rsidRPr="00AB4BEA">
        <w:lastRenderedPageBreak/>
        <w:t>433a eller, i tillämpliga fall, artikel 433c och på individuell nivå i enlighet med artikel 6 eller, i tillämpliga fall, på gruppnivå i enlighet med artikel 13 i den förordningen, ska överlämna information om motpartskreditrisk enligt specifikationerna i mall 34.07 i bilaga I till den här förordningen, med samma frekvens, på samma nivå och i enlighet med instruktionerna i del II punkt 3.9.8 i bilaga II till den här förordningen.</w:t>
      </w:r>
    </w:p>
    <w:p w14:paraId="7252BD87" w14:textId="3B78E27A" w:rsidR="00FE0C02" w:rsidRPr="00AB4BEA" w:rsidRDefault="00FE0C02" w:rsidP="00FE0C02">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6</w:t>
      </w:r>
      <w:r w:rsidR="005D6DF1">
        <w:rPr>
          <w:noProof/>
        </w:rPr>
        <w:fldChar w:fldCharType="end"/>
      </w:r>
    </w:p>
    <w:p w14:paraId="6B3DD09D" w14:textId="77777777" w:rsidR="00FE0C02" w:rsidRPr="00AB4BEA" w:rsidRDefault="00FE0C02" w:rsidP="00FE0C02">
      <w:pPr>
        <w:pStyle w:val="Titrearticle"/>
        <w:spacing w:before="120"/>
        <w:rPr>
          <w:b/>
          <w:i w:val="0"/>
        </w:rPr>
      </w:pPr>
      <w:r w:rsidRPr="00AB4BEA">
        <w:rPr>
          <w:b/>
          <w:i w:val="0"/>
        </w:rPr>
        <w:t>Rapportering av information om kapitalbas och kapitalbaskrav för värdepappersföretag som omfattas av artiklarna 95 och 96 i förordning (EU) nr 575/2013 på individuell nivå</w:t>
      </w:r>
    </w:p>
    <w:p w14:paraId="3D78F884" w14:textId="77777777" w:rsidR="00FE0C02" w:rsidRPr="00AB4BEA" w:rsidRDefault="00FE0C02" w:rsidP="005F180D">
      <w:pPr>
        <w:pStyle w:val="NumPar1"/>
        <w:numPr>
          <w:ilvl w:val="0"/>
          <w:numId w:val="17"/>
        </w:numPr>
      </w:pPr>
      <w:r w:rsidRPr="00AB4BEA">
        <w:t>Värdepappersföretag som tillämpar övergångsbestämmelserna i artikel 57.3 i förordning (EU) 2019/2033 ska överlämna information i enlighet med denna artikel.</w:t>
      </w:r>
    </w:p>
    <w:p w14:paraId="64E2C5EE" w14:textId="77777777" w:rsidR="00FE0C02" w:rsidRPr="00AB4BEA" w:rsidRDefault="00FE0C02" w:rsidP="00FE0C02">
      <w:pPr>
        <w:pStyle w:val="NumPar1"/>
      </w:pPr>
      <w:r w:rsidRPr="00AB4BEA">
        <w:t>Vid rapportering av information om kapitalbas och kapitalbaskrav i enlighet med artikel 430.1 a i förordning (EU) nr 575/2013 på individuell nivå, med undantag för information om bruttosoliditetsgrad, ska värdepappersföretag som tillämpar artikel 57.3 i förordning (EU) 2019/2033 med hänvisning till artikel 95 i förordning (EU) nr 575/2013 överlämna information kvartalsvis, enligt specifikationerna i mallarna 1–5 i bilaga I och i enlighet med instruktionerna i del II punkt 1 i bilaga II.</w:t>
      </w:r>
    </w:p>
    <w:p w14:paraId="6AD01D77" w14:textId="77777777" w:rsidR="00FE0C02" w:rsidRPr="00AB4BEA" w:rsidRDefault="00FE0C02" w:rsidP="00FE0C02">
      <w:pPr>
        <w:pStyle w:val="NumPar1"/>
      </w:pPr>
      <w:r w:rsidRPr="00AB4BEA">
        <w:t>Vid rapportering av information om kapitalbas och kapitalbaskrav i enlighet med artikel 430.1 a i förordning (EU) nr 575/2013 på individuell nivå ska värdepappersföretag som tillämpar artikel 57.3 i förordning (EU) 2019/2033 med hänvisning till artikel 96 i förordning (EU) nr 575/2013 överlämna den information som avses i artiklarna 5.1–5.5, 5.8–5.13 och 6.2 i denna förordning med den frekvens som anges i dessa artiklar.</w:t>
      </w:r>
    </w:p>
    <w:p w14:paraId="4D074E8C" w14:textId="214358D0" w:rsidR="00FE0C02" w:rsidRPr="00AB4BEA" w:rsidRDefault="00FE0C02" w:rsidP="00FE0C02">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7</w:t>
      </w:r>
      <w:r w:rsidR="005D6DF1">
        <w:rPr>
          <w:noProof/>
        </w:rPr>
        <w:fldChar w:fldCharType="end"/>
      </w:r>
    </w:p>
    <w:p w14:paraId="2C5D357D" w14:textId="77777777" w:rsidR="00FE0C02" w:rsidRPr="00AB4BEA" w:rsidRDefault="00FE0C02" w:rsidP="00FE0C02">
      <w:pPr>
        <w:pStyle w:val="Titrearticle"/>
        <w:spacing w:before="120"/>
        <w:rPr>
          <w:b/>
          <w:i w:val="0"/>
        </w:rPr>
      </w:pPr>
      <w:r w:rsidRPr="00AB4BEA">
        <w:rPr>
          <w:b/>
          <w:i w:val="0"/>
        </w:rPr>
        <w:t>Rapportering av information om kapitalbas och kapitalbaskrav för grupper som endast består av värdepappersföretag som omfattas av artiklarna 95 och 96 i förordning (EU) nr 575/2013 på gruppnivå</w:t>
      </w:r>
    </w:p>
    <w:p w14:paraId="0ED9D414" w14:textId="77777777" w:rsidR="00FE0C02" w:rsidRPr="00AB4BEA" w:rsidRDefault="00FE0C02" w:rsidP="005F180D">
      <w:pPr>
        <w:pStyle w:val="NumPar1"/>
        <w:numPr>
          <w:ilvl w:val="0"/>
          <w:numId w:val="18"/>
        </w:numPr>
      </w:pPr>
      <w:r w:rsidRPr="00AB4BEA">
        <w:t>Värdepappersföretag som tillämpar övergångsbestämmelserna i artikel 57.3 i förordning (EU) 2019/2033 ska överlämna information i enlighet med denna artikel.</w:t>
      </w:r>
    </w:p>
    <w:p w14:paraId="55A9CAAC" w14:textId="77777777" w:rsidR="00FE0C02" w:rsidRPr="00AB4BEA" w:rsidRDefault="00FE0C02" w:rsidP="00FE0C02">
      <w:pPr>
        <w:pStyle w:val="NumPar1"/>
      </w:pPr>
      <w:r w:rsidRPr="00AB4BEA">
        <w:t>Vid rapportering av information om kapitalbas och kapitalbaskrav i enlighet med artikel 430.1 a i förordning (EU) nr 575/2013 på gruppnivå, med undantag för information om bruttosoliditetsgrad, ska värdepappersföretag i grupper som endast består av värdepappersföretag som tillämpar artikel 57.3 i förordning (EU) 2019/2033 med hänvisning till artikel 95 i förordning (EU) nr 575/2013 överlämna följande information på gruppnivå:</w:t>
      </w:r>
    </w:p>
    <w:p w14:paraId="6DD1064B" w14:textId="77777777" w:rsidR="00FE0C02" w:rsidRPr="00AB4BEA" w:rsidRDefault="00FE0C02" w:rsidP="00FE0C02">
      <w:pPr>
        <w:pStyle w:val="Point1"/>
      </w:pPr>
      <w:r w:rsidRPr="00AB4BEA">
        <w:t>a)</w:t>
      </w:r>
      <w:r w:rsidRPr="00AB4BEA">
        <w:tab/>
        <w:t>Kvartalsvis när det gäller information om kapitalbas och kapitalbaskrav, enligt specifikationerna i mallarna 1–5 i bilaga I och i enlighet med instruktionerna i del II punkt 1 i bilaga II.</w:t>
      </w:r>
    </w:p>
    <w:p w14:paraId="06EB54F9" w14:textId="77777777" w:rsidR="00FE0C02" w:rsidRPr="00AB4BEA" w:rsidRDefault="00FE0C02" w:rsidP="00FE0C02">
      <w:pPr>
        <w:pStyle w:val="Point1"/>
      </w:pPr>
      <w:r w:rsidRPr="00AB4BEA">
        <w:t>b)</w:t>
      </w:r>
      <w:r w:rsidRPr="00AB4BEA">
        <w:tab/>
        <w:t>Halvårsvis när det gäller information om kapitalbas och kapitalbaskrav för enheter som ingår i konsolideringen, enligt specifikationerna i mall 6 i bilaga I och i enlighet med instruktionerna i del II punkt 2 i bilaga II.</w:t>
      </w:r>
    </w:p>
    <w:p w14:paraId="0D279353" w14:textId="61576F44" w:rsidR="00FE0C02" w:rsidRPr="00AB4BEA" w:rsidRDefault="00FE0C02" w:rsidP="00FE0C02">
      <w:pPr>
        <w:pStyle w:val="NumPar1"/>
      </w:pPr>
      <w:r w:rsidRPr="00AB4BEA">
        <w:t xml:space="preserve">Vid rapportering av information om kapitalbas och kapitalbaskrav i enlighet med artikel 430.1 a i förordning (EU) nr 575/2013 på gruppnivå, ska värdepappersföretag </w:t>
      </w:r>
      <w:r w:rsidRPr="00AB4BEA">
        <w:lastRenderedPageBreak/>
        <w:t>i grupper som endast består av värdepappersföretag som omfattas av artikel 95 och värdepappersföretag som omfattas av artikel 96 eller i grupper som endast består av värdepappersföretag som tillämpar artikel 57.3 i förordning (EU) 2019/2033 med hänvisning till artikel 96 i förordning (EU) nr 575/2013 överlämna följande information på gruppnivå:</w:t>
      </w:r>
    </w:p>
    <w:p w14:paraId="424B99D7" w14:textId="77777777" w:rsidR="00FE0C02" w:rsidRPr="00AB4BEA" w:rsidRDefault="00FE0C02" w:rsidP="00FE0C02">
      <w:pPr>
        <w:pStyle w:val="Point1"/>
      </w:pPr>
      <w:r w:rsidRPr="00AB4BEA">
        <w:t>a)</w:t>
      </w:r>
      <w:r w:rsidRPr="00AB4BEA">
        <w:tab/>
        <w:t>Den information som avses i artiklarna 5.1–5.5, 5.8–5.13 och 6.2 i denna förordning med den frekvens som anges i dessa artiklar.</w:t>
      </w:r>
    </w:p>
    <w:p w14:paraId="695999E8" w14:textId="77777777" w:rsidR="00FE0C02" w:rsidRPr="00AB4BEA" w:rsidRDefault="00FE0C02" w:rsidP="00FE0C02">
      <w:pPr>
        <w:pStyle w:val="Point1"/>
      </w:pPr>
      <w:r w:rsidRPr="00AB4BEA">
        <w:t>b)</w:t>
      </w:r>
      <w:r w:rsidRPr="00AB4BEA">
        <w:tab/>
        <w:t>Halvårsvis när det gäller information om enheter som ingår i konsolideringen, enligt specifikationerna i mall 6 i bilaga I och i enlighet med instruktionerna i del II punkt 2 i bilaga II.</w:t>
      </w:r>
    </w:p>
    <w:p w14:paraId="2D723A17" w14:textId="7D9C8D86" w:rsidR="00FE0C02" w:rsidRPr="00AB4BEA" w:rsidRDefault="00FE0C02" w:rsidP="00FE0C02">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8</w:t>
      </w:r>
      <w:r w:rsidR="005D6DF1">
        <w:rPr>
          <w:noProof/>
        </w:rPr>
        <w:fldChar w:fldCharType="end"/>
      </w:r>
    </w:p>
    <w:p w14:paraId="122B51E9" w14:textId="77777777" w:rsidR="00FE0C02" w:rsidRPr="00AB4BEA" w:rsidRDefault="00FE0C02" w:rsidP="00FE0C02">
      <w:pPr>
        <w:pStyle w:val="Titrearticle"/>
        <w:spacing w:before="120"/>
        <w:rPr>
          <w:b/>
          <w:i w:val="0"/>
        </w:rPr>
      </w:pPr>
      <w:r w:rsidRPr="00AB4BEA">
        <w:rPr>
          <w:b/>
          <w:i w:val="0"/>
        </w:rPr>
        <w:t>Rapportering av finansiell information på gruppnivå för institut som omfattas av Europaparlamentets och rådets förordning (EG) nr 1606/2002</w:t>
      </w:r>
      <w:r w:rsidRPr="00AB4BEA">
        <w:rPr>
          <w:rStyle w:val="FootnoteReference"/>
          <w:b/>
          <w:i w:val="0"/>
        </w:rPr>
        <w:footnoteReference w:id="10"/>
      </w:r>
      <w:r w:rsidRPr="00AB4BEA">
        <w:rPr>
          <w:b/>
          <w:i w:val="0"/>
        </w:rPr>
        <w:t xml:space="preserve"> </w:t>
      </w:r>
    </w:p>
    <w:p w14:paraId="22F20B0C" w14:textId="77777777" w:rsidR="00FE0C02" w:rsidRPr="00AB4BEA" w:rsidRDefault="00FE0C02" w:rsidP="005F180D">
      <w:pPr>
        <w:pStyle w:val="NumPar1"/>
        <w:numPr>
          <w:ilvl w:val="0"/>
          <w:numId w:val="19"/>
        </w:numPr>
      </w:pPr>
      <w:r w:rsidRPr="00AB4BEA">
        <w:t xml:space="preserve">Vid rapportering av finansiell information på gruppnivå i enlighet med artikel 430.3 eller 430.4 i förordning (EU) nr 575/2013 ska instituten överlämna den information som avses i bilaga III på gruppnivå, i enlighet med instruktionerna i bilaga V. </w:t>
      </w:r>
    </w:p>
    <w:p w14:paraId="3A9E9610" w14:textId="77777777" w:rsidR="00FE0C02" w:rsidRPr="00AB4BEA" w:rsidRDefault="00FE0C02" w:rsidP="00FE0C02">
      <w:pPr>
        <w:pStyle w:val="NumPar1"/>
        <w:numPr>
          <w:ilvl w:val="0"/>
          <w:numId w:val="10"/>
        </w:numPr>
      </w:pPr>
      <w:r w:rsidRPr="00AB4BEA">
        <w:t>Den information som avses i punkt 1 ska överlämnas enligt följande:</w:t>
      </w:r>
    </w:p>
    <w:p w14:paraId="70EFC152" w14:textId="77777777" w:rsidR="00FE0C02" w:rsidRPr="00AB4BEA" w:rsidRDefault="00FE0C02" w:rsidP="00FE0C02">
      <w:pPr>
        <w:pStyle w:val="Point1"/>
      </w:pPr>
      <w:r w:rsidRPr="00AB4BEA">
        <w:t>a)</w:t>
      </w:r>
      <w:r w:rsidRPr="00AB4BEA">
        <w:tab/>
        <w:t>Den information som avses i del 1 i bilaga III ska överlämnas kvartalsvis.</w:t>
      </w:r>
    </w:p>
    <w:p w14:paraId="38D85B01" w14:textId="77777777" w:rsidR="00FE0C02" w:rsidRPr="00AB4BEA" w:rsidRDefault="00FE0C02" w:rsidP="00FE0C02">
      <w:pPr>
        <w:pStyle w:val="Point1"/>
      </w:pPr>
      <w:r w:rsidRPr="00AB4BEA">
        <w:t>b)</w:t>
      </w:r>
      <w:r w:rsidRPr="00AB4BEA">
        <w:tab/>
        <w:t>Den information som avses i del 3 i bilaga III ska överlämnas halvårsvis.</w:t>
      </w:r>
    </w:p>
    <w:p w14:paraId="5F2804B6" w14:textId="77777777" w:rsidR="00FE0C02" w:rsidRPr="00AB4BEA" w:rsidRDefault="00FE0C02" w:rsidP="00FE0C02">
      <w:pPr>
        <w:pStyle w:val="Point1"/>
      </w:pPr>
      <w:r w:rsidRPr="00AB4BEA">
        <w:t>c)</w:t>
      </w:r>
      <w:r w:rsidRPr="00AB4BEA">
        <w:tab/>
        <w:t>Den information som avses i del 4 i bilaga III, med undantag för den information som avses i mall 47, ska överlämnas årsvis.</w:t>
      </w:r>
    </w:p>
    <w:p w14:paraId="1D49A1AC" w14:textId="77777777" w:rsidR="00FE0C02" w:rsidRPr="00AB4BEA" w:rsidRDefault="00FE0C02" w:rsidP="00FE0C02">
      <w:pPr>
        <w:pStyle w:val="Point1"/>
      </w:pPr>
      <w:r w:rsidRPr="00AB4BEA">
        <w:t>d)</w:t>
      </w:r>
      <w:r w:rsidRPr="00AB4BEA">
        <w:tab/>
        <w:t>Den information som avses i del 2 mall 20 i bilaga III ska överlämnas kvartalsvis, om institutet överskrider det tröskelvärde som anges i artikel 5.5 andra stycket.</w:t>
      </w:r>
    </w:p>
    <w:p w14:paraId="2CCBF803" w14:textId="77777777" w:rsidR="00FE0C02" w:rsidRPr="00AB4BEA" w:rsidRDefault="00FE0C02" w:rsidP="00FE0C02">
      <w:pPr>
        <w:pStyle w:val="Point1"/>
      </w:pPr>
      <w:r w:rsidRPr="00AB4BEA">
        <w:t>e)</w:t>
      </w:r>
      <w:r w:rsidRPr="00AB4BEA">
        <w:tab/>
        <w:t>Den information som avses i del 2 mall 21 i bilaga III ska överlämnas kvartalsvis, om materiella anläggningstillgångar som omfattas av operationella leasingavtal minst motsvarar 10 % av de sammanlagda materiella anläggningstillgångar som rapporteras i enlighet med del 1 mall 1.1 i bilaga III.</w:t>
      </w:r>
    </w:p>
    <w:p w14:paraId="27F64B3B" w14:textId="77777777" w:rsidR="00FE0C02" w:rsidRPr="00AB4BEA" w:rsidRDefault="00FE0C02" w:rsidP="00FE0C02">
      <w:pPr>
        <w:pStyle w:val="Point1"/>
      </w:pPr>
      <w:r w:rsidRPr="00AB4BEA">
        <w:t>f)</w:t>
      </w:r>
      <w:r w:rsidRPr="00AB4BEA">
        <w:tab/>
        <w:t>Den information som avses i del 2 mall 22 i bilaga III ska överlämnas kvartalsvis, om avgifts- och provisionsintäkter netto motsvarar minst 10 % av den summa av avgifts- och provisionsintäkter netto och ränteintäkter netto som rapporteras i enlighet med del 1 mall 2 i bilaga III.</w:t>
      </w:r>
    </w:p>
    <w:p w14:paraId="2EB0DC7E" w14:textId="77777777" w:rsidR="00FE0C02" w:rsidRPr="00AB4BEA" w:rsidRDefault="00FE0C02" w:rsidP="00FE0C02">
      <w:pPr>
        <w:pStyle w:val="Point1"/>
      </w:pPr>
      <w:r w:rsidRPr="00AB4BEA">
        <w:t>g)</w:t>
      </w:r>
      <w:r w:rsidRPr="00AB4BEA">
        <w:tab/>
        <w:t>Den information som avses i del 2 mallarna 23–26 i bilaga III ska överlämnas kvartalsvis, om båda följande villkor är uppfyllda:</w:t>
      </w:r>
    </w:p>
    <w:p w14:paraId="5207A13E" w14:textId="77777777" w:rsidR="00FE0C02" w:rsidRPr="00AB4BEA" w:rsidRDefault="00FE0C02" w:rsidP="00FE0C02">
      <w:pPr>
        <w:pStyle w:val="Point2"/>
      </w:pPr>
      <w:r w:rsidRPr="00AB4BEA">
        <w:t>i)</w:t>
      </w:r>
      <w:r w:rsidRPr="00AB4BEA">
        <w:tab/>
        <w:t>Institutet är inte ett litet och icke-komplext institut.</w:t>
      </w:r>
    </w:p>
    <w:p w14:paraId="09C1AEB4" w14:textId="33C5BDBB" w:rsidR="00FE0C02" w:rsidRPr="00AB4BEA" w:rsidRDefault="00FE0C02" w:rsidP="00FE0C02">
      <w:pPr>
        <w:pStyle w:val="Point2"/>
      </w:pPr>
      <w:r w:rsidRPr="00AB4BEA">
        <w:t>ii)</w:t>
      </w:r>
      <w:r w:rsidRPr="00AB4BEA">
        <w:tab/>
        <w:t xml:space="preserve">Kvoten mellan institutets redovisade bruttovärde av lån och förskott som omfattas av artikel 47a.3 i förordning (EU) nr 575/2013 och det sammanlagda redovisade bruttovärdet av lån och förskott som omfattas av artikel 47a.1 i den förordningen är minst 5 %. </w:t>
      </w:r>
    </w:p>
    <w:p w14:paraId="6657E76F" w14:textId="77777777" w:rsidR="00FE0C02" w:rsidRPr="00AB4BEA" w:rsidRDefault="00FE0C02" w:rsidP="00FE0C02">
      <w:pPr>
        <w:pStyle w:val="Point1"/>
      </w:pPr>
      <w:r w:rsidRPr="00AB4BEA">
        <w:lastRenderedPageBreak/>
        <w:t xml:space="preserve"> h)</w:t>
      </w:r>
      <w:r w:rsidRPr="00AB4BEA">
        <w:tab/>
        <w:t>Den information som avses i del 4 mall 47 i bilaga III ska överlämnas årsvis, om båda villkoren i led g i denna punkt är uppfyllda.</w:t>
      </w:r>
    </w:p>
    <w:p w14:paraId="5556886E" w14:textId="77777777" w:rsidR="00FE0C02" w:rsidRPr="00AB4BEA" w:rsidRDefault="00FE0C02" w:rsidP="00FE0C02">
      <w:pPr>
        <w:pStyle w:val="Point1"/>
      </w:pPr>
      <w:r w:rsidRPr="00AB4BEA">
        <w:t>Vid tillämpning av led g ii ska kvoten inte omfatta lån och förskott som klassificeras som innehav för försäljning, kassabehållning hos centralbanker och andra avistamedel i vare sig nämnaren eller täljaren.</w:t>
      </w:r>
    </w:p>
    <w:p w14:paraId="73BCCE82" w14:textId="77777777" w:rsidR="00FE0C02" w:rsidRPr="00AB4BEA" w:rsidRDefault="00FE0C02" w:rsidP="00FE0C02">
      <w:pPr>
        <w:pStyle w:val="Point1"/>
      </w:pPr>
      <w:r w:rsidRPr="00AB4BEA">
        <w:t xml:space="preserve">Vid tillämpning av leden d–h i denna punkt ska de inträdes- och utträdeskriterier som avses i artikel 4.3 tillämpas. </w:t>
      </w:r>
    </w:p>
    <w:p w14:paraId="2D4B364E" w14:textId="42DBCF21" w:rsidR="00FE0C02" w:rsidRPr="00AB4BEA" w:rsidRDefault="00FE0C02" w:rsidP="00FE0C02">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9</w:t>
      </w:r>
      <w:r w:rsidR="005D6DF1">
        <w:rPr>
          <w:noProof/>
        </w:rPr>
        <w:fldChar w:fldCharType="end"/>
      </w:r>
    </w:p>
    <w:p w14:paraId="396F2986" w14:textId="77777777" w:rsidR="00FE0C02" w:rsidRPr="00AB4BEA" w:rsidRDefault="00FE0C02" w:rsidP="00FE0C02">
      <w:pPr>
        <w:pStyle w:val="Titrearticle"/>
        <w:spacing w:before="120"/>
        <w:rPr>
          <w:b/>
          <w:i w:val="0"/>
        </w:rPr>
      </w:pPr>
      <w:r w:rsidRPr="00AB4BEA">
        <w:rPr>
          <w:b/>
          <w:i w:val="0"/>
        </w:rPr>
        <w:t xml:space="preserve">Rapportering av finansiell information på gruppnivå för institut som tillämpar nationella redovisningsregler </w:t>
      </w:r>
    </w:p>
    <w:p w14:paraId="7898D5B0" w14:textId="77777777" w:rsidR="00FE0C02" w:rsidRPr="00AB4BEA" w:rsidRDefault="00FE0C02" w:rsidP="005F180D">
      <w:pPr>
        <w:pStyle w:val="NumPar1"/>
        <w:numPr>
          <w:ilvl w:val="0"/>
          <w:numId w:val="20"/>
        </w:numPr>
      </w:pPr>
      <w:r w:rsidRPr="00AB4BEA">
        <w:t>Om en behörig myndighet har utvidgat kraven på rapportering av finansiell information till att även gälla institut som är etablerade i en medlemsstat i enlighet med artikel 430.9 i förordning (EU) nr 575/2013, ska instituten överlämna den information som avses i bilaga IV till denna förordning på gruppnivå, i enlighet med instruktionerna i bilaga V till denna förordning.</w:t>
      </w:r>
    </w:p>
    <w:p w14:paraId="1A4AC33E" w14:textId="77777777" w:rsidR="00FE0C02" w:rsidRPr="00AB4BEA" w:rsidRDefault="00FE0C02" w:rsidP="00FE0C02">
      <w:pPr>
        <w:pStyle w:val="NumPar1"/>
        <w:numPr>
          <w:ilvl w:val="0"/>
          <w:numId w:val="10"/>
        </w:numPr>
      </w:pPr>
      <w:r w:rsidRPr="00AB4BEA">
        <w:t>Den information som avses i punkt 1 ska överlämnas enligt följande:</w:t>
      </w:r>
    </w:p>
    <w:p w14:paraId="4130D034" w14:textId="77777777" w:rsidR="00FE0C02" w:rsidRPr="00AB4BEA" w:rsidRDefault="00FE0C02" w:rsidP="00FE0C02">
      <w:pPr>
        <w:pStyle w:val="Point1"/>
      </w:pPr>
      <w:r w:rsidRPr="00AB4BEA">
        <w:t>a)</w:t>
      </w:r>
      <w:r w:rsidRPr="00AB4BEA">
        <w:tab/>
        <w:t>Den information som avses i del 1 i bilaga IV ska överlämnas kvartalsvis.</w:t>
      </w:r>
    </w:p>
    <w:p w14:paraId="08B03AF4" w14:textId="77777777" w:rsidR="00FE0C02" w:rsidRPr="00AB4BEA" w:rsidRDefault="00FE0C02" w:rsidP="00FE0C02">
      <w:pPr>
        <w:pStyle w:val="Point1"/>
      </w:pPr>
      <w:r w:rsidRPr="00AB4BEA">
        <w:t>b)</w:t>
      </w:r>
      <w:r w:rsidRPr="00AB4BEA">
        <w:tab/>
        <w:t>Den information som avses i del 3 i bilaga IV ska överlämnas halvårsvis.</w:t>
      </w:r>
    </w:p>
    <w:p w14:paraId="6BD250DE" w14:textId="77777777" w:rsidR="00FE0C02" w:rsidRPr="00AB4BEA" w:rsidRDefault="00FE0C02" w:rsidP="00FE0C02">
      <w:pPr>
        <w:pStyle w:val="Point1"/>
      </w:pPr>
      <w:r w:rsidRPr="00AB4BEA">
        <w:t>c)</w:t>
      </w:r>
      <w:r w:rsidRPr="00AB4BEA">
        <w:tab/>
        <w:t>Den information som avses i del 4 i bilaga IV, med undantag för den information som avses i mall 47, ska överlämnas årsvis.</w:t>
      </w:r>
    </w:p>
    <w:p w14:paraId="7E75579F" w14:textId="77777777" w:rsidR="00FE0C02" w:rsidRPr="00AB4BEA" w:rsidRDefault="00FE0C02" w:rsidP="00FE0C02">
      <w:pPr>
        <w:pStyle w:val="Point1"/>
      </w:pPr>
      <w:r w:rsidRPr="00AB4BEA">
        <w:t>d)</w:t>
      </w:r>
      <w:r w:rsidRPr="00AB4BEA">
        <w:tab/>
        <w:t>Den information som avses i del 2 mall 20 i bilaga IV ska överlämnas kvartalsvis, om institutet överskrider det tröskelvärde som anges i artikel 5.5 andra stycket.</w:t>
      </w:r>
    </w:p>
    <w:p w14:paraId="76AF5C14" w14:textId="77777777" w:rsidR="00FE0C02" w:rsidRPr="00AB4BEA" w:rsidRDefault="00FE0C02" w:rsidP="00FE0C02">
      <w:pPr>
        <w:pStyle w:val="Point1"/>
      </w:pPr>
      <w:r w:rsidRPr="00AB4BEA">
        <w:t>e)</w:t>
      </w:r>
      <w:r w:rsidRPr="00AB4BEA">
        <w:tab/>
        <w:t>Den information som avses i del 2 mall 21 i bilaga IV ska överlämnas kvartalsvis, om materiella anläggningstillgångar som omfattas av operationella leasingavtal minst motsvarar 10 % av de sammanlagda materiella anläggningstillgångar som rapporteras i enlighet med del 1 mall 1.1 i bilaga IV.</w:t>
      </w:r>
    </w:p>
    <w:p w14:paraId="406C6C11" w14:textId="77777777" w:rsidR="00FE0C02" w:rsidRPr="00AB4BEA" w:rsidRDefault="00FE0C02" w:rsidP="00FE0C02">
      <w:pPr>
        <w:pStyle w:val="Point1"/>
      </w:pPr>
      <w:r w:rsidRPr="00AB4BEA">
        <w:t>f)</w:t>
      </w:r>
      <w:r w:rsidRPr="00AB4BEA">
        <w:tab/>
        <w:t>Den information som avses i del 2 mall 22 i bilaga IV ska överlämnas kvartalsvis, om avgifts- och provisionsintäkter netto motsvarar minst 10 % av den summa av avgifts- och provisionsintäkter netto och ränteintäkter netto som rapporteras i enlighet med del 1 mall 2 i bilaga IV.</w:t>
      </w:r>
    </w:p>
    <w:p w14:paraId="1A7AAB4F" w14:textId="77777777" w:rsidR="00FE0C02" w:rsidRPr="00AB4BEA" w:rsidRDefault="00FE0C02" w:rsidP="00FE0C02">
      <w:pPr>
        <w:pStyle w:val="Point1"/>
      </w:pPr>
      <w:r w:rsidRPr="00AB4BEA">
        <w:t>g)</w:t>
      </w:r>
      <w:r w:rsidRPr="00AB4BEA">
        <w:tab/>
        <w:t>Den information som avses i del 2 mallarna 23–26 i bilaga IV ska överlämnas kvartalsvis, om båda följande villkor är uppfyllda:</w:t>
      </w:r>
    </w:p>
    <w:p w14:paraId="6F0AB516" w14:textId="77777777" w:rsidR="00FE0C02" w:rsidRPr="00AB4BEA" w:rsidRDefault="00FE0C02" w:rsidP="00FE0C02">
      <w:pPr>
        <w:pStyle w:val="Point2"/>
      </w:pPr>
      <w:r w:rsidRPr="00AB4BEA">
        <w:t>i)</w:t>
      </w:r>
      <w:r w:rsidRPr="00AB4BEA">
        <w:tab/>
        <w:t>Institutet är inte ett litet och icke-komplext institut.</w:t>
      </w:r>
    </w:p>
    <w:p w14:paraId="08D20076" w14:textId="77777777" w:rsidR="00FE0C02" w:rsidRPr="00AB4BEA" w:rsidRDefault="00FE0C02" w:rsidP="00FE0C02">
      <w:pPr>
        <w:pStyle w:val="Point1"/>
        <w:ind w:firstLine="0"/>
      </w:pPr>
      <w:r w:rsidRPr="00AB4BEA">
        <w:t>ii)</w:t>
      </w:r>
      <w:r w:rsidRPr="00AB4BEA">
        <w:tab/>
        <w:t xml:space="preserve">Institutets kvot enligt artikel 11.2 g ii är minst 5 %.  </w:t>
      </w:r>
    </w:p>
    <w:p w14:paraId="7B685EE5" w14:textId="77777777" w:rsidR="00FE0C02" w:rsidRPr="00AB4BEA" w:rsidRDefault="00FE0C02" w:rsidP="00FE0C02">
      <w:pPr>
        <w:pStyle w:val="Point1"/>
      </w:pPr>
      <w:r w:rsidRPr="00AB4BEA">
        <w:t>h)</w:t>
      </w:r>
      <w:r w:rsidRPr="00AB4BEA">
        <w:tab/>
        <w:t xml:space="preserve">Den information som avses i del 4 mall 47 i bilaga IV ska överlämnas årsvis, om båda villkoren i led g i denna punkt är uppfyllda. </w:t>
      </w:r>
    </w:p>
    <w:p w14:paraId="6E0D6196" w14:textId="77777777" w:rsidR="00FE0C02" w:rsidRPr="00AB4BEA" w:rsidRDefault="00FE0C02" w:rsidP="00FE0C02">
      <w:pPr>
        <w:pStyle w:val="Point1"/>
      </w:pPr>
      <w:r w:rsidRPr="00AB4BEA">
        <w:t xml:space="preserve">Vid tillämpning av leden d–h i denna punkt ska de inträdes- och utträdeskriterier som avses i artikel 4.3 tillämpas. </w:t>
      </w:r>
    </w:p>
    <w:p w14:paraId="1265B500" w14:textId="4BFFDEC2" w:rsidR="00FE0C02" w:rsidRPr="00AB4BEA" w:rsidRDefault="00FE0C02" w:rsidP="00FE0C02">
      <w:pPr>
        <w:pStyle w:val="Titrearticle"/>
      </w:pPr>
      <w:r w:rsidRPr="00AB4BEA">
        <w:lastRenderedPageBreak/>
        <w:t xml:space="preserve">Artikel </w:t>
      </w:r>
      <w:r w:rsidR="005D6DF1">
        <w:fldChar w:fldCharType="begin"/>
      </w:r>
      <w:r w:rsidR="005D6DF1">
        <w:instrText xml:space="preserve"> seq article </w:instrText>
      </w:r>
      <w:r w:rsidR="005D6DF1">
        <w:fldChar w:fldCharType="separate"/>
      </w:r>
      <w:r w:rsidR="00AB4BEA">
        <w:rPr>
          <w:noProof/>
        </w:rPr>
        <w:t>10</w:t>
      </w:r>
      <w:r w:rsidR="005D6DF1">
        <w:rPr>
          <w:noProof/>
        </w:rPr>
        <w:fldChar w:fldCharType="end"/>
      </w:r>
    </w:p>
    <w:p w14:paraId="62DD7E11" w14:textId="77777777" w:rsidR="00FE0C02" w:rsidRPr="00AB4BEA" w:rsidRDefault="00FE0C02" w:rsidP="00FE0C02">
      <w:pPr>
        <w:pStyle w:val="Text1"/>
      </w:pPr>
      <w:r w:rsidRPr="00AB4BEA">
        <w:rPr>
          <w:b/>
        </w:rPr>
        <w:t>Rapportering av förluster från utlåning där säkerhet ställts genom fast egendom i enlighet med artikel 430a.1 i förordning (EU) nr 575/2013 på individuell nivå och gruppnivå</w:t>
      </w:r>
    </w:p>
    <w:p w14:paraId="663A2D70" w14:textId="77777777" w:rsidR="00FE0C02" w:rsidRPr="00AB4BEA" w:rsidRDefault="00FE0C02" w:rsidP="005F180D">
      <w:pPr>
        <w:pStyle w:val="NumPar1"/>
        <w:numPr>
          <w:ilvl w:val="0"/>
          <w:numId w:val="21"/>
        </w:numPr>
      </w:pPr>
      <w:r w:rsidRPr="00AB4BEA">
        <w:t>Instituten ska årsvis överlämna den information som avses i bilaga VI i enlighet med instruktionerna i bilaga VII på gruppnivå.</w:t>
      </w:r>
    </w:p>
    <w:p w14:paraId="60EE04AB" w14:textId="77777777" w:rsidR="00FE0C02" w:rsidRPr="00AB4BEA" w:rsidRDefault="00FE0C02" w:rsidP="00FE0C02">
      <w:pPr>
        <w:pStyle w:val="NumPar1"/>
        <w:numPr>
          <w:ilvl w:val="0"/>
          <w:numId w:val="10"/>
        </w:numPr>
      </w:pPr>
      <w:r w:rsidRPr="00AB4BEA">
        <w:t>Instituten ska årsvis överlämna den information som avses i bilaga VI i enlighet med instruktionerna i bilaga VII på individuell nivå.</w:t>
      </w:r>
    </w:p>
    <w:p w14:paraId="2635EBF0" w14:textId="77777777" w:rsidR="00FE0C02" w:rsidRPr="00AB4BEA" w:rsidRDefault="00FE0C02" w:rsidP="00FE0C02">
      <w:pPr>
        <w:pStyle w:val="NumPar1"/>
        <w:numPr>
          <w:ilvl w:val="0"/>
          <w:numId w:val="10"/>
        </w:numPr>
      </w:pPr>
      <w:r w:rsidRPr="00AB4BEA">
        <w:t>Om ett institut har en filial i en annan medlemsstat ska filialen årsvis till den behöriga myndigheten i värdmedlemsstaten överlämna den information som avses i bilaga VI avseende filialen i enlighet med instruktionerna i bilaga VII.</w:t>
      </w:r>
    </w:p>
    <w:p w14:paraId="7DA92B87" w14:textId="77777777" w:rsidR="00FE0C02" w:rsidRPr="00AB4BEA" w:rsidRDefault="00FE0C02" w:rsidP="00FE0C02">
      <w:pPr>
        <w:pStyle w:val="Titrearticle"/>
      </w:pPr>
      <w:r w:rsidRPr="00AB4BEA">
        <w:t>Artikel 14</w:t>
      </w:r>
    </w:p>
    <w:p w14:paraId="5DF7D5F9" w14:textId="77777777" w:rsidR="00FE0C02" w:rsidRPr="00AB4BEA" w:rsidRDefault="00FE0C02" w:rsidP="00FE0C02">
      <w:pPr>
        <w:pStyle w:val="Titrearticle"/>
        <w:spacing w:before="120"/>
        <w:rPr>
          <w:b/>
          <w:i w:val="0"/>
        </w:rPr>
      </w:pPr>
      <w:r w:rsidRPr="00AB4BEA">
        <w:rPr>
          <w:b/>
          <w:i w:val="0"/>
        </w:rPr>
        <w:t>Rapportering av stora exponeringar på individuell nivå och gruppnivå</w:t>
      </w:r>
    </w:p>
    <w:p w14:paraId="07D89C15" w14:textId="77777777" w:rsidR="00FE0C02" w:rsidRPr="00AB4BEA" w:rsidRDefault="00FE0C02" w:rsidP="005F180D">
      <w:pPr>
        <w:pStyle w:val="NumPar1"/>
        <w:numPr>
          <w:ilvl w:val="0"/>
          <w:numId w:val="22"/>
        </w:numPr>
      </w:pPr>
      <w:r w:rsidRPr="00AB4BEA">
        <w:t>Vid rapportering av information om stora exponeringar mot kunder och grupper av kunder med inbördes anknytning i enlighet med artikel 394 i förordning (EU) nr 575/2013 på individuell nivå och gruppnivå, ska instituten kvartalsvis överlämna den information som avses i bilaga VIII i enlighet med instruktionerna i bilaga IX.</w:t>
      </w:r>
    </w:p>
    <w:p w14:paraId="1BE89751" w14:textId="77777777" w:rsidR="00FE0C02" w:rsidRPr="00AB4BEA" w:rsidRDefault="00FE0C02" w:rsidP="00FE0C02">
      <w:pPr>
        <w:pStyle w:val="NumPar1"/>
        <w:numPr>
          <w:ilvl w:val="0"/>
          <w:numId w:val="10"/>
        </w:numPr>
      </w:pPr>
      <w:r w:rsidRPr="00AB4BEA">
        <w:t>Vid rapportering av information om de 20 största exponeringarna mot kunder eller grupper av kunder med inbördes anknytning i enlighet med artikel 394.1 i förordning (EU) nr 575/2013 på gruppnivå, ska de institut som omfattas av del tre avdelning II kapitel 3 i förordning (EU) nr 575/2013 kvartalsvis överlämna den information som avses i bilaga VIII i enlighet med instruktionerna i bilaga IX.</w:t>
      </w:r>
    </w:p>
    <w:p w14:paraId="4501AF0E" w14:textId="77777777" w:rsidR="00FE0C02" w:rsidRPr="00AB4BEA" w:rsidRDefault="00FE0C02" w:rsidP="00FE0C02">
      <w:pPr>
        <w:pStyle w:val="NumPar1"/>
        <w:numPr>
          <w:ilvl w:val="0"/>
          <w:numId w:val="10"/>
        </w:numPr>
      </w:pPr>
      <w:r w:rsidRPr="00AB4BEA">
        <w:t>Vid rapportering av information om exponeringar till ett värde av minst 300 miljoner EUR, men mindre än 10 % av institutets primärkapital, i enlighet med artikel 394.1 i förordning (EU) nr 575/2013 på gruppnivå, ska instituten kvartalsvis överlämna den information som avses i bilaga VIII i enlighet med instruktionerna i bilaga IX.</w:t>
      </w:r>
    </w:p>
    <w:p w14:paraId="6CA58180" w14:textId="77777777" w:rsidR="00FE0C02" w:rsidRPr="00AB4BEA" w:rsidRDefault="00FE0C02" w:rsidP="00FE0C02">
      <w:pPr>
        <w:pStyle w:val="NumPar1"/>
        <w:numPr>
          <w:ilvl w:val="0"/>
          <w:numId w:val="10"/>
        </w:numPr>
      </w:pPr>
      <w:r w:rsidRPr="00AB4BEA">
        <w:t>Vid rapportering av information om de tio största exponeringarna på gruppnivå mot institut och de tio största exponeringarna på gruppnivå mot skuggbankenheter som bedriver oreglerad bankverksamhet, i enlighet med artikel 394.2 i förordning (EU) nr 575/2013, ska instituten kvartalsvis överlämna den information som avses i bilaga VIII i enlighet med instruktionerna i bilaga IX.</w:t>
      </w:r>
    </w:p>
    <w:p w14:paraId="24660E67" w14:textId="6577D27F" w:rsidR="00FE0C02" w:rsidRPr="00AB4BEA" w:rsidRDefault="00FE0C02" w:rsidP="00FE0C02">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11</w:t>
      </w:r>
      <w:r w:rsidR="005D6DF1">
        <w:rPr>
          <w:noProof/>
        </w:rPr>
        <w:fldChar w:fldCharType="end"/>
      </w:r>
    </w:p>
    <w:p w14:paraId="7A43457A" w14:textId="77777777" w:rsidR="00FE0C02" w:rsidRPr="00AB4BEA" w:rsidRDefault="00FE0C02" w:rsidP="00FE0C02">
      <w:pPr>
        <w:pStyle w:val="Titrearticle"/>
        <w:spacing w:before="120"/>
        <w:rPr>
          <w:b/>
          <w:i w:val="0"/>
        </w:rPr>
      </w:pPr>
      <w:r w:rsidRPr="00AB4BEA">
        <w:rPr>
          <w:b/>
          <w:i w:val="0"/>
        </w:rPr>
        <w:t>Rapportering av bruttosoliditetsgrad på individuell nivå och gruppnivå</w:t>
      </w:r>
    </w:p>
    <w:p w14:paraId="01CD6524" w14:textId="77777777" w:rsidR="00FE0C02" w:rsidRPr="00AB4BEA" w:rsidRDefault="00FE0C02" w:rsidP="005F180D">
      <w:pPr>
        <w:pStyle w:val="NumPar1"/>
        <w:numPr>
          <w:ilvl w:val="0"/>
          <w:numId w:val="23"/>
        </w:numPr>
      </w:pPr>
      <w:r w:rsidRPr="00AB4BEA">
        <w:t>Vid rapportering av information om bruttosoliditetsgrad i enlighet med artikel 430.1 a i förordning (EU) nr 575/2013 på individuell nivå och gruppnivå, ska instituten kvartalsvis överlämna den information som avses i bilaga X i enlighet med instruktionerna i bilaga XI. Endast stora institut ska överlämna mall 48.00 i bilaga X.</w:t>
      </w:r>
    </w:p>
    <w:p w14:paraId="3FADC775" w14:textId="77777777" w:rsidR="00FE0C02" w:rsidRPr="00AB4BEA" w:rsidRDefault="00FE0C02" w:rsidP="00FE0C02">
      <w:pPr>
        <w:pStyle w:val="NumPar1"/>
        <w:numPr>
          <w:ilvl w:val="0"/>
          <w:numId w:val="10"/>
        </w:numPr>
      </w:pPr>
      <w:r w:rsidRPr="00AB4BEA">
        <w:t>Den information som avses i mall 40.00 i bilaga X, cell {r0410; c0010}, ska rapporteras endast av</w:t>
      </w:r>
    </w:p>
    <w:p w14:paraId="08C9A1E3" w14:textId="77777777" w:rsidR="00FE0C02" w:rsidRPr="00AB4BEA" w:rsidRDefault="00FE0C02" w:rsidP="00FE0C02">
      <w:pPr>
        <w:pStyle w:val="Point2"/>
      </w:pPr>
      <w:r w:rsidRPr="00AB4BEA">
        <w:t>a)</w:t>
      </w:r>
      <w:r w:rsidRPr="00AB4BEA">
        <w:tab/>
        <w:t xml:space="preserve">stora institut som antingen är globala systemviktiga institut eller som har emitterat värdepapper som är upptagna till handel på en reglerad marknad, med halvårsvis frekvens, </w:t>
      </w:r>
    </w:p>
    <w:p w14:paraId="3A54256E" w14:textId="77777777" w:rsidR="00FE0C02" w:rsidRPr="00AB4BEA" w:rsidRDefault="00FE0C02" w:rsidP="00FE0C02">
      <w:pPr>
        <w:pStyle w:val="Point2"/>
      </w:pPr>
      <w:r w:rsidRPr="00AB4BEA">
        <w:lastRenderedPageBreak/>
        <w:t>b)</w:t>
      </w:r>
      <w:r w:rsidRPr="00AB4BEA">
        <w:tab/>
        <w:t>stora institut som inte är globala systemviktiga institut och som inte är börsnoterade, med årsvis frekvens,</w:t>
      </w:r>
    </w:p>
    <w:p w14:paraId="492CCDFE" w14:textId="77777777" w:rsidR="00FE0C02" w:rsidRPr="00AB4BEA" w:rsidRDefault="00FE0C02" w:rsidP="00FE0C02">
      <w:pPr>
        <w:pStyle w:val="Point2"/>
      </w:pPr>
      <w:r w:rsidRPr="00AB4BEA">
        <w:t>c)</w:t>
      </w:r>
      <w:r w:rsidRPr="00AB4BEA">
        <w:tab/>
        <w:t xml:space="preserve">andra institut än stora institut och små och icke-komplexa institut som har emitterat värdepapper som är upptagna till handel på en reglerad marknad, med årsvis frekvens. </w:t>
      </w:r>
    </w:p>
    <w:p w14:paraId="56E76BBA" w14:textId="77777777" w:rsidR="00FE0C02" w:rsidRPr="00AB4BEA" w:rsidRDefault="00FE0C02" w:rsidP="00FE0C02">
      <w:pPr>
        <w:pStyle w:val="NumPar1"/>
        <w:numPr>
          <w:ilvl w:val="0"/>
          <w:numId w:val="10"/>
        </w:numPr>
      </w:pPr>
      <w:r w:rsidRPr="00AB4BEA">
        <w:t>Instituten ska beräkna bruttosoliditetsgraden på rapporteringsreferensdatumet i enlighet med artikel 429 i förordning (EU) nr 575/2013.</w:t>
      </w:r>
    </w:p>
    <w:p w14:paraId="071CB257" w14:textId="77777777" w:rsidR="00FE0C02" w:rsidRPr="00AB4BEA" w:rsidRDefault="00FE0C02" w:rsidP="00FE0C02">
      <w:pPr>
        <w:pStyle w:val="NumPar1"/>
        <w:numPr>
          <w:ilvl w:val="0"/>
          <w:numId w:val="10"/>
        </w:numPr>
      </w:pPr>
      <w:r w:rsidRPr="00AB4BEA">
        <w:t>Instituten ska rapportera den information som avses i del II punkt 13 i bilaga XI, om minst ett av följande villkor är uppfyllt:</w:t>
      </w:r>
    </w:p>
    <w:p w14:paraId="72F25911" w14:textId="77777777" w:rsidR="00FE0C02" w:rsidRPr="00AB4BEA" w:rsidRDefault="00FE0C02" w:rsidP="00FE0C02">
      <w:pPr>
        <w:pStyle w:val="Point1"/>
      </w:pPr>
      <w:r w:rsidRPr="00AB4BEA">
        <w:t>a)</w:t>
      </w:r>
      <w:r w:rsidRPr="00AB4BEA">
        <w:tab/>
        <w:t>Den andel derivat som avses i del II punkt 5 i bilaga XI överskrider 1,5 %.</w:t>
      </w:r>
    </w:p>
    <w:p w14:paraId="564FDA7C" w14:textId="77777777" w:rsidR="00FE0C02" w:rsidRPr="00AB4BEA" w:rsidRDefault="00FE0C02" w:rsidP="00FE0C02">
      <w:pPr>
        <w:pStyle w:val="Point1"/>
      </w:pPr>
      <w:r w:rsidRPr="00AB4BEA">
        <w:t>b)</w:t>
      </w:r>
      <w:r w:rsidRPr="00AB4BEA">
        <w:tab/>
        <w:t>Den andel derivat som avses i del II punkt 5 i bilaga XI överskrider 2 %.</w:t>
      </w:r>
    </w:p>
    <w:p w14:paraId="507DA3E2" w14:textId="77777777" w:rsidR="00FE0C02" w:rsidRPr="00AB4BEA" w:rsidRDefault="00FE0C02" w:rsidP="00FE0C02">
      <w:pPr>
        <w:pStyle w:val="Text1"/>
        <w:rPr>
          <w:szCs w:val="24"/>
        </w:rPr>
      </w:pPr>
      <w:r w:rsidRPr="00AB4BEA">
        <w:t xml:space="preserve">Om ett institut endast uppfyller villkoret i led a ska inträdes- och utträdeskriterierna enligt artikel 4.3 tillämpas. </w:t>
      </w:r>
    </w:p>
    <w:p w14:paraId="7F04F0F6" w14:textId="77777777" w:rsidR="00FE0C02" w:rsidRPr="00AB4BEA" w:rsidRDefault="00FE0C02" w:rsidP="00FE0C02">
      <w:pPr>
        <w:pStyle w:val="Text1"/>
      </w:pPr>
      <w:r w:rsidRPr="00AB4BEA">
        <w:t>Om ett institut uppfyller villkoren i både led a och led b ska det börja rapportera denna information för referensdatumet efter det rapporteringsreferensdatum då det överskred tröskelvärdet.</w:t>
      </w:r>
    </w:p>
    <w:p w14:paraId="7B9D01BA" w14:textId="77777777" w:rsidR="00FE0C02" w:rsidRPr="00AB4BEA" w:rsidRDefault="00FE0C02" w:rsidP="00FE0C02">
      <w:pPr>
        <w:pStyle w:val="NumPar1"/>
        <w:numPr>
          <w:ilvl w:val="0"/>
          <w:numId w:val="10"/>
        </w:numPr>
      </w:pPr>
      <w:r w:rsidRPr="00AB4BEA">
        <w:t>Institut för vilka det totala teoretiska värdet av derivat enligt definitionen i del II punkt 8 i bilaga XI överskrider 10 000 miljoner EUR ska rapportera den information som avses i del II punkt 13 i bilaga XI, även om deras andel derivat inte uppfyller villkoren i punkt 4 i denna artikel.</w:t>
      </w:r>
    </w:p>
    <w:p w14:paraId="51584038" w14:textId="77777777" w:rsidR="00FE0C02" w:rsidRPr="00AB4BEA" w:rsidRDefault="00FE0C02" w:rsidP="00FE0C02">
      <w:pPr>
        <w:pStyle w:val="Text1"/>
      </w:pPr>
      <w:r w:rsidRPr="00AB4BEA">
        <w:t>Vid tillämpning av denna punkt ska inträdeskriterierna enligt artikel 4.3 inte tillämpas. Instituten ska börja rapportera information från och med nästa rapporteringsreferensdatum, om de har överskridit tröskelvärdet på ett rapporteringsreferensdatum.</w:t>
      </w:r>
    </w:p>
    <w:p w14:paraId="41A483BA" w14:textId="77777777" w:rsidR="00FE0C02" w:rsidRPr="00AB4BEA" w:rsidRDefault="00FE0C02" w:rsidP="00FE0C02">
      <w:pPr>
        <w:pStyle w:val="NumPar1"/>
        <w:numPr>
          <w:ilvl w:val="0"/>
          <w:numId w:val="10"/>
        </w:numPr>
      </w:pPr>
      <w:r w:rsidRPr="00AB4BEA">
        <w:t>Instituten ska rapportera den information som avses i del II punkt 14 i bilaga XI, om minst ett av följande villkor är uppfyllt:</w:t>
      </w:r>
    </w:p>
    <w:p w14:paraId="5F5E592D" w14:textId="77777777" w:rsidR="00FE0C02" w:rsidRPr="00AB4BEA" w:rsidRDefault="00FE0C02" w:rsidP="00FE0C02">
      <w:pPr>
        <w:pStyle w:val="Point1"/>
      </w:pPr>
      <w:r w:rsidRPr="00AB4BEA">
        <w:t>a)</w:t>
      </w:r>
      <w:r w:rsidRPr="00AB4BEA">
        <w:tab/>
        <w:t>Den volym av kreditderivat som avses i del II punkt 9 i bilaga XI överskrider 300 miljoner EUR.</w:t>
      </w:r>
    </w:p>
    <w:p w14:paraId="418FEEAF" w14:textId="77777777" w:rsidR="00FE0C02" w:rsidRPr="00AB4BEA" w:rsidRDefault="00FE0C02" w:rsidP="00FE0C02">
      <w:pPr>
        <w:pStyle w:val="Point1"/>
      </w:pPr>
      <w:r w:rsidRPr="00AB4BEA">
        <w:t>b)</w:t>
      </w:r>
      <w:r w:rsidRPr="00AB4BEA">
        <w:tab/>
        <w:t>Den volym av kreditderivat som avses i del II punkt 9 i bilaga XI överskrider 500 miljoner EUR.</w:t>
      </w:r>
    </w:p>
    <w:p w14:paraId="49C49986" w14:textId="77777777" w:rsidR="00FE0C02" w:rsidRPr="00AB4BEA" w:rsidRDefault="00FE0C02" w:rsidP="00FE0C02">
      <w:pPr>
        <w:pStyle w:val="Text1"/>
      </w:pPr>
      <w:r w:rsidRPr="00AB4BEA">
        <w:t>Om ett institut endast uppfyller villkoret i led a ska inträdes- och utträdeskriterierna enligt artikel 4.3 tillämpas. Om ett institut uppfyller villkoren i både led a och led b ska det börja rapportera denna information för referensdatumet efter det rapporteringsreferensdatum då det överskred tröskelvärdet.</w:t>
      </w:r>
    </w:p>
    <w:p w14:paraId="16427D61" w14:textId="00E060C5" w:rsidR="00FE0C02" w:rsidRPr="00AB4BEA" w:rsidRDefault="00FE0C02" w:rsidP="00FE0C02">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12</w:t>
      </w:r>
      <w:r w:rsidR="005D6DF1">
        <w:rPr>
          <w:noProof/>
        </w:rPr>
        <w:fldChar w:fldCharType="end"/>
      </w:r>
    </w:p>
    <w:p w14:paraId="0FD0A199" w14:textId="77777777" w:rsidR="00FE0C02" w:rsidRPr="00AB4BEA" w:rsidRDefault="00FE0C02" w:rsidP="00FE0C02">
      <w:pPr>
        <w:pStyle w:val="Titrearticle"/>
        <w:spacing w:before="120"/>
        <w:rPr>
          <w:b/>
          <w:i w:val="0"/>
        </w:rPr>
      </w:pPr>
      <w:r w:rsidRPr="00AB4BEA">
        <w:rPr>
          <w:b/>
          <w:i w:val="0"/>
        </w:rPr>
        <w:t>Rapportering av likviditetstäckningskravet på individuell nivå och gruppnivå</w:t>
      </w:r>
    </w:p>
    <w:p w14:paraId="51D41644" w14:textId="77777777" w:rsidR="00FE0C02" w:rsidRPr="00AB4BEA" w:rsidRDefault="00FE0C02" w:rsidP="005F180D">
      <w:pPr>
        <w:pStyle w:val="NumPar1"/>
        <w:numPr>
          <w:ilvl w:val="0"/>
          <w:numId w:val="24"/>
        </w:numPr>
      </w:pPr>
      <w:r w:rsidRPr="00AB4BEA">
        <w:t>Vid rapportering av information om likviditetstäckningskravet i enlighet med artikel 430.1 d i förordning (EU) nr 575/2013 på individuell nivå och gruppnivå, ska instituten månadsvis överlämna den information som avses i bilaga XXIV till den här förordningen i enlighet med instruktionerna i bilaga XXV till den här förordningen.</w:t>
      </w:r>
    </w:p>
    <w:p w14:paraId="50670492" w14:textId="77777777" w:rsidR="00FE0C02" w:rsidRPr="00AB4BEA" w:rsidRDefault="00FE0C02" w:rsidP="00FE0C02">
      <w:pPr>
        <w:pStyle w:val="NumPar1"/>
        <w:numPr>
          <w:ilvl w:val="0"/>
          <w:numId w:val="10"/>
        </w:numPr>
      </w:pPr>
      <w:r w:rsidRPr="00AB4BEA">
        <w:lastRenderedPageBreak/>
        <w:t>Den information som avses i bilaga XXIV ska ta hänsyn till den information som överlämnas för referensdatumet och informationen om institutets kassaflöden under de påföljande 30 kalenderdagarna.</w:t>
      </w:r>
    </w:p>
    <w:p w14:paraId="1B273506" w14:textId="3736B207" w:rsidR="00FE0C02" w:rsidRPr="00AB4BEA" w:rsidRDefault="00FE0C02" w:rsidP="00FE0C02">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13</w:t>
      </w:r>
      <w:r w:rsidR="005D6DF1">
        <w:rPr>
          <w:noProof/>
        </w:rPr>
        <w:fldChar w:fldCharType="end"/>
      </w:r>
    </w:p>
    <w:p w14:paraId="4A29F4CE" w14:textId="77777777" w:rsidR="00FE0C02" w:rsidRPr="00AB4BEA" w:rsidRDefault="00FE0C02" w:rsidP="00FE0C02">
      <w:pPr>
        <w:pStyle w:val="Titrearticle"/>
        <w:spacing w:before="120"/>
        <w:rPr>
          <w:b/>
          <w:i w:val="0"/>
        </w:rPr>
      </w:pPr>
      <w:r w:rsidRPr="00AB4BEA">
        <w:rPr>
          <w:b/>
          <w:i w:val="0"/>
        </w:rPr>
        <w:t>Rapportering av stabil finansiering på individuell nivå och gruppnivå</w:t>
      </w:r>
    </w:p>
    <w:p w14:paraId="46A16391" w14:textId="77777777" w:rsidR="00FE0C02" w:rsidRPr="00AB4BEA" w:rsidRDefault="00FE0C02" w:rsidP="00FE0C02">
      <w:r w:rsidRPr="00AB4BEA">
        <w:t>Vid rapportering av information om stabil finansiering i enlighet med artikel 430.1 d i förordning (EU) nr 575/2013 på individuell nivå och gruppnivå, ska instituten kvartalsvis överlämna den information som avses i bilaga XII i enlighet med instruktionerna i bilaga XIII, enligt följande:</w:t>
      </w:r>
    </w:p>
    <w:p w14:paraId="38759E9F" w14:textId="77777777" w:rsidR="00FE0C02" w:rsidRPr="00AB4BEA" w:rsidRDefault="00FE0C02" w:rsidP="00FE0C02">
      <w:pPr>
        <w:pStyle w:val="Point1"/>
      </w:pPr>
      <w:r w:rsidRPr="00AB4BEA">
        <w:t>a)</w:t>
      </w:r>
      <w:r w:rsidRPr="00AB4BEA">
        <w:tab/>
        <w:t>Små och icke-komplexa institut som har valt att beräkna sin stabila nettofinansieringskvot med hjälp av den metod som anges i del sex avdelning IV kapitlen 6 och 7 i förordning (EU) nr 575/2013, med ett förhandstillstånd från sin behöriga myndighet i enlighet med artikel 428ai i den förordningen, ska överlämna mallarna 82 och 83 i bilaga XII till den här förordningen i enlighet med instruktionerna i bilaga XIII till den här förordningen.</w:t>
      </w:r>
    </w:p>
    <w:p w14:paraId="135317A6" w14:textId="77777777" w:rsidR="00FE0C02" w:rsidRPr="00AB4BEA" w:rsidRDefault="00FE0C02" w:rsidP="00FE0C02">
      <w:pPr>
        <w:pStyle w:val="Point1"/>
      </w:pPr>
      <w:r w:rsidRPr="00AB4BEA">
        <w:t>b)</w:t>
      </w:r>
      <w:r w:rsidRPr="00AB4BEA">
        <w:tab/>
        <w:t xml:space="preserve">Andra institut än de som avses i led a ska överlämna mallarna 80 och 81 i bilaga XII i enlighet med instruktionerna i bilaga XIII. </w:t>
      </w:r>
    </w:p>
    <w:p w14:paraId="75BF05A1" w14:textId="77777777" w:rsidR="00FE0C02" w:rsidRPr="00AB4BEA" w:rsidRDefault="00FE0C02" w:rsidP="00FE0C02">
      <w:pPr>
        <w:pStyle w:val="Point1"/>
      </w:pPr>
      <w:r w:rsidRPr="00AB4BEA">
        <w:t>c)</w:t>
      </w:r>
      <w:r w:rsidRPr="00AB4BEA">
        <w:tab/>
        <w:t>Samtliga institut ska överlämna mall 84 i bilaga XII i enlighet med instruktionerna i bilaga XIII.</w:t>
      </w:r>
    </w:p>
    <w:p w14:paraId="3C47F8E2" w14:textId="0990A6CD" w:rsidR="00FE0C02" w:rsidRPr="00AB4BEA" w:rsidRDefault="00FE0C02" w:rsidP="00FE0C02">
      <w:pPr>
        <w:pStyle w:val="Titrearticle"/>
      </w:pPr>
      <w:r w:rsidRPr="00AB4BEA">
        <w:t xml:space="preserve">Artikel </w:t>
      </w:r>
      <w:r w:rsidR="005D6DF1">
        <w:fldChar w:fldCharType="begin"/>
      </w:r>
      <w:r w:rsidR="005D6DF1">
        <w:instrText xml:space="preserve"> seq article </w:instrText>
      </w:r>
      <w:r w:rsidR="005D6DF1">
        <w:fldChar w:fldCharType="separate"/>
      </w:r>
      <w:r w:rsidR="00AB4BEA">
        <w:rPr>
          <w:noProof/>
        </w:rPr>
        <w:t>14</w:t>
      </w:r>
      <w:r w:rsidR="005D6DF1">
        <w:rPr>
          <w:noProof/>
        </w:rPr>
        <w:fldChar w:fldCharType="end"/>
      </w:r>
    </w:p>
    <w:p w14:paraId="3023D8A2" w14:textId="77777777" w:rsidR="00FE0C02" w:rsidRPr="00AB4BEA" w:rsidRDefault="00FE0C02" w:rsidP="00FE0C02">
      <w:pPr>
        <w:pStyle w:val="Titrearticle"/>
        <w:spacing w:before="120"/>
        <w:rPr>
          <w:b/>
          <w:i w:val="0"/>
        </w:rPr>
      </w:pPr>
      <w:r w:rsidRPr="00AB4BEA">
        <w:rPr>
          <w:b/>
          <w:i w:val="0"/>
        </w:rPr>
        <w:t>Rapportering av ytterligare likviditetsövervakningsmått på individuell nivå och gruppnivå</w:t>
      </w:r>
    </w:p>
    <w:p w14:paraId="6A3A9338" w14:textId="77777777" w:rsidR="00FE0C02" w:rsidRPr="00AB4BEA" w:rsidRDefault="00FE0C02" w:rsidP="005F180D">
      <w:pPr>
        <w:pStyle w:val="NumPar1"/>
        <w:numPr>
          <w:ilvl w:val="0"/>
          <w:numId w:val="25"/>
        </w:numPr>
      </w:pPr>
      <w:r w:rsidRPr="00AB4BEA">
        <w:t xml:space="preserve">Vid rapportering av information om ytterligare likviditetsövervakningsmått i enlighet med artikel 430.1 d i förordning (EU) nr 575/2013 på individuell nivå och gruppnivå, ska instituten månadsvis överlämna all följande information: </w:t>
      </w:r>
    </w:p>
    <w:p w14:paraId="642EB969" w14:textId="77777777" w:rsidR="00FE0C02" w:rsidRPr="00AB4BEA" w:rsidRDefault="00FE0C02" w:rsidP="00FE0C02">
      <w:pPr>
        <w:pStyle w:val="Point1"/>
      </w:pPr>
      <w:r w:rsidRPr="00AB4BEA">
        <w:t>a)</w:t>
      </w:r>
      <w:r w:rsidRPr="00AB4BEA">
        <w:tab/>
        <w:t xml:space="preserve">Den information som avses i bilaga XVIII i enlighet med instruktionerna i bilaga XIX. </w:t>
      </w:r>
    </w:p>
    <w:p w14:paraId="6F8BEAD3" w14:textId="77777777" w:rsidR="00FE0C02" w:rsidRPr="00AB4BEA" w:rsidRDefault="00FE0C02" w:rsidP="00FE0C02">
      <w:pPr>
        <w:pStyle w:val="Point1"/>
      </w:pPr>
      <w:r w:rsidRPr="00AB4BEA">
        <w:t>b)</w:t>
      </w:r>
      <w:r w:rsidRPr="00AB4BEA">
        <w:tab/>
        <w:t xml:space="preserve">Den information som avses i bilaga XX i enlighet med instruktionerna i bilaga XXI. </w:t>
      </w:r>
    </w:p>
    <w:p w14:paraId="65BCA041" w14:textId="77777777" w:rsidR="00FE0C02" w:rsidRPr="00AB4BEA" w:rsidRDefault="00FE0C02" w:rsidP="00FE0C02">
      <w:pPr>
        <w:pStyle w:val="Point1"/>
      </w:pPr>
      <w:r w:rsidRPr="00AB4BEA">
        <w:t>c)</w:t>
      </w:r>
      <w:r w:rsidRPr="00AB4BEA">
        <w:tab/>
        <w:t xml:space="preserve">Den information som avses i bilaga XXII i enlighet med instruktionerna i bilaga XXIII. </w:t>
      </w:r>
    </w:p>
    <w:p w14:paraId="105CC458" w14:textId="77777777" w:rsidR="00FE0C02" w:rsidRPr="00AB4BEA" w:rsidRDefault="00FE0C02" w:rsidP="00FE0C02">
      <w:pPr>
        <w:pStyle w:val="NumPar1"/>
        <w:rPr>
          <w:szCs w:val="32"/>
        </w:rPr>
      </w:pPr>
      <w:r w:rsidRPr="00AB4BEA">
        <w:t>Genom undantag från punkt 1 får ett institut som uppfyller samtliga villkor i artikel 4.1.145 i förordning (EU) nr 575/2013 rapportera informationen om ytterligare likviditetsövervakningsmått kvartalsvis.</w:t>
      </w:r>
    </w:p>
    <w:p w14:paraId="51E51891" w14:textId="77777777" w:rsidR="00FE0C02" w:rsidRPr="00AB4BEA" w:rsidRDefault="00FE0C02" w:rsidP="00FE0C02">
      <w:pPr>
        <w:pStyle w:val="Titrearticle"/>
      </w:pPr>
      <w:r w:rsidRPr="00AB4BEA">
        <w:t>Artikel 19</w:t>
      </w:r>
    </w:p>
    <w:p w14:paraId="5CEC6025" w14:textId="77777777" w:rsidR="00FE0C02" w:rsidRPr="00AB4BEA" w:rsidRDefault="00FE0C02" w:rsidP="00FE0C02">
      <w:pPr>
        <w:pStyle w:val="Text1"/>
      </w:pPr>
      <w:r w:rsidRPr="00AB4BEA">
        <w:rPr>
          <w:b/>
        </w:rPr>
        <w:t>Rapportering av tillgångsinteckning på individuell nivå och gruppnivå</w:t>
      </w:r>
    </w:p>
    <w:p w14:paraId="733153BD" w14:textId="77777777" w:rsidR="00FE0C02" w:rsidRPr="00AB4BEA" w:rsidRDefault="00FE0C02" w:rsidP="005F180D">
      <w:pPr>
        <w:pStyle w:val="NumPar1"/>
        <w:numPr>
          <w:ilvl w:val="0"/>
          <w:numId w:val="26"/>
        </w:numPr>
      </w:pPr>
      <w:r w:rsidRPr="00AB4BEA">
        <w:t xml:space="preserve">Vid rapportering av information om tillgångsinteckning i enlighet med artikel 430.1 g i förordning (EU) nr 575/2013 på individuell nivå och gruppnivå, ska instituten överlämna den information som avses i bilaga XVI till den här förordningen i enlighet med instruktionerna i bilaga XVII till den här förordningen. </w:t>
      </w:r>
    </w:p>
    <w:p w14:paraId="466673DE" w14:textId="77777777" w:rsidR="00FE0C02" w:rsidRPr="00AB4BEA" w:rsidRDefault="00FE0C02" w:rsidP="00FE0C02">
      <w:pPr>
        <w:pStyle w:val="NumPar1"/>
        <w:numPr>
          <w:ilvl w:val="0"/>
          <w:numId w:val="10"/>
        </w:numPr>
      </w:pPr>
      <w:r w:rsidRPr="00AB4BEA">
        <w:t xml:space="preserve">Den information som avses i punkt 1 ska överlämnas enligt följande: </w:t>
      </w:r>
    </w:p>
    <w:p w14:paraId="6377EF60" w14:textId="77777777" w:rsidR="00FE0C02" w:rsidRPr="00AB4BEA" w:rsidRDefault="00FE0C02" w:rsidP="00FE0C02">
      <w:pPr>
        <w:pStyle w:val="Point1"/>
      </w:pPr>
      <w:r w:rsidRPr="00AB4BEA">
        <w:lastRenderedPageBreak/>
        <w:t>a)</w:t>
      </w:r>
      <w:r w:rsidRPr="00AB4BEA">
        <w:tab/>
        <w:t xml:space="preserve">Den information som avses i delarna A, B och D i bilaga XVI ska överlämnas kvartalsvis. </w:t>
      </w:r>
    </w:p>
    <w:p w14:paraId="0B272D04" w14:textId="77777777" w:rsidR="00FE0C02" w:rsidRPr="00AB4BEA" w:rsidRDefault="00FE0C02" w:rsidP="00FE0C02">
      <w:pPr>
        <w:pStyle w:val="Point1"/>
      </w:pPr>
      <w:r w:rsidRPr="00AB4BEA">
        <w:t>b)</w:t>
      </w:r>
      <w:r w:rsidRPr="00AB4BEA">
        <w:tab/>
        <w:t xml:space="preserve">Den information som avses i del C i bilaga XVI ska överlämnas årsvis. </w:t>
      </w:r>
    </w:p>
    <w:p w14:paraId="78F69E95" w14:textId="77777777" w:rsidR="00FE0C02" w:rsidRPr="00AB4BEA" w:rsidRDefault="00FE0C02" w:rsidP="00FE0C02">
      <w:pPr>
        <w:pStyle w:val="Point1"/>
      </w:pPr>
      <w:r w:rsidRPr="00AB4BEA">
        <w:t>c)</w:t>
      </w:r>
      <w:r w:rsidRPr="00AB4BEA">
        <w:tab/>
        <w:t xml:space="preserve">Den information som avses i del E i bilaga XVI ska överlämnas halvårsvis. </w:t>
      </w:r>
    </w:p>
    <w:p w14:paraId="282EB9CF" w14:textId="77777777" w:rsidR="00FE0C02" w:rsidRPr="00AB4BEA" w:rsidRDefault="00FE0C02" w:rsidP="00FE0C02">
      <w:pPr>
        <w:pStyle w:val="NumPar1"/>
        <w:numPr>
          <w:ilvl w:val="0"/>
          <w:numId w:val="10"/>
        </w:numPr>
      </w:pPr>
      <w:r w:rsidRPr="00AB4BEA">
        <w:t xml:space="preserve">Instituten ska inte vara skyldiga att rapportera den information som avses i delarna B, C och E i bilaga XVI, om båda följande villkor är uppfyllda: </w:t>
      </w:r>
    </w:p>
    <w:p w14:paraId="239B0175" w14:textId="77777777" w:rsidR="00FE0C02" w:rsidRPr="00AB4BEA" w:rsidRDefault="00FE0C02" w:rsidP="00FE0C02">
      <w:pPr>
        <w:pStyle w:val="Point1"/>
      </w:pPr>
      <w:r w:rsidRPr="00AB4BEA">
        <w:t>a)</w:t>
      </w:r>
      <w:r w:rsidRPr="00AB4BEA">
        <w:tab/>
        <w:t>Institutet betraktas inte som ett stort institut.</w:t>
      </w:r>
    </w:p>
    <w:p w14:paraId="0C93B562" w14:textId="77777777" w:rsidR="00FE0C02" w:rsidRPr="00AB4BEA" w:rsidRDefault="00FE0C02" w:rsidP="00FE0C02">
      <w:pPr>
        <w:pStyle w:val="Point1"/>
      </w:pPr>
      <w:r w:rsidRPr="00AB4BEA">
        <w:t>b)</w:t>
      </w:r>
      <w:r w:rsidRPr="00AB4BEA">
        <w:tab/>
        <w:t>Institutets nivå på tillgångsinteckning, beräknad i enlighet med punkt 1.6.9 i bilaga XVII, är lägre än 15 %.</w:t>
      </w:r>
    </w:p>
    <w:p w14:paraId="19A215D8" w14:textId="77777777" w:rsidR="00FE0C02" w:rsidRPr="00AB4BEA" w:rsidRDefault="00FE0C02" w:rsidP="00FE0C02">
      <w:pPr>
        <w:pStyle w:val="Text1"/>
      </w:pPr>
      <w:r w:rsidRPr="00AB4BEA">
        <w:t xml:space="preserve">Inträdes- och utträdeskriterierna enligt artikel 4.3 ska tillämpas. </w:t>
      </w:r>
    </w:p>
    <w:p w14:paraId="7A2CBD82" w14:textId="77777777" w:rsidR="00FE0C02" w:rsidRPr="00AB4BEA" w:rsidRDefault="00FE0C02" w:rsidP="00FE0C02">
      <w:pPr>
        <w:pStyle w:val="NumPar1"/>
        <w:numPr>
          <w:ilvl w:val="0"/>
          <w:numId w:val="10"/>
        </w:numPr>
      </w:pPr>
      <w:r w:rsidRPr="00AB4BEA">
        <w:t>Instituten ska rapportera den information som avses i del D i bilaga XVI endast om de ger ut sådana obligationer som avses i artikel 52.4 första stycket i Europaparlamentets och rådets direktiv 2009/65/EG</w:t>
      </w:r>
      <w:r w:rsidRPr="00AB4BEA">
        <w:rPr>
          <w:rStyle w:val="FootnoteReference"/>
        </w:rPr>
        <w:footnoteReference w:id="11"/>
      </w:r>
      <w:r w:rsidRPr="00AB4BEA">
        <w:t xml:space="preserve">. </w:t>
      </w:r>
    </w:p>
    <w:p w14:paraId="216F0D5A" w14:textId="77777777" w:rsidR="00FE0C02" w:rsidRPr="00AB4BEA" w:rsidRDefault="00FE0C02" w:rsidP="00FE0C02">
      <w:pPr>
        <w:pStyle w:val="Text1"/>
      </w:pPr>
      <w:r w:rsidRPr="00AB4BEA">
        <w:t>Inträdes- och utträdeskriterierna enligt artikel 4.3 ska tillämpas.</w:t>
      </w:r>
    </w:p>
    <w:p w14:paraId="3C60098A" w14:textId="77777777" w:rsidR="00FE0C02" w:rsidRPr="00AB4BEA" w:rsidRDefault="00FE0C02" w:rsidP="00FE0C02">
      <w:pPr>
        <w:pStyle w:val="Titrearticle"/>
      </w:pPr>
      <w:r w:rsidRPr="00AB4BEA">
        <w:t>Artikel 20</w:t>
      </w:r>
    </w:p>
    <w:p w14:paraId="4B5AD6C9" w14:textId="77777777" w:rsidR="00FE0C02" w:rsidRPr="00AB4BEA" w:rsidRDefault="00FE0C02" w:rsidP="00FE0C02">
      <w:pPr>
        <w:pStyle w:val="Text1"/>
      </w:pPr>
      <w:r w:rsidRPr="00AB4BEA">
        <w:rPr>
          <w:b/>
        </w:rPr>
        <w:t>Kompletterande rapportering på gruppnivå för identifiering av globala systemviktiga institut och tilldelning av buffertvärden för globala systemviktiga institut</w:t>
      </w:r>
    </w:p>
    <w:p w14:paraId="76EECD2F" w14:textId="54CEB2D8" w:rsidR="00FE0C02" w:rsidRPr="00AB4BEA" w:rsidRDefault="00FE0C02" w:rsidP="005F180D">
      <w:pPr>
        <w:pStyle w:val="NumPar1"/>
        <w:numPr>
          <w:ilvl w:val="0"/>
          <w:numId w:val="27"/>
        </w:numPr>
      </w:pPr>
      <w:r w:rsidRPr="00AB4BEA">
        <w:t>Vid rapportering av kompletterande information för identifiering av globala systemviktiga institut och tilldelning av buffertvärden för globala systemviktiga institut enligt artikel 131 i direktiv 2013/36/EU, ska moderinstitut inom EU, finansiella moderholdingföretag inom EU och blandade finansiella moderholdingföretag inom EU kvartalsvis och på gruppnivå överlämna den information som avses i bilaga XXVI i enlighet med instruktionerna i bilaga XXVII.</w:t>
      </w:r>
    </w:p>
    <w:p w14:paraId="4242810E" w14:textId="5FDC7845" w:rsidR="00FE0C02" w:rsidRPr="00AB4BEA" w:rsidRDefault="00FE0C02" w:rsidP="00FE0C02">
      <w:pPr>
        <w:pStyle w:val="NumPar1"/>
        <w:numPr>
          <w:ilvl w:val="0"/>
          <w:numId w:val="10"/>
        </w:numPr>
      </w:pPr>
      <w:r w:rsidRPr="00AB4BEA">
        <w:t>Moderinstitut inom EU, finansiella moderholdingföretag inom EU och blandade finansiella moderholdingföretag inom EU ska överlämna den information som avses i punkt 1 endast om båda följande villkor är uppfyllda:</w:t>
      </w:r>
    </w:p>
    <w:p w14:paraId="0C5DCF08" w14:textId="77777777" w:rsidR="00FE0C02" w:rsidRPr="00AB4BEA" w:rsidRDefault="00FE0C02" w:rsidP="00FE0C02">
      <w:pPr>
        <w:pStyle w:val="Point1"/>
      </w:pPr>
      <w:r w:rsidRPr="00AB4BEA">
        <w:t>a)</w:t>
      </w:r>
      <w:r w:rsidRPr="00AB4BEA">
        <w:tab/>
        <w:t>Gruppens totala exponeringsmått, inklusive försäkringsdotterbolag, är minst 125 000 miljoner EUR.</w:t>
      </w:r>
    </w:p>
    <w:p w14:paraId="05DC0A53" w14:textId="77777777" w:rsidR="00FE0C02" w:rsidRPr="00AB4BEA" w:rsidRDefault="00FE0C02" w:rsidP="00FE0C02">
      <w:pPr>
        <w:pStyle w:val="Point1"/>
      </w:pPr>
      <w:r w:rsidRPr="00AB4BEA">
        <w:t>b)</w:t>
      </w:r>
      <w:r w:rsidRPr="00AB4BEA">
        <w:tab/>
        <w:t>Moderinstitutet inom EU eller något av dess dotterföretag eller någon filial som drivs av moderinstitutet eller ett dotterföretag är beläget eller belägen i en deltagande medlemsstat enligt artikel 4 i Europaparlamentets och rådets förordning (EU) nr 806/2014</w:t>
      </w:r>
      <w:r w:rsidRPr="00AB4BEA">
        <w:rPr>
          <w:rStyle w:val="FootnoteReference"/>
        </w:rPr>
        <w:footnoteReference w:id="12"/>
      </w:r>
      <w:r w:rsidRPr="00AB4BEA">
        <w:t>.</w:t>
      </w:r>
    </w:p>
    <w:p w14:paraId="6584D044" w14:textId="77777777" w:rsidR="00FE0C02" w:rsidRPr="00AB4BEA" w:rsidRDefault="00FE0C02" w:rsidP="00FE0C02">
      <w:pPr>
        <w:pStyle w:val="NumPar1"/>
        <w:numPr>
          <w:ilvl w:val="0"/>
          <w:numId w:val="10"/>
        </w:numPr>
      </w:pPr>
      <w:r w:rsidRPr="00AB4BEA">
        <w:t>Genom undantag från artikel 3.1 b ska den information som avses i punkt 1 i den här artikeln överlämnas senast vid utgången av arbetsdagen på följande överföringsdatum: 1 juli, 1 oktober, 2 januari och 1 april.</w:t>
      </w:r>
    </w:p>
    <w:p w14:paraId="3336B0CC" w14:textId="77777777" w:rsidR="00FE0C02" w:rsidRPr="00AB4BEA" w:rsidRDefault="00FE0C02" w:rsidP="00FE0C02">
      <w:pPr>
        <w:pStyle w:val="NumPar1"/>
        <w:numPr>
          <w:ilvl w:val="0"/>
          <w:numId w:val="10"/>
        </w:numPr>
      </w:pPr>
      <w:r w:rsidRPr="00AB4BEA">
        <w:lastRenderedPageBreak/>
        <w:t>Genom undantag från artikel 4 ska följande gälla för det tröskelvärde som anges i punkt 2 a i den här artikeln:</w:t>
      </w:r>
    </w:p>
    <w:p w14:paraId="542951C2" w14:textId="0D06C811" w:rsidR="00FE0C02" w:rsidRPr="00AB4BEA" w:rsidRDefault="00FE0C02" w:rsidP="00FE0C02">
      <w:pPr>
        <w:pStyle w:val="Point1"/>
      </w:pPr>
      <w:r w:rsidRPr="00AB4BEA">
        <w:t>a)</w:t>
      </w:r>
      <w:r w:rsidRPr="00AB4BEA">
        <w:tab/>
        <w:t>Moderinstitut inom EU, finansiella moderholdingföretag inom EU eller blandade finansiella moderholdingföretag inom EU ska omedelbart börja rapportera informationen i enlighet med denna artikel, om deras exponeringsmått för bruttosoliditetsgraden överstiger det angivna tröskelvärdet vid räkenskapsårets slut, och ska rapportera denna information åtminstone för det räkenskapsårets slut och de därpå följande tre kvartalsvisa referensdatumen.</w:t>
      </w:r>
    </w:p>
    <w:p w14:paraId="50325C89" w14:textId="0290171D" w:rsidR="00FE0C02" w:rsidRPr="00AB4BEA" w:rsidRDefault="00FE0C02" w:rsidP="00FE0C02">
      <w:pPr>
        <w:pStyle w:val="Point1"/>
      </w:pPr>
      <w:r w:rsidRPr="00AB4BEA">
        <w:t>b)</w:t>
      </w:r>
      <w:r w:rsidRPr="00AB4BEA">
        <w:tab/>
        <w:t>Moderinstitut inom EU, finansiella moderholdingföretag inom EU eller blandade finansiella moderholdingföretag inom EU ska omedelbart upphöra att rapportera informationen i enlighet med denna artikel, om deras exponeringsmått för bruttosoliditetsgraden sjunker under det angivna tröskelvärdet vid räkenskapsårets slut.</w:t>
      </w:r>
    </w:p>
    <w:p w14:paraId="3714E48A" w14:textId="77777777" w:rsidR="00FE0C02" w:rsidRPr="00AB4BEA" w:rsidRDefault="00FE0C02" w:rsidP="00FE0C02">
      <w:pPr>
        <w:pStyle w:val="Titrearticle"/>
      </w:pPr>
      <w:r w:rsidRPr="00AB4BEA">
        <w:t>Artikel 21</w:t>
      </w:r>
    </w:p>
    <w:p w14:paraId="379043C5" w14:textId="77777777" w:rsidR="00FE0C02" w:rsidRPr="00AB4BEA" w:rsidRDefault="00FE0C02" w:rsidP="00FE0C02">
      <w:pPr>
        <w:pStyle w:val="Titrearticle"/>
        <w:spacing w:before="120"/>
      </w:pPr>
      <w:r w:rsidRPr="00AB4BEA">
        <w:rPr>
          <w:b/>
          <w:i w:val="0"/>
        </w:rPr>
        <w:t>Format för uppgiftsutbyte och åtföljande information</w:t>
      </w:r>
    </w:p>
    <w:p w14:paraId="3484BAE7" w14:textId="77777777" w:rsidR="00FE0C02" w:rsidRPr="00AB4BEA" w:rsidRDefault="00FE0C02" w:rsidP="005F180D">
      <w:pPr>
        <w:pStyle w:val="NumPar1"/>
        <w:numPr>
          <w:ilvl w:val="0"/>
          <w:numId w:val="28"/>
        </w:numPr>
      </w:pPr>
      <w:r w:rsidRPr="00AB4BEA">
        <w:t>Institut ska överlämna information i de format för uppgiftsutbyte och utformningar som de behöriga myndigheterna specificerar, med iakttagande av de datapunktdefinitioner som ingår i den gemensamma datapunktmodell som avses i bilaga XIV och de valideringsformler som avses i bilaga XV, samt enligt följande specifikationer:</w:t>
      </w:r>
    </w:p>
    <w:p w14:paraId="6302FDB1" w14:textId="77777777" w:rsidR="00FE0C02" w:rsidRPr="00AB4BEA" w:rsidRDefault="00FE0C02" w:rsidP="00FE0C02">
      <w:pPr>
        <w:pStyle w:val="Point1"/>
      </w:pPr>
      <w:r w:rsidRPr="00AB4BEA">
        <w:t>a)</w:t>
      </w:r>
      <w:r w:rsidRPr="00AB4BEA">
        <w:tab/>
        <w:t>Information som inte krävs eller inte är tillämplig får inte ingå i uppgiftsinlämningen.</w:t>
      </w:r>
    </w:p>
    <w:p w14:paraId="04CB5DF9" w14:textId="77777777" w:rsidR="00FE0C02" w:rsidRPr="00AB4BEA" w:rsidRDefault="00FE0C02" w:rsidP="00FE0C02">
      <w:pPr>
        <w:pStyle w:val="Point1"/>
      </w:pPr>
      <w:r w:rsidRPr="00AB4BEA">
        <w:t>b)</w:t>
      </w:r>
      <w:r w:rsidRPr="00AB4BEA">
        <w:tab/>
        <w:t>Numeriska värden ska inges enligt följande:</w:t>
      </w:r>
    </w:p>
    <w:p w14:paraId="08E0D7CD" w14:textId="77777777" w:rsidR="00FE0C02" w:rsidRPr="00AB4BEA" w:rsidRDefault="00FE0C02" w:rsidP="00FE0C02">
      <w:pPr>
        <w:pStyle w:val="Point2"/>
      </w:pPr>
      <w:r w:rsidRPr="00AB4BEA">
        <w:t>i)</w:t>
      </w:r>
      <w:r w:rsidRPr="00AB4BEA">
        <w:tab/>
        <w:t>Datapunkter av datatypen ”monetär” ska rapporteras med en minsta noggrannhet motsvarande tusentals enheter.</w:t>
      </w:r>
    </w:p>
    <w:p w14:paraId="34C38BBF" w14:textId="77777777" w:rsidR="00FE0C02" w:rsidRPr="00AB4BEA" w:rsidRDefault="00FE0C02" w:rsidP="00FE0C02">
      <w:pPr>
        <w:pStyle w:val="Point2"/>
      </w:pPr>
      <w:r w:rsidRPr="00AB4BEA">
        <w:t>ii)</w:t>
      </w:r>
      <w:r w:rsidRPr="00AB4BEA">
        <w:tab/>
        <w:t>Datapunkter av datatypen ”procentandel” ska anges per enhet med en minsta noggrannhet motsvarande fyra decimaler.</w:t>
      </w:r>
    </w:p>
    <w:p w14:paraId="4CD4E1AC" w14:textId="77777777" w:rsidR="00FE0C02" w:rsidRPr="00AB4BEA" w:rsidRDefault="00FE0C02" w:rsidP="00FE0C02">
      <w:pPr>
        <w:pStyle w:val="Point2"/>
      </w:pPr>
      <w:r w:rsidRPr="00AB4BEA">
        <w:t>iii)</w:t>
      </w:r>
      <w:r w:rsidRPr="00AB4BEA">
        <w:tab/>
        <w:t>Datapunkter av datatypen ”heltal” ska rapporteras utan decimaler och med en noggrannhet motsvarande enheter.</w:t>
      </w:r>
    </w:p>
    <w:p w14:paraId="1DE261AC" w14:textId="77777777" w:rsidR="00FE0C02" w:rsidRPr="00AB4BEA" w:rsidRDefault="00FE0C02" w:rsidP="00FE0C02">
      <w:pPr>
        <w:pStyle w:val="Point1"/>
        <w:rPr>
          <w:szCs w:val="24"/>
        </w:rPr>
      </w:pPr>
      <w:r w:rsidRPr="00AB4BEA">
        <w:t>c)</w:t>
      </w:r>
      <w:r w:rsidRPr="00AB4BEA">
        <w:tab/>
        <w:t>Institut och försäkringsföretag ska identifieras enbart genom sin identifieringskod för juridiska personer (LEI-kod).</w:t>
      </w:r>
    </w:p>
    <w:p w14:paraId="10C9C354" w14:textId="77777777" w:rsidR="00FE0C02" w:rsidRPr="00AB4BEA" w:rsidRDefault="00FE0C02" w:rsidP="00FE0C02">
      <w:pPr>
        <w:pStyle w:val="Point1"/>
      </w:pPr>
      <w:r w:rsidRPr="00AB4BEA">
        <w:t>d) Juridiska personer och motparter som inte är institut eller försäkringsföretag ska identifieras genom sin LEI-kod, om en sådan är tillgänglig.</w:t>
      </w:r>
    </w:p>
    <w:p w14:paraId="275717B4" w14:textId="77777777" w:rsidR="00FE0C02" w:rsidRPr="00AB4BEA" w:rsidRDefault="00FE0C02" w:rsidP="00FE0C02">
      <w:pPr>
        <w:pStyle w:val="NumPar1"/>
        <w:widowControl w:val="0"/>
        <w:numPr>
          <w:ilvl w:val="0"/>
          <w:numId w:val="10"/>
        </w:numPr>
        <w:autoSpaceDE w:val="0"/>
        <w:autoSpaceDN w:val="0"/>
        <w:spacing w:line="228" w:lineRule="auto"/>
        <w:rPr>
          <w:szCs w:val="24"/>
        </w:rPr>
      </w:pPr>
      <w:r w:rsidRPr="00AB4BEA">
        <w:t>De uppgifter som instituten överlämnar ska åtföljas av följande information:</w:t>
      </w:r>
    </w:p>
    <w:p w14:paraId="533511FB" w14:textId="77777777" w:rsidR="00FE0C02" w:rsidRPr="00AB4BEA" w:rsidRDefault="00FE0C02" w:rsidP="00FE0C02">
      <w:pPr>
        <w:pStyle w:val="Point1"/>
      </w:pPr>
      <w:r w:rsidRPr="00AB4BEA">
        <w:t>a)</w:t>
      </w:r>
      <w:r w:rsidRPr="00AB4BEA">
        <w:tab/>
        <w:t>Rapporteringsreferensdatum och referensperiod.</w:t>
      </w:r>
    </w:p>
    <w:p w14:paraId="35FFAFDD" w14:textId="77777777" w:rsidR="00FE0C02" w:rsidRPr="00AB4BEA" w:rsidRDefault="00FE0C02" w:rsidP="00FE0C02">
      <w:pPr>
        <w:pStyle w:val="Point1"/>
      </w:pPr>
      <w:r w:rsidRPr="00AB4BEA">
        <w:t>b)</w:t>
      </w:r>
      <w:r w:rsidRPr="00AB4BEA">
        <w:tab/>
        <w:t>Rapporteringsvaluta.</w:t>
      </w:r>
    </w:p>
    <w:p w14:paraId="2D0A776B" w14:textId="77777777" w:rsidR="00FE0C02" w:rsidRPr="00AB4BEA" w:rsidRDefault="00FE0C02" w:rsidP="00FE0C02">
      <w:pPr>
        <w:pStyle w:val="Point1"/>
      </w:pPr>
      <w:r w:rsidRPr="00AB4BEA">
        <w:t>c)</w:t>
      </w:r>
      <w:r w:rsidRPr="00AB4BEA">
        <w:tab/>
        <w:t>Redovisningsstandard.</w:t>
      </w:r>
    </w:p>
    <w:p w14:paraId="05941E50" w14:textId="77777777" w:rsidR="00FE0C02" w:rsidRPr="00AB4BEA" w:rsidRDefault="00FE0C02" w:rsidP="00FE0C02">
      <w:pPr>
        <w:pStyle w:val="Point1"/>
      </w:pPr>
      <w:r w:rsidRPr="00AB4BEA">
        <w:t>d)</w:t>
      </w:r>
      <w:r w:rsidRPr="00AB4BEA">
        <w:tab/>
        <w:t>Det rapporterande institutets LEI-kod.</w:t>
      </w:r>
    </w:p>
    <w:p w14:paraId="1E5B9FC2" w14:textId="77777777" w:rsidR="00FE0C02" w:rsidRPr="00AB4BEA" w:rsidRDefault="00FE0C02" w:rsidP="00FE0C02">
      <w:pPr>
        <w:pStyle w:val="Point1"/>
      </w:pPr>
      <w:r w:rsidRPr="00AB4BEA">
        <w:t>e)</w:t>
      </w:r>
      <w:r w:rsidRPr="00AB4BEA">
        <w:tab/>
        <w:t>Enheter som ingår i konsolideringen.</w:t>
      </w:r>
    </w:p>
    <w:p w14:paraId="3C0C8DE6" w14:textId="77777777" w:rsidR="00FE0C02" w:rsidRPr="00AB4BEA" w:rsidRDefault="00FE0C02" w:rsidP="00FE0C02">
      <w:pPr>
        <w:pStyle w:val="Titrearticle"/>
        <w:spacing w:before="120"/>
      </w:pPr>
      <w:r w:rsidRPr="00AB4BEA">
        <w:lastRenderedPageBreak/>
        <w:t>Artikel 22</w:t>
      </w:r>
    </w:p>
    <w:p w14:paraId="48AC81C7" w14:textId="77777777" w:rsidR="00FE0C02" w:rsidRPr="00AB4BEA" w:rsidRDefault="00FE0C02" w:rsidP="006B3AF7">
      <w:pPr>
        <w:pStyle w:val="Titrearticle"/>
      </w:pPr>
      <w:r w:rsidRPr="00AB4BEA">
        <w:t>Upphävande av genomförandeförordning (EU) nr 680/2014</w:t>
      </w:r>
    </w:p>
    <w:p w14:paraId="1CFB853D" w14:textId="72EA0D3E" w:rsidR="00FE0C02" w:rsidRPr="00AB4BEA" w:rsidRDefault="00FE0C02" w:rsidP="006B3AF7">
      <w:r w:rsidRPr="00AB4BEA">
        <w:t xml:space="preserve">Genomförandeförordning (EU) nr 680/2014 ska upphöra att gälla. </w:t>
      </w:r>
    </w:p>
    <w:p w14:paraId="783335BF" w14:textId="7744E337" w:rsidR="00FE0C02" w:rsidRPr="00AB4BEA" w:rsidRDefault="00FE0C02" w:rsidP="006B3AF7">
      <w:r w:rsidRPr="00AB4BEA">
        <w:t>Hänvisningar till den upphävda förordningen ska anses som hänvisningar till den här förordningen.</w:t>
      </w:r>
    </w:p>
    <w:p w14:paraId="5FA1D041" w14:textId="77777777" w:rsidR="00FE0C02" w:rsidRPr="00AB4BEA" w:rsidRDefault="00FE0C02" w:rsidP="00FE0C02">
      <w:pPr>
        <w:pStyle w:val="Titrearticle"/>
      </w:pPr>
      <w:r w:rsidRPr="00AB4BEA">
        <w:t>Artikel 23</w:t>
      </w:r>
    </w:p>
    <w:p w14:paraId="5DBF2ECB" w14:textId="77777777" w:rsidR="00FE0C02" w:rsidRPr="00AB4BEA" w:rsidRDefault="00FE0C02" w:rsidP="00FE0C02">
      <w:pPr>
        <w:pStyle w:val="Titrearticle"/>
        <w:rPr>
          <w:b/>
          <w:i w:val="0"/>
        </w:rPr>
      </w:pPr>
      <w:r w:rsidRPr="00AB4BEA">
        <w:rPr>
          <w:b/>
          <w:i w:val="0"/>
        </w:rPr>
        <w:t>Ikraftträdande och tillämpning</w:t>
      </w:r>
    </w:p>
    <w:p w14:paraId="0A731224" w14:textId="77777777" w:rsidR="00FE0C02" w:rsidRPr="00AB4BEA" w:rsidRDefault="00FE0C02" w:rsidP="00FE0C02">
      <w:r w:rsidRPr="00AB4BEA">
        <w:t xml:space="preserve">Denna förordning träder i kraft dagen efter det att den har offentliggjorts i </w:t>
      </w:r>
      <w:r w:rsidRPr="00AB4BEA">
        <w:rPr>
          <w:i/>
        </w:rPr>
        <w:t>Europeiska unionens officiella tidning</w:t>
      </w:r>
      <w:r w:rsidRPr="00AB4BEA">
        <w:t>.</w:t>
      </w:r>
    </w:p>
    <w:p w14:paraId="7B8BB43C" w14:textId="77777777" w:rsidR="00FE0C02" w:rsidRPr="00AB4BEA" w:rsidRDefault="00FE0C02" w:rsidP="00FE0C02">
      <w:r w:rsidRPr="00AB4BEA">
        <w:t>Den ska tillämpas från och med den 28 juni 2021.</w:t>
      </w:r>
    </w:p>
    <w:p w14:paraId="398E54BD" w14:textId="77777777" w:rsidR="00FE0C02" w:rsidRPr="00AB4BEA" w:rsidRDefault="00FE0C02" w:rsidP="00FE0C02">
      <w:r w:rsidRPr="00AB4BEA">
        <w:t>Trots vad som anges i andra stycket i denna artikel ska rapporteringen om kravet på bruttosoliditetsbuffert för institut som identifieras som globala systemviktiga institut enligt mall 47 i bilaga X börja från och med den 1 januari 2023.</w:t>
      </w:r>
    </w:p>
    <w:p w14:paraId="077B995C" w14:textId="2455A2B7" w:rsidR="00FF364B" w:rsidRPr="00AB4BEA" w:rsidRDefault="00FE0C02" w:rsidP="00FE0C02">
      <w:r w:rsidRPr="00AB4BEA">
        <w:t>Artiklarna 9 och 10 ska upphöra att tillämpas den 26 juni 2026.</w:t>
      </w:r>
    </w:p>
    <w:p w14:paraId="2BB71259" w14:textId="77777777" w:rsidR="0004170D" w:rsidRPr="00AB4BEA" w:rsidRDefault="0004170D" w:rsidP="009675DD">
      <w:pPr>
        <w:pStyle w:val="Applicationdirecte"/>
      </w:pPr>
      <w:r w:rsidRPr="00AB4BEA">
        <w:t>Denna förordning är till alla delar bindande och direkt tillämplig i alla medlemsstater.</w:t>
      </w:r>
    </w:p>
    <w:p w14:paraId="2947B574" w14:textId="16DDAC60" w:rsidR="0004170D" w:rsidRPr="00AB4BEA" w:rsidRDefault="00AB4BEA" w:rsidP="00AB4BEA">
      <w:pPr>
        <w:pStyle w:val="Fait"/>
      </w:pPr>
      <w:r w:rsidRPr="00AB4BEA">
        <w:t>Utfärdad i Bryssel den</w:t>
      </w:r>
    </w:p>
    <w:p w14:paraId="3F08E3CE" w14:textId="77777777" w:rsidR="0004170D" w:rsidRPr="00AB4BEA" w:rsidRDefault="0004170D" w:rsidP="0004170D">
      <w:pPr>
        <w:pStyle w:val="Institutionquisigne"/>
      </w:pPr>
      <w:r w:rsidRPr="00AB4BEA">
        <w:tab/>
        <w:t>På kommissionens vägnar</w:t>
      </w:r>
    </w:p>
    <w:p w14:paraId="2100579F" w14:textId="77777777" w:rsidR="00A211D2" w:rsidRPr="00AB4BEA" w:rsidRDefault="0004170D" w:rsidP="0004170D">
      <w:pPr>
        <w:pStyle w:val="Personnequisigne"/>
      </w:pPr>
      <w:r w:rsidRPr="00AB4BEA">
        <w:tab/>
        <w:t>Ordförande</w:t>
      </w:r>
    </w:p>
    <w:p w14:paraId="5318264F" w14:textId="632B2009" w:rsidR="0004170D" w:rsidRPr="00AB4BEA" w:rsidRDefault="00A211D2" w:rsidP="0004170D">
      <w:pPr>
        <w:pStyle w:val="Personnequisigne"/>
      </w:pPr>
      <w:r w:rsidRPr="00AB4BEA">
        <w:tab/>
        <w:t xml:space="preserve">Ursula von der Leyen </w:t>
      </w:r>
      <w:r w:rsidRPr="00AB4BEA">
        <w:br/>
      </w:r>
      <w:r w:rsidRPr="00AB4BEA">
        <w:tab/>
        <w:t xml:space="preserve"> </w:t>
      </w:r>
      <w:r w:rsidRPr="00AB4BEA">
        <w:br/>
      </w:r>
      <w:r w:rsidRPr="00AB4BEA">
        <w:tab/>
        <w:t xml:space="preserve"> </w:t>
      </w:r>
      <w:r w:rsidRPr="00AB4BEA">
        <w:br/>
      </w:r>
    </w:p>
    <w:sectPr w:rsidR="0004170D" w:rsidRPr="00AB4BEA" w:rsidSect="00C22300">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BCCA" w14:textId="71AC3A86" w:rsidR="007E5F66" w:rsidRPr="00C22300" w:rsidRDefault="00C22300" w:rsidP="00C22300">
    <w:pPr>
      <w:pStyle w:val="Footer"/>
      <w:rPr>
        <w:rFonts w:ascii="Arial" w:hAnsi="Arial" w:cs="Arial"/>
        <w:b/>
        <w:sz w:val="48"/>
      </w:rPr>
    </w:pPr>
    <w:r w:rsidRPr="00C22300">
      <w:rPr>
        <w:rFonts w:ascii="Arial" w:hAnsi="Arial" w:cs="Arial"/>
        <w:b/>
        <w:sz w:val="48"/>
      </w:rPr>
      <w:t>SV</w:t>
    </w:r>
    <w:r w:rsidRPr="00C22300">
      <w:rPr>
        <w:rFonts w:ascii="Arial" w:hAnsi="Arial" w:cs="Arial"/>
        <w:b/>
        <w:sz w:val="48"/>
      </w:rPr>
      <w:tab/>
    </w:r>
    <w:r w:rsidRPr="00C22300">
      <w:rPr>
        <w:rFonts w:ascii="Arial" w:hAnsi="Arial" w:cs="Arial"/>
        <w:b/>
        <w:sz w:val="48"/>
      </w:rPr>
      <w:tab/>
    </w:r>
    <w:r w:rsidRPr="00C22300">
      <w:tab/>
    </w:r>
    <w:r w:rsidRPr="00C22300">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99F74" w14:textId="7EE83212" w:rsidR="00C22300" w:rsidRPr="00C22300" w:rsidRDefault="00C22300" w:rsidP="00C22300">
    <w:pPr>
      <w:pStyle w:val="Footer"/>
      <w:rPr>
        <w:rFonts w:ascii="Arial" w:hAnsi="Arial" w:cs="Arial"/>
        <w:b/>
        <w:sz w:val="48"/>
      </w:rPr>
    </w:pPr>
    <w:r w:rsidRPr="00C22300">
      <w:rPr>
        <w:rFonts w:ascii="Arial" w:hAnsi="Arial" w:cs="Arial"/>
        <w:b/>
        <w:sz w:val="48"/>
      </w:rPr>
      <w:t>SV</w:t>
    </w:r>
    <w:r w:rsidRPr="00C22300">
      <w:rPr>
        <w:rFonts w:ascii="Arial" w:hAnsi="Arial" w:cs="Arial"/>
        <w:b/>
        <w:sz w:val="48"/>
      </w:rPr>
      <w:tab/>
    </w:r>
    <w:r>
      <w:fldChar w:fldCharType="begin"/>
    </w:r>
    <w:r>
      <w:instrText xml:space="preserve"> PAGE  \* MERGEFORMAT </w:instrText>
    </w:r>
    <w:r>
      <w:fldChar w:fldCharType="separate"/>
    </w:r>
    <w:r w:rsidR="00743390">
      <w:rPr>
        <w:noProof/>
      </w:rPr>
      <w:t>18</w:t>
    </w:r>
    <w:r>
      <w:fldChar w:fldCharType="end"/>
    </w:r>
    <w:r>
      <w:tab/>
    </w:r>
    <w:r w:rsidRPr="00C22300">
      <w:tab/>
    </w:r>
    <w:r w:rsidRPr="00C22300">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8DB06" w14:textId="77777777" w:rsidR="00C22300" w:rsidRPr="00C22300" w:rsidRDefault="00C22300" w:rsidP="00C22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EUT L 176, 27.6.2013, s. 1.</w:t>
      </w:r>
    </w:p>
  </w:footnote>
  <w:footnote w:id="2">
    <w:p w14:paraId="433B5035" w14:textId="77777777" w:rsidR="00AD21AA" w:rsidRPr="00BD2EEC" w:rsidRDefault="00AD21AA" w:rsidP="00AD21AA">
      <w:pPr>
        <w:pStyle w:val="FootnoteText"/>
      </w:pPr>
      <w:r>
        <w:rPr>
          <w:rStyle w:val="FootnoteReference"/>
        </w:rPr>
        <w:footnoteRef/>
      </w:r>
      <w:r>
        <w:tab/>
        <w:t>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 w:id="3">
    <w:p w14:paraId="5580D4CD" w14:textId="77777777" w:rsidR="00AD21AA" w:rsidRPr="00A45B5C" w:rsidRDefault="00AD21AA" w:rsidP="00AD21AA">
      <w:pPr>
        <w:pStyle w:val="FootnoteText"/>
      </w:pPr>
      <w:r>
        <w:rPr>
          <w:rStyle w:val="FootnoteReference"/>
        </w:rPr>
        <w:footnoteRef/>
      </w:r>
      <w:r>
        <w:tab/>
        <w:t>Kommissionens genomförandeförordning (EU) nr 680/2014 om tekniska standarder för genomförande av instituts tillsynsrapportering enligt Europaparlamentets och rådets förordning (EU) nr 575/2013 (EUT L 191, 28.6.2014, s. 1).</w:t>
      </w:r>
    </w:p>
  </w:footnote>
  <w:footnote w:id="4">
    <w:p w14:paraId="4A709B42" w14:textId="77777777" w:rsidR="00AD21AA" w:rsidRPr="002E4D2B" w:rsidRDefault="00AD21AA" w:rsidP="00AD21AA">
      <w:pPr>
        <w:pStyle w:val="FootnoteText"/>
      </w:pPr>
      <w:r>
        <w:rPr>
          <w:rStyle w:val="FootnoteReference"/>
        </w:rPr>
        <w:footnoteRef/>
      </w:r>
      <w:r>
        <w:tab/>
        <w:t>Europaparlamentets och rådets förordning (EU) 2019/876 av den 20 maj 2019 om ändring av förordning (EU) nr 575/2013 vad gäller bruttosoliditetsgrad, stabil nettofinansieringskvot, krav för kapitalbas och kvalificerade skulder, motpartsrisk, marknadsrisk, exponeringar mot centrala motparter, exponeringar mot företag för kollektiva investeringar, stora exponeringar, rapporteringskrav och krav på offentliggörande av information, samt av förordning (EU) nr 648/2012 (EUT L 150, 7.6.2019, s. 1).</w:t>
      </w:r>
    </w:p>
  </w:footnote>
  <w:footnote w:id="5">
    <w:p w14:paraId="5D010433" w14:textId="77777777" w:rsidR="00AD21AA" w:rsidRPr="002E4D2B" w:rsidRDefault="00AD21AA" w:rsidP="00AD21AA">
      <w:pPr>
        <w:pStyle w:val="FootnoteText"/>
      </w:pPr>
      <w:r>
        <w:rPr>
          <w:rStyle w:val="FootnoteReference"/>
        </w:rPr>
        <w:footnoteRef/>
      </w:r>
      <w:r>
        <w:tab/>
        <w:t xml:space="preserve">Europaparlamentets och rådets förordning (EU) 2019/630 av den 17 april 2019 om ändring av förordning (EU) nr 575/2013 vad gäller minsta förlusttäckning för nödlidande exponeringar (EUT L 111, 25.4.2019, s. 4). </w:t>
      </w:r>
    </w:p>
  </w:footnote>
  <w:footnote w:id="6">
    <w:p w14:paraId="0B0AEE79" w14:textId="77777777" w:rsidR="00AD21AA" w:rsidRPr="008B4A3F" w:rsidRDefault="00AD21AA" w:rsidP="00AD21AA">
      <w:pPr>
        <w:pStyle w:val="FootnoteText"/>
      </w:pPr>
      <w:r>
        <w:rPr>
          <w:rStyle w:val="FootnoteReference"/>
        </w:rPr>
        <w:footnoteRef/>
      </w:r>
      <w:r>
        <w:tab/>
        <w:t>Europaparlamentets och rådets förordning (EU) 2019/2033 av den 27 november 2019 om tillsynskrav för värdepappersföretag och om ändring av förordningarna (EU) nr 1093/2010, (EU) nr 575/2013, (EU) nr 600/2014 och (EU) nr 806/2014 (EUT L 314, 5.12.2019, s. 1).</w:t>
      </w:r>
    </w:p>
  </w:footnote>
  <w:footnote w:id="7">
    <w:p w14:paraId="3D6B588C" w14:textId="1C69D305" w:rsidR="00AD21AA" w:rsidRPr="0069688A" w:rsidRDefault="00AD21AA" w:rsidP="00AD21AA">
      <w:pPr>
        <w:pStyle w:val="FootnoteText"/>
      </w:pPr>
      <w:r>
        <w:rPr>
          <w:rStyle w:val="FootnoteReference"/>
        </w:rPr>
        <w:footnoteRef/>
      </w:r>
      <w:r>
        <w:tab/>
        <w:t>Europaparlamentets och rådets förordning (EU) 2020/873 av den 24 juni 2020 om ändring av förordningarna (EU) nr 575/2013 och (EU) 2019/876 vad gäller vissa anpassningar mot bakgrund av covid-19-pandemin (EUT L 204, 26.6.2020, s. 4).</w:t>
      </w:r>
    </w:p>
  </w:footnote>
  <w:footnote w:id="8">
    <w:p w14:paraId="5A30BC5D" w14:textId="77777777" w:rsidR="00AD21AA" w:rsidRPr="002E4D2B" w:rsidRDefault="00AD21AA" w:rsidP="00AD21AA">
      <w:pPr>
        <w:pStyle w:val="FootnoteText"/>
      </w:pPr>
      <w:r>
        <w:rPr>
          <w:rStyle w:val="FootnoteReference"/>
        </w:rPr>
        <w:footnoteRef/>
      </w:r>
      <w:r>
        <w:tab/>
        <w:t>Europaparlamentets och rådets förordning (EU) nr 1093/2010 av den 24 november 2010 om inrättande av en europeisk tillsynsmyndighet (Europeiska bankmyndigheten), om ändring av beslut nr 716/2009/EG och om upphävande av kommissionens beslut 2009/78/EG (EUT L 331, 15.12.2010, s. 12).</w:t>
      </w:r>
    </w:p>
  </w:footnote>
  <w:footnote w:id="9">
    <w:p w14:paraId="2F6DC588" w14:textId="77777777" w:rsidR="0014552F" w:rsidRPr="002E4D2B" w:rsidRDefault="0014552F" w:rsidP="0014552F">
      <w:pPr>
        <w:pStyle w:val="FootnoteText"/>
      </w:pPr>
      <w:r>
        <w:rPr>
          <w:rStyle w:val="FootnoteReference"/>
        </w:rPr>
        <w:footnoteRef/>
      </w:r>
      <w:r>
        <w:tab/>
        <w:t>Kommissionens delegerade förordning (EU) 2016/101 av den 26 oktober 2015 om komplettering av Europaparlamentets och rådets förordning (EU) nr 575/2013 med avseende på tekniska tillsynsstandarder för försiktig värdering enligt artikel 105.14 (EUT L 21, 28.1.2016, s. 54)</w:t>
      </w:r>
    </w:p>
  </w:footnote>
  <w:footnote w:id="10">
    <w:p w14:paraId="0D4E857F" w14:textId="659ADEF0" w:rsidR="00FE0C02" w:rsidRPr="00B60583" w:rsidRDefault="00FE0C02" w:rsidP="00FE0C02">
      <w:pPr>
        <w:pStyle w:val="FootnoteText"/>
      </w:pPr>
      <w:r>
        <w:rPr>
          <w:rStyle w:val="FootnoteReference"/>
        </w:rPr>
        <w:footnoteRef/>
      </w:r>
      <w:r>
        <w:tab/>
        <w:t>Europaparlamentets och rådets förordning (EG) nr 1606/2002 av den 19 juli 2002 om tillämpning av internationella redovisningsstandarder (EGT L 243, 11.9.2002, s. 1).</w:t>
      </w:r>
    </w:p>
  </w:footnote>
  <w:footnote w:id="11">
    <w:p w14:paraId="186408CB" w14:textId="77777777" w:rsidR="00FE0C02" w:rsidRPr="00383524" w:rsidRDefault="00FE0C02" w:rsidP="00FE0C02">
      <w:pPr>
        <w:pStyle w:val="FootnoteText"/>
      </w:pPr>
      <w:r>
        <w:rPr>
          <w:rStyle w:val="FootnoteReference"/>
        </w:rPr>
        <w:footnoteRef/>
      </w:r>
      <w:r>
        <w:tab/>
        <w:t>Europaparlamentets och rådets direktiv 2009/65/EG av den 13 juli 2009 om samordning av lagar och andra författningar som avser företag för kollektiva investeringar i överlåtbara värdepapper (fondföretag) (EUT L 302, 17.11.2009, s. 32).</w:t>
      </w:r>
    </w:p>
  </w:footnote>
  <w:footnote w:id="12">
    <w:p w14:paraId="50B21B4D" w14:textId="77777777" w:rsidR="00FE0C02" w:rsidRPr="00EF0DDB" w:rsidRDefault="00FE0C02" w:rsidP="00FE0C02">
      <w:pPr>
        <w:pStyle w:val="FootnoteText"/>
      </w:pPr>
      <w:r>
        <w:rPr>
          <w:rStyle w:val="FootnoteReference"/>
        </w:rPr>
        <w:footnoteRef/>
      </w:r>
      <w:r>
        <w:tab/>
        <w:t>Europaparlamentets och rådets förordning (EU) nr 806/2014 av den 15 juli 2014 om fastställande av enhetliga regler och ett enhetligt förfarande för resolution av kreditinstitut och vissa värdepappersföretag inom ramen för en gemensam resolutionsmekanism och en gemensam resolutionsfond och om ändring av förordning (EU) nr 1093/2010 (EUT L 225, 30.7.2014,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4 16:17:1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FEDC27E2-D58B-4922-8055-8D948A8E62CC"/>
    <w:docVar w:name="LW_COVERPAGE_TYPE" w:val="1"/>
    <w:docVar w:name="LW_CROSSREFERENCE" w:val="&lt;UNUSED&gt;"/>
    <w:docVar w:name="LW_DATE.ADOPT.CP" w:val="av den XXX"/>
    <w:docVar w:name="LW_DATE.ADOPT.CP_DATEFORMAT" w:val="av den %DATE%"/>
    <w:docVar w:name="LW_DATE.ADOPT.CP_ISODATE" w:val="&lt;EMPTY&gt;"/>
    <w:docVar w:name="LW_DocType" w:val="COM"/>
    <w:docVar w:name="LW_EMISSION" w:val="&lt;EMPTY&gt;"/>
    <w:docVar w:name="LW_EMISSION_ISODATE" w:val="&lt;EMPTY&gt;"/>
    <w:docVar w:name="LW_EMISSION_LOCATION" w:val="BRX"/>
    <w:docVar w:name="LW_EMISSION_PREFIX" w:val="Bryssel den "/>
    <w:docVar w:name="LW_EMISSION_SUFFIX" w:val="&lt;EMPTY&gt;"/>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tekniska genomförandestandarder för tillämpningen av Europaparlamentets och rådets förordning (EU) nr 575/2013 vad gäller instituts tillsynsrapportering och om upphävande av genomförandeförordning (EU) nr 680/2014 _x000b_"/>
    <w:docVar w:name="LW_TYPE.DOC.CP" w:val="KOMMISSIONENS GENOMFÖRANDEFÖRORDNING (EU) \u8230?/\u8230?"/>
  </w:docVars>
  <w:rsids>
    <w:rsidRoot w:val="0004170D"/>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65E94"/>
    <w:rsid w:val="002759C1"/>
    <w:rsid w:val="00285E17"/>
    <w:rsid w:val="002B6FA8"/>
    <w:rsid w:val="002C0C3E"/>
    <w:rsid w:val="002C1097"/>
    <w:rsid w:val="002C1CA0"/>
    <w:rsid w:val="002D22E3"/>
    <w:rsid w:val="002E476B"/>
    <w:rsid w:val="00332B33"/>
    <w:rsid w:val="00334AD0"/>
    <w:rsid w:val="00352527"/>
    <w:rsid w:val="0036351A"/>
    <w:rsid w:val="0038072B"/>
    <w:rsid w:val="003A1165"/>
    <w:rsid w:val="003A6A98"/>
    <w:rsid w:val="003B14E5"/>
    <w:rsid w:val="003B2A70"/>
    <w:rsid w:val="003D6311"/>
    <w:rsid w:val="003E7FD2"/>
    <w:rsid w:val="00403378"/>
    <w:rsid w:val="00445268"/>
    <w:rsid w:val="0047317A"/>
    <w:rsid w:val="00480310"/>
    <w:rsid w:val="00496B08"/>
    <w:rsid w:val="004A4E65"/>
    <w:rsid w:val="004B7AEA"/>
    <w:rsid w:val="004D5E20"/>
    <w:rsid w:val="004D795C"/>
    <w:rsid w:val="00505B92"/>
    <w:rsid w:val="00531744"/>
    <w:rsid w:val="00535526"/>
    <w:rsid w:val="00545C74"/>
    <w:rsid w:val="00563765"/>
    <w:rsid w:val="005A2A1F"/>
    <w:rsid w:val="005A6D07"/>
    <w:rsid w:val="005C3834"/>
    <w:rsid w:val="005D6DF1"/>
    <w:rsid w:val="005E5208"/>
    <w:rsid w:val="005F180D"/>
    <w:rsid w:val="00627D4B"/>
    <w:rsid w:val="00646DA2"/>
    <w:rsid w:val="00656F3B"/>
    <w:rsid w:val="00681997"/>
    <w:rsid w:val="006947FE"/>
    <w:rsid w:val="006B3AF7"/>
    <w:rsid w:val="006B5AAF"/>
    <w:rsid w:val="006B61AF"/>
    <w:rsid w:val="006D20F7"/>
    <w:rsid w:val="007241CC"/>
    <w:rsid w:val="00725875"/>
    <w:rsid w:val="00743390"/>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B4BEA"/>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2300"/>
    <w:rsid w:val="00C24911"/>
    <w:rsid w:val="00C278CC"/>
    <w:rsid w:val="00C36BE6"/>
    <w:rsid w:val="00C36E0D"/>
    <w:rsid w:val="00C5099A"/>
    <w:rsid w:val="00C901BD"/>
    <w:rsid w:val="00CA348C"/>
    <w:rsid w:val="00CF106C"/>
    <w:rsid w:val="00D9176D"/>
    <w:rsid w:val="00DC2475"/>
    <w:rsid w:val="00E03572"/>
    <w:rsid w:val="00E10715"/>
    <w:rsid w:val="00E14194"/>
    <w:rsid w:val="00E23D3B"/>
    <w:rsid w:val="00E76D3F"/>
    <w:rsid w:val="00E8608B"/>
    <w:rsid w:val="00EA3E25"/>
    <w:rsid w:val="00EA6449"/>
    <w:rsid w:val="00ED391B"/>
    <w:rsid w:val="00ED5F5B"/>
    <w:rsid w:val="00EF4651"/>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sv-SE"/>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sv-SE"/>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sv-SE"/>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sv-SE"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2A676-F32A-4AB8-A397-0A4AE6158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19</Pages>
  <Words>6856</Words>
  <Characters>39423</Characters>
  <Application>Microsoft Office Word</Application>
  <DocSecurity>0</DocSecurity>
  <Lines>703</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cp:lastPrinted>2020-12-11T17:14:00Z</cp:lastPrinted>
  <dcterms:created xsi:type="dcterms:W3CDTF">2020-12-22T07:18:00Z</dcterms:created>
  <dcterms:modified xsi:type="dcterms:W3CDTF">2020-12-22T07:18:00Z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