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PRILOGA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NAVODILA ZA POROČANJE O DODATNIH METRIKAH ZA SPREMLJANJE LIKVIDNOSTI</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Dodatne metrike za spremljanje</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Splošno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Za spremljanje likvidnostnega tveganja institucije, ki ne spada na področje uporabe poročil o likvidnostnem kritju in stabilnem financiranju, institucije izpolnijo predlogo v Prilogi XVIII v skladu z navodili iz te Priloge.</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Skupno financiranje so vse finančne obveznosti razen izvedenih finančnih instrumentov in kratkih pozicij.</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Za financiranje z odprto zapadlostjo, vključno z vpoglednimi vlogami, se šteje, da zapade čez noč.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Prvotna zapadlost predstavlja čas med datumom odobritve in datumom zapadlosti financiranja. Datum zapadlosti financiranja se določi v skladu z odstavkom 12 Priloge XXIII. To pomeni, da je lahko v primeru izbirnosti, kot v primeru odstavka 12 Priloge XXIII, prvotna zapadlost postavke financiranja krajša kot čas, ki je potekel od njene odobritve.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Preostala zapadlost predstavlja čas med koncem obdobja poročanja in datumom zapadlosti financiranja. Datum zapadlosti financiranja se določi v skladu z odstavkom 12 Priloge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Za potrebe izračuna prvotne ali preostale tehtane povprečne zapadlosti se za vloge, ki zapadejo čez noč, štejejo, da je njihova zapadlost en dan.</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Za namene izračuna prvotne in preostale zapadlosti se v primeru financiranja z rokom za predhodno obvestilo ali s klavzulo o preklicu ali predčasnem dvigu, ki velja za nasprotno stranko institucije, predpostavlja dvig na prvi možen datum.</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Za obveznosti brez zapadlosti, razen kadar so predmet izbirnosti, kot je navedeno v odstavku 12 Priloge XXIII, se predpostavlja fiksna dvajsetletna prvotna in preostala zapadlost.</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Za izračun odstotnih pragov iz predlog C 67.00 in C 68.00 po pomembnih valutah institucije uporabijo prag, ki znaša 1 % skupnih obveznosti v vseh valutah.</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Koncentracija financiranja glede na nasprotno stranko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Za zbiranje informacij o koncentraciji financiranja institucije poročevalke glede na nasprotno stranko v predlogi C 67.00 institucije uporabijo navodila iz tega dela.</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Institucije sporočijo deset največjih nasprotnih strank ali skupino povezanih strank, ki je opredeljena v členu 4(1)(39) Uredbe (EU) št. 575/2013, če financiranje, pridobljeno od posamezne nasprotne stranke ali skupine povezanih strank, presega prag v višini 1 % skupnih obveznosti v vrsticah 020 do 110 oddelka 1 predloge. Nasprotna stranka, ki se poroča pod postavko 1.01, je nasprotna stranka, od katere institucija prejme največji znesek financiranja, ki prihaja od ene nasprotne stranke ali skupine povezanih strank in ki presega 1-odstotni prag na datum poročanja. Pod postavko 1.02 se poroča druga največja </w:t>
      </w:r>
      <w:r>
        <w:rPr>
          <w:sz w:val="24"/>
          <w:u w:val="none"/>
        </w:rPr>
        <w:lastRenderedPageBreak/>
        <w:t>nasprotna stranka, ki presega 1-odstotni prag, in tako naprej v preostalih postavkah.</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Kadar nasprotna stranka pripada več skupinam povezanih strank, se poroča samo enkrat v skupini z najvišjim zneskom financiranja.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Institucije sporočijo skupni znesek vsega drugega preostalega financiranja v oddelku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Vsota oddelka 1 in oddelka 2 je enaka skupnemu financiranju institucije, kot je navedeno v njeni bilanci stanja, sporočeni v okviru računovodskega poročanja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Institucije za vsako nasprotno stranko izpolnijo vse stolpce 010 do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Kadar se financiranje pridobi v obliki več vrst produktov, se poroča vrsta produkta, v obliki katerega je bil pridobljen največji delež financiranja. Opredelitev osnovnega imetnika vrednostnih papirjev se lahko izvede po najboljših prizadevanjih. Kadar ima institucija informacije o imetniku vrednostnih papirjev na podlagi svoje vloge skrbniške banke, ta znesek upošteva pri poročanju o koncentraciji nasprotnih strank. Kadar informacije o imetniku vrednostnih papirjev niso na voljo, ustreznega zneska ni treba sporočiti.</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Navodila za posamezne stolpce: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Stolpec</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Pravna podlaga in navodila</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Ime nasprotne stranke</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Ime posamezne nasprotne stranke, ki je zagotovila financiranje, ki presega 1 % skupnih obveznosti, se navede v stolpcu 010 v padajočem vrstnem redu, tj. v vrstnem redu glede na velikost pridobljenega financiranja.</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Sporoči se ime nasprotne stranke, ne glede na to, ali je pravni subjekt ali fizična oseba. Če je nasprotna stranka pravni subjekt, je ime nasprotne stranke polno ime pravnega subjekta, ki zagotavlja financiranje, vključno z vsemi sklici na vrsto podjetja v skladu z nacionalnim pravom gospodarskih družb.</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Koda</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 xml:space="preserve">Ta koda je identifikator vrstice in je enoznačna za vsako nasprotno stranko. Koda za institucije in zavarovalnice je koda LEI. Za druge subjekte je koda </w:t>
            </w:r>
            <w:proofErr w:type="spellStart"/>
            <w:r>
              <w:rPr>
                <w:rStyle w:val="FormatvorlageInstructionsTabelleText"/>
                <w:rFonts w:ascii="Times New Roman" w:hAnsi="Times New Roman"/>
                <w:sz w:val="24"/>
              </w:rPr>
              <w:t>koda</w:t>
            </w:r>
            <w:proofErr w:type="spellEnd"/>
            <w:r>
              <w:rPr>
                <w:rStyle w:val="FormatvorlageInstructionsTabelleText"/>
                <w:rFonts w:ascii="Times New Roman" w:hAnsi="Times New Roman"/>
                <w:sz w:val="24"/>
              </w:rPr>
              <w:t xml:space="preserve"> LEI ali nacionalna koda, če koda LEI ni na voljo. Koda je enoznačna in se uporablja dosledno po vseh predlogah in skozi čas. Koda ima vedno določeno vrednost.</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Vrsta kode</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Institucije določijo vrsto kode, ki se sporoči v stolpcu 015 kot „koda LEI“ ali „ni koda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Vrsto kode je treba vedno sporočiti.</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Nacionalna koda</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Institucije lahko dodatno sporočijo nacionalno kodo, kadar kot identifikator v stolpcu „koda“ sporočijo kodo LEI.</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Sektor nasprotne stranke</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Vsaki nasprotni stranki se dodeli en sektor glede na razrede gospodarskega sektorja na podlagi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centralne banke; (ii) sektor država; (iii) kreditne institucije; (iv) druge finančne družbe; (v) nefinančne družbe; (vi) gospodinjstva.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Pri skupinah povezanih strank se sektor ne poroča.</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Sedež nasprotne stranke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nasprotne stranke, vključno s </w:t>
            </w:r>
            <w:proofErr w:type="spellStart"/>
            <w:r>
              <w:rPr>
                <w:rStyle w:val="FormatvorlageInstructionsTabelleText"/>
                <w:rFonts w:ascii="Times New Roman" w:hAnsi="Times New Roman"/>
                <w:sz w:val="24"/>
              </w:rPr>
              <w:t>psevdo</w:t>
            </w:r>
            <w:proofErr w:type="spellEnd"/>
            <w:r>
              <w:rPr>
                <w:rStyle w:val="FormatvorlageInstructionsTabelleText"/>
                <w:rFonts w:ascii="Times New Roman" w:hAnsi="Times New Roman"/>
                <w:sz w:val="24"/>
              </w:rPr>
              <w:t xml:space="preserve"> kodami ISO za mednarodne organizacije,</w:t>
            </w:r>
            <w:r>
              <w:rPr>
                <w:sz w:val="24"/>
              </w:rPr>
              <w:t xml:space="preserve"> ki so na voljo v najnovejši izdaji </w:t>
            </w:r>
            <w:proofErr w:type="spellStart"/>
            <w:r>
              <w:rPr>
                <w:sz w:val="24"/>
              </w:rPr>
              <w:t>Eurostatovega</w:t>
            </w:r>
            <w:proofErr w:type="spellEnd"/>
            <w:r>
              <w:rPr>
                <w:sz w:val="24"/>
              </w:rPr>
              <w:t xml:space="preserve"> priročnika za posredovanje podatkov o bilancah stanja (</w:t>
            </w:r>
            <w:r>
              <w:rPr>
                <w:i/>
                <w:iCs/>
                <w:sz w:val="24"/>
              </w:rPr>
              <w:t xml:space="preserve">Balance </w:t>
            </w:r>
            <w:proofErr w:type="spellStart"/>
            <w:r>
              <w:rPr>
                <w:i/>
                <w:iCs/>
                <w:sz w:val="24"/>
              </w:rPr>
              <w:t>of</w:t>
            </w:r>
            <w:proofErr w:type="spellEnd"/>
            <w:r>
              <w:rPr>
                <w:i/>
                <w:iCs/>
                <w:sz w:val="24"/>
              </w:rPr>
              <w:t xml:space="preserve"> </w:t>
            </w:r>
            <w:proofErr w:type="spellStart"/>
            <w:r>
              <w:rPr>
                <w:i/>
                <w:iCs/>
                <w:sz w:val="24"/>
              </w:rPr>
              <w:t>Payments</w:t>
            </w:r>
            <w:proofErr w:type="spellEnd"/>
            <w:r>
              <w:rPr>
                <w:i/>
                <w:iCs/>
                <w:sz w:val="24"/>
              </w:rPr>
              <w:t xml:space="preserve"> </w:t>
            </w:r>
            <w:proofErr w:type="spellStart"/>
            <w:r>
              <w:rPr>
                <w:i/>
                <w:iCs/>
                <w:sz w:val="24"/>
              </w:rPr>
              <w:t>Vademecum</w:t>
            </w:r>
            <w:proofErr w:type="spellEnd"/>
            <w:r>
              <w:rPr>
                <w:sz w:val="24"/>
              </w:rPr>
              <w:t>)</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Pri skupinah povezanih strank se država ne poroča.</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Vrsta produkta</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Nasprotnim strankam iz stolpca 010 se dodeli vrsta produkta, ki ustreza izdanemu produktu, v obliki katerega je bilo prejeto financiranje ali v obliki katerega je bil zagotovljen največji delež financiranja pri mešanih vrstah produktov, pri čemer se uporabijo naslednje kode, ki so navedene v krepkem tisku:</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(nezavarovano grosistično financiranje, pridobljeno od finančnih strank, vključno z medbančnimi denarnimi sredstvi);</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(nezavarovano grosistično financiranje, pridobljeno od nefinančnih strank);</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(financiranje, pridobljeno prek pogodb o začasni prodaji, kot so opredeljene v členu 4(1)(82) Uredbe (EU) št.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(financiranje, pridobljeno prek izdaje kritih obveznic, kot so opredeljene v členu 129(4) ali (5) Uredbe (EU) št. 575/2013 ali členu 52(4) Direktive 2009/65/ES);</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(financiranje, pridobljeno prek izdaje vrednostnih papirjev s premoženjskim kritjem, vključno s komercialnim zapisom s premoženjskim kritjem);</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(financiranje, pridobljeno od nasprotnih strank znotraj skupine);</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(drugo zavarovano grosistično financiranje);</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(drugi produkti za financiranje, npr. financiranje na drobno).</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Prejeti znesek</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Skupni znesek financiranja, prejetega od nasprotnih strank iz stolpca 010, se navede v stolpcu 060, kjer institucije navedejo knjigovodske vrednosti.</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Tehtana povprečna prvotna zapadlost</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Za znesek prejetega financiranja iz stolpca 060, prejetega od nasprotne stranke iz stolpca 010, se v stolpcu 070 navede tehtana povprečna prvotna zapadlost (v dneh) tega financiranja.</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Tehtana povprečna prvotna zapadlost se izračuna kot povprečna prvotna zapadlost (v dneh) financiranja, prejetega od te nasprotne stranke. Povprečje se tehta glede na velikost, in sicer na podlagi velikosti različnih zneskov prejetega financiranja v primerjavi s skupnim financiranjem, prejetim od te nasprotne stranke.</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Tehtana povprečna preostala zapadlost</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Za znesek prejetega financiranja iz stolpca 060, prejetega od nasprotne stranke iz stolpca 010, se v stolpcu 080 sporoči tehtana povprečna preostala zapadlost (v dneh) tega financiranja.</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Tehtana povprečna preostala zapadlost se izračuna kot povprečna zapadlost (v preostalih dneh) financiranja, prejetega od te nasprotne stranke. Povprečje se tehta glede na velikost, in sicer na podlagi velikosti različnih zneskov prejetega financiranja v primerjavi s skupnim financiranjem, prejetim od te nasprotne stranke.</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Koncentracija financiranja glede na vrsto produkta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Ta predloga je namenjena zbiranju informacij o koncentraciji financiranja institucij poročevalk glede na vrsto produkta, razčlenjeni na vrste financiranja, kot je določeno v spodnjih navodilih v zvezi z vrsticami: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Vrstica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rsidRPr="008C08CF">
              <w:rPr>
                <w:u w:val="single"/>
              </w:rPr>
              <w:tab/>
            </w:r>
            <w:r>
              <w:rPr>
                <w:rFonts w:ascii="Times New Roman" w:hAnsi="Times New Roman"/>
                <w:b/>
                <w:sz w:val="24"/>
                <w:u w:val="single"/>
              </w:rPr>
              <w:t>Financiranje na drobno</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Vloge na drobno, kot so opredeljene v členu 3(8) Delegirane uredbe (EU)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1B73205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sidR="008C08CF" w:rsidRPr="008C08CF">
              <w:rPr>
                <w:u w:val="single"/>
              </w:rPr>
              <w:tab/>
            </w:r>
            <w:r>
              <w:rPr>
                <w:rFonts w:ascii="Times New Roman" w:hAnsi="Times New Roman"/>
                <w:b/>
                <w:sz w:val="24"/>
                <w:u w:val="single"/>
              </w:rPr>
              <w:t>od tega vpogledne vloge</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Od financiranja na drobno v vrstici 010 vloge, ki so vpogledne vloge.</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5704AB11"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sidR="008C08CF" w:rsidRPr="008C08CF">
              <w:rPr>
                <w:u w:val="single"/>
              </w:rPr>
              <w:tab/>
            </w:r>
            <w:r>
              <w:rPr>
                <w:rFonts w:ascii="Times New Roman" w:hAnsi="Times New Roman"/>
                <w:b/>
                <w:sz w:val="24"/>
                <w:u w:val="single"/>
              </w:rPr>
              <w:t>od tega vezane vloge, ki jih ni mogoče dvigniti v naslednjih 30 dneh</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Od financiranja na drobno v vrstici 010 vloge, ki so vezane vloge, ki jih ni mogoče dvigniti v naslednjih 30 dneh.</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3561B2C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sidR="008C08CF" w:rsidRPr="008C08CF">
              <w:rPr>
                <w:u w:val="single"/>
              </w:rPr>
              <w:tab/>
            </w:r>
            <w:r>
              <w:rPr>
                <w:rFonts w:ascii="Times New Roman" w:hAnsi="Times New Roman"/>
                <w:b/>
                <w:sz w:val="24"/>
                <w:u w:val="single"/>
              </w:rPr>
              <w:t>od tega vezane vloge, ki jih je mogoče dvigniti v naslednjih 30 dneh</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Od financiranja na drobno v vrstici 010 vloge, ki so vezane vloge, ki jih je mogoče dvigniti v naslednjih 30 dneh.</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9A5C41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008C08CF" w:rsidRPr="008C08CF">
              <w:rPr>
                <w:u w:val="single"/>
              </w:rPr>
              <w:tab/>
            </w:r>
            <w:r>
              <w:rPr>
                <w:rFonts w:ascii="Times New Roman" w:hAnsi="Times New Roman"/>
                <w:b/>
                <w:sz w:val="24"/>
                <w:u w:val="single"/>
              </w:rPr>
              <w:t>od tega varčevalni računi s katero koli izmed spodnjih značilnosti</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Od financiranja na drobno v vrstici 010 tiste, ki so varčevalni računi s katero koli izmed spodnjih značilnosti:</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z rokom za predhodno obvestilo za dvig, daljšim od 30 dni;</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brez roka za predhodno obvestilo za dvig, daljšega od 30 dni.</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Ta vrstica se ne poroča.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04F9DF85"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rsidR="008C08CF" w:rsidRPr="008C08CF">
              <w:rPr>
                <w:u w:val="single"/>
              </w:rPr>
              <w:tab/>
            </w:r>
            <w:r>
              <w:rPr>
                <w:rFonts w:ascii="Times New Roman" w:hAnsi="Times New Roman"/>
                <w:b/>
                <w:sz w:val="24"/>
                <w:u w:val="single"/>
              </w:rPr>
              <w:t>z rokom za predhodno obvestilo za dvig, daljšim od 30 dni</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Od financiranja na drobno v vrstici 010 tiste, ki so varčevalni računi z rokom za predhodno obvestilo za dvig, daljšim od 30 dni.</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67AE8AC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rsidR="008C08CF" w:rsidRPr="008C08CF">
              <w:rPr>
                <w:u w:val="single"/>
              </w:rPr>
              <w:tab/>
            </w:r>
            <w:r>
              <w:rPr>
                <w:rFonts w:ascii="Times New Roman" w:hAnsi="Times New Roman"/>
                <w:b/>
                <w:sz w:val="24"/>
                <w:u w:val="single"/>
              </w:rPr>
              <w:t>brez roka za predhodno obvestilo za dvig, daljšega od 30 dni</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Od financiranja na drobno v vrstici 010 tiste, ki so varčevalni računi brez roka za predhodno obvestilo za dvig, daljšega od 30 dni.</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695AF1A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008C08CF" w:rsidRPr="008C08CF">
              <w:rPr>
                <w:u w:val="single"/>
              </w:rPr>
              <w:tab/>
            </w:r>
            <w:r>
              <w:rPr>
                <w:rFonts w:ascii="Times New Roman" w:hAnsi="Times New Roman"/>
                <w:b/>
                <w:sz w:val="24"/>
                <w:u w:val="single"/>
              </w:rPr>
              <w:t>Za grosistično financiranje se šteje, da vključuje kar koli izmed naslednjega:</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Vse nasprotne stranke razen vlog na drobno, kot so opredeljene v členu 3(8) Delegirane uredbe (EU)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Ta vrstica se ne poroča.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1CB30EB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008C08CF" w:rsidRPr="008C08CF">
              <w:rPr>
                <w:u w:val="single"/>
              </w:rPr>
              <w:tab/>
            </w:r>
            <w:r>
              <w:rPr>
                <w:rFonts w:ascii="Times New Roman" w:hAnsi="Times New Roman"/>
                <w:b/>
                <w:sz w:val="24"/>
                <w:u w:val="single"/>
              </w:rPr>
              <w:t>nezavarovano grosistično financiranje</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Vse nasprotne stranke razen vlog na drobno, kot so opredeljene v členu 3(8) Delegirane uredbe (EU) 2015/61, kadar financiranje ni zavarovano.</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21A1200F"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sidR="008C08CF" w:rsidRPr="008C08CF">
              <w:rPr>
                <w:u w:val="single"/>
              </w:rPr>
              <w:tab/>
            </w:r>
            <w:r>
              <w:rPr>
                <w:rFonts w:ascii="Times New Roman" w:hAnsi="Times New Roman"/>
                <w:b/>
                <w:sz w:val="24"/>
                <w:u w:val="single"/>
              </w:rPr>
              <w:t>od tega krediti in vloge finančnih strank</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Od financiranja v vrstici 110 financiranje, ki ga sestavljajo krediti in vloge finančnih strank.</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Financiranje s strani centralnih bank se izključi iz te vrstice.</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65E1E5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sidR="008C08CF" w:rsidRPr="008C08CF">
              <w:rPr>
                <w:u w:val="single"/>
              </w:rPr>
              <w:tab/>
            </w:r>
            <w:r>
              <w:rPr>
                <w:rFonts w:ascii="Times New Roman" w:hAnsi="Times New Roman"/>
                <w:b/>
                <w:sz w:val="24"/>
                <w:u w:val="single"/>
              </w:rPr>
              <w:t>od tega krediti in vloge nefinančnih strank</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Od financiranja v vrstici 110 financiranje, ki ga sestavljajo krediti in vloge nefinančnih strank.</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Financiranje s strani centralnih bank se izključi iz te vrstice.</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365CE80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sidR="008C08CF" w:rsidRPr="008C08CF">
              <w:rPr>
                <w:u w:val="single"/>
              </w:rPr>
              <w:tab/>
            </w:r>
            <w:r>
              <w:rPr>
                <w:rFonts w:ascii="Times New Roman" w:hAnsi="Times New Roman"/>
                <w:b/>
                <w:sz w:val="24"/>
                <w:u w:val="single"/>
              </w:rPr>
              <w:t>od tega krediti in vloge subjektov znotraj skupine</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Od financiranja v vrstici 110 financiranje, ki ga sestavljajo krediti in vloge subjektov znotraj skupine.</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Grosistično financiranje s strani subjektov znotraj skupine se poroča zgolj na posamični ali </w:t>
            </w:r>
            <w:proofErr w:type="spellStart"/>
            <w:r>
              <w:rPr>
                <w:rFonts w:ascii="Times New Roman" w:hAnsi="Times New Roman"/>
                <w:sz w:val="24"/>
              </w:rPr>
              <w:t>podkonsolidirani</w:t>
            </w:r>
            <w:proofErr w:type="spellEnd"/>
            <w:r>
              <w:rPr>
                <w:rFonts w:ascii="Times New Roman" w:hAnsi="Times New Roman"/>
                <w:sz w:val="24"/>
              </w:rPr>
              <w:t xml:space="preserve"> podlagi.</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5ACAE63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008C08CF" w:rsidRPr="008C08CF">
              <w:rPr>
                <w:u w:val="single"/>
              </w:rPr>
              <w:tab/>
            </w:r>
            <w:r>
              <w:rPr>
                <w:rFonts w:ascii="Times New Roman" w:hAnsi="Times New Roman"/>
                <w:b/>
                <w:sz w:val="24"/>
                <w:u w:val="single"/>
              </w:rPr>
              <w:t xml:space="preserve">zavarovano grosistično financiranje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Vse nasprotne stranke razen vlog na drobno, kot so opredeljene v členu 3(8) Delegirane uredbe (EU) 2015/61, kadar je financiranje zavarovano.</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43967D90"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sidR="008C08CF" w:rsidRPr="008C08CF">
              <w:rPr>
                <w:u w:val="single"/>
              </w:rPr>
              <w:tab/>
            </w:r>
            <w:r>
              <w:rPr>
                <w:rFonts w:ascii="Times New Roman" w:hAnsi="Times New Roman"/>
                <w:b/>
                <w:sz w:val="24"/>
                <w:u w:val="single"/>
              </w:rPr>
              <w:t>od tega posli financiranja z vrednostnimi papirji</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Od financiranja v vrstici 150 financiranje, ki je pridobljeno iz naslova pogodb o začasni prodaji, kot so opredeljene v členu 4(1)(82) Uredbe (EU) št.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58705691"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sidR="008C08CF" w:rsidRPr="008C08CF">
              <w:rPr>
                <w:u w:val="single"/>
              </w:rPr>
              <w:tab/>
            </w:r>
            <w:r>
              <w:rPr>
                <w:rFonts w:ascii="Times New Roman" w:hAnsi="Times New Roman"/>
                <w:b/>
                <w:sz w:val="24"/>
                <w:u w:val="single"/>
              </w:rPr>
              <w:t>od tega izdaje kritih obveznic</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Od financiranja v vrstici 150 financiranje, ki je pridobljeno iz naslova izdaje kritih obveznic, kot so opredeljene v členu 129(4) ali (5) Uredbe (EU) št. 575/2013 ali členu 52(4) Direktive 2009/65/ES.</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2121866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sidR="008C08CF" w:rsidRPr="008C08CF">
              <w:rPr>
                <w:u w:val="single"/>
              </w:rPr>
              <w:tab/>
            </w:r>
            <w:r>
              <w:rPr>
                <w:rFonts w:ascii="Times New Roman" w:hAnsi="Times New Roman"/>
                <w:b/>
                <w:sz w:val="24"/>
                <w:u w:val="single"/>
              </w:rPr>
              <w:t>od tega izdaja vrednostnih papirjev s premoženjskim kritjem</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Od financiranja v vrstici 150 financiranje, ki je pridobljeno iz naslova izdaje vrednostnih papirjev s premoženjskim kritjem, vključno s komercialnim zapisom s premoženjskim kritjem.</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51ACEC0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sidR="008C08CF" w:rsidRPr="008C08CF">
              <w:rPr>
                <w:u w:val="single"/>
              </w:rPr>
              <w:tab/>
            </w:r>
            <w:r>
              <w:rPr>
                <w:rFonts w:ascii="Times New Roman" w:hAnsi="Times New Roman"/>
                <w:b/>
                <w:sz w:val="24"/>
                <w:u w:val="single"/>
              </w:rPr>
              <w:t>od tega krediti in vloge subjektov znotraj skupine</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Od financiranja v vrstici 150 financiranje, ki je pridobljeno od subjektov znotraj skupine.</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Grosistično financiranje s strani subjektov znotraj skupine se poroča zgolj na posamični ali </w:t>
            </w:r>
            <w:proofErr w:type="spellStart"/>
            <w:r>
              <w:rPr>
                <w:rFonts w:ascii="Times New Roman" w:hAnsi="Times New Roman"/>
                <w:sz w:val="24"/>
              </w:rPr>
              <w:t>podkonsolidirani</w:t>
            </w:r>
            <w:proofErr w:type="spellEnd"/>
            <w:r>
              <w:rPr>
                <w:rFonts w:ascii="Times New Roman" w:hAnsi="Times New Roman"/>
                <w:sz w:val="24"/>
              </w:rPr>
              <w:t xml:space="preserve"> podlagi.</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Pri izpolnjevanju te predloge institucije sporočijo skupni znesek financiranja, prejetega iz naslova vsake posamezne vrste produkta, ki presega prag v višini 1 % skupnih obveznosti.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Institucije za vsako vrsto produkta izpolnijo vse stolpce 010 do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1-odstotni prag skupnih obveznosti se uporabi za določitev tistih vrst produktov, iz katerih je bilo pridobljeno financiranje v skladu z naslednjim:</w:t>
      </w:r>
    </w:p>
    <w:p w14:paraId="3AF457D4" w14:textId="7F645D81"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008C08CF" w:rsidRPr="008C08CF">
        <w:rPr>
          <w:u w:val="none"/>
        </w:rPr>
        <w:tab/>
      </w:r>
      <w:r>
        <w:rPr>
          <w:sz w:val="24"/>
          <w:u w:val="none"/>
        </w:rPr>
        <w:t xml:space="preserve">1-odstotni prag skupnih obveznosti se uporabi za vrste produktov, ki so navedene v vseh naslednjih vrsticah: 1.1 „Vpogledna vloga“; 1.2 „Vezane vloge, ki jih ni mogoče dvigniti v naslednjih 30 dneh“; 1.3 „Vezane vloge, ki jih je mogoče dvigniti v naslednjih 30 dneh“; 1.4 „Varčevalni računi“; 2.1 „Nezavarovano grosistično financiranje“; 2.2 „Zavarovano grosistično financiranje“; </w:t>
      </w:r>
    </w:p>
    <w:p w14:paraId="7CD07C23" w14:textId="71C399A4"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008C08CF" w:rsidRPr="008C08CF">
        <w:rPr>
          <w:u w:val="none"/>
        </w:rPr>
        <w:tab/>
      </w:r>
      <w:r>
        <w:rPr>
          <w:sz w:val="24"/>
          <w:u w:val="none"/>
        </w:rPr>
        <w:t>v zvezi z izračunom 1-odstotnega praga skupnih obveznosti za vrstico 1.4 „Varčevalni računi“ se prag uporabi za vsoto vrstic 1.4.1 in 1.4.2;</w:t>
      </w:r>
    </w:p>
    <w:p w14:paraId="636F886A" w14:textId="606FFE98"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008C08CF" w:rsidRPr="008C08CF">
        <w:rPr>
          <w:u w:val="none"/>
        </w:rPr>
        <w:tab/>
      </w:r>
      <w:r>
        <w:rPr>
          <w:sz w:val="24"/>
          <w:u w:val="none"/>
        </w:rPr>
        <w:t>za vrstici 1 „Financiranje na drobno“ in 2 „Grosistično financiranje“ velja 1-odstotni prag skupnih obveznosti samo na skupni ravni.</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Vrednosti, ki se poročajo v vrsticah 1 „Financiranje na drobno“, 2.1 „Nezavarovano grosistično financiranje“ in 2.2 „Zavarovano grosistično financiranje“, lahko vključujejo širše vrste produktov kot osnovne postavke „od tega“.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Stolpec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Prejeti knjigovodski znesek</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V stolpcu 010 predloge se poroča knjigovodski znesek prejetega financiranja za vsako kategorijo produktov iz stolpca „Ime produkta“.</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Znesek, ki ga krije sistem jamstva za vloge v skladu z Direktivo 2014/49/EU ali enakovreden sistem jamstva za vloge v tretji državi</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V tem stolpcu se od skupnega zneska prejetega financiranja za vsako kategorijo produktov iz stolpca „Ime produkta“ in navedenega v stolpcu 010 poroča znesek, ki ga krije sistem jamstva za vloge v skladu z Direktivo 2014/49/EU ali enakovreden sistem jamstva za vloge v tretji državi.</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Zneski, ki se poročajo v stolpcih 020 in 030 za vsako kategorijo produktov iz stolpca „Ime produkta“, so enaki skupnemu prejetemu znesku iz stolpca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Znesek, ki ga ne krije sistem jamstva za vloge v skladu z Direktivo 2014/49/EU ali enakovreden sistem jamstva za vloge v tretji državi</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V tem stolpcu se od skupnega zneska prejetega financiranja za vsako kategorijo produktov iz stolpca „Ime produkta“ in navedenega v stolpcu 010 poroča znesek, ki ga </w:t>
            </w:r>
            <w:r>
              <w:rPr>
                <w:rFonts w:ascii="Times New Roman" w:hAnsi="Times New Roman"/>
                <w:sz w:val="24"/>
                <w:u w:val="single"/>
              </w:rPr>
              <w:t>ne</w:t>
            </w:r>
            <w:r>
              <w:rPr>
                <w:rFonts w:ascii="Times New Roman" w:hAnsi="Times New Roman"/>
                <w:sz w:val="24"/>
              </w:rPr>
              <w:t xml:space="preserve"> krije sistem jamstva za vloge v skladu z Direktivo 2014/49/EU ali enakovreden sistem jamstva za vloge v tretji državi.</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Zneski, ki se poročajo v stolpcih 020 in 030 za vsako kategorijo produktov iz stolpca „Ime produkta“, so enaki skupnemu prejetemu znesku iz stolpca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Tehtana povprečna prvotna zapadlost</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Za znesek prejetega financiranja, ki se poroča v stolpcu 010, iz kategorij produktov, navedenih v stolpcu „Ime produkta“, se navede tehtana povprečna prvotna zapadlost (v dneh) tega financiranja.</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Tehtana povprečna prvotna zapadlost se izračuna kot povprečna prvotna zapadlost (v dneh) prejetega financiranja za to vrsto produkta. Povprečje se tehta glede na velikost, in sicer na podlagi velikosti različnih zneskov prejetega financiranja v primerjavi s celotnim financiranjem, prejetim iz vseh izdaj te vrste produkta.</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Tehtana povprečna preostala zapadlost</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Za znesek prejetega financiranja iz stolpca 010 iz kategorij produktov, navedenih v stolpcu „Ime produkta“, se navede tehtana povprečna preostala zapadlost (v dneh) tega financiranja.</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Tehtana povprečna preostala zapadlost se izračuna kot povprečna zapadlost (v preostalih dneh) prejetega financiranja za to vrsto produkta. Povprečje se tehta glede na velikost, in sicer na podlagi velikosti različnih zneskov prejetega financiranja v primerjavi s celotnim financiranjem, prejetim iz vseh izdaj te vrste produkta.</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Cene za različna trajanja financiranja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Institucije informacije o obsegu posla in cenah, ki jih plačajo institucije za financiranje, pridobljeno med obdobjem poročanja in še vedno prisotno ob koncu obdobja poročanja, poročajo v predlogi C 69.00 v skladu z naslednjimi prvotnimi zapadlostmi:</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čez noč v stolpcih 010 in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daljša kot čez noč in krajša ali enaka 1 tednu v stolpcih 030 in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daljša kot 1 teden in krajša ali enaka 1 mesecu v stolpcih 050 in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daljša kot 1 mesec in krajša ali enaka 3 mesecem v stolpcih 070 in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daljša kot 3 mesece in krajša ali enaka 6 mesecem v stolpcih 090 in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daljša kot 6 mesecev in krajša ali enaka 1 letu v stolpcih 110 in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daljša kot 1 leto in krajša ali enaka 2 letoma v stolpcih 130 in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daljša kot 2 leti in krajša ali enaka 5 letom v stolpcih 150 in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daljša kot 5 let in krajša ali enaka 10 letom v stolpcih 170 in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V primeru prevrednotenja valut se ne pridobi nobeno novo financiranje v prvotni valuti in institucija poročevalka ni plačala nič več kot prvotno ceno ob začetnem pologu sredstev. Zato se pozitivno povečanje, ki ga povzroči prevrednotenje valut, ne poroča v tej predlogi.</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Institucije pri določanju zapadlosti pridobljenega financiranja ne upoštevajo obdobja med datumom sklenitve posla in datumom poravnave, npr. trimesečna obveznost, poravnana v dveh tednih, se poroča v stolpcu za trimesečno zapadlost (stolpca 070 in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Razmik, naveden v levem stolpcu posameznega časovnega intervala, je eden od naslednjih:</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razmik, ki ga plača institucija za obveznosti z zapadlostjo največ enega leta, če bi prišlo do njihove zamenjave v referenčni indeks čez noč za ustrezno valuto najpozneje do zaključka poslovanja na dan izvedbe posla;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razmik, ki ga plača podjetje ob izdaji za obveznosti s prvotno zapadlostjo več kot eno leto, če bi prišlo do njihove zamenjave v referenčni indeks za ustrezno valuto, ki je trimesečna obrestna mera EURIBOR za EUR </w:t>
      </w:r>
      <w:r>
        <w:rPr>
          <w:color w:val="1F497D"/>
          <w:sz w:val="24"/>
        </w:rPr>
        <w:t>ali podoben indeks za druge valute</w:t>
      </w:r>
      <w:r>
        <w:rPr>
          <w:sz w:val="24"/>
          <w:u w:val="none"/>
        </w:rPr>
        <w:t>, najpozneje do zaključka poslovanja na dan izvedbe posla.</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Zgolj za namene izračuna razmika v točkah a) in b) zgoraj lahko institucija na podlagi preteklih izkušenj določi prvotno zapadlost ob upoštevanju izbirnosti ali brez, kot je primerno.</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Razmiki se poročajo v bazičnih točkah z negativnim predznakom, če je novo financiranje cenejše kot na podlagi ustrezne </w:t>
      </w:r>
      <w:proofErr w:type="spellStart"/>
      <w:r>
        <w:rPr>
          <w:sz w:val="24"/>
          <w:u w:val="none"/>
        </w:rPr>
        <w:t>normne</w:t>
      </w:r>
      <w:proofErr w:type="spellEnd"/>
      <w:r>
        <w:rPr>
          <w:sz w:val="24"/>
          <w:u w:val="none"/>
        </w:rPr>
        <w:t xml:space="preserve"> obrestne mere. Izračunajo se na podlagi tehtanega povprečja.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Institucije za namene izračuna povprečnega razmika, ki ga je treba plačati za več izdaj/vlog/kreditov, izračunajo skupni strošek v valuti izdaje, pri čemer ne upoštevajo morebitnih valutnih zamenjav, v izračun pa vključijo morebitno plačano ali prejeto premijo ali diskont in opravnine, pri čemer je osnova obdobje veljavnosti teoretične ali dejanske zamenjave obrestnih mer, ki ustreza obdobju veljavnosti obveznosti. Razmik je mera obveznosti, od katere se odšteje mera zamenjave.</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Znesek financiranja, prejetega za kategorije financiranja, navedene v stolpcu „Postavka“, se sporoči v stolpcu „Znesek“ ustreznega časovnega intervala.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V stolpcu „Znesek“ institucije navedejo zneske, ki predstavljajo knjigovodski znesek pridobljenega novega financiranja, v veljavnem časovnem intervalu v skladu s prvotno zapadlostjo.</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Tako kot za vse postavke institucije tudi za </w:t>
      </w:r>
      <w:proofErr w:type="spellStart"/>
      <w:r>
        <w:rPr>
          <w:sz w:val="24"/>
          <w:u w:val="none"/>
        </w:rPr>
        <w:t>zunajbilančne</w:t>
      </w:r>
      <w:proofErr w:type="spellEnd"/>
      <w:r>
        <w:rPr>
          <w:sz w:val="24"/>
          <w:u w:val="none"/>
        </w:rPr>
        <w:t xml:space="preserve"> obveznosti poročajo samo povezane zneske iz bilance stanja. </w:t>
      </w:r>
      <w:proofErr w:type="spellStart"/>
      <w:r>
        <w:rPr>
          <w:sz w:val="24"/>
          <w:u w:val="none"/>
        </w:rPr>
        <w:t>Zunajbilančna</w:t>
      </w:r>
      <w:proofErr w:type="spellEnd"/>
      <w:r>
        <w:rPr>
          <w:sz w:val="24"/>
          <w:u w:val="none"/>
        </w:rPr>
        <w:t xml:space="preserve"> obveznost, zagotovljena instituciji, se poroča v predlogi C 69.00 šele potem, ko se začne črpati. V primeru postopnega črpanja sta znesek in razmik, ki se poročata, </w:t>
      </w:r>
      <w:proofErr w:type="spellStart"/>
      <w:r>
        <w:rPr>
          <w:sz w:val="24"/>
          <w:u w:val="none"/>
        </w:rPr>
        <w:t>počrpani</w:t>
      </w:r>
      <w:proofErr w:type="spellEnd"/>
      <w:r>
        <w:rPr>
          <w:sz w:val="24"/>
          <w:u w:val="none"/>
        </w:rPr>
        <w:t xml:space="preserve"> znesek in razmik, ki se uporablja ob koncu obdobja poročanja. Kadar postopnega črpanja ni mogoče obnoviti po presoji institucije, se poroča dejanska zapadlost postopnega črpanja. Kadar je institucija že črpala okvirni kredit ob koncu prejšnjega obdobja poročanja in kadar institucija naknadno poveča uporabo okvirnega kredita, se poroča samo dodatno črpani znesek.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Vloge, ki jih položijo stranke na drobno, sestavljajo vloge, kot so opredeljene v členu 3(8) Delegirane uredbe (EU)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Za financiranje, ki je bilo obnovljeno med obdobjem poročanja in ob koncu obdobja poročanja še ni poravnano, se poroča povprečje razmikov, ki se uporabljajo takrat (tj. ob koncu obdobja poročanja). Za namene predloge C 69.00 se financiranje, ki je bilo obnovljeno in je še prisotno ob koncu obdobja poročanja, šteje kot novo financiranje.</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Z odstopanjem od preostalega dela Oddelka 1.4 se znesek in razmik vpoglednih vlog poročata le, kadar vlagatelj v prejšnjem obdobju poročanja ni imel vpoglednih vlog ali kadar se znesek vlog poveča v primerjavi s prejšnjim referenčnim datumom, pri čemer se v tem primeru povečanje obravnava kot novo financiranje. Razmik je razmik ob koncu obdobja.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Če ni ničesar za poročati, se celice v zvezi z razmiki pustijo prazne.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Navodila za posamezne 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Vrstica</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Pravna podlaga in navodila</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Financiranje skupaj</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Skupni znesek in tehtan povprečni razmik celotnega financiranja se pridobita za vsa naslednja trajanja, kot sledi:</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čez noč v stolpcih 010 in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daljša kot čez noč in krajša ali enaka 1 tednu v stolpcih 030 in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daljša kot 1 teden in krajša ali enaka 1 mesecu v stolpcih 050 in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daljša kot 1 mesec in krajša ali enaka 3 mesecem v stolpcih 070 in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daljša kot 3 mesece in krajša ali enaka 6 mesecem v stolpcih 090 in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daljša kot 6 mesecev in krajša ali enaka 1 letu v stolpcih 110 in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daljša kot 1 leto in krajša ali enaka 2 letoma v stolpcih 130 in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daljša kot 2 leti in krajša ali enaka 5 letom v stolpcih 150 in 160;</w:t>
            </w:r>
          </w:p>
          <w:p w14:paraId="22EC36F6" w14:textId="7C57E11E" w:rsidR="00CE333E" w:rsidRPr="001263B4" w:rsidRDefault="00CD20D9" w:rsidP="00FB0324">
            <w:pPr>
              <w:pStyle w:val="InstructionsText2"/>
              <w:numPr>
                <w:ilvl w:val="0"/>
                <w:numId w:val="49"/>
              </w:numPr>
              <w:spacing w:after="120"/>
              <w:rPr>
                <w:sz w:val="24"/>
              </w:rPr>
            </w:pPr>
            <w:r>
              <w:rPr>
                <w:sz w:val="24"/>
                <w:u w:val="none"/>
              </w:rPr>
              <w:t>daljša kot 5 let in krajša ali enaka 10 letom v stolpcih 170 in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od tega: financiranje na drobno</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Skupni znesek in tehtani povprečni razmik pridobljenega financiranja na drobno glede na skupno financiranje iz postavke 1.</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od tega: nezavarovano grosistično financiranje</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Skupni znesek in tehtani povprečni razmik pridobljenega nezavarovanega grosističnega financiranja glede na skupno financiranje iz postavke 1.</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od tega: zavarovano financiranje</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Skupni znesek in tehtani povprečni razmik pridobljenega zavarovanega financiranja glede na skupno financiranje iz postavke 1.</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od tega: nadrejeni nezavarovani vrednostni papirji</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Skupni znesek in tehtani povprečni razmik pridobljenih nadrejenih nezavarovanih vrednostnih papirjev glede na skupno financiranje iz postavke 1.</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od tega: krite obveznice</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Skupni znesek in tehtani povprečni razmik celotne izdaje kritih obveznic, ki bremenijo lastna sredstva institucij, glede na skupno financiranje iz postavke 1.</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od tega: vrednostni papirji s premoženjskim kritjem, vključno z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Skupni znesek in tehtani povprečni razmik izdanih vrednostnih papirjev s premoženjskim kritjem, vključno s komercialnimi zapisi s premoženjskim kritjem, glede na skupno financiranje iz postavke 1.</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Obnavljanje financiranja (C 70.00)</w:t>
      </w:r>
    </w:p>
    <w:p w14:paraId="5ACA258A" w14:textId="276B9622" w:rsidR="00DD5897" w:rsidRPr="001263B4" w:rsidRDefault="00DD5897" w:rsidP="001263B4">
      <w:pPr>
        <w:pStyle w:val="InstructionsText2"/>
        <w:numPr>
          <w:ilvl w:val="0"/>
          <w:numId w:val="8"/>
        </w:numPr>
        <w:spacing w:after="120"/>
        <w:rPr>
          <w:sz w:val="24"/>
          <w:u w:val="none"/>
        </w:rPr>
      </w:pPr>
      <w:bookmarkStart w:id="2" w:name="_Toc308175821"/>
      <w:bookmarkStart w:id="3" w:name="_Toc310414968"/>
      <w:r>
        <w:rPr>
          <w:sz w:val="24"/>
          <w:u w:val="none"/>
        </w:rPr>
        <w:t>Ta predloga je namenjena zbiranju informacij o znesku zapadajočih sredstev in novih pridobljenih sredstev, tj. „obnavljanju financiranja“ na dnevni ravni v mesecu pred datumom poročanja.</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Institucije po koledarskih dneh poročajo financiranje, ki zapade v skladu z naslednjimi časovnimi intervali, glede na prvotno zapadlost:</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čez noč v stolpcih 010 do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med 1 in 7 dnevi v stolpcih 050 do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med 7 in 14 dnevi v stolpcih 090 do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med 14 dnevi in 1 mesecem v stolpcih 130 do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med 1 in 3 meseci v stolpcih 170 do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med 3 in 6 meseci v stolpcih 210 do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v več kot 6 mesecih v stolpcih 250 do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Za vsak časovni interval iz odstavka 2 se zapadajoči znesek navede v levem stolpcu, znesek sredstev, ki se obnovijo, se navede v stolpcu „Obnovljeno“, nova pridobljena sredstva se navedejo v stolpcu „Nova sredstva“, neto razlika med novimi sredstvi na eni strani in obnovljenimi sredstvi, od katerih se odštejejo zapadajoča sredstva, na drugi strani pa v desnem stolpcu.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Skupni neto denarni tokovi se navedejo v stolpcu 290 in so enaki vsoti vseh naslednjih stolpcev „Neto“: 040, 080, 120, 160, 200, 240 in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Povprečno trajanje financiranja (v dneh) za zapadajoča terminska sredstva se poroča v stolpcu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Povprečno trajanje financiranja (v dneh) sredstev, ki se obnovijo, se poroča v stolpcu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Povprečno trajanje financiranja (v dneh) za nova terminska sredstva se poroča v stolpcu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„Zapadajoči“ znesek vsebuje vse obveznosti, ki jih je ponudnik financiranja po pogodbi lahko dvignil ali so zapadle na zadevni dan v obdobju poročanja. Vedno se poroča s pozitivnim predznakom.</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„Obnovljeni“ znesek vsebuje zapadajoči znesek, kot je opredeljen v odstavkih 2 in 3, ki ostane v instituciji na zadevni dan obdobja poročanja. Vedno se poroča s pozitivnim predznakom. Kadar se zapadlost financiranja spremeni zaradi obnovitve, se „obnovljeni“ znesek poroča v časovnem intervalu v skladu z novo zapadlostjo.</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Znesek „novih sredstev“ vsebuje dejanske prilive financiranja na zadevni dan obdobja poročanja. Vedno se poroča s pozitivnim predznakom.</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„Neto“ znesek se obravnava kot sprememba financiranja znotraj določenega prvotnega časovnega pasu zapadlosti na zadevni dan obdobja poročanja ter se izračuna tako, da se v stolpec „Neto“ dodajo nova sredstva, ki se jim prištejejo obnovljena sredstva in odštejejo zapadajoča sredstva.  </w:t>
      </w:r>
    </w:p>
    <w:bookmarkEnd w:id="2"/>
    <w:bookmarkEnd w:id="3"/>
    <w:p w14:paraId="0E67F27B" w14:textId="64F4C758" w:rsidR="00ED41A4" w:rsidRPr="001263B4" w:rsidRDefault="00ED41A4" w:rsidP="001263B4">
      <w:pPr>
        <w:pStyle w:val="InstructionsText2"/>
        <w:numPr>
          <w:ilvl w:val="0"/>
          <w:numId w:val="8"/>
        </w:numPr>
        <w:spacing w:after="120"/>
        <w:rPr>
          <w:sz w:val="24"/>
          <w:u w:val="none"/>
        </w:rPr>
      </w:pPr>
      <w:r>
        <w:rPr>
          <w:sz w:val="24"/>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700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Stolpec</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Pravna podlaga in navodila</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do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Čez noč</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čez noč se poroča v stolpcu 010 vrstične postavke 1.1–1.31. Pri mesecih, ki imajo manj kot 31 dni, kot tudi za konce tedna, se odvečne vrstice pustijo prazne.</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čez noč se poroča v stolpcu 020 vrstične postavke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čez noč se poroča v stolpcu 030 vrstične postavke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Neto razlika med financiranjem, ki zapade dnevno, na eni strani in obnovljenim financiranjem, ki se mu prišteje novo dnevno pridobljeno financiranje, na drugi strani se poroča v stolpcu 040 vrstičnih postavk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do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dan ≤ 7 dni</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med enim dnem in enim tednom se poroča v stolpcu 050 vrstične postavke 1.1–1.31. Pri mesecih, ki imajo manj kot 31 dni, kot tudi za konce tedna, se odvečne vrstice pustijo prazne.</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med enim dnem in enim tednom se poroča v stolpcu 060 vrstične postavke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med enim dnem in enim tednom se poroča v stolpcu 70 vrstične postavke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080 vrstičnih postavk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 do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dni ≤ 14 dni</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med enim in dvema tednoma se poroča v stolpcu 090 vrstične postavke 1.1–1.31. Pri mesecih, ki imajo manj kot 31 dni, kot tudi za konce tedna, se odvečne vrstice pustijo prazne.</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med enim in dvema tednoma se poroča v stolpcu 100 vrstične postavke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med enim in dvema tednoma se poroča v stolpcu 110 vrstične postavke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120 vrstičnih postavk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do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dni ≤ 1 mesec</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med dvema tednoma in enim mesecem se poroča v stolpcu 130 vrstične postavke 1.1–1.31. Pri mesecih, ki imajo manj kot 31 dni, kot tudi za konce tedna, se odvečne vrstice pustijo prazne.</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med dvema tednoma in enim mesecem se poroča v stolpcu 140 vrstične postavke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med dvema tednoma in enim mesecem se poroča v stolpcu 150 vrstične postavke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160 vrstičnih postavk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 do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mesec ≤ 3 meseci</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med enim in tremi meseci se poroča v stolpcu 170 vrstične postavke 1.1–1.31. Pri mesecih, ki imajo manj kot 31 dni, kot tudi za konce tedna, se odvečne vrstice pustijo prazne.</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med enim in tremi meseci se poroča v stolpcu 180 vrstične postavke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med enim in tremi meseci se poroča v stolpcu 190 vrstične postavke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200 vrstičnih postavk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do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meseci ≤ 6 mesecev</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med tremi in šestimi meseci se poroča v stolpcu 210 vrstične postavke 1.1–1.31. Pri mesecih, ki imajo manj kot 31 dni, kot tudi za konce tedna, se odvečne vrstice pustijo prazne.</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med tremi in šestimi meseci se poroča v stolpcu 220 vrstične postavke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med tremi in šestimi meseci se poroča v stolpcu 230 vrstične postavke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240 vrstičnih postavk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do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mesecev</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Skupni znesek financiranja, ki zapade na zadevni dan obdobja poročanja, s prvotno zapadlostjo več kot šest mesecev se poroča v stolpcu 250 vrstične postavke 1.1–1.31. Pri mesecih, ki imajo manj kot 31 dni, kot tudi za konce tedna, se odvečne vrstice pustijo prazne.</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Skupni znesek financiranja, ki se obnovi na zadevni dan obdobja poročanja, s prvotno zapadlostjo več kot šest mesecev se poroča v stolpcu 260 vrstične postavke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Skupni znesek novega financiranja, pridobljenega na zadevni dan obdobja poročanja, s prvotno zapadlostjo več kot šest mesecev se poroča v stolpcu 270 vrstične postavke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Neto razlika med zapadajočim financiranjem na eni strani in obnovljenim financiranjem, ki se mu prišteje novo pridobljeno financiranje, na drugi strani se poroča v stolpcu 280 vrstičnih postavk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Skupaj neto denarni tokovi</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Skupaj neto denarni tokovi, enaki vsoti vseh naslednjih stolpcih „Neto“: 040, 080, 120, 160, 200, 240 in 280, se sporočijo v stolpcu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do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Povprečno trajanje (v dneh)</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Tehtano povprečno trajanje (v dneh) vseh zapadajočih sredstev se sporoči v stolpcu 300. Tehtano povprečno trajanje (v dneh) vseh sredstev, ki se obnovijo, se sporoči v stolpcu 310, tehtano povprečno trajanje (v dneh) vseh novih sredstev pa se sporoči v stolpcu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bookmarkStart w:id="4" w:name="_GoBack"/>
      <w:bookmarkEnd w:id="4"/>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B2161B6" w:rsidR="003E009D" w:rsidRDefault="003E009D">
        <w:pPr>
          <w:pStyle w:val="Footer"/>
          <w:jc w:val="center"/>
        </w:pPr>
        <w:r>
          <w:fldChar w:fldCharType="begin"/>
        </w:r>
        <w:r>
          <w:instrText xml:space="preserve"> PAGE   \* MERGEFORMAT </w:instrText>
        </w:r>
        <w:r>
          <w:fldChar w:fldCharType="separate"/>
        </w:r>
        <w:r w:rsidR="008C08CF">
          <w:rPr>
            <w:noProof/>
          </w:rPr>
          <w:t>14</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7098A14" w:rsidR="00EA0D1D" w:rsidRDefault="00EA0D1D">
        <w:pPr>
          <w:pStyle w:val="Footer"/>
          <w:jc w:val="center"/>
        </w:pPr>
        <w:r>
          <w:fldChar w:fldCharType="begin"/>
        </w:r>
        <w:r>
          <w:instrText xml:space="preserve"> PAGE   \* MERGEFORMAT </w:instrText>
        </w:r>
        <w:r>
          <w:fldChar w:fldCharType="separate"/>
        </w:r>
        <w:r w:rsidR="008C08CF">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08CF"/>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l-S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l-SI" w:eastAsia="de-AT"/>
    </w:rPr>
  </w:style>
  <w:style w:type="character" w:customStyle="1" w:styleId="BalloonTextChar">
    <w:name w:val="Balloon Text Char"/>
    <w:link w:val="BalloonText"/>
    <w:semiHidden/>
    <w:rsid w:val="00167536"/>
    <w:rPr>
      <w:rFonts w:ascii="Tahoma" w:hAnsi="Tahoma" w:cs="Tahoma"/>
      <w:sz w:val="16"/>
      <w:szCs w:val="16"/>
      <w:lang w:val="sl-SI" w:eastAsia="en-US"/>
    </w:rPr>
  </w:style>
  <w:style w:type="character" w:customStyle="1" w:styleId="PlainTextChar">
    <w:name w:val="Plain Text Char"/>
    <w:link w:val="PlainText"/>
    <w:semiHidden/>
    <w:rsid w:val="00167536"/>
    <w:rPr>
      <w:rFonts w:ascii="Consolas" w:hAnsi="Consolas"/>
      <w:sz w:val="21"/>
      <w:szCs w:val="21"/>
      <w:lang w:val="sl-S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en-US"/>
    </w:rPr>
  </w:style>
  <w:style w:type="character" w:customStyle="1" w:styleId="FooterCoverPageChar">
    <w:name w:val="Footer Cover Page Char"/>
    <w:link w:val="FooterCoverPage"/>
    <w:rsid w:val="00167536"/>
    <w:rPr>
      <w:color w:val="4F81BD"/>
      <w:sz w:val="24"/>
      <w:szCs w:val="24"/>
      <w:lang w:val="sl-S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0BE57-3FBE-4218-BCDB-7BDCBAEB2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4841</Words>
  <Characters>26689</Characters>
  <Application>Microsoft Office Word</Application>
  <DocSecurity>0</DocSecurity>
  <Lines>620</Lines>
  <Paragraphs>335</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31195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VOLAVSEK Andrej (DGT)</cp:lastModifiedBy>
  <cp:revision>6</cp:revision>
  <cp:lastPrinted>2014-06-12T08:34:00Z</cp:lastPrinted>
  <dcterms:created xsi:type="dcterms:W3CDTF">2020-10-01T12:52:00Z</dcterms:created>
  <dcterms:modified xsi:type="dcterms:W3CDTF">2020-12-10T14:02:00Z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