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77777777"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szCs w:val="24"/>
        </w:rPr>
        <w:t>PRILOG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szCs w:val="24"/>
        </w:rPr>
        <w:t>UPUTE ZA IZVJEŠĆIVANJE O FINANCIJSKOJ POLUZI</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40664224" w14:textId="292D131B" w:rsidR="001D5BC0" w:rsidRDefault="00391EF9">
      <w:pPr>
        <w:pStyle w:val="TOC1"/>
        <w:rPr>
          <w:rFonts w:asciiTheme="minorHAnsi" w:eastAsiaTheme="minorEastAsia" w:hAnsiTheme="minorHAnsi" w:cstheme="minorBidi"/>
          <w:color w:val="auto"/>
          <w:sz w:val="22"/>
          <w:szCs w:val="22"/>
          <w:lang w:eastAsia="hr-HR"/>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573153" w:history="1">
        <w:r w:rsidR="001D5BC0" w:rsidRPr="0086400A">
          <w:rPr>
            <w:rStyle w:val="Hyperlink"/>
            <w:rFonts w:ascii="Times New Roman" w:hAnsi="Times New Roman"/>
            <w:b/>
          </w:rPr>
          <w:t>DIO I.: OPĆE UPUTE</w:t>
        </w:r>
        <w:r w:rsidR="001D5BC0">
          <w:rPr>
            <w:webHidden/>
          </w:rPr>
          <w:tab/>
        </w:r>
        <w:r w:rsidR="001D5BC0">
          <w:rPr>
            <w:webHidden/>
          </w:rPr>
          <w:fldChar w:fldCharType="begin"/>
        </w:r>
        <w:r w:rsidR="001D5BC0">
          <w:rPr>
            <w:webHidden/>
          </w:rPr>
          <w:instrText xml:space="preserve"> PAGEREF _Toc58573153 \h </w:instrText>
        </w:r>
        <w:r w:rsidR="001D5BC0">
          <w:rPr>
            <w:webHidden/>
          </w:rPr>
        </w:r>
        <w:r w:rsidR="001D5BC0">
          <w:rPr>
            <w:webHidden/>
          </w:rPr>
          <w:fldChar w:fldCharType="separate"/>
        </w:r>
        <w:r w:rsidR="001D5BC0">
          <w:rPr>
            <w:webHidden/>
          </w:rPr>
          <w:t>2</w:t>
        </w:r>
        <w:r w:rsidR="001D5BC0">
          <w:rPr>
            <w:webHidden/>
          </w:rPr>
          <w:fldChar w:fldCharType="end"/>
        </w:r>
      </w:hyperlink>
    </w:p>
    <w:p w14:paraId="2E042E94" w14:textId="14CCB9E4" w:rsidR="001D5BC0" w:rsidRDefault="001D5BC0">
      <w:pPr>
        <w:pStyle w:val="TOC2"/>
        <w:rPr>
          <w:rFonts w:asciiTheme="minorHAnsi" w:eastAsiaTheme="minorEastAsia" w:hAnsiTheme="minorHAnsi" w:cstheme="minorBidi"/>
          <w:b w:val="0"/>
          <w:smallCaps w:val="0"/>
          <w:sz w:val="22"/>
          <w:lang w:eastAsia="hr-HR"/>
        </w:rPr>
      </w:pPr>
      <w:hyperlink w:anchor="_Toc58573154" w:history="1">
        <w:r w:rsidRPr="0086400A">
          <w:rPr>
            <w:rStyle w:val="Hyperlink"/>
            <w:rFonts w:ascii="Times New Roman" w:hAnsi="Times New Roman"/>
          </w:rPr>
          <w:t>1.</w:t>
        </w:r>
        <w:r>
          <w:rPr>
            <w:rFonts w:asciiTheme="minorHAnsi" w:eastAsiaTheme="minorEastAsia" w:hAnsiTheme="minorHAnsi" w:cstheme="minorBidi"/>
            <w:b w:val="0"/>
            <w:smallCaps w:val="0"/>
            <w:sz w:val="22"/>
            <w:lang w:eastAsia="hr-HR"/>
          </w:rPr>
          <w:tab/>
        </w:r>
        <w:r w:rsidRPr="0086400A">
          <w:rPr>
            <w:rStyle w:val="Hyperlink"/>
            <w:rFonts w:ascii="Times New Roman" w:hAnsi="Times New Roman"/>
          </w:rPr>
          <w:t>Struktura i druga pravila</w:t>
        </w:r>
        <w:r>
          <w:rPr>
            <w:webHidden/>
          </w:rPr>
          <w:tab/>
        </w:r>
        <w:r>
          <w:rPr>
            <w:webHidden/>
          </w:rPr>
          <w:fldChar w:fldCharType="begin"/>
        </w:r>
        <w:r>
          <w:rPr>
            <w:webHidden/>
          </w:rPr>
          <w:instrText xml:space="preserve"> PAGEREF _Toc58573154 \h </w:instrText>
        </w:r>
        <w:r>
          <w:rPr>
            <w:webHidden/>
          </w:rPr>
        </w:r>
        <w:r>
          <w:rPr>
            <w:webHidden/>
          </w:rPr>
          <w:fldChar w:fldCharType="separate"/>
        </w:r>
        <w:r>
          <w:rPr>
            <w:webHidden/>
          </w:rPr>
          <w:t>2</w:t>
        </w:r>
        <w:r>
          <w:rPr>
            <w:webHidden/>
          </w:rPr>
          <w:fldChar w:fldCharType="end"/>
        </w:r>
      </w:hyperlink>
    </w:p>
    <w:p w14:paraId="717BB2E3" w14:textId="2E0B7C19" w:rsidR="001D5BC0" w:rsidRDefault="001D5BC0">
      <w:pPr>
        <w:pStyle w:val="TOC3"/>
        <w:rPr>
          <w:rFonts w:asciiTheme="minorHAnsi" w:eastAsiaTheme="minorEastAsia" w:hAnsiTheme="minorHAnsi" w:cstheme="minorBidi"/>
          <w:smallCaps w:val="0"/>
          <w:sz w:val="22"/>
          <w:szCs w:val="22"/>
          <w:lang w:eastAsia="hr-HR"/>
        </w:rPr>
      </w:pPr>
      <w:hyperlink w:anchor="_Toc58573155" w:history="1">
        <w:r w:rsidRPr="0086400A">
          <w:rPr>
            <w:rStyle w:val="Hyperlink"/>
            <w:rFonts w:ascii="Times New Roman" w:hAnsi="Times New Roman"/>
            <w:b/>
          </w:rPr>
          <w:t>1.1.</w:t>
        </w:r>
        <w:r>
          <w:rPr>
            <w:rFonts w:asciiTheme="minorHAnsi" w:eastAsiaTheme="minorEastAsia" w:hAnsiTheme="minorHAnsi" w:cstheme="minorBidi"/>
            <w:smallCaps w:val="0"/>
            <w:sz w:val="22"/>
            <w:szCs w:val="22"/>
            <w:lang w:eastAsia="hr-HR"/>
          </w:rPr>
          <w:tab/>
        </w:r>
        <w:r w:rsidRPr="0086400A">
          <w:rPr>
            <w:rStyle w:val="Hyperlink"/>
            <w:rFonts w:ascii="Times New Roman" w:hAnsi="Times New Roman"/>
            <w:b/>
          </w:rPr>
          <w:t>Struktura</w:t>
        </w:r>
        <w:r>
          <w:rPr>
            <w:webHidden/>
          </w:rPr>
          <w:tab/>
        </w:r>
        <w:r>
          <w:rPr>
            <w:webHidden/>
          </w:rPr>
          <w:fldChar w:fldCharType="begin"/>
        </w:r>
        <w:r>
          <w:rPr>
            <w:webHidden/>
          </w:rPr>
          <w:instrText xml:space="preserve"> PAGEREF _Toc58573155 \h </w:instrText>
        </w:r>
        <w:r>
          <w:rPr>
            <w:webHidden/>
          </w:rPr>
        </w:r>
        <w:r>
          <w:rPr>
            <w:webHidden/>
          </w:rPr>
          <w:fldChar w:fldCharType="separate"/>
        </w:r>
        <w:r>
          <w:rPr>
            <w:webHidden/>
          </w:rPr>
          <w:t>2</w:t>
        </w:r>
        <w:r>
          <w:rPr>
            <w:webHidden/>
          </w:rPr>
          <w:fldChar w:fldCharType="end"/>
        </w:r>
      </w:hyperlink>
    </w:p>
    <w:p w14:paraId="318AA77A" w14:textId="4811AD8C" w:rsidR="001D5BC0" w:rsidRDefault="001D5BC0">
      <w:pPr>
        <w:pStyle w:val="TOC3"/>
        <w:rPr>
          <w:rFonts w:asciiTheme="minorHAnsi" w:eastAsiaTheme="minorEastAsia" w:hAnsiTheme="minorHAnsi" w:cstheme="minorBidi"/>
          <w:smallCaps w:val="0"/>
          <w:sz w:val="22"/>
          <w:szCs w:val="22"/>
          <w:lang w:eastAsia="hr-HR"/>
        </w:rPr>
      </w:pPr>
      <w:hyperlink w:anchor="_Toc58573156" w:history="1">
        <w:r w:rsidRPr="0086400A">
          <w:rPr>
            <w:rStyle w:val="Hyperlink"/>
            <w:rFonts w:ascii="Times New Roman" w:hAnsi="Times New Roman"/>
            <w:b/>
          </w:rPr>
          <w:t>1.2.</w:t>
        </w:r>
        <w:r>
          <w:rPr>
            <w:rFonts w:asciiTheme="minorHAnsi" w:eastAsiaTheme="minorEastAsia" w:hAnsiTheme="minorHAnsi" w:cstheme="minorBidi"/>
            <w:smallCaps w:val="0"/>
            <w:sz w:val="22"/>
            <w:szCs w:val="22"/>
            <w:lang w:eastAsia="hr-HR"/>
          </w:rPr>
          <w:tab/>
        </w:r>
        <w:r w:rsidRPr="0086400A">
          <w:rPr>
            <w:rStyle w:val="Hyperlink"/>
            <w:rFonts w:ascii="Times New Roman" w:hAnsi="Times New Roman"/>
            <w:b/>
          </w:rPr>
          <w:t>Pravila označivanja brojevima</w:t>
        </w:r>
        <w:r>
          <w:rPr>
            <w:webHidden/>
          </w:rPr>
          <w:tab/>
        </w:r>
        <w:r>
          <w:rPr>
            <w:webHidden/>
          </w:rPr>
          <w:fldChar w:fldCharType="begin"/>
        </w:r>
        <w:r>
          <w:rPr>
            <w:webHidden/>
          </w:rPr>
          <w:instrText xml:space="preserve"> PAGEREF _Toc58573156 \h </w:instrText>
        </w:r>
        <w:r>
          <w:rPr>
            <w:webHidden/>
          </w:rPr>
        </w:r>
        <w:r>
          <w:rPr>
            <w:webHidden/>
          </w:rPr>
          <w:fldChar w:fldCharType="separate"/>
        </w:r>
        <w:r>
          <w:rPr>
            <w:webHidden/>
          </w:rPr>
          <w:t>2</w:t>
        </w:r>
        <w:r>
          <w:rPr>
            <w:webHidden/>
          </w:rPr>
          <w:fldChar w:fldCharType="end"/>
        </w:r>
      </w:hyperlink>
    </w:p>
    <w:p w14:paraId="2F47B449" w14:textId="223AE2D7" w:rsidR="001D5BC0" w:rsidRDefault="001D5BC0">
      <w:pPr>
        <w:pStyle w:val="TOC3"/>
        <w:rPr>
          <w:rFonts w:asciiTheme="minorHAnsi" w:eastAsiaTheme="minorEastAsia" w:hAnsiTheme="minorHAnsi" w:cstheme="minorBidi"/>
          <w:smallCaps w:val="0"/>
          <w:sz w:val="22"/>
          <w:szCs w:val="22"/>
          <w:lang w:eastAsia="hr-HR"/>
        </w:rPr>
      </w:pPr>
      <w:hyperlink w:anchor="_Toc58573157" w:history="1">
        <w:r w:rsidRPr="0086400A">
          <w:rPr>
            <w:rStyle w:val="Hyperlink"/>
            <w:rFonts w:ascii="Times New Roman" w:hAnsi="Times New Roman"/>
            <w:b/>
          </w:rPr>
          <w:t>1.3.</w:t>
        </w:r>
        <w:r>
          <w:rPr>
            <w:rFonts w:asciiTheme="minorHAnsi" w:eastAsiaTheme="minorEastAsia" w:hAnsiTheme="minorHAnsi" w:cstheme="minorBidi"/>
            <w:smallCaps w:val="0"/>
            <w:sz w:val="22"/>
            <w:szCs w:val="22"/>
            <w:lang w:eastAsia="hr-HR"/>
          </w:rPr>
          <w:tab/>
        </w:r>
        <w:r w:rsidRPr="0086400A">
          <w:rPr>
            <w:rStyle w:val="Hyperlink"/>
            <w:rFonts w:ascii="Times New Roman" w:hAnsi="Times New Roman"/>
            <w:b/>
          </w:rPr>
          <w:t>Pokrate</w:t>
        </w:r>
        <w:r>
          <w:rPr>
            <w:webHidden/>
          </w:rPr>
          <w:tab/>
        </w:r>
        <w:r>
          <w:rPr>
            <w:webHidden/>
          </w:rPr>
          <w:fldChar w:fldCharType="begin"/>
        </w:r>
        <w:r>
          <w:rPr>
            <w:webHidden/>
          </w:rPr>
          <w:instrText xml:space="preserve"> PAGEREF _Toc58573157 \h </w:instrText>
        </w:r>
        <w:r>
          <w:rPr>
            <w:webHidden/>
          </w:rPr>
        </w:r>
        <w:r>
          <w:rPr>
            <w:webHidden/>
          </w:rPr>
          <w:fldChar w:fldCharType="separate"/>
        </w:r>
        <w:r>
          <w:rPr>
            <w:webHidden/>
          </w:rPr>
          <w:t>2</w:t>
        </w:r>
        <w:r>
          <w:rPr>
            <w:webHidden/>
          </w:rPr>
          <w:fldChar w:fldCharType="end"/>
        </w:r>
      </w:hyperlink>
    </w:p>
    <w:p w14:paraId="6CDC1A80" w14:textId="21A72E90" w:rsidR="001D5BC0" w:rsidRDefault="001D5BC0">
      <w:pPr>
        <w:pStyle w:val="TOC3"/>
        <w:rPr>
          <w:rFonts w:asciiTheme="minorHAnsi" w:eastAsiaTheme="minorEastAsia" w:hAnsiTheme="minorHAnsi" w:cstheme="minorBidi"/>
          <w:smallCaps w:val="0"/>
          <w:sz w:val="22"/>
          <w:szCs w:val="22"/>
          <w:lang w:eastAsia="hr-HR"/>
        </w:rPr>
      </w:pPr>
      <w:hyperlink w:anchor="_Toc58573158" w:history="1">
        <w:r w:rsidRPr="0086400A">
          <w:rPr>
            <w:rStyle w:val="Hyperlink"/>
            <w:rFonts w:ascii="Times New Roman" w:hAnsi="Times New Roman"/>
            <w:b/>
          </w:rPr>
          <w:t>1.4.</w:t>
        </w:r>
        <w:r>
          <w:rPr>
            <w:rFonts w:asciiTheme="minorHAnsi" w:eastAsiaTheme="minorEastAsia" w:hAnsiTheme="minorHAnsi" w:cstheme="minorBidi"/>
            <w:smallCaps w:val="0"/>
            <w:sz w:val="22"/>
            <w:szCs w:val="22"/>
            <w:lang w:eastAsia="hr-HR"/>
          </w:rPr>
          <w:tab/>
        </w:r>
        <w:r w:rsidRPr="0086400A">
          <w:rPr>
            <w:rStyle w:val="Hyperlink"/>
            <w:rFonts w:ascii="Times New Roman" w:hAnsi="Times New Roman"/>
            <w:b/>
          </w:rPr>
          <w:t>Pravilo o predznaku</w:t>
        </w:r>
        <w:r>
          <w:rPr>
            <w:webHidden/>
          </w:rPr>
          <w:tab/>
        </w:r>
        <w:r>
          <w:rPr>
            <w:webHidden/>
          </w:rPr>
          <w:fldChar w:fldCharType="begin"/>
        </w:r>
        <w:r>
          <w:rPr>
            <w:webHidden/>
          </w:rPr>
          <w:instrText xml:space="preserve"> PAGEREF _Toc58573158 \h </w:instrText>
        </w:r>
        <w:r>
          <w:rPr>
            <w:webHidden/>
          </w:rPr>
        </w:r>
        <w:r>
          <w:rPr>
            <w:webHidden/>
          </w:rPr>
          <w:fldChar w:fldCharType="separate"/>
        </w:r>
        <w:r>
          <w:rPr>
            <w:webHidden/>
          </w:rPr>
          <w:t>3</w:t>
        </w:r>
        <w:r>
          <w:rPr>
            <w:webHidden/>
          </w:rPr>
          <w:fldChar w:fldCharType="end"/>
        </w:r>
      </w:hyperlink>
    </w:p>
    <w:p w14:paraId="52F1935D" w14:textId="4276AE2F" w:rsidR="001D5BC0" w:rsidRDefault="001D5BC0">
      <w:pPr>
        <w:pStyle w:val="TOC1"/>
        <w:rPr>
          <w:rFonts w:asciiTheme="minorHAnsi" w:eastAsiaTheme="minorEastAsia" w:hAnsiTheme="minorHAnsi" w:cstheme="minorBidi"/>
          <w:color w:val="auto"/>
          <w:sz w:val="22"/>
          <w:szCs w:val="22"/>
          <w:lang w:eastAsia="hr-HR"/>
        </w:rPr>
      </w:pPr>
      <w:hyperlink w:anchor="_Toc58573159" w:history="1">
        <w:r w:rsidRPr="0086400A">
          <w:rPr>
            <w:rStyle w:val="Hyperlink"/>
            <w:rFonts w:ascii="Times New Roman" w:hAnsi="Times New Roman"/>
            <w:b/>
          </w:rPr>
          <w:t>DIO II.: UPUTE ZA OBRASCE</w:t>
        </w:r>
        <w:r>
          <w:rPr>
            <w:webHidden/>
          </w:rPr>
          <w:tab/>
        </w:r>
        <w:r>
          <w:rPr>
            <w:webHidden/>
          </w:rPr>
          <w:fldChar w:fldCharType="begin"/>
        </w:r>
        <w:r>
          <w:rPr>
            <w:webHidden/>
          </w:rPr>
          <w:instrText xml:space="preserve"> PAGEREF _Toc58573159 \h </w:instrText>
        </w:r>
        <w:r>
          <w:rPr>
            <w:webHidden/>
          </w:rPr>
        </w:r>
        <w:r>
          <w:rPr>
            <w:webHidden/>
          </w:rPr>
          <w:fldChar w:fldCharType="separate"/>
        </w:r>
        <w:r>
          <w:rPr>
            <w:webHidden/>
          </w:rPr>
          <w:t>4</w:t>
        </w:r>
        <w:r>
          <w:rPr>
            <w:webHidden/>
          </w:rPr>
          <w:fldChar w:fldCharType="end"/>
        </w:r>
      </w:hyperlink>
    </w:p>
    <w:p w14:paraId="18AF4229" w14:textId="4F979A9A" w:rsidR="001D5BC0" w:rsidRDefault="001D5BC0">
      <w:pPr>
        <w:pStyle w:val="TOC2"/>
        <w:rPr>
          <w:rFonts w:asciiTheme="minorHAnsi" w:eastAsiaTheme="minorEastAsia" w:hAnsiTheme="minorHAnsi" w:cstheme="minorBidi"/>
          <w:b w:val="0"/>
          <w:smallCaps w:val="0"/>
          <w:sz w:val="22"/>
          <w:lang w:eastAsia="hr-HR"/>
        </w:rPr>
      </w:pPr>
      <w:hyperlink w:anchor="_Toc58573160" w:history="1">
        <w:r w:rsidRPr="0086400A">
          <w:rPr>
            <w:rStyle w:val="Hyperlink"/>
            <w:rFonts w:ascii="Times New Roman" w:hAnsi="Times New Roman"/>
          </w:rPr>
          <w:t>1.</w:t>
        </w:r>
        <w:r>
          <w:rPr>
            <w:rFonts w:asciiTheme="minorHAnsi" w:eastAsiaTheme="minorEastAsia" w:hAnsiTheme="minorHAnsi" w:cstheme="minorBidi"/>
            <w:b w:val="0"/>
            <w:smallCaps w:val="0"/>
            <w:sz w:val="22"/>
            <w:lang w:eastAsia="hr-HR"/>
          </w:rPr>
          <w:tab/>
        </w:r>
        <w:r w:rsidRPr="0086400A">
          <w:rPr>
            <w:rStyle w:val="Hyperlink"/>
            <w:rFonts w:ascii="Times New Roman" w:hAnsi="Times New Roman"/>
          </w:rPr>
          <w:t>Formule za izračun omjera financijske poluge</w:t>
        </w:r>
        <w:r>
          <w:rPr>
            <w:webHidden/>
          </w:rPr>
          <w:tab/>
        </w:r>
        <w:r>
          <w:rPr>
            <w:webHidden/>
          </w:rPr>
          <w:fldChar w:fldCharType="begin"/>
        </w:r>
        <w:r>
          <w:rPr>
            <w:webHidden/>
          </w:rPr>
          <w:instrText xml:space="preserve"> PAGEREF _Toc58573160 \h </w:instrText>
        </w:r>
        <w:r>
          <w:rPr>
            <w:webHidden/>
          </w:rPr>
        </w:r>
        <w:r>
          <w:rPr>
            <w:webHidden/>
          </w:rPr>
          <w:fldChar w:fldCharType="separate"/>
        </w:r>
        <w:r>
          <w:rPr>
            <w:webHidden/>
          </w:rPr>
          <w:t>4</w:t>
        </w:r>
        <w:r>
          <w:rPr>
            <w:webHidden/>
          </w:rPr>
          <w:fldChar w:fldCharType="end"/>
        </w:r>
      </w:hyperlink>
    </w:p>
    <w:p w14:paraId="1689DD8A" w14:textId="1610C161" w:rsidR="001D5BC0" w:rsidRDefault="001D5BC0">
      <w:pPr>
        <w:pStyle w:val="TOC2"/>
        <w:rPr>
          <w:rFonts w:asciiTheme="minorHAnsi" w:eastAsiaTheme="minorEastAsia" w:hAnsiTheme="minorHAnsi" w:cstheme="minorBidi"/>
          <w:b w:val="0"/>
          <w:smallCaps w:val="0"/>
          <w:sz w:val="22"/>
          <w:lang w:eastAsia="hr-HR"/>
        </w:rPr>
      </w:pPr>
      <w:hyperlink w:anchor="_Toc58573161" w:history="1">
        <w:r w:rsidRPr="0086400A">
          <w:rPr>
            <w:rStyle w:val="Hyperlink"/>
            <w:rFonts w:ascii="Times New Roman" w:hAnsi="Times New Roman"/>
          </w:rPr>
          <w:t>2.</w:t>
        </w:r>
        <w:r>
          <w:rPr>
            <w:rFonts w:asciiTheme="minorHAnsi" w:eastAsiaTheme="minorEastAsia" w:hAnsiTheme="minorHAnsi" w:cstheme="minorBidi"/>
            <w:b w:val="0"/>
            <w:smallCaps w:val="0"/>
            <w:sz w:val="22"/>
            <w:lang w:eastAsia="hr-HR"/>
          </w:rPr>
          <w:tab/>
        </w:r>
        <w:r w:rsidRPr="0086400A">
          <w:rPr>
            <w:rStyle w:val="Hyperlink"/>
            <w:rFonts w:ascii="Times New Roman" w:hAnsi="Times New Roman"/>
          </w:rPr>
          <w:t>Pragovi značajnosti za izvedenice</w:t>
        </w:r>
        <w:r>
          <w:rPr>
            <w:webHidden/>
          </w:rPr>
          <w:tab/>
        </w:r>
        <w:r>
          <w:rPr>
            <w:webHidden/>
          </w:rPr>
          <w:fldChar w:fldCharType="begin"/>
        </w:r>
        <w:r>
          <w:rPr>
            <w:webHidden/>
          </w:rPr>
          <w:instrText xml:space="preserve"> PAGEREF _Toc58573161 \h </w:instrText>
        </w:r>
        <w:r>
          <w:rPr>
            <w:webHidden/>
          </w:rPr>
        </w:r>
        <w:r>
          <w:rPr>
            <w:webHidden/>
          </w:rPr>
          <w:fldChar w:fldCharType="separate"/>
        </w:r>
        <w:r>
          <w:rPr>
            <w:webHidden/>
          </w:rPr>
          <w:t>4</w:t>
        </w:r>
        <w:r>
          <w:rPr>
            <w:webHidden/>
          </w:rPr>
          <w:fldChar w:fldCharType="end"/>
        </w:r>
      </w:hyperlink>
    </w:p>
    <w:p w14:paraId="4204A4EA" w14:textId="0047FDFD" w:rsidR="001D5BC0" w:rsidRDefault="001D5BC0">
      <w:pPr>
        <w:pStyle w:val="TOC2"/>
        <w:rPr>
          <w:rFonts w:asciiTheme="minorHAnsi" w:eastAsiaTheme="minorEastAsia" w:hAnsiTheme="minorHAnsi" w:cstheme="minorBidi"/>
          <w:b w:val="0"/>
          <w:smallCaps w:val="0"/>
          <w:sz w:val="22"/>
          <w:lang w:eastAsia="hr-HR"/>
        </w:rPr>
      </w:pPr>
      <w:hyperlink w:anchor="_Toc58573162" w:history="1">
        <w:r w:rsidRPr="0086400A">
          <w:rPr>
            <w:rStyle w:val="Hyperlink"/>
            <w:rFonts w:ascii="Times New Roman" w:hAnsi="Times New Roman"/>
          </w:rPr>
          <w:t>3.</w:t>
        </w:r>
        <w:r>
          <w:rPr>
            <w:rFonts w:asciiTheme="minorHAnsi" w:eastAsiaTheme="minorEastAsia" w:hAnsiTheme="minorHAnsi" w:cstheme="minorBidi"/>
            <w:b w:val="0"/>
            <w:smallCaps w:val="0"/>
            <w:sz w:val="22"/>
            <w:lang w:eastAsia="hr-HR"/>
          </w:rPr>
          <w:tab/>
        </w:r>
        <w:r w:rsidRPr="0086400A">
          <w:rPr>
            <w:rStyle w:val="Hyperlink"/>
            <w:rFonts w:ascii="Times New Roman" w:hAnsi="Times New Roman"/>
          </w:rPr>
          <w:t>C 47.00 – Izračun omjera financijske poluge</w:t>
        </w:r>
        <w:r w:rsidRPr="0086400A">
          <w:rPr>
            <w:rStyle w:val="Hyperlink"/>
          </w:rPr>
          <w:t xml:space="preserve"> </w:t>
        </w:r>
        <w:r w:rsidRPr="0086400A">
          <w:rPr>
            <w:rStyle w:val="Hyperlink"/>
            <w:rFonts w:ascii="Times New Roman" w:hAnsi="Times New Roman"/>
          </w:rPr>
          <w:t xml:space="preserve"> (LRCalc)</w:t>
        </w:r>
        <w:r>
          <w:rPr>
            <w:webHidden/>
          </w:rPr>
          <w:tab/>
        </w:r>
        <w:r>
          <w:rPr>
            <w:webHidden/>
          </w:rPr>
          <w:fldChar w:fldCharType="begin"/>
        </w:r>
        <w:r>
          <w:rPr>
            <w:webHidden/>
          </w:rPr>
          <w:instrText xml:space="preserve"> PAGEREF _Toc58573162 \h </w:instrText>
        </w:r>
        <w:r>
          <w:rPr>
            <w:webHidden/>
          </w:rPr>
        </w:r>
        <w:r>
          <w:rPr>
            <w:webHidden/>
          </w:rPr>
          <w:fldChar w:fldCharType="separate"/>
        </w:r>
        <w:r>
          <w:rPr>
            <w:webHidden/>
          </w:rPr>
          <w:t>5</w:t>
        </w:r>
        <w:r>
          <w:rPr>
            <w:webHidden/>
          </w:rPr>
          <w:fldChar w:fldCharType="end"/>
        </w:r>
      </w:hyperlink>
    </w:p>
    <w:p w14:paraId="47377E2C" w14:textId="5821007B" w:rsidR="001D5BC0" w:rsidRDefault="001D5BC0">
      <w:pPr>
        <w:pStyle w:val="TOC2"/>
        <w:rPr>
          <w:rFonts w:asciiTheme="minorHAnsi" w:eastAsiaTheme="minorEastAsia" w:hAnsiTheme="minorHAnsi" w:cstheme="minorBidi"/>
          <w:b w:val="0"/>
          <w:smallCaps w:val="0"/>
          <w:sz w:val="22"/>
          <w:lang w:eastAsia="hr-HR"/>
        </w:rPr>
      </w:pPr>
      <w:hyperlink w:anchor="_Toc58573163" w:history="1">
        <w:r w:rsidRPr="0086400A">
          <w:rPr>
            <w:rStyle w:val="Hyperlink"/>
            <w:rFonts w:ascii="Times New Roman" w:hAnsi="Times New Roman"/>
          </w:rPr>
          <w:t>4.</w:t>
        </w:r>
        <w:r>
          <w:rPr>
            <w:rFonts w:asciiTheme="minorHAnsi" w:eastAsiaTheme="minorEastAsia" w:hAnsiTheme="minorHAnsi" w:cstheme="minorBidi"/>
            <w:b w:val="0"/>
            <w:smallCaps w:val="0"/>
            <w:sz w:val="22"/>
            <w:lang w:eastAsia="hr-HR"/>
          </w:rPr>
          <w:tab/>
        </w:r>
        <w:r w:rsidRPr="0086400A">
          <w:rPr>
            <w:rStyle w:val="Hyperlink"/>
            <w:rFonts w:ascii="Times New Roman" w:hAnsi="Times New Roman"/>
          </w:rPr>
          <w:t>C 40.00 – Alternativni tretman mjere izloženosti (LR1)</w:t>
        </w:r>
        <w:r>
          <w:rPr>
            <w:webHidden/>
          </w:rPr>
          <w:tab/>
        </w:r>
        <w:r>
          <w:rPr>
            <w:webHidden/>
          </w:rPr>
          <w:fldChar w:fldCharType="begin"/>
        </w:r>
        <w:r>
          <w:rPr>
            <w:webHidden/>
          </w:rPr>
          <w:instrText xml:space="preserve"> PAGEREF _Toc58573163 \h </w:instrText>
        </w:r>
        <w:r>
          <w:rPr>
            <w:webHidden/>
          </w:rPr>
        </w:r>
        <w:r>
          <w:rPr>
            <w:webHidden/>
          </w:rPr>
          <w:fldChar w:fldCharType="separate"/>
        </w:r>
        <w:r>
          <w:rPr>
            <w:webHidden/>
          </w:rPr>
          <w:t>30</w:t>
        </w:r>
        <w:r>
          <w:rPr>
            <w:webHidden/>
          </w:rPr>
          <w:fldChar w:fldCharType="end"/>
        </w:r>
      </w:hyperlink>
    </w:p>
    <w:p w14:paraId="36F03DAB" w14:textId="7116D00D" w:rsidR="001D5BC0" w:rsidRDefault="001D5BC0">
      <w:pPr>
        <w:pStyle w:val="TOC2"/>
        <w:rPr>
          <w:rFonts w:asciiTheme="minorHAnsi" w:eastAsiaTheme="minorEastAsia" w:hAnsiTheme="minorHAnsi" w:cstheme="minorBidi"/>
          <w:b w:val="0"/>
          <w:smallCaps w:val="0"/>
          <w:sz w:val="22"/>
          <w:lang w:eastAsia="hr-HR"/>
        </w:rPr>
      </w:pPr>
      <w:hyperlink w:anchor="_Toc58573164" w:history="1">
        <w:r w:rsidRPr="0086400A">
          <w:rPr>
            <w:rStyle w:val="Hyperlink"/>
            <w:rFonts w:ascii="Times New Roman" w:hAnsi="Times New Roman"/>
          </w:rPr>
          <w:t>5.</w:t>
        </w:r>
        <w:r>
          <w:rPr>
            <w:rFonts w:asciiTheme="minorHAnsi" w:eastAsiaTheme="minorEastAsia" w:hAnsiTheme="minorHAnsi" w:cstheme="minorBidi"/>
            <w:b w:val="0"/>
            <w:smallCaps w:val="0"/>
            <w:sz w:val="22"/>
            <w:lang w:eastAsia="hr-HR"/>
          </w:rPr>
          <w:tab/>
        </w:r>
        <w:r w:rsidRPr="0086400A">
          <w:rPr>
            <w:rStyle w:val="Hyperlink"/>
            <w:rFonts w:ascii="Times New Roman" w:hAnsi="Times New Roman"/>
          </w:rPr>
          <w:t>C 43.00 – Alternativna raščlamba komponenti mjere izloženosti omjera financijske poluge (LR4)</w:t>
        </w:r>
        <w:r>
          <w:rPr>
            <w:webHidden/>
          </w:rPr>
          <w:tab/>
        </w:r>
        <w:r>
          <w:rPr>
            <w:webHidden/>
          </w:rPr>
          <w:fldChar w:fldCharType="begin"/>
        </w:r>
        <w:r>
          <w:rPr>
            <w:webHidden/>
          </w:rPr>
          <w:instrText xml:space="preserve"> PAGEREF _Toc58573164 \h </w:instrText>
        </w:r>
        <w:r>
          <w:rPr>
            <w:webHidden/>
          </w:rPr>
        </w:r>
        <w:r>
          <w:rPr>
            <w:webHidden/>
          </w:rPr>
          <w:fldChar w:fldCharType="separate"/>
        </w:r>
        <w:r>
          <w:rPr>
            <w:webHidden/>
          </w:rPr>
          <w:t>42</w:t>
        </w:r>
        <w:r>
          <w:rPr>
            <w:webHidden/>
          </w:rPr>
          <w:fldChar w:fldCharType="end"/>
        </w:r>
      </w:hyperlink>
    </w:p>
    <w:p w14:paraId="397AA13D" w14:textId="5FD94714" w:rsidR="001D5BC0" w:rsidRDefault="001D5BC0">
      <w:pPr>
        <w:pStyle w:val="TOC2"/>
        <w:rPr>
          <w:rFonts w:asciiTheme="minorHAnsi" w:eastAsiaTheme="minorEastAsia" w:hAnsiTheme="minorHAnsi" w:cstheme="minorBidi"/>
          <w:b w:val="0"/>
          <w:smallCaps w:val="0"/>
          <w:sz w:val="22"/>
          <w:lang w:eastAsia="hr-HR"/>
        </w:rPr>
      </w:pPr>
      <w:hyperlink w:anchor="_Toc58573165" w:history="1">
        <w:r w:rsidRPr="0086400A">
          <w:rPr>
            <w:rStyle w:val="Hyperlink"/>
            <w:rFonts w:ascii="Times New Roman" w:hAnsi="Times New Roman"/>
          </w:rPr>
          <w:t>6.</w:t>
        </w:r>
        <w:r>
          <w:rPr>
            <w:rFonts w:asciiTheme="minorHAnsi" w:eastAsiaTheme="minorEastAsia" w:hAnsiTheme="minorHAnsi" w:cstheme="minorBidi"/>
            <w:b w:val="0"/>
            <w:smallCaps w:val="0"/>
            <w:sz w:val="22"/>
            <w:lang w:eastAsia="hr-HR"/>
          </w:rPr>
          <w:tab/>
        </w:r>
        <w:r w:rsidRPr="0086400A">
          <w:rPr>
            <w:rStyle w:val="Hyperlink"/>
            <w:rFonts w:ascii="Times New Roman" w:hAnsi="Times New Roman"/>
          </w:rPr>
          <w:t>C 44.00 – Opće informacije (LR5)</w:t>
        </w:r>
        <w:r>
          <w:rPr>
            <w:webHidden/>
          </w:rPr>
          <w:tab/>
        </w:r>
        <w:r>
          <w:rPr>
            <w:webHidden/>
          </w:rPr>
          <w:fldChar w:fldCharType="begin"/>
        </w:r>
        <w:r>
          <w:rPr>
            <w:webHidden/>
          </w:rPr>
          <w:instrText xml:space="preserve"> PAGEREF _Toc58573165 \h </w:instrText>
        </w:r>
        <w:r>
          <w:rPr>
            <w:webHidden/>
          </w:rPr>
        </w:r>
        <w:r>
          <w:rPr>
            <w:webHidden/>
          </w:rPr>
          <w:fldChar w:fldCharType="separate"/>
        </w:r>
        <w:r>
          <w:rPr>
            <w:webHidden/>
          </w:rPr>
          <w:t>70</w:t>
        </w:r>
        <w:r>
          <w:rPr>
            <w:webHidden/>
          </w:rPr>
          <w:fldChar w:fldCharType="end"/>
        </w:r>
      </w:hyperlink>
    </w:p>
    <w:p w14:paraId="30886C04" w14:textId="41996B8F" w:rsidR="001D5BC0" w:rsidRDefault="001D5BC0">
      <w:pPr>
        <w:pStyle w:val="TOC2"/>
        <w:rPr>
          <w:rFonts w:asciiTheme="minorHAnsi" w:eastAsiaTheme="minorEastAsia" w:hAnsiTheme="minorHAnsi" w:cstheme="minorBidi"/>
          <w:b w:val="0"/>
          <w:smallCaps w:val="0"/>
          <w:sz w:val="22"/>
          <w:lang w:eastAsia="hr-HR"/>
        </w:rPr>
      </w:pPr>
      <w:hyperlink w:anchor="_Toc58573166" w:history="1">
        <w:r w:rsidRPr="0086400A">
          <w:rPr>
            <w:rStyle w:val="Hyperlink"/>
            <w:rFonts w:ascii="Times New Roman" w:hAnsi="Times New Roman"/>
          </w:rPr>
          <w:t>7.</w:t>
        </w:r>
        <w:r>
          <w:rPr>
            <w:rFonts w:asciiTheme="minorHAnsi" w:eastAsiaTheme="minorEastAsia" w:hAnsiTheme="minorHAnsi" w:cstheme="minorBidi"/>
            <w:b w:val="0"/>
            <w:smallCaps w:val="0"/>
            <w:sz w:val="22"/>
            <w:lang w:eastAsia="hr-HR"/>
          </w:rPr>
          <w:tab/>
        </w:r>
        <w:r w:rsidRPr="0086400A">
          <w:rPr>
            <w:rStyle w:val="Hyperlink"/>
            <w:rFonts w:ascii="Times New Roman" w:hAnsi="Times New Roman"/>
          </w:rPr>
          <w:t>C 48.00 Volatilnost omjera financijske poluge (LR6)</w:t>
        </w:r>
        <w:r>
          <w:rPr>
            <w:webHidden/>
          </w:rPr>
          <w:tab/>
        </w:r>
        <w:r>
          <w:rPr>
            <w:webHidden/>
          </w:rPr>
          <w:fldChar w:fldCharType="begin"/>
        </w:r>
        <w:r>
          <w:rPr>
            <w:webHidden/>
          </w:rPr>
          <w:instrText xml:space="preserve"> PAGEREF _Toc58573166 \h </w:instrText>
        </w:r>
        <w:r>
          <w:rPr>
            <w:webHidden/>
          </w:rPr>
        </w:r>
        <w:r>
          <w:rPr>
            <w:webHidden/>
          </w:rPr>
          <w:fldChar w:fldCharType="separate"/>
        </w:r>
        <w:r>
          <w:rPr>
            <w:webHidden/>
          </w:rPr>
          <w:t>71</w:t>
        </w:r>
        <w:r>
          <w:rPr>
            <w:webHidden/>
          </w:rPr>
          <w:fldChar w:fldCharType="end"/>
        </w:r>
      </w:hyperlink>
    </w:p>
    <w:p w14:paraId="7CA49A89" w14:textId="0DC1B9C1" w:rsidR="001D5BC0" w:rsidRDefault="001D5BC0">
      <w:pPr>
        <w:pStyle w:val="TOC2"/>
        <w:rPr>
          <w:rFonts w:asciiTheme="minorHAnsi" w:eastAsiaTheme="minorEastAsia" w:hAnsiTheme="minorHAnsi" w:cstheme="minorBidi"/>
          <w:b w:val="0"/>
          <w:smallCaps w:val="0"/>
          <w:sz w:val="22"/>
          <w:lang w:eastAsia="hr-HR"/>
        </w:rPr>
      </w:pPr>
      <w:hyperlink w:anchor="_Toc58573167" w:history="1">
        <w:r w:rsidRPr="0086400A">
          <w:rPr>
            <w:rStyle w:val="Hyperlink"/>
            <w:rFonts w:ascii="Times New Roman" w:hAnsi="Times New Roman"/>
          </w:rPr>
          <w:t>8.</w:t>
        </w:r>
        <w:r>
          <w:rPr>
            <w:rFonts w:asciiTheme="minorHAnsi" w:eastAsiaTheme="minorEastAsia" w:hAnsiTheme="minorHAnsi" w:cstheme="minorBidi"/>
            <w:b w:val="0"/>
            <w:smallCaps w:val="0"/>
            <w:sz w:val="22"/>
            <w:lang w:eastAsia="hr-HR"/>
          </w:rPr>
          <w:tab/>
        </w:r>
        <w:r w:rsidRPr="0086400A">
          <w:rPr>
            <w:rStyle w:val="Hyperlink"/>
            <w:rFonts w:ascii="Times New Roman" w:hAnsi="Times New Roman"/>
          </w:rPr>
          <w:t>C 48.01 Volatilnost omjera financijske poluge: srednja vrijednost za izvještajno razdoblje</w:t>
        </w:r>
        <w:r>
          <w:rPr>
            <w:webHidden/>
          </w:rPr>
          <w:tab/>
        </w:r>
        <w:r>
          <w:rPr>
            <w:webHidden/>
          </w:rPr>
          <w:fldChar w:fldCharType="begin"/>
        </w:r>
        <w:r>
          <w:rPr>
            <w:webHidden/>
          </w:rPr>
          <w:instrText xml:space="preserve"> PAGEREF _Toc58573167 \h </w:instrText>
        </w:r>
        <w:r>
          <w:rPr>
            <w:webHidden/>
          </w:rPr>
        </w:r>
        <w:r>
          <w:rPr>
            <w:webHidden/>
          </w:rPr>
          <w:fldChar w:fldCharType="separate"/>
        </w:r>
        <w:r>
          <w:rPr>
            <w:webHidden/>
          </w:rPr>
          <w:t>72</w:t>
        </w:r>
        <w:r>
          <w:rPr>
            <w:webHidden/>
          </w:rPr>
          <w:fldChar w:fldCharType="end"/>
        </w:r>
      </w:hyperlink>
    </w:p>
    <w:p w14:paraId="51C965BE" w14:textId="27AB38D7" w:rsidR="001D5BC0" w:rsidRDefault="001D5BC0">
      <w:pPr>
        <w:pStyle w:val="TOC2"/>
        <w:rPr>
          <w:rFonts w:asciiTheme="minorHAnsi" w:eastAsiaTheme="minorEastAsia" w:hAnsiTheme="minorHAnsi" w:cstheme="minorBidi"/>
          <w:b w:val="0"/>
          <w:smallCaps w:val="0"/>
          <w:sz w:val="22"/>
          <w:lang w:eastAsia="hr-HR"/>
        </w:rPr>
      </w:pPr>
      <w:hyperlink w:anchor="_Toc58573168" w:history="1">
        <w:r w:rsidRPr="0086400A">
          <w:rPr>
            <w:rStyle w:val="Hyperlink"/>
            <w:rFonts w:ascii="Times New Roman" w:hAnsi="Times New Roman"/>
          </w:rPr>
          <w:t>9.</w:t>
        </w:r>
        <w:r>
          <w:rPr>
            <w:rFonts w:asciiTheme="minorHAnsi" w:eastAsiaTheme="minorEastAsia" w:hAnsiTheme="minorHAnsi" w:cstheme="minorBidi"/>
            <w:b w:val="0"/>
            <w:smallCaps w:val="0"/>
            <w:sz w:val="22"/>
            <w:lang w:eastAsia="hr-HR"/>
          </w:rPr>
          <w:tab/>
        </w:r>
        <w:r w:rsidRPr="0086400A">
          <w:rPr>
            <w:rStyle w:val="Hyperlink"/>
            <w:rFonts w:ascii="Times New Roman" w:hAnsi="Times New Roman"/>
          </w:rPr>
          <w:t>C 48.02 Volatilnost omjera financijske poluge: dnevne vrijednosti za izvještajno razdoblje</w:t>
        </w:r>
        <w:r>
          <w:rPr>
            <w:webHidden/>
          </w:rPr>
          <w:tab/>
        </w:r>
        <w:r>
          <w:rPr>
            <w:webHidden/>
          </w:rPr>
          <w:fldChar w:fldCharType="begin"/>
        </w:r>
        <w:r>
          <w:rPr>
            <w:webHidden/>
          </w:rPr>
          <w:instrText xml:space="preserve"> PAGEREF _Toc58573168 \h </w:instrText>
        </w:r>
        <w:r>
          <w:rPr>
            <w:webHidden/>
          </w:rPr>
        </w:r>
        <w:r>
          <w:rPr>
            <w:webHidden/>
          </w:rPr>
          <w:fldChar w:fldCharType="separate"/>
        </w:r>
        <w:r>
          <w:rPr>
            <w:webHidden/>
          </w:rPr>
          <w:t>72</w:t>
        </w:r>
        <w:r>
          <w:rPr>
            <w:webHidden/>
          </w:rPr>
          <w:fldChar w:fldCharType="end"/>
        </w:r>
      </w:hyperlink>
    </w:p>
    <w:p w14:paraId="43D747E1" w14:textId="1487FF9F" w:rsidR="00AC3257" w:rsidRPr="000B66BC" w:rsidRDefault="00391EF9" w:rsidP="000B66BC">
      <w:pPr>
        <w:pStyle w:val="BodyText1"/>
        <w:rPr>
          <w:rFonts w:ascii="Times New Roman" w:hAnsi="Times New Roman"/>
          <w:sz w:val="24"/>
          <w:szCs w:val="24"/>
        </w:rPr>
        <w:sectPr w:rsidR="00AC3257" w:rsidRPr="000B66BC" w:rsidSect="00DC2C2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7" w:right="1417" w:bottom="1134" w:left="1417" w:header="720" w:footer="720" w:gutter="0"/>
          <w:cols w:space="720"/>
          <w:titlePg/>
          <w:docGrid w:linePitch="360"/>
        </w:sectPr>
      </w:pPr>
      <w:r>
        <w:rPr>
          <w:rFonts w:ascii="Times New Roman" w:hAnsi="Times New Roman"/>
          <w:sz w:val="24"/>
          <w:szCs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8573153"/>
      <w:r>
        <w:rPr>
          <w:rFonts w:ascii="Times New Roman" w:hAnsi="Times New Roman"/>
          <w:b/>
          <w:sz w:val="24"/>
          <w:szCs w:val="24"/>
        </w:rPr>
        <w:t>DIO I.:</w:t>
      </w:r>
      <w:bookmarkEnd w:id="0"/>
      <w:r>
        <w:rPr>
          <w:rFonts w:ascii="Times New Roman" w:hAnsi="Times New Roman"/>
          <w:b/>
          <w:sz w:val="24"/>
          <w:szCs w:val="24"/>
        </w:rPr>
        <w:t xml:space="preserve"> OPĆE UPUTE</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58573154"/>
      <w:r>
        <w:rPr>
          <w:rFonts w:ascii="Times New Roman" w:hAnsi="Times New Roman"/>
          <w:b/>
          <w:sz w:val="24"/>
          <w:szCs w:val="24"/>
        </w:rPr>
        <w:t>1.</w:t>
      </w:r>
      <w:r>
        <w:tab/>
      </w:r>
      <w:r>
        <w:rPr>
          <w:rFonts w:ascii="Times New Roman" w:hAnsi="Times New Roman"/>
          <w:b/>
          <w:sz w:val="24"/>
          <w:szCs w:val="24"/>
        </w:rPr>
        <w:t>Struktura i druga pravila</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264038399"/>
      <w:bookmarkStart w:id="15" w:name="_Toc294018834"/>
      <w:bookmarkStart w:id="16" w:name="_Toc58573155"/>
      <w:r>
        <w:rPr>
          <w:rFonts w:ascii="Times New Roman" w:hAnsi="Times New Roman"/>
          <w:b/>
          <w:sz w:val="24"/>
          <w:szCs w:val="24"/>
        </w:rPr>
        <w:t>1.1.</w:t>
      </w:r>
      <w:r>
        <w:tab/>
      </w:r>
      <w:bookmarkEnd w:id="11"/>
      <w:bookmarkEnd w:id="12"/>
      <w:bookmarkEnd w:id="13"/>
      <w:r>
        <w:rPr>
          <w:rFonts w:ascii="Times New Roman" w:hAnsi="Times New Roman"/>
          <w:b/>
          <w:sz w:val="24"/>
          <w:szCs w:val="24"/>
        </w:rPr>
        <w:t>Struktura</w:t>
      </w:r>
      <w:bookmarkEnd w:id="16"/>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 xml:space="preserve">Ovaj Prilog sadržava dodatne upute o obrascima (dalje u tekstu: „LR”) koji su uvršteni u Prilog X. ovoj Uredbi.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bCs/>
          <w:sz w:val="24"/>
        </w:rPr>
        <w:t>2.</w:t>
      </w:r>
      <w:r>
        <w:tab/>
      </w:r>
      <w:r>
        <w:rPr>
          <w:bCs/>
          <w:sz w:val="24"/>
        </w:rPr>
        <w:t>Okvir se sastoji od ukupno pet obrazaca:</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C47.00: Izračun omjera financijske poluge (</w:t>
      </w:r>
      <w:proofErr w:type="spellStart"/>
      <w:r>
        <w:rPr>
          <w:bCs/>
          <w:sz w:val="24"/>
        </w:rPr>
        <w:t>LRCalc</w:t>
      </w:r>
      <w:proofErr w:type="spellEnd"/>
      <w:r>
        <w:rPr>
          <w:bCs/>
          <w:sz w:val="24"/>
        </w:rPr>
        <w:t>): Izračun omjera financijske poluge,</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C40.00: Omjer financijske poluge, obrazac 1 (LR1): Alternativni tretman mjere izloženosti,</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C43.00: Omjer financijske poluge, obrazac 4 (LR4): Alternativna raščlamba komponenti mjere izloženosti omjera financijske poluge,</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C44.00: Omjer financijske poluge, obrazac 5 (LR5): Opće informacije,</w:t>
      </w:r>
    </w:p>
    <w:p w14:paraId="7D668F4C" w14:textId="2EF3E327" w:rsidR="00BE473C" w:rsidRPr="000B66BC" w:rsidRDefault="00BE473C" w:rsidP="009339D1">
      <w:pPr>
        <w:pStyle w:val="InstructionsText2"/>
        <w:numPr>
          <w:ilvl w:val="0"/>
          <w:numId w:val="35"/>
        </w:numPr>
        <w:rPr>
          <w:rFonts w:eastAsia="Times New Roman"/>
          <w:bCs/>
          <w:sz w:val="24"/>
        </w:rPr>
      </w:pPr>
      <w:r>
        <w:rPr>
          <w:bCs/>
          <w:sz w:val="24"/>
        </w:rPr>
        <w:t xml:space="preserve">C48.00: </w:t>
      </w:r>
      <w:proofErr w:type="spellStart"/>
      <w:r>
        <w:rPr>
          <w:bCs/>
          <w:sz w:val="24"/>
        </w:rPr>
        <w:t>Volatilnost</w:t>
      </w:r>
      <w:proofErr w:type="spellEnd"/>
      <w:r>
        <w:rPr>
          <w:bCs/>
          <w:sz w:val="24"/>
        </w:rPr>
        <w:t xml:space="preserve"> omjera financijske poluge (LR6).</w:t>
      </w:r>
    </w:p>
    <w:p w14:paraId="6D2FC52A" w14:textId="5D5E1B5E" w:rsidR="00FC2664" w:rsidRPr="000B66BC" w:rsidRDefault="00500508" w:rsidP="000B66BC">
      <w:pPr>
        <w:pStyle w:val="InstructionsText2"/>
        <w:numPr>
          <w:ilvl w:val="0"/>
          <w:numId w:val="0"/>
        </w:numPr>
        <w:ind w:left="720" w:hanging="360"/>
        <w:rPr>
          <w:sz w:val="24"/>
        </w:rPr>
      </w:pPr>
      <w:r>
        <w:rPr>
          <w:bCs/>
          <w:sz w:val="24"/>
        </w:rPr>
        <w:t>3.</w:t>
      </w:r>
      <w:r>
        <w:tab/>
      </w:r>
      <w:r>
        <w:rPr>
          <w:bCs/>
          <w:sz w:val="24"/>
        </w:rPr>
        <w:t>Za svaki obrazac navode se pravna osnova i dodatne detaljne informacije o općenitijim aspektima izvješćivanja.</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58573156"/>
      <w:bookmarkEnd w:id="17"/>
      <w:r>
        <w:rPr>
          <w:rFonts w:ascii="Times New Roman" w:hAnsi="Times New Roman"/>
          <w:b/>
          <w:sz w:val="24"/>
          <w:szCs w:val="24"/>
        </w:rPr>
        <w:t>1.2.</w:t>
      </w:r>
      <w:r>
        <w:tab/>
      </w:r>
      <w:r>
        <w:rPr>
          <w:rFonts w:ascii="Times New Roman" w:hAnsi="Times New Roman"/>
          <w:b/>
          <w:sz w:val="24"/>
          <w:szCs w:val="24"/>
        </w:rPr>
        <w:t>Pravila označivanja brojevima</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4.</w:t>
      </w:r>
      <w:r>
        <w:tab/>
      </w:r>
      <w:r>
        <w:rPr>
          <w:bCs/>
          <w:sz w:val="24"/>
        </w:rPr>
        <w:t>U dokumentu će se pri upućivanju na stupce, retke i rubrike u obrascima poštovati pravila označivanja iz točaka u nastavku. Te se brojčane oznake u velikoj mjeri koriste u pravilima validacije.</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5.</w:t>
      </w:r>
      <w:r>
        <w:tab/>
      </w:r>
      <w:r>
        <w:rPr>
          <w:bCs/>
          <w:sz w:val="24"/>
        </w:rPr>
        <w:t>U uputama se primjenjuje sljedeća opća bilješka: {</w:t>
      </w:r>
      <w:proofErr w:type="spellStart"/>
      <w:r>
        <w:rPr>
          <w:bCs/>
          <w:sz w:val="24"/>
        </w:rPr>
        <w:t>obrazac;redak;stupac</w:t>
      </w:r>
      <w:proofErr w:type="spellEnd"/>
      <w:r>
        <w:rPr>
          <w:bCs/>
          <w:sz w:val="24"/>
        </w:rPr>
        <w:t>}. Znak zvjezdice koristi se za upućivanje na cijeli redak ili stupac.</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6.</w:t>
      </w:r>
      <w:r>
        <w:tab/>
      </w:r>
      <w:r>
        <w:rPr>
          <w:bCs/>
          <w:sz w:val="24"/>
        </w:rPr>
        <w:t>U slučaju validacija u okviru obrasca pri kojima se koriste samo podaci iz tog obrasca, bilješkama se ne upućuje na obrazac: {</w:t>
      </w:r>
      <w:proofErr w:type="spellStart"/>
      <w:r>
        <w:rPr>
          <w:bCs/>
          <w:sz w:val="24"/>
        </w:rPr>
        <w:t>redak;stupac</w:t>
      </w:r>
      <w:proofErr w:type="spellEnd"/>
      <w:r>
        <w:rPr>
          <w:bCs/>
          <w:sz w:val="24"/>
        </w:rPr>
        <w:t>}.</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7.</w:t>
      </w:r>
      <w:r>
        <w:tab/>
      </w:r>
      <w:r>
        <w:rPr>
          <w:bCs/>
          <w:sz w:val="24"/>
        </w:rPr>
        <w:t xml:space="preserve">Za potrebe izvješćivanja o financijskoj poluzi izraz „od čega” odnosi se na stavku koja je podskup kategorije više razine izloženosti, dok se „bilješka” odnosi na zasebnu stavku koja nije podskup kategorije izloženosti. Obvezno je izvješćivanje u obje vrste rubrika, osim ako je navedeno drukčije.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58573157"/>
      <w:r>
        <w:rPr>
          <w:rFonts w:ascii="Times New Roman" w:hAnsi="Times New Roman"/>
          <w:b/>
          <w:sz w:val="24"/>
          <w:szCs w:val="24"/>
        </w:rPr>
        <w:t>1.3.</w:t>
      </w:r>
      <w:r>
        <w:tab/>
      </w:r>
      <w:r>
        <w:rPr>
          <w:rFonts w:ascii="Times New Roman" w:hAnsi="Times New Roman"/>
          <w:b/>
          <w:sz w:val="24"/>
          <w:szCs w:val="24"/>
        </w:rPr>
        <w:t>Pokrate</w:t>
      </w:r>
      <w:bookmarkEnd w:id="23"/>
      <w:bookmarkEnd w:id="24"/>
    </w:p>
    <w:p w14:paraId="72197A49" w14:textId="77777777"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bCs/>
          <w:sz w:val="24"/>
        </w:rPr>
        <w:t>8.</w:t>
      </w:r>
      <w:r>
        <w:tab/>
      </w:r>
      <w:r>
        <w:rPr>
          <w:bCs/>
          <w:sz w:val="24"/>
        </w:rPr>
        <w:t>Za potrebe ovog Priloga i povezanih obrazaca primjenjuju se sljedeće pokrate:</w:t>
      </w:r>
    </w:p>
    <w:p w14:paraId="567537B5" w14:textId="77777777" w:rsidR="00627E07" w:rsidRPr="000B66BC" w:rsidRDefault="00500508" w:rsidP="009339D1">
      <w:pPr>
        <w:pStyle w:val="InstructionsText2"/>
        <w:numPr>
          <w:ilvl w:val="0"/>
          <w:numId w:val="0"/>
        </w:numPr>
        <w:ind w:left="1440" w:hanging="360"/>
        <w:rPr>
          <w:rFonts w:eastAsia="Times New Roman"/>
          <w:bCs/>
          <w:sz w:val="24"/>
        </w:rPr>
      </w:pPr>
      <w:r>
        <w:rPr>
          <w:bCs/>
          <w:sz w:val="24"/>
        </w:rPr>
        <w:lastRenderedPageBreak/>
        <w:t>a.</w:t>
      </w:r>
      <w:r>
        <w:tab/>
      </w:r>
      <w:r>
        <w:rPr>
          <w:bCs/>
          <w:sz w:val="24"/>
        </w:rPr>
        <w:t>CRR, pokrata za Uredbu o kapitalnim zahtjevima i znači Uredba (EU) br. 575/2013;</w:t>
      </w:r>
    </w:p>
    <w:p w14:paraId="69E6F7E3"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b. </w:t>
      </w:r>
      <w:r>
        <w:tab/>
      </w:r>
      <w:r>
        <w:rPr>
          <w:bCs/>
          <w:sz w:val="24"/>
        </w:rPr>
        <w:t>CRD, pokrata za Direktivu o kapitalnim zahtjevima i znači Direktiva (EU) 36/2013/EU;</w:t>
      </w:r>
    </w:p>
    <w:p w14:paraId="5CC0B733" w14:textId="3EE7532F" w:rsidR="00627E07" w:rsidRPr="000B66BC" w:rsidRDefault="007E2989" w:rsidP="009339D1">
      <w:pPr>
        <w:pStyle w:val="InstructionsText2"/>
        <w:numPr>
          <w:ilvl w:val="0"/>
          <w:numId w:val="0"/>
        </w:numPr>
        <w:ind w:left="1440" w:hanging="360"/>
        <w:rPr>
          <w:rFonts w:eastAsia="Times New Roman"/>
          <w:bCs/>
          <w:sz w:val="24"/>
        </w:rPr>
      </w:pPr>
      <w:r>
        <w:rPr>
          <w:bCs/>
          <w:sz w:val="24"/>
        </w:rPr>
        <w:t>c.</w:t>
      </w:r>
      <w:r>
        <w:tab/>
      </w:r>
      <w:r>
        <w:rPr>
          <w:bCs/>
          <w:sz w:val="24"/>
        </w:rPr>
        <w:t xml:space="preserve">SFT, pokrata za transakciju financiranja vrijednosnim papirima i znači „znači repo transakcija, transakcija pozajmljivanja vrijednosnih papira ili robe drugoj ugovornoj strani ili od druge ugovorne strane ili </w:t>
      </w:r>
      <w:proofErr w:type="spellStart"/>
      <w:r>
        <w:rPr>
          <w:bCs/>
          <w:sz w:val="24"/>
        </w:rPr>
        <w:t>maržni</w:t>
      </w:r>
      <w:proofErr w:type="spellEnd"/>
      <w:r>
        <w:rPr>
          <w:bCs/>
          <w:sz w:val="24"/>
        </w:rPr>
        <w:t xml:space="preserve"> kredit” iz članka 4. stavka 1. točke (139.) Uredbe (EU) br. 575/2013;</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bCs/>
          <w:sz w:val="24"/>
        </w:rPr>
        <w:t>d.</w:t>
      </w:r>
      <w:r>
        <w:tab/>
      </w:r>
      <w:r>
        <w:rPr>
          <w:bCs/>
          <w:sz w:val="24"/>
        </w:rPr>
        <w:t>CRM, pokrata za smanjenje kreditnog rizika;</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bCs/>
          <w:sz w:val="24"/>
        </w:rPr>
        <w:t>e.</w:t>
      </w:r>
      <w:r>
        <w:tab/>
      </w:r>
      <w:r>
        <w:rPr>
          <w:bCs/>
          <w:sz w:val="24"/>
        </w:rPr>
        <w:t xml:space="preserve">CSD, pokrata za središnji </w:t>
      </w:r>
      <w:proofErr w:type="spellStart"/>
      <w:r>
        <w:rPr>
          <w:bCs/>
          <w:sz w:val="24"/>
        </w:rPr>
        <w:t>depozitorij</w:t>
      </w:r>
      <w:proofErr w:type="spellEnd"/>
      <w:r>
        <w:rPr>
          <w:bCs/>
          <w:sz w:val="24"/>
        </w:rPr>
        <w:t xml:space="preserve"> vrijednosnih papira;</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f. </w:t>
      </w:r>
      <w:r>
        <w:tab/>
      </w:r>
      <w:r>
        <w:rPr>
          <w:bCs/>
          <w:sz w:val="24"/>
        </w:rPr>
        <w:t>QCCP, pokrata za kvalificiranu središnju drugu ugovornu stranu;</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g. </w:t>
      </w:r>
      <w:r>
        <w:tab/>
      </w:r>
      <w:r>
        <w:rPr>
          <w:bCs/>
          <w:sz w:val="24"/>
        </w:rPr>
        <w:t>PFE, pokrata za potencijalnu buduću izloženost.</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58573158"/>
      <w:r>
        <w:rPr>
          <w:rFonts w:ascii="Times New Roman" w:hAnsi="Times New Roman"/>
          <w:b/>
          <w:sz w:val="24"/>
          <w:szCs w:val="24"/>
        </w:rPr>
        <w:t>1.4.</w:t>
      </w:r>
      <w:r>
        <w:tab/>
      </w:r>
      <w:r>
        <w:rPr>
          <w:rFonts w:ascii="Times New Roman" w:hAnsi="Times New Roman"/>
          <w:b/>
          <w:sz w:val="24"/>
          <w:szCs w:val="24"/>
        </w:rPr>
        <w:t>Pravilo o predznaku</w:t>
      </w:r>
      <w:bookmarkEnd w:id="14"/>
      <w:bookmarkEnd w:id="15"/>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Pr>
          <w:bCs/>
          <w:sz w:val="24"/>
        </w:rPr>
        <w:t>9.</w:t>
      </w:r>
      <w:r>
        <w:tab/>
      </w:r>
      <w:r>
        <w:rPr>
          <w:bCs/>
          <w:sz w:val="24"/>
        </w:rPr>
        <w:t>Svi se iznosi iskazuju u pozitivnim vrijednostima.</w:t>
      </w:r>
      <w:bookmarkStart w:id="32" w:name="_Toc264033192"/>
      <w:bookmarkEnd w:id="32"/>
      <w:r>
        <w:rPr>
          <w:bCs/>
          <w:sz w:val="24"/>
        </w:rPr>
        <w:t xml:space="preserve"> Uz iznimku:</w:t>
      </w:r>
    </w:p>
    <w:p w14:paraId="7B6D27CF" w14:textId="222C2E2D" w:rsidR="0058289F" w:rsidRPr="000B66BC" w:rsidRDefault="00A5392D" w:rsidP="009339D1">
      <w:pPr>
        <w:pStyle w:val="InstructionsText2"/>
        <w:numPr>
          <w:ilvl w:val="0"/>
          <w:numId w:val="25"/>
        </w:numPr>
        <w:rPr>
          <w:rFonts w:eastAsia="Times New Roman"/>
          <w:bCs/>
          <w:sz w:val="24"/>
        </w:rPr>
      </w:pPr>
      <w:r>
        <w:rPr>
          <w:bCs/>
          <w:sz w:val="24"/>
        </w:rPr>
        <w:t>stavki čijoj oznaci prethodi negativan predznak (–) ako se očekuje da se za tu stavku neće iskazati pozitivna vrijednost;</w:t>
      </w:r>
    </w:p>
    <w:p w14:paraId="259D3174" w14:textId="186210E9" w:rsidR="00E40D66" w:rsidRPr="000B66BC" w:rsidRDefault="00E40D66" w:rsidP="009339D1">
      <w:pPr>
        <w:pStyle w:val="InstructionsText2"/>
        <w:numPr>
          <w:ilvl w:val="0"/>
          <w:numId w:val="25"/>
        </w:numPr>
        <w:rPr>
          <w:rFonts w:eastAsia="Times New Roman"/>
          <w:bCs/>
          <w:sz w:val="24"/>
        </w:rPr>
      </w:pPr>
      <w:r>
        <w:rPr>
          <w:bCs/>
          <w:sz w:val="24"/>
        </w:rPr>
        <w:t>stavki {LRCalc;0310;0010}, {LRCalc;0320;0010}, {LRCalc;0330;0010}, {LRCalc;0340;0010}, koje u iznimnim slučajevima mogu biti negativne vrijednosti, a inače su pozitivne;</w:t>
      </w:r>
    </w:p>
    <w:p w14:paraId="1A7EEF5B" w14:textId="10579662" w:rsidR="0060741B" w:rsidRPr="000B66BC" w:rsidRDefault="0060741B" w:rsidP="009339D1">
      <w:pPr>
        <w:pStyle w:val="InstructionsText2"/>
        <w:numPr>
          <w:ilvl w:val="0"/>
          <w:numId w:val="25"/>
        </w:numPr>
        <w:rPr>
          <w:rFonts w:eastAsia="Times New Roman"/>
          <w:bCs/>
          <w:sz w:val="24"/>
        </w:rPr>
      </w:pPr>
      <w:r>
        <w:rPr>
          <w:bCs/>
          <w:sz w:val="24"/>
        </w:rPr>
        <w:t>stavki {LRCalc;0280;0010}, koje zbog članka 473.a stavka 7.CRR-a mogu biti pozitivne vrijednosti, inače su negativne.</w:t>
      </w:r>
    </w:p>
    <w:p w14:paraId="12B14317" w14:textId="77777777" w:rsidR="001F28C3" w:rsidRPr="000B66BC" w:rsidRDefault="00360A3D" w:rsidP="009339D1">
      <w:pPr>
        <w:pStyle w:val="InstructionsText2"/>
        <w:numPr>
          <w:ilvl w:val="0"/>
          <w:numId w:val="0"/>
        </w:numPr>
        <w:ind w:left="720"/>
        <w:rPr>
          <w:rFonts w:eastAsia="Times New Roman"/>
          <w:bCs/>
          <w:sz w:val="24"/>
        </w:rPr>
      </w:pPr>
      <w:r>
        <w:rPr>
          <w:bCs/>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58573159"/>
      <w:r>
        <w:rPr>
          <w:rFonts w:ascii="Times New Roman" w:hAnsi="Times New Roman"/>
          <w:b/>
          <w:sz w:val="24"/>
          <w:szCs w:val="24"/>
        </w:rPr>
        <w:lastRenderedPageBreak/>
        <w:t>DIO II.: UPUTE ZA OBRASCE</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322533849"/>
      <w:bookmarkStart w:id="40" w:name="_Toc58573160"/>
      <w:r>
        <w:rPr>
          <w:rFonts w:ascii="Times New Roman" w:hAnsi="Times New Roman"/>
          <w:b/>
          <w:sz w:val="24"/>
          <w:szCs w:val="24"/>
        </w:rPr>
        <w:t>1.</w:t>
      </w:r>
      <w:r>
        <w:tab/>
      </w:r>
      <w:r>
        <w:rPr>
          <w:rFonts w:ascii="Times New Roman" w:hAnsi="Times New Roman"/>
          <w:b/>
          <w:sz w:val="24"/>
          <w:szCs w:val="24"/>
        </w:rPr>
        <w:t>Formule za izračun omjera financijske poluge</w:t>
      </w:r>
      <w:bookmarkEnd w:id="37"/>
      <w:bookmarkEnd w:id="38"/>
      <w:bookmarkEnd w:id="40"/>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 xml:space="preserve">Omjer financijske poluge temelji se na mjeri kapitala i mjeri ukupne izloženosti, koje se mogu izračunati pomoću rubrika iz dijela </w:t>
      </w:r>
      <w:proofErr w:type="spellStart"/>
      <w:r>
        <w:rPr>
          <w:rFonts w:ascii="Times New Roman" w:hAnsi="Times New Roman"/>
          <w:sz w:val="24"/>
          <w:szCs w:val="24"/>
        </w:rPr>
        <w:t>LRCalc</w:t>
      </w:r>
      <w:proofErr w:type="spellEnd"/>
      <w:r>
        <w:rPr>
          <w:rFonts w:ascii="Times New Roman" w:hAnsi="Times New Roman"/>
          <w:sz w:val="24"/>
          <w:szCs w:val="24"/>
        </w:rPr>
        <w:t xml:space="preserve">.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w:t>
      </w:r>
      <w:r>
        <w:tab/>
      </w:r>
      <w:r>
        <w:rPr>
          <w:rFonts w:ascii="Times New Roman" w:hAnsi="Times New Roman"/>
          <w:sz w:val="24"/>
          <w:szCs w:val="24"/>
        </w:rPr>
        <w:t>Omjer financijske poluge – definicija nakon potpunog uvođenja novih odredaba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w:t>
      </w:r>
      <w:r>
        <w:tab/>
      </w:r>
      <w:r>
        <w:rPr>
          <w:rFonts w:ascii="Times New Roman" w:hAnsi="Times New Roman"/>
          <w:sz w:val="24"/>
          <w:szCs w:val="24"/>
        </w:rPr>
        <w:t>Omjer financijske poluge – definicija u prijelaznom razdoblju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322533852"/>
      <w:bookmarkStart w:id="44" w:name="_Toc58573161"/>
      <w:bookmarkEnd w:id="39"/>
      <w:r>
        <w:rPr>
          <w:rFonts w:ascii="Times New Roman" w:hAnsi="Times New Roman"/>
          <w:b/>
          <w:sz w:val="24"/>
          <w:szCs w:val="24"/>
        </w:rPr>
        <w:t>2.</w:t>
      </w:r>
      <w:r>
        <w:tab/>
      </w:r>
      <w:r>
        <w:rPr>
          <w:rFonts w:ascii="Times New Roman" w:hAnsi="Times New Roman"/>
          <w:b/>
          <w:sz w:val="24"/>
          <w:szCs w:val="24"/>
        </w:rPr>
        <w:t>Pragovi značajnosti za izvedenice</w:t>
      </w:r>
      <w:bookmarkEnd w:id="41"/>
      <w:bookmarkEnd w:id="42"/>
      <w:bookmarkEnd w:id="44"/>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4.</w:t>
      </w:r>
      <w:r>
        <w:tab/>
      </w:r>
      <w:r>
        <w:rPr>
          <w:rFonts w:ascii="Times New Roman" w:hAnsi="Times New Roman"/>
          <w:sz w:val="24"/>
          <w:szCs w:val="24"/>
        </w:rPr>
        <w:t>Da bi izvješćivanje što manje opteretilo institucije s ograničenom izloženošću u izvedenicama, za utvrđivanje relativne značajnosti izloženosti izvedenica u odnosu na ukupnu izloženost omjera financijske poluge koriste se mjere navedene u nastavku. Institucije te mjere izračunavaju kako slijedi</w:t>
      </w:r>
      <w:bookmarkStart w:id="45" w:name="_Toc322533853"/>
      <w:bookmarkEnd w:id="43"/>
      <w:r>
        <w:rPr>
          <w:rFonts w:ascii="Times New Roman" w:hAnsi="Times New Roman"/>
          <w:sz w:val="24"/>
          <w:szCs w:val="24"/>
        </w:rPr>
        <w:t>:</w:t>
      </w:r>
    </w:p>
    <w:p w14:paraId="1388E099" w14:textId="546A0D2A"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Pr>
          <w:rFonts w:ascii="Times New Roman" w:hAnsi="Times New Roman"/>
          <w:sz w:val="24"/>
          <w:szCs w:val="24"/>
        </w:rPr>
        <w:t>5.</w:t>
      </w:r>
      <w:r>
        <w:tab/>
      </w:r>
      <w:r>
        <w:rPr>
          <w:rFonts w:ascii="Times New Roman" w:hAnsi="Times New Roman"/>
          <w:sz w:val="24"/>
          <w:szCs w:val="24"/>
        </w:rPr>
        <w:t xml:space="preserve">Udio izvedenica = </w:t>
      </w:r>
      <m:oMath>
        <m:f>
          <m:fPr>
            <m:ctrlPr>
              <w:rPr>
                <w:rFonts w:ascii="Cambria Math" w:hAnsi="Times New Roman"/>
                <w:sz w:val="24"/>
                <w:szCs w:val="24"/>
              </w:rPr>
            </m:ctrlPr>
          </m:fPr>
          <m:num>
            <m:r>
              <m:rPr>
                <m:sty m:val="p"/>
              </m:rPr>
              <w:rPr>
                <w:rFonts w:ascii="Cambria Math" w:hAnsi="Times New Roman"/>
                <w:sz w:val="24"/>
                <w:szCs w:val="24"/>
              </w:rPr>
              <m:t>Mjera izlo</m:t>
            </m:r>
            <m:r>
              <m:rPr>
                <m:sty m:val="p"/>
              </m:rPr>
              <w:rPr>
                <w:rFonts w:ascii="Cambria Math" w:hAnsi="Times New Roman"/>
                <w:sz w:val="24"/>
                <w:szCs w:val="24"/>
              </w:rPr>
              <m:t>ž</m:t>
            </m:r>
            <m:r>
              <m:rPr>
                <m:sty m:val="p"/>
              </m:rPr>
              <w:rPr>
                <w:rFonts w:ascii="Cambria Math" w:hAnsi="Times New Roman"/>
                <w:sz w:val="24"/>
                <w:szCs w:val="24"/>
              </w:rPr>
              <m:t>enosti izvedenica</m:t>
            </m:r>
          </m:num>
          <m:den>
            <m:r>
              <m:rPr>
                <m:sty m:val="p"/>
              </m:rPr>
              <w:rPr>
                <w:rFonts w:ascii="Cambria Math" w:hAnsi="Times New Roman"/>
                <w:sz w:val="24"/>
                <w:szCs w:val="24"/>
              </w:rPr>
              <m:t>Mjera ukupne izlo</m:t>
            </m:r>
            <m:r>
              <m:rPr>
                <m:sty m:val="p"/>
              </m:rPr>
              <w:rPr>
                <w:rFonts w:ascii="Cambria Math" w:hAnsi="Times New Roman"/>
                <w:sz w:val="24"/>
                <w:szCs w:val="24"/>
              </w:rPr>
              <m:t>ž</m:t>
            </m:r>
            <m:r>
              <m:rPr>
                <m:sty m:val="p"/>
              </m:rPr>
              <w:rPr>
                <w:rFonts w:ascii="Cambria Math" w:hAnsi="Times New Roman"/>
                <w:sz w:val="24"/>
                <w:szCs w:val="24"/>
              </w:rPr>
              <m:t>enosti</m:t>
            </m:r>
          </m:den>
        </m:f>
      </m:oMath>
      <w:r>
        <w:rPr>
          <w:rFonts w:ascii="Times New Roman" w:hAnsi="Times New Roman"/>
          <w:sz w:val="24"/>
          <w:szCs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6.</w:t>
      </w:r>
      <w:r>
        <w:tab/>
      </w:r>
      <w:r>
        <w:rPr>
          <w:rFonts w:ascii="Times New Roman" w:hAnsi="Times New Roman"/>
          <w:sz w:val="24"/>
          <w:szCs w:val="24"/>
        </w:rPr>
        <w:t>Pri čemu je mjera ukupne izloženosti jednaka: {LRCalc;0061;0010}+{LRCalc;0065;0010}+{LRCalc;0071;0010}+{LRCalc;0081;0010}+{LRCalc;0091;0010}+{LRCalc;0092;0010}+{LRCalc;0093;0010}+{LRCalc;0101;0010}+{LRCalc;0102;0010}+{LRCalc;0103;0010}+{LRCalc;0104;0010}+{LRCa</w:t>
      </w:r>
      <w:bookmarkStart w:id="47" w:name="_GoBack"/>
      <w:r>
        <w:rPr>
          <w:rFonts w:ascii="Times New Roman" w:hAnsi="Times New Roman"/>
          <w:sz w:val="24"/>
          <w:szCs w:val="24"/>
        </w:rPr>
        <w:t>lc;0110;0010}+{LRCalc;0120;0010}+{LRCalc;0130;0010}+{LRCalc;0140;0010}.</w:t>
      </w:r>
    </w:p>
    <w:bookmarkEnd w:id="47"/>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7.</w:t>
      </w:r>
      <w:r>
        <w:tab/>
      </w:r>
      <w:r>
        <w:rPr>
          <w:rFonts w:ascii="Times New Roman" w:hAnsi="Times New Roman"/>
          <w:sz w:val="24"/>
          <w:szCs w:val="24"/>
        </w:rPr>
        <w:t>Pri čemu je mjera ukupne izloženosti jednaka: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8.</w:t>
      </w:r>
      <w:r>
        <w:tab/>
      </w:r>
      <w:r>
        <w:rPr>
          <w:rFonts w:ascii="Times New Roman" w:hAnsi="Times New Roman"/>
          <w:sz w:val="24"/>
          <w:szCs w:val="24"/>
        </w:rPr>
        <w:t>Ukupni zamišljeni iznos po izvedenicama = {LR1; 0010;0070}. Institucije uvijek iskazuju podatke u toj rubrici.</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9.</w:t>
      </w:r>
      <w:r>
        <w:tab/>
      </w:r>
      <w:r>
        <w:rPr>
          <w:rFonts w:ascii="Times New Roman" w:hAnsi="Times New Roman"/>
          <w:sz w:val="24"/>
          <w:szCs w:val="24"/>
        </w:rPr>
        <w:t>Volumen kreditnih izvedenica = {LR1;0020;0070} + {LR1;0050;0070}. Institucije uvijek iskazuju podatke u tim rubrikama.</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10.</w:t>
      </w:r>
      <w:r>
        <w:tab/>
      </w:r>
      <w:r>
        <w:rPr>
          <w:rFonts w:ascii="Times New Roman" w:hAnsi="Times New Roman"/>
          <w:sz w:val="24"/>
          <w:szCs w:val="24"/>
        </w:rPr>
        <w:t>Institucije su dužne iskazati podatke iz rubrika iz točke 13. ako je ispunjen jedan od sljedećih uvjeta:</w:t>
      </w:r>
    </w:p>
    <w:p w14:paraId="2564CD75" w14:textId="1B9B37E1" w:rsidR="00F4754B" w:rsidRPr="000B66BC" w:rsidRDefault="007A001B" w:rsidP="009339D1">
      <w:pPr>
        <w:pStyle w:val="InstructionsText2"/>
        <w:numPr>
          <w:ilvl w:val="0"/>
          <w:numId w:val="39"/>
        </w:numPr>
        <w:rPr>
          <w:rFonts w:eastAsia="Times New Roman"/>
          <w:bCs/>
          <w:sz w:val="24"/>
        </w:rPr>
      </w:pPr>
      <w:r>
        <w:rPr>
          <w:bCs/>
          <w:sz w:val="24"/>
        </w:rPr>
        <w:t>udio izvedenica iz točke 5. veći je od 1,5 %;</w:t>
      </w:r>
    </w:p>
    <w:p w14:paraId="272AC9A9" w14:textId="6954E060" w:rsidR="00675587" w:rsidRPr="000B66BC" w:rsidRDefault="007A001B" w:rsidP="009339D1">
      <w:pPr>
        <w:pStyle w:val="InstructionsText2"/>
        <w:numPr>
          <w:ilvl w:val="0"/>
          <w:numId w:val="39"/>
        </w:numPr>
        <w:rPr>
          <w:rFonts w:eastAsia="Times New Roman"/>
          <w:bCs/>
          <w:sz w:val="24"/>
        </w:rPr>
      </w:pPr>
      <w:r>
        <w:rPr>
          <w:bCs/>
          <w:sz w:val="24"/>
        </w:rPr>
        <w:t>udio izvedenica iz točke 5. veći je od 2,0 %.</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bCs/>
          <w:sz w:val="24"/>
        </w:rPr>
        <w:t>Primjenjuju se ulazni i izlazni kriteriji iz članka 4. ove Uredbe, osim točke (b) prema kojoj institucije počinju iskazivati informacije od sljedećeg referentnog datuma ako su prekoračile prag na jedan referentni datum izvješćivanja.</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lastRenderedPageBreak/>
        <w:t>11.</w:t>
      </w:r>
      <w:r>
        <w:tab/>
      </w:r>
      <w:r>
        <w:rPr>
          <w:rFonts w:ascii="Times New Roman" w:hAnsi="Times New Roman"/>
          <w:sz w:val="24"/>
          <w:szCs w:val="24"/>
        </w:rPr>
        <w:t xml:space="preserve">Institucije kod kojih je ukupni zamišljeni iznos izvedenica kako je definiran u točki 8. veći od 10 milijardi EUR iskazuju podatke iz rubrika iz točke 13., čak i ako njihov udio izvedenica ne </w:t>
      </w:r>
      <w:proofErr w:type="spellStart"/>
      <w:r>
        <w:rPr>
          <w:rFonts w:ascii="Times New Roman" w:hAnsi="Times New Roman"/>
          <w:sz w:val="24"/>
          <w:szCs w:val="24"/>
        </w:rPr>
        <w:t>ispunjuje</w:t>
      </w:r>
      <w:proofErr w:type="spellEnd"/>
      <w:r>
        <w:rPr>
          <w:rFonts w:ascii="Times New Roman" w:hAnsi="Times New Roman"/>
          <w:sz w:val="24"/>
          <w:szCs w:val="24"/>
        </w:rPr>
        <w:t xml:space="preserve"> uvjete opisane u točki 10.</w:t>
      </w:r>
    </w:p>
    <w:p w14:paraId="48A7F7A1" w14:textId="00594413" w:rsidR="00242493" w:rsidRPr="000B66BC" w:rsidRDefault="00242493" w:rsidP="000B66BC">
      <w:pPr>
        <w:pStyle w:val="BodyText1"/>
        <w:spacing w:after="240" w:line="240" w:lineRule="auto"/>
        <w:ind w:left="720" w:hanging="360"/>
        <w:rPr>
          <w:rFonts w:ascii="Times New Roman" w:hAnsi="Times New Roman"/>
          <w:sz w:val="24"/>
          <w:szCs w:val="24"/>
        </w:rPr>
      </w:pPr>
      <w:r>
        <w:tab/>
      </w:r>
      <w:r>
        <w:rPr>
          <w:rFonts w:ascii="Times New Roman" w:hAnsi="Times New Roman"/>
          <w:sz w:val="24"/>
          <w:szCs w:val="24"/>
        </w:rPr>
        <w:t>Ulazni kriteriji iz članka 4. ove Uredbe ne primjenjuju se na točku 4. Institucije počinju iskazivati informacije od sljedećeg referentnog datuma ako su prekoračile prag na jedan referentni datum izvješćivanja.</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12.</w:t>
      </w:r>
      <w:r>
        <w:tab/>
      </w:r>
      <w:r>
        <w:rPr>
          <w:rFonts w:ascii="Times New Roman" w:hAnsi="Times New Roman"/>
          <w:sz w:val="24"/>
          <w:szCs w:val="24"/>
        </w:rPr>
        <w:t>Institucije su dužne iskazivati podatke iz rubrika iz točke 14. ako je ispunjen jedan od sljedećih uvjeta:</w:t>
      </w:r>
    </w:p>
    <w:p w14:paraId="3F12E5B0" w14:textId="61844629" w:rsidR="00F4754B" w:rsidRPr="000B66BC" w:rsidRDefault="007A001B" w:rsidP="009339D1">
      <w:pPr>
        <w:pStyle w:val="InstructionsText2"/>
        <w:numPr>
          <w:ilvl w:val="0"/>
          <w:numId w:val="40"/>
        </w:numPr>
        <w:rPr>
          <w:rFonts w:eastAsia="Times New Roman"/>
          <w:bCs/>
          <w:sz w:val="24"/>
        </w:rPr>
      </w:pPr>
      <w:r>
        <w:rPr>
          <w:bCs/>
          <w:sz w:val="24"/>
        </w:rPr>
        <w:t>volumen kreditnih izvedenica iz točke 9. veći je od 300 milijuna EUR</w:t>
      </w:r>
      <w:r>
        <w:rPr>
          <w:sz w:val="24"/>
        </w:rPr>
        <w:t>;</w:t>
      </w:r>
    </w:p>
    <w:p w14:paraId="53026947" w14:textId="5B38C368" w:rsidR="00675587" w:rsidRPr="000B66BC" w:rsidRDefault="007A001B" w:rsidP="009339D1">
      <w:pPr>
        <w:pStyle w:val="InstructionsText2"/>
        <w:numPr>
          <w:ilvl w:val="0"/>
          <w:numId w:val="40"/>
        </w:numPr>
        <w:rPr>
          <w:rFonts w:eastAsia="Times New Roman"/>
          <w:bCs/>
          <w:sz w:val="24"/>
        </w:rPr>
      </w:pPr>
      <w:r>
        <w:rPr>
          <w:bCs/>
          <w:sz w:val="24"/>
        </w:rPr>
        <w:t>volumen kreditnih izvedenica iz točke 9. veći je od 500 milijuna EUR.</w:t>
      </w:r>
    </w:p>
    <w:p w14:paraId="3B88084F" w14:textId="34241752" w:rsidR="00F4754B" w:rsidRPr="000B66BC" w:rsidRDefault="00242493" w:rsidP="000B66BC">
      <w:pPr>
        <w:pStyle w:val="InstructionsText2"/>
        <w:numPr>
          <w:ilvl w:val="0"/>
          <w:numId w:val="0"/>
        </w:numPr>
        <w:ind w:left="709" w:firstLine="11"/>
        <w:rPr>
          <w:sz w:val="24"/>
        </w:rPr>
      </w:pPr>
      <w:r>
        <w:rPr>
          <w:bCs/>
          <w:sz w:val="24"/>
        </w:rPr>
        <w:t>Primjenjuju se izlazni kriteriji iz članka 4. ove Uredbe, osim točke (b) prema kojoj institucije počinju iskazivati informacije od sljedećeg referentnog datuma ako su prekoračile prag na jedan referentni datuma izvješćivanja.</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13.</w:t>
      </w:r>
      <w:r>
        <w:tab/>
      </w:r>
      <w:r>
        <w:rPr>
          <w:rFonts w:ascii="Times New Roman" w:hAnsi="Times New Roman"/>
          <w:sz w:val="24"/>
          <w:szCs w:val="24"/>
        </w:rPr>
        <w:t>Institucije su u skladu s točkama 10. i 11. dužne iskazivati podatke iz sljedećih rubrika: {LR1;0010;0010}, {LR1;0010;0020}, {LR1;0020;0010}, {LR1;0020;0020}, {LR1;0030;0070}, {LR1;0040;0070}, {LR1;0050;0010}, {LR1;0050;0020}, {LR1;0060;0010}, {LR1;0060;0020} i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14.</w:t>
      </w:r>
      <w:r>
        <w:tab/>
      </w:r>
      <w:r>
        <w:rPr>
          <w:rFonts w:ascii="Times New Roman" w:hAnsi="Times New Roman"/>
          <w:sz w:val="24"/>
          <w:szCs w:val="24"/>
        </w:rPr>
        <w:t>Institucije su u skladu s točkom 12. dužne iskazivati podatke iz sljedećih rubrika: {LR1;0020;0075}, {LR1;0050;0075} i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8" w:name="_Toc359414285"/>
      <w:bookmarkStart w:id="49" w:name="_Toc423089070"/>
      <w:bookmarkStart w:id="50" w:name="_Toc322687879"/>
      <w:bookmarkStart w:id="51" w:name="_Toc315961853"/>
      <w:bookmarkStart w:id="52" w:name="_Toc58573162"/>
      <w:bookmarkEnd w:id="46"/>
      <w:r>
        <w:rPr>
          <w:rFonts w:ascii="Times New Roman" w:hAnsi="Times New Roman"/>
          <w:b/>
          <w:sz w:val="24"/>
          <w:szCs w:val="24"/>
        </w:rPr>
        <w:t>3.</w:t>
      </w:r>
      <w:r>
        <w:tab/>
      </w:r>
      <w:bookmarkStart w:id="53" w:name="_Toc351048506"/>
      <w:r>
        <w:rPr>
          <w:rFonts w:ascii="Times New Roman" w:hAnsi="Times New Roman"/>
          <w:b/>
          <w:sz w:val="24"/>
          <w:szCs w:val="24"/>
        </w:rPr>
        <w:t>C 47.00 – Izračun omjera financijske poluge</w:t>
      </w:r>
      <w:r>
        <w:t xml:space="preserve"> </w:t>
      </w:r>
      <w:bookmarkEnd w:id="53"/>
      <w:bookmarkEnd w:id="48"/>
      <w:r>
        <w:rPr>
          <w:rFonts w:ascii="Times New Roman" w:hAnsi="Times New Roman"/>
          <w:b/>
          <w:sz w:val="24"/>
          <w:szCs w:val="24"/>
        </w:rPr>
        <w:t xml:space="preserve"> (</w:t>
      </w:r>
      <w:proofErr w:type="spellStart"/>
      <w:r>
        <w:rPr>
          <w:rFonts w:ascii="Times New Roman" w:hAnsi="Times New Roman"/>
          <w:b/>
          <w:sz w:val="24"/>
          <w:szCs w:val="24"/>
        </w:rPr>
        <w:t>LRCalc</w:t>
      </w:r>
      <w:proofErr w:type="spellEnd"/>
      <w:r>
        <w:rPr>
          <w:rFonts w:ascii="Times New Roman" w:hAnsi="Times New Roman"/>
          <w:b/>
          <w:sz w:val="24"/>
          <w:szCs w:val="24"/>
        </w:rPr>
        <w:t>)</w:t>
      </w:r>
      <w:bookmarkEnd w:id="49"/>
      <w:bookmarkEnd w:id="52"/>
    </w:p>
    <w:p w14:paraId="5579B71F" w14:textId="0BB469A9"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15.</w:t>
      </w:r>
      <w:r>
        <w:tab/>
      </w:r>
      <w:r>
        <w:rPr>
          <w:rFonts w:ascii="Times New Roman" w:hAnsi="Times New Roman"/>
          <w:sz w:val="24"/>
          <w:szCs w:val="24"/>
        </w:rPr>
        <w:t xml:space="preserve">U ovom se obrascu prikupljaju podaci potrebni za izračun omjera financijske poluge kako je definirano u dijelu sedmom CRR-a.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16.</w:t>
      </w:r>
      <w:r>
        <w:tab/>
      </w:r>
      <w:r>
        <w:rPr>
          <w:rFonts w:ascii="Times New Roman" w:hAnsi="Times New Roman"/>
          <w:sz w:val="24"/>
          <w:szCs w:val="24"/>
        </w:rPr>
        <w:t>O omjeru financijske poluge institucije izvješćuju svaka tri mjeseca. U svakom tromjesečju vrijednost „na referentni datum izvješćivanja” vrijednost je na zadnji kalendarski dan trećeg mjeseca određenog tromjesečja.</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17.</w:t>
      </w:r>
      <w:r>
        <w:tab/>
      </w:r>
      <w:r>
        <w:rPr>
          <w:rFonts w:ascii="Times New Roman" w:hAnsi="Times New Roman"/>
          <w:sz w:val="24"/>
          <w:szCs w:val="24"/>
        </w:rPr>
        <w:t>Institucije stavke u odjeljku Vrijednosti izloženosti iskazuju s pozitivnim predznakom u skladu s pravilom o predznaku iz ovog Priloga dijela I. točke 9. (isključujući {LRCalc;0270;0010} i {LRCalc;0280;0010}), kao da se ne primjenjuju stavke s negativnim predznakom (na primjer izuzeća/odbici) u skladu s pravilom o predznaku iz ovog Priloga dijela I. točke 9.</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tab/>
      </w:r>
      <w:r>
        <w:rPr>
          <w:sz w:val="24"/>
        </w:rPr>
        <w:t>Svaki iznos kojim se povećava regulatorni kapital ili izloženost omjera financijske poluge iskazuje se kao pozitivan broj. Nasuprot tome, svaki iznos kojim se smanjuje ukupni regulatorni kapital ili izloženost omjera financijske poluge iskazuje se kao negativan broj. Ako oznaci stavke prethodi negativan predznak (–), očekuje se da se za tu stavku neće iskazati pozitivna vrijednost.</w:t>
      </w:r>
    </w:p>
    <w:p w14:paraId="69E62B50" w14:textId="029D4159" w:rsidR="00EC3422" w:rsidRPr="000B66BC" w:rsidRDefault="006A4991" w:rsidP="009339D1">
      <w:pPr>
        <w:pStyle w:val="InstructionsText2"/>
        <w:numPr>
          <w:ilvl w:val="0"/>
          <w:numId w:val="0"/>
        </w:numPr>
        <w:ind w:left="720" w:hanging="360"/>
        <w:rPr>
          <w:sz w:val="24"/>
        </w:rPr>
      </w:pPr>
      <w:r>
        <w:rPr>
          <w:sz w:val="24"/>
        </w:rPr>
        <w:t>19.  Ako bi se neki iznos mogao odbiti po nekoliko osnova, taj se iznos oduzima samo od izloženosti u jednom od redaka obrasca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8"/>
        <w:gridCol w:w="7513"/>
        <w:gridCol w:w="49"/>
      </w:tblGrid>
      <w:tr w:rsidR="00AE2798" w:rsidRPr="00E75BB8" w14:paraId="5579CB50" w14:textId="77777777" w:rsidTr="00C7202A">
        <w:trPr>
          <w:trHeight w:val="304"/>
        </w:trPr>
        <w:tc>
          <w:tcPr>
            <w:tcW w:w="1531" w:type="dxa"/>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90" w:type="dxa"/>
            <w:gridSpan w:val="3"/>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szCs w:val="24"/>
              </w:rPr>
              <w:t>Pravna osnova i upute</w:t>
            </w:r>
          </w:p>
        </w:tc>
      </w:tr>
      <w:tr w:rsidR="00AE2798" w:rsidRPr="00E75BB8" w14:paraId="699B1E0D" w14:textId="77777777" w:rsidTr="00C7202A">
        <w:trPr>
          <w:trHeight w:val="304"/>
        </w:trPr>
        <w:tc>
          <w:tcPr>
            <w:tcW w:w="1531" w:type="dxa"/>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szCs w:val="24"/>
              </w:rPr>
              <w:t>Redak i stupac</w:t>
            </w:r>
          </w:p>
        </w:tc>
        <w:tc>
          <w:tcPr>
            <w:tcW w:w="7590" w:type="dxa"/>
            <w:gridSpan w:val="3"/>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bCs/>
                <w:sz w:val="24"/>
                <w:szCs w:val="24"/>
              </w:rPr>
              <w:t>Vrijednosti izloženosti</w:t>
            </w:r>
          </w:p>
        </w:tc>
      </w:tr>
      <w:tr w:rsidR="00AE2798" w:rsidRPr="00E75BB8" w14:paraId="2DE0B580" w14:textId="77777777" w:rsidTr="004F0BFB">
        <w:trPr>
          <w:trHeight w:val="304"/>
        </w:trPr>
        <w:tc>
          <w:tcPr>
            <w:tcW w:w="1531" w:type="dxa"/>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590" w:type="dxa"/>
            <w:gridSpan w:val="3"/>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bCs/>
                <w:sz w:val="24"/>
                <w:szCs w:val="24"/>
              </w:rPr>
              <w:t xml:space="preserve">Transakcije financiranja vrijednosnim papirima: vrijednost izloženosti </w:t>
            </w:r>
          </w:p>
          <w:p w14:paraId="24BF7807" w14:textId="5888AF5B"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bCs/>
                <w:sz w:val="24"/>
                <w:szCs w:val="24"/>
              </w:rPr>
              <w:t>Članak 429.b</w:t>
            </w:r>
            <w:r>
              <w:rPr>
                <w:rFonts w:ascii="Times New Roman" w:hAnsi="Times New Roman"/>
                <w:sz w:val="24"/>
                <w:szCs w:val="24"/>
              </w:rPr>
              <w:t xml:space="preserve"> </w:t>
            </w:r>
            <w:r>
              <w:rPr>
                <w:rFonts w:ascii="Times New Roman" w:hAnsi="Times New Roman"/>
                <w:bCs/>
                <w:sz w:val="24"/>
                <w:szCs w:val="24"/>
              </w:rPr>
              <w:t>stavak 1. točka (b) i stavci 4. i 5. CRR-a</w:t>
            </w:r>
          </w:p>
          <w:p w14:paraId="4DADBAA1" w14:textId="2D8CC708"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Izloženost za transakcije financiranja vrijednosnim papirima izračunata u skladu s člankom 429.b stavkom 1. točkom (b) i stavcima 4. i 5. CRR-a. </w:t>
            </w:r>
          </w:p>
          <w:p w14:paraId="7B519931" w14:textId="3059ADB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u ovoj rubrici uzimaju u obzir transakcije u skladu s člankom 429.e stavkom 7. točkom (c) CRR-a.</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u ovu rubriku ne uključuju primljenu gotovinu ili vrijednosni papir dostavljen drugoj ugovornoj strani u prethodno navedenim transakcijama ili zadržan u bilanci (odnosno nisu ispunjeni računovodstveni kriteriji za prestanak priznavanja). Umjesto toga institucije te stavke uključuju u rubriku {0190;0010}.</w:t>
            </w:r>
          </w:p>
          <w:p w14:paraId="3B9A69FC" w14:textId="679F744A"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Institucije u ovu rubriku ne uključuju transakcije financiranja vrijednosnim papirima u kojima djeluju kao agent ako institucija klijentu ili drugoj ugovornoj strani pruža osiguranje ili jamstvo koje je ograničeno na razliku između vrijednosti vrijednosnog papira ili gotovine koju je klijent pozajmio i vrijednosti kolaterala što ga je dužnik osigurao u skladu s člankom 429.e stavkom 7. točkom (a) CRR-a.</w:t>
            </w:r>
          </w:p>
        </w:tc>
      </w:tr>
      <w:tr w:rsidR="00AE2798" w:rsidRPr="00E75BB8" w14:paraId="76B5A234" w14:textId="77777777" w:rsidTr="004F0BFB">
        <w:trPr>
          <w:trHeight w:val="304"/>
        </w:trPr>
        <w:tc>
          <w:tcPr>
            <w:tcW w:w="1531" w:type="dxa"/>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590" w:type="dxa"/>
            <w:gridSpan w:val="3"/>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Transakcije financiranja vrijednosnim papirima: uvećanje za kreditni rizik druge ugovorne strane</w:t>
            </w:r>
          </w:p>
          <w:p w14:paraId="54D8230E" w14:textId="6A11966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429.e stavak 1. CRR-a</w:t>
            </w:r>
          </w:p>
          <w:p w14:paraId="74373937" w14:textId="31F6D14D"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Uvećanje za kreditni rizik druge ugovorne strane u transakcijama financiranja vrijednosnim papirima, uključujući i izvanbilančne, utvrđeno u skladu s člankom 429.e stavkom 2. ili 3. i stavkom 4., ovisno o slučaju.</w:t>
            </w:r>
          </w:p>
          <w:p w14:paraId="22B58EAB" w14:textId="00A0E24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u ovoj rubrici uzimaju u obzir transakcije u skladu s člankom 429.e stavkom 7. točkom (c) CRR-a.</w:t>
            </w:r>
          </w:p>
          <w:p w14:paraId="68CF607E" w14:textId="6B3D210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u ovu rubriku ne uključuju transakcije financiranja vrijednosnim papirima u kojima djeluju kao agent ako institucija klijentu ili drugoj ugovornoj strani pruža osiguranje ili jamstvo koje je ograničeno na razliku između vrijednosti vrijednosnog papira ili gotovine koju je klijent pozajmio i vrijednosti kolaterala što ga je dužnik osigurao u skladu s člankom 429.e stavkom 7. točkom (a) CRR-a. Umjesto toga institucije te stavke uključuju u rubriku {0040;0010}.</w:t>
            </w:r>
          </w:p>
        </w:tc>
      </w:tr>
      <w:tr w:rsidR="00AE2798" w:rsidRPr="00E75BB8" w14:paraId="0276DE00" w14:textId="77777777" w:rsidTr="004F0BFB">
        <w:trPr>
          <w:trHeight w:val="304"/>
        </w:trPr>
        <w:tc>
          <w:tcPr>
            <w:tcW w:w="1531" w:type="dxa"/>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lastRenderedPageBreak/>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90" w:type="dxa"/>
            <w:gridSpan w:val="3"/>
          </w:tcPr>
          <w:p w14:paraId="49F43F40" w14:textId="5DF45BD6"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Odstupanje za transakcije financiranja vrijednosnim papirima: uvećanje u skladu s člankom 429.e stavkom 5. i člankom 222. CRR-a</w:t>
            </w:r>
          </w:p>
          <w:p w14:paraId="2D39F187" w14:textId="262182B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429.e stavak 5. i članak 222 CRR-a</w:t>
            </w:r>
          </w:p>
          <w:p w14:paraId="738B5B54" w14:textId="6EA11F04"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Vrijednost izloženosti za transakcije financiranja vrijednosnim papirima, uključujući i izvanbilančne, izračunano u skladu s člankom 222. CRR-a, pri čemu primjenjivi ponder rizika podliježe donjoj granici od 20 %. </w:t>
            </w:r>
          </w:p>
          <w:p w14:paraId="3D5D2C18" w14:textId="6253EBA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u ovoj rubrici uzimaju u obzir transakcije u skladu s člankom 429.e stavkom 7. točkom (c) CRR-a.</w:t>
            </w:r>
          </w:p>
          <w:p w14:paraId="29AD8FEA" w14:textId="232839A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u ovu rubriku ne uključuju transakcije kod kojih se dio uvećanja izloženosti vrijednosti omjera financijske poluge određuje u skladu s metodom iz članka 429.e stavka 1. CRR-a.</w:t>
            </w:r>
          </w:p>
        </w:tc>
      </w:tr>
      <w:tr w:rsidR="00AE2798" w:rsidRPr="00E75BB8" w14:paraId="5E04553E" w14:textId="77777777" w:rsidTr="004F0BFB">
        <w:trPr>
          <w:trHeight w:val="304"/>
        </w:trPr>
        <w:tc>
          <w:tcPr>
            <w:tcW w:w="1531" w:type="dxa"/>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{0040;0010}</w:t>
            </w:r>
          </w:p>
        </w:tc>
        <w:tc>
          <w:tcPr>
            <w:tcW w:w="7590" w:type="dxa"/>
            <w:gridSpan w:val="3"/>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Kreditni rizik druge ugovorne strane u transakcijama financiranja vrijednosnim papirima </w:t>
            </w:r>
          </w:p>
          <w:p w14:paraId="475F166E" w14:textId="51D7BAEF"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429.e</w:t>
            </w:r>
            <w:r>
              <w:rPr>
                <w:rFonts w:ascii="Times New Roman" w:hAnsi="Times New Roman"/>
                <w:sz w:val="24"/>
                <w:szCs w:val="24"/>
              </w:rPr>
              <w:t xml:space="preserve"> </w:t>
            </w:r>
            <w:r>
              <w:rPr>
                <w:rFonts w:ascii="Times New Roman" w:hAnsi="Times New Roman"/>
                <w:bCs/>
                <w:sz w:val="24"/>
                <w:szCs w:val="24"/>
              </w:rPr>
              <w:t>stavak 7. točka (b) i stavci 2. i 3. CRR-a</w:t>
            </w:r>
          </w:p>
          <w:p w14:paraId="1619B100" w14:textId="644E7F3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za transakcije financiranja vrijednosnim papirima u kojima institucija djeluje kao agent, ako institucija klijentu ili drugoj ugovornoj strani pruža osiguranje ili jamstvo koje je ograničeno na bilo koju razliku između vrijednosti vrijednosnog papira ili gotovine koju je klijent pozajmio i vrijednosti kolaterala što ga je dužnik osigurao u skladu s člankom 429.e stavkom 7. točkom (a) CRR-a, sastoji se samo od uvećanja utvrđenog u skladu s člankom 429.e stavkom 2. ili 3. CRR-a, ovisno o slučaju.</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u ovu rubriku ne uključuju transakcije u skladu s člankom 429.e stavkom 7. točkom (c) CRR-a. Umjesto toga institucije te stavke uključuju u rubrike {0010;0010} i {0020;0010} ili {0010;0010} i {0030;0010}, ovisno o slučaju.</w:t>
            </w:r>
          </w:p>
        </w:tc>
      </w:tr>
      <w:tr w:rsidR="00AE2798" w:rsidRPr="00E75BB8" w14:paraId="730C9B47" w14:textId="77777777" w:rsidTr="004F0BFB">
        <w:trPr>
          <w:trHeight w:val="304"/>
        </w:trPr>
        <w:tc>
          <w:tcPr>
            <w:tcW w:w="1531" w:type="dxa"/>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590" w:type="dxa"/>
            <w:gridSpan w:val="3"/>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Izuzeti dio izloženosti prema središnjoj drugoj ugovornoj strani za transakcije financiranja vrijednosnim papirima koje su poravnane preko klijenta</w:t>
            </w:r>
          </w:p>
          <w:p w14:paraId="1B6574CC" w14:textId="59F0F3F4"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429.a stavak 1. točka (g) i članak 306. stavak 1. točka (c) CRR-a</w:t>
            </w:r>
          </w:p>
          <w:p w14:paraId="5E6D8E3F" w14:textId="0BCBCF9B"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Izuzeti dio izloženosti iz trgovanja prema središnjoj drugoj ugovornoj strani za transakcije financiranja vrijednosnim papirima koje su poravnane preko klijenta, uz uvjet da te stavke </w:t>
            </w:r>
            <w:proofErr w:type="spellStart"/>
            <w:r>
              <w:rPr>
                <w:rFonts w:ascii="Times New Roman" w:hAnsi="Times New Roman"/>
                <w:bCs/>
                <w:sz w:val="24"/>
                <w:szCs w:val="24"/>
              </w:rPr>
              <w:t>ispunjuju</w:t>
            </w:r>
            <w:proofErr w:type="spellEnd"/>
            <w:r>
              <w:rPr>
                <w:rFonts w:ascii="Times New Roman" w:hAnsi="Times New Roman"/>
                <w:bCs/>
                <w:sz w:val="24"/>
                <w:szCs w:val="24"/>
              </w:rPr>
              <w:t xml:space="preserve"> uvjete utvrđene u članku 306. stavku 1. točki (c) CRR-a.</w:t>
            </w:r>
          </w:p>
          <w:p w14:paraId="39011247" w14:textId="24E8195E"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bCs/>
                <w:sz w:val="24"/>
                <w:szCs w:val="24"/>
              </w:rPr>
              <w:t>Ako je izuzeti dio transakcije sa središnjom drugom ugovornom stranom vrijednosni papir, ne iskazuje se u ovoj rubrici, osim ako je to ponovno založen vrijednosni papir koji je u skladu s primjenjivim računovodstvenim okvirom (tj. u skladu s prvom rečenicom članka 111. stavka 1. CRR-a) uključen u punoj vrijednosti.</w:t>
            </w:r>
          </w:p>
          <w:p w14:paraId="0885E19A" w14:textId="61C30BC1"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Iznos iskazan u ovoj rubrici institucije uključuju i u rubrike {0010;0010}, {0020;0010} i {0030;0010}, kao da se ne primjenjuje izuzeće te, ako je ponovno založen vrijednosni papir koji je u skladu s primjenjivim računovodstvenim okvirom uključen u punoj vrijednosti, i u rubriku {0190;0010}.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bCs/>
                <w:sz w:val="24"/>
                <w:szCs w:val="24"/>
              </w:rPr>
              <w:t>Ako postoji inicijalni iznos nadoknade koji je institucija dala za izuzeti dio transakcije financiranja vrijednosnim papirima koja je iskazana u rubrici {0190;0010}, a nije iskazana u rubrici {0020;0010} ili {0030;0010}, tada je institucija može iskazati u ovoj rubrici.</w:t>
            </w:r>
          </w:p>
        </w:tc>
      </w:tr>
      <w:tr w:rsidR="00AA0445" w:rsidRPr="00E75BB8" w14:paraId="22358CE2" w14:textId="77777777" w:rsidTr="004F0BFB">
        <w:trPr>
          <w:trHeight w:val="304"/>
        </w:trPr>
        <w:tc>
          <w:tcPr>
            <w:tcW w:w="1531" w:type="dxa"/>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Izvedenice: uplata za trošak zamjene u skladu sa standardiziranim pristupom za kreditni rizik druge ugovorne strane (bez učinka kolaterala na NICA-u) </w:t>
            </w:r>
          </w:p>
          <w:p w14:paraId="303004A2" w14:textId="27BF7508"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429.c stavak 1. CRR-a</w:t>
            </w:r>
          </w:p>
          <w:p w14:paraId="3B8148BD" w14:textId="541319E8"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bCs/>
                <w:sz w:val="24"/>
                <w:szCs w:val="24"/>
              </w:rPr>
              <w:t>Trošak zamjene u skladu s člankom 275. CRR-a bez učinka kolaterala na NICA-u i bez učinka varijacijskog iznosa nadoknade. Za potrebe ove rubrike institucije ne primjenjuju odstupanja iz članka 429.c stavaka 3. i 4. i članka 429.a stavka 1. točke (g) CRR-a. Iznos se iskazuje s parametrom alfa 1,4 koji se primjenjuje kako je navedeno u članku 274. stavku 2. CRR-a.</w:t>
            </w:r>
          </w:p>
          <w:p w14:paraId="69D03BFF" w14:textId="6D701FF0" w:rsidR="000864F6"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Kako je određeno člankom 429.c stavkom 1. CRR-a, institucije mogu uzeti u obzir učinke ugovora o obnovi i drugih sporazuma o </w:t>
            </w:r>
            <w:proofErr w:type="spellStart"/>
            <w:r>
              <w:rPr>
                <w:rFonts w:ascii="Times New Roman" w:hAnsi="Times New Roman"/>
                <w:bCs/>
                <w:sz w:val="24"/>
                <w:szCs w:val="24"/>
              </w:rPr>
              <w:t>netiranju</w:t>
            </w:r>
            <w:proofErr w:type="spellEnd"/>
            <w:r>
              <w:rPr>
                <w:rFonts w:ascii="Times New Roman" w:hAnsi="Times New Roman"/>
                <w:bCs/>
                <w:sz w:val="24"/>
                <w:szCs w:val="24"/>
              </w:rPr>
              <w:t xml:space="preserve"> u skladu s člankom 295. CRR-a. Ne primjenjuje se netiranje između različitih kategorija proizvoda. Međutim, institucijama je dopušteno netiranje unutar kategorije proizvoda iz članka 272. točke 25. podtočke (c) CRR-a i kreditnih izvedenica ako su one predmet sporazuma o </w:t>
            </w:r>
            <w:proofErr w:type="spellStart"/>
            <w:r>
              <w:rPr>
                <w:rFonts w:ascii="Times New Roman" w:hAnsi="Times New Roman"/>
                <w:bCs/>
                <w:sz w:val="24"/>
                <w:szCs w:val="24"/>
              </w:rPr>
              <w:t>netiranju</w:t>
            </w:r>
            <w:proofErr w:type="spellEnd"/>
            <w:r>
              <w:rPr>
                <w:rFonts w:ascii="Times New Roman" w:hAnsi="Times New Roman"/>
                <w:bCs/>
                <w:sz w:val="24"/>
                <w:szCs w:val="24"/>
              </w:rPr>
              <w:t xml:space="preserve"> između različitih kategorija proizvoda iz članka 295. točke (c) CRR-a.</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uključuju sve kreditne izvedenice, a ne samo one u knjizi trgovanja.</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bCs/>
                <w:sz w:val="24"/>
                <w:szCs w:val="24"/>
              </w:rPr>
              <w:t>Institucije u ovoj rubrici ne uzimaju u obzir ugovore koji se mjere primjenom pojednostavnjenog standardiziranog pristupa ili metode originalne izloženosti.</w:t>
            </w:r>
          </w:p>
        </w:tc>
      </w:tr>
      <w:tr w:rsidR="00AA0445" w:rsidRPr="00E75BB8" w14:paraId="6839640F" w14:textId="77777777" w:rsidTr="004F0BFB">
        <w:trPr>
          <w:trHeight w:val="304"/>
        </w:trPr>
        <w:tc>
          <w:tcPr>
            <w:tcW w:w="1531" w:type="dxa"/>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Učinak priznavanja kolaterala na NICA-u u transakcijama kvalificirane druge ugovorne strane koje su poravnane preko klijenta (standardizirani pristup za kreditni rizik druge ugovorne strane – trošak zamjene)</w:t>
            </w:r>
          </w:p>
          <w:p w14:paraId="4393A5C2" w14:textId="23AF44DC"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429.c stavak 4. CRR-a</w:t>
            </w:r>
          </w:p>
          <w:p w14:paraId="5BDFEC31" w14:textId="38299D03"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bCs/>
                <w:sz w:val="24"/>
                <w:szCs w:val="24"/>
              </w:rPr>
              <w:t>Primjena odstupanja iz članka 429.c stavka 4. CRR-a na izračun troška zamjene za ugovore o izvedenicama s klijentima ako te ugovore poravnava kvalificirana središnja druga ugovorna strana. Iznos se iskazuje s parametrom alfa 1,4 koji se primjenjuje kako je navedeno u članku 274. stavku 2. CRR-a.</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Iznos iskazan u ovoj rubrici institucije uključuju i u {0061;0010} kao da odstupanje nije primijenjeno.</w:t>
            </w:r>
          </w:p>
        </w:tc>
      </w:tr>
      <w:tr w:rsidR="00B451A5" w:rsidRPr="00E75BB8" w14:paraId="708471F4"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bCs/>
                <w:sz w:val="24"/>
                <w:szCs w:val="24"/>
              </w:rPr>
              <w:lastRenderedPageBreak/>
              <w:t>{0071;0010}</w:t>
            </w:r>
          </w:p>
        </w:tc>
        <w:tc>
          <w:tcPr>
            <w:tcW w:w="7513"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Učinak prihvatljivog primljenog gotovinskog varijacijskog iznosa nadoknade uz prijeboj tržišnom vrijednošću izvedenica (standardizirani pristup za kreditni rizik druge ugovorne strane – trošak zamjene)</w:t>
            </w:r>
          </w:p>
          <w:p w14:paraId="1A368C0C"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429.c stavak 3. CRR-a</w:t>
            </w:r>
          </w:p>
          <w:p w14:paraId="04F99B6B" w14:textId="6C270CB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Gotovinski varijacijski iznos nadoknade primljene od druge ugovorne strane prihvatljiv za prijeboj dijelom troška zamjene izloženosti izvedenica u skladu s člankom 429.c stavkom 3. CRR-a. Iznos se iskazuje s parametrom alfa 1,4 koji se primjenjuje kako je navedeno u članku 274. stavku 2. CRR-a.</w:t>
            </w:r>
          </w:p>
          <w:p w14:paraId="0D6BE08A" w14:textId="311F868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Ne iskazuje se gotovinski varijacijski iznos nadoknade primljene na izuzetom dijelu transakcije s drugom ugovornom stranom u skladu s člankom 429.a stavkom 1. CRR-a.</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Iznos iskazan u ovoj rubrici institucije uključuju i u {0061;0010} kao da se ne primjenjuje odbitak gotovinskog varijacijskog iznosa nadoknade.</w:t>
            </w:r>
          </w:p>
        </w:tc>
      </w:tr>
      <w:tr w:rsidR="00B451A5" w:rsidRPr="00E75BB8" w14:paraId="2A6BC469"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bCs/>
                <w:sz w:val="24"/>
                <w:szCs w:val="24"/>
              </w:rPr>
              <w:t>{0081;0010}</w:t>
            </w:r>
          </w:p>
        </w:tc>
        <w:tc>
          <w:tcPr>
            <w:tcW w:w="7513"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Učinak izuzetog dijela izloženosti iz trgovanja prema središnjoj drugoj ugovornoj strani koje su poravnane preko klijenta (standardizirani pristup za kreditni rizik druge ugovorne strane – trošak zamjene)</w:t>
            </w:r>
          </w:p>
          <w:p w14:paraId="4B3A4644"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429.a stavak 1. točka (g) CRR-a</w:t>
            </w:r>
          </w:p>
          <w:p w14:paraId="2F8AB13D"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Dio troška zamjene izuzete izloženosti iz trgovanja prema kvalificiranoj središnjoj drugoj ugovornoj strani iz transakcija izvedenicama koje su poravnane preko klijenta, uz uvjet da te stavke </w:t>
            </w:r>
            <w:proofErr w:type="spellStart"/>
            <w:r>
              <w:rPr>
                <w:rFonts w:ascii="Times New Roman" w:hAnsi="Times New Roman"/>
                <w:bCs/>
                <w:sz w:val="24"/>
                <w:szCs w:val="24"/>
              </w:rPr>
              <w:t>ispunjuju</w:t>
            </w:r>
            <w:proofErr w:type="spellEnd"/>
            <w:r>
              <w:rPr>
                <w:rFonts w:ascii="Times New Roman" w:hAnsi="Times New Roman"/>
                <w:bCs/>
                <w:sz w:val="24"/>
                <w:szCs w:val="24"/>
              </w:rPr>
              <w:t xml:space="preserve"> uvjete utvrđene u članku 306. stavku 1. točki (c) CRR-a. Taj se iznos iskazuje uključujući gotovinski varijacijski iznos nadoknade primljene na tom dijelu. Iznos se iskazuje s parametrom alfa 1,4 koji se primjenjuje kako je navedeno u članku 274. stavku 2. CRR-a.</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Iznos iskazan u ovoj rubrici institucije uključuju i u {0061;0010} kao da se izuzeće ne primjenjuje.</w:t>
            </w:r>
          </w:p>
        </w:tc>
      </w:tr>
      <w:tr w:rsidR="00BE4B9E" w:rsidRPr="00E75BB8" w14:paraId="21C5C5EE" w14:textId="77777777" w:rsidTr="004F0BFB">
        <w:trPr>
          <w:trHeight w:val="304"/>
        </w:trPr>
        <w:tc>
          <w:tcPr>
            <w:tcW w:w="1531" w:type="dxa"/>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{0091;0010}</w:t>
            </w:r>
          </w:p>
        </w:tc>
        <w:tc>
          <w:tcPr>
            <w:tcW w:w="7590" w:type="dxa"/>
            <w:gridSpan w:val="3"/>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Izvedenice: Uplata za potencijalnu buduću izloženost u skladu sa standardiziranim pristupom za kreditni rizik druge ugovorne strane (multiplikator 1) </w:t>
            </w:r>
          </w:p>
          <w:p w14:paraId="11FEB8DF" w14:textId="5E3F076A"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429.c stavak 5. CRR-a</w:t>
            </w:r>
          </w:p>
          <w:p w14:paraId="77480A73" w14:textId="5C993BF9"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Potencijalna buduća izloženost u skladu s člankom 278. CRR-a uz pretpostavku multiplikatora 1, tj. bez primjene odstupanja za ugovore s klijentima ako te ugovore poravnava kvalificirana druga ugovorna strana iz </w:t>
            </w:r>
            <w:r>
              <w:rPr>
                <w:rFonts w:ascii="Times New Roman" w:hAnsi="Times New Roman"/>
                <w:bCs/>
                <w:sz w:val="24"/>
                <w:szCs w:val="24"/>
              </w:rPr>
              <w:lastRenderedPageBreak/>
              <w:t>članka 429.c stavka 5. CRR-a. Iznos se iskazuje s parametrom alfa 1,4 koji se primjenjuje kako je navedeno u članku 274. stavku 2. CRR-a.</w:t>
            </w:r>
          </w:p>
        </w:tc>
      </w:tr>
      <w:tr w:rsidR="00BE4B9E" w:rsidRPr="00E75BB8" w14:paraId="1F0CF2B9" w14:textId="77777777" w:rsidTr="004F0BFB">
        <w:trPr>
          <w:trHeight w:val="304"/>
        </w:trPr>
        <w:tc>
          <w:tcPr>
            <w:tcW w:w="1531" w:type="dxa"/>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{0092;0010}</w:t>
            </w:r>
          </w:p>
        </w:tc>
        <w:tc>
          <w:tcPr>
            <w:tcW w:w="7590" w:type="dxa"/>
            <w:gridSpan w:val="3"/>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Učinak nižeg multiplikatora za transakcije kvalificirane druge ugovorne strane koje su poravnane preko klijenta na uplatu za potencijalnu buduću izloženost (standardizirani pristup za kreditni rizik druge ugovorne strane – potencijalna buduća izloženost)</w:t>
            </w:r>
          </w:p>
          <w:p w14:paraId="51309425" w14:textId="7D9EB3B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429.c stavak 5. CRR-a</w:t>
            </w:r>
          </w:p>
          <w:p w14:paraId="36AD83FD" w14:textId="6042A3D2"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bCs/>
                <w:sz w:val="24"/>
                <w:szCs w:val="24"/>
              </w:rPr>
              <w:t>Primjena odstupanja iz članka 429.c stavka 5. CRR-a na izračun potencijalne buduće izloženosti za ugovore o izvedenicama s klijentima ako te ugovore poravnava kvalificirana središnja druga ugovorna strana. Iznos se iskazuje s parametrom alfa 1,4 koji se primjenjuje kako je navedeno u članku 274. stavku 2. CRR-a.</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Iznos iskazan u ovoj rubrici institucije uključuju i u {0091;0010} kao da odstupanje nije primijenjeno.</w:t>
            </w:r>
          </w:p>
        </w:tc>
      </w:tr>
      <w:tr w:rsidR="00721D6C" w:rsidRPr="00E75BB8" w14:paraId="337DFBE3" w14:textId="77777777" w:rsidTr="004F0BFB">
        <w:trPr>
          <w:trHeight w:val="304"/>
        </w:trPr>
        <w:tc>
          <w:tcPr>
            <w:tcW w:w="1531" w:type="dxa"/>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bCs/>
                <w:sz w:val="24"/>
                <w:szCs w:val="24"/>
              </w:rPr>
              <w:t>{0093;0010}</w:t>
            </w:r>
          </w:p>
        </w:tc>
        <w:tc>
          <w:tcPr>
            <w:tcW w:w="7590" w:type="dxa"/>
            <w:gridSpan w:val="3"/>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Učinak izuzetog dijela izloženosti iz trgovanja prema središnjoj drugoj ugovornoj strani koje su poravnane preko klijenta (standardizirani pristup za kreditni rizik druge ugovorne strane – potencijalna buduća izloženost)</w:t>
            </w:r>
          </w:p>
          <w:p w14:paraId="638E19CF" w14:textId="71B8ABE4"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429.a stavak 1. točka (g) CRR-a</w:t>
            </w:r>
          </w:p>
          <w:p w14:paraId="3C911695" w14:textId="3127CB2D"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Potencijalna buduća izloženost izuzetih izloženosti iz trgovanja prema kvalificiranoj središnjoj ugovornoj strani iz transakcija izvedenicama koje su poravnane preko klijenta, uz uvjet da te stavke </w:t>
            </w:r>
            <w:proofErr w:type="spellStart"/>
            <w:r>
              <w:rPr>
                <w:rFonts w:ascii="Times New Roman" w:hAnsi="Times New Roman"/>
                <w:bCs/>
                <w:sz w:val="24"/>
                <w:szCs w:val="24"/>
              </w:rPr>
              <w:t>ispunjuju</w:t>
            </w:r>
            <w:proofErr w:type="spellEnd"/>
            <w:r>
              <w:rPr>
                <w:rFonts w:ascii="Times New Roman" w:hAnsi="Times New Roman"/>
                <w:bCs/>
                <w:sz w:val="24"/>
                <w:szCs w:val="24"/>
              </w:rPr>
              <w:t xml:space="preserve"> uvjete utvrđene u članku 306. stavku 1. točki (c) CRR-a. Iznos se iskazuje s parametrom alfa 1,4 koji se primjenjuje kako je navedeno u članku 274. stavku 2. CRR-a.</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Iznos iskazan u ovoj rubrici institucije uključuju i u {0091;0010} kao da se izuzeće ne primjenjuje.</w:t>
            </w:r>
          </w:p>
        </w:tc>
      </w:tr>
      <w:tr w:rsidR="001D7778" w:rsidRPr="00E75BB8"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bCs/>
                <w:sz w:val="24"/>
                <w:szCs w:val="24"/>
              </w:rPr>
              <w:t>{0101;0010}</w:t>
            </w:r>
          </w:p>
        </w:tc>
        <w:tc>
          <w:tcPr>
            <w:tcW w:w="7590" w:type="dxa"/>
            <w:gridSpan w:val="3"/>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Odstupanje za izvedenice: uplata za troškove zamjene u skladu s pojednostavnjenim standardiziranim pristupom </w:t>
            </w:r>
          </w:p>
          <w:p w14:paraId="729E4C3C" w14:textId="77777777"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429.c stavak 6. i članak 281. CRR-a</w:t>
            </w:r>
          </w:p>
          <w:p w14:paraId="4582CAFD" w14:textId="145A1646"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U ovoj se rubrici navodi mjera izloženosti ugovora navedenih u Prilogu II. CRR-u točkama 1. i 2. koja se izračunava u skladu s pojednostavnjenim standardiziranim pristupom iz članka 281. CRR-a. Iznos se iskazuje s parametrom alfa 1,4 koji se primjenjuje kako je navedeno u članku 274. stavku 2. CRR-a.</w:t>
            </w:r>
          </w:p>
          <w:p w14:paraId="6AF43C3C" w14:textId="27EB1189"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Institucije koje primjenjuju pojednostavnjeni standardizirani pristup ne umanjuju ukupnu mjeru izloženosti za iznos nadoknade primljene u skladu s člankom 429.c stavkom 6. CRR-a. Zato se ne primjenjuje izuzeće za ugovore </w:t>
            </w:r>
            <w:r>
              <w:rPr>
                <w:rFonts w:ascii="Times New Roman" w:hAnsi="Times New Roman"/>
                <w:bCs/>
                <w:sz w:val="24"/>
                <w:szCs w:val="24"/>
              </w:rPr>
              <w:lastRenderedPageBreak/>
              <w:t>o izvedenicama s klijentima ako te ugovore poravnava kvalificirana druga ugovorna strana u skladu s člankom 429.c stavkom 4. CRR-a.</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u ovoj rubrici ne uzimaju u obzir ugovore koji se mjere primjenom standardiziranog pristupa za kreditni rizik druge ugovorne strane ili metode originalne izloženosti.</w:t>
            </w:r>
          </w:p>
        </w:tc>
      </w:tr>
      <w:tr w:rsidR="00CB48CC" w:rsidRPr="00E75BB8" w14:paraId="177E0E57" w14:textId="77777777" w:rsidTr="004F0BFB">
        <w:trPr>
          <w:trHeight w:val="304"/>
        </w:trPr>
        <w:tc>
          <w:tcPr>
            <w:tcW w:w="1531" w:type="dxa"/>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{0102;0010}</w:t>
            </w:r>
          </w:p>
        </w:tc>
        <w:tc>
          <w:tcPr>
            <w:tcW w:w="7590" w:type="dxa"/>
            <w:gridSpan w:val="3"/>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Učinak izuzetog dijela izloženosti iz trgovanja prema središnjoj drugoj ugovornoj strani koje su poravnane preko klijenta (pojednostavnjeni standardizirani pristup – trošak zamjene)</w:t>
            </w:r>
          </w:p>
          <w:p w14:paraId="145D251C" w14:textId="0940A089"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429.a stavak 1. točka (g) CRR-a</w:t>
            </w:r>
          </w:p>
          <w:p w14:paraId="577C5D50" w14:textId="77C00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Dio troška zamjene izuzete izloženosti iz trgovanja prema kvalificiranoj središnjoj drugoj ugovornoj strani iz transakcija izvedenicama koje su poravnane preko klijenta, uz uvjet da te stavke </w:t>
            </w:r>
            <w:proofErr w:type="spellStart"/>
            <w:r>
              <w:rPr>
                <w:rFonts w:ascii="Times New Roman" w:hAnsi="Times New Roman"/>
                <w:bCs/>
                <w:sz w:val="24"/>
                <w:szCs w:val="24"/>
              </w:rPr>
              <w:t>ispunjuju</w:t>
            </w:r>
            <w:proofErr w:type="spellEnd"/>
            <w:r>
              <w:rPr>
                <w:rFonts w:ascii="Times New Roman" w:hAnsi="Times New Roman"/>
                <w:bCs/>
                <w:sz w:val="24"/>
                <w:szCs w:val="24"/>
              </w:rPr>
              <w:t xml:space="preserve"> uvjete utvrđene u članku 306. stavku 1. točki (c) CRR-a. Taj se iznos iskazuje uključujući gotovinski varijacijski iznos nadoknade primljene na tom dijelu. Iznos se iskazuje s parametrom alfa 1,4 koji se primjenjuje kako je navedeno u članku 274. stavku 2. CRR-a. </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Iznos iskazan u ovoj rubrici institucije uključuju i u {0101;0010} kao da se izuzeće ne primjenjuje.</w:t>
            </w:r>
          </w:p>
        </w:tc>
      </w:tr>
      <w:tr w:rsidR="00CB48CC" w:rsidRPr="00E75BB8" w14:paraId="77B81E13" w14:textId="77777777" w:rsidTr="004F0BFB">
        <w:trPr>
          <w:trHeight w:val="304"/>
        </w:trPr>
        <w:tc>
          <w:tcPr>
            <w:tcW w:w="1531" w:type="dxa"/>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{0103;0010}</w:t>
            </w:r>
          </w:p>
        </w:tc>
        <w:tc>
          <w:tcPr>
            <w:tcW w:w="7590" w:type="dxa"/>
            <w:gridSpan w:val="3"/>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Odstupanje za izvedenice: Uplata za potencijalnu buduću izloženost u skladu s pojednostavnjenim standardiziranim pristupom (multiplikator 1) </w:t>
            </w:r>
          </w:p>
          <w:p w14:paraId="39DE43B2" w14:textId="3ADD9785" w:rsidR="009E7F70" w:rsidRPr="000B66BC" w:rsidRDefault="00803ED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Članak 281. stavak 2. točka (f) i članak 429.c stavak 6. CRR-a</w:t>
            </w:r>
          </w:p>
          <w:p w14:paraId="5B7322DC" w14:textId="620AA314" w:rsidR="00201339" w:rsidRPr="000B66BC" w:rsidRDefault="009E7F70" w:rsidP="000B66BC">
            <w:pPr>
              <w:pStyle w:val="BodyText1"/>
              <w:spacing w:after="240"/>
              <w:rPr>
                <w:rFonts w:ascii="Times New Roman" w:hAnsi="Times New Roman"/>
                <w:bCs/>
                <w:sz w:val="24"/>
                <w:szCs w:val="24"/>
              </w:rPr>
            </w:pPr>
            <w:r>
              <w:rPr>
                <w:rFonts w:ascii="Times New Roman" w:hAnsi="Times New Roman"/>
                <w:bCs/>
                <w:sz w:val="24"/>
                <w:szCs w:val="24"/>
              </w:rPr>
              <w:t>Potencijalna buduća izloženost u skladu s pojednostavnjenim standardiziranim pristupom iz članka 281. CRR-a uz pretpostavku multiplikatora 1. Iznos se iskazuje s parametrom alfa 1,4 koji se primjenjuje kako je navedeno u članku 274. stavku 2. CRR-a.</w:t>
            </w:r>
          </w:p>
          <w:p w14:paraId="3AE17E54" w14:textId="4D1F2755" w:rsidR="00CB48CC" w:rsidRPr="000B66BC" w:rsidRDefault="00201339" w:rsidP="000B66BC">
            <w:pPr>
              <w:pStyle w:val="BodyText1"/>
              <w:spacing w:after="240"/>
              <w:rPr>
                <w:rFonts w:ascii="Times New Roman" w:hAnsi="Times New Roman"/>
                <w:b/>
                <w:bCs/>
                <w:sz w:val="24"/>
                <w:szCs w:val="24"/>
              </w:rPr>
            </w:pPr>
            <w:r>
              <w:rPr>
                <w:rFonts w:ascii="Times New Roman" w:hAnsi="Times New Roman"/>
                <w:bCs/>
                <w:sz w:val="24"/>
                <w:szCs w:val="24"/>
              </w:rPr>
              <w:t>Institucije koje primjenjuju pojednostavnjeni standardizirani pristup ne umanjuju ukupnu mjeru izloženosti za iznos nadoknade primljene u skladu s člankom 429.c stavkom 6. CRR-a.</w:t>
            </w:r>
            <w:r>
              <w:rPr>
                <w:sz w:val="24"/>
                <w:szCs w:val="24"/>
              </w:rPr>
              <w:t xml:space="preserve"> </w:t>
            </w:r>
          </w:p>
        </w:tc>
      </w:tr>
      <w:tr w:rsidR="00E1595A" w:rsidRPr="00E75BB8"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bCs/>
                <w:sz w:val="24"/>
                <w:szCs w:val="24"/>
              </w:rPr>
              <w:t>{0104;0010}</w:t>
            </w:r>
          </w:p>
        </w:tc>
        <w:tc>
          <w:tcPr>
            <w:tcW w:w="7590" w:type="dxa"/>
            <w:gridSpan w:val="3"/>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Učinak izuzetog dijela izloženosti iz trgovanja prema središnjoj drugoj ugovornoj strani koje su poravnane preko klijenta (pojednostavnjeni standardizirani pristup – potencijalna buduća izloženost)</w:t>
            </w:r>
          </w:p>
          <w:p w14:paraId="350D0B05" w14:textId="3F34C564"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429.a stavak 1. točka (g) CRR-a</w:t>
            </w:r>
          </w:p>
          <w:p w14:paraId="7020C299" w14:textId="77777777"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Potencijalna buduća izloženost izuzetih izloženosti iz trgovanja prema kvalificiranoj središnjoj ugovornoj strani iz transakcija izvedenicama koje su poravnane preko klijenta, uz uvjet da te stavke </w:t>
            </w:r>
            <w:proofErr w:type="spellStart"/>
            <w:r>
              <w:rPr>
                <w:rFonts w:ascii="Times New Roman" w:hAnsi="Times New Roman"/>
                <w:bCs/>
                <w:sz w:val="24"/>
                <w:szCs w:val="24"/>
              </w:rPr>
              <w:t>ispunjuju</w:t>
            </w:r>
            <w:proofErr w:type="spellEnd"/>
            <w:r>
              <w:rPr>
                <w:rFonts w:ascii="Times New Roman" w:hAnsi="Times New Roman"/>
                <w:bCs/>
                <w:sz w:val="24"/>
                <w:szCs w:val="24"/>
              </w:rPr>
              <w:t xml:space="preserve"> uvjete utvrđene u </w:t>
            </w:r>
            <w:r>
              <w:rPr>
                <w:rFonts w:ascii="Times New Roman" w:hAnsi="Times New Roman"/>
                <w:bCs/>
                <w:sz w:val="24"/>
                <w:szCs w:val="24"/>
              </w:rPr>
              <w:lastRenderedPageBreak/>
              <w:t>članku 306. stavku 1. točki (c) CRR-a. Iznos se iskazuje s parametrom alfa 1,4 koji se primjenjuje kako je navedeno u članku 274. stavku 2. CRR-a.</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Iznos iskazan u ovoj rubrici institucije uključuju i u {0103;0010} kao da se izuzeće ne primjenjuje.</w:t>
            </w:r>
          </w:p>
        </w:tc>
      </w:tr>
      <w:tr w:rsidR="00CB48CC" w:rsidRPr="00E75BB8" w14:paraId="28BF0347" w14:textId="77777777" w:rsidTr="00E1595A">
        <w:trPr>
          <w:trHeight w:val="304"/>
        </w:trPr>
        <w:tc>
          <w:tcPr>
            <w:tcW w:w="1531" w:type="dxa"/>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Odstupanje za izvedenice: metoda originalne izloženosti</w:t>
            </w:r>
          </w:p>
          <w:p w14:paraId="6E5CD50D" w14:textId="2D0AEC2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429.c stavak 6. i članak 282. CRR-a</w:t>
            </w:r>
          </w:p>
          <w:p w14:paraId="394FA10D" w14:textId="2507C2F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U ovoj se rubrici navodi mjera izloženosti ugovora navedenih u Prilogu II. CRR-u točkama 1. i 2. koja se izračunava u skladu s metodom originalne izloženosti iz članka 282. CRR-a.</w:t>
            </w:r>
          </w:p>
          <w:p w14:paraId="0B0A4108" w14:textId="0C20B7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koje primjenjuju metodu originalne izloženosti ne umanjuju ukupnu mjeru izloženosti za iznos nadoknade primljene u skladu s člankom 429.c stavkom 6. CRR-a.</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Institucije koje ne koriste metodu originalne izloženosti ne </w:t>
            </w:r>
            <w:proofErr w:type="spellStart"/>
            <w:r>
              <w:rPr>
                <w:rFonts w:ascii="Times New Roman" w:hAnsi="Times New Roman"/>
                <w:bCs/>
                <w:sz w:val="24"/>
                <w:szCs w:val="24"/>
              </w:rPr>
              <w:t>ispunjuju</w:t>
            </w:r>
            <w:proofErr w:type="spellEnd"/>
            <w:r>
              <w:rPr>
                <w:rFonts w:ascii="Times New Roman" w:hAnsi="Times New Roman"/>
                <w:bCs/>
                <w:sz w:val="24"/>
                <w:szCs w:val="24"/>
              </w:rPr>
              <w:t xml:space="preserve"> ovu rubriku.</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Institucije u ovoj rubrici ne uzimaju u obzir ugovore koji se mjere primjenom standardiziranog pristupa za kreditni rizik druge ugovorne strane ili pojednostavnjenog standardiziranog pristupa.</w:t>
            </w:r>
          </w:p>
        </w:tc>
      </w:tr>
      <w:tr w:rsidR="00CB48CC" w:rsidRPr="00E75BB8" w14:paraId="3B7D8618" w14:textId="77777777" w:rsidTr="00E1595A">
        <w:trPr>
          <w:trHeight w:val="304"/>
        </w:trPr>
        <w:tc>
          <w:tcPr>
            <w:tcW w:w="1531" w:type="dxa"/>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590" w:type="dxa"/>
            <w:gridSpan w:val="3"/>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Izuzeti dio izloženosti iz trgovanja prema središnjoj drugoj ugovornoj strani koje su poravnane preko klijenta (metoda originalne izloženosti)</w:t>
            </w:r>
          </w:p>
          <w:p w14:paraId="7A371D92" w14:textId="7C6BD53C"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429.a stavak 1. točka (g) CRR-a</w:t>
            </w:r>
          </w:p>
          <w:p w14:paraId="6CD3BE79" w14:textId="4FE04ED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Izuzeti dio izloženosti iz trgovanja prema središnjoj drugoj ugovornoj strani koje su poravnane preko klijenta pri primjeni metode originalne izloženosti kako je utvrđena u članku 282. CRR-a, uz uvjet da te stavke </w:t>
            </w:r>
            <w:proofErr w:type="spellStart"/>
            <w:r>
              <w:rPr>
                <w:rFonts w:ascii="Times New Roman" w:hAnsi="Times New Roman"/>
                <w:bCs/>
                <w:sz w:val="24"/>
                <w:szCs w:val="24"/>
              </w:rPr>
              <w:t>ispunjuju</w:t>
            </w:r>
            <w:proofErr w:type="spellEnd"/>
            <w:r>
              <w:rPr>
                <w:rFonts w:ascii="Times New Roman" w:hAnsi="Times New Roman"/>
                <w:bCs/>
                <w:sz w:val="24"/>
                <w:szCs w:val="24"/>
              </w:rPr>
              <w:t xml:space="preserve"> uvjete iz članka 306. stavka 1. točke (c) CRR-a.</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Iznos iskazan u ovoj rubrici institucije uključuju i u {0110;0010} kao da se izuzeće ne primjenjuje.</w:t>
            </w:r>
          </w:p>
        </w:tc>
      </w:tr>
      <w:tr w:rsidR="00CB48CC" w:rsidRPr="00E75BB8" w14:paraId="5029F8E7" w14:textId="77777777" w:rsidTr="00E1595A">
        <w:trPr>
          <w:trHeight w:val="304"/>
        </w:trPr>
        <w:tc>
          <w:tcPr>
            <w:tcW w:w="1531" w:type="dxa"/>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590" w:type="dxa"/>
            <w:gridSpan w:val="3"/>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Gornja granica zamišljenog iznosa prodanih kreditnih izvedenica</w:t>
            </w:r>
          </w:p>
          <w:p w14:paraId="3144DF47" w14:textId="2DF8394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429.d CRR-a</w:t>
            </w:r>
          </w:p>
          <w:p w14:paraId="7435D499" w14:textId="489D0FDD"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utvrđuju gornju granicu zamišljenog iznosa prodanih kreditnih izvedenica kako je definirano u članku 429.d stavku 1., u skladu s člankom 429.d CRR-a.</w:t>
            </w:r>
          </w:p>
        </w:tc>
      </w:tr>
      <w:tr w:rsidR="00CB48CC" w:rsidRPr="00E75BB8" w14:paraId="5DA0B9DC" w14:textId="77777777" w:rsidTr="00E1595A">
        <w:trPr>
          <w:trHeight w:val="304"/>
        </w:trPr>
        <w:tc>
          <w:tcPr>
            <w:tcW w:w="1531" w:type="dxa"/>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590" w:type="dxa"/>
            <w:gridSpan w:val="3"/>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Prihvatljive kupljene kreditne izvedenice prebijene prodanim kreditnim izvedenicama</w:t>
            </w:r>
          </w:p>
          <w:p w14:paraId="64C8DF12" w14:textId="33012B9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429.d CRR-a</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Gornja granica zamišljenog iznosa kupljenih kreditnih izvedenica (odnosno ako institucija kupuje kreditnu zaštitu od druge ugovorne strane) za iste referentne subjekte za koje je institucija prodala kreditne izvedenice ako je preostali rok do dospijeća kupljene zaštite jednak ili dulji od preostalog dospijeća prodane zaštite. Zato vrijednost ne smije biti veća od vrijednosti iskazane u rubrici {0130;0010} za svaki referentni subjekt.</w:t>
            </w:r>
          </w:p>
        </w:tc>
      </w:tr>
      <w:tr w:rsidR="00CB48CC" w:rsidRPr="00E75BB8" w14:paraId="31F41404" w14:textId="77777777" w:rsidTr="00E1595A">
        <w:trPr>
          <w:trHeight w:val="983"/>
        </w:trPr>
        <w:tc>
          <w:tcPr>
            <w:tcW w:w="1531" w:type="dxa"/>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4E086B7E" w14:textId="7D519EE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Izvanbilančne stavke s kreditnim konverzijskim faktorom 10 % u skladu s člankom 429.f CRR-a</w:t>
            </w:r>
          </w:p>
          <w:p w14:paraId="7C110152" w14:textId="3F4973A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429.f, članak 111. stavak 1. točka (d) i članak 166. stavak 9. CRR-a</w:t>
            </w:r>
          </w:p>
          <w:p w14:paraId="6707D5C8" w14:textId="57D30EE2"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u skladu s člankom 429.f i člankom 111. stavkom 1. točkom (d) CRR-a, izvanbilančnih stavki s niskim rizikom kojima bi se pripisao kreditni konverzijski faktor</w:t>
            </w:r>
            <w:r>
              <w:rPr>
                <w:rFonts w:ascii="Times New Roman" w:hAnsi="Times New Roman"/>
                <w:sz w:val="24"/>
                <w:szCs w:val="24"/>
              </w:rPr>
              <w:t xml:space="preserve"> </w:t>
            </w:r>
            <w:r>
              <w:rPr>
                <w:rFonts w:ascii="Times New Roman" w:hAnsi="Times New Roman"/>
                <w:iCs/>
                <w:sz w:val="24"/>
                <w:szCs w:val="24"/>
              </w:rPr>
              <w:t xml:space="preserve">od 0 % iz Priloga I. CRR-u točke 4. </w:t>
            </w:r>
            <w:proofErr w:type="spellStart"/>
            <w:r>
              <w:rPr>
                <w:rFonts w:ascii="Times New Roman" w:hAnsi="Times New Roman"/>
                <w:iCs/>
                <w:sz w:val="24"/>
                <w:szCs w:val="24"/>
              </w:rPr>
              <w:t>podtočaka</w:t>
            </w:r>
            <w:proofErr w:type="spellEnd"/>
            <w:r>
              <w:rPr>
                <w:rFonts w:ascii="Times New Roman" w:hAnsi="Times New Roman"/>
                <w:iCs/>
                <w:sz w:val="24"/>
                <w:szCs w:val="24"/>
              </w:rPr>
              <w:t xml:space="preserve"> od (a) do (c)</w:t>
            </w:r>
            <w:r>
              <w:rPr>
                <w:rFonts w:ascii="Times New Roman" w:hAnsi="Times New Roman"/>
                <w:bCs/>
                <w:sz w:val="24"/>
                <w:szCs w:val="24"/>
              </w:rPr>
              <w:t xml:space="preserve"> (treba podsjetiti da je ovdje vrijednost izloženosti 10 % nominalne vrijednosti). To su preuzete obveze</w:t>
            </w:r>
            <w:r>
              <w:rPr>
                <w:rFonts w:ascii="Times New Roman" w:hAnsi="Times New Roman"/>
                <w:iCs/>
                <w:sz w:val="24"/>
                <w:szCs w:val="24"/>
              </w:rPr>
              <w:t xml:space="preserve"> koje institucija u svakom trenutku može bezuvjetno opozvati bez prethodne obavijesti</w:t>
            </w:r>
            <w:r>
              <w:rPr>
                <w:rFonts w:ascii="Times New Roman" w:hAnsi="Times New Roman"/>
                <w:bCs/>
                <w:sz w:val="24"/>
                <w:szCs w:val="24"/>
              </w:rPr>
              <w:t xml:space="preserve"> ili koje je moguće automatski opozvati zbog pogoršanja kreditne sposobnosti dužnika.</w:t>
            </w:r>
          </w:p>
          <w:p w14:paraId="7057DD3E" w14:textId="56EEEB5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Treba podsjetiti da se nominalna vrijednost ne umanjuje za specifične ispravke vrijednosti za kreditni rizik.</w:t>
            </w:r>
            <w:r>
              <w:rPr>
                <w:sz w:val="24"/>
                <w:szCs w:val="24"/>
              </w:rPr>
              <w:t xml:space="preserve"> </w:t>
            </w:r>
            <w:r>
              <w:rPr>
                <w:rFonts w:ascii="Times New Roman" w:hAnsi="Times New Roman"/>
                <w:bCs/>
                <w:sz w:val="24"/>
                <w:szCs w:val="24"/>
              </w:rPr>
              <w:t>Umjesto toga, kako je navedeno u članku 429.f stavku 2., institucije mogu umanjiti ekvivalentni iznos kreditne izloženosti izvanbilančne stavke za odgovarajući iznos specifičnih ispravaka vrijednosti za kreditni rizik. Donji prag izračuna je nula.</w:t>
            </w:r>
          </w:p>
          <w:p w14:paraId="34359CD8" w14:textId="26C6358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Ako se institucija ugovorom kojim je preuzela </w:t>
            </w:r>
            <w:proofErr w:type="spellStart"/>
            <w:r>
              <w:rPr>
                <w:rFonts w:ascii="Times New Roman" w:hAnsi="Times New Roman"/>
                <w:bCs/>
                <w:sz w:val="24"/>
                <w:szCs w:val="24"/>
              </w:rPr>
              <w:t>izvanbilančnu</w:t>
            </w:r>
            <w:proofErr w:type="spellEnd"/>
            <w:r>
              <w:rPr>
                <w:rFonts w:ascii="Times New Roman" w:hAnsi="Times New Roman"/>
                <w:bCs/>
                <w:sz w:val="24"/>
                <w:szCs w:val="24"/>
              </w:rPr>
              <w:t xml:space="preserve"> obvezu obvezala na preuzimanje nove izvanbilančne obveze, dužna je primjenjivati niži od dva konverzijska faktora primjenjiva na pojedinačnu </w:t>
            </w:r>
            <w:proofErr w:type="spellStart"/>
            <w:r>
              <w:rPr>
                <w:rFonts w:ascii="Times New Roman" w:hAnsi="Times New Roman"/>
                <w:bCs/>
                <w:sz w:val="24"/>
                <w:szCs w:val="24"/>
              </w:rPr>
              <w:t>izvanbilančnu</w:t>
            </w:r>
            <w:proofErr w:type="spellEnd"/>
            <w:r>
              <w:rPr>
                <w:rFonts w:ascii="Times New Roman" w:hAnsi="Times New Roman"/>
                <w:bCs/>
                <w:sz w:val="24"/>
                <w:szCs w:val="24"/>
              </w:rPr>
              <w:t xml:space="preserve"> obvezu u skladu s člankom 166. stavkom 9. CRR-a.</w:t>
            </w:r>
          </w:p>
          <w:p w14:paraId="2398A4B9" w14:textId="4F8273FB" w:rsidR="00CB48CC" w:rsidRPr="000B66BC" w:rsidRDefault="00CB48CC" w:rsidP="0061658B">
            <w:pPr>
              <w:pStyle w:val="BodyText1"/>
              <w:spacing w:after="240"/>
              <w:rPr>
                <w:rFonts w:ascii="Times New Roman" w:hAnsi="Times New Roman"/>
                <w:sz w:val="24"/>
                <w:szCs w:val="24"/>
              </w:rPr>
            </w:pPr>
            <w:r>
              <w:rPr>
                <w:rFonts w:ascii="Times New Roman" w:hAnsi="Times New Roman"/>
                <w:bCs/>
                <w:sz w:val="24"/>
                <w:szCs w:val="24"/>
              </w:rPr>
              <w:t>Institucije u ovoj rubrici ne uzimaju u obzir ugovore navedene u Prilogu II. CRR-u, kreditne izvedenice, transakcije financiranja vrijednosnim papirima i pozicije iz članka 429.d u skladu s člankom 429.f CRR-a.</w:t>
            </w:r>
          </w:p>
        </w:tc>
      </w:tr>
      <w:tr w:rsidR="00CB48CC" w:rsidRPr="00E75BB8" w14:paraId="736A5471" w14:textId="77777777" w:rsidTr="00E1595A">
        <w:trPr>
          <w:trHeight w:val="712"/>
        </w:trPr>
        <w:tc>
          <w:tcPr>
            <w:tcW w:w="1531" w:type="dxa"/>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{0160;0010}</w:t>
            </w:r>
          </w:p>
        </w:tc>
        <w:tc>
          <w:tcPr>
            <w:tcW w:w="7590" w:type="dxa"/>
            <w:gridSpan w:val="3"/>
          </w:tcPr>
          <w:p w14:paraId="079FCB69" w14:textId="303958C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Izvanbilančne stavke s kreditnim konverzijskim faktorom 20 % u skladu s člankom 429.f CRR-a</w:t>
            </w:r>
          </w:p>
          <w:p w14:paraId="1808F2C6" w14:textId="231030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429.f, članak 111. stavak 1. točka (c) i članak 166. stavak 9. CRR-a</w:t>
            </w:r>
          </w:p>
          <w:p w14:paraId="4A175A4A" w14:textId="3F120C71" w:rsidR="00494A67" w:rsidRPr="000B66BC" w:rsidRDefault="00CB48CC" w:rsidP="000B66BC">
            <w:pPr>
              <w:pStyle w:val="BodyText1"/>
              <w:spacing w:after="240" w:line="240" w:lineRule="auto"/>
              <w:rPr>
                <w:sz w:val="24"/>
                <w:szCs w:val="24"/>
              </w:rPr>
            </w:pPr>
            <w:r>
              <w:rPr>
                <w:rFonts w:ascii="Times New Roman" w:hAnsi="Times New Roman"/>
                <w:sz w:val="24"/>
                <w:szCs w:val="24"/>
              </w:rPr>
              <w:t xml:space="preserve">Vrijednost izloženosti, u skladu s člankom 429.f i člankom 111. stavkom 1. točkom (c) CRR-a, za izvanbilančne stavke sa srednjim/niskim rizikom kojima bi se pripisao kreditni konverzijski faktor 20 % iz Priloga I. CRR-u točke 3. </w:t>
            </w:r>
            <w:proofErr w:type="spellStart"/>
            <w:r>
              <w:rPr>
                <w:rFonts w:ascii="Times New Roman" w:hAnsi="Times New Roman"/>
                <w:sz w:val="24"/>
                <w:szCs w:val="24"/>
              </w:rPr>
              <w:t>podtočaka</w:t>
            </w:r>
            <w:proofErr w:type="spellEnd"/>
            <w:r>
              <w:rPr>
                <w:rFonts w:ascii="Times New Roman" w:hAnsi="Times New Roman"/>
                <w:sz w:val="24"/>
                <w:szCs w:val="24"/>
              </w:rPr>
              <w:t xml:space="preserve"> (a) i (b) (treba podsjetiti da je ovdje vrijednost izloženosti 20 % nominalne vrijednosti).</w:t>
            </w:r>
            <w:r>
              <w:rPr>
                <w:sz w:val="24"/>
                <w:szCs w:val="24"/>
              </w:rPr>
              <w:t xml:space="preserve"> </w:t>
            </w:r>
          </w:p>
          <w:p w14:paraId="130864F0" w14:textId="3274315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Treba podsjetiti da se nominalna vrijednost ne umanjuje za specifične ispravke vrijednosti za kreditni rizik. Umjesto toga, kako je navedeno u članku 429.f stavku 2., institucije mogu umanjiti ekvivalentni iznos kreditne </w:t>
            </w:r>
            <w:r>
              <w:rPr>
                <w:rFonts w:ascii="Times New Roman" w:hAnsi="Times New Roman"/>
                <w:bCs/>
                <w:sz w:val="24"/>
                <w:szCs w:val="24"/>
              </w:rPr>
              <w:lastRenderedPageBreak/>
              <w:t>izloženosti izvanbilančne stavke za odgovarajući iznos specifičnih ispravaka vrijednosti za kreditni rizik. Donji prag izračuna je nula.</w:t>
            </w:r>
          </w:p>
          <w:p w14:paraId="771B332A" w14:textId="2E953B0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Ako se institucija ugovorom kojim je preuzela </w:t>
            </w:r>
            <w:proofErr w:type="spellStart"/>
            <w:r>
              <w:rPr>
                <w:rFonts w:ascii="Times New Roman" w:hAnsi="Times New Roman"/>
                <w:bCs/>
                <w:sz w:val="24"/>
                <w:szCs w:val="24"/>
              </w:rPr>
              <w:t>izvanbilančnu</w:t>
            </w:r>
            <w:proofErr w:type="spellEnd"/>
            <w:r>
              <w:rPr>
                <w:rFonts w:ascii="Times New Roman" w:hAnsi="Times New Roman"/>
                <w:bCs/>
                <w:sz w:val="24"/>
                <w:szCs w:val="24"/>
              </w:rPr>
              <w:t xml:space="preserve"> obvezu obvezala na preuzimanje nove izvanbilančne obveze, dužna je primjenjivati niži od dva konverzijska faktora primjenjiva na pojedinačnu </w:t>
            </w:r>
            <w:proofErr w:type="spellStart"/>
            <w:r>
              <w:rPr>
                <w:rFonts w:ascii="Times New Roman" w:hAnsi="Times New Roman"/>
                <w:bCs/>
                <w:sz w:val="24"/>
                <w:szCs w:val="24"/>
              </w:rPr>
              <w:t>izvanbilančnu</w:t>
            </w:r>
            <w:proofErr w:type="spellEnd"/>
            <w:r>
              <w:rPr>
                <w:rFonts w:ascii="Times New Roman" w:hAnsi="Times New Roman"/>
                <w:bCs/>
                <w:sz w:val="24"/>
                <w:szCs w:val="24"/>
              </w:rPr>
              <w:t xml:space="preserve"> obvezu u skladu s člankom 166. stavkom 9. CRR-a.</w:t>
            </w:r>
          </w:p>
          <w:p w14:paraId="6986CCC3" w14:textId="2E0681B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u ovoj rubrici ne uzimaju u obzir ugovore navedene u Prilogu II. CRR-u, kreditne izvedenice, transakcije financiranja vrijednosnim papirima i pozicije iz članka 429.d u skladu s člankom 429.f CRR-a.</w:t>
            </w:r>
          </w:p>
        </w:tc>
      </w:tr>
      <w:tr w:rsidR="00CB48CC" w:rsidRPr="00E75BB8" w14:paraId="3354B9C5" w14:textId="77777777" w:rsidTr="00E1595A">
        <w:trPr>
          <w:trHeight w:val="304"/>
        </w:trPr>
        <w:tc>
          <w:tcPr>
            <w:tcW w:w="1531" w:type="dxa"/>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B65BAF0" w14:textId="7FC0FF2C"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Izvanbilančne stavke s kreditnim konverzijskim faktorom 50 % u skladu s člankom 429.f CRR-a</w:t>
            </w:r>
          </w:p>
          <w:p w14:paraId="7DA0F3D2" w14:textId="4AAC15B6"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429.f, članak 111. stavak 1. točka (b) i članak 166. stavak 9. CRR-a</w:t>
            </w:r>
          </w:p>
          <w:p w14:paraId="54C0DA6B" w14:textId="46C9D017"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Vrijednost izloženosti, u skladu s člankom 429.f i člankom 111. stavkom 1. točkom (b) CRR-a, izvanbilančnih stavki sa srednjim rizikom kojima bi se pripisao kreditni konverzijski faktor 50 % kako je utvrđeno u standardiziranom pristupu kreditnom riziku iz Priloga I. CRR-u točke 2. </w:t>
            </w:r>
            <w:proofErr w:type="spellStart"/>
            <w:r>
              <w:rPr>
                <w:rFonts w:ascii="Times New Roman" w:hAnsi="Times New Roman"/>
                <w:sz w:val="24"/>
                <w:szCs w:val="24"/>
              </w:rPr>
              <w:t>podtočaka</w:t>
            </w:r>
            <w:proofErr w:type="spellEnd"/>
            <w:r>
              <w:rPr>
                <w:rFonts w:ascii="Times New Roman" w:hAnsi="Times New Roman"/>
                <w:sz w:val="24"/>
                <w:szCs w:val="24"/>
              </w:rPr>
              <w:t xml:space="preserve"> (a) i (b) (treba podsjetiti da je ovdje vrijednost izloženosti 50 % nominalne vrijednosti).</w:t>
            </w:r>
            <w:r>
              <w:rPr>
                <w:rFonts w:ascii="Times New Roman" w:hAnsi="Times New Roman"/>
                <w:bCs/>
                <w:sz w:val="24"/>
                <w:szCs w:val="24"/>
              </w:rPr>
              <w:t xml:space="preserve"> </w:t>
            </w:r>
          </w:p>
          <w:p w14:paraId="512D74AD" w14:textId="4740EE8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Treba podsjetiti da se nominalna vrijednost ne umanjuje za specifične ispravke vrijednosti za kreditni rizik. Umjesto toga, kako je navedeno u članku 429.f stavku 2., institucije mogu umanjiti ekvivalentni iznos kreditne izloženosti izvanbilančne stavke za odgovarajući iznos specifičnih ispravaka vrijednosti za kreditni rizik. Donji prag izračuna je nula.</w:t>
            </w:r>
          </w:p>
          <w:p w14:paraId="116B0E4F" w14:textId="210C7C2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U ovoj su rubrici uključene likvidnosne linije i druge obveze u sekuritizaciji. Drugim riječima, kreditni konverzijski faktor za sve likvidnosne linije u skladu s člankom 255. CRR-a je 50 % bez obzira na dospijeće.</w:t>
            </w:r>
          </w:p>
          <w:p w14:paraId="4339295A" w14:textId="7703B15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Ako se institucija ugovorom kojim je preuzela </w:t>
            </w:r>
            <w:proofErr w:type="spellStart"/>
            <w:r>
              <w:rPr>
                <w:rFonts w:ascii="Times New Roman" w:hAnsi="Times New Roman"/>
                <w:bCs/>
                <w:sz w:val="24"/>
                <w:szCs w:val="24"/>
              </w:rPr>
              <w:t>izvanbilančnu</w:t>
            </w:r>
            <w:proofErr w:type="spellEnd"/>
            <w:r>
              <w:rPr>
                <w:rFonts w:ascii="Times New Roman" w:hAnsi="Times New Roman"/>
                <w:bCs/>
                <w:sz w:val="24"/>
                <w:szCs w:val="24"/>
              </w:rPr>
              <w:t xml:space="preserve"> obvezu obvezala na preuzimanje nove izvanbilančne obveze, dužna je primjenjivati niži od dva konverzijska faktora primjenjiva na pojedinačnu </w:t>
            </w:r>
            <w:proofErr w:type="spellStart"/>
            <w:r>
              <w:rPr>
                <w:rFonts w:ascii="Times New Roman" w:hAnsi="Times New Roman"/>
                <w:bCs/>
                <w:sz w:val="24"/>
                <w:szCs w:val="24"/>
              </w:rPr>
              <w:t>izvanbilančnu</w:t>
            </w:r>
            <w:proofErr w:type="spellEnd"/>
            <w:r>
              <w:rPr>
                <w:rFonts w:ascii="Times New Roman" w:hAnsi="Times New Roman"/>
                <w:bCs/>
                <w:sz w:val="24"/>
                <w:szCs w:val="24"/>
              </w:rPr>
              <w:t xml:space="preserve"> obvezu u skladu s člankom 166. stavkom 9. CRR-a.</w:t>
            </w:r>
          </w:p>
          <w:p w14:paraId="6DDC311B" w14:textId="63B75A4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u ovoj rubrici ne uzimaju u obzir ugovore navedene u Prilogu II. CRR-u, kreditne izvedenice, transakcije financiranja vrijednosnim papirima i pozicije iz članka 429.d u skladu s člankom 429.f CRR-a.</w:t>
            </w:r>
          </w:p>
        </w:tc>
      </w:tr>
      <w:tr w:rsidR="00CB48CC" w:rsidRPr="00E75BB8" w14:paraId="0A0BB45E" w14:textId="77777777" w:rsidTr="00E1595A">
        <w:trPr>
          <w:trHeight w:val="304"/>
        </w:trPr>
        <w:tc>
          <w:tcPr>
            <w:tcW w:w="1531" w:type="dxa"/>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F41926D" w14:textId="2D9873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Izvanbilančne stavke s kreditnim konverzijskim faktorom 100 % u skladu s člankom 429.f CRR-a </w:t>
            </w:r>
          </w:p>
          <w:p w14:paraId="603EE80E" w14:textId="0C0E4F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429.f, članak 111. stavak 1. točka (a) i članak 166. stavak 9. CRR-a</w:t>
            </w:r>
          </w:p>
          <w:p w14:paraId="42AF30B9" w14:textId="4B2D78DC"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Vrijednost izloženosti, u skladu s člankom 429.f i člankom 111. stavkom 1. točkom (a) CRR-a, izvanbilančnih stavki s visokim rizikom kojima bi se </w:t>
            </w:r>
            <w:r>
              <w:rPr>
                <w:rFonts w:ascii="Times New Roman" w:hAnsi="Times New Roman"/>
                <w:bCs/>
                <w:sz w:val="24"/>
                <w:szCs w:val="24"/>
              </w:rPr>
              <w:lastRenderedPageBreak/>
              <w:t xml:space="preserve">pripisao kreditni konverzijski faktor 100 % iz Priloga I. CRR-u točke 1. </w:t>
            </w:r>
            <w:proofErr w:type="spellStart"/>
            <w:r>
              <w:rPr>
                <w:rFonts w:ascii="Times New Roman" w:hAnsi="Times New Roman"/>
                <w:bCs/>
                <w:sz w:val="24"/>
                <w:szCs w:val="24"/>
              </w:rPr>
              <w:t>podtočaka</w:t>
            </w:r>
            <w:proofErr w:type="spellEnd"/>
            <w:r>
              <w:rPr>
                <w:rFonts w:ascii="Times New Roman" w:hAnsi="Times New Roman"/>
                <w:bCs/>
                <w:sz w:val="24"/>
                <w:szCs w:val="24"/>
              </w:rPr>
              <w:t xml:space="preserve"> od (a) do (k) (treba podsjetiti da je ovdje vrijednost izloženosti 100 % nominalne vrijednosti).</w:t>
            </w:r>
          </w:p>
          <w:p w14:paraId="02A01DC2" w14:textId="2A8279D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Treba podsjetiti da se nominalna vrijednost ne umanjuje za specifične ispravke vrijednosti za kreditni rizik. Umjesto toga, kako je navedeno u članku 429.f stavku 2., institucije mogu umanjiti ekvivalentni iznos kreditne izloženosti izvanbilančne stavke za odgovarajući iznos specifičnih ispravaka vrijednosti za kreditni rizik. Donji prag izračuna je nula.</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U ovoj su rubrici uključene likvidnosne linije i druge obveze u sekuritizaciji.</w:t>
            </w:r>
          </w:p>
          <w:p w14:paraId="01861A93" w14:textId="52EE7C7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Ako se institucija ugovorom kojim je preuzela </w:t>
            </w:r>
            <w:proofErr w:type="spellStart"/>
            <w:r>
              <w:rPr>
                <w:rFonts w:ascii="Times New Roman" w:hAnsi="Times New Roman"/>
                <w:bCs/>
                <w:sz w:val="24"/>
                <w:szCs w:val="24"/>
              </w:rPr>
              <w:t>izvanbilančnu</w:t>
            </w:r>
            <w:proofErr w:type="spellEnd"/>
            <w:r>
              <w:rPr>
                <w:rFonts w:ascii="Times New Roman" w:hAnsi="Times New Roman"/>
                <w:bCs/>
                <w:sz w:val="24"/>
                <w:szCs w:val="24"/>
              </w:rPr>
              <w:t xml:space="preserve"> obvezu obvezala na preuzimanje nove izvanbilančne obveze, dužna je primjenjivati niži od dva konverzijska faktora primjenjiva na pojedinačnu </w:t>
            </w:r>
            <w:proofErr w:type="spellStart"/>
            <w:r>
              <w:rPr>
                <w:rFonts w:ascii="Times New Roman" w:hAnsi="Times New Roman"/>
                <w:bCs/>
                <w:sz w:val="24"/>
                <w:szCs w:val="24"/>
              </w:rPr>
              <w:t>izvanbilančnu</w:t>
            </w:r>
            <w:proofErr w:type="spellEnd"/>
            <w:r>
              <w:rPr>
                <w:rFonts w:ascii="Times New Roman" w:hAnsi="Times New Roman"/>
                <w:bCs/>
                <w:sz w:val="24"/>
                <w:szCs w:val="24"/>
              </w:rPr>
              <w:t xml:space="preserve"> obvezu u skladu s člankom 166. stavkom 9. CRR-a.</w:t>
            </w:r>
          </w:p>
          <w:p w14:paraId="37DBE5CD" w14:textId="222A0001"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Institucije u ovoj rubrici ne uzimaju u obzir ugovore navedene u Prilogu II. CRR-u, kreditne izvedenice, transakcije financiranja vrijednosnim papirima i pozicije iz članka 429.d u skladu s člankom 429.f CRR-a.</w:t>
            </w:r>
          </w:p>
        </w:tc>
      </w:tr>
      <w:tr w:rsidR="00CB48CC" w:rsidRPr="00E75BB8" w14:paraId="36A7A2BB" w14:textId="77777777" w:rsidTr="00E1595A">
        <w:trPr>
          <w:trHeight w:val="304"/>
        </w:trPr>
        <w:tc>
          <w:tcPr>
            <w:tcW w:w="1531" w:type="dxa"/>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Opći ispravci vrijednosti za kreditni rizik izvanbilančnih stavki </w:t>
            </w:r>
          </w:p>
          <w:p w14:paraId="62AD4ABC" w14:textId="404EFC3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Članak 429. stavak 4. CRR-a</w:t>
            </w:r>
          </w:p>
          <w:p w14:paraId="301E11EC" w14:textId="312F436B"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 xml:space="preserve">Iznos općih ispravaka vrijednosti za kreditni rizik koji odgovaraju </w:t>
            </w:r>
            <w:proofErr w:type="spellStart"/>
            <w:r>
              <w:rPr>
                <w:rFonts w:ascii="Times New Roman" w:hAnsi="Times New Roman"/>
                <w:bCs/>
                <w:sz w:val="24"/>
                <w:szCs w:val="24"/>
              </w:rPr>
              <w:t>izvanbilančnim</w:t>
            </w:r>
            <w:proofErr w:type="spellEnd"/>
            <w:r>
              <w:rPr>
                <w:rFonts w:ascii="Times New Roman" w:hAnsi="Times New Roman"/>
                <w:bCs/>
                <w:sz w:val="24"/>
                <w:szCs w:val="24"/>
              </w:rPr>
              <w:t xml:space="preserve"> stavkama iz članka 429. stavka 4. točke (d), koje institucije odbijaju u skladu s člankom 429. stavkom 4. zadnjim podstavkom CRR-a.</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bCs/>
                <w:sz w:val="24"/>
                <w:szCs w:val="24"/>
              </w:rPr>
              <w:t>Iskazani se iznos ne uzima u obzir kao smanjenje pri izračunu izvanbilančnih stavki iskazanih u recima od {0150;0010} do {0180;0010}.</w:t>
            </w:r>
          </w:p>
        </w:tc>
      </w:tr>
      <w:tr w:rsidR="00CB48CC" w:rsidRPr="00E75BB8" w14:paraId="1DF5F072" w14:textId="77777777" w:rsidTr="00E1595A">
        <w:trPr>
          <w:trHeight w:val="304"/>
        </w:trPr>
        <w:tc>
          <w:tcPr>
            <w:tcW w:w="1531" w:type="dxa"/>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01E22C55" w14:textId="2D97797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Redovne kupnje i prodaja koje čekaju namiru: računovodstvena vrijednost u skladu s računovodstvenim priznavanjem na datum trgovanja </w:t>
            </w:r>
          </w:p>
          <w:p w14:paraId="4C694246" w14:textId="3BF041DF"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Članak 429.g stavak 1. CRR-a</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Zbroj:</w:t>
            </w:r>
          </w:p>
          <w:p w14:paraId="5F24E6D9" w14:textId="44D45AF9"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iznosa gotovinskih sredstava za redovne kupnje koji do datuma namire ostaje u bilanci kao imovina u skladu s člankom 429. stavkom 4. točkom (a) CRR-a,</w:t>
            </w:r>
          </w:p>
          <w:p w14:paraId="72B0EC2C" w14:textId="45D41EE2"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 xml:space="preserve">iznosa gotovinskih potraživanja za redovne kupnje koji do datuma namire ostaje u bilanci kao imovina u skladu s člankom 429. stavkom 4. točkom (a) CRR-a. To je iznos nakon učinka prijeboja gotovinskih potraživanja za redovne kupnje koje čekaju namiru s gotovinskim </w:t>
            </w:r>
            <w:r>
              <w:rPr>
                <w:rFonts w:ascii="Times New Roman" w:hAnsi="Times New Roman"/>
                <w:bCs/>
                <w:color w:val="auto"/>
                <w:sz w:val="24"/>
                <w:szCs w:val="24"/>
              </w:rPr>
              <w:lastRenderedPageBreak/>
              <w:t>obvezama za redovne kupnje koje čekaju namiru, kako je dopušteno u skladu s primjenjivim računovodstvenim okvirom.</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Institucije koje primjenjuju</w:t>
            </w:r>
            <w:r>
              <w:rPr>
                <w:rFonts w:ascii="Times New Roman" w:hAnsi="Times New Roman"/>
                <w:color w:val="auto"/>
                <w:sz w:val="24"/>
                <w:szCs w:val="24"/>
              </w:rPr>
              <w:t xml:space="preserve"> računovodstveno priznavanje na datum trgovanja prethodno navedeni zbroj iskazuju u ovoj rubrici umjesto u retku 0190 „ostala imovina”, a u retku 0190 iskazuju vrijednosne papire koji se odnose na redovne kupnje.</w:t>
            </w:r>
          </w:p>
        </w:tc>
      </w:tr>
      <w:tr w:rsidR="00CB48CC" w:rsidRPr="00E75BB8" w14:paraId="5102550B" w14:textId="77777777" w:rsidTr="00E1595A">
        <w:trPr>
          <w:trHeight w:val="304"/>
        </w:trPr>
        <w:tc>
          <w:tcPr>
            <w:tcW w:w="1531" w:type="dxa"/>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Redovne prodaje koje čekaju namiru: poništavanje računovodstvenog prijeboja u skladu s računovodstvenim priznavanjem na datum trgovanja</w:t>
            </w:r>
          </w:p>
          <w:p w14:paraId="20327055" w14:textId="6888C0F3"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Članak 429.g stavak 2. CRR-a</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To je iznos nakon učinka prijeboja gotovinskih potraživanja za redovne kupnje koje čekaju namiru s gotovinskim obvezama za redovne kupnje koje čekaju namiru, kako je dopušteno u skladu s primjenjivim računovodstvenim okvirom.</w:t>
            </w:r>
          </w:p>
        </w:tc>
      </w:tr>
      <w:tr w:rsidR="00195426" w:rsidRPr="00E75BB8" w14:paraId="78EEA43B" w14:textId="77777777" w:rsidTr="00E1595A">
        <w:trPr>
          <w:trHeight w:val="304"/>
        </w:trPr>
        <w:tc>
          <w:tcPr>
            <w:tcW w:w="1531" w:type="dxa"/>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bCs/>
                <w:sz w:val="24"/>
                <w:szCs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510C554" w14:textId="628F0EFE"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 Redovne prodaja koje čekaju namiru: prijeboj u skladu s člankom 429.g stavkom 2 CRR-a</w:t>
            </w:r>
          </w:p>
          <w:p w14:paraId="416B6808" w14:textId="7F07F247"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Članak 429.g stavak 2. CRR-a</w:t>
            </w:r>
          </w:p>
          <w:p w14:paraId="057F1FAB" w14:textId="6EE6926A"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t>Iznos prijeboja gotovinskih potraživanja s gotovinskim obvezama ako se povezane redovne prodaje i kupnje namiruju na temelju isporuke po plaćanju u skladu s člankom 429. stavkom 2. CRR-a.</w:t>
            </w:r>
          </w:p>
        </w:tc>
      </w:tr>
      <w:tr w:rsidR="00CB48CC" w:rsidRPr="00E75BB8" w14:paraId="664DB6ED" w14:textId="77777777" w:rsidTr="00E1595A">
        <w:trPr>
          <w:trHeight w:val="304"/>
        </w:trPr>
        <w:tc>
          <w:tcPr>
            <w:tcW w:w="1531" w:type="dxa"/>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Redovne kupnje koje čekaju namiru: priznavanje cijele vrijednosti obveza za plaćanje u skladu s računovodstvenim priznavanjem na datum namire </w:t>
            </w:r>
          </w:p>
          <w:p w14:paraId="0305F981" w14:textId="76307473"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Članak 429.g stavak 3. CRR-a</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Cijela nominalna vrijednost obveza za plaćanje koje se odnose na redovne kupnje za institucije koje, u skladu s primjenjivim računovodstvenim okvirom, na redovne kupnje i prodaje primjenjuju računovodstveno priznavanje na datum namire.</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bCs/>
                <w:color w:val="auto"/>
                <w:sz w:val="24"/>
                <w:szCs w:val="24"/>
              </w:rPr>
              <w:t>Vrijednosni papiri koji se odnose na redovne prodaje iskazuju se u retku 0190</w:t>
            </w:r>
            <w:r>
              <w:rPr>
                <w:rFonts w:ascii="Times New Roman" w:hAnsi="Times New Roman"/>
                <w:color w:val="auto"/>
                <w:sz w:val="24"/>
                <w:szCs w:val="24"/>
              </w:rPr>
              <w:t xml:space="preserve"> „Ostala imovina”.</w:t>
            </w:r>
          </w:p>
        </w:tc>
      </w:tr>
      <w:tr w:rsidR="00CB48CC" w:rsidRPr="00E75BB8" w14:paraId="061A339C" w14:textId="77777777" w:rsidTr="00E1595A">
        <w:trPr>
          <w:trHeight w:val="304"/>
        </w:trPr>
        <w:tc>
          <w:tcPr>
            <w:tcW w:w="1531" w:type="dxa"/>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DDE4E8F" w14:textId="709B620B"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Redovne kupnje koje čekaju namiru: prijeboj obveza za plaćanje u skladu s računovodstvenim priznavanjem na datum namire u skladu s člankom 429.g stavkom 3. CRR-a</w:t>
            </w:r>
          </w:p>
          <w:p w14:paraId="0155689A" w14:textId="5B8BD83D"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Članak 429.g stavak 3. CRR-a </w:t>
            </w:r>
          </w:p>
          <w:p w14:paraId="795D29D1" w14:textId="1EF3903A" w:rsidR="0049459B" w:rsidRPr="000B66BC" w:rsidRDefault="00DC3476" w:rsidP="000B66BC">
            <w:pPr>
              <w:pStyle w:val="BodyText1"/>
              <w:spacing w:after="240"/>
              <w:rPr>
                <w:rFonts w:ascii="Times New Roman" w:hAnsi="Times New Roman"/>
                <w:bCs/>
                <w:sz w:val="24"/>
                <w:szCs w:val="24"/>
              </w:rPr>
            </w:pPr>
            <w:r>
              <w:rPr>
                <w:rFonts w:ascii="Times New Roman" w:hAnsi="Times New Roman"/>
                <w:bCs/>
                <w:sz w:val="24"/>
                <w:szCs w:val="24"/>
              </w:rPr>
              <w:lastRenderedPageBreak/>
              <w:t>Dio iznosa iskazanog u retku 0188 prebijen s cijelom nominalnom vrijednošću gotovinskih potraživanja koja se odnose na redovne prodaje koje čekaju namiru u skladu s člankom 429.g stavkom 3. CRR-a.</w:t>
            </w:r>
          </w:p>
        </w:tc>
      </w:tr>
      <w:tr w:rsidR="00CB48CC" w:rsidRPr="00E75BB8" w14:paraId="7F056AC7" w14:textId="77777777" w:rsidTr="00E1595A">
        <w:trPr>
          <w:trHeight w:val="304"/>
        </w:trPr>
        <w:tc>
          <w:tcPr>
            <w:tcW w:w="1531" w:type="dxa"/>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Ostala imovina </w:t>
            </w:r>
          </w:p>
          <w:p w14:paraId="6BF56BA7" w14:textId="00F0C269"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Članak 429. stavak 4. točka (a) CRR-a </w:t>
            </w:r>
          </w:p>
          <w:p w14:paraId="412FDEE7" w14:textId="715A83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Sva imovina osim ugovora o izvedenicama navedenih u Prilogu II. CRR-u, kreditnih izvedenica i transakcija financiranja vrijednosnim papirima (npr. među ostalom imovinom koja se iskazuje u ovoj rubrici su računovodstvena potraživanja za dani gotovinski varijacijski iznos nadoknade ako su priznata u okviru operativnog računovodstvenog okvira, likvidna imovina kako je utvrđena u okviru omjera likvidnosne pokrivenosti, propale transakcije i transakcije koje nisu namirene). Institucije vrednovanje temelje na načelima iz članka 429.b stavka 1. i članka 429. stavka 7. CRR-a.</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u ovu rubriku uključuju primljenu gotovinu ili bilo koji vrijednosni papir koji je dostavljen drugoj ugovornoj strani u transakcijama financiranja vrijednosnim papirima i zadržan u bilanci (odnosno nisu ispunjeni računovodstveni kriteriji za prestanak priznavanja). Osim toga, institucije ovdje priznaju stavke koje se odbijaju od stavki redovnog osnovnog kapitala i stavki dodatnog osnovnog kapitala (npr. nematerijalna imovina, odgođena porezna imovina itd.).</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Iznos iskazan u retku {0191;0010} ne uzima se u obzir kao smanjenje pri izračunu ovog retka.</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bCs/>
                <w:sz w:val="24"/>
                <w:szCs w:val="24"/>
              </w:rPr>
              <w:t>Aranžmani objedinjenog vođenja računa ne iskazuju se ovdje, nego u recima {0193;0010}, {0194;0010}, {0195;0010}, {0196;0010}, {0197;0010} i {0198;0010}.</w:t>
            </w:r>
          </w:p>
        </w:tc>
      </w:tr>
      <w:tr w:rsidR="00CB48CC" w:rsidRPr="00E75BB8" w14:paraId="5EC00608" w14:textId="77777777" w:rsidTr="00E1595A">
        <w:trPr>
          <w:trHeight w:val="304"/>
        </w:trPr>
        <w:tc>
          <w:tcPr>
            <w:tcW w:w="1531" w:type="dxa"/>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Opći ispravci vrijednosti za kreditni rizik bilančnih stavki </w:t>
            </w:r>
          </w:p>
          <w:p w14:paraId="1CDF58F3" w14:textId="16269291"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Članak 429. stavak 4. CRR-a </w:t>
            </w:r>
          </w:p>
          <w:p w14:paraId="7E1379BD" w14:textId="60D17E68"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Iznos općih ispravaka vrijednosti za kreditni rizik koji odgovaraju bilančnim stavkama iz članka 429. stavka 4. točke (a), koje institucije odbijaju u skladu s člankom 429. stavkom 4. zadnjim podstavkom CRR-a.</w:t>
            </w:r>
          </w:p>
          <w:p w14:paraId="58EB87A7" w14:textId="5FEB470A"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Iskazani se iznos ne uzima u obzir kao smanjenje pri izračunu ostale imovine iskazane u {0190;0010}.</w:t>
            </w:r>
          </w:p>
        </w:tc>
      </w:tr>
      <w:tr w:rsidR="006E0322" w:rsidRPr="00E75BB8" w14:paraId="2DB04EEA" w14:textId="77777777" w:rsidTr="00E1595A">
        <w:trPr>
          <w:trHeight w:val="304"/>
        </w:trPr>
        <w:tc>
          <w:tcPr>
            <w:tcW w:w="1531" w:type="dxa"/>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bCs/>
                <w:sz w:val="24"/>
                <w:szCs w:val="24"/>
              </w:rPr>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Aranžmani objedinjenog vođenja računa koji se ne mogu razborito </w:t>
            </w:r>
            <w:proofErr w:type="spellStart"/>
            <w:r>
              <w:rPr>
                <w:rFonts w:ascii="Times New Roman" w:hAnsi="Times New Roman"/>
                <w:b/>
                <w:color w:val="auto"/>
                <w:sz w:val="24"/>
                <w:szCs w:val="24"/>
              </w:rPr>
              <w:t>netirati</w:t>
            </w:r>
            <w:proofErr w:type="spellEnd"/>
            <w:r>
              <w:rPr>
                <w:rFonts w:ascii="Times New Roman" w:hAnsi="Times New Roman"/>
                <w:b/>
                <w:color w:val="auto"/>
                <w:sz w:val="24"/>
                <w:szCs w:val="24"/>
              </w:rPr>
              <w:t>: vrijednost prema računovodstvenom okviru</w:t>
            </w:r>
          </w:p>
          <w:p w14:paraId="01265E9F" w14:textId="60113854"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Članak 429.b stavci 2. i 3. CRR-a</w:t>
            </w:r>
          </w:p>
          <w:p w14:paraId="421B559D" w14:textId="0FAAC55C"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 xml:space="preserve">Računovodstvena vrijednost aranžmana objedinjenog vođenja računa odnosno aranžmana u kojima su spojena potražna i dugovna salda nekoliko </w:t>
            </w:r>
            <w:r>
              <w:rPr>
                <w:rFonts w:ascii="Times New Roman" w:hAnsi="Times New Roman"/>
                <w:color w:val="auto"/>
                <w:sz w:val="24"/>
                <w:szCs w:val="24"/>
              </w:rPr>
              <w:lastRenderedPageBreak/>
              <w:t xml:space="preserve">pojedinačnih računa za potrebe upravljanja gotovinom ili likvidnošću, koji se ne mogu </w:t>
            </w:r>
            <w:proofErr w:type="spellStart"/>
            <w:r>
              <w:rPr>
                <w:rFonts w:ascii="Times New Roman" w:hAnsi="Times New Roman"/>
                <w:color w:val="auto"/>
                <w:sz w:val="24"/>
                <w:szCs w:val="24"/>
              </w:rPr>
              <w:t>netirati</w:t>
            </w:r>
            <w:proofErr w:type="spellEnd"/>
            <w:r>
              <w:rPr>
                <w:rFonts w:ascii="Times New Roman" w:hAnsi="Times New Roman"/>
                <w:color w:val="auto"/>
                <w:sz w:val="24"/>
                <w:szCs w:val="24"/>
              </w:rPr>
              <w:t xml:space="preserve"> u skladu s člankom 429.b stavcima 2. i 3. CRR-a.</w:t>
            </w:r>
          </w:p>
        </w:tc>
      </w:tr>
      <w:tr w:rsidR="00CB48CC" w:rsidRPr="00E75BB8" w14:paraId="26F15125" w14:textId="77777777" w:rsidTr="00E1595A">
        <w:trPr>
          <w:trHeight w:val="304"/>
        </w:trPr>
        <w:tc>
          <w:tcPr>
            <w:tcW w:w="1531" w:type="dxa"/>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Aranžmani objedinjenog vođenja računa koji se ne mogu razborito </w:t>
            </w:r>
            <w:proofErr w:type="spellStart"/>
            <w:r>
              <w:rPr>
                <w:rFonts w:ascii="Times New Roman" w:hAnsi="Times New Roman"/>
                <w:b/>
                <w:color w:val="auto"/>
                <w:sz w:val="24"/>
                <w:szCs w:val="24"/>
              </w:rPr>
              <w:t>netirati</w:t>
            </w:r>
            <w:proofErr w:type="spellEnd"/>
            <w:r>
              <w:rPr>
                <w:rFonts w:ascii="Times New Roman" w:hAnsi="Times New Roman"/>
                <w:b/>
                <w:color w:val="auto"/>
                <w:sz w:val="24"/>
                <w:szCs w:val="24"/>
              </w:rPr>
              <w:t xml:space="preserve">: učinak ekstrapolacije </w:t>
            </w:r>
            <w:proofErr w:type="spellStart"/>
            <w:r>
              <w:rPr>
                <w:rFonts w:ascii="Times New Roman" w:hAnsi="Times New Roman"/>
                <w:b/>
                <w:color w:val="auto"/>
                <w:sz w:val="24"/>
                <w:szCs w:val="24"/>
              </w:rPr>
              <w:t>netiranja</w:t>
            </w:r>
            <w:proofErr w:type="spellEnd"/>
            <w:r>
              <w:rPr>
                <w:rFonts w:ascii="Times New Roman" w:hAnsi="Times New Roman"/>
                <w:b/>
                <w:color w:val="auto"/>
                <w:sz w:val="24"/>
                <w:szCs w:val="24"/>
              </w:rPr>
              <w:t xml:space="preserve"> koja se primjenjuje prema računovodstvenom okviru</w:t>
            </w:r>
          </w:p>
          <w:p w14:paraId="390CF1DE" w14:textId="256221E8"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Članak 429. stavak 7. točka (b) i članak 429.b stavci 2. i 3. CRR-a</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Iznos </w:t>
            </w:r>
            <w:proofErr w:type="spellStart"/>
            <w:r>
              <w:rPr>
                <w:rFonts w:ascii="Times New Roman" w:hAnsi="Times New Roman"/>
                <w:color w:val="auto"/>
                <w:sz w:val="24"/>
                <w:szCs w:val="24"/>
              </w:rPr>
              <w:t>netiran</w:t>
            </w:r>
            <w:proofErr w:type="spellEnd"/>
            <w:r>
              <w:rPr>
                <w:rFonts w:ascii="Times New Roman" w:hAnsi="Times New Roman"/>
                <w:color w:val="auto"/>
                <w:sz w:val="24"/>
                <w:szCs w:val="24"/>
              </w:rPr>
              <w:t xml:space="preserve"> u skladu s primjenjivim računovodstvenim okvirom u aranžmanima objedinjenog vođenja računa koji se ne mogu razborito </w:t>
            </w:r>
            <w:proofErr w:type="spellStart"/>
            <w:r>
              <w:rPr>
                <w:rFonts w:ascii="Times New Roman" w:hAnsi="Times New Roman"/>
                <w:color w:val="auto"/>
                <w:sz w:val="24"/>
                <w:szCs w:val="24"/>
              </w:rPr>
              <w:t>netirati</w:t>
            </w:r>
            <w:proofErr w:type="spellEnd"/>
            <w:r>
              <w:rPr>
                <w:rFonts w:ascii="Times New Roman" w:hAnsi="Times New Roman"/>
                <w:color w:val="auto"/>
                <w:sz w:val="24"/>
                <w:szCs w:val="24"/>
              </w:rPr>
              <w:t>, iskazuje se u {0193;0010}.</w:t>
            </w:r>
          </w:p>
        </w:tc>
      </w:tr>
      <w:tr w:rsidR="00CB48CC" w:rsidRPr="00E75BB8" w14:paraId="751549C0" w14:textId="77777777" w:rsidTr="00E1595A">
        <w:trPr>
          <w:trHeight w:val="304"/>
        </w:trPr>
        <w:tc>
          <w:tcPr>
            <w:tcW w:w="1531" w:type="dxa"/>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Aranžmani objedinjenog vođenja računa koji se mogu razborito </w:t>
            </w:r>
            <w:proofErr w:type="spellStart"/>
            <w:r>
              <w:rPr>
                <w:rFonts w:ascii="Times New Roman" w:hAnsi="Times New Roman"/>
                <w:b/>
                <w:color w:val="auto"/>
                <w:sz w:val="24"/>
                <w:szCs w:val="24"/>
              </w:rPr>
              <w:t>netirati</w:t>
            </w:r>
            <w:proofErr w:type="spellEnd"/>
            <w:r>
              <w:rPr>
                <w:rFonts w:ascii="Times New Roman" w:hAnsi="Times New Roman"/>
                <w:b/>
                <w:color w:val="auto"/>
                <w:sz w:val="24"/>
                <w:szCs w:val="24"/>
              </w:rPr>
              <w:t>: vrijednost prema računovodstvenom okviru</w:t>
            </w:r>
          </w:p>
          <w:p w14:paraId="444FD556" w14:textId="103ECED4"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Članak 429.b stavci 2. i 3. CRR-a</w:t>
            </w:r>
          </w:p>
          <w:p w14:paraId="5FF92BE1" w14:textId="741EB54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Računovodstvena vrijednost aranžmana objedinjenog vođenja računa odnosno aranžmana u kojima su spojena potražna i dugovna salda nekoliko pojedinačnih računa za potrebe upravljanja gotovinom ili likvidnošću, koji se mogu </w:t>
            </w:r>
            <w:proofErr w:type="spellStart"/>
            <w:r>
              <w:rPr>
                <w:rFonts w:ascii="Times New Roman" w:hAnsi="Times New Roman"/>
                <w:color w:val="auto"/>
                <w:sz w:val="24"/>
                <w:szCs w:val="24"/>
              </w:rPr>
              <w:t>netirati</w:t>
            </w:r>
            <w:proofErr w:type="spellEnd"/>
            <w:r>
              <w:rPr>
                <w:rFonts w:ascii="Times New Roman" w:hAnsi="Times New Roman"/>
                <w:color w:val="auto"/>
                <w:sz w:val="24"/>
                <w:szCs w:val="24"/>
              </w:rPr>
              <w:t xml:space="preserve"> u skladu s člankom 429.b stavcima 2. i 3. CRR-a.</w:t>
            </w:r>
          </w:p>
        </w:tc>
      </w:tr>
      <w:tr w:rsidR="00CB48CC" w:rsidRPr="00E75BB8" w14:paraId="0FD5A27F" w14:textId="77777777" w:rsidTr="00E1595A">
        <w:trPr>
          <w:trHeight w:val="304"/>
        </w:trPr>
        <w:tc>
          <w:tcPr>
            <w:tcW w:w="1531" w:type="dxa"/>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Aranžmani objedinjenog vođenja računa koji se mogu razborito </w:t>
            </w:r>
            <w:proofErr w:type="spellStart"/>
            <w:r>
              <w:rPr>
                <w:rFonts w:ascii="Times New Roman" w:hAnsi="Times New Roman"/>
                <w:b/>
                <w:color w:val="auto"/>
                <w:sz w:val="24"/>
                <w:szCs w:val="24"/>
              </w:rPr>
              <w:t>netirati</w:t>
            </w:r>
            <w:proofErr w:type="spellEnd"/>
            <w:r>
              <w:rPr>
                <w:rFonts w:ascii="Times New Roman" w:hAnsi="Times New Roman"/>
                <w:b/>
                <w:color w:val="auto"/>
                <w:sz w:val="24"/>
                <w:szCs w:val="24"/>
              </w:rPr>
              <w:t xml:space="preserve">: učinak ekstrapolacije </w:t>
            </w:r>
            <w:proofErr w:type="spellStart"/>
            <w:r>
              <w:rPr>
                <w:rFonts w:ascii="Times New Roman" w:hAnsi="Times New Roman"/>
                <w:b/>
                <w:color w:val="auto"/>
                <w:sz w:val="24"/>
                <w:szCs w:val="24"/>
              </w:rPr>
              <w:t>netiranja</w:t>
            </w:r>
            <w:proofErr w:type="spellEnd"/>
            <w:r>
              <w:rPr>
                <w:rFonts w:ascii="Times New Roman" w:hAnsi="Times New Roman"/>
                <w:b/>
                <w:color w:val="auto"/>
                <w:sz w:val="24"/>
                <w:szCs w:val="24"/>
              </w:rPr>
              <w:t xml:space="preserve"> koja se primjenjuje prema računovodstvenom okviru</w:t>
            </w:r>
          </w:p>
          <w:p w14:paraId="770F0F10" w14:textId="602EA66B"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Članak 429.b stavci 2. i 3. CRR-a</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szCs w:val="24"/>
              </w:rPr>
              <w:t xml:space="preserve">Iznos </w:t>
            </w:r>
            <w:proofErr w:type="spellStart"/>
            <w:r>
              <w:rPr>
                <w:rFonts w:ascii="Times New Roman" w:hAnsi="Times New Roman"/>
                <w:color w:val="auto"/>
                <w:sz w:val="24"/>
                <w:szCs w:val="24"/>
              </w:rPr>
              <w:t>netiran</w:t>
            </w:r>
            <w:proofErr w:type="spellEnd"/>
            <w:r>
              <w:rPr>
                <w:rFonts w:ascii="Times New Roman" w:hAnsi="Times New Roman"/>
                <w:color w:val="auto"/>
                <w:sz w:val="24"/>
                <w:szCs w:val="24"/>
              </w:rPr>
              <w:t xml:space="preserve"> u skladu s primjenjivim računovodstvenim okvirom u aranžmanima objedinjenog vođenja računa koji se mogu razborito </w:t>
            </w:r>
            <w:proofErr w:type="spellStart"/>
            <w:r>
              <w:rPr>
                <w:rFonts w:ascii="Times New Roman" w:hAnsi="Times New Roman"/>
                <w:color w:val="auto"/>
                <w:sz w:val="24"/>
                <w:szCs w:val="24"/>
              </w:rPr>
              <w:t>netirati</w:t>
            </w:r>
            <w:proofErr w:type="spellEnd"/>
            <w:r>
              <w:rPr>
                <w:rFonts w:ascii="Times New Roman" w:hAnsi="Times New Roman"/>
                <w:color w:val="auto"/>
                <w:sz w:val="24"/>
                <w:szCs w:val="24"/>
              </w:rPr>
              <w:t>, iskazuje se u rubrici {0195;0010}.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szCs w:val="24"/>
              </w:rPr>
              <w:t>Institucija koja ispunjava uvjet iz članka 429.b stavka 2. točke (b) u ovom retku ne primjenjuju ekstrapolaciju na salda koja su prestala postojati nakon postupka iz članka 429.b stavka 2. točke (a).</w:t>
            </w:r>
          </w:p>
        </w:tc>
      </w:tr>
      <w:tr w:rsidR="00CB48CC" w:rsidRPr="00E75BB8" w14:paraId="6C598455" w14:textId="77777777" w:rsidTr="00E1595A">
        <w:trPr>
          <w:trHeight w:val="304"/>
        </w:trPr>
        <w:tc>
          <w:tcPr>
            <w:tcW w:w="1531" w:type="dxa"/>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01FD6E4" w14:textId="21052221"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Aranžmani objedinjenog vođenja računa koji se mogu razborito </w:t>
            </w:r>
            <w:proofErr w:type="spellStart"/>
            <w:r>
              <w:rPr>
                <w:rFonts w:ascii="Times New Roman" w:hAnsi="Times New Roman"/>
                <w:b/>
                <w:color w:val="auto"/>
                <w:sz w:val="24"/>
                <w:szCs w:val="24"/>
              </w:rPr>
              <w:t>netirati</w:t>
            </w:r>
            <w:proofErr w:type="spellEnd"/>
            <w:r>
              <w:rPr>
                <w:rFonts w:ascii="Times New Roman" w:hAnsi="Times New Roman"/>
                <w:b/>
                <w:color w:val="auto"/>
                <w:sz w:val="24"/>
                <w:szCs w:val="24"/>
              </w:rPr>
              <w:t xml:space="preserve">: priznavanje </w:t>
            </w:r>
            <w:proofErr w:type="spellStart"/>
            <w:r>
              <w:rPr>
                <w:rFonts w:ascii="Times New Roman" w:hAnsi="Times New Roman"/>
                <w:b/>
                <w:color w:val="auto"/>
                <w:sz w:val="24"/>
                <w:szCs w:val="24"/>
              </w:rPr>
              <w:t>netiranja</w:t>
            </w:r>
            <w:proofErr w:type="spellEnd"/>
            <w:r>
              <w:rPr>
                <w:rFonts w:ascii="Times New Roman" w:hAnsi="Times New Roman"/>
                <w:b/>
                <w:color w:val="auto"/>
                <w:sz w:val="24"/>
                <w:szCs w:val="24"/>
              </w:rPr>
              <w:t xml:space="preserve"> u skladu s člankom 429.b stavkom 2. CRR-a</w:t>
            </w:r>
          </w:p>
          <w:p w14:paraId="52C1DAD6" w14:textId="565662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Članak 429.b stavak 2. CRR-a</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Iznos </w:t>
            </w:r>
            <w:proofErr w:type="spellStart"/>
            <w:r>
              <w:rPr>
                <w:rFonts w:ascii="Times New Roman" w:hAnsi="Times New Roman"/>
                <w:bCs/>
                <w:color w:val="auto"/>
                <w:sz w:val="24"/>
                <w:szCs w:val="24"/>
              </w:rPr>
              <w:t>netiran</w:t>
            </w:r>
            <w:proofErr w:type="spellEnd"/>
            <w:r>
              <w:rPr>
                <w:rFonts w:ascii="Times New Roman" w:hAnsi="Times New Roman"/>
                <w:bCs/>
                <w:color w:val="auto"/>
                <w:sz w:val="24"/>
                <w:szCs w:val="24"/>
              </w:rPr>
              <w:t xml:space="preserve"> iz bruto izloženosti koji se odnosi na aranžmane objedinjenog vođenja računa (zbroj redaka 0195 i 0196) u skladu s</w:t>
            </w:r>
            <w:r>
              <w:rPr>
                <w:rFonts w:ascii="Times New Roman" w:hAnsi="Times New Roman"/>
                <w:color w:val="auto"/>
                <w:sz w:val="24"/>
                <w:szCs w:val="24"/>
              </w:rPr>
              <w:t xml:space="preserve"> člankom 429.b stavkom 2.</w:t>
            </w:r>
          </w:p>
        </w:tc>
      </w:tr>
      <w:tr w:rsidR="00CB48CC" w:rsidRPr="00E75BB8" w14:paraId="6681A527" w14:textId="77777777" w:rsidTr="00E1595A">
        <w:trPr>
          <w:trHeight w:val="304"/>
        </w:trPr>
        <w:tc>
          <w:tcPr>
            <w:tcW w:w="1531" w:type="dxa"/>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806A066" w14:textId="2775C46E"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Aranžmani objedinjenog vođenja računa koji se mogu razborito </w:t>
            </w:r>
            <w:proofErr w:type="spellStart"/>
            <w:r>
              <w:rPr>
                <w:rFonts w:ascii="Times New Roman" w:hAnsi="Times New Roman"/>
                <w:b/>
                <w:color w:val="auto"/>
                <w:sz w:val="24"/>
                <w:szCs w:val="24"/>
              </w:rPr>
              <w:t>netirati</w:t>
            </w:r>
            <w:proofErr w:type="spellEnd"/>
            <w:r>
              <w:rPr>
                <w:rFonts w:ascii="Times New Roman" w:hAnsi="Times New Roman"/>
                <w:b/>
                <w:color w:val="auto"/>
                <w:sz w:val="24"/>
                <w:szCs w:val="24"/>
              </w:rPr>
              <w:t xml:space="preserve">: priznavanje </w:t>
            </w:r>
            <w:proofErr w:type="spellStart"/>
            <w:r>
              <w:rPr>
                <w:rFonts w:ascii="Times New Roman" w:hAnsi="Times New Roman"/>
                <w:b/>
                <w:color w:val="auto"/>
                <w:sz w:val="24"/>
                <w:szCs w:val="24"/>
              </w:rPr>
              <w:t>netiranja</w:t>
            </w:r>
            <w:proofErr w:type="spellEnd"/>
            <w:r>
              <w:rPr>
                <w:rFonts w:ascii="Times New Roman" w:hAnsi="Times New Roman"/>
                <w:b/>
                <w:color w:val="auto"/>
                <w:sz w:val="24"/>
                <w:szCs w:val="24"/>
              </w:rPr>
              <w:t xml:space="preserve"> u skladu s člankom 429.b stavkom 3. CRR-a</w:t>
            </w:r>
          </w:p>
          <w:p w14:paraId="4EC11D08" w14:textId="4AEA1576" w:rsidR="00CB48CC" w:rsidRPr="000B66BC" w:rsidRDefault="00CB48CC" w:rsidP="000B66BC">
            <w:pPr>
              <w:pStyle w:val="BodyText1"/>
              <w:spacing w:after="240" w:line="240" w:lineRule="auto"/>
              <w:rPr>
                <w:rFonts w:ascii="Times New Roman" w:hAnsi="Times New Roman"/>
                <w:b/>
                <w:bCs/>
                <w:color w:val="auto"/>
                <w:sz w:val="24"/>
                <w:szCs w:val="24"/>
                <w:highlight w:val="cyan"/>
              </w:rPr>
            </w:pPr>
            <w:r>
              <w:rPr>
                <w:rFonts w:ascii="Times New Roman" w:hAnsi="Times New Roman"/>
                <w:bCs/>
                <w:sz w:val="24"/>
                <w:szCs w:val="24"/>
              </w:rPr>
              <w:t>Članak 429.b stavak 3. CRR-a</w:t>
            </w:r>
          </w:p>
          <w:p w14:paraId="10AA0B56" w14:textId="114633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Iznos </w:t>
            </w:r>
            <w:proofErr w:type="spellStart"/>
            <w:r>
              <w:rPr>
                <w:rFonts w:ascii="Times New Roman" w:hAnsi="Times New Roman"/>
                <w:bCs/>
                <w:color w:val="auto"/>
                <w:sz w:val="24"/>
                <w:szCs w:val="24"/>
              </w:rPr>
              <w:t>netiran</w:t>
            </w:r>
            <w:proofErr w:type="spellEnd"/>
            <w:r>
              <w:rPr>
                <w:rFonts w:ascii="Times New Roman" w:hAnsi="Times New Roman"/>
                <w:bCs/>
                <w:color w:val="auto"/>
                <w:sz w:val="24"/>
                <w:szCs w:val="24"/>
              </w:rPr>
              <w:t xml:space="preserve"> iz bruto izloženosti koji se odnosi na aranžmane objedinjenog vođenja računa (zbroj redaka 0195 i 0196) u skladu s</w:t>
            </w:r>
            <w:r>
              <w:rPr>
                <w:rFonts w:ascii="Times New Roman" w:hAnsi="Times New Roman"/>
                <w:color w:val="auto"/>
                <w:sz w:val="24"/>
                <w:szCs w:val="24"/>
              </w:rPr>
              <w:t xml:space="preserve"> člankom 429.b stavkom 3.</w:t>
            </w:r>
          </w:p>
        </w:tc>
      </w:tr>
      <w:tr w:rsidR="00CB48CC" w:rsidRPr="00E75BB8" w14:paraId="3E08AE39" w14:textId="77777777" w:rsidTr="00E1595A">
        <w:trPr>
          <w:trHeight w:val="304"/>
        </w:trPr>
        <w:tc>
          <w:tcPr>
            <w:tcW w:w="1531" w:type="dxa"/>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{0200;0010}</w:t>
            </w:r>
          </w:p>
        </w:tc>
        <w:tc>
          <w:tcPr>
            <w:tcW w:w="7590" w:type="dxa"/>
            <w:gridSpan w:val="3"/>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Uvećanje za kolateral pružen u vezi s ugovorima o izvedenicama</w:t>
            </w:r>
          </w:p>
          <w:p w14:paraId="2AA08714" w14:textId="4D3EE4F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429.c stavak 2. CRR-a</w:t>
            </w:r>
          </w:p>
          <w:p w14:paraId="6B6AC708" w14:textId="78EEE9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Iznos bilo kakvog kolaterala pruženog u vezi s ugovorima o izvedenicama ako se pružanjem tog kolaterala smanjuje iznos imovine u skladu s primjenjivim računovodstvenim okvirom, kako je utvrđeno u članku 429.c stavku 2. CRR-a.</w:t>
            </w:r>
          </w:p>
          <w:p w14:paraId="3815F945" w14:textId="00E2C43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u ovu rubriku ne uključuju inicijalni iznos nadoknade za transakcije izvedenicama s kvalificiranom drugom ugovornom stranom (QCCP) koje su poravnane preko klijenta ili prihvatljivi gotovinski varijacijski iznos nadoknade, kako je definirano u članku 429.c stavku 3. CRR-a.</w:t>
            </w:r>
          </w:p>
        </w:tc>
      </w:tr>
      <w:tr w:rsidR="00CB48CC" w:rsidRPr="00E75BB8" w14:paraId="5CAE26AC" w14:textId="77777777" w:rsidTr="00E1595A">
        <w:trPr>
          <w:trHeight w:val="304"/>
        </w:trPr>
        <w:tc>
          <w:tcPr>
            <w:tcW w:w="1531" w:type="dxa"/>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{0210;0010}</w:t>
            </w:r>
          </w:p>
        </w:tc>
        <w:tc>
          <w:tcPr>
            <w:tcW w:w="7590" w:type="dxa"/>
            <w:gridSpan w:val="3"/>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Potraživanja za gotovinski varijacijski iznos nadoknade predviđene u transakcijama izvedenicama</w:t>
            </w:r>
          </w:p>
          <w:p w14:paraId="353AEF67" w14:textId="168EBF83"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429.c stavak 3. točka (c) CRR-a</w:t>
            </w:r>
          </w:p>
          <w:p w14:paraId="43A45BE7" w14:textId="7D55C14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Potraživanja za varijacijski iznos nadoknade plaćene u gotovini drugoj strani u transakcijama izvedenicama ako se od institucije zahtijeva, u skladu s primjenjivim računovodstvenim okvirom, da prizna ta potraživanja kao imovinu, uz uvjet da su ispunjeni uvjeti iz članka 429.c stavka 3. točaka od (a) do (e) CRR-a.</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Iskazani iznos uključuje se i u ostalu imovinu iskazanu u rubrici {0190;0010}.</w:t>
            </w:r>
          </w:p>
        </w:tc>
      </w:tr>
      <w:tr w:rsidR="00CB48CC" w:rsidRPr="00E75BB8" w14:paraId="7004E9E4" w14:textId="77777777" w:rsidTr="00E1595A">
        <w:trPr>
          <w:trHeight w:val="304"/>
        </w:trPr>
        <w:tc>
          <w:tcPr>
            <w:tcW w:w="1531" w:type="dxa"/>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{0220;0010}</w:t>
            </w:r>
          </w:p>
        </w:tc>
        <w:tc>
          <w:tcPr>
            <w:tcW w:w="7590" w:type="dxa"/>
            <w:gridSpan w:val="3"/>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Izuzeti dio izloženosti iz trgovanja prema središnjoj drugoj ugovornoj strani koje su poravnane preko klijenta (inicijalni iznos nadoknade)</w:t>
            </w:r>
          </w:p>
          <w:p w14:paraId="3E812C65" w14:textId="2E43BC09"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429.a stavak 1. točka (g) CRR-a</w:t>
            </w:r>
          </w:p>
          <w:p w14:paraId="5FE3535A" w14:textId="779172E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Dio inicijalnog iznosa nadoknade (dan) izloženosti iz trgovanja prema kvalificiranoj drugoj ugovornoj strani izuzete iz transakcija izvedenicama koje su poravnane preko klijenta, uz uvjet da te stavke </w:t>
            </w:r>
            <w:proofErr w:type="spellStart"/>
            <w:r>
              <w:rPr>
                <w:rFonts w:ascii="Times New Roman" w:hAnsi="Times New Roman"/>
                <w:bCs/>
                <w:sz w:val="24"/>
                <w:szCs w:val="24"/>
              </w:rPr>
              <w:t>ispunjuju</w:t>
            </w:r>
            <w:proofErr w:type="spellEnd"/>
            <w:r>
              <w:rPr>
                <w:rFonts w:ascii="Times New Roman" w:hAnsi="Times New Roman"/>
                <w:bCs/>
                <w:sz w:val="24"/>
                <w:szCs w:val="24"/>
              </w:rPr>
              <w:t xml:space="preserve"> uvjete utvrđene u članku 306. stavku 1. točki (c) CRR-a.</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Iskazani iznos uključuje se i u ostalu imovinu iskazanu u rubrici {0190;0010}.</w:t>
            </w:r>
          </w:p>
        </w:tc>
      </w:tr>
      <w:tr w:rsidR="00CB48CC" w:rsidRPr="00E75BB8" w14:paraId="49F39ED5" w14:textId="77777777" w:rsidTr="00E1595A">
        <w:trPr>
          <w:trHeight w:val="304"/>
        </w:trPr>
        <w:tc>
          <w:tcPr>
            <w:tcW w:w="1531" w:type="dxa"/>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{0230;0010}</w:t>
            </w:r>
          </w:p>
        </w:tc>
        <w:tc>
          <w:tcPr>
            <w:tcW w:w="7590" w:type="dxa"/>
            <w:gridSpan w:val="3"/>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Ispravci vrijednosti za transakcije financiranja vrijednosnim papirima koje se obračunavaju kao prodaja</w:t>
            </w:r>
          </w:p>
          <w:p w14:paraId="46B4994C" w14:textId="11B91C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429.e stavak 6. CRR-a</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vrijednosnih papira posuđenih u repo transakciji koji su se prestali priznavati zbog transakcije koja se obračunava kao prodaja u skladu s primjenjivim računovodstvenim okvirom.</w:t>
            </w:r>
          </w:p>
        </w:tc>
      </w:tr>
      <w:tr w:rsidR="00CB48CC" w:rsidRPr="00E75BB8" w14:paraId="5CBC395D" w14:textId="77777777" w:rsidTr="00E1595A">
        <w:trPr>
          <w:trHeight w:val="304"/>
        </w:trPr>
        <w:tc>
          <w:tcPr>
            <w:tcW w:w="1531" w:type="dxa"/>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{0235;0010}</w:t>
            </w:r>
          </w:p>
        </w:tc>
        <w:tc>
          <w:tcPr>
            <w:tcW w:w="7590" w:type="dxa"/>
            <w:gridSpan w:val="3"/>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 Umanjenje vrijednosti izloženosti kredita za </w:t>
            </w:r>
            <w:proofErr w:type="spellStart"/>
            <w:r>
              <w:rPr>
                <w:rFonts w:ascii="Times New Roman" w:hAnsi="Times New Roman"/>
                <w:b/>
                <w:bCs/>
                <w:sz w:val="24"/>
                <w:szCs w:val="24"/>
              </w:rPr>
              <w:t>pretfinanciranje</w:t>
            </w:r>
            <w:proofErr w:type="spellEnd"/>
            <w:r>
              <w:rPr>
                <w:rFonts w:ascii="Times New Roman" w:hAnsi="Times New Roman"/>
                <w:b/>
                <w:bCs/>
                <w:sz w:val="24"/>
                <w:szCs w:val="24"/>
              </w:rPr>
              <w:t xml:space="preserve"> ili </w:t>
            </w:r>
            <w:proofErr w:type="spellStart"/>
            <w:r>
              <w:rPr>
                <w:rFonts w:ascii="Times New Roman" w:hAnsi="Times New Roman"/>
                <w:b/>
                <w:bCs/>
                <w:sz w:val="24"/>
                <w:szCs w:val="24"/>
              </w:rPr>
              <w:t>međukredita</w:t>
            </w:r>
            <w:proofErr w:type="spellEnd"/>
            <w:r>
              <w:rPr>
                <w:rFonts w:ascii="Times New Roman" w:hAnsi="Times New Roman"/>
                <w:b/>
                <w:bCs/>
                <w:sz w:val="24"/>
                <w:szCs w:val="24"/>
              </w:rPr>
              <w:t xml:space="preserve"> </w:t>
            </w:r>
          </w:p>
          <w:p w14:paraId="44C18D39" w14:textId="51D265F7"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 stavak 8. CRR-a</w:t>
            </w:r>
          </w:p>
          <w:p w14:paraId="211507FA" w14:textId="0F9EA14E" w:rsidR="00131C70" w:rsidRPr="000B66BC" w:rsidRDefault="00131C70" w:rsidP="000B66BC">
            <w:pPr>
              <w:pStyle w:val="BodyText1"/>
              <w:spacing w:after="240"/>
              <w:rPr>
                <w:rFonts w:ascii="Times New Roman" w:hAnsi="Times New Roman"/>
                <w:bCs/>
                <w:sz w:val="24"/>
                <w:szCs w:val="24"/>
              </w:rPr>
            </w:pPr>
            <w:r>
              <w:rPr>
                <w:rFonts w:ascii="Times New Roman" w:hAnsi="Times New Roman"/>
                <w:bCs/>
                <w:sz w:val="24"/>
                <w:szCs w:val="24"/>
              </w:rPr>
              <w:t xml:space="preserve">Iznos umanjenja vrijednosti izloženosti kredita za </w:t>
            </w:r>
            <w:proofErr w:type="spellStart"/>
            <w:r>
              <w:rPr>
                <w:rFonts w:ascii="Times New Roman" w:hAnsi="Times New Roman"/>
                <w:bCs/>
                <w:sz w:val="24"/>
                <w:szCs w:val="24"/>
              </w:rPr>
              <w:t>pretfinanciranje</w:t>
            </w:r>
            <w:proofErr w:type="spellEnd"/>
            <w:r>
              <w:rPr>
                <w:rFonts w:ascii="Times New Roman" w:hAnsi="Times New Roman"/>
                <w:bCs/>
                <w:sz w:val="24"/>
                <w:szCs w:val="24"/>
              </w:rPr>
              <w:t xml:space="preserve"> ili </w:t>
            </w:r>
            <w:proofErr w:type="spellStart"/>
            <w:r>
              <w:rPr>
                <w:rFonts w:ascii="Times New Roman" w:hAnsi="Times New Roman"/>
                <w:bCs/>
                <w:sz w:val="24"/>
                <w:szCs w:val="24"/>
              </w:rPr>
              <w:t>međukredita</w:t>
            </w:r>
            <w:proofErr w:type="spellEnd"/>
            <w:r>
              <w:rPr>
                <w:rFonts w:ascii="Times New Roman" w:hAnsi="Times New Roman"/>
                <w:bCs/>
                <w:sz w:val="24"/>
                <w:szCs w:val="24"/>
              </w:rPr>
              <w:t>, u skladu s člankom 429. stavkom 8. CRR-a.</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Iskazani iznos uključuje se i u ostalu imovinu iskazanu u rubrici {0190;0010}.</w:t>
            </w:r>
          </w:p>
        </w:tc>
      </w:tr>
      <w:tr w:rsidR="00CB48CC" w:rsidRPr="00E75BB8" w14:paraId="18C57782" w14:textId="77777777" w:rsidTr="00E1595A">
        <w:trPr>
          <w:trHeight w:val="304"/>
        </w:trPr>
        <w:tc>
          <w:tcPr>
            <w:tcW w:w="1531" w:type="dxa"/>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{0240;0010}</w:t>
            </w:r>
          </w:p>
        </w:tc>
        <w:tc>
          <w:tcPr>
            <w:tcW w:w="7590" w:type="dxa"/>
            <w:gridSpan w:val="3"/>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Fiducijarna imovina</w:t>
            </w:r>
          </w:p>
          <w:p w14:paraId="7B749386" w14:textId="503A5C32"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429.a stavak 1. točka (i) CRR-a</w:t>
            </w:r>
          </w:p>
          <w:p w14:paraId="0AD4C34E" w14:textId="5E45FFB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 xml:space="preserve">Vrijednost fiducijarne imovine koja se priznaje u bilanci institucija u skladu s nacionalnim općeprihvaćenim računovodstvenim načelima, koja </w:t>
            </w:r>
            <w:proofErr w:type="spellStart"/>
            <w:r>
              <w:rPr>
                <w:rFonts w:ascii="Times New Roman" w:hAnsi="Times New Roman"/>
                <w:bCs/>
                <w:sz w:val="24"/>
                <w:szCs w:val="24"/>
              </w:rPr>
              <w:t>ispunjuje</w:t>
            </w:r>
            <w:proofErr w:type="spellEnd"/>
            <w:r>
              <w:rPr>
                <w:rFonts w:ascii="Times New Roman" w:hAnsi="Times New Roman"/>
                <w:bCs/>
                <w:sz w:val="24"/>
                <w:szCs w:val="24"/>
              </w:rPr>
              <w:t xml:space="preserve"> kriterije za prestanak priznavanja iz MSFI-ja 9 i prema potrebi za neuključivanje u konsolidaciju iz MSFI-ja 10, u skladu s člankom 429.a stavkom 1. točkom (i) CRR-a, ne uzimajući u obzir učinke računovodstvenog </w:t>
            </w:r>
            <w:proofErr w:type="spellStart"/>
            <w:r>
              <w:rPr>
                <w:rFonts w:ascii="Times New Roman" w:hAnsi="Times New Roman"/>
                <w:bCs/>
                <w:sz w:val="24"/>
                <w:szCs w:val="24"/>
              </w:rPr>
              <w:t>netiranja</w:t>
            </w:r>
            <w:proofErr w:type="spellEnd"/>
            <w:r>
              <w:rPr>
                <w:rFonts w:ascii="Times New Roman" w:hAnsi="Times New Roman"/>
                <w:bCs/>
                <w:sz w:val="24"/>
                <w:szCs w:val="24"/>
              </w:rPr>
              <w:t xml:space="preserve"> ili druge učinke tehnika smanjenja kreditnog rizika (odnosno poništavaju se svi učinci računovodstvenog </w:t>
            </w:r>
            <w:proofErr w:type="spellStart"/>
            <w:r>
              <w:rPr>
                <w:rFonts w:ascii="Times New Roman" w:hAnsi="Times New Roman"/>
                <w:bCs/>
                <w:sz w:val="24"/>
                <w:szCs w:val="24"/>
              </w:rPr>
              <w:t>netiranja</w:t>
            </w:r>
            <w:proofErr w:type="spellEnd"/>
            <w:r>
              <w:rPr>
                <w:rFonts w:ascii="Times New Roman" w:hAnsi="Times New Roman"/>
                <w:bCs/>
                <w:sz w:val="24"/>
                <w:szCs w:val="24"/>
              </w:rPr>
              <w:t xml:space="preserve"> ili tehnika smanjenja kreditnog rizika koji su utjecali na računovodstvenu vrijednost).</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Iskazani iznos uključuje se i u ostalu imovinu iskazanu u rubrici {0190;0010}.</w:t>
            </w:r>
          </w:p>
        </w:tc>
      </w:tr>
      <w:tr w:rsidR="00CB48CC" w:rsidRPr="00E75BB8" w14:paraId="6FE4C909" w14:textId="77777777" w:rsidTr="00E1595A">
        <w:trPr>
          <w:trHeight w:val="304"/>
        </w:trPr>
        <w:tc>
          <w:tcPr>
            <w:tcW w:w="1531" w:type="dxa"/>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{0250;0010}</w:t>
            </w:r>
          </w:p>
        </w:tc>
        <w:tc>
          <w:tcPr>
            <w:tcW w:w="7590" w:type="dxa"/>
            <w:gridSpan w:val="3"/>
            <w:tcBorders>
              <w:bottom w:val="single" w:sz="4" w:space="0" w:color="auto"/>
            </w:tcBorders>
          </w:tcPr>
          <w:p w14:paraId="444C70A3" w14:textId="10B6B4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 </w:t>
            </w:r>
            <w:proofErr w:type="spellStart"/>
            <w:r>
              <w:rPr>
                <w:rFonts w:ascii="Times New Roman" w:hAnsi="Times New Roman"/>
                <w:b/>
                <w:bCs/>
                <w:sz w:val="24"/>
                <w:szCs w:val="24"/>
              </w:rPr>
              <w:t>Unutargrupne</w:t>
            </w:r>
            <w:proofErr w:type="spellEnd"/>
            <w:r>
              <w:rPr>
                <w:rFonts w:ascii="Times New Roman" w:hAnsi="Times New Roman"/>
                <w:b/>
                <w:bCs/>
                <w:sz w:val="24"/>
                <w:szCs w:val="24"/>
              </w:rPr>
              <w:t xml:space="preserve"> izloženosti (pojedinačna osnova) izuzete u skladu s člankom 429.a stavkom 1. CRR-a</w:t>
            </w:r>
          </w:p>
          <w:p w14:paraId="1E2E0D64" w14:textId="46D39225"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429.a stavak 1. točka (c) i članak 113. stavak 6. CRR-a</w:t>
            </w:r>
          </w:p>
          <w:p w14:paraId="76D582E8" w14:textId="6A5B1B6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Izloženosti koje nisu konsolidirane na primjenjivoj razini konsolidacije, koje mogu imati koristi od tretmana iz članka 113. stavka 6. CRR-a, ako su ispunjeni svi uvjeti utvrđeni u članku 113. stavku 6. točkama od (a) do (e) i ako su nadležna tijela dala svoje odobrenje.</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Iskazani iznos uključuju se i u prethodno navedene primjenjive rubrike kao da se izuzeće ne primjenjuje.</w:t>
            </w:r>
          </w:p>
        </w:tc>
      </w:tr>
      <w:tr w:rsidR="00CB48CC" w:rsidRPr="00E75BB8" w14:paraId="38D7A9B9" w14:textId="77777777" w:rsidTr="00E1595A">
        <w:trPr>
          <w:trHeight w:val="304"/>
        </w:trPr>
        <w:tc>
          <w:tcPr>
            <w:tcW w:w="1531" w:type="dxa"/>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{0251;0010}</w:t>
            </w:r>
          </w:p>
        </w:tc>
        <w:tc>
          <w:tcPr>
            <w:tcW w:w="7590" w:type="dxa"/>
            <w:gridSpan w:val="3"/>
            <w:tcBorders>
              <w:bottom w:val="single" w:sz="4" w:space="0" w:color="auto"/>
            </w:tcBorders>
          </w:tcPr>
          <w:p w14:paraId="4730EC18" w14:textId="5DA0D2A7"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szCs w:val="24"/>
              </w:rPr>
              <w:t xml:space="preserve">(–) </w:t>
            </w:r>
            <w:proofErr w:type="spellStart"/>
            <w:r>
              <w:rPr>
                <w:rFonts w:ascii="Times New Roman" w:hAnsi="Times New Roman"/>
                <w:b/>
                <w:color w:val="auto"/>
                <w:sz w:val="24"/>
                <w:szCs w:val="24"/>
              </w:rPr>
              <w:t>Unutargrupne</w:t>
            </w:r>
            <w:proofErr w:type="spellEnd"/>
            <w:r>
              <w:rPr>
                <w:rFonts w:ascii="Times New Roman" w:hAnsi="Times New Roman"/>
                <w:b/>
                <w:color w:val="auto"/>
                <w:sz w:val="24"/>
                <w:szCs w:val="24"/>
              </w:rPr>
              <w:t xml:space="preserve"> izloženosti izuzete u skladu s člankom 429.a stavkom 1. CRR-a </w:t>
            </w:r>
          </w:p>
          <w:p w14:paraId="7A5F0217" w14:textId="2F9E23D3"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lastRenderedPageBreak/>
              <w:t>Članak 429.a stavak 1. točka (c)</w:t>
            </w:r>
            <w:r>
              <w:rPr>
                <w:rFonts w:ascii="Times New Roman" w:hAnsi="Times New Roman"/>
                <w:sz w:val="24"/>
                <w:szCs w:val="24"/>
              </w:rPr>
              <w:t xml:space="preserve"> i </w:t>
            </w:r>
            <w:r>
              <w:rPr>
                <w:rFonts w:ascii="Times New Roman" w:hAnsi="Times New Roman"/>
                <w:bCs/>
                <w:sz w:val="24"/>
                <w:szCs w:val="24"/>
              </w:rPr>
              <w:t>članak 113. stavak 7. CRR-a</w:t>
            </w:r>
          </w:p>
          <w:p w14:paraId="16C42B04" w14:textId="24D6E08E"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Izloženosti koje mogu imati koristi od tretmana iz članka 113. stavka 7. CRR-a ako su ispunjeni svi uvjeti utvrđeni u članku 113. stavku 7. točkama od (a) do (i) CRR-a i ako su nadležna tijela dala svoje odobrenje.</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Iskazani iznos uključuju se i u prethodno navedene primjenjive rubrike kao da se izuzeće ne primjenjuje.</w:t>
            </w:r>
          </w:p>
        </w:tc>
      </w:tr>
      <w:tr w:rsidR="00EC6F1E" w:rsidRPr="00E75BB8" w14:paraId="1D8BFA67" w14:textId="77777777" w:rsidTr="00E1595A">
        <w:trPr>
          <w:trHeight w:val="304"/>
        </w:trPr>
        <w:tc>
          <w:tcPr>
            <w:tcW w:w="1531" w:type="dxa"/>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{0252;0010}</w:t>
            </w:r>
          </w:p>
        </w:tc>
        <w:tc>
          <w:tcPr>
            <w:tcW w:w="7590" w:type="dxa"/>
            <w:gridSpan w:val="3"/>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Isključeni zajamčeni dijelovi izloženosti koji proizlaze iz izvoznih kredita </w:t>
            </w:r>
          </w:p>
          <w:p w14:paraId="43FFAEEA" w14:textId="4E83D7AF"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429.a stavak 1. točka (f) CRR-a</w:t>
            </w:r>
          </w:p>
          <w:p w14:paraId="0F2E3189" w14:textId="5999AD94"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Zajamčeni dijelovi izloženosti koja proizlazi iz izvoznih kredita koji se mogu isključiti ako su ispunjeni uvjeti iz članka 429.a stavka 1. točke (f) CRR-a</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Iskazani iznos uključuju se i u prethodno navedene primjenjive rubrike kao da se izuzeće ne primjenjuje.</w:t>
            </w:r>
          </w:p>
        </w:tc>
      </w:tr>
      <w:tr w:rsidR="00EC6F1E" w:rsidRPr="00E75BB8" w14:paraId="7AD87F00" w14:textId="77777777" w:rsidTr="00E1595A">
        <w:trPr>
          <w:trHeight w:val="304"/>
        </w:trPr>
        <w:tc>
          <w:tcPr>
            <w:tcW w:w="1531" w:type="dxa"/>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{0253;0010}</w:t>
            </w:r>
          </w:p>
        </w:tc>
        <w:tc>
          <w:tcPr>
            <w:tcW w:w="7590" w:type="dxa"/>
            <w:gridSpan w:val="3"/>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Isključeni višak kolaterala deponiran kod agenta treće strane</w:t>
            </w:r>
          </w:p>
          <w:p w14:paraId="209C179F" w14:textId="4127E36D"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429.a stavak 1. točka (k) CRR-a</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Višak kolaterala deponiran kod agenta treće strane koji nije dan u zajam, koji se može isključiti u skladu s člankom 429.a stavkom 1. točkom (k) CRR-a.</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Iskazani iznos uključuju se i u prethodno navedene primjenjive rubrike kao da se izuzeće ne primjenjuje.</w:t>
            </w:r>
          </w:p>
        </w:tc>
      </w:tr>
      <w:tr w:rsidR="00EC6F1E" w:rsidRPr="00E75BB8" w14:paraId="54166E91" w14:textId="77777777" w:rsidTr="00E1595A">
        <w:trPr>
          <w:trHeight w:val="304"/>
        </w:trPr>
        <w:tc>
          <w:tcPr>
            <w:tcW w:w="1531" w:type="dxa"/>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{0254;0010}</w:t>
            </w:r>
          </w:p>
        </w:tc>
        <w:tc>
          <w:tcPr>
            <w:tcW w:w="7590" w:type="dxa"/>
            <w:gridSpan w:val="3"/>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Isključene </w:t>
            </w:r>
            <w:proofErr w:type="spellStart"/>
            <w:r>
              <w:rPr>
                <w:rFonts w:ascii="Times New Roman" w:hAnsi="Times New Roman"/>
                <w:b/>
                <w:color w:val="auto"/>
                <w:sz w:val="24"/>
                <w:szCs w:val="24"/>
              </w:rPr>
              <w:t>sekuritizirane</w:t>
            </w:r>
            <w:proofErr w:type="spellEnd"/>
            <w:r>
              <w:rPr>
                <w:rFonts w:ascii="Times New Roman" w:hAnsi="Times New Roman"/>
                <w:b/>
                <w:color w:val="auto"/>
                <w:sz w:val="24"/>
                <w:szCs w:val="24"/>
              </w:rPr>
              <w:t xml:space="preserve"> izloženosti koje predstavljaju prijenos značajnog rizika </w:t>
            </w:r>
          </w:p>
          <w:p w14:paraId="69C77F33" w14:textId="64BBCCE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429.a stavka 1. točke (m) CRR-a</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proofErr w:type="spellStart"/>
            <w:r>
              <w:rPr>
                <w:rFonts w:ascii="Times New Roman" w:hAnsi="Times New Roman"/>
                <w:bCs/>
                <w:sz w:val="24"/>
                <w:szCs w:val="24"/>
              </w:rPr>
              <w:t>Sekuritizirane</w:t>
            </w:r>
            <w:proofErr w:type="spellEnd"/>
            <w:r>
              <w:rPr>
                <w:rFonts w:ascii="Times New Roman" w:hAnsi="Times New Roman"/>
                <w:bCs/>
                <w:sz w:val="24"/>
                <w:szCs w:val="24"/>
              </w:rPr>
              <w:t xml:space="preserve"> izloženosti iz tradicionalne sekuritizacije koje ispunjavaju uvjete za prijenos značajnog rizika iz članka 244. stavka 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Iskazani iznos uključuju se i u prethodno navedene primjenjive rubrike kao da se izuzeće ne primjenjuje.</w:t>
            </w:r>
          </w:p>
        </w:tc>
      </w:tr>
      <w:tr w:rsidR="00EC6F1E" w:rsidRPr="00E75BB8" w14:paraId="7069054A" w14:textId="77777777" w:rsidTr="00E1595A">
        <w:trPr>
          <w:trHeight w:val="304"/>
        </w:trPr>
        <w:tc>
          <w:tcPr>
            <w:tcW w:w="1531" w:type="dxa"/>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{0255;0010}</w:t>
            </w:r>
          </w:p>
        </w:tc>
        <w:tc>
          <w:tcPr>
            <w:tcW w:w="7590" w:type="dxa"/>
            <w:gridSpan w:val="3"/>
            <w:tcBorders>
              <w:bottom w:val="single" w:sz="4" w:space="0" w:color="auto"/>
            </w:tcBorders>
            <w:vAlign w:val="center"/>
          </w:tcPr>
          <w:p w14:paraId="43716DF9" w14:textId="2825BB71"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 Izloženosti prema središnjoj banci izuzete u skladu s člankom 429.a stavkom 1. točkom (n) CRR-a</w:t>
            </w:r>
          </w:p>
          <w:p w14:paraId="737C879F" w14:textId="14999659"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sz w:val="24"/>
                <w:szCs w:val="24"/>
              </w:rPr>
              <w:t>Članak 429.a stavak 1. točka (n) CRR-a</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Iskazani iznos uključuju se i u prethodno navedene primjenjive rubrike kao da se izuzeće ne primjenjuje.</w:t>
            </w:r>
          </w:p>
        </w:tc>
      </w:tr>
      <w:tr w:rsidR="00EC6F1E" w:rsidRPr="00E75BB8" w14:paraId="54E04016" w14:textId="77777777" w:rsidTr="00E1595A">
        <w:trPr>
          <w:trHeight w:val="304"/>
        </w:trPr>
        <w:tc>
          <w:tcPr>
            <w:tcW w:w="1531" w:type="dxa"/>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{0256;0010}</w:t>
            </w:r>
          </w:p>
        </w:tc>
        <w:tc>
          <w:tcPr>
            <w:tcW w:w="7590" w:type="dxa"/>
            <w:gridSpan w:val="3"/>
            <w:tcBorders>
              <w:bottom w:val="single" w:sz="4" w:space="0" w:color="auto"/>
            </w:tcBorders>
            <w:vAlign w:val="center"/>
          </w:tcPr>
          <w:p w14:paraId="0B0A550F" w14:textId="48704114"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Isključene pomoćne usluge bankovnog tipa središnjeg </w:t>
            </w:r>
            <w:proofErr w:type="spellStart"/>
            <w:r>
              <w:rPr>
                <w:rFonts w:ascii="Times New Roman" w:hAnsi="Times New Roman"/>
                <w:b/>
                <w:color w:val="auto"/>
                <w:sz w:val="24"/>
                <w:szCs w:val="24"/>
              </w:rPr>
              <w:t>depozitorija</w:t>
            </w:r>
            <w:proofErr w:type="spellEnd"/>
            <w:r>
              <w:rPr>
                <w:rFonts w:ascii="Times New Roman" w:hAnsi="Times New Roman"/>
                <w:b/>
                <w:color w:val="auto"/>
                <w:sz w:val="24"/>
                <w:szCs w:val="24"/>
              </w:rPr>
              <w:t xml:space="preserve"> vrijednosnih papira/institucija u skladu s člankom 429.a stavkom 1. točkom (o) CRR-a</w:t>
            </w:r>
          </w:p>
          <w:p w14:paraId="5D17ABE6" w14:textId="52B88A9E"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429.a stavak 1. točka (o) CRR-a</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Iskazani iznos uključuju se i u prethodno navedene primjenjive rubrike kao da se izuzeće ne primjenjuje.</w:t>
            </w:r>
          </w:p>
        </w:tc>
      </w:tr>
      <w:tr w:rsidR="00EC6F1E" w:rsidRPr="00E75BB8" w14:paraId="796C7E67" w14:textId="77777777" w:rsidTr="00E1595A">
        <w:trPr>
          <w:trHeight w:val="304"/>
        </w:trPr>
        <w:tc>
          <w:tcPr>
            <w:tcW w:w="1531" w:type="dxa"/>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bCs/>
                <w:sz w:val="24"/>
                <w:szCs w:val="24"/>
              </w:rPr>
              <w:t>{0257;0010}</w:t>
            </w:r>
          </w:p>
        </w:tc>
        <w:tc>
          <w:tcPr>
            <w:tcW w:w="7590" w:type="dxa"/>
            <w:gridSpan w:val="3"/>
            <w:tcBorders>
              <w:bottom w:val="single" w:sz="4" w:space="0" w:color="auto"/>
            </w:tcBorders>
            <w:vAlign w:val="center"/>
          </w:tcPr>
          <w:p w14:paraId="4CA8E235" w14:textId="29A8F0CD"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Isključene pomoćne usluge bankovnog tipa imenovanih institucija u skladu s člankom 429.a stavkom 1. točkom (p) CRR-a</w:t>
            </w:r>
          </w:p>
          <w:p w14:paraId="290DEB1D" w14:textId="16219676"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Članak 429.a stavak 1. točka (p) CRR-a</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Iskazani iznos uključuju se i u prethodno navedene primjenjive rubrike kao da se izuzeće ne primjenjuje.</w:t>
            </w:r>
          </w:p>
        </w:tc>
      </w:tr>
      <w:tr w:rsidR="00CB48CC" w:rsidRPr="00E75BB8" w14:paraId="759771C3" w14:textId="77777777" w:rsidTr="00E1595A">
        <w:trPr>
          <w:trHeight w:val="304"/>
        </w:trPr>
        <w:tc>
          <w:tcPr>
            <w:tcW w:w="1531" w:type="dxa"/>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{0260;0010}</w:t>
            </w:r>
          </w:p>
        </w:tc>
        <w:tc>
          <w:tcPr>
            <w:tcW w:w="7590" w:type="dxa"/>
            <w:gridSpan w:val="3"/>
            <w:tcBorders>
              <w:bottom w:val="single" w:sz="4" w:space="0" w:color="auto"/>
            </w:tcBorders>
          </w:tcPr>
          <w:p w14:paraId="1FAED4EC" w14:textId="0BBD48A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Izloženosti izuzete u skladu s člankom 429.a stavkom 1. točkom (j) CRR-a</w:t>
            </w:r>
          </w:p>
          <w:p w14:paraId="218BC8E5" w14:textId="0E84595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429.a stavak 1. točka (j) CRR-a</w:t>
            </w:r>
          </w:p>
          <w:p w14:paraId="3A1ACCB0" w14:textId="066522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Izloženosti izuzete u skladu s člankom 429.a stavkom 1. točkom (j) CRR-a ako su ispunjeni uvjeti navedeni u toj točki.</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Iskazani iznos uključuju se i u prethodno navedene primjenjive rubrike kao da se izuzeće ne primjenjuje.</w:t>
            </w:r>
          </w:p>
        </w:tc>
      </w:tr>
      <w:tr w:rsidR="00CB48CC" w:rsidRPr="00E75BB8" w14:paraId="4D2ECF18" w14:textId="77777777" w:rsidTr="00E1595A">
        <w:trPr>
          <w:trHeight w:val="304"/>
        </w:trPr>
        <w:tc>
          <w:tcPr>
            <w:tcW w:w="1531" w:type="dxa"/>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{0261;0010}</w:t>
            </w:r>
          </w:p>
        </w:tc>
        <w:tc>
          <w:tcPr>
            <w:tcW w:w="7590" w:type="dxa"/>
            <w:gridSpan w:val="3"/>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 </w:t>
            </w:r>
            <w:r>
              <w:rPr>
                <w:rFonts w:ascii="Times New Roman" w:hAnsi="Times New Roman"/>
                <w:b/>
                <w:color w:val="auto"/>
                <w:sz w:val="24"/>
                <w:szCs w:val="24"/>
              </w:rPr>
              <w:t>(–) Isključene izloženosti javnih razvojnih kreditnih institucija – Ulaganja javnog sektora</w:t>
            </w:r>
          </w:p>
          <w:p w14:paraId="387343FE" w14:textId="733E008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429.a</w:t>
            </w:r>
            <w:r>
              <w:rPr>
                <w:rFonts w:ascii="Times New Roman" w:hAnsi="Times New Roman"/>
                <w:sz w:val="24"/>
                <w:szCs w:val="24"/>
              </w:rPr>
              <w:t xml:space="preserve"> </w:t>
            </w:r>
            <w:r>
              <w:rPr>
                <w:rFonts w:ascii="Times New Roman" w:hAnsi="Times New Roman"/>
                <w:color w:val="auto"/>
                <w:sz w:val="24"/>
                <w:szCs w:val="24"/>
              </w:rPr>
              <w:t>stavak 1. točka (d) i stavak 2. CRR-a</w:t>
            </w:r>
          </w:p>
          <w:p w14:paraId="740BFE27" w14:textId="2CA85AAC"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Izloženosti koje proizlaze iz imovine koja čini potraživanja od središnjih država, područnih (regionalnih) samouprava, lokalnih samouprava ili subjekata javnog sektora u odnosu na ulaganja javnog sektora, koje se mogu isključiti u skladu s člankom 429.a stavkom 1. točkom (d) CRR-a.</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Ako se potraživanje smatra i promotivnim kreditom u skladu s člankom 429.a stavkom 3., ne iskazuje se u ovoj rubrici, nego u recima 0262–0264, ovisno o slučaju.</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Iskazani iznos uključuju se i u prethodno navedene primjenjive rubrike kao da se izuzeće ne primjenjuje.</w:t>
            </w:r>
          </w:p>
        </w:tc>
      </w:tr>
      <w:tr w:rsidR="00CB48CC" w:rsidRPr="00E75BB8" w14:paraId="53C01F29" w14:textId="77777777" w:rsidTr="00E1595A">
        <w:trPr>
          <w:trHeight w:val="304"/>
        </w:trPr>
        <w:tc>
          <w:tcPr>
            <w:tcW w:w="1531" w:type="dxa"/>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{0262;0010}</w:t>
            </w:r>
          </w:p>
        </w:tc>
        <w:tc>
          <w:tcPr>
            <w:tcW w:w="7590" w:type="dxa"/>
            <w:gridSpan w:val="3"/>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Isključene izloženosti javnih razvojnih kreditnih institucija – Promotivni krediti koje dodjeljuje javna razvojna kreditna institucija</w:t>
            </w:r>
          </w:p>
          <w:p w14:paraId="30828A29" w14:textId="31FE28CB"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429.a</w:t>
            </w:r>
            <w:r>
              <w:rPr>
                <w:rFonts w:ascii="Times New Roman" w:hAnsi="Times New Roman"/>
                <w:sz w:val="24"/>
                <w:szCs w:val="24"/>
              </w:rPr>
              <w:t xml:space="preserve"> </w:t>
            </w:r>
            <w:r>
              <w:rPr>
                <w:rFonts w:ascii="Times New Roman" w:hAnsi="Times New Roman"/>
                <w:bCs/>
                <w:sz w:val="24"/>
                <w:szCs w:val="24"/>
              </w:rPr>
              <w:t>stavak 1. točka (d) i stavci 2. i 3. CRR-a</w:t>
            </w:r>
          </w:p>
          <w:p w14:paraId="672E00E2" w14:textId="7E6FCF88"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lastRenderedPageBreak/>
              <w:t xml:space="preserve">Izloženosti koje proizlaze iz promotivnih kredita, uključujući prolazne promotivne kredite, koje dodjeljuje javna razvojna kreditna institucija i koji se mogu isključiti u skladu s člankom 429.a stavkom 1 točkom (d) CRR-a. </w:t>
            </w:r>
            <w:r>
              <w:rPr>
                <w:rFonts w:ascii="Times New Roman" w:hAnsi="Times New Roman"/>
                <w:sz w:val="24"/>
                <w:szCs w:val="24"/>
              </w:rPr>
              <w:t>U obzir se uzimaju i izloženosti jedinice institucije koju nadležno tijelo tretira kao javnu razvojnu kreditnu instituciju u skladu s člankom 429.a stavkom 2. zadnjim odlomkom CRR-a.</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Iskazani iznos uključuju se i u prethodno navedene primjenjive rubrike kao da se izuzeće ne primjenjuje.</w:t>
            </w:r>
          </w:p>
        </w:tc>
      </w:tr>
      <w:tr w:rsidR="00CB48CC" w:rsidRPr="00E75BB8" w14:paraId="00B60DDD" w14:textId="77777777" w:rsidTr="00E1595A">
        <w:trPr>
          <w:trHeight w:val="304"/>
        </w:trPr>
        <w:tc>
          <w:tcPr>
            <w:tcW w:w="1531" w:type="dxa"/>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{0263;0010}</w:t>
            </w:r>
          </w:p>
        </w:tc>
        <w:tc>
          <w:tcPr>
            <w:tcW w:w="7590" w:type="dxa"/>
            <w:gridSpan w:val="3"/>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Isključene izloženosti javnih razvojnih kreditnih institucija – Promotivni krediti koje dodjeljuje subjekt koji je izravno uspostavila središnja država, jedinica područne (regionalne) ili lokalne samouprave države članice</w:t>
            </w:r>
          </w:p>
          <w:p w14:paraId="4B17F8AE" w14:textId="3DD44064"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429.a</w:t>
            </w:r>
            <w:r>
              <w:rPr>
                <w:rFonts w:ascii="Times New Roman" w:hAnsi="Times New Roman"/>
                <w:sz w:val="24"/>
                <w:szCs w:val="24"/>
              </w:rPr>
              <w:t xml:space="preserve"> </w:t>
            </w:r>
            <w:r>
              <w:rPr>
                <w:rFonts w:ascii="Times New Roman" w:hAnsi="Times New Roman"/>
                <w:bCs/>
                <w:sz w:val="24"/>
                <w:szCs w:val="24"/>
              </w:rPr>
              <w:t>stavak 1. točka (d) i stavci 2. i 3. CRR-a</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Izloženosti koje proizlaze iz promotivnih kredita, uključujući prolazne promotivne kredite, koje dodjeljuje subjekt koji je izravno uspostavila središnja država, jedinica područne (regionalne) ili lokalne samouprave države članice, koje se mogu isključiti u skladu s člankom 429.a stavkom 1. točkom (d) CRR-a.</w:t>
            </w:r>
            <w:r>
              <w:rPr>
                <w:rFonts w:ascii="Times New Roman" w:hAnsi="Times New Roman"/>
                <w:bCs/>
                <w:sz w:val="24"/>
                <w:szCs w:val="24"/>
              </w:rPr>
              <w:t xml:space="preserve"> </w:t>
            </w:r>
            <w:r>
              <w:rPr>
                <w:rFonts w:ascii="Times New Roman" w:hAnsi="Times New Roman"/>
                <w:sz w:val="24"/>
                <w:szCs w:val="24"/>
              </w:rPr>
              <w:t>U obzir se uzimaju i izloženosti jedinice institucije koju nadležno tijelo tretira kao javnu razvojnu kreditnu instituciju u skladu s člankom 429.a stavkom 2. zadnjim odlomkom CRR-a.</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Iskazani iznos uključuju se i u prethodno navedene primjenjive rubrike kao da se izuzeće ne primjenjuje.</w:t>
            </w:r>
          </w:p>
        </w:tc>
      </w:tr>
      <w:tr w:rsidR="00CB48CC" w:rsidRPr="00E75BB8" w14:paraId="24911276" w14:textId="77777777" w:rsidTr="00E1595A">
        <w:trPr>
          <w:trHeight w:val="304"/>
        </w:trPr>
        <w:tc>
          <w:tcPr>
            <w:tcW w:w="1531" w:type="dxa"/>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{0264;0010}</w:t>
            </w:r>
          </w:p>
        </w:tc>
        <w:tc>
          <w:tcPr>
            <w:tcW w:w="7590" w:type="dxa"/>
            <w:gridSpan w:val="3"/>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Isključene izloženosti javnih razvojnih kreditnih institucija – Promotivni krediti koje dodjeljuje subjekt koji je putem kreditne institucije posrednika uspostavila središnja država, jedinica područne (regionalne) ili lokalne samouprave države članice</w:t>
            </w:r>
          </w:p>
          <w:p w14:paraId="6754B207" w14:textId="392DBA3E"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429.a</w:t>
            </w:r>
            <w:r>
              <w:rPr>
                <w:rFonts w:ascii="Times New Roman" w:hAnsi="Times New Roman"/>
                <w:sz w:val="24"/>
                <w:szCs w:val="24"/>
              </w:rPr>
              <w:t xml:space="preserve"> </w:t>
            </w:r>
            <w:r>
              <w:rPr>
                <w:rFonts w:ascii="Times New Roman" w:hAnsi="Times New Roman"/>
                <w:bCs/>
                <w:sz w:val="24"/>
                <w:szCs w:val="24"/>
              </w:rPr>
              <w:t>stavak 1. točka (d) i stavci 2. i 3. CRR-a</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Izloženosti koje proizlaze iz promotivnih kredita, uključujući prolazne promotivne kredite, koje dodjeljuje subjekt koji je putem kreditne institucije posrednika uspostavila središnja država, jedinica područne (regionalne) ili lokalne samouprave države članice, koje se mogu isključiti u skladu s člankom 429.a stavkom 1. točkom (d) CRR-a.</w:t>
            </w:r>
            <w:r>
              <w:rPr>
                <w:rFonts w:ascii="Times New Roman" w:hAnsi="Times New Roman"/>
                <w:bCs/>
                <w:sz w:val="24"/>
                <w:szCs w:val="24"/>
              </w:rPr>
              <w:t xml:space="preserve"> </w:t>
            </w:r>
            <w:r>
              <w:rPr>
                <w:rFonts w:ascii="Times New Roman" w:hAnsi="Times New Roman"/>
                <w:sz w:val="24"/>
                <w:szCs w:val="24"/>
              </w:rPr>
              <w:t>U obzir se uzimaju i izloženosti jedinice institucije koju nadležno tijelo tretira kao javnu razvojnu kreditnu instituciju u skladu s člankom 429.a stavkom 2. zadnjim odlomkom CRR-a.</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Iskazani iznos uključuju se i u prethodno navedene primjenjive rubrike kao da se izuzeće ne primjenjuje.</w:t>
            </w:r>
          </w:p>
        </w:tc>
      </w:tr>
      <w:tr w:rsidR="00CB48CC" w:rsidRPr="00E75BB8" w14:paraId="337CD92B" w14:textId="77777777" w:rsidTr="00E1595A">
        <w:trPr>
          <w:trHeight w:val="304"/>
        </w:trPr>
        <w:tc>
          <w:tcPr>
            <w:tcW w:w="1531" w:type="dxa"/>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{0265;0010}</w:t>
            </w:r>
          </w:p>
        </w:tc>
        <w:tc>
          <w:tcPr>
            <w:tcW w:w="7590" w:type="dxa"/>
            <w:gridSpan w:val="3"/>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Isključene izloženosti koje proizlaze iz prolaznih promotivnih kredita razvojnih kreditnih institucija (ili jedinica) koje nisu javne – Promotivni krediti koje dodjeljuje javna razvojna kreditna institucija</w:t>
            </w:r>
          </w:p>
          <w:p w14:paraId="51F998E0" w14:textId="0F685FC2"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Članak 429.a</w:t>
            </w:r>
            <w:r>
              <w:rPr>
                <w:rFonts w:ascii="Times New Roman" w:hAnsi="Times New Roman"/>
                <w:sz w:val="24"/>
                <w:szCs w:val="24"/>
              </w:rPr>
              <w:t xml:space="preserve"> </w:t>
            </w:r>
            <w:r>
              <w:rPr>
                <w:rFonts w:ascii="Times New Roman" w:hAnsi="Times New Roman"/>
                <w:bCs/>
                <w:sz w:val="24"/>
                <w:szCs w:val="24"/>
              </w:rPr>
              <w:t>stavak 1. točka (e) i stavci 2. i 3. CRR-a</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Dijelovi izloženosti koje proizlaze iz prolaznih promotivnih kredita drugim kreditnim institucijama, kada promotivne kredite dodjeljuje javna razvojna kreditna institucija. </w:t>
            </w:r>
            <w:r>
              <w:rPr>
                <w:rFonts w:ascii="Times New Roman" w:hAnsi="Times New Roman"/>
                <w:sz w:val="24"/>
                <w:szCs w:val="24"/>
              </w:rPr>
              <w:t>U obzir se uzimaju i dijelovi izloženosti jedinica institucije koju nadležno tijelo ne tretira kao javnu razvojnu kreditnu instituciju u skladu s člankom 429.a stavkom 2. zadnjim odlomkom CRR-a.</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Iskazani iznos uključuju se i u prethodno navedene primjenjive rubrike kao da se izuzeće ne primjenjuje.</w:t>
            </w:r>
          </w:p>
        </w:tc>
      </w:tr>
      <w:tr w:rsidR="00CB48CC" w:rsidRPr="00E75BB8" w14:paraId="02D73868" w14:textId="77777777" w:rsidTr="00E1595A">
        <w:trPr>
          <w:trHeight w:val="304"/>
        </w:trPr>
        <w:tc>
          <w:tcPr>
            <w:tcW w:w="1531" w:type="dxa"/>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{0266;0010}</w:t>
            </w:r>
          </w:p>
        </w:tc>
        <w:tc>
          <w:tcPr>
            <w:tcW w:w="7590" w:type="dxa"/>
            <w:gridSpan w:val="3"/>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Isključene izloženosti koje proizlaze iz prolaznih promotivnih kredita razvojnih kreditnih institucija (ili jedinica) koje nisu javne – Promotivni krediti koje dodjeljuje subjekt koji je izravno uspostavila središnja država, jedinica područne (regionalne) ili lokalne samouprave države članice</w:t>
            </w:r>
          </w:p>
          <w:p w14:paraId="003BD5E4" w14:textId="186B4E9B"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429.a</w:t>
            </w:r>
            <w:r>
              <w:rPr>
                <w:rFonts w:ascii="Times New Roman" w:hAnsi="Times New Roman"/>
                <w:sz w:val="24"/>
                <w:szCs w:val="24"/>
              </w:rPr>
              <w:t xml:space="preserve"> </w:t>
            </w:r>
            <w:r>
              <w:rPr>
                <w:rFonts w:ascii="Times New Roman" w:hAnsi="Times New Roman"/>
                <w:bCs/>
                <w:sz w:val="24"/>
                <w:szCs w:val="24"/>
              </w:rPr>
              <w:t>stavak 1. točka (e) i stavci 2. i 3. CRR-a</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Dijelovi izloženosti koje proizlaze iz prolaznih promotivnih kredita drugim kreditnim institucijama, kada promotivne kredite dodjeljuje subjekt koji je izravno uspostavila središnja država, jedinica područne (regionalne) ili lokalne samouprave države članice. </w:t>
            </w:r>
            <w:r>
              <w:rPr>
                <w:rFonts w:ascii="Times New Roman" w:hAnsi="Times New Roman"/>
                <w:sz w:val="24"/>
                <w:szCs w:val="24"/>
              </w:rPr>
              <w:t>U obzir se uzimaju i dijelovi izloženosti jedinica institucije koju nadležno tijelo ne tretira kao javnu razvojnu kreditnu instituciju u skladu s člankom 429.a stavkom 2. zadnjim odlomkom CRR-a.</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Iskazani iznos uključuju se i u prethodno navedene primjenjive rubrike kao da se izuzeće ne primjenjuje.</w:t>
            </w:r>
          </w:p>
        </w:tc>
      </w:tr>
      <w:tr w:rsidR="00CB48CC" w:rsidRPr="00E75BB8" w14:paraId="78DBF21B" w14:textId="77777777" w:rsidTr="00E1595A">
        <w:trPr>
          <w:trHeight w:val="304"/>
        </w:trPr>
        <w:tc>
          <w:tcPr>
            <w:tcW w:w="1531" w:type="dxa"/>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{0267;0010}</w:t>
            </w:r>
          </w:p>
        </w:tc>
        <w:tc>
          <w:tcPr>
            <w:tcW w:w="7590" w:type="dxa"/>
            <w:gridSpan w:val="3"/>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Isključene izloženosti koje proizlaze iz prolaznih promotivnih kredita razvojnih kreditnih institucija (ili jedinica) koje nisu javne – Promotivni krediti koje dodjeljuje subjekt koji je putem kreditne institucije posrednika uspostavila središnja država, jedinica područne (regionalne) ili lokalne samouprave države članice</w:t>
            </w:r>
          </w:p>
          <w:p w14:paraId="30EAE7BC" w14:textId="63AC62A5"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429.a</w:t>
            </w:r>
            <w:r>
              <w:rPr>
                <w:rFonts w:ascii="Times New Roman" w:hAnsi="Times New Roman"/>
                <w:sz w:val="24"/>
                <w:szCs w:val="24"/>
              </w:rPr>
              <w:t xml:space="preserve"> </w:t>
            </w:r>
            <w:r>
              <w:rPr>
                <w:rFonts w:ascii="Times New Roman" w:hAnsi="Times New Roman"/>
                <w:bCs/>
                <w:sz w:val="24"/>
                <w:szCs w:val="24"/>
              </w:rPr>
              <w:t>stavak 1. točka (e) i stavci 2. i 3. CRR-a</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Dijelovi izloženosti koje proizlaze iz prolaznih promotivnih kredita drugim kreditnim institucijama, kada promotivne kredite dodjeljuje subjekt koji je putem kreditne institucije posrednika uspostavila središnja država, jedinica područne (regionalne) ili lokalne samouprave države članice. </w:t>
            </w:r>
            <w:r>
              <w:rPr>
                <w:rFonts w:ascii="Times New Roman" w:hAnsi="Times New Roman"/>
                <w:sz w:val="24"/>
                <w:szCs w:val="24"/>
              </w:rPr>
              <w:t>U obzir se uzimaju i dijelovi izloženosti jedinica institucije koju nadležno tijelo ne tretira kao javnu razvojnu kreditnu instituciju u skladu s člankom 429.a stavkom 2. zadnjim odlomkom CRR-a.</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Iskazani iznos uključuju se i u prethodno navedene primjenjive rubrike kao da se izuzeće ne primjenjuje.</w:t>
            </w:r>
          </w:p>
        </w:tc>
      </w:tr>
      <w:tr w:rsidR="00CB48CC" w:rsidRPr="00E75BB8" w14:paraId="39D281E6" w14:textId="77777777" w:rsidTr="00E1595A">
        <w:trPr>
          <w:trHeight w:val="304"/>
        </w:trPr>
        <w:tc>
          <w:tcPr>
            <w:tcW w:w="1531" w:type="dxa"/>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bCs/>
                <w:sz w:val="24"/>
                <w:szCs w:val="24"/>
              </w:rPr>
              <w:t>(-) Odbijeni iznos imovine – osnovni kapital – definicija nakon potpunog uvođenja novih odredaba</w:t>
            </w:r>
          </w:p>
          <w:p w14:paraId="7786B29A" w14:textId="16FE3CE7"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sz w:val="24"/>
                <w:szCs w:val="24"/>
              </w:rPr>
              <w:t>Članak 429.a stavak 1. točka (b) i članak 499. stavak 1. točka (a) CRR-a</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Uključuje sva usklađenja vrijednosti imovine propisana:</w:t>
            </w:r>
          </w:p>
          <w:p w14:paraId="0ABD1D78" w14:textId="0198F3C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člancima od 32. do 35. CRR-a ili </w:t>
            </w:r>
          </w:p>
          <w:p w14:paraId="14203D05" w14:textId="63CBF1E7"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člancima od 36. do 47. CRR-a ili</w:t>
            </w:r>
          </w:p>
          <w:p w14:paraId="33D193AD" w14:textId="220C0D0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člancima od 56. do 60. CRR-a,</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ovisno o slučaju.</w:t>
            </w:r>
          </w:p>
          <w:p w14:paraId="75E8D9BE" w14:textId="7558898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u obzir uzimaju izuzeća, alternative odbicima i izuzeća od takvih odbitaka iz članaka 48., 49. i 79. CRR-a, ne uzimajući u obzir odstupanje iz dijela desetog glave I. poglavlja 1., 2. i 4. CRR-a. Kako bi se izbjeglo dvostruko računanje, institucije pri izračunu vrijednosti izloženosti u rubrikama od {0010;0010} do {0267;0010} ne iskazuju usklađenja koja su već primijenjena u skladu s člankom 111. CRR-a niti iskazuju usklađenja kojima se ne oduzima vrijednost određene imovine.</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Kako su ti iznosi već odbijeni od mjere kapitala, njima se smanjuje izloženost omjera financijske poluge i iskazuju se u negativnim vrijednostima.</w:t>
            </w:r>
          </w:p>
        </w:tc>
      </w:tr>
      <w:tr w:rsidR="00CB48CC" w:rsidRPr="00E75BB8" w14:paraId="70428859" w14:textId="77777777" w:rsidTr="00E1595A">
        <w:trPr>
          <w:trHeight w:val="304"/>
        </w:trPr>
        <w:tc>
          <w:tcPr>
            <w:tcW w:w="1531" w:type="dxa"/>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6F1EE18" w14:textId="4A88898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Oduzeti (–) ili dodani (+) iznos imovine – Osnovni kapital – Definicija u prijelaznom razdoblju</w:t>
            </w:r>
          </w:p>
          <w:p w14:paraId="552CF68D" w14:textId="18B726F6"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429.a stavak 1. točka (b) i članak 499. stavak 1. točka (a) CRR-a</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Uključuje sva usklađenja kojima se usklađuje vrijednost imovine, što je propisano:</w:t>
            </w:r>
          </w:p>
          <w:p w14:paraId="2FE9C127" w14:textId="455E590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člancima od 32. do 35. CRR-a ili </w:t>
            </w:r>
          </w:p>
          <w:p w14:paraId="35A3C50B" w14:textId="4F89203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člancima od 36. do 47. CRR-a ili </w:t>
            </w:r>
          </w:p>
          <w:p w14:paraId="66CB0299" w14:textId="34D6051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člancima od 56. do 60. CRR-a,</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ovisno o slučaju.</w:t>
            </w:r>
          </w:p>
          <w:p w14:paraId="730A3940" w14:textId="2AFA1AF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u obzir uzimaju izuzeća, alternative odbicima i izuzeća od takvih odbitaka iz članaka 48., 49. i 79. CRR-a, uzimajući pritom u obzir odstupanja iz dijela desetog glave I. poglavlja 1., 2. i 4. CRR-a. Kako bi se izbjeglo dvostruko računanje, institucije pri izračunu vrijednosti izloženosti u rubrikama od {0010;0010} do {0267;0010} ne iskazuju usklađenja koja su već primijenjena u skladu s člankom 111. CRR-a niti iskazuju usklađenja kojima se ne oduzima vrijednost određene imovine.</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Kako su ti iznosi već odbijeni od mjere kapitala, njima se smanjuje izloženost omjera financijske poluge i iskazuju se u negativnim vrijednostima.</w:t>
            </w:r>
          </w:p>
          <w:p w14:paraId="5A75B235" w14:textId="38C4EC5D" w:rsidR="00CB48CC" w:rsidRPr="000B66BC" w:rsidRDefault="00D9327B" w:rsidP="000B66BC">
            <w:pPr>
              <w:pStyle w:val="BodyText1"/>
              <w:spacing w:after="240" w:line="240" w:lineRule="auto"/>
              <w:rPr>
                <w:rFonts w:ascii="Times New Roman" w:hAnsi="Times New Roman"/>
                <w:b/>
                <w:bCs/>
                <w:sz w:val="24"/>
                <w:szCs w:val="24"/>
              </w:rPr>
            </w:pPr>
            <w:r>
              <w:rPr>
                <w:rFonts w:ascii="Times New Roman" w:hAnsi="Times New Roman"/>
                <w:sz w:val="24"/>
                <w:szCs w:val="24"/>
              </w:rPr>
              <w:t>Osim toga, institucije u ovom retku kao pozitivnu vrijednost iskazuju iznose koji se ponovno dodaju mjeri izloženosti omjera financijske poluge u skladu s člankom 473.a stavcima 7. i 7.a CRR-a.</w:t>
            </w:r>
          </w:p>
        </w:tc>
      </w:tr>
      <w:tr w:rsidR="00CB48CC" w:rsidRPr="00E75BB8" w14:paraId="2854FA96" w14:textId="77777777" w:rsidTr="00E1595A">
        <w:trPr>
          <w:trHeight w:val="304"/>
        </w:trPr>
        <w:tc>
          <w:tcPr>
            <w:tcW w:w="1531" w:type="dxa"/>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Iznos ukupne mjere izloženosti omjera financijske poluge – primjena definicije osnovnog kapitala nakon potpunog uvođenja novih odredaba</w:t>
            </w:r>
          </w:p>
          <w:p w14:paraId="18A90C99" w14:textId="73B21DC6"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iskazuju zbroj svih redaka od 0010 do 0267 i retka 0270.</w:t>
            </w:r>
          </w:p>
        </w:tc>
      </w:tr>
      <w:tr w:rsidR="00CB48CC" w:rsidRPr="00E75BB8" w14:paraId="16865D6C" w14:textId="77777777" w:rsidTr="00E1595A">
        <w:trPr>
          <w:trHeight w:val="304"/>
        </w:trPr>
        <w:tc>
          <w:tcPr>
            <w:tcW w:w="1531" w:type="dxa"/>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Iznos ukupne mjere izloženosti omjera financijske poluge – primjena definicije osnovnog kapitala u prijelaznom razdoblju</w:t>
            </w:r>
          </w:p>
          <w:p w14:paraId="247E260C" w14:textId="44CFD3F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iskazuju zbroj svih redaka od 0010 do 0267 i retka 0280.</w:t>
            </w:r>
          </w:p>
        </w:tc>
      </w:tr>
      <w:tr w:rsidR="00CB48CC" w:rsidRPr="00E75BB8" w14:paraId="25B9F129" w14:textId="77777777" w:rsidTr="00E1595A">
        <w:trPr>
          <w:trHeight w:val="304"/>
        </w:trPr>
        <w:tc>
          <w:tcPr>
            <w:tcW w:w="1531" w:type="dxa"/>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Redak i stupac</w:t>
            </w:r>
          </w:p>
        </w:tc>
        <w:tc>
          <w:tcPr>
            <w:tcW w:w="7590" w:type="dxa"/>
            <w:gridSpan w:val="3"/>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Kapital </w:t>
            </w:r>
          </w:p>
        </w:tc>
      </w:tr>
      <w:tr w:rsidR="00CB48CC" w:rsidRPr="00E75BB8" w14:paraId="448FE1D7" w14:textId="77777777" w:rsidTr="00E1595A">
        <w:trPr>
          <w:trHeight w:val="304"/>
        </w:trPr>
        <w:tc>
          <w:tcPr>
            <w:tcW w:w="1531" w:type="dxa"/>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Osnovni kapital – definicija nakon potpunog uvođenja novih odredaba</w:t>
            </w:r>
          </w:p>
          <w:p w14:paraId="6D31890D" w14:textId="5223FA9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 stavak 3. i članak 499. stavak 1. točka (a) CRR-a</w:t>
            </w:r>
          </w:p>
          <w:p w14:paraId="49E3D5DA" w14:textId="329FD52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To je iznos osnovnog kapitala kako je izračunan u skladu s člankom 25. CRR-a, ne uzimajući u obzir odstupanje iz dijela desetog glave I. poglavlja 1., 2. i 4. CRR-a.</w:t>
            </w:r>
          </w:p>
        </w:tc>
      </w:tr>
      <w:tr w:rsidR="00CB48CC" w:rsidRPr="00E75BB8" w14:paraId="2B054486" w14:textId="77777777" w:rsidTr="00E1595A">
        <w:trPr>
          <w:trHeight w:val="304"/>
        </w:trPr>
        <w:tc>
          <w:tcPr>
            <w:tcW w:w="1531" w:type="dxa"/>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Osnovni kapital – definicija u prijelaznom razdoblju</w:t>
            </w:r>
          </w:p>
          <w:p w14:paraId="5041E493" w14:textId="204565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 stavak 3. i članak 499. stavak 1. točka (b) CRR-a</w:t>
            </w:r>
          </w:p>
          <w:p w14:paraId="3270C368" w14:textId="06319C94"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bCs/>
                <w:sz w:val="24"/>
                <w:szCs w:val="24"/>
              </w:rPr>
              <w:t>To je iznos osnovnog kapitala kako je izračunan u skladu s člankom 25. CRR-a, nakon uzimanja u obzir odstupanja iz dijela desetog glave I. poglavlja 1., 2. i 4. CRR-a.</w:t>
            </w:r>
          </w:p>
        </w:tc>
      </w:tr>
      <w:tr w:rsidR="00CB48CC" w:rsidRPr="00E75BB8" w14:paraId="30D5612D" w14:textId="77777777" w:rsidTr="00E1595A">
        <w:trPr>
          <w:trHeight w:val="304"/>
        </w:trPr>
        <w:tc>
          <w:tcPr>
            <w:tcW w:w="1531" w:type="dxa"/>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Redak i stupac</w:t>
            </w:r>
          </w:p>
        </w:tc>
        <w:tc>
          <w:tcPr>
            <w:tcW w:w="7590" w:type="dxa"/>
            <w:gridSpan w:val="3"/>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Omjer financijske poluge</w:t>
            </w:r>
          </w:p>
        </w:tc>
      </w:tr>
      <w:tr w:rsidR="00CB48CC" w:rsidRPr="00E75BB8" w14:paraId="7E720607" w14:textId="77777777" w:rsidTr="00E1595A">
        <w:trPr>
          <w:trHeight w:val="304"/>
        </w:trPr>
        <w:tc>
          <w:tcPr>
            <w:tcW w:w="1531" w:type="dxa"/>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590" w:type="dxa"/>
            <w:gridSpan w:val="3"/>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Omjer financijske poluge – primjena definicije osnovnog kapitala nakon potpunog uvođenja novih odredaba</w:t>
            </w:r>
          </w:p>
          <w:p w14:paraId="14103416" w14:textId="56BA3CE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429. stavak 2. i članak 499. stavak 1. CRR-a</w:t>
            </w:r>
          </w:p>
          <w:p w14:paraId="13640073" w14:textId="1BB24A76"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bCs/>
                <w:sz w:val="24"/>
                <w:szCs w:val="24"/>
              </w:rPr>
              <w:t>To je omjer financijske poluge kako je izračunan u skladu s dijelom II. točkom 4. ovog Priloga.</w:t>
            </w:r>
          </w:p>
        </w:tc>
      </w:tr>
      <w:tr w:rsidR="00CB48CC" w:rsidRPr="00E75BB8" w14:paraId="58F7E1A1" w14:textId="77777777" w:rsidTr="00E1595A">
        <w:trPr>
          <w:trHeight w:val="304"/>
        </w:trPr>
        <w:tc>
          <w:tcPr>
            <w:tcW w:w="1531" w:type="dxa"/>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{0340;0010}</w:t>
            </w:r>
          </w:p>
        </w:tc>
        <w:tc>
          <w:tcPr>
            <w:tcW w:w="7590" w:type="dxa"/>
            <w:gridSpan w:val="3"/>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Omjer financijske poluge – primjena definicije osnovnog kapitala u prijelaznom razdoblju</w:t>
            </w:r>
          </w:p>
          <w:p w14:paraId="26098DFB" w14:textId="7824BAF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Članak 429. stavak 2. i članak 499. stavak 1. CRR-a</w:t>
            </w:r>
          </w:p>
          <w:p w14:paraId="173B4CA4" w14:textId="217771DE"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szCs w:val="24"/>
              </w:rPr>
              <w:t>To je omjer financijske poluge kako je izračunan u skladu s dijelom II. točkom 5. ovog Priloga.</w:t>
            </w:r>
          </w:p>
        </w:tc>
      </w:tr>
      <w:tr w:rsidR="00CB48CC" w:rsidRPr="00E75BB8"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bCs/>
                <w:sz w:val="24"/>
                <w:szCs w:val="24"/>
              </w:rPr>
              <w:lastRenderedPageBreak/>
              <w:t>Redak i stupac</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Zahtjevi: Iznosi</w:t>
            </w:r>
          </w:p>
        </w:tc>
      </w:tr>
      <w:tr w:rsidR="00E36E71" w:rsidRPr="00E75BB8"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Zahtjev iz stupa 2. (P2R) radi upravljanja rizikom prekomjerne financijske poluge</w:t>
            </w:r>
          </w:p>
          <w:p w14:paraId="52420558" w14:textId="1AD55706"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bCs/>
                <w:sz w:val="24"/>
                <w:szCs w:val="24"/>
              </w:rPr>
              <w:t xml:space="preserve">Članak 104. i članak 104.a CRD-a; </w:t>
            </w:r>
            <w:r>
              <w:rPr>
                <w:rFonts w:ascii="Times New Roman" w:hAnsi="Times New Roman"/>
                <w:color w:val="auto"/>
                <w:sz w:val="24"/>
                <w:szCs w:val="24"/>
              </w:rPr>
              <w:t>dodatni kapitalni zahtjev nadležnog tijela radi upravljanja rizikom prekomjerne financijske poluge iz članka 104. CRD-a</w:t>
            </w:r>
          </w:p>
        </w:tc>
      </w:tr>
      <w:tr w:rsidR="00E36E71" w:rsidRPr="00E75BB8"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od čega: koji se mora sastojati od redovnog osnovnog kapitala</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Dio zahtjeva P2R, naveden u retku 0350, za koji nadležno tijelo zahtijeva da se drži u obliku redovnog osnovnog kapitala</w:t>
            </w:r>
          </w:p>
        </w:tc>
      </w:tr>
      <w:tr w:rsidR="00E36E71" w:rsidRPr="00E75BB8"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Zaštitni sloj omjera financijske poluge GSV institucija</w:t>
            </w:r>
          </w:p>
          <w:p w14:paraId="2DF708A7" w14:textId="0B222937"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Članak 92. stavak 1.a CRR-a</w:t>
            </w:r>
          </w:p>
          <w:p w14:paraId="04DDCD79" w14:textId="1E39E84B"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GSV institucije iskazuju vrijednost uvećanja za omjer financijske poluge GSV institucije utvrđenog u skladu s člankom 92. stavkom 1.a CRR-a.</w:t>
            </w:r>
          </w:p>
          <w:p w14:paraId="10B82F9E" w14:textId="4585213B"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bCs/>
                <w:color w:val="auto"/>
                <w:sz w:val="24"/>
                <w:szCs w:val="24"/>
              </w:rPr>
              <w:t>GSV institucije taj iznos iskazuju na datum primjene zaštitnog sloja u skladu s CRR-om.</w:t>
            </w:r>
          </w:p>
        </w:tc>
      </w:tr>
      <w:tr w:rsidR="00E36E71" w:rsidRPr="00E75BB8"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Smjernice za stup 2. (P2G) radi upravljanja rizikom prekomjerne financijske poluge</w:t>
            </w:r>
          </w:p>
          <w:p w14:paraId="0B3B1A45" w14:textId="1A1C051A"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Članak 104.b CRD-a; dodatni kapitalni zahtjev o kojem je nadležno tijelo obavijestilo radi upravljanja rizikom prekomjerne financijske poluge iz članka 104.b CRD-a</w:t>
            </w:r>
          </w:p>
        </w:tc>
      </w:tr>
      <w:tr w:rsidR="00E36E71" w:rsidRPr="00E75BB8"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od čega: koji se mora sastojati od redovnog osnovnog kapitala</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Dio zahtjeva P2G, naveden u retku 0380, za koji nadležno tijelo zahtijeva da se drži u obliku redovnog osnovnog kapitala.</w:t>
            </w:r>
          </w:p>
        </w:tc>
      </w:tr>
      <w:tr w:rsidR="00E36E71" w:rsidRPr="00E75BB8"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{0400;0010}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od čega: koji se sastoji od osnovnog kapitala</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Dio zahtjeva P2G, naveden u retku 0380, za koji nadležno tijelo zahtijeva da se drži u obliku osnovnog kapitala.</w:t>
            </w:r>
          </w:p>
        </w:tc>
      </w:tr>
      <w:tr w:rsidR="00E36E71" w:rsidRPr="00E75BB8"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bCs/>
                <w:sz w:val="24"/>
                <w:szCs w:val="24"/>
              </w:rPr>
              <w:t>Redak i stupac</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bCs/>
                <w:sz w:val="24"/>
                <w:szCs w:val="24"/>
              </w:rPr>
              <w:t>Zahtjevi: omjeri</w:t>
            </w:r>
          </w:p>
        </w:tc>
      </w:tr>
      <w:tr w:rsidR="00CB48CC" w:rsidRPr="00E75BB8"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{0410;0010}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Zahtjev za omjer financijske poluge za stup 1. </w:t>
            </w:r>
          </w:p>
          <w:p w14:paraId="75955E40" w14:textId="22BA171D"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bCs/>
                <w:sz w:val="24"/>
                <w:szCs w:val="24"/>
              </w:rPr>
              <w:t>Članak 92. stavak 1. točka (d), članak 429.a stavak 7. i članak 429.a stavak 1. točka (n) CRR-a; omjer financijske poluge propisan radi upravljanja rizicima prekomjerne financijske poluge iz članka 92. stavka 1. točke (d) CRR-a</w:t>
            </w:r>
          </w:p>
          <w:p w14:paraId="2ACA2F0E" w14:textId="548B0D98"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sz w:val="24"/>
                <w:szCs w:val="24"/>
              </w:rPr>
              <w:t>Institucije koje isključuju izloženosti prema središnjoj banci institucije kako je navedeno u članku 429.a stavku 1. točki (n) CRR-a iskazuju zahtjev za prilagođeni omjer financijske poluge u skladu s člankom 429.a stavkom 7. CRR-a.</w:t>
            </w:r>
          </w:p>
        </w:tc>
      </w:tr>
      <w:tr w:rsidR="00E36E71" w:rsidRPr="00E75BB8"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{0420;0010}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Ukupni zahtjev za omjer financijske poluge u okviru SREP-a (TSLRR)</w:t>
            </w:r>
          </w:p>
          <w:p w14:paraId="58E6C4BD" w14:textId="29BB005C"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104. i članak 104.a CRD-a;</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bCs/>
                <w:sz w:val="24"/>
                <w:szCs w:val="24"/>
              </w:rPr>
              <w:t>Zbroj i. i ii. određuje se kako slijedi:</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bCs/>
                <w:sz w:val="24"/>
                <w:szCs w:val="24"/>
              </w:rPr>
              <w:t>zahtjev za omjer financijske poluge za stup 1. iskazan u retku 0410;</w:t>
            </w:r>
          </w:p>
          <w:p w14:paraId="4613F532" w14:textId="0609A36A"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sz w:val="24"/>
                <w:szCs w:val="24"/>
              </w:rPr>
              <w:t>stopa dodatnog kapitalnog zahtjeva koju nadležno tijelo zahtijeva (P2R) radi upravljanja rizikom prekomjerne financijske poluge iz članka 104. CRD-a.</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Institucije točku ii. izračunavaju tako što se vrijednost iz rubrike {0350;0010} podijeli vrijednošću iz rubrike</w:t>
            </w:r>
            <w:r>
              <w:rPr>
                <w:rFonts w:ascii="Times New Roman" w:hAnsi="Times New Roman"/>
                <w:sz w:val="24"/>
                <w:szCs w:val="24"/>
              </w:rPr>
              <w:t xml:space="preserve"> </w:t>
            </w:r>
            <w:r>
              <w:rPr>
                <w:rFonts w:ascii="Times New Roman" w:hAnsi="Times New Roman"/>
                <w:bCs/>
                <w:sz w:val="24"/>
                <w:szCs w:val="24"/>
              </w:rPr>
              <w:t>{0300;0010}.</w:t>
            </w:r>
            <w:r>
              <w:rPr>
                <w:rFonts w:ascii="Times New Roman" w:hAnsi="Times New Roman"/>
                <w:color w:val="auto"/>
                <w:sz w:val="24"/>
                <w:szCs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Ako nadležno tijelo nije obavijestilo instituciju o dodatnim kapitalnim zahtjevima, iskazuje se samo točka i.</w:t>
            </w:r>
          </w:p>
        </w:tc>
      </w:tr>
      <w:tr w:rsidR="00E36E71" w:rsidRPr="00E75BB8"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{0430;0010}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TSLRR: koji se mora sastojati od redovnog osnovnog kapitala</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Dio stope dodatnog kapitalnog zahtjeva, navedene u točki ii. u retku 0420, za koji nadležno tijelo zahtijeva da se drži u obliku redovnog osnovnog kapitala.</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Institucije tu vrijednost izračunavaju tako što se vrijednost iz rubrike {0360;0010} podijeli vrijednošću iz rubrike</w:t>
            </w:r>
            <w:r>
              <w:rPr>
                <w:rFonts w:ascii="Times New Roman" w:hAnsi="Times New Roman"/>
                <w:sz w:val="24"/>
                <w:szCs w:val="24"/>
              </w:rPr>
              <w:t xml:space="preserve"> </w:t>
            </w:r>
            <w:r>
              <w:rPr>
                <w:rFonts w:ascii="Times New Roman" w:hAnsi="Times New Roman"/>
                <w:bCs/>
                <w:sz w:val="24"/>
                <w:szCs w:val="24"/>
              </w:rPr>
              <w:t>{0300;0010}.</w:t>
            </w:r>
          </w:p>
        </w:tc>
      </w:tr>
      <w:tr w:rsidR="00E36E71" w:rsidRPr="00E75BB8"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{0440;0010}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Sveukupni zahtjev za omjer financijske poluge (OLRR)</w:t>
            </w:r>
          </w:p>
          <w:p w14:paraId="42BE8CD3" w14:textId="1383D3D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92. stavak 1.a CRR-a</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Zbroj i. i ii. određuje se kako slijedi:</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bCs/>
                <w:color w:val="auto"/>
                <w:sz w:val="24"/>
                <w:szCs w:val="24"/>
              </w:rPr>
              <w:t>TSLRR iz retka 0420;</w:t>
            </w:r>
          </w:p>
          <w:p w14:paraId="7026B9BA" w14:textId="6D50CC87"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color w:val="auto"/>
                <w:sz w:val="24"/>
                <w:szCs w:val="24"/>
              </w:rPr>
              <w:t>zaštitni sloj omjera financijske poluge GSV institucije u skladu s člankom 92. stavkom 1.a CRR-a, iskazan kao postotni udio ukupne izloženosti omjera financijske poluge.</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color w:val="auto"/>
                <w:sz w:val="24"/>
                <w:szCs w:val="24"/>
              </w:rPr>
              <w:lastRenderedPageBreak/>
              <w:t>Institucije točku ii. izračunavaju tako što se vrijednost iz rubrike {0370;0010} podijeli vrijednošću iz rubrike</w:t>
            </w:r>
            <w:r>
              <w:rPr>
                <w:rFonts w:ascii="Times New Roman" w:hAnsi="Times New Roman"/>
                <w:sz w:val="24"/>
                <w:szCs w:val="24"/>
              </w:rPr>
              <w:t xml:space="preserve"> </w:t>
            </w:r>
            <w:r>
              <w:rPr>
                <w:rFonts w:ascii="Times New Roman" w:hAnsi="Times New Roman"/>
                <w:bCs/>
                <w:sz w:val="24"/>
                <w:szCs w:val="24"/>
              </w:rPr>
              <w:t>{0300;0010}.</w:t>
            </w:r>
          </w:p>
          <w:p w14:paraId="341458F5" w14:textId="1339DA28"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GSV institucije uzimaju u obzir točku ii. samo</w:t>
            </w:r>
            <w:r>
              <w:rPr>
                <w:sz w:val="24"/>
                <w:szCs w:val="24"/>
              </w:rPr>
              <w:t xml:space="preserve"> </w:t>
            </w:r>
            <w:r>
              <w:rPr>
                <w:rFonts w:ascii="Times New Roman" w:hAnsi="Times New Roman"/>
                <w:bCs/>
                <w:color w:val="auto"/>
                <w:sz w:val="24"/>
                <w:szCs w:val="24"/>
              </w:rPr>
              <w:t>na datum primjene zaštitnog sloja u skladu s CRR-om.</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Ako se ne primjenjuje uvećanje za GSV instituciju, iskazuje se samo točka i.</w:t>
            </w:r>
          </w:p>
        </w:tc>
      </w:tr>
      <w:tr w:rsidR="00E36E71" w:rsidRPr="00E75BB8"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{0450;0010}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Sveukupni zahtjev za omjer financijske poluge (OLRR) i stopa iz Smjernica za stup 2. (P2G)</w:t>
            </w:r>
          </w:p>
          <w:p w14:paraId="022B6350" w14:textId="029B6D58"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104.b CRD-a</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Zbroj i. i ii. određuje se kako slijedi:</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szCs w:val="24"/>
              </w:rPr>
              <w:t>OLRR iz retka 0440;</w:t>
            </w:r>
          </w:p>
          <w:p w14:paraId="51B081D7" w14:textId="1FBE8C55"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bCs/>
                <w:color w:val="auto"/>
                <w:sz w:val="24"/>
                <w:szCs w:val="24"/>
              </w:rPr>
              <w:t>dodatni kapitalni zahtjev o kojem je nadležno tijelo obavijestilo radi upravljanja rizikom prekomjerne financijske poluge iz članka 104.b CRD-a, iskazan kao postotni udio ukupne izloženosti omjera financijske poluge.</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color w:val="auto"/>
                <w:sz w:val="24"/>
                <w:szCs w:val="24"/>
              </w:rPr>
              <w:t>Institucije točku ii. izračunavaju tako što se vrijednost iz rubrike {0380;0010} podijeli vrijednošću iz rubrike</w:t>
            </w:r>
            <w:r>
              <w:rPr>
                <w:rFonts w:ascii="Times New Roman" w:hAnsi="Times New Roman"/>
                <w:sz w:val="24"/>
                <w:szCs w:val="24"/>
              </w:rPr>
              <w:t xml:space="preserve"> </w:t>
            </w:r>
            <w:r>
              <w:rPr>
                <w:rFonts w:ascii="Times New Roman" w:hAnsi="Times New Roman"/>
                <w:bCs/>
                <w:sz w:val="24"/>
                <w:szCs w:val="24"/>
              </w:rPr>
              <w:t>{0300;0010}.</w:t>
            </w:r>
            <w:r>
              <w:rPr>
                <w:rFonts w:ascii="Times New Roman" w:hAnsi="Times New Roman"/>
                <w:bCs/>
                <w:color w:val="auto"/>
                <w:sz w:val="24"/>
                <w:szCs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Ako nadležno tijelo instituciji nije obavijestilo o stopi P2G, iskazuje se samo točka i.</w:t>
            </w:r>
          </w:p>
        </w:tc>
      </w:tr>
      <w:tr w:rsidR="00E36E71" w:rsidRPr="00E75BB8"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bCs/>
                <w:sz w:val="24"/>
                <w:szCs w:val="24"/>
              </w:rPr>
              <w:t>{0460;0010}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i P2G: koji se mora sastojati od redovnog osnovnog kapitala</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Zbroj i. i ii. određuje se kako slijedi:</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t>dio stope dodatnog kapitalnog zahtjeva, naveden u retku 0430, za koji nadležno tijelo zahtijeva da se drži u obliku redovnog osnovnog kapitala;</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t>dio stope P2G, navedene u točki ii. u retku 0450, za koji je nadležno tijelo obavijestilo da se drži u obliku redovnog osnovnog kapitala.</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Institucije točku ii. izračunavaju tako što se vrijednost iz rubrike {0390;0010} podijeli vrijednošću iz rubrike</w:t>
            </w:r>
            <w:r>
              <w:rPr>
                <w:rFonts w:ascii="Times New Roman" w:hAnsi="Times New Roman"/>
                <w:sz w:val="24"/>
                <w:szCs w:val="24"/>
              </w:rPr>
              <w:t xml:space="preserve"> </w:t>
            </w:r>
            <w:r>
              <w:rPr>
                <w:rFonts w:ascii="Times New Roman" w:hAnsi="Times New Roman"/>
                <w:bCs/>
                <w:sz w:val="24"/>
                <w:szCs w:val="24"/>
              </w:rPr>
              <w:t>{0300;0010}.</w:t>
            </w:r>
            <w:r>
              <w:rPr>
                <w:rFonts w:ascii="Times New Roman" w:hAnsi="Times New Roman"/>
                <w:color w:val="auto"/>
                <w:sz w:val="24"/>
                <w:szCs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Ako nadležno tijelo instituciji nije obavijestilo o stopi P2G, iskazuje se samo točka i.</w:t>
            </w:r>
          </w:p>
        </w:tc>
      </w:tr>
      <w:tr w:rsidR="00E36E71" w:rsidRPr="00E75BB8"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t>{0470;0010}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i P2G: koji se mora sastojati od osnovnog kapitala</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Zbroj i., ii. i iii. određuje se kako slijedi:</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lastRenderedPageBreak/>
              <w:t>ukupnih zahtjev za omjer financijske poluge u okviru SREP-a iz retka 0420,</w:t>
            </w:r>
          </w:p>
          <w:p w14:paraId="44471EA4" w14:textId="4CE94828"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zaštitni sloj omjera financijske poluge GSV institucije u skladu s člankom 92. stavkom 1.a CRR-a, iskazan kao postotni udio ukupne izloženosti omjera financijske poluge,</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dio stope P2G, navedene u točki ii. u retku 0450, za koji nadležno tijelo zahtijeva da se drži u obliku osnovnog kapitala.</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Institucije točku ii. izračunavaju tako što se vrijednost iz rubrike {0370;0010} podijeli vrijednošću iz rubrike</w:t>
            </w:r>
            <w:r>
              <w:rPr>
                <w:rFonts w:ascii="Times New Roman" w:hAnsi="Times New Roman"/>
                <w:sz w:val="24"/>
                <w:szCs w:val="24"/>
              </w:rPr>
              <w:t xml:space="preserve"> </w:t>
            </w:r>
            <w:r>
              <w:rPr>
                <w:rFonts w:ascii="Times New Roman" w:hAnsi="Times New Roman"/>
                <w:bCs/>
                <w:sz w:val="24"/>
                <w:szCs w:val="24"/>
              </w:rPr>
              <w:t>{0300;0010}.</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color w:val="auto"/>
                <w:sz w:val="24"/>
                <w:szCs w:val="24"/>
              </w:rPr>
              <w:t>Institucije točku iii. izračunavaju tako što se vrijednost iz rubrike {0400;0010} podijeli vrijednošću iz rubrike</w:t>
            </w:r>
            <w:r>
              <w:rPr>
                <w:rFonts w:ascii="Times New Roman" w:hAnsi="Times New Roman"/>
                <w:sz w:val="24"/>
                <w:szCs w:val="24"/>
              </w:rPr>
              <w:t xml:space="preserve"> </w:t>
            </w:r>
            <w:r>
              <w:rPr>
                <w:rFonts w:ascii="Times New Roman" w:hAnsi="Times New Roman"/>
                <w:bCs/>
                <w:sz w:val="24"/>
                <w:szCs w:val="24"/>
              </w:rPr>
              <w:t>{0300;0010}.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Ako se ne primjenjuje uvećanje za GSV instituciju, iskazuju se samo točke i. i iii.</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Ako nadležno tijelo instituciji nije obavijestilo o stopi P2G, iskazuje se samo točka i.</w:t>
            </w:r>
          </w:p>
        </w:tc>
      </w:tr>
      <w:tr w:rsidR="00E524FC" w:rsidRPr="00E75BB8" w14:paraId="601424AF"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bCs/>
                <w:sz w:val="24"/>
                <w:szCs w:val="24"/>
              </w:rPr>
              <w:lastRenderedPageBreak/>
              <w:t>Redak i stupac</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Bilješke</w:t>
            </w:r>
          </w:p>
        </w:tc>
      </w:tr>
      <w:tr w:rsidR="00E524FC" w:rsidRPr="00E75BB8" w14:paraId="66E51847"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FD03E43" w14:textId="0903377D"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{0480;0010}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F197BC" w14:textId="55DA8CC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Omjer financijske poluge kao da MSFI 9 ili prijelazna uređenja za očekivane gubitke po kreditima (ECL) nisu primijenjena</w:t>
            </w:r>
          </w:p>
          <w:p w14:paraId="56553E75"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Članak 473.a stavak 8. CRR-a</w:t>
            </w:r>
          </w:p>
          <w:p w14:paraId="7576BAB1" w14:textId="7CE2951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Institucije koje su odlučile primijeniti prijelazna uređenja iz članka 473.a CRR-a iskazuju omjer financijske poluge koje bi imale da nisu primijenile taj članak.</w:t>
            </w:r>
          </w:p>
        </w:tc>
      </w:tr>
      <w:tr w:rsidR="00E524FC" w:rsidRPr="00E75BB8" w14:paraId="12DDA6F6"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{0490;0010}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Omjer financijske poluge kao da nije primijenjen privremeni tretman nerealiziranih dobitaka i gubitaka koji se mjere po fer vrijednosti kroz ostalu sveobuhvatnu dobit </w:t>
            </w:r>
          </w:p>
          <w:p w14:paraId="22FC70A7"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Članak 468. stavak 5. CRR-a</w:t>
            </w:r>
          </w:p>
          <w:p w14:paraId="787A9CC8" w14:textId="1B7E2B43"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Institucije koje su odlučile primijeniti privremeni tretman iz članka 468. stavka 1. CRR-a iskazuju omjer financijske poluge koje bi imale da nisu primijenile taj tretman.</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4" w:name="_Toc359414286"/>
      <w:bookmarkStart w:id="55" w:name="_Toc423089071"/>
      <w:bookmarkStart w:id="56" w:name="_Toc58573163"/>
      <w:r>
        <w:rPr>
          <w:rFonts w:ascii="Times New Roman" w:hAnsi="Times New Roman"/>
          <w:b/>
          <w:sz w:val="24"/>
          <w:szCs w:val="24"/>
        </w:rPr>
        <w:t>4.</w:t>
      </w:r>
      <w:r>
        <w:tab/>
      </w:r>
      <w:bookmarkStart w:id="57" w:name="_Toc351048507"/>
      <w:r>
        <w:rPr>
          <w:rFonts w:ascii="Times New Roman" w:hAnsi="Times New Roman"/>
          <w:b/>
          <w:sz w:val="24"/>
          <w:szCs w:val="24"/>
        </w:rPr>
        <w:t>C 40.00 – Alternativni tretman mjere izloženosti</w:t>
      </w:r>
      <w:bookmarkEnd w:id="50"/>
      <w:bookmarkEnd w:id="57"/>
      <w:bookmarkEnd w:id="54"/>
      <w:r>
        <w:rPr>
          <w:rFonts w:ascii="Times New Roman" w:hAnsi="Times New Roman"/>
          <w:b/>
          <w:sz w:val="24"/>
          <w:szCs w:val="24"/>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20.</w:t>
      </w:r>
      <w:r>
        <w:tab/>
      </w:r>
      <w:r>
        <w:rPr>
          <w:rFonts w:ascii="Times New Roman" w:hAnsi="Times New Roman"/>
          <w:sz w:val="24"/>
          <w:szCs w:val="24"/>
        </w:rPr>
        <w:t>U ovom dijelu izvješća prikupljaju se podaci o alternativnom tretmanu izvedenica,</w:t>
      </w:r>
      <w:r>
        <w:rPr>
          <w:rFonts w:ascii="Times New Roman" w:hAnsi="Times New Roman"/>
          <w:bCs/>
          <w:sz w:val="24"/>
          <w:szCs w:val="24"/>
        </w:rPr>
        <w:t xml:space="preserve"> transakcija financiranja vrijednosnim papirima</w:t>
      </w:r>
      <w:r>
        <w:rPr>
          <w:rFonts w:ascii="Times New Roman" w:hAnsi="Times New Roman"/>
          <w:sz w:val="24"/>
          <w:szCs w:val="24"/>
        </w:rPr>
        <w:t xml:space="preserve">, izvanbilančnih stavki, izuzetih ulaganja javnog sektora i izuzetim izloženostima promotivnim kreditima. </w:t>
      </w:r>
    </w:p>
    <w:p w14:paraId="0801E40E" w14:textId="5C86FA03"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lastRenderedPageBreak/>
        <w:t>21.</w:t>
      </w:r>
      <w:r>
        <w:tab/>
      </w:r>
      <w:r>
        <w:rPr>
          <w:rFonts w:ascii="Times New Roman" w:hAnsi="Times New Roman"/>
          <w:sz w:val="24"/>
          <w:szCs w:val="24"/>
        </w:rPr>
        <w:t xml:space="preserve">Institucije određuju „računovodstvene bilančne vrijednosti” u obrascu LR1 na temelju primjenjivog računovodstvenog okvira u skladu s člankom 4. stavkom 1. točkom 77. CRR-a. „Računovodstvena vrijednost bez primjene </w:t>
      </w:r>
      <w:proofErr w:type="spellStart"/>
      <w:r>
        <w:rPr>
          <w:rFonts w:ascii="Times New Roman" w:hAnsi="Times New Roman"/>
          <w:sz w:val="24"/>
          <w:szCs w:val="24"/>
        </w:rPr>
        <w:t>netiranja</w:t>
      </w:r>
      <w:proofErr w:type="spellEnd"/>
      <w:r>
        <w:rPr>
          <w:rFonts w:ascii="Times New Roman" w:hAnsi="Times New Roman"/>
          <w:sz w:val="24"/>
          <w:szCs w:val="24"/>
        </w:rPr>
        <w:t xml:space="preserve"> ili druge tehnike smanjenja kreditnog rizika” odnosi se na računovodstvenu bilančnu vrijednost kojom se ne uzimaju u obzir učinci </w:t>
      </w:r>
      <w:proofErr w:type="spellStart"/>
      <w:r>
        <w:rPr>
          <w:rFonts w:ascii="Times New Roman" w:hAnsi="Times New Roman"/>
          <w:sz w:val="24"/>
          <w:szCs w:val="24"/>
        </w:rPr>
        <w:t>netiranja</w:t>
      </w:r>
      <w:proofErr w:type="spellEnd"/>
      <w:r>
        <w:rPr>
          <w:rFonts w:ascii="Times New Roman" w:hAnsi="Times New Roman"/>
          <w:sz w:val="24"/>
          <w:szCs w:val="24"/>
        </w:rPr>
        <w:t xml:space="preserve"> ili druge tehnike smanjenja kreditnog rizika. </w:t>
      </w:r>
    </w:p>
    <w:p w14:paraId="6A1F4290" w14:textId="209D6435"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22.</w:t>
      </w:r>
      <w:r>
        <w:tab/>
      </w:r>
      <w:r>
        <w:rPr>
          <w:rFonts w:ascii="Times New Roman" w:hAnsi="Times New Roman"/>
          <w:sz w:val="24"/>
          <w:szCs w:val="24"/>
        </w:rPr>
        <w:t xml:space="preserve">Institucije iskazuju stavke LR1 kao da se u obrascu </w:t>
      </w:r>
      <w:proofErr w:type="spellStart"/>
      <w:r>
        <w:rPr>
          <w:rFonts w:ascii="Times New Roman" w:hAnsi="Times New Roman"/>
          <w:sz w:val="24"/>
          <w:szCs w:val="24"/>
        </w:rPr>
        <w:t>LRCalc</w:t>
      </w:r>
      <w:proofErr w:type="spellEnd"/>
      <w:r>
        <w:rPr>
          <w:rFonts w:ascii="Times New Roman" w:hAnsi="Times New Roman"/>
          <w:sz w:val="24"/>
          <w:szCs w:val="24"/>
        </w:rPr>
        <w:t xml:space="preserve"> ne primjenjuju stavke s negativnim predznakom (na primjer izuzeća/odbici) u skladu s pravilom o predznaku iz ovog Priloga dijela I. točke 9., osim redaka </w:t>
      </w:r>
      <w:r>
        <w:rPr>
          <w:rFonts w:ascii="Times New Roman" w:hAnsi="Times New Roman"/>
          <w:bCs/>
          <w:sz w:val="24"/>
          <w:szCs w:val="24"/>
        </w:rPr>
        <w:t>{0270;0010} i {0280;0010</w:t>
      </w:r>
      <w:r>
        <w:rPr>
          <w:rFonts w:ascii="Times New Roman" w:hAnsi="Times New Roman"/>
          <w:sz w:val="24"/>
          <w:szCs w:val="24"/>
        </w:rPr>
        <w:t>}.</w:t>
      </w:r>
    </w:p>
    <w:p w14:paraId="3B5DA19A" w14:textId="2845E321"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23.</w:t>
      </w:r>
      <w:r>
        <w:tab/>
      </w:r>
      <w:r>
        <w:rPr>
          <w:rFonts w:ascii="Times New Roman" w:hAnsi="Times New Roman"/>
          <w:sz w:val="24"/>
          <w:szCs w:val="24"/>
        </w:rPr>
        <w:t>{r0410;c0010} u obrascu 40.00 iskazuju samo:</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velike institucije koje su GSV institucije ili svakih šest mjeseci izdaju vrijednosne papire koji su uvršteni za trgovanje na uređenom tržištu,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velike institucije koje nisu GSV institucije i ne izdaju jedanput godišnje vrijednosne papire koji su uvršteni za trgovanje na uređenom tržištu,</w:t>
      </w:r>
    </w:p>
    <w:p w14:paraId="59E3D42C" w14:textId="64FE3358"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druge institucije koje nisu velike institucije i male i jednostavne institucije, koje jedanput godišnje izdaju vrijednosne papire koji su uvršteni za trgovanje na uređenom tržištu.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Redak i stupac</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Pravna osnova i upute</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bCs/>
                <w:sz w:val="24"/>
                <w:szCs w:val="24"/>
              </w:rPr>
              <w:t>Izvedenice – računovodstvena bilančna vrijednost</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Zbroj rubrika {0020;010}, {0050;0010} i {0060;0010}.</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Izvedenice – računovodstvena vrijednost bez primjene </w:t>
            </w:r>
            <w:proofErr w:type="spellStart"/>
            <w:r>
              <w:rPr>
                <w:rFonts w:ascii="Times New Roman" w:hAnsi="Times New Roman"/>
                <w:b/>
                <w:bCs/>
                <w:sz w:val="24"/>
                <w:szCs w:val="24"/>
              </w:rPr>
              <w:t>netiranja</w:t>
            </w:r>
            <w:proofErr w:type="spellEnd"/>
            <w:r>
              <w:rPr>
                <w:rFonts w:ascii="Times New Roman" w:hAnsi="Times New Roman"/>
                <w:b/>
                <w:bCs/>
                <w:sz w:val="24"/>
                <w:szCs w:val="24"/>
              </w:rPr>
              <w:t xml:space="preserve"> ili druge tehnike smanjenja kreditnog rizika</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Zbroj rubrika {0020;0020}, {0050;0020} i {0060;0020}.</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Izvedenice – zamišljeni iznos</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Zbroj rubrika {0020;0070}, {0050;0070} i {0060;0070}.</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Kreditne izvedenice (pružena zaštita) – računovodstvena bilančna vrijednost</w:t>
            </w:r>
          </w:p>
          <w:p w14:paraId="0232A08C" w14:textId="71CBB29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Članak 4. stavak 1. točka 77. CRR-a; računovodstvena bilančna vrijednost u skladu s primjenjivim računovodstvenim okvirom za kreditne izvedenice ako institucija pruža kreditnu zaštitu drugoj ugovornoj strani i ako je ugovor u bilanci priznat kao imovina</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Kreditne izvedenice (pružena zaštita) – računovodstvena vrijednost bez primjene </w:t>
            </w:r>
            <w:proofErr w:type="spellStart"/>
            <w:r>
              <w:rPr>
                <w:rFonts w:ascii="Times New Roman" w:hAnsi="Times New Roman"/>
                <w:b/>
                <w:bCs/>
                <w:sz w:val="24"/>
                <w:szCs w:val="24"/>
              </w:rPr>
              <w:t>netiranja</w:t>
            </w:r>
            <w:proofErr w:type="spellEnd"/>
            <w:r>
              <w:rPr>
                <w:rFonts w:ascii="Times New Roman" w:hAnsi="Times New Roman"/>
                <w:b/>
                <w:bCs/>
                <w:sz w:val="24"/>
                <w:szCs w:val="24"/>
              </w:rPr>
              <w:t xml:space="preserve"> ili druge tehnike smanjenja kreditnog rizika</w:t>
            </w:r>
          </w:p>
          <w:p w14:paraId="379F5EE7" w14:textId="22B93F7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 xml:space="preserve">Članak 4. stavak 1. točka 77. CRR-a; računovodstvena bilančna vrijednost u skladu s primjenjivim računovodstvenim okvirom za kreditne izvedenice ako institucija pruža kreditnu zaštitu drugoj ugovornoj strani i ako je ugovor u bilanci priznat kao imovina ne uzimajući u obzir bonitetne učinke, učinke računovodstvenog </w:t>
            </w:r>
            <w:proofErr w:type="spellStart"/>
            <w:r>
              <w:rPr>
                <w:rFonts w:ascii="Times New Roman" w:hAnsi="Times New Roman"/>
                <w:bCs/>
                <w:sz w:val="24"/>
                <w:szCs w:val="24"/>
              </w:rPr>
              <w:t>netiranja</w:t>
            </w:r>
            <w:proofErr w:type="spellEnd"/>
            <w:r>
              <w:rPr>
                <w:rFonts w:ascii="Times New Roman" w:hAnsi="Times New Roman"/>
                <w:bCs/>
                <w:sz w:val="24"/>
                <w:szCs w:val="24"/>
              </w:rPr>
              <w:t xml:space="preserve"> ili učinke drugih tehnika smanjenja kreditnog rizika (odnosno poništavaju se svi učinci računovodstvenog </w:t>
            </w:r>
            <w:proofErr w:type="spellStart"/>
            <w:r>
              <w:rPr>
                <w:rFonts w:ascii="Times New Roman" w:hAnsi="Times New Roman"/>
                <w:bCs/>
                <w:sz w:val="24"/>
                <w:szCs w:val="24"/>
              </w:rPr>
              <w:t>netiranja</w:t>
            </w:r>
            <w:proofErr w:type="spellEnd"/>
            <w:r>
              <w:rPr>
                <w:rFonts w:ascii="Times New Roman" w:hAnsi="Times New Roman"/>
                <w:bCs/>
                <w:sz w:val="24"/>
                <w:szCs w:val="24"/>
              </w:rPr>
              <w:t xml:space="preserve"> ili tehnike smanjenja kreditnog rizika koji su utjecali na računovodstvenu vrijednost)</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Kreditne izvedenice (pružena zaštita) – zamišljeni iznos</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Zbroj rubrika {0030;0070} i {0040;0070}</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Kreditne izvedenice (pružena zaštita) – gornja granica zamišljenog iznosa</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zamišljeni iznos na koji se odnose kreditne izvedenice (pružena zaštita) kao u {0020; 0070} nakon smanjenja svakom negativnom promjenom fer vrijednosti koje su uključene u osnovni kapital u pogledu prodane kreditne izvedenice.</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bCs/>
                <w:sz w:val="24"/>
                <w:szCs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Kreditne izvedenice (pružena zaštita) koje podliježu klauzuli o zatvaranju – zamišljeni iznos</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iskazuju zamišljeni iznos kreditnih izvedenica ako institucija pruža kreditnu zaštitu drugoj ugovornoj strani koja podliježe klauzuli o zatvaranju.</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bCs/>
                <w:sz w:val="24"/>
                <w:szCs w:val="24"/>
              </w:rPr>
              <w:t>Klauzula o zatvaranju definira se kao klauzula kojom se daje pravo ugovornoj strani koja nije u statusu neispunjavanja obveza da raskine ugovor i pravodobno izvrši netiranje svih transakcija u slučaju nastanka statusa neispunjavanja obveza, uključujući i slučajeve insolventnosti ili stečaja druge ugovorne strane.</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uzimaju u obzir sve kreditne izvedenice, a ne samo one koje su raspoređene u knjigu trgovanja.</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Kreditne izvedenice (pružena zaštita) koje ne podliježu klauzuli o zatvaranju – zamišljeni iznos</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szCs w:val="24"/>
              </w:rPr>
              <w:t>Institucije iskazuju zamišljeni iznos kreditnih izvedenica ako institucija pruža kreditnu zaštitu drugoj ugovornoj strani koja ne podliježe „klauzuli o zatvaranju”.</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szCs w:val="24"/>
              </w:rPr>
              <w:t>Klauzula o zatvaranju definira se kao klauzula kojom se daje pravo ugovornoj strani koja nije u statusu neispunjavanja obveza da raskine ugovor i pravodobno izvrši netiranje svih transakcija u slučaju nastanka statusa neispunjavanja obveza, uključujući i slučajeve insolventnosti ili stečaja druge ugovorne strane.</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Institucije uzimaju u obzir sve kreditne izvedenice, a ne samo one koje su raspoređene u knjigu trgovanja.</w:t>
            </w:r>
            <w:r>
              <w:rPr>
                <w:rFonts w:ascii="Times New Roman" w:hAnsi="Times New Roman"/>
                <w:b/>
                <w:bCs/>
                <w:sz w:val="24"/>
                <w:szCs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Kreditne izvedenice (primljena zaštita) – računovodstvena bilančna vrijednost</w:t>
            </w:r>
          </w:p>
          <w:p w14:paraId="253831D8" w14:textId="2DDCF90C"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 stavak 1. točka 77. CRR-a; računovodstvena bilančna vrijednost u skladu s primjenjivim računovodstvenim okvirom za kreditne izvedenice ako institucija prima kreditnu zaštitu od druge ugovorne strane i ako je ugovor u bilanci priznat kao imovina</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uzimaju u obzir sve kreditne izvedenice, a ne samo one koje su raspoređene u knjigu trgovanja.</w:t>
            </w:r>
            <w:r>
              <w:rPr>
                <w:rFonts w:ascii="Times New Roman" w:hAnsi="Times New Roman"/>
                <w:b/>
                <w:bCs/>
                <w:sz w:val="24"/>
                <w:szCs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Kreditne izvedenice (primljena zaštita) – računovodstvena vrijednost bez primjene </w:t>
            </w:r>
            <w:proofErr w:type="spellStart"/>
            <w:r>
              <w:rPr>
                <w:rFonts w:ascii="Times New Roman" w:hAnsi="Times New Roman"/>
                <w:b/>
                <w:bCs/>
                <w:sz w:val="24"/>
                <w:szCs w:val="24"/>
              </w:rPr>
              <w:t>netiranja</w:t>
            </w:r>
            <w:proofErr w:type="spellEnd"/>
            <w:r>
              <w:rPr>
                <w:rFonts w:ascii="Times New Roman" w:hAnsi="Times New Roman"/>
                <w:b/>
                <w:bCs/>
                <w:sz w:val="24"/>
                <w:szCs w:val="24"/>
              </w:rPr>
              <w:t xml:space="preserve"> ili druge tehnike smanjenja kreditnog rizika</w:t>
            </w:r>
          </w:p>
          <w:p w14:paraId="269D2982" w14:textId="78A45E3B"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Članak 4. stavak 1. točka 77. CRR-a; računovodstvena bilančna vrijednost u skladu s primjenjivim računovodstvenim okvirom za kreditne izvedenice ako institucija prima kreditnu zaštitu od druge ugovorne strane i ako je ugovor u bilanci priznat kao imovina ne uzimajući u obzir bonitetne učinke, učinke računovodstvenog </w:t>
            </w:r>
            <w:proofErr w:type="spellStart"/>
            <w:r>
              <w:rPr>
                <w:rFonts w:ascii="Times New Roman" w:hAnsi="Times New Roman"/>
                <w:bCs/>
                <w:sz w:val="24"/>
                <w:szCs w:val="24"/>
              </w:rPr>
              <w:t>netiranja</w:t>
            </w:r>
            <w:proofErr w:type="spellEnd"/>
            <w:r>
              <w:rPr>
                <w:rFonts w:ascii="Times New Roman" w:hAnsi="Times New Roman"/>
                <w:bCs/>
                <w:sz w:val="24"/>
                <w:szCs w:val="24"/>
              </w:rPr>
              <w:t xml:space="preserve"> ili učinke smanjenja kreditnog rizika (odnosno poništavaju se svi učinci računovodstvenog </w:t>
            </w:r>
            <w:proofErr w:type="spellStart"/>
            <w:r>
              <w:rPr>
                <w:rFonts w:ascii="Times New Roman" w:hAnsi="Times New Roman"/>
                <w:bCs/>
                <w:sz w:val="24"/>
                <w:szCs w:val="24"/>
              </w:rPr>
              <w:t>netiranja</w:t>
            </w:r>
            <w:proofErr w:type="spellEnd"/>
            <w:r>
              <w:rPr>
                <w:rFonts w:ascii="Times New Roman" w:hAnsi="Times New Roman"/>
                <w:bCs/>
                <w:sz w:val="24"/>
                <w:szCs w:val="24"/>
              </w:rPr>
              <w:t xml:space="preserve"> ili tehnike smanjenja kreditnog rizika koji su utjecali na računovodstvenu vrijednost)</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uzimaju u obzir sve kreditne izvedenice, a ne samo one koje su raspoređene u knjigu trgovanja.</w:t>
            </w:r>
            <w:r>
              <w:rPr>
                <w:rFonts w:ascii="Times New Roman" w:hAnsi="Times New Roman"/>
                <w:b/>
                <w:bCs/>
                <w:sz w:val="24"/>
                <w:szCs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Kreditne izvedenice (primljena zaštita) – zamišljeni iznos</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Institucije iskazuju zamišljeni iznos kreditnih izvedenica ako institucija prima kreditnu zaštitu od druge ugovorne strane.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uzimaju u obzir sve kreditne izvedenice, a ne samo one koje su raspoređene u knjigu trgovanja.</w:t>
            </w:r>
            <w:r>
              <w:rPr>
                <w:rFonts w:ascii="Times New Roman" w:hAnsi="Times New Roman"/>
                <w:b/>
                <w:bCs/>
                <w:sz w:val="24"/>
                <w:szCs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Kreditne izvedenice (primljena zaštita) – gornja granica zamišljenog iznosa</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iskazuju zamišljeni iznos na koji se odnose kreditne izvedenice (primljena zaštita) kao u rubrici {0050;0070} nakon smanjenja bilo kojim pozitivnim promjenama fer vrijednosti koje su uključene u osnovni kapital u pogledu primljene kreditne izvedenice.</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Kreditne izvedenice (primljena zaštita) – gornja granica zamišljenog iznosa (isti referentni naziv)</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szCs w:val="24"/>
              </w:rPr>
              <w:t>Institucije iskazuju zamišljeni iznos na koji se odnose kreditne izvedenice ako institucija prima kreditnu zaštitu za isti odnosni referentni naziv za koji je institucija koja izvješćuje prodala kreditne izvedenice.</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Za potrebe iskazivanja vrijednosti ove rubrike, odnosni referentni nazivi smatraju se istovjetnima ako se odnose na istu pravnu osobu i ako imaju jednako pravo u redoslijedu naplate.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Kreditna zaštita primljena za skup referentnih subjekata smatra se istovjetnom ako je ta zaštita ekonomski istovjetna pojedinačno primljenoj zaštiti za svaki pojedinačni naziv u skupu.</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Ako je institucija primatelj kreditne zaštite za skup referentnih naziva, takva se kreditna zaštita smatra istovjetnom samo ako primljena kreditna zaštita pokriva sve podgrupe skupa za koje je kreditna zaštita prodana. Drugim riječima, prijeboj se može priznati samo kada su skup referentnih subjekata i razina podređenosti u objema transakcijama jednaki.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szCs w:val="24"/>
              </w:rPr>
              <w:t>Za svaki referentni naziv, zamišljeni iznosi primljene kreditne zaštite koji se uzimaju u obzir za potrebe izvješćivanja u ovoj rubrici ne smiju biti veći od iznosa iskazanih u rubrikama {0020;0075} i {0050;0075}.</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Financijske izvedenice – računovodstvena bilančna vrijednost</w:t>
            </w:r>
          </w:p>
          <w:p w14:paraId="6FA0DDE8" w14:textId="76BC30CE"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 stavak 1. točka 77. CRR-a</w:t>
            </w:r>
          </w:p>
          <w:p w14:paraId="5A64C9B2" w14:textId="6BFDB4D4"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računovodstvenu bilančnu vrijednost u skladu s primjenjivim računovodstvenim okvirom za ugovore navedene u Prilogu II. CRR-u, ako su ugovori u bilanci priznati kao imovina.</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Financijske izvedenice – računovodstvena vrijednost bez primjene </w:t>
            </w:r>
            <w:proofErr w:type="spellStart"/>
            <w:r>
              <w:rPr>
                <w:rFonts w:ascii="Times New Roman" w:hAnsi="Times New Roman"/>
                <w:b/>
                <w:bCs/>
                <w:sz w:val="24"/>
                <w:szCs w:val="24"/>
              </w:rPr>
              <w:t>netiranja</w:t>
            </w:r>
            <w:proofErr w:type="spellEnd"/>
            <w:r>
              <w:rPr>
                <w:rFonts w:ascii="Times New Roman" w:hAnsi="Times New Roman"/>
                <w:b/>
                <w:bCs/>
                <w:sz w:val="24"/>
                <w:szCs w:val="24"/>
              </w:rPr>
              <w:t xml:space="preserve"> ili druge tehnike smanjenja kreditnog rizika</w:t>
            </w:r>
          </w:p>
          <w:p w14:paraId="00EB79C6" w14:textId="7804F83C"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Članak 4. stavak 1. točka 77. CRR-a; računovodstvena bilančna vrijednost u skladu s primjenjivim računovodstvenim okvirom za ugovore navedene u Prilogu II. CRR-u ako su ugovori u bilanci priznati kao imovina ne uzimajući u obzir bonitetne učinke, učinke računovodstvenog </w:t>
            </w:r>
            <w:proofErr w:type="spellStart"/>
            <w:r>
              <w:rPr>
                <w:rFonts w:ascii="Times New Roman" w:hAnsi="Times New Roman"/>
                <w:bCs/>
                <w:sz w:val="24"/>
                <w:szCs w:val="24"/>
              </w:rPr>
              <w:t>netiranja</w:t>
            </w:r>
            <w:proofErr w:type="spellEnd"/>
            <w:r>
              <w:rPr>
                <w:rFonts w:ascii="Times New Roman" w:hAnsi="Times New Roman"/>
                <w:bCs/>
                <w:sz w:val="24"/>
                <w:szCs w:val="24"/>
              </w:rPr>
              <w:t xml:space="preserve"> ili učinke drugih tehnika smanjenja kreditnog rizika (odnosno poništavaju se svi učinci računovodstvenog </w:t>
            </w:r>
            <w:proofErr w:type="spellStart"/>
            <w:r>
              <w:rPr>
                <w:rFonts w:ascii="Times New Roman" w:hAnsi="Times New Roman"/>
                <w:bCs/>
                <w:sz w:val="24"/>
                <w:szCs w:val="24"/>
              </w:rPr>
              <w:t>netiranja</w:t>
            </w:r>
            <w:proofErr w:type="spellEnd"/>
            <w:r>
              <w:rPr>
                <w:rFonts w:ascii="Times New Roman" w:hAnsi="Times New Roman"/>
                <w:bCs/>
                <w:sz w:val="24"/>
                <w:szCs w:val="24"/>
              </w:rPr>
              <w:t xml:space="preserve"> ili tehnika smanjenja kreditnog rizika koji su utjecali na računovodstvenu vrijednost)</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Financijske izvedenice – zamišljeni iznos</w:t>
            </w:r>
          </w:p>
          <w:p w14:paraId="64E79FE5" w14:textId="6D634E0A"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Ova rubrika uključuje zamišljeni iznos ugovora navedenih u Prilogu II. CRR-u.</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Transakcije financiranja vrijednosnim papirima – računovodstvena bilančna vrijednost</w:t>
            </w:r>
          </w:p>
          <w:p w14:paraId="0D6AB751" w14:textId="715CA2F8"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Članak 4. stavak 1. točka 77. CRR-a; računovodstvena bilančna vrijednost transakcija financiranja vrijednosnim papirima u skladu s primjenjivim računovodstvenim okvirom ako su ugovori u bilanci priznati kao imovina</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Institucije u ovu rubriku ne uključuju primljenu gotovinu ili vrijednosni papir dostavljen drugoj ugovornoj strani u prethodno navedenim transakcijama ili </w:t>
            </w:r>
            <w:r>
              <w:rPr>
                <w:rFonts w:ascii="Times New Roman" w:hAnsi="Times New Roman"/>
                <w:bCs/>
                <w:sz w:val="24"/>
                <w:szCs w:val="24"/>
              </w:rPr>
              <w:lastRenderedPageBreak/>
              <w:t>zadržan u bilanci (odnosno nisu ispunjeni računovodstveni kriteriji za prestanak priznavanja). Umjesto toga, institucije to uključuju u rubriku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lastRenderedPageBreak/>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Transakcije financiranja vrijednosnim papirima – računovodstvena vrijednost bez primjene </w:t>
            </w:r>
            <w:proofErr w:type="spellStart"/>
            <w:r>
              <w:rPr>
                <w:rFonts w:ascii="Times New Roman" w:hAnsi="Times New Roman"/>
                <w:b/>
                <w:bCs/>
                <w:sz w:val="24"/>
                <w:szCs w:val="24"/>
              </w:rPr>
              <w:t>netiranja</w:t>
            </w:r>
            <w:proofErr w:type="spellEnd"/>
            <w:r>
              <w:rPr>
                <w:rFonts w:ascii="Times New Roman" w:hAnsi="Times New Roman"/>
                <w:b/>
                <w:bCs/>
                <w:sz w:val="24"/>
                <w:szCs w:val="24"/>
              </w:rPr>
              <w:t xml:space="preserve"> ili druge tehnike smanjenja kreditnog rizika</w:t>
            </w:r>
          </w:p>
          <w:p w14:paraId="07F0EA6D" w14:textId="36DDFB54" w:rsidR="00474B43"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Članak 4. stavak 1. točka 77. CRR-a; računovodstvena bilančna vrijednost u skladu s primjenjivim računovodstvenim okvirom ako su ugovori u bilanci priznati kao imovina ne uzimajući u obzir bonitetne učinke, učinke računovodstvenog </w:t>
            </w:r>
            <w:proofErr w:type="spellStart"/>
            <w:r>
              <w:rPr>
                <w:rFonts w:ascii="Times New Roman" w:hAnsi="Times New Roman"/>
                <w:bCs/>
                <w:sz w:val="24"/>
                <w:szCs w:val="24"/>
              </w:rPr>
              <w:t>netiranja</w:t>
            </w:r>
            <w:proofErr w:type="spellEnd"/>
            <w:r>
              <w:rPr>
                <w:rFonts w:ascii="Times New Roman" w:hAnsi="Times New Roman"/>
                <w:bCs/>
                <w:sz w:val="24"/>
                <w:szCs w:val="24"/>
              </w:rPr>
              <w:t xml:space="preserve"> ili učinke drugih tehnika smanjenja kreditnog rizika (odnosno poništavaju se svi učinci računovodstvenog </w:t>
            </w:r>
            <w:proofErr w:type="spellStart"/>
            <w:r>
              <w:rPr>
                <w:rFonts w:ascii="Times New Roman" w:hAnsi="Times New Roman"/>
                <w:bCs/>
                <w:sz w:val="24"/>
                <w:szCs w:val="24"/>
              </w:rPr>
              <w:t>netiranja</w:t>
            </w:r>
            <w:proofErr w:type="spellEnd"/>
            <w:r>
              <w:rPr>
                <w:rFonts w:ascii="Times New Roman" w:hAnsi="Times New Roman"/>
                <w:bCs/>
                <w:sz w:val="24"/>
                <w:szCs w:val="24"/>
              </w:rPr>
              <w:t xml:space="preserve"> ili tehnika smanjenja kreditnog rizika koji su utjecali na računovodstvenu vrijednost).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Ako se u skladu s primjenjivim računovodstvenim okvirom transakcija financiranja vrijednosnim papirima evidentira na datum trgovanja, institucije poništavaju sve knjigovodstvene unose koji su nastali zbog tog načela knjiženja.</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u ovu rubriku ne uključuju primljenu gotovinu ili vrijednosni papir dostavljen drugoj ugovornoj strani u prethodno navedenim transakcijama ili zadržan u bilanci (odnosno nisu ispunjeni računovodstveni kriteriji za prestanak priznavanja). Umjesto toga, institucije to uključuju u rubriku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Ostala imovina – računovodstvena bilančna vrijednost</w:t>
            </w:r>
          </w:p>
          <w:p w14:paraId="6BEE30BB" w14:textId="22D8D469"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Članak 4. stavak 1. točka 77. CRR-a; računovodstvena bilančna vrijednost u skladu s primjenjivim računovodstvenim okvirom za svu imovinu osim ugovora navedenih u Prilogu II. CRR-u, kreditnih izvedenica i transakcija financiranja vrijednosnim papirima.</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Ostala imovina – računovodstvena vrijednost bez primjene </w:t>
            </w:r>
            <w:proofErr w:type="spellStart"/>
            <w:r>
              <w:rPr>
                <w:rFonts w:ascii="Times New Roman" w:hAnsi="Times New Roman"/>
                <w:b/>
                <w:bCs/>
                <w:sz w:val="24"/>
                <w:szCs w:val="24"/>
              </w:rPr>
              <w:t>netiranja</w:t>
            </w:r>
            <w:proofErr w:type="spellEnd"/>
            <w:r>
              <w:rPr>
                <w:rFonts w:ascii="Times New Roman" w:hAnsi="Times New Roman"/>
                <w:b/>
                <w:bCs/>
                <w:sz w:val="24"/>
                <w:szCs w:val="24"/>
              </w:rPr>
              <w:t xml:space="preserve"> ili druge tehnike smanjenja kreditnog rizika</w:t>
            </w:r>
          </w:p>
          <w:p w14:paraId="398E7EA3" w14:textId="1172C7C7" w:rsidR="00410E47" w:rsidRPr="000B66BC" w:rsidRDefault="00E20CD8"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Članak 4. stavak 1. točka 77. CRR-a; računovodstvena bilančna vrijednost u skladu s primjenjivim računovodstvenim okvirom za svu imovinu osim ugovora navedenih u Prilogu II. CRR-u, kreditnih izvedenica i transakcija financiranja vrijednosnim papirima, ne uzimajući u obzir učinke računovodstvenog </w:t>
            </w:r>
            <w:proofErr w:type="spellStart"/>
            <w:r>
              <w:rPr>
                <w:rFonts w:ascii="Times New Roman" w:hAnsi="Times New Roman"/>
                <w:bCs/>
                <w:sz w:val="24"/>
                <w:szCs w:val="24"/>
              </w:rPr>
              <w:t>netiranja</w:t>
            </w:r>
            <w:proofErr w:type="spellEnd"/>
            <w:r>
              <w:rPr>
                <w:rFonts w:ascii="Times New Roman" w:hAnsi="Times New Roman"/>
                <w:bCs/>
                <w:sz w:val="24"/>
                <w:szCs w:val="24"/>
              </w:rPr>
              <w:t xml:space="preserve"> ili učinke drugih tehnika smanjenja kreditnog rizika (odnosno poništavaju se svi učinci računovodstvenog </w:t>
            </w:r>
            <w:proofErr w:type="spellStart"/>
            <w:r>
              <w:rPr>
                <w:rFonts w:ascii="Times New Roman" w:hAnsi="Times New Roman"/>
                <w:bCs/>
                <w:sz w:val="24"/>
                <w:szCs w:val="24"/>
              </w:rPr>
              <w:t>netiranja</w:t>
            </w:r>
            <w:proofErr w:type="spellEnd"/>
            <w:r>
              <w:rPr>
                <w:rFonts w:ascii="Times New Roman" w:hAnsi="Times New Roman"/>
                <w:bCs/>
                <w:sz w:val="24"/>
                <w:szCs w:val="24"/>
              </w:rPr>
              <w:t xml:space="preserve"> ili smanjenja kreditnog rizika koji su utjecali na računovodstvenu vrijednost).</w:t>
            </w: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bCs/>
                <w:sz w:val="24"/>
                <w:szCs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Izvanbilančne stavke</w:t>
            </w:r>
          </w:p>
          <w:p w14:paraId="75A062FE" w14:textId="5F4AEDAA" w:rsidR="00D5649D"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iskazuju nominalnu vrijednost izvanbilančnih stavki. Ova vrijednost ne umanjuje se specifičnim ispravcima vrijednosti za kreditni rizik.</w:t>
            </w:r>
          </w:p>
          <w:p w14:paraId="76247621" w14:textId="632614DC" w:rsidR="00D5649D" w:rsidRPr="000B66BC" w:rsidDel="00764219" w:rsidRDefault="00D5649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Institucije u ovoj rubrici ne uzimaju u obzir ugovore navedene u Prilogu II. CRR-u, kreditne izvedenice i transakcije financiranja vrijednosnim papirima, u skladu s člankom 429.f stavkom 1. CRR-a.</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Gotovinski kolateral primljen u transakcijama izvedenicama – računovodstvena vrijednost bez primjene </w:t>
            </w:r>
            <w:proofErr w:type="spellStart"/>
            <w:r>
              <w:rPr>
                <w:rFonts w:ascii="Times New Roman" w:hAnsi="Times New Roman"/>
                <w:b/>
                <w:bCs/>
                <w:sz w:val="24"/>
                <w:szCs w:val="24"/>
              </w:rPr>
              <w:t>netiranja</w:t>
            </w:r>
            <w:proofErr w:type="spellEnd"/>
            <w:r>
              <w:rPr>
                <w:rFonts w:ascii="Times New Roman" w:hAnsi="Times New Roman"/>
                <w:b/>
                <w:bCs/>
                <w:sz w:val="24"/>
                <w:szCs w:val="24"/>
              </w:rPr>
              <w:t xml:space="preserve"> ili druge tehnike smanjenja kreditnog rizika</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Računovodstvena bilančna vrijednost u skladu s primjenjivim računovodstvenim okvirom za gotovinski kolateral primljen u transakcijama izvedenicama ne uzimajući u obzir učinke računovodstvenog </w:t>
            </w:r>
            <w:proofErr w:type="spellStart"/>
            <w:r>
              <w:rPr>
                <w:rFonts w:ascii="Times New Roman" w:hAnsi="Times New Roman"/>
                <w:sz w:val="24"/>
                <w:szCs w:val="24"/>
              </w:rPr>
              <w:t>netiranja</w:t>
            </w:r>
            <w:proofErr w:type="spellEnd"/>
            <w:r>
              <w:rPr>
                <w:rFonts w:ascii="Times New Roman" w:hAnsi="Times New Roman"/>
                <w:sz w:val="24"/>
                <w:szCs w:val="24"/>
              </w:rPr>
              <w:t xml:space="preserve"> ili druge učinke tehnika smanjenja kreditnog rizika (odnosno poništavaju se svi učinci računovodstvenog </w:t>
            </w:r>
            <w:proofErr w:type="spellStart"/>
            <w:r>
              <w:rPr>
                <w:rFonts w:ascii="Times New Roman" w:hAnsi="Times New Roman"/>
                <w:sz w:val="24"/>
                <w:szCs w:val="24"/>
              </w:rPr>
              <w:t>netiranja</w:t>
            </w:r>
            <w:proofErr w:type="spellEnd"/>
            <w:r>
              <w:rPr>
                <w:rFonts w:ascii="Times New Roman" w:hAnsi="Times New Roman"/>
                <w:sz w:val="24"/>
                <w:szCs w:val="24"/>
              </w:rPr>
              <w:t xml:space="preserve"> ili tehnika smanjenja kreditnog rizika koji su utjecali na računovodstvenu vrijednost)</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szCs w:val="24"/>
              </w:rPr>
              <w:t>Za potrebe ove rubrike gotovina se definira kao ukupni iznos gotovine uključujući kovanice i novčanice/valuta. Ukupan iznos depozita kod središnjih banaka uključuje se ako je te depozite moguće povući u stresnim uvjetima. Institucije u ovoj rubrici ne iskazuju gotovinu deponiranu kod drugih institucija.</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Potraživanja za gotovinski kolateral koji je dan u transakcijama izvedenicama – računovodstvena vrijednost bez primjene </w:t>
            </w:r>
            <w:proofErr w:type="spellStart"/>
            <w:r>
              <w:rPr>
                <w:rFonts w:ascii="Times New Roman" w:hAnsi="Times New Roman"/>
                <w:b/>
                <w:bCs/>
                <w:sz w:val="24"/>
                <w:szCs w:val="24"/>
              </w:rPr>
              <w:t>netiranja</w:t>
            </w:r>
            <w:proofErr w:type="spellEnd"/>
            <w:r>
              <w:rPr>
                <w:rFonts w:ascii="Times New Roman" w:hAnsi="Times New Roman"/>
                <w:b/>
                <w:bCs/>
                <w:sz w:val="24"/>
                <w:szCs w:val="24"/>
              </w:rPr>
              <w:t xml:space="preserve"> ili druge tehnike smanjenja kreditnog rizika</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Računovodstvena bilančna vrijednost u skladu s primjenjivim računovodstvenim okvirom za potraživanja za gotovinski kolateral dan u transakcijama izvedenicama ne uzimajući u obzir učinke računovodstvenog </w:t>
            </w:r>
            <w:proofErr w:type="spellStart"/>
            <w:r>
              <w:rPr>
                <w:rFonts w:ascii="Times New Roman" w:hAnsi="Times New Roman"/>
                <w:sz w:val="24"/>
                <w:szCs w:val="24"/>
              </w:rPr>
              <w:t>netiranja</w:t>
            </w:r>
            <w:proofErr w:type="spellEnd"/>
            <w:r>
              <w:rPr>
                <w:rFonts w:ascii="Times New Roman" w:hAnsi="Times New Roman"/>
                <w:sz w:val="24"/>
                <w:szCs w:val="24"/>
              </w:rPr>
              <w:t xml:space="preserve"> ili učinke tehnika smanjenja kreditnog rizika (odnosno poništavaju se svi učinci računovodstvenog </w:t>
            </w:r>
            <w:proofErr w:type="spellStart"/>
            <w:r>
              <w:rPr>
                <w:rFonts w:ascii="Times New Roman" w:hAnsi="Times New Roman"/>
                <w:sz w:val="24"/>
                <w:szCs w:val="24"/>
              </w:rPr>
              <w:t>netiranja</w:t>
            </w:r>
            <w:proofErr w:type="spellEnd"/>
            <w:r>
              <w:rPr>
                <w:rFonts w:ascii="Times New Roman" w:hAnsi="Times New Roman"/>
                <w:sz w:val="24"/>
                <w:szCs w:val="24"/>
              </w:rPr>
              <w:t xml:space="preserve"> ili smanjenja kreditnog rizika koji su utjecali na računovodstvenu vrijednost)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szCs w:val="24"/>
              </w:rPr>
              <w:t xml:space="preserve">Institucije kojima je u skladu s primjenjivim računovodstvenim okvirom dopušteno netiranje potraživanja za gotovinski kolateral koji je dan u povezanoj obvezi po izvedenici (negativna fer vrijednost) i koje se na to odluče, poništavaju učinke </w:t>
            </w:r>
            <w:proofErr w:type="spellStart"/>
            <w:r>
              <w:rPr>
                <w:rFonts w:ascii="Times New Roman" w:hAnsi="Times New Roman"/>
                <w:sz w:val="24"/>
                <w:szCs w:val="24"/>
              </w:rPr>
              <w:t>netiranja</w:t>
            </w:r>
            <w:proofErr w:type="spellEnd"/>
            <w:r>
              <w:rPr>
                <w:rFonts w:ascii="Times New Roman" w:hAnsi="Times New Roman"/>
                <w:sz w:val="24"/>
                <w:szCs w:val="24"/>
              </w:rPr>
              <w:t xml:space="preserve"> i iskazuju neto gotovinsko potraživanje.</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Vrijednosni papiri primljeni u transakciji financiranja vrijednosnim papirima koji su priznati kao imovina – računovodstvena vrijednost bez primjene </w:t>
            </w:r>
            <w:proofErr w:type="spellStart"/>
            <w:r>
              <w:rPr>
                <w:rFonts w:ascii="Times New Roman" w:hAnsi="Times New Roman"/>
                <w:b/>
                <w:bCs/>
                <w:sz w:val="24"/>
                <w:szCs w:val="24"/>
              </w:rPr>
              <w:t>netiranja</w:t>
            </w:r>
            <w:proofErr w:type="spellEnd"/>
            <w:r>
              <w:rPr>
                <w:rFonts w:ascii="Times New Roman" w:hAnsi="Times New Roman"/>
                <w:b/>
                <w:bCs/>
                <w:sz w:val="24"/>
                <w:szCs w:val="24"/>
              </w:rPr>
              <w:t xml:space="preserve"> ili druge tehnike smanjenja kreditnog rizika</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szCs w:val="24"/>
              </w:rPr>
              <w:t xml:space="preserve">Računovodstvena bilančna vrijednost u skladu s primjenjivim računovodstvenim okvirom za vrijednosne papire primljene u transakciji financiranja vrijednosnim papirima koji su priznati kao imovina u skladu s primjenjivim računovodstvenim okvirom ne uzimajući u obzir učinke računovodstvenog </w:t>
            </w:r>
            <w:proofErr w:type="spellStart"/>
            <w:r>
              <w:rPr>
                <w:rFonts w:ascii="Times New Roman" w:hAnsi="Times New Roman"/>
                <w:sz w:val="24"/>
                <w:szCs w:val="24"/>
              </w:rPr>
              <w:t>netiranja</w:t>
            </w:r>
            <w:proofErr w:type="spellEnd"/>
            <w:r>
              <w:rPr>
                <w:rFonts w:ascii="Times New Roman" w:hAnsi="Times New Roman"/>
                <w:sz w:val="24"/>
                <w:szCs w:val="24"/>
              </w:rPr>
              <w:t xml:space="preserve"> ili učinke drugih tehnika smanjenja kreditnog rizika (odnosno poništavaju se svi učinci računovodstvenog </w:t>
            </w:r>
            <w:proofErr w:type="spellStart"/>
            <w:r>
              <w:rPr>
                <w:rFonts w:ascii="Times New Roman" w:hAnsi="Times New Roman"/>
                <w:sz w:val="24"/>
                <w:szCs w:val="24"/>
              </w:rPr>
              <w:t>netiranja</w:t>
            </w:r>
            <w:proofErr w:type="spellEnd"/>
            <w:r>
              <w:rPr>
                <w:rFonts w:ascii="Times New Roman" w:hAnsi="Times New Roman"/>
                <w:sz w:val="24"/>
                <w:szCs w:val="24"/>
              </w:rPr>
              <w:t xml:space="preserve"> ili tehnika smanjenja kreditnog rizika koji su utjecali na računovodstvenu vrijednost)</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Posredno gotovinsko kreditiranje u transakciji financiranja vrijednosnim papirima (gotovinska potraživanja) – računovodstvena vrijednost bez primjene </w:t>
            </w:r>
            <w:proofErr w:type="spellStart"/>
            <w:r>
              <w:rPr>
                <w:rFonts w:ascii="Times New Roman" w:hAnsi="Times New Roman"/>
                <w:b/>
                <w:bCs/>
                <w:sz w:val="24"/>
                <w:szCs w:val="24"/>
              </w:rPr>
              <w:t>netiranja</w:t>
            </w:r>
            <w:proofErr w:type="spellEnd"/>
            <w:r>
              <w:rPr>
                <w:rFonts w:ascii="Times New Roman" w:hAnsi="Times New Roman"/>
                <w:b/>
                <w:bCs/>
                <w:sz w:val="24"/>
                <w:szCs w:val="24"/>
              </w:rPr>
              <w:t xml:space="preserve"> ili druge tehnike smanjenja kreditnog rizika</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 xml:space="preserve">Računovodstvena bilančna vrijednost u skladu s primjenjivim računovodstvenim okvirom za gotovinsko potraživanje za gotovinu danu u zajam vlasniku vrijednosnih papira u kvalificiranoj transakciji posrednog gotovinskog kreditiranja ne uzimajući u obzir učinke računovodstvenog </w:t>
            </w:r>
            <w:proofErr w:type="spellStart"/>
            <w:r>
              <w:rPr>
                <w:rFonts w:ascii="Times New Roman" w:hAnsi="Times New Roman"/>
                <w:sz w:val="24"/>
                <w:szCs w:val="24"/>
              </w:rPr>
              <w:t>netiranja</w:t>
            </w:r>
            <w:proofErr w:type="spellEnd"/>
            <w:r>
              <w:rPr>
                <w:rFonts w:ascii="Times New Roman" w:hAnsi="Times New Roman"/>
                <w:sz w:val="24"/>
                <w:szCs w:val="24"/>
              </w:rPr>
              <w:t xml:space="preserve"> ili učinke drugih tehnika smanjenja kreditnog rizika (odnosno poništavaju se svi učinci računovodstvenog </w:t>
            </w:r>
            <w:proofErr w:type="spellStart"/>
            <w:r>
              <w:rPr>
                <w:rFonts w:ascii="Times New Roman" w:hAnsi="Times New Roman"/>
                <w:sz w:val="24"/>
                <w:szCs w:val="24"/>
              </w:rPr>
              <w:t>netiranja</w:t>
            </w:r>
            <w:proofErr w:type="spellEnd"/>
            <w:r>
              <w:rPr>
                <w:rFonts w:ascii="Times New Roman" w:hAnsi="Times New Roman"/>
                <w:sz w:val="24"/>
                <w:szCs w:val="24"/>
              </w:rPr>
              <w:t xml:space="preserve"> ili tehnika smanjenja kreditnog rizika koji su utjecali na računovodstvenu vrijednost)</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Za potrebe ove rubrike gotovina se definira kao ukupni iznos gotovine uključujući kovanice i novčanice/valuta. Ukupan iznos depozita kod središnjih banaka uključuje se ako je te depozite moguće povući u stresnim uvjetima. Institucije u ovoj rubrici ne iskazuju gotovinu deponiranu kod drugih institucija.</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 xml:space="preserve">Transakcija posrednog gotovinskog kreditiranja definira se kao kombinacija dviju transakcija pri čemu institucija pozajmljuje vrijednosne papire od vlasnika vrijednosnih papira i dalje ih pozajmljuje dužniku. Istodobno institucija od dužnika prima gotovinski kolateral i primljenu gotovinu pozajmljuje vlasniku vrijednosnih papira. Kvalificirana transakcija posrednog gotovinskog kreditiranja </w:t>
            </w:r>
            <w:proofErr w:type="spellStart"/>
            <w:r>
              <w:rPr>
                <w:rFonts w:ascii="Times New Roman" w:hAnsi="Times New Roman"/>
                <w:sz w:val="24"/>
                <w:szCs w:val="24"/>
              </w:rPr>
              <w:t>ispunjuje</w:t>
            </w:r>
            <w:proofErr w:type="spellEnd"/>
            <w:r>
              <w:rPr>
                <w:rFonts w:ascii="Times New Roman" w:hAnsi="Times New Roman"/>
                <w:sz w:val="24"/>
                <w:szCs w:val="24"/>
              </w:rPr>
              <w:t xml:space="preserve"> sve sljedeće uvjete:</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(a)</w:t>
            </w:r>
            <w:r>
              <w:tab/>
            </w:r>
            <w:r>
              <w:rPr>
                <w:rFonts w:ascii="Times New Roman" w:hAnsi="Times New Roman"/>
                <w:color w:val="000000"/>
                <w:sz w:val="24"/>
                <w:szCs w:val="24"/>
              </w:rPr>
              <w:t>svaka od dvije pojedinačne transakcije od kojih se sastoji kvalificirana transakcija posrednog gotovinskog kreditiranja provodi se na isti datum ili u dva uzastopna radna dana, kada se radi o međunarodnim transakcijama;</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(b)</w:t>
            </w:r>
            <w:r>
              <w:tab/>
            </w:r>
            <w:r>
              <w:rPr>
                <w:rFonts w:ascii="Times New Roman" w:hAnsi="Times New Roman"/>
                <w:color w:val="000000"/>
                <w:sz w:val="24"/>
                <w:szCs w:val="24"/>
              </w:rPr>
              <w:t>ako u njezinim sastavnim transakcijama nije jasno određeno dospijeće, institucija ima zakonsko pravo, u bilo kojem trenutku i bez prethodne obavijesti, zatvoriti bilo koju stranu transakcije posrednog gotovinskog kreditiranja, odnosno obje sastavne transakcije;</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(c)</w:t>
            </w:r>
            <w:r>
              <w:tab/>
            </w:r>
            <w:r>
              <w:rPr>
                <w:rFonts w:ascii="Times New Roman" w:hAnsi="Times New Roman"/>
                <w:color w:val="000000"/>
                <w:sz w:val="24"/>
                <w:szCs w:val="24"/>
              </w:rPr>
              <w:t>ako je u njezinim sastavnim transakcijama jasno određeno dospijeće, iz transakcije posrednog gotovinskog kreditiranja ne proizlazi ročna neusklađenost za instituciju; institucija ima zakonsko pravo, u bilo kojem trenutku i bez prethodne obavijesti, zatvoriti bilo koju stranu transakcije posrednog gotovinskog kreditiranja, odnosno obje sastavne transakcije;</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szCs w:val="24"/>
              </w:rPr>
              <w:t>(d)</w:t>
            </w:r>
            <w:r>
              <w:tab/>
            </w:r>
            <w:r>
              <w:rPr>
                <w:rFonts w:ascii="Times New Roman" w:hAnsi="Times New Roman"/>
                <w:sz w:val="24"/>
                <w:szCs w:val="24"/>
              </w:rPr>
              <w:t>iz nje ne proizlaze druge dodatne izloženosti.</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8" w:name="_Toc322687882"/>
            <w:bookmarkEnd w:id="51"/>
            <w:r>
              <w:rPr>
                <w:rFonts w:ascii="Times New Roman" w:hAnsi="Times New Roman"/>
                <w:bCs/>
                <w:sz w:val="24"/>
                <w:szCs w:val="24"/>
              </w:rPr>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Ulaganja javnog sektora – potraživanja od središnjih država – računovodstvena bilančna vrijednost</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Ako je institucija javna razvojna kreditna institucija, računovodstvena bilančna vrijednost u skladu s primjenjivim računovodstvenim okvirom </w:t>
            </w:r>
            <w:r>
              <w:rPr>
                <w:rFonts w:ascii="Times New Roman" w:hAnsi="Times New Roman"/>
                <w:bCs/>
                <w:sz w:val="24"/>
                <w:szCs w:val="24"/>
              </w:rPr>
              <w:lastRenderedPageBreak/>
              <w:t xml:space="preserve">imovine koja čini potraživanja od središnjih država u odnosu na ulaganja javnog sektora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U obzir se uzimaju i računovodstvene bilančne vrijednosti institucije koju nadležno tijelo tretira kao javnu razvojnu kreditnu instituciju u skladu s člankom 429.a stavkom 2. zadnjim odlomkom CRR-a.</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lastRenderedPageBreak/>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Ulaganja javnog sektora – potraživanja područnih (regionalnih) samouprava – računovodstvena bilančna vrijednost</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Ako je institucija javna razvojna kreditna institucija, računovodstvena bilančna vrijednost u skladu s primjenjivim računovodstvenim okvirom imovine koja čini potraživanja od područnih (regionalnih) samouprava u odnosu na ulaganja javnog sektora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U obzir se uzimaju i računovodstvene bilančne vrijednosti institucije koju nadležno tijelo tretira kao javnu razvojnu kreditnu instituciju u skladu s člankom 429.a stavkom 2. zadnjim odlomkom CRR-a.</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Ulaganja javnog sektora – potraživanja lokalnih samouprava – računovodstvena bilančna vrijednost</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Ako je institucija javna razvojna kreditna institucija, računovodstvena bilančna vrijednost u skladu s primjenjivim računovodstvenim okvirom imovine koja čini potraživanja od lokalnih samouprava u odnosu na ulaganja javnog sektora</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U obzir se uzimaju i računovodstvene bilančne vrijednosti institucije koju nadležno tijelo tretira kao javnu razvojnu kreditnu instituciju u skladu s člankom 429.a stavkom 2. zadnjim odlomkom CRR-a.</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Ulaganja javnog sektora – potraživanja subjekata javnog sektora – računovodstvena bilančna vrijednost</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Ako je institucija javna razvojna kreditna institucija, računovodstvena bilančna vrijednost u skladu s primjenjivim računovodstvenim okvirom imovine koja čini potraživanja od subjekata javnog sektora u odnosu na ulaganja javnog sektora</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U obzir se uzimaju i računovodstvene bilančne vrijednosti jedinice institucije koju nadležno tijelo tretira kao javnu razvojnu kreditnu instituciju u skladu s člankom 429.a stavkom 2. zadnjim odlomkom CRR-a.</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Promotivni krediti – potraživanja od središnjih država – računovodstvena bilančna vrijednost</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Ako je institucija javna razvojna kreditna institucija, računovodstvena bilančna vrijednost u skladu s primjenjivim računovodstvenim okvirom imovine koja čini potraživanja od središnjih država u odnosu na promotivne kredite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lastRenderedPageBreak/>
              <w:t>U obzir se uzimaju i računovodstvene bilančne vrijednosti jedinice institucije koju nadležno tijelo tretira kao javnu razvojnu kreditnu instituciju u skladu s člankom 429.a stavkom 2. zadnjim odlomkom CRR-a.</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bCs/>
                <w:sz w:val="24"/>
                <w:szCs w:val="24"/>
              </w:rPr>
              <w:lastRenderedPageBreak/>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Promotivni krediti – potraživanja od središnjih država – zamišljeni iznos/nominalna vrijednost</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bCs/>
                <w:sz w:val="24"/>
                <w:szCs w:val="24"/>
              </w:rPr>
              <w:t>Ako je institucija javna razvojna kreditna institucija, nominalni iznos izvanbilančnih stavki u odnosu na neiskorišteni dio promotivnih kredita odobrenih središnjim državama</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bCs/>
                <w:sz w:val="24"/>
                <w:szCs w:val="24"/>
              </w:rPr>
              <w:t>U obzir se uzimaju i nominalni iznosi jedinice institucije koju nadležno tijelo tretira kao javnu razvojnu kreditnu instituciju u skladu s člankom 429.a stavkom 2. zadnjim odlomkom CRR-a.</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Promotivni krediti – potraživanja od područnih (regionalnih) samouprava – računovodstvena bilančna vrijednost</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Ako je institucija javna razvojna kreditna institucija, računovodstvena bilančna vrijednost u skladu s primjenjivim računovodstvenim okvirom imovine koja čini potraživanja od područnih (regionalnih) samouprava u odnosu na promotivne kredite</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U obzir se uzimaju i računovodstvene bilančne vrijednosti jedinice institucije koju nadležno tijelo tretira kao javnu razvojnu kreditnu instituciju u skladu s člankom 429.a stavkom 2. zadnjim odlomkom CRR-a.</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Promotivni krediti – potraživanja od područnih (regionalnih) samouprava – zamišljeni iznos/nominalna vrijednost</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Ako je institucija javna razvojna kreditna institucija, nominalni iznos izvanbilančnih stavki u odnosu na neiskorišteni dio promotivnih kredita odobrenih područnim (regionalnim) samoupravama</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U obzir se uzimaju i nominalni iznosi jedinice institucije koju nadležno tijelo tretira kao javnu razvojnu kreditnu instituciju u skladu s člankom 429.a stavkom 2. zadnjim odlomkom CRR-a.</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Promotivni krediti – potraživanja od lokalnih samouprava – računovodstvena bilančna vrijednost</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Ako je institucija javna razvojna kreditna institucija, računovodstvena bilančna vrijednost u skladu s primjenjivim računovodstvenim okvirom imovine koja čini potraživanja od lokalnih samouprava u odnosu na promotivne kredite</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U obzir se uzimaju i računovodstvene bilančne vrijednosti jedinice institucije koju nadležno tijelo tretira kao javnu razvojnu kreditnu instituciju u skladu s člankom 429.a stavkom 2. zadnjim odlomkom CRR-a.</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lastRenderedPageBreak/>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Promotivni krediti – potraživanja od lokalnih samouprava – zamišljeni iznos/nominalna vrijednost</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Ako je institucija javna razvojna kreditna institucija, nominalni iznos izvanbilančnih stavki u odnosu na neiskorišteni dio promotivnih kredita odobrenih lokalnim samoupravama</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U obzir se uzimaju i nominalni iznosi jedinice institucije koju nadležno tijelo tretira kao javnu razvojnu kreditnu instituciju u skladu s člankom 429.a stavkom 2. zadnjim odlomkom CRR-a.</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Promotivni krediti – potraživanja od subjekata javnog sektora – računovodstvena bilančna vrijednost</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Ako je institucija javna razvojna kreditna institucija, računovodstvena bilančna vrijednost u skladu s primjenjivim računovodstvenim okvirom imovine koja čini potraživanja od subjekata javnog sektora u odnosu na promotivne kredite</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U obzir se uzimaju i računovodstvene bilančne vrijednosti jedinice institucije koju nadležno tijelo tretira kao javnu razvojnu kreditnu instituciju u skladu s člankom 429.a stavkom 2. zadnjim odlomkom CRR-a.</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Promotivni krediti – potraživanja od subjekata javnog sektora – zamišljeni iznos/nominalna vrijednost</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bCs/>
                <w:sz w:val="24"/>
                <w:szCs w:val="24"/>
              </w:rPr>
              <w:t>Ako je institucija javna razvojna kreditna institucija, nominalni iznos izvanbilančnih stavki u odnosu na neiskorišteni dio promotivnih kredita odobrenih subjektima javnog sektora</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U obzir se uzimaju i nominalni iznosi jedinice institucije koju nadležno tijelo tretira kao javnu razvojnu kreditnu instituciju u skladu s člankom 429.a stavkom 2. zadnjim odlomkom CRR-a.</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Promotivni krediti – potraživanja od nefinancijskih trgovačkih društava – računovodstvena bilančna vrijednost</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Ako je institucija javna razvojna kreditna institucija, računovodstvena bilančna vrijednost u skladu s primjenjivim računovodstvenim okvirom imovine koja čini potraživanja od nefinancijskih trgovačkih društava u odnosu na promotivne kredite</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U obzir se uzimaju i računovodstvene bilančne vrijednosti jedinice institucije koju nadležno tijelo tretira kao javnu razvojnu kreditnu instituciju u skladu s člankom 429.a stavkom 2. zadnjim odlomkom CRR-a.</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bCs/>
                <w:sz w:val="24"/>
                <w:szCs w:val="24"/>
              </w:rPr>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Promotivni krediti – potraživanja od nefinancijskih trgovačkih društava – zamišljeni iznos/nominalna vrijednost</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Ako je institucija javna razvojna kreditna institucija, nominalni iznos izvanbilančnih stavki u odnosu na neiskorišteni dio promotivnih kredita odobrenih nefinancijskim trgovačkim društvima</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U obzir se uzimaju i nominalni iznosi jedinice institucije koju nadležno tijelo tretira kao javnu razvojnu kreditnu instituciju u skladu s člankom 429.a stavkom 2. zadnjim odlomkom CRR-a.</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lastRenderedPageBreak/>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Promotivni krediti – potraživanja od kućanstava – računovodstvena bilančna vrijednost</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Ako je institucija javna razvojna kreditna institucija, računovodstvena bilančna vrijednost u skladu s primjenjivim računovodstvenim okvirom imovine koja čini potraživanja od kućanstava u odnosu na promotivne kredite</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U obzir se uzimaju i računovodstvene bilančne vrijednosti jedinice institucije koju nadležno tijelo tretira kao javnu razvojnu kreditnu instituciju u skladu s člankom 429.a stavkom 2. zadnjim odlomkom CRR-a.</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Promotivni krediti – potraživanja od kućanstava – zamišljeni iznos/nominalna vrijednost</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bCs/>
                <w:sz w:val="24"/>
                <w:szCs w:val="24"/>
              </w:rPr>
              <w:t>Ako je institucija javna razvojna kreditna institucija, nominalni iznos izvanbilančnih stavki u odnosu na neiskorišteni dio promotivnih kredita odobrenih kućanstvima</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U obzir se uzimaju i nominalni iznosi jedinice institucije koju nadležno tijelo tretira kao javnu razvojnu kreditnu instituciju u skladu s člankom 429.a stavkom 2. zadnjim odlomkom CRR-a.</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Promotivni krediti – prolazni</w:t>
            </w:r>
            <w:r>
              <w:rPr>
                <w:sz w:val="24"/>
                <w:szCs w:val="24"/>
              </w:rPr>
              <w:t xml:space="preserve"> </w:t>
            </w:r>
            <w:r>
              <w:rPr>
                <w:rFonts w:ascii="Times New Roman" w:hAnsi="Times New Roman"/>
                <w:b/>
                <w:bCs/>
                <w:sz w:val="24"/>
                <w:szCs w:val="24"/>
              </w:rPr>
              <w:t>– računovodstvena bilančna vrijednost</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bCs/>
                <w:sz w:val="24"/>
                <w:szCs w:val="24"/>
              </w:rPr>
              <w:t>Ako je institucija javna razvojna kreditna institucija</w:t>
            </w:r>
            <w:r>
              <w:rPr>
                <w:rFonts w:ascii="Times New Roman" w:hAnsi="Times New Roman"/>
                <w:sz w:val="24"/>
                <w:szCs w:val="24"/>
              </w:rPr>
              <w:t xml:space="preserve">, </w:t>
            </w:r>
            <w:r>
              <w:rPr>
                <w:rFonts w:ascii="Times New Roman" w:hAnsi="Times New Roman"/>
                <w:color w:val="auto"/>
                <w:sz w:val="24"/>
                <w:szCs w:val="24"/>
              </w:rPr>
              <w:t>računovodstvena</w:t>
            </w:r>
            <w:r>
              <w:rPr>
                <w:rFonts w:ascii="Times New Roman" w:hAnsi="Times New Roman"/>
                <w:sz w:val="24"/>
                <w:szCs w:val="24"/>
              </w:rPr>
              <w:t xml:space="preserve"> </w:t>
            </w:r>
            <w:r>
              <w:rPr>
                <w:rFonts w:ascii="Times New Roman" w:hAnsi="Times New Roman"/>
                <w:bCs/>
                <w:sz w:val="24"/>
                <w:szCs w:val="24"/>
              </w:rPr>
              <w:t>bilančna vrijednost prolaznih promotivnih kredita u skladu s primjenjivim računovodstvenim okvirom</w:t>
            </w:r>
            <w:r>
              <w:rPr>
                <w:rFonts w:ascii="Times New Roman" w:hAnsi="Times New Roman"/>
                <w:sz w:val="24"/>
                <w:szCs w:val="24"/>
              </w:rPr>
              <w:t xml:space="preserve">, </w:t>
            </w:r>
            <w:r>
              <w:rPr>
                <w:rFonts w:ascii="Times New Roman" w:hAnsi="Times New Roman"/>
                <w:color w:val="auto"/>
                <w:sz w:val="24"/>
                <w:szCs w:val="24"/>
              </w:rPr>
              <w:t>kada promotivne kredite nije odobrila sama institucija</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U obzir se uzimaju i računovodstvene bilančne vrijednosti jedinice institucije koju nadležno tijelo tretira kao javnu razvojnu kreditnu instituciju u skladu s člankom 429.a stavkom 2. zadnjim odlomkom CRR-a.</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bCs/>
                <w:sz w:val="24"/>
                <w:szCs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Promotivni krediti – prolazni</w:t>
            </w:r>
            <w:r>
              <w:rPr>
                <w:sz w:val="24"/>
                <w:szCs w:val="24"/>
              </w:rPr>
              <w:t xml:space="preserve"> </w:t>
            </w:r>
            <w:r>
              <w:rPr>
                <w:rFonts w:ascii="Times New Roman" w:hAnsi="Times New Roman"/>
                <w:b/>
                <w:bCs/>
                <w:sz w:val="24"/>
                <w:szCs w:val="24"/>
              </w:rPr>
              <w:t>– zamišljeni iznos/nominalna vrijednost</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bCs/>
                <w:sz w:val="24"/>
                <w:szCs w:val="24"/>
              </w:rPr>
              <w:t>Ako je institucija javna razvojna kreditna institucija</w:t>
            </w:r>
            <w:r>
              <w:rPr>
                <w:rFonts w:ascii="Times New Roman" w:hAnsi="Times New Roman"/>
                <w:sz w:val="24"/>
                <w:szCs w:val="24"/>
              </w:rPr>
              <w:t xml:space="preserve">, </w:t>
            </w:r>
            <w:r>
              <w:rPr>
                <w:rFonts w:ascii="Times New Roman" w:hAnsi="Times New Roman"/>
                <w:color w:val="auto"/>
                <w:sz w:val="24"/>
                <w:szCs w:val="24"/>
              </w:rPr>
              <w:t>računovodstvena</w:t>
            </w:r>
            <w:r>
              <w:rPr>
                <w:rFonts w:ascii="Times New Roman" w:hAnsi="Times New Roman"/>
                <w:sz w:val="24"/>
                <w:szCs w:val="24"/>
              </w:rPr>
              <w:t xml:space="preserve"> </w:t>
            </w:r>
            <w:r>
              <w:rPr>
                <w:rFonts w:ascii="Times New Roman" w:hAnsi="Times New Roman"/>
                <w:bCs/>
                <w:sz w:val="24"/>
                <w:szCs w:val="24"/>
              </w:rPr>
              <w:t>nominalni iznos izvanbilančnih stavki u odnosu na neiskorišteni dio promotivnih kredita</w:t>
            </w:r>
            <w:r>
              <w:rPr>
                <w:rFonts w:ascii="Times New Roman" w:hAnsi="Times New Roman"/>
                <w:sz w:val="24"/>
                <w:szCs w:val="24"/>
              </w:rPr>
              <w:t xml:space="preserve">, </w:t>
            </w:r>
            <w:r>
              <w:rPr>
                <w:rFonts w:ascii="Times New Roman" w:hAnsi="Times New Roman"/>
                <w:color w:val="auto"/>
                <w:sz w:val="24"/>
                <w:szCs w:val="24"/>
              </w:rPr>
              <w:t>kada promotivne kredite nije odobrila sama institucija</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U obzir se uzimaju i nominalni iznosi jedinice institucije koju nadležno tijelo tretira kao javnu razvojnu kreditnu instituciju u skladu s člankom 429.a stavkom 2. zadnjim odlomkom CRR-a.</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bCs/>
                <w:sz w:val="24"/>
                <w:szCs w:val="24"/>
              </w:rPr>
              <w:lastRenderedPageBreak/>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Izloženosti prema središnjoj banci</w:t>
            </w:r>
            <w:r>
              <w:rPr>
                <w:sz w:val="24"/>
                <w:szCs w:val="24"/>
              </w:rPr>
              <w:t xml:space="preserve"> </w:t>
            </w:r>
            <w:r>
              <w:rPr>
                <w:rFonts w:ascii="Times New Roman" w:hAnsi="Times New Roman"/>
                <w:b/>
                <w:bCs/>
                <w:sz w:val="24"/>
                <w:szCs w:val="24"/>
              </w:rPr>
              <w:t>– računovodstvena bilančna vrijednost</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Institucije u skladu s primjenjivim računovodstvenim okvirom iskazuju vrijednost sljedećih izloženosti prema središnjoj banci institucije: i. kovanice i novčanice koje predstavljaju zakonsku valutu u nadležnosti središnje banke; ii. imovinu koja predstavlja potraživanja prema središnjoj banci, uključujući pričuve koje se drže u središnjoj banci.</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Institucije uključuju samo izloženosti koje ispunjavaju oba sljedeća uvjeta: (a ) nominirane su u istoj valuti kao depoziti koje je institucija preuzela; (b) njihovo prosječno dospijeće ne premašuje znatno prosječno dospijeće depozita koje je institucija preuzela.</w:t>
            </w:r>
          </w:p>
          <w:p w14:paraId="1572123D" w14:textId="74F2C6DA"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color w:val="auto"/>
                <w:sz w:val="24"/>
                <w:szCs w:val="24"/>
              </w:rPr>
              <w:t>Institucije te izloženosti iskazuju neovisno o tome jesu li izuzete iz ukupne mjere izloženosti u skladu s člankom 429.a stavcima 5. i 6. CRR-a</w:t>
            </w:r>
            <w:r>
              <w:rPr>
                <w:rFonts w:ascii="Times New Roman" w:hAnsi="Times New Roman"/>
                <w:color w:val="FF0000"/>
                <w:sz w:val="24"/>
                <w:szCs w:val="24"/>
              </w:rPr>
              <w:t>.</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20C39BF3"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Vrijednost izloženosti prema središnjoj banci primijenjena za izračun prilagođenog omjera financijske poluge iz članka 429.a stavka 7. CRR-a – iznos izloženosti omjera financijske poluge</w:t>
            </w:r>
          </w:p>
          <w:p w14:paraId="0EDC2D5D" w14:textId="0B426B68"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Dnevni prosjek ukupne vrijednosti izloženosti institucije prema njezinoj središnjoj banci,</w:t>
            </w:r>
            <w:r>
              <w:rPr>
                <w:sz w:val="24"/>
                <w:szCs w:val="24"/>
              </w:rPr>
              <w:t xml:space="preserve"> </w:t>
            </w:r>
            <w:r>
              <w:rPr>
                <w:rFonts w:ascii="Times New Roman" w:hAnsi="Times New Roman"/>
                <w:bCs/>
                <w:sz w:val="24"/>
                <w:szCs w:val="24"/>
              </w:rPr>
              <w:t>izračunan za cijelo razdoblje održavanja pričuva središnje banke koje neposredno prethodi datumu iz članka 429.a stavka 5. točke (c) CRR-a, koje su prihvatljive za isključenje u skladu s člankom 429.a stavkom 1. točkom (n) CRR-a.</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E1F3C1E"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Mjera izloženosti omjera financijske poluge primijenjena za izračun prilagođenog omjera financijske poluge iz članka 429.a stavka 7. CRR-a – iznos izloženosti omjera financijske poluge</w:t>
            </w:r>
          </w:p>
          <w:p w14:paraId="7F49B2B2" w14:textId="4B127234"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Mjera ukupne izloženosti institucije kako je definirana u članku 429. stavku 4. CRR-a, uključujući izloženosti koje su na datum iz članka 429.a stavka 5. točke (c) CRR-a isključene u skladu s člankom 429.a stavkom 1. točkom (n) CRR-a</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Ukupno imovina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Institucije u ovoj stavci iskazuju ukupnu imovinu na temelju opsega primijenjenog u objavljenim financijskim izvješćima.</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9" w:name="_Toc338669922"/>
      <w:bookmarkStart w:id="60" w:name="_Toc338669923"/>
      <w:bookmarkStart w:id="61" w:name="_Toc338669924"/>
      <w:bookmarkStart w:id="62" w:name="_Toc338669925"/>
      <w:bookmarkStart w:id="63" w:name="_Toc338669926"/>
      <w:bookmarkStart w:id="64" w:name="_Toc338669927"/>
      <w:bookmarkStart w:id="65" w:name="_Toc338669928"/>
      <w:bookmarkEnd w:id="59"/>
      <w:bookmarkEnd w:id="60"/>
      <w:bookmarkEnd w:id="61"/>
      <w:bookmarkEnd w:id="62"/>
      <w:bookmarkEnd w:id="63"/>
      <w:bookmarkEnd w:id="64"/>
      <w:bookmarkEnd w:id="65"/>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6" w:name="_Toc338669914"/>
      <w:bookmarkStart w:id="67" w:name="_Toc338669915"/>
      <w:bookmarkStart w:id="68" w:name="_Toc338669918"/>
      <w:bookmarkStart w:id="69" w:name="_Toc322687900"/>
      <w:bookmarkStart w:id="70" w:name="_Toc351048510"/>
      <w:bookmarkStart w:id="71" w:name="_Toc359414289"/>
      <w:bookmarkStart w:id="72" w:name="_Toc423089074"/>
      <w:bookmarkStart w:id="73" w:name="_Toc322533879"/>
      <w:bookmarkStart w:id="74" w:name="_Toc58573164"/>
      <w:bookmarkEnd w:id="58"/>
      <w:bookmarkEnd w:id="66"/>
      <w:bookmarkEnd w:id="67"/>
      <w:bookmarkEnd w:id="68"/>
      <w:r>
        <w:rPr>
          <w:rFonts w:ascii="Times New Roman" w:hAnsi="Times New Roman"/>
          <w:b/>
          <w:sz w:val="24"/>
          <w:szCs w:val="24"/>
        </w:rPr>
        <w:t>5.</w:t>
      </w:r>
      <w:r>
        <w:tab/>
      </w:r>
      <w:r>
        <w:rPr>
          <w:rFonts w:ascii="Times New Roman" w:hAnsi="Times New Roman"/>
          <w:b/>
          <w:sz w:val="24"/>
          <w:szCs w:val="24"/>
        </w:rPr>
        <w:t>C 43.00 – Alternativna raščlamba komponenti mjere izloženosti omjera financijske poluge</w:t>
      </w:r>
      <w:bookmarkEnd w:id="69"/>
      <w:bookmarkEnd w:id="70"/>
      <w:bookmarkEnd w:id="71"/>
      <w:r>
        <w:rPr>
          <w:rFonts w:ascii="Times New Roman" w:hAnsi="Times New Roman"/>
          <w:b/>
          <w:sz w:val="24"/>
          <w:szCs w:val="24"/>
        </w:rPr>
        <w:t xml:space="preserve"> (LR4)</w:t>
      </w:r>
      <w:bookmarkEnd w:id="72"/>
      <w:bookmarkEnd w:id="74"/>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24.</w:t>
      </w:r>
      <w:r>
        <w:tab/>
      </w:r>
      <w:r>
        <w:rPr>
          <w:rFonts w:ascii="Times New Roman" w:hAnsi="Times New Roman"/>
          <w:sz w:val="24"/>
          <w:szCs w:val="24"/>
        </w:rPr>
        <w:t xml:space="preserve">Institucije iskazuju vrijednosti izloženost omjera financijske poluge u obrascu LR4 nakon primjene izuzeća i odbitaka u obrascu </w:t>
      </w:r>
      <w:proofErr w:type="spellStart"/>
      <w:r>
        <w:rPr>
          <w:rFonts w:ascii="Times New Roman" w:hAnsi="Times New Roman"/>
          <w:sz w:val="24"/>
          <w:szCs w:val="24"/>
        </w:rPr>
        <w:t>LRCalc</w:t>
      </w:r>
      <w:proofErr w:type="spellEnd"/>
      <w:r>
        <w:rPr>
          <w:rFonts w:ascii="Times New Roman" w:hAnsi="Times New Roman"/>
          <w:sz w:val="24"/>
          <w:szCs w:val="24"/>
        </w:rPr>
        <w:t xml:space="preserve"> odnosno stavke s negativnim predznakom u skladu s pravilom o predznaku iz ovog Priloga dijela I. točke 9., osim redaka </w:t>
      </w:r>
      <w:r>
        <w:rPr>
          <w:rFonts w:ascii="Times New Roman" w:hAnsi="Times New Roman"/>
          <w:bCs/>
          <w:sz w:val="24"/>
          <w:szCs w:val="24"/>
        </w:rPr>
        <w:t>{0270;0010} i {0280;0010}.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lastRenderedPageBreak/>
        <w:t>25.</w:t>
      </w:r>
      <w:r>
        <w:tab/>
      </w:r>
      <w:r>
        <w:rPr>
          <w:rFonts w:ascii="Times New Roman" w:hAnsi="Times New Roman"/>
          <w:sz w:val="24"/>
          <w:szCs w:val="24"/>
        </w:rPr>
        <w:t>Kako bi se izbjeglo dvostruko uračunavanje, institucije primjenjuju sljedeću formulu:</w:t>
      </w:r>
    </w:p>
    <w:p w14:paraId="6C63F05C" w14:textId="680D603A"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 xml:space="preserve"> </w:t>
      </w:r>
      <w:r>
        <w:tab/>
      </w:r>
      <w:r>
        <w:rPr>
          <w:rFonts w:ascii="Times New Roman" w:hAnsi="Times New Roman"/>
          <w:sz w:val="24"/>
          <w:szCs w:val="24"/>
        </w:rPr>
        <w:t xml:space="preserve">zbroj </w:t>
      </w:r>
      <w:r>
        <w:rPr>
          <w:rFonts w:ascii="Times New Roman" w:hAnsi="Times New Roman"/>
          <w:bCs/>
          <w:sz w:val="24"/>
          <w:szCs w:val="24"/>
        </w:rPr>
        <w:t>svih redaka od</w:t>
      </w:r>
      <w:r>
        <w:rPr>
          <w:rFonts w:ascii="Times New Roman" w:hAnsi="Times New Roman"/>
          <w:sz w:val="24"/>
          <w:szCs w:val="24"/>
        </w:rPr>
        <w:t xml:space="preserve"> {0010; 0010}</w:t>
      </w:r>
      <w:r>
        <w:rPr>
          <w:rFonts w:ascii="Times New Roman" w:hAnsi="Times New Roman"/>
          <w:bCs/>
          <w:sz w:val="24"/>
          <w:szCs w:val="24"/>
        </w:rPr>
        <w:t xml:space="preserve"> do </w:t>
      </w:r>
      <w:r>
        <w:rPr>
          <w:rFonts w:ascii="Times New Roman" w:hAnsi="Times New Roman"/>
          <w:sz w:val="24"/>
          <w:szCs w:val="24"/>
        </w:rPr>
        <w:t>{0</w:t>
      </w:r>
      <w:r>
        <w:rPr>
          <w:rFonts w:ascii="Times New Roman" w:hAnsi="Times New Roman"/>
          <w:bCs/>
          <w:sz w:val="24"/>
          <w:szCs w:val="24"/>
        </w:rPr>
        <w:t>267;</w:t>
      </w:r>
      <w:r>
        <w:rPr>
          <w:rFonts w:ascii="Times New Roman" w:hAnsi="Times New Roman"/>
          <w:sz w:val="24"/>
          <w:szCs w:val="24"/>
        </w:rPr>
        <w:t>0010}</w:t>
      </w:r>
      <w:r>
        <w:rPr>
          <w:rFonts w:ascii="Times New Roman" w:hAnsi="Times New Roman"/>
          <w:bCs/>
          <w:sz w:val="24"/>
          <w:szCs w:val="24"/>
        </w:rPr>
        <w:t xml:space="preserve"> u obrascu </w:t>
      </w:r>
      <w:proofErr w:type="spellStart"/>
      <w:r>
        <w:rPr>
          <w:rFonts w:ascii="Times New Roman" w:hAnsi="Times New Roman"/>
          <w:bCs/>
          <w:sz w:val="24"/>
          <w:szCs w:val="24"/>
        </w:rPr>
        <w:t>LRCalc</w:t>
      </w:r>
      <w:proofErr w:type="spellEnd"/>
      <w:r>
        <w:rPr>
          <w:rFonts w:ascii="Times New Roman" w:hAnsi="Times New Roman"/>
          <w:bCs/>
          <w:sz w:val="24"/>
          <w:szCs w:val="24"/>
        </w:rPr>
        <w:t xml:space="preserve"> jednako je</w:t>
      </w:r>
      <w:r>
        <w:rPr>
          <w:rFonts w:ascii="Times New Roman" w:hAnsi="Times New Roman"/>
          <w:sz w:val="24"/>
          <w:szCs w:val="24"/>
        </w:rPr>
        <w:t xml:space="preserve">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5304C6D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szCs w:val="24"/>
        </w:rPr>
        <w:t>26.</w:t>
      </w:r>
      <w:r>
        <w:tab/>
      </w:r>
      <w:r>
        <w:rPr>
          <w:rFonts w:ascii="Times New Roman" w:hAnsi="Times New Roman"/>
          <w:sz w:val="24"/>
          <w:szCs w:val="24"/>
        </w:rPr>
        <w:t>Radi dosljednosti s vrijednostima izloženosti omjera financijske poluge, i rizikom ponderirani iznosi izloženosti iskazuju se nakon potpunog uvođenja novih odredaba.</w:t>
      </w:r>
    </w:p>
    <w:p w14:paraId="794DC095" w14:textId="689BE33F"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szCs w:val="24"/>
        </w:rPr>
        <w:t xml:space="preserve">27. Institucije iskazuju drugu ugovornu stranu u odnosu na rizikom ponderiranu imovinu nakon primjene tehnika smanjenja kreditnog rizika i njezinih učinaka zamjene. Institucije iskazuju drugu ugovornu stranu u odnosu na izloženost omjera financijske poluge u skladu s izvornom drugom ugovornom stranom, odnosno bez uzimanja u obzir tehnika smanjenja kreditnog rizika ili učinka zamjene na primjenjivu rizikom ponderiranu imovinu.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szCs w:val="24"/>
              </w:rPr>
              <w:t>Redak i stupac</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bCs/>
                <w:sz w:val="24"/>
                <w:szCs w:val="24"/>
              </w:rPr>
              <w:t>Pravna osnova i upute</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Izvanbilančne stavke – vrijednost izloženosti omjera financijske poluge</w:t>
            </w:r>
          </w:p>
          <w:p w14:paraId="158DBAF4" w14:textId="79CDE72A"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Vrijednost izloženosti omjera financijske poluge izračunata kao zbroj {LRCalc;0150;0010}, {LRCalc;0160;0010}, {LRCalc;0170;0010} i {LRCalc;0180;0010} isključujući odgovarajuće </w:t>
            </w:r>
            <w:proofErr w:type="spellStart"/>
            <w:r>
              <w:rPr>
                <w:rFonts w:ascii="Times New Roman" w:hAnsi="Times New Roman"/>
                <w:bCs/>
                <w:sz w:val="24"/>
                <w:szCs w:val="24"/>
              </w:rPr>
              <w:t>unutargrupne</w:t>
            </w:r>
            <w:proofErr w:type="spellEnd"/>
            <w:r>
              <w:rPr>
                <w:rFonts w:ascii="Times New Roman" w:hAnsi="Times New Roman"/>
                <w:bCs/>
                <w:sz w:val="24"/>
                <w:szCs w:val="24"/>
              </w:rPr>
              <w:t xml:space="preserve"> izloženosti (pojedinačna osnova) izuzete u skladu s člankom 429.a stavkom 1. točkom (c)</w:t>
            </w:r>
            <w:r>
              <w:rPr>
                <w:rFonts w:ascii="Times New Roman" w:hAnsi="Times New Roman"/>
                <w:sz w:val="24"/>
                <w:szCs w:val="24"/>
              </w:rPr>
              <w:t xml:space="preserve"> </w:t>
            </w:r>
            <w:r>
              <w:rPr>
                <w:rFonts w:ascii="Times New Roman" w:hAnsi="Times New Roman"/>
                <w:b/>
                <w:sz w:val="24"/>
                <w:szCs w:val="24"/>
              </w:rPr>
              <w:t xml:space="preserve"> </w:t>
            </w:r>
            <w:r>
              <w:rPr>
                <w:rFonts w:ascii="Times New Roman" w:hAnsi="Times New Roman"/>
                <w:bCs/>
                <w:sz w:val="24"/>
                <w:szCs w:val="24"/>
              </w:rPr>
              <w:t>CRR-a.</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Izvanbilančne stavke – rizikom ponderirana imovina</w:t>
            </w:r>
          </w:p>
          <w:p w14:paraId="672047D9" w14:textId="24A19AA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Rizikom ponderiran iznos izloženosti izvanbilančnih stavki – isključujući transakcije financiranja vrijednosnim papirima i izvedenice – kao u standardiziranom pristupu i IRB pristupu. </w:t>
            </w:r>
            <w:r>
              <w:rPr>
                <w:rFonts w:ascii="Times New Roman" w:hAnsi="Times New Roman"/>
                <w:sz w:val="24"/>
                <w:szCs w:val="24"/>
              </w:rPr>
              <w:t>Za izloženosti prema standardiziranom pristupu institucije određuju iznos izloženosti ponderiran rizikom u skladu s dijelom trećim glavom II. poglavljem 2. CRR-a.</w:t>
            </w:r>
            <w:r>
              <w:rPr>
                <w:rFonts w:ascii="Times New Roman" w:hAnsi="Times New Roman"/>
                <w:bCs/>
                <w:sz w:val="24"/>
                <w:szCs w:val="24"/>
              </w:rPr>
              <w:t xml:space="preserve"> </w:t>
            </w:r>
            <w:r>
              <w:rPr>
                <w:rFonts w:ascii="Times New Roman" w:hAnsi="Times New Roman"/>
                <w:sz w:val="24"/>
                <w:szCs w:val="24"/>
              </w:rPr>
              <w:t>Za izloženosti prema IRB pristupu institucije određuju iznos izloženosti ponderiran rizikom u skladu s dijelom trećim glavom II. poglavljem 3. CRR-a.</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 čega: </w:t>
            </w:r>
            <w:r>
              <w:rPr>
                <w:rFonts w:ascii="Times New Roman" w:hAnsi="Times New Roman"/>
                <w:b/>
                <w:sz w:val="24"/>
                <w:szCs w:val="24"/>
              </w:rPr>
              <w:t>Financiranje trgovine – vrijednost izloženosti omjera financijske poluge</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omjera financijske poluge za izvanbilančne stavke koje se odnose na financiranje trgovine</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Za potrebe izvješćivanja u obrascu LR4, izvanbilančne stavke koje se odnose na financiranje trgovine odnose se na izdane i potvrđene uvozne i izvozne akreditive, koji su kratkoročni i kod kojih postoji mogućnost </w:t>
            </w:r>
            <w:proofErr w:type="spellStart"/>
            <w:r>
              <w:rPr>
                <w:rFonts w:ascii="Times New Roman" w:hAnsi="Times New Roman"/>
                <w:bCs/>
                <w:sz w:val="24"/>
                <w:szCs w:val="24"/>
              </w:rPr>
              <w:t>samoporavnanja</w:t>
            </w:r>
            <w:proofErr w:type="spellEnd"/>
            <w:r>
              <w:rPr>
                <w:rFonts w:ascii="Times New Roman" w:hAnsi="Times New Roman"/>
                <w:bCs/>
                <w:sz w:val="24"/>
                <w:szCs w:val="24"/>
              </w:rPr>
              <w:t>, te slične transakcije.</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od čega: Financiranje trgovine – rizikom ponderirana imovina</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ponderirana vrijednost izloženosti izvanbilančnih stavki – isključujući transakcije financiranja vrijednosnim papira i izvedenice – koje se odnose na financiranje trgovine</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Za potrebe izvješćivanja u obrascu LR4, izvanbilančne stavke koje se odnose na financiranje trgovine odnose se na izdane i potvrđene uvozne i izvozne akreditive, koji su kratkoročni i kod kojih postoji mogućnost </w:t>
            </w:r>
            <w:proofErr w:type="spellStart"/>
            <w:r>
              <w:rPr>
                <w:rFonts w:ascii="Times New Roman" w:hAnsi="Times New Roman"/>
                <w:bCs/>
                <w:sz w:val="24"/>
                <w:szCs w:val="24"/>
              </w:rPr>
              <w:t>samoporavnanja</w:t>
            </w:r>
            <w:proofErr w:type="spellEnd"/>
            <w:r>
              <w:rPr>
                <w:rFonts w:ascii="Times New Roman" w:hAnsi="Times New Roman"/>
                <w:bCs/>
                <w:sz w:val="24"/>
                <w:szCs w:val="24"/>
              </w:rPr>
              <w:t>, te slične transakcije.</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 čega: </w:t>
            </w:r>
            <w:r>
              <w:rPr>
                <w:rFonts w:ascii="Times New Roman" w:hAnsi="Times New Roman"/>
                <w:b/>
                <w:sz w:val="24"/>
                <w:szCs w:val="24"/>
              </w:rPr>
              <w:t>U okviru službenih aranžmana za osiguranja kredita za izvoz – vrijednost izloženosti omjera financijske poluge</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Vrijednost izloženosti omjera financijske poluge za izvanbilančne stavke koje se odnose na financiranje trgovine u okviru službenih aranžmana za osiguranje kredita za izvoz</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Za potrebe izvješćivanja u obrascu LR4</w:t>
            </w:r>
            <w:r>
              <w:rPr>
                <w:rFonts w:ascii="Times New Roman" w:hAnsi="Times New Roman"/>
                <w:sz w:val="24"/>
                <w:szCs w:val="24"/>
              </w:rPr>
              <w:t>, službeni aranžmani za osiguranje kredita za izvoz odnose se na službenu potporu države ili drugog subjekta, kao što je agencija za kreditiranje izvoza, u obliku, među ostalim, izravnog kreditiranja/financiranja, refinanciranja, kamatne stope (ako je fiksna kamatna stopa zajamčena za vrijeme trajanja kredita), potpore za financiranje (krediti i bespovratna sredstva), osiguranja i jamstava za kreditiranje izvoza.</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od čega: U okviru službenih aranžmana za osiguranje kredita za izvoz – rizikom ponderirana imovina</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Rizikom ponderirana vrijednost izloženosti izvanbilančnih stavki – isključujući transakcije financiranja vrijednosnim papirima i izvedenice – koje se odnose na financiranje trgovine u okviru službenih aranžmana za osiguranje kredita za izvoz</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Za potrebe izvješćivanja u obrascu LR4</w:t>
            </w:r>
            <w:r>
              <w:rPr>
                <w:rFonts w:ascii="Times New Roman" w:hAnsi="Times New Roman"/>
                <w:sz w:val="24"/>
                <w:szCs w:val="24"/>
              </w:rPr>
              <w:t>, službeni aranžmani za osiguranje kredita za izvoz odnose se na službenu potporu države ili drugog subjekta, kao što je agencija za kreditiranje izvoza, u obliku, među ostalim, izravnog kreditiranja/financiranja, refinanciranja, kamatne stope (ako je fiksna kamatna stopa zajamčena za vrijeme trajanja kredita), potpore za financiranje (krediti i bespovratna sredstva), osiguranja i jamstava za kreditiranje izvoza.</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Izvedenice i transakcije financiranja vrijednosnim papirima koje su predmet sporazuma o </w:t>
            </w:r>
            <w:proofErr w:type="spellStart"/>
            <w:r>
              <w:rPr>
                <w:rFonts w:ascii="Times New Roman" w:hAnsi="Times New Roman"/>
                <w:b/>
                <w:sz w:val="24"/>
                <w:szCs w:val="24"/>
              </w:rPr>
              <w:t>netiranju</w:t>
            </w:r>
            <w:proofErr w:type="spellEnd"/>
            <w:r>
              <w:rPr>
                <w:rFonts w:ascii="Times New Roman" w:hAnsi="Times New Roman"/>
                <w:b/>
                <w:sz w:val="24"/>
                <w:szCs w:val="24"/>
              </w:rPr>
              <w:t xml:space="preserve"> između različitih kategorija proizvoda – vrijednost izloženosti omjera financijske poluge</w:t>
            </w:r>
          </w:p>
          <w:p w14:paraId="04D3A7BA" w14:textId="2951A72A"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Vrijednost izloženosti omjera financijske poluge za izvedenice i transakcije financiranja vrijednosnim papirima ako su predmet sporazuma o </w:t>
            </w:r>
            <w:proofErr w:type="spellStart"/>
            <w:r>
              <w:rPr>
                <w:rFonts w:ascii="Times New Roman" w:hAnsi="Times New Roman"/>
                <w:bCs/>
                <w:sz w:val="24"/>
                <w:szCs w:val="24"/>
              </w:rPr>
              <w:t>netiranju</w:t>
            </w:r>
            <w:proofErr w:type="spellEnd"/>
            <w:r>
              <w:rPr>
                <w:rFonts w:ascii="Times New Roman" w:hAnsi="Times New Roman"/>
                <w:bCs/>
                <w:sz w:val="24"/>
                <w:szCs w:val="24"/>
              </w:rPr>
              <w:t xml:space="preserve"> između različitih kategorija proizvoda kako je definiran u članku 272. stavku 25. CRR-a.</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Izvedenice i transakcije financiranja vrijednosnim papirima koje su predmet sporazuma o </w:t>
            </w:r>
            <w:proofErr w:type="spellStart"/>
            <w:r>
              <w:rPr>
                <w:rFonts w:ascii="Times New Roman" w:hAnsi="Times New Roman"/>
                <w:b/>
                <w:bCs/>
                <w:sz w:val="24"/>
                <w:szCs w:val="24"/>
              </w:rPr>
              <w:t>netiranju</w:t>
            </w:r>
            <w:proofErr w:type="spellEnd"/>
            <w:r>
              <w:rPr>
                <w:rFonts w:ascii="Times New Roman" w:hAnsi="Times New Roman"/>
                <w:b/>
                <w:bCs/>
                <w:sz w:val="24"/>
                <w:szCs w:val="24"/>
              </w:rPr>
              <w:t xml:space="preserve"> između različitih kategorija proizvoda – rizikom ponderirana imovina</w:t>
            </w:r>
          </w:p>
          <w:p w14:paraId="2D88BC4B" w14:textId="1DBA453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Rizikom ponderirani iznosi izloženosti kreditnom riziku i kreditnom riziku druge ugovorne strane izvedenica i transakcija financiranja vrijednosnim papirima kako su izračunani na temelju dijela trećeg glave II. CRR-a, uključujući i one koje su izvanbilančne stavke, ako su predmet sporazuma o </w:t>
            </w:r>
            <w:proofErr w:type="spellStart"/>
            <w:r>
              <w:rPr>
                <w:rFonts w:ascii="Times New Roman" w:hAnsi="Times New Roman"/>
                <w:sz w:val="24"/>
                <w:szCs w:val="24"/>
              </w:rPr>
              <w:t>netiranju</w:t>
            </w:r>
            <w:proofErr w:type="spellEnd"/>
            <w:r>
              <w:rPr>
                <w:rFonts w:ascii="Times New Roman" w:hAnsi="Times New Roman"/>
                <w:sz w:val="24"/>
                <w:szCs w:val="24"/>
              </w:rPr>
              <w:t xml:space="preserve"> između različitih kategorija proizvoda kako je definiran u članku 272. stavku 25. CRR-a.</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Izvedenice koje nisu predmet sporazuma o </w:t>
            </w:r>
            <w:proofErr w:type="spellStart"/>
            <w:r>
              <w:rPr>
                <w:rFonts w:ascii="Times New Roman" w:hAnsi="Times New Roman"/>
                <w:b/>
                <w:sz w:val="24"/>
                <w:szCs w:val="24"/>
              </w:rPr>
              <w:t>netiranju</w:t>
            </w:r>
            <w:proofErr w:type="spellEnd"/>
            <w:r>
              <w:rPr>
                <w:rFonts w:ascii="Times New Roman" w:hAnsi="Times New Roman"/>
                <w:b/>
                <w:sz w:val="24"/>
                <w:szCs w:val="24"/>
              </w:rPr>
              <w:t xml:space="preserve"> između različitih kategorija proizvoda – vrijednost izloženosti omjera financijske poluge</w:t>
            </w:r>
          </w:p>
          <w:p w14:paraId="48BC0234" w14:textId="0A29047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szCs w:val="24"/>
              </w:rPr>
              <w:t xml:space="preserve">Vrijednost izloženosti omjera financijske poluge za izvedenice ako nisu predmet sporazuma o </w:t>
            </w:r>
            <w:proofErr w:type="spellStart"/>
            <w:r>
              <w:rPr>
                <w:rFonts w:ascii="Times New Roman" w:hAnsi="Times New Roman"/>
                <w:sz w:val="24"/>
                <w:szCs w:val="24"/>
              </w:rPr>
              <w:t>netiranju</w:t>
            </w:r>
            <w:proofErr w:type="spellEnd"/>
            <w:r>
              <w:rPr>
                <w:rFonts w:ascii="Times New Roman" w:hAnsi="Times New Roman"/>
                <w:sz w:val="24"/>
                <w:szCs w:val="24"/>
              </w:rPr>
              <w:t xml:space="preserve"> između različitih kategorija proizvoda kako je definiran u članku 272. stavku 25. CRR-a.</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Izvedenice koje nisu predmet sporazuma o </w:t>
            </w:r>
            <w:proofErr w:type="spellStart"/>
            <w:r>
              <w:rPr>
                <w:rFonts w:ascii="Times New Roman" w:hAnsi="Times New Roman"/>
                <w:b/>
                <w:bCs/>
                <w:sz w:val="24"/>
                <w:szCs w:val="24"/>
              </w:rPr>
              <w:t>netiranju</w:t>
            </w:r>
            <w:proofErr w:type="spellEnd"/>
            <w:r>
              <w:rPr>
                <w:rFonts w:ascii="Times New Roman" w:hAnsi="Times New Roman"/>
                <w:b/>
                <w:bCs/>
                <w:sz w:val="24"/>
                <w:szCs w:val="24"/>
              </w:rPr>
              <w:t xml:space="preserve"> između različitih kategorija proizvoda – rizikom ponderirana imovina</w:t>
            </w:r>
          </w:p>
          <w:p w14:paraId="328E1A83" w14:textId="431AD295"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szCs w:val="24"/>
              </w:rPr>
              <w:t xml:space="preserve">Rizikom ponderirani iznosi izloženosti kreditnom riziku i kreditnom riziku druge ugovorne strane izvedenica kako su izračunani na temelju dijela trećeg glave II. CRR-a, uključujući i one koje su izvanbilančne stavke, ako nisu predmet sporazuma o </w:t>
            </w:r>
            <w:proofErr w:type="spellStart"/>
            <w:r>
              <w:rPr>
                <w:rFonts w:ascii="Times New Roman" w:hAnsi="Times New Roman"/>
                <w:sz w:val="24"/>
                <w:szCs w:val="24"/>
              </w:rPr>
              <w:t>netiranju</w:t>
            </w:r>
            <w:proofErr w:type="spellEnd"/>
            <w:r>
              <w:rPr>
                <w:rFonts w:ascii="Times New Roman" w:hAnsi="Times New Roman"/>
                <w:sz w:val="24"/>
                <w:szCs w:val="24"/>
              </w:rPr>
              <w:t xml:space="preserve"> između različitih kategorija proizvoda kako je definiran u članku 272. stavku 25. CRR-a.</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Transakcije financiranja vrijednosnim papirima koje nisu predmet sporazuma o </w:t>
            </w:r>
            <w:proofErr w:type="spellStart"/>
            <w:r>
              <w:rPr>
                <w:rFonts w:ascii="Times New Roman" w:hAnsi="Times New Roman"/>
                <w:b/>
                <w:sz w:val="24"/>
                <w:szCs w:val="24"/>
              </w:rPr>
              <w:t>netiranju</w:t>
            </w:r>
            <w:proofErr w:type="spellEnd"/>
            <w:r>
              <w:rPr>
                <w:rFonts w:ascii="Times New Roman" w:hAnsi="Times New Roman"/>
                <w:b/>
                <w:sz w:val="24"/>
                <w:szCs w:val="24"/>
              </w:rPr>
              <w:t xml:space="preserve"> između različitih kategorija proizvoda – vrijednost izloženosti omjera financijske poluge</w:t>
            </w:r>
          </w:p>
          <w:p w14:paraId="621A4651" w14:textId="46DFD1F4"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szCs w:val="24"/>
              </w:rPr>
              <w:t xml:space="preserve">Vrijednost izloženosti omjera financijske poluge za izloženosti transakcija financiranja vrijednosnim papirima ako nisu predmet sporazuma o </w:t>
            </w:r>
            <w:proofErr w:type="spellStart"/>
            <w:r>
              <w:rPr>
                <w:rFonts w:ascii="Times New Roman" w:hAnsi="Times New Roman"/>
                <w:sz w:val="24"/>
                <w:szCs w:val="24"/>
              </w:rPr>
              <w:t>netiranju</w:t>
            </w:r>
            <w:proofErr w:type="spellEnd"/>
            <w:r>
              <w:rPr>
                <w:rFonts w:ascii="Times New Roman" w:hAnsi="Times New Roman"/>
                <w:sz w:val="24"/>
                <w:szCs w:val="24"/>
              </w:rPr>
              <w:t xml:space="preserve"> između različitih kategorija proizvoda kako je definiran u članku 272. stavku 25. CRR-a.</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Transakcije financiranja vrijednosnim papirima koje nisu predmet sporazuma o </w:t>
            </w:r>
            <w:proofErr w:type="spellStart"/>
            <w:r>
              <w:rPr>
                <w:rFonts w:ascii="Times New Roman" w:hAnsi="Times New Roman"/>
                <w:b/>
                <w:bCs/>
                <w:sz w:val="24"/>
                <w:szCs w:val="24"/>
              </w:rPr>
              <w:t>netiranju</w:t>
            </w:r>
            <w:proofErr w:type="spellEnd"/>
            <w:r>
              <w:rPr>
                <w:rFonts w:ascii="Times New Roman" w:hAnsi="Times New Roman"/>
                <w:b/>
                <w:bCs/>
                <w:sz w:val="24"/>
                <w:szCs w:val="24"/>
              </w:rPr>
              <w:t xml:space="preserve"> između različitih kategorija proizvoda – rizikom ponderirana imovina</w:t>
            </w:r>
          </w:p>
          <w:p w14:paraId="0358DACB" w14:textId="66B61E47"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szCs w:val="24"/>
              </w:rPr>
              <w:lastRenderedPageBreak/>
              <w:t xml:space="preserve">Rizikom ponderirani iznosi izloženosti kreditnom riziku i kreditnom riziku druge ugovorne strane transakcija financiranja vrijednosnim papirima kako su izračunani na temelju dijela trećeg glave II. CRR-a, uključujući i one koje su izvanbilančne stavke, ako nisu predmet sporazuma o </w:t>
            </w:r>
            <w:proofErr w:type="spellStart"/>
            <w:r>
              <w:rPr>
                <w:rFonts w:ascii="Times New Roman" w:hAnsi="Times New Roman"/>
                <w:sz w:val="24"/>
                <w:szCs w:val="24"/>
              </w:rPr>
              <w:t>netiranju</w:t>
            </w:r>
            <w:proofErr w:type="spellEnd"/>
            <w:r>
              <w:rPr>
                <w:rFonts w:ascii="Times New Roman" w:hAnsi="Times New Roman"/>
                <w:sz w:val="24"/>
                <w:szCs w:val="24"/>
              </w:rPr>
              <w:t xml:space="preserve"> između različitih kategorija proizvoda kako je definiran u članku 272. stavku 25. CRR-a.</w:t>
            </w:r>
            <w:r>
              <w:rPr>
                <w:rFonts w:ascii="Times New Roman" w:hAnsi="Times New Roman"/>
                <w:bCs/>
                <w:sz w:val="24"/>
                <w:szCs w:val="24"/>
              </w:rPr>
              <w:t xml:space="preserve"> </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Iznosi izloženosti koji su rezultat dodatnog tretmana za kreditne izvedenice – vrijednost izloženosti omjera financijske poluge</w:t>
            </w:r>
          </w:p>
          <w:p w14:paraId="1E879EE4" w14:textId="47270A39"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Ova rubrika odgovara razlici između {LRCalc;0130;0010} i {LRCalc;0140;0010} isključujući odgovarajuće </w:t>
            </w:r>
            <w:proofErr w:type="spellStart"/>
            <w:r>
              <w:rPr>
                <w:rFonts w:ascii="Times New Roman" w:hAnsi="Times New Roman"/>
                <w:bCs/>
                <w:sz w:val="24"/>
                <w:szCs w:val="24"/>
              </w:rPr>
              <w:t>unutargrupne</w:t>
            </w:r>
            <w:proofErr w:type="spellEnd"/>
            <w:r>
              <w:rPr>
                <w:rFonts w:ascii="Times New Roman" w:hAnsi="Times New Roman"/>
                <w:bCs/>
                <w:sz w:val="24"/>
                <w:szCs w:val="24"/>
              </w:rPr>
              <w:t xml:space="preserve"> izloženosti (pojedinačna osnova) izuzete u skladu s člankom 429.a stavkom 1. točkom (c)</w:t>
            </w:r>
            <w:r>
              <w:rPr>
                <w:rFonts w:ascii="Times New Roman" w:hAnsi="Times New Roman"/>
                <w:b/>
                <w:sz w:val="24"/>
                <w:szCs w:val="24"/>
              </w:rPr>
              <w:t xml:space="preserve"> </w:t>
            </w:r>
            <w:r>
              <w:rPr>
                <w:rFonts w:ascii="Times New Roman" w:hAnsi="Times New Roman"/>
                <w:bCs/>
                <w:sz w:val="24"/>
                <w:szCs w:val="24"/>
              </w:rPr>
              <w:t>CRR-a.</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szCs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Ostala imovina iz knjige trgovanja – vrijednost izloženosti omjera financijske poluge</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omjera financijske poluge za stavke iskazane u rubrici {LRCalc;0190;0010} isključujući stavke iz knjige pozicija kojima se ne trguje</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szCs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Ostala imovina iz knjige trgovanja – rizikom ponderirana imovina</w:t>
            </w:r>
          </w:p>
          <w:p w14:paraId="17C0B94C" w14:textId="5BB3815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Kapitalni zahtjevi pomnoženi sa 12,5 za stavke koje su predmet dijela trećeg glave IV. CRR-a</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Pokrivene obveznice – vrijednost izloženosti omjera financijske poluge – izloženosti u skladu sa standardiziranim pristupom</w:t>
            </w:r>
          </w:p>
          <w:p w14:paraId="7DABED3A" w14:textId="62C07F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Vrijednost izloženosti omjera financijske poluge za imovinu koju u skladu sa standardiziranim pristupom čine izloženosti u obliku pokrivenih obveznica iz članka 129. CRR-a </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Pokrivene obveznice – vrijednost izloženosti omjera financijske poluge – izloženosti u skladu s IRB pristupom</w:t>
            </w:r>
          </w:p>
          <w:p w14:paraId="31EFC20D" w14:textId="6E735E6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omjera financijske poluge za imovinu koju u skladu s IRB pristupom čine izloženosti u obliku pokrivenih obveznica iz članka 161. stavka 1. točke (d) CRR-a.</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iskazuju iznos bez izloženosti prema IRB pristupu koje su u statusu neispunjavanja obveza.</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Pokrivene obveznice – rizikom ponderirana imovina – izloženosti u skladu sa standardiziranim pristupom</w:t>
            </w:r>
          </w:p>
          <w:p w14:paraId="6C4B05A8" w14:textId="3CC6E09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Rizikom ponderiran iznos izloženosti za imovinu koju u skladu sa standardiziranim pristupom čine izloženosti u obliku pokrivenih obveznica iz članka 129. CRR-a</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Pokrivene obveznice – rizikom ponderirana imovina – izloženosti u skladu s IRB pristupom</w:t>
            </w:r>
          </w:p>
          <w:p w14:paraId="466ABC6A" w14:textId="52C506D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 iznos izloženosti za imovinu koju u skladu s IRB pristupom čine izloženosti u obliku pokrivenih obveznica iz članka 161. stavka 1. točke (d) CRR-a.</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iskazuju iznos bez izloženosti u skladu s IRB pristupom koje su u statusu neispunjavanja obveza.</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Izloženosti koje se tretiraju kao izloženosti prema državama – vrijednost izloženosti omjera financijske poluge – izloženosti u skladu sa standardiziranim pristupom</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Zbroj rubrika od {0100,0010} do {0130,0010}.</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Izloženosti koje se tretiraju kao izloženosti prema državama – vrijednost izloženosti omjera financijske poluge – izloženosti u skladu s IRB pristupom</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Zbroj rubrika od {0100,0020} do {0130,0020}.</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Izloženosti koje se tretiraju kao izloženosti prema državama – rizikom ponderirana imovina – izloženosti u skladu sa standardiziranim pristupom</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Zbroj rubrika od {0100,0030} do {0130,0030}.</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Izloženosti koje se tretiraju kao izloženosti prema državama – rizikom ponderirana imovina – izloženosti u skladu s IRB pristupom</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Zbroj rubrika od {0100,0040} do {0130,0040}.</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Institucije iskazuju iznos bez izloženosti u skladu s IRB pristupom koje su u statusu neispunjavanja obveza.</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Središnje države i središnje banke</w:t>
            </w:r>
            <w:r>
              <w:rPr>
                <w:rFonts w:ascii="Times New Roman" w:hAnsi="Times New Roman"/>
                <w:sz w:val="24"/>
                <w:szCs w:val="24"/>
              </w:rPr>
              <w:t xml:space="preserve"> </w:t>
            </w:r>
            <w:r>
              <w:rPr>
                <w:rFonts w:ascii="Times New Roman" w:hAnsi="Times New Roman"/>
                <w:b/>
                <w:sz w:val="24"/>
                <w:szCs w:val="24"/>
              </w:rPr>
              <w:t>– vrijednost izloženosti omjera financijske poluge – izloženosti u skladu sa standardiziranim pristupom</w:t>
            </w:r>
          </w:p>
          <w:p w14:paraId="6613A997" w14:textId="36083EA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omjera financijske poluge za imovinu koju u skladu sa standardiziranim pristupom čine izloženosti prema središnjim državama ili središnjim bankama iz članka 114. CRR-a</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Središnje države i središnje banke</w:t>
            </w:r>
            <w:r>
              <w:rPr>
                <w:rFonts w:ascii="Times New Roman" w:hAnsi="Times New Roman"/>
                <w:sz w:val="24"/>
                <w:szCs w:val="24"/>
              </w:rPr>
              <w:t xml:space="preserve"> </w:t>
            </w:r>
            <w:r>
              <w:rPr>
                <w:rFonts w:ascii="Times New Roman" w:hAnsi="Times New Roman"/>
                <w:b/>
                <w:sz w:val="24"/>
                <w:szCs w:val="24"/>
              </w:rPr>
              <w:t xml:space="preserve">– vrijednost izloženosti omjera financijske poluge – </w:t>
            </w:r>
            <w:r>
              <w:rPr>
                <w:rFonts w:ascii="Times New Roman" w:hAnsi="Times New Roman"/>
                <w:b/>
                <w:bCs/>
                <w:sz w:val="24"/>
                <w:szCs w:val="24"/>
              </w:rPr>
              <w:t>izloženosti u skladu s IRB pristupom</w:t>
            </w:r>
          </w:p>
          <w:p w14:paraId="517FD145" w14:textId="3633E71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Vrijednost izloženosti omjera financijske poluge za imovinu koju u skladu s IRB pristupom čine izloženosti prema središnjim državama ili središnjim bankama kako je definirano u članku 147. stavku 2. točki (a) CRR-a. </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iskazuju iznos bez izloženosti u skladu s IRB pristupom koje su u statusu neispunjavanja obveza.</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Središnje države i središnje banke</w:t>
            </w:r>
            <w:r>
              <w:rPr>
                <w:rFonts w:ascii="Times New Roman" w:hAnsi="Times New Roman"/>
                <w:sz w:val="24"/>
                <w:szCs w:val="24"/>
              </w:rPr>
              <w:t xml:space="preserve"> </w:t>
            </w:r>
            <w:r>
              <w:rPr>
                <w:rFonts w:ascii="Times New Roman" w:hAnsi="Times New Roman"/>
                <w:b/>
                <w:bCs/>
                <w:sz w:val="24"/>
                <w:szCs w:val="24"/>
              </w:rPr>
              <w:t>– rizikom ponderirana imovina – izloženosti u skladu sa standardiziranim pristupom</w:t>
            </w:r>
          </w:p>
          <w:p w14:paraId="1057171E" w14:textId="740337F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 iznos izloženosti za imovinu koju u skladu sa standardiziranim pristupom čine izloženosti prema središnjim državama ili središnjim bankama kako je definirano u članku 114. CRR-a</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Središnje države i središnje banke</w:t>
            </w:r>
            <w:r>
              <w:rPr>
                <w:rFonts w:ascii="Times New Roman" w:hAnsi="Times New Roman"/>
                <w:sz w:val="24"/>
                <w:szCs w:val="24"/>
              </w:rPr>
              <w:t xml:space="preserve"> </w:t>
            </w:r>
            <w:r>
              <w:rPr>
                <w:rFonts w:ascii="Times New Roman" w:hAnsi="Times New Roman"/>
                <w:b/>
                <w:bCs/>
                <w:sz w:val="24"/>
                <w:szCs w:val="24"/>
              </w:rPr>
              <w:t>– rizikom ponderirana imovina – izloženosti u skladu s IRB pristupom</w:t>
            </w:r>
          </w:p>
          <w:p w14:paraId="47A75B9C" w14:textId="3A875AB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 iznos izloženosti za imovinu koju u skladu s IRB pristupom čine izloženosti prema središnjim državama ili središnjim bankama iz članka 147. stavka 2. točke (a) CRR-a.</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Jedinice područne (regionalne) i lokalne samouprave koje se tretiraju kao države – vrijednost izloženosti omjera financijske poluge – izloženosti u skladu sa standardiziranim pristupom</w:t>
            </w:r>
          </w:p>
          <w:p w14:paraId="5294E5EC" w14:textId="0D23B6C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Vrijednost izloženosti omjera financijske poluge za imovinu koju u skladu sa standardiziranim pristupom čine izloženosti prema jedinicama područne </w:t>
            </w:r>
            <w:r>
              <w:rPr>
                <w:rFonts w:ascii="Times New Roman" w:hAnsi="Times New Roman"/>
                <w:bCs/>
                <w:sz w:val="24"/>
                <w:szCs w:val="24"/>
              </w:rPr>
              <w:lastRenderedPageBreak/>
              <w:t>(regionalne) i lokalne samouprave koje se tretiraju kao države iz članka 115. stavaka 2. i 4. CRR-a</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Jedinice područne (regionalne) i lokalne samouprave koje se tretiraju kao države – vrijednost izloženosti omjera financijske poluge – izloženosti u skladu s IRB pristupom</w:t>
            </w:r>
          </w:p>
          <w:p w14:paraId="02346C27" w14:textId="72E28F6E"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Vrijednost izloženosti omjera financijske poluge za imovinu koju u skladu s IRB pristupom čine izloženosti prema jedinicama područne (regionalne) i lokalne samouprave iz članka 147. stavka 3. točke (a) CRR-a.</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Jedinice područne (regionalne) i lokalne samouprave koje se tretiraju kao države – rizikom ponderirana imovina – izloženosti u skladu sa standardiziranim pristupom</w:t>
            </w:r>
          </w:p>
          <w:p w14:paraId="38C283FD" w14:textId="7A1B88C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 iznos izloženosti za imovinu koju u skladu sa standardiziranim pristupom čine izloženosti prema jedinicama područne (regionalne) i lokalne samouprave koje se tretiraju kao države iz članka 115. stavaka 2. i 4. CRR-a</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Jedinice područne (regionalne) i lokalne samouprave koje se tretiraju kao države – rizikom ponderirana imovina – izloženosti u skladu s IRB pristupom</w:t>
            </w:r>
          </w:p>
          <w:p w14:paraId="099D799F" w14:textId="7F8E67A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Rizikom ponderiran iznos izloženosti za imovinu koju u skladu s IRB pristupom čine izloženosti prema jedinicama područne (regionalne) i lokalne samouprave iz članka 147. stavka 3. točke (a) CRR-a. </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Multilateralne razvojne banke i međunarodne organizacije koje se tretiraju kao države – vrijednost izloženosti omjera financijske poluge – izloženosti u skladu sa standardiziranim pristupom</w:t>
            </w:r>
          </w:p>
          <w:p w14:paraId="595E0D3B" w14:textId="420681E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Vrijednost izloženosti omjera financijske poluge za imovinu koju u skladu sa standardiziranim pristupom čine izloženosti prema multilateralnim razvojnim bankama i međunarodnim organizacijama iz članka 117. stavka 2. i članka 118. CRR-a </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Institucije iskazuju iznos bez izloženosti u skladu sa standardiziranim pristupom koje su u statusu neispunjavanja obveza.</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Multilateralne razvojne banke i međunarodne organizacije koje se tretiraju kao države – vrijednost izloženosti omjera financijske poluge – izloženosti u skladu s IRB pristupom</w:t>
            </w:r>
          </w:p>
          <w:p w14:paraId="3802319A" w14:textId="10E8D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omjera financijske poluge za imovinu koju u skladu s IRB pristupom čine izloženosti prema multilateralnim razvojnim bankama i međunarodnim organizacijama iz članka 147. stavka 3. točaka (b) i (c) CRR-a.</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iskazuju iznos bez izloženosti u skladu s IRB pristupom koje su u statusu neispunjavanja obveza.</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Multilateralne razvojne banke i međunarodne organizacije koje se tretiraju kao države – rizikom ponderirana imovina – izloženosti u skladu sa standardiziranim pristupom</w:t>
            </w:r>
          </w:p>
          <w:p w14:paraId="37FB9B14" w14:textId="233BD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ponderirani iznos izloženosti za imovinu koju u skladu sa standardiziranim pristupom čine izloženosti prema multilateralnim razvojnim bankama i međunarodnim organizacijama iz članka 117. stavka 2. i članka 118. CRR-a</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Multilateralne razvojne banke i međunarodne organizacije koje se tretiraju kao države – rizikom ponderirana imovina – izloženosti u skladu s IRB pristupom</w:t>
            </w:r>
          </w:p>
          <w:p w14:paraId="0A7C504F" w14:textId="187907F2"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 iznos izloženosti za imovinu koju u skladu s IRB pristupom čine izloženosti prema multilateralnim razvojnim bankama i međunarodnim organizacijama iz članka 147. stavka 3. točaka (b) i (c) CRR-a.</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iskazuju iznos bez izloženosti u skladu s IRB pristupom koje su u statusu neispunjavanja obveza.</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Subjekti javnog sektora koji se tretiraju kao države – vrijednost izloženosti omjera financijske poluge – izloženosti u skladu sa standardiziranim pristupom</w:t>
            </w:r>
          </w:p>
          <w:p w14:paraId="7D8203A3" w14:textId="0242016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omjera financijske poluge za imovinu koju u skladu sa standardiziranim pristupom čine izloženosti prema subjektima javnog sektora iz članka 116. stavka 4. CRR-a</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Subjekti javnog sektora koji se tretiraju kao države – vrijednost izloženosti omjera financijske poluge – izloženosti u skladu s IRB pristupom</w:t>
            </w:r>
          </w:p>
          <w:p w14:paraId="6B0B91A7" w14:textId="4AEF21C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Iznos izloženosti omjera financijske poluge za imovinu koju u skladu s IRB pristupom čine izloženosti prema subjektima javnog sektora iz članka 147. stavka 3. točke (a) CRR-a.</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iskazuju iznos bez izloženosti u skladu s IRB pristupom koje su u statusu neispunjavanja obveza.</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Subjekti javnog sektora koji se tretiraju kao države – rizikom ponderirana imovina – izloženosti u skladu sa standardiziranim pristupom</w:t>
            </w:r>
          </w:p>
          <w:p w14:paraId="53A6C1B8" w14:textId="65E5ABE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 iznos izloženosti za imovinu koju u skladu sa standardiziranim pristupom čine izloženosti prema subjektima javnog sektora iz članka 116. stavka 4. CRR-a</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Subjekti javnog sektora koji se tretiraju kao države – rizikom ponderirana imovina – izloženosti u skladu s IRB pristupom</w:t>
            </w:r>
          </w:p>
          <w:p w14:paraId="0EAECD4A" w14:textId="08F6B311"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 iznos izloženosti za imovinu koju u skladu s IRB pristupom čine izloženosti prema subjektima javnog sektora iz članka 147. stavka 3. točke (a) CRR-a.</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Izloženosti prema jedinicama područne (regionalne) samouprave, multilateralnim razvojnim bankama, međunarodnim organizacijama i subjektima javnog sektora koji se ne tretiraju kao države – vrijednost izloženosti omjera financijske poluge – izloženosti u skladu sa standardiziranim pristupom</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Zbroj rubrika od </w:t>
            </w:r>
            <w:r>
              <w:rPr>
                <w:rFonts w:ascii="Times New Roman" w:hAnsi="Times New Roman"/>
                <w:bCs/>
                <w:sz w:val="24"/>
                <w:szCs w:val="24"/>
              </w:rPr>
              <w:t>{0150,0010} do {0170,0010}.</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Izloženosti prema jedinicama područne (regionalne) samouprave, multilateralnim razvojnim bankama, međunarodnim organizacijama i subjektima javnog sektora koji se ne tretiraju kao države – vrijednost izloženosti omjera financijske poluge – izloženosti u skladu s IRB pristupom</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Zbroj rubrika od </w:t>
            </w:r>
            <w:r>
              <w:rPr>
                <w:rFonts w:ascii="Times New Roman" w:hAnsi="Times New Roman"/>
                <w:bCs/>
                <w:sz w:val="24"/>
                <w:szCs w:val="24"/>
              </w:rPr>
              <w:t>{0150,0020} do {0170,0020}.</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Institucije iskazuju iznos bez izloženosti u skladu s IRB pristupom koje su u statusu neispunjavanja obveza.</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Izloženosti prema jedinicama područne (regionalne) samouprave, multilateralnim razvojnim bankama, međunarodnim organizacijama i subjektima javnog sektora koji se ne tretiraju kao države – rizikom ponderirana imovina – izloženosti u skladu sa standardiziranim pristupom</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Zbroj rubrika od </w:t>
            </w:r>
            <w:r>
              <w:rPr>
                <w:rFonts w:ascii="Times New Roman" w:hAnsi="Times New Roman"/>
                <w:bCs/>
                <w:sz w:val="24"/>
                <w:szCs w:val="24"/>
              </w:rPr>
              <w:t>{0150,0030} do {0170,0030}.</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Izloženosti prema jedinicama područne (regionalne) samouprave, multilateralnim razvojnim bankama, međunarodnim organizacijama i subjektima javnog sektora koji se ne tretiraju kao države – rizikom ponderirana imovina – izloženosti u skladu s IRB pristupom</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Zbroj rubrika od </w:t>
            </w:r>
            <w:r>
              <w:rPr>
                <w:rFonts w:ascii="Times New Roman" w:hAnsi="Times New Roman"/>
                <w:bCs/>
                <w:sz w:val="24"/>
                <w:szCs w:val="24"/>
              </w:rPr>
              <w:t>{0150,0040} do {0170,0040}.</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iskazuju iznos bez izloženosti u skladu s IRB pristupom koje su u statusu neispunjavanja obveza.</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Jedinice područne (regionalne) i lokalne samouprave koje se ne tretiraju kao države – vrijednost izloženosti omjera financijske poluge – izloženosti u skladu sa standardiziranim pristupom</w:t>
            </w:r>
          </w:p>
          <w:p w14:paraId="5997608A" w14:textId="4001C2D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omjera financijske poluge za imovinu koju u skladu sa standardiziranim pristupom čine izloženosti prema jedinicama područne (regionalne) i lokalne samouprave koje se ne tretiraju kao države iz članka 115. stavaka 1., 3. i 5. CRR-a</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Jedinice područne (regionalne) i lokalne samouprave koje se ne tretiraju kao države – vrijednost izloženosti omjera financijske poluge – izloženosti u skladu s IRB pristupom</w:t>
            </w:r>
          </w:p>
          <w:p w14:paraId="05330C07" w14:textId="0B2863D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omjera financijske poluge za imovinu koju u skladu s IRB pristupom čine izloženosti prema jedinicama područne (regionalne) i lokalne samouprave koje se ne tretiraju kao države iz članka 147. stavka 4. točke (a) CRR-a.</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Institucije iskazuju iznos bez izloženosti u skladu s IRB pristupom koje su u statusu neispunjavanja obveza.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Jedinice područne (regionalne) i lokalne samouprave koje se ne tretiraju kao države – rizikom ponderirana imovina – izloženosti u skladu sa standardiziranim pristupom</w:t>
            </w:r>
            <w:r>
              <w:rPr>
                <w:rFonts w:ascii="Times New Roman" w:hAnsi="Times New Roman"/>
                <w:b/>
                <w:bCs/>
                <w:sz w:val="24"/>
                <w:szCs w:val="24"/>
              </w:rPr>
              <w:t xml:space="preserve"> </w:t>
            </w:r>
          </w:p>
          <w:p w14:paraId="0C1281BF" w14:textId="0A0E4AF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 iznos izloženosti za imovinu koju u skladu sa standardiziranim pristupom čine izloženosti prema jedinicama područne (regionalne) i lokalne samouprave koje se ne tretiraju kao države iz članka 115. stavaka 1., 3. i 5. CRR-a</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Jedinice područne (regionalne) i lokalne samouprave koje se ne tretiraju kao države – rizikom ponderirana imovina – izloženosti u skladu s IRB pristupom</w:t>
            </w:r>
          </w:p>
          <w:p w14:paraId="51863919" w14:textId="7CF5F65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 iznos izloženosti za imovinu koju u skladu s IRB pristupom čine izloženosti prema jedinicama područne (regionalne) i lokalne samouprave koje se ne tretiraju kao države iz članka 147. stavka 4. točke (a) CRR-a</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Multilateralne razvojne banke koje se ne tretiraju kao države – vrijednost izloženosti omjera financijske poluge – izloženosti u skladu sa standardiziranim pristupom</w:t>
            </w:r>
          </w:p>
          <w:p w14:paraId="07928584" w14:textId="7FC9EDB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Vrijednost izloženosti omjera financijske poluge za imovinu koju u skladu sa standardiziranim pristupom čine izloženosti prema multilateralnim razvojnim bankama iz članka 117. stavaka 1. i 3. CRR-a </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Multilateralne razvojne banke koje se ne tretiraju kao države – vrijednost izloženosti omjera financijske poluge – izloženosti u skladu s IRB pristupom</w:t>
            </w:r>
          </w:p>
          <w:p w14:paraId="6D2C0352" w14:textId="0C246E5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omjera financijske poluge za imovinu koju u skladu s IRB pristupom čine izloženosti prema multilateralnim razvojnim bankama koje se ne tretiraju kao države iz članka 147. stavka 4. točke (c) CRR-a.</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Multilateralne razvojne banke koje se ne tretiraju kao države – rizikom ponderirana imovina – izloženosti u skladu sa standardiziranim pristupom</w:t>
            </w:r>
          </w:p>
          <w:p w14:paraId="4B127308" w14:textId="6CA9C60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Rizikom ponderiran iznos izloženosti za imovinu koju u skladu sa standardiziranim pristupom čine izloženosti prema multilateralnim razvojnim bankama iz članka 117. stavaka 1. i 3. CRR-a</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Multilateralne razvojne banke koje se ne tretiraju kao države – rizikom ponderirana imovina – izloženosti u skladu s IRB pristupom</w:t>
            </w:r>
          </w:p>
          <w:p w14:paraId="466ECD88" w14:textId="015D345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 iznos izloženosti za imovinu koju u skladu s IRB pristupom čine izloženosti prema multilateralnim razvojnim bankama koje se ne tretiraju kao države iz članka 147. stavka 4. točke (c) CRR-a.</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Subjekti javnog sektora koji se ne tretiraju kao države – vrijednost izloženosti omjera financijske poluge – izloženosti u skladu sa standardiziranim pristupom</w:t>
            </w:r>
          </w:p>
          <w:p w14:paraId="3FF6AAF1" w14:textId="6320BCE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omjera financijske poluge za imovinu koju u skladu sa standardiziranim pristupom čine izloženosti prema subjektima javnog sektora iz članka 116. stavaka 1., 2., 3. i 5. CRR-a</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Subjekti javnog sektora koji se ne tretiraju kao države – vrijednost izloženosti omjera financijske poluge – izloženosti u skladu s IRB pristupom</w:t>
            </w:r>
          </w:p>
          <w:p w14:paraId="19C4FD72" w14:textId="6575CEA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omjera financijske poluge za imovinu koju u skladu s IRB pristupom čine izloženosti prema subjektima javnog sektora koji se ne tretiraju kao države iz članka 147. stavka 4. točke (b) CRR-a.</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Subjekti javnog sektora koji se ne tretiraju kao države – Rizikom ponderirana imovina – izloženosti u skladu sa standardiziranim pristupom</w:t>
            </w:r>
          </w:p>
          <w:p w14:paraId="7ED0D977" w14:textId="5892676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Rizikom ponderiran iznos izloženosti za imovinu koju u skladu sa standardiziranim pristupom čine izloženosti prema subjektima javnog sektora iz članka 116. stavaka 1., 2., 3. i 5. CRR-a </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Subjekti javnog sektora koji se ne tretiraju kao države – rizikom ponderirana imovina – izloženosti u skladu s IRB pristupom</w:t>
            </w:r>
          </w:p>
          <w:p w14:paraId="3B167735" w14:textId="1C46124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Rizikom ponderiran iznos izloženosti za imovinu koju u skladu s IRB pristupom čine izloženosti prema subjektima javnog sektora koji se ne tretiraju kao države iz članka 147. stavka 4. točke (b) CRR-a. </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Institucije – vrijednost izloženosti omjera financijske poluge – izloženosti u skladu sa standardiziranim pristupom</w:t>
            </w:r>
          </w:p>
          <w:p w14:paraId="285DE0DE" w14:textId="62C2181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omjera financijske poluge za imovinu koju u skladu sa standardiziranim pristupom čine izloženosti prema institucijama iz članaka od 119. do 121. CRR-a</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Institucije</w:t>
            </w:r>
            <w:r>
              <w:rPr>
                <w:rFonts w:ascii="Times New Roman" w:hAnsi="Times New Roman"/>
                <w:bCs/>
                <w:sz w:val="24"/>
                <w:szCs w:val="24"/>
              </w:rPr>
              <w:t xml:space="preserve"> </w:t>
            </w:r>
            <w:r>
              <w:rPr>
                <w:rFonts w:ascii="Times New Roman" w:hAnsi="Times New Roman"/>
                <w:sz w:val="24"/>
                <w:szCs w:val="24"/>
              </w:rPr>
              <w:t xml:space="preserve">– </w:t>
            </w:r>
            <w:r>
              <w:rPr>
                <w:rFonts w:ascii="Times New Roman" w:hAnsi="Times New Roman"/>
                <w:b/>
                <w:bCs/>
                <w:sz w:val="24"/>
                <w:szCs w:val="24"/>
              </w:rPr>
              <w:t>vrijednost izloženosti omjera financijske poluge – izloženosti u skladu s IRB pristupom</w:t>
            </w:r>
          </w:p>
          <w:p w14:paraId="50027CF2" w14:textId="0739D51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Vrijednost izloženosti omjera financijske poluge za imovinu koju u skladu s IRB pristupom čine izloženosti prema institucijama iz članka 147. stavka 2. točke (b) CRR-a i nisu izloženosti u obliku pokrivenih obveznica u skladu s člankom 161. točkom (d) CRR-a i nisu obuhvaćene člankom 147. stavkom 4. točkama (a) do (c) CRR-a.</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Institucije – rizikom ponderirana imovina – izloženosti u skladu sa standardiziranim pristupom</w:t>
            </w:r>
          </w:p>
          <w:p w14:paraId="7CE29C3B" w14:textId="1E06788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 iznos izloženosti za imovinu koju u skladu sa standardiziranim pristupom čine izloženosti prema institucijama iz članaka od 119. do 121. CRR-a</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Institucije – rizikom ponderirana imovina – izloženosti u skladu s IRB pristupom</w:t>
            </w:r>
          </w:p>
          <w:p w14:paraId="5E814575" w14:textId="1984B0A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Rizikom ponderiran iznos izloženosti za imovinu koju u skladu s IRB pristupom čine izloženosti prema institucijama iz članka 147. stavka 2. točke (b) CRR-a i nisu izloženosti u obliku pokrivenih obveznica u skladu s člankom 161. stavkom 1. točkom (d) CRR-a i nisu obuhvaćene člankom 147. stavkom 4. točkama od (a) do (c) CRR-a.</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Institucije iskazuju iznos bez izloženosti u skladu s IRB pristupom koje su u statusu neispunjavanja obveza.</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{0190;0010}</w:t>
            </w:r>
          </w:p>
        </w:tc>
        <w:tc>
          <w:tcPr>
            <w:tcW w:w="7406" w:type="dxa"/>
            <w:shd w:val="clear" w:color="auto" w:fill="FFFFFF"/>
          </w:tcPr>
          <w:p w14:paraId="1DB57456" w14:textId="040805E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Osigurano stambenim nekretninama – vrijednost izloženosti omjera financijske poluge – izloženosti u skladu sa standardiziranim pristupom</w:t>
            </w:r>
          </w:p>
          <w:p w14:paraId="17D67F5E" w14:textId="42D832F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omjera financijske poluge za imovinu koju u skladu sa standardiziranim pristupom čine izloženosti osigurane nekretninama iz članka 124. CRR-a</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{0190;0020}</w:t>
            </w:r>
          </w:p>
        </w:tc>
        <w:tc>
          <w:tcPr>
            <w:tcW w:w="7406" w:type="dxa"/>
            <w:shd w:val="clear" w:color="auto" w:fill="FFFFFF"/>
          </w:tcPr>
          <w:p w14:paraId="65802FBC" w14:textId="6422ED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Osigurano stambenim nekretninama – vrijednost izloženosti omjera financijske poluge – izloženosti u skladu s IRB pristupom</w:t>
            </w:r>
          </w:p>
          <w:p w14:paraId="763AB99D" w14:textId="2AFA915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omjera financijske poluge za imovinu koju u skladu s IRB pristupom čine izloženosti prema trgovačkim društvima u skladu s člankom 147. stavkom 2. točkom (c) ili izloženosti prema stanovništvu u skladu s člankom 147. stavkom 2. točkom (d) CRR-a ako su te izloženosti osigurane nekretninama u skladu s člankom 199. stavkom 1. točkom (a) CRR-a.</w:t>
            </w:r>
          </w:p>
          <w:p w14:paraId="1A4EAAD1" w14:textId="69A57E6E"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iskazuju iznos bez izloženosti u skladu s IRB pristupom koje su u statusu neispunjavanja obveza.</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{0190;0030}</w:t>
            </w:r>
          </w:p>
        </w:tc>
        <w:tc>
          <w:tcPr>
            <w:tcW w:w="7406" w:type="dxa"/>
            <w:shd w:val="clear" w:color="auto" w:fill="FFFFFF"/>
          </w:tcPr>
          <w:p w14:paraId="660D9FEE" w14:textId="0CF0300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Osigurano stambenim nekretninama – rizikom ponderirana imovina – izloženosti u skladu sa standardiziranim pristupom</w:t>
            </w:r>
          </w:p>
          <w:p w14:paraId="7FD54199" w14:textId="756F763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Rizikom ponderiran iznos izloženosti za imovinu koju u skladu sa standardiziranim pristupom čine izloženosti osigurane nekretninama iz članka 124. CRR-a</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{0190;0040}</w:t>
            </w:r>
          </w:p>
        </w:tc>
        <w:tc>
          <w:tcPr>
            <w:tcW w:w="7406" w:type="dxa"/>
            <w:shd w:val="clear" w:color="auto" w:fill="FFFFFF"/>
          </w:tcPr>
          <w:p w14:paraId="2A67D4CA" w14:textId="4683836A"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bCs/>
                <w:sz w:val="24"/>
                <w:szCs w:val="24"/>
              </w:rPr>
              <w:t>Osigurano stambenim nekretninama – rizikom ponderirana imovina – izloženosti u skladu s IRB pristupom</w:t>
            </w:r>
            <w:r>
              <w:tab/>
            </w:r>
          </w:p>
          <w:p w14:paraId="7F2995F6" w14:textId="2D0985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 iznos izloženosti za imovinu koju u skladu s IRB pristupom čine izloženosti prema trgovačkim društvima u skladu s člankom 147. stavkom 2. točkom (c) ili izloženosti prema stanovništvu u skladu s člankom 147. stavkom 2. točkom (d) CRR-a ako su te izloženosti osigurane nekretninama u skladu s člankom 199. stavkom 1. točkom (a) CRR-a.</w:t>
            </w:r>
          </w:p>
          <w:p w14:paraId="7586DF94" w14:textId="6150818F"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 čega: </w:t>
            </w:r>
            <w:r>
              <w:rPr>
                <w:rFonts w:ascii="Times New Roman" w:hAnsi="Times New Roman"/>
                <w:b/>
                <w:sz w:val="24"/>
                <w:szCs w:val="24"/>
              </w:rPr>
              <w:t>Osigurano stambenim nekretninama – vrijednost izloženosti omjera financijske poluge – izloženosti u skladu sa standardiziranim pristupom</w:t>
            </w:r>
          </w:p>
          <w:p w14:paraId="6D68CB80" w14:textId="68873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omjera financijske poluge za imovinu koju u skladu sa standardiziranim pristupom čine izloženosti osigurane stambenim nekretninama iz članka 125. CRR-a</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od čega: </w:t>
            </w:r>
            <w:r>
              <w:rPr>
                <w:rFonts w:ascii="Times New Roman" w:hAnsi="Times New Roman"/>
                <w:b/>
                <w:sz w:val="24"/>
                <w:szCs w:val="24"/>
              </w:rPr>
              <w:t>Osigurano stambenim nekretninama – vrijednost izloženosti omjera financijske poluge – izloženosti u skladu s IRB pristupom</w:t>
            </w:r>
          </w:p>
          <w:p w14:paraId="225F5A50" w14:textId="6EDFF0D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omjera financijske poluge za imovinu koju u skladu s IRB pristupom čine izloženosti prema trgovačkim društvima u skladu s člankom 147. stavkom 2. točkom (c) ili izloženosti prema stanovništvu u skladu s člankom 147. stavkom 2. točkom (d) CRR-a ako su te izloženosti osigurane stambenim nekretninama u skladu s člankom 199. stavkom 1. točkom (a) CRR-a.</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od čega: Osigurano stambenim nekretninama – rizikom ponderirana imovina – izloženosti u skladu sa standardiziranim pristupom</w:t>
            </w:r>
          </w:p>
          <w:p w14:paraId="2432C156" w14:textId="0D53087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 iznos izloženosti za imovinu koju u skladu sa standardiziranim pristupom čine izloženosti koje su u cijelosti i potpuno osigurane stambenim nekretninama iz članka 125. CRR-a</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od čega: Osigurano stambenim nekretninama – rizikom ponderirana imovina – izloženosti u skladu s IRB pristupom</w:t>
            </w:r>
          </w:p>
          <w:p w14:paraId="17020383" w14:textId="17A53C3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 iznos izloženosti za imovinu koju u skladu s IRB pristupom čine izloženosti prema trgovačkim društvima u skladu s člankom 147. stavkom 2. točkom (c) ili izloženosti prema stanovništvu u skladu s člankom 147. stavkom 2. točkom (d) CRR-a ako su te izloženosti osigurane stambenim nekretninama u skladu s člankom 199. stavkom 1. točkom (a) CRR-a.</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Izloženosti prema stanovništvu – vrijednost izloženosti omjera financijske poluge – izloženosti u skladu sa standardiziranim pristupom</w:t>
            </w:r>
          </w:p>
          <w:p w14:paraId="1C50F3CF" w14:textId="3904223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Vrijednost izloženosti omjera financijske poluge za imovinu koju u skladu sa standardiziranim pristupom čine izloženosti prema stanovništvu iz članka 123. CRR-a</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Izloženosti prema stanovništvu – vrijednost izloženosti omjera financijske poluge – izloženosti u skladu s IRB pristupom</w:t>
            </w:r>
          </w:p>
          <w:p w14:paraId="2F48B2D6" w14:textId="34AA586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Vrijednost izloženosti omjera financijske poluge za imovinu koju u skladu s IRB pristupom čine izloženosti prema stanovništvu u skladu s člankom 147. stavkom 2. točkom (d) CRR-a ako te izloženosti nisu osigurane nekretninama u skladu s člankom 199. stavkom 1. točkom (a) CRR-a</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iskazuju iznos bez izloženosti u skladu s IRB pristupom koje su u statusu neispunjavanja obveza.</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Izloženosti prema stanovništvu – rizikom ponderirana imovina – izloženosti u skladu sa standardiziranim pristupom</w:t>
            </w:r>
          </w:p>
          <w:p w14:paraId="078B0D1B" w14:textId="61CD554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 iznos izloženosti za imovinu koju u skladu sa standardiziranim pristupom čine izloženosti prema stanovništvu iz članka 123. CRR-a</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Izloženosti prema stanovništvu – rizikom ponderirana imovina – izloženosti u skladu s IRB pristupom</w:t>
            </w:r>
          </w:p>
          <w:p w14:paraId="270C61EF" w14:textId="1F86C8D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Rizikom ponderiran iznos izloženosti za imovinu koju u skladu s IRB pristupom čine izloženosti prema stanovništvu u skladu s člankom 147. stavkom 2. točkom (d) CRR-a ako te izloženosti nisu osigurane nekretninama u skladu s člankom 199. stavkom 1. točkom (a) CRR-a</w:t>
            </w:r>
            <w:r>
              <w:rPr>
                <w:rFonts w:ascii="Times New Roman" w:hAnsi="Times New Roman"/>
                <w:bCs/>
                <w:sz w:val="24"/>
                <w:szCs w:val="24"/>
              </w:rPr>
              <w:t xml:space="preserve"> </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od čega: </w:t>
            </w:r>
            <w:r>
              <w:rPr>
                <w:rFonts w:ascii="Times New Roman" w:hAnsi="Times New Roman"/>
                <w:b/>
                <w:sz w:val="24"/>
                <w:szCs w:val="24"/>
              </w:rPr>
              <w:t>Izloženosti prema MSP-ovima iz kategorije izloženosti prema stanovništvu – vrijednost izloženosti omjera financijske poluge – izloženosti u skladu sa standardiziranim pristupom</w:t>
            </w:r>
          </w:p>
          <w:p w14:paraId="30054418" w14:textId="0ACC7E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omjera financijske poluge za imovinu koju u skladu sa standardiziranim pristupom čine izloženosti prema malim i srednjim poduzećima iz članka 123. CRR-a</w:t>
            </w:r>
          </w:p>
          <w:p w14:paraId="55120FDB" w14:textId="4D9F9464"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Za potrebe ove rubrike izraz „malo i srednje poduzeće” definira se u skladu s člankom 501. stavkom 2. točkom (b) CRR-a.</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Institucije iskazuju iznos bez izloženosti u skladu sa standardiziranim pristupom koje su u statusu neispunjavanja obveza.</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 čega: </w:t>
            </w:r>
            <w:r>
              <w:rPr>
                <w:rFonts w:ascii="Times New Roman" w:hAnsi="Times New Roman"/>
                <w:b/>
                <w:sz w:val="24"/>
                <w:szCs w:val="24"/>
              </w:rPr>
              <w:t>Izloženosti prema MSP-ovima iz kategorije izloženosti prema stanovništvu – vrijednost izloženosti omjera financijske poluge – izloženosti u skladu s IRB pristupom</w:t>
            </w:r>
          </w:p>
          <w:p w14:paraId="781E0C73" w14:textId="2963C04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Vrijednost izloženosti omjera financijske poluge za imovinu koju u skladu s IRB pristupom čine izloženosti prema stanovništvu u skladu s člankom 147. stavkom 2. točkom (d) CRR-a ako su to izloženosti prema malim i srednjim poduzećima i ako nisu osigurane nekretninama u skladu s člankom 199. stavkom 1. točkom (a) CRR-a</w:t>
            </w:r>
            <w:r>
              <w:rPr>
                <w:rFonts w:ascii="Times New Roman" w:hAnsi="Times New Roman"/>
                <w:bCs/>
                <w:sz w:val="24"/>
                <w:szCs w:val="24"/>
              </w:rPr>
              <w:t xml:space="preserve"> </w:t>
            </w:r>
          </w:p>
          <w:p w14:paraId="33D07FA1" w14:textId="2ECC7D0E"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Za potrebe ove rubrike izraz „malo i srednje poduzeće” definira se u skladu s člankom 501. stavkom 2. točkom (b) CRR-a.</w:t>
            </w:r>
          </w:p>
          <w:p w14:paraId="04884D64" w14:textId="75E640A6"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ne uključujući izloženosti u skladu s IRB pristupom koje su u statusu neispunjavanja obveza.</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od čega: Izloženosti prema MSP-ovima iz kategorije izloženosti prema stanovništvu – rizikom ponderirana imovina – izloženosti u skladu sa standardiziranim pristupom</w:t>
            </w:r>
          </w:p>
          <w:p w14:paraId="6A3FD743" w14:textId="644522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 iznos izloženosti za imovinu koju u skladu sa standardiziranim pristupom čine izloženosti prema malim i srednjim poduzećima iz članka 123. CRR-a</w:t>
            </w:r>
          </w:p>
          <w:p w14:paraId="550AD4D7" w14:textId="58216A19"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Za potrebe ove rubrike izraz „malo i srednje poduzeće” definira se u skladu s člankom 501. stavkom 2. točkom (b) CRR-a.</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od čega: Izloženosti prema MSP-ovima iz kategorije izloženosti prema stanovništvu – rizikom ponderirana imovina – izloženosti u skladu s IRB pristupom</w:t>
            </w:r>
          </w:p>
          <w:p w14:paraId="4092922E" w14:textId="5A98FDA8"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Rizikom ponderiran iznos izloženosti za imovinu koju u skladu s IRB pristupom čine izloženosti prema stanovništvu u skladu s člankom 147. stavkom 2. točkom (d) CRR-a ako su to izloženosti prema malim i srednjim poduzećima i ako nisu osigurane nekretninama u skladu s člankom 199. stavkom 1. točkom (a) CRR-a.</w:t>
            </w:r>
          </w:p>
          <w:p w14:paraId="51FEC3D4" w14:textId="740F3816"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Za potrebe ove rubrike izraz „malo i srednje poduzeće” definira se u skladu s člankom 501. stavkom 2. točkom (b) CRR-a.</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Institucije – vrijednost izloženosti omjera financijske poluge – izloženosti u skladu sa standardiziranim pristupom</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Zbroj rubrika </w:t>
            </w:r>
            <w:r>
              <w:rPr>
                <w:rFonts w:ascii="Times New Roman" w:hAnsi="Times New Roman"/>
                <w:bCs/>
                <w:sz w:val="24"/>
                <w:szCs w:val="24"/>
              </w:rPr>
              <w:t>{0240,0010} i {0250,0010}.</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Institucije iskazuju iznos bez izloženosti u skladu sa standardiziranim pristupom koje su u statusu neispunjavanja obveza.</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Institucije – vrijednost izloženosti omjera financijske poluge – izloženosti u skladu s IRB pristupom</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Zbroj rubrika </w:t>
            </w:r>
            <w:r>
              <w:rPr>
                <w:rFonts w:ascii="Times New Roman" w:hAnsi="Times New Roman"/>
                <w:bCs/>
                <w:sz w:val="24"/>
                <w:szCs w:val="24"/>
              </w:rPr>
              <w:t>{0240,0020} i {0250,0020}.</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Trgovačka društva – rizikom ponderirana imovina – izloženosti u skladu sa standardiziranim pristupom</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Zbroj rubrika </w:t>
            </w:r>
            <w:r>
              <w:rPr>
                <w:rFonts w:ascii="Times New Roman" w:hAnsi="Times New Roman"/>
                <w:bCs/>
                <w:sz w:val="24"/>
                <w:szCs w:val="24"/>
              </w:rPr>
              <w:t>{0240,0030} i {0250,0030}.</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Trgovačka društva – rizikom ponderirana imovina – izloženosti u skladu s IRB pristupom</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Zbroj rubrika </w:t>
            </w:r>
            <w:r>
              <w:rPr>
                <w:rFonts w:ascii="Times New Roman" w:hAnsi="Times New Roman"/>
                <w:bCs/>
                <w:sz w:val="24"/>
                <w:szCs w:val="24"/>
              </w:rPr>
              <w:t>{0240,0040} i {0250,0040}.</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Financijska trgovačka društva – vrijednost izloženosti omjera financijske poluge – izloženosti u skladu sa standardiziranim pristupom</w:t>
            </w:r>
          </w:p>
          <w:p w14:paraId="7CAB4F9A" w14:textId="3AFB92C6"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omjera financijske poluge za imovinu koju u skladu sa standardiziranim pristupom čine izloženosti prema financijskim trgovačkim društvima iz članka 122. CRR-a</w:t>
            </w:r>
          </w:p>
          <w:p w14:paraId="48ACEE9F" w14:textId="4298D835"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Za potrebe izvješćivanja u obrascu LR4 financijska trgovačka društva znači regulirana i neregulirana društva, osim institucija iz {0180;0010}, čija je glavna djelatnost stjecanje udjela ili obavljanje jedne ili više djelatnosti navedenih u Prilogu I. Direktivi 2013/36/EU, kao i društva definirana u članku 4. stavku 1. točki 27. CRR-a, osim institucija iz rubrike {0180;0010}.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Financijska trgovačka društva – vrijednost izloženosti omjera financijske poluge – izloženosti u skladu s IRB pristupom</w:t>
            </w:r>
          </w:p>
          <w:p w14:paraId="058EB000" w14:textId="40B3155C"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Vrijednost izloženosti omjera financijske poluge za imovinu koju u skladu s IRB pristupom čine izloženosti prema financijskim trgovačkim društvima u skladu s člankom 147. stavkom 2. točkom (c) CRR-a ako te izloženosti nisu osigurane nekretninama u skladu s člankom 199. stavkom 1. točkom (a) CRR-a</w:t>
            </w:r>
          </w:p>
          <w:p w14:paraId="07B8C8CE" w14:textId="744B3DC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Za potrebe izvješćivanja u obrascu LR4 financijska trgovačka društva znači regulirana i neregulirana društva, osim institucija iz rubrike {0180;0010}, čija je glavna djelatnost stjecanje udjela ili obavljanje jedne ili više djelatnosti navedenih u Prilogu I. Direktivi 2013/36/EU, kao i društva definirana u članku 4. stavku 1. točki 27. CRR-a, osim institucija iz rubrike {0180;0010}.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Financijska trgovačka društva – rizikom ponderirana imovina – izloženosti u skladu sa standardiziranim pristupom</w:t>
            </w:r>
          </w:p>
          <w:p w14:paraId="08FF6980" w14:textId="1760010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 iznos izloženosti za imovinu koju u skladu sa standardiziranim pristupom čine izloženosti prema financijskim trgovačkim društvima iz članka 122. CRR-a</w:t>
            </w:r>
          </w:p>
          <w:p w14:paraId="4DE325F6" w14:textId="45BD44A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Za potrebe izvješćivanja u obrascu LR4 financijska trgovačka društva znači regulirana i neregulirana društva, osim institucija iz rubrike {0180;0010}, čija je glavna djelatnost stjecanje udjela ili obavljanje jedne ili više djelatnosti navedenih u Prilogu I. Direktivi 2013/36/EU, kao i društva definirana u članku 4. stavku 1. točki 27. CRR-a, osim institucija iz rubrike {0180;0010}.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Financijska trgovačka društva – rizikom ponderirana imovina – izloženosti u skladu s IRB pristupom</w:t>
            </w:r>
          </w:p>
          <w:p w14:paraId="2E63CDE0" w14:textId="5FB3406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Rizikom ponderiran iznos izloženosti za imovinu koju u skladu s IRB pristupom čine izloženosti prema financijskim trgovačkim društvima u skladu s člankom 147. stavkom 2. točkom (c) CRR-a ako te izloženosti nisu osigurane nekretninama u skladu s člankom 199. stavkom 1. točkom (a) CRR-a</w:t>
            </w:r>
          </w:p>
          <w:p w14:paraId="717CB3D1" w14:textId="7ABB953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Za potrebe izvješćivanja u obrascu LR4 financijska trgovačka društva znači regulirana i neregulirana društva, osim institucija iz rubrike {0180;0010}, čija je glavna djelatnost stjecanje udjela ili obavljanje jedne ili više djelatnosti navedenih u Prilogu I. Direktivi 2013/36/EU, kao i društva </w:t>
            </w:r>
            <w:r>
              <w:rPr>
                <w:rFonts w:ascii="Times New Roman" w:hAnsi="Times New Roman"/>
                <w:bCs/>
                <w:sz w:val="24"/>
                <w:szCs w:val="24"/>
              </w:rPr>
              <w:lastRenderedPageBreak/>
              <w:t>definirana u članku 4. stavku 1. točki 27. CRR-a, osim institucija iz rubrike {0180;0010}.</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szCs w:val="24"/>
              </w:rPr>
              <w:t>Financijska trgovačka društva – vrijednost izloženosti omjera financijske poluge – izloženosti u skladu sa standardiziranim pristupom</w:t>
            </w:r>
          </w:p>
          <w:p w14:paraId="79750DB3" w14:textId="037534D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Vrijednost izloženosti omjera financijske poluge za imovinu koju u skladu sa standardiziranim pristupom čine izloženosti prema nefinancijskim trgovačkim društvima iz članka 122. CRR-a</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Zbroj rubrika {0260,0010} i {0270,0010}.</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szCs w:val="24"/>
              </w:rPr>
              <w:t>Financijska trgovačka društva – vrijednost izloženosti omjera financijske poluge – izloženosti u skladu s IRB pristupom</w:t>
            </w:r>
          </w:p>
          <w:p w14:paraId="1615C090" w14:textId="75F7E6C4"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Vrijednost izloženosti omjera financijske poluge za imovinu koju u skladu s IRB pristupom čine izloženosti prema nefinancijskim trgovačkim društvima u skladu s člankom 147. stavkom 2. točkom (c) CRR-a ako te izloženosti nisu osigurane nekretninama u skladu s člankom 199. stavkom 1. točkom (a) CRR-a</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Zbroj rubrika {0260,0020} i {0270,0020}.</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Nefinancijska trgovačka društva – rizikom ponderirana imovina – izloženosti u skladu sa standardiziranim pristupom</w:t>
            </w:r>
          </w:p>
          <w:p w14:paraId="49E48609" w14:textId="627DE78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Rizikom ponderiran iznos izloženosti za imovinu koju u skladu sa standardiziranim pristupom čine izloženosti prema nefinancijskim trgovačkim društvima iz članka 122. CRR-a</w:t>
            </w:r>
            <w:r>
              <w:rPr>
                <w:rFonts w:ascii="Times New Roman" w:hAnsi="Times New Roman"/>
                <w:bCs/>
                <w:sz w:val="24"/>
                <w:szCs w:val="24"/>
              </w:rPr>
              <w:t xml:space="preserve"> </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Zbroj rubrika {0260,0030} i {0270,0030}.</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Nefinancijska trgovačka društva – rizikom ponderirana imovina – izloženosti u skladu s IRB pristupom</w:t>
            </w:r>
          </w:p>
          <w:p w14:paraId="4DD9CC03" w14:textId="48C3F2D6"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Rizikom ponderiran iznos izloženosti za imovinu koju u skladu s IRB pristupom čine izloženosti prema nefinancijskim trgovačkim društvima u skladu s člankom 147. stavkom 2. točkom (c) CRR-a ako te izloženosti nisu </w:t>
            </w:r>
            <w:r>
              <w:rPr>
                <w:rFonts w:ascii="Times New Roman" w:hAnsi="Times New Roman"/>
                <w:sz w:val="24"/>
                <w:szCs w:val="24"/>
              </w:rPr>
              <w:lastRenderedPageBreak/>
              <w:t>osigurane nekretninama u skladu s člankom 199. stavkom 1. točkom (a) CRR-a</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Zbroj rubrika {0260,0040} i {0270,0040}.</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Izloženosti prema MSP-ovima – vrijednost izloženosti omjera financijske poluge – izloženosti u skladu sa standardiziranim pristupom</w:t>
            </w:r>
          </w:p>
          <w:p w14:paraId="1237A324" w14:textId="05FB0CA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Vrijednost izloženosti omjera financijske poluge za imovinu koju u skladu sa standardiziranim pristupom čine izloženosti prema trgovačkim društvima u obliku malih i srednjih poduzeća iz članka 122. CRR-a </w:t>
            </w:r>
          </w:p>
          <w:p w14:paraId="5E29251B" w14:textId="483A3107"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Za potrebe ove rubrike izraz „malo i srednje poduzeće” definira se u skladu s člankom 501. stavkom 2. točkom (b) CRR-a.</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Izloženosti prema MSP-ovima – vrijednost izloženosti omjera financijske poluge – izloženosti u skladu s IRB pristupom</w:t>
            </w:r>
          </w:p>
          <w:p w14:paraId="16526905" w14:textId="3B6B79C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Vrijednost izloženosti omjera financijske poluge za imovinu koju čine izloženosti prema trgovačkim društvima u skladu s člankom 147. stavkom 2. točkom (c) CRR-a ako su to izloženosti prema malim i srednjim poduzećima i ako nisu osigurane nekretninama u skladu s člankom 199. stavkom 1. točkom (a) CRR-a.</w:t>
            </w:r>
          </w:p>
          <w:p w14:paraId="729394D8" w14:textId="74E87EFA"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Za potrebe ove rubrike izraz „malo i srednje poduzeće” definira se u skladu s člankom 501. stavkom 2. točkom (b) CRR-a.</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Izloženosti prema MSP-ovima – rizikom ponderirana imovina – izloženosti u skladu sa standardiziranim pristupom</w:t>
            </w:r>
          </w:p>
          <w:p w14:paraId="47967B81" w14:textId="66A7A88F"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 iznos izloženosti za imovinu koju u skladu sa standardiziranim pristupom čine izloženosti prema trgovačkim društvima u obliku malih i srednjih poduzeća iz članka 122. CRR-a</w:t>
            </w:r>
          </w:p>
          <w:p w14:paraId="4E35047C" w14:textId="447EFD69"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Za potrebe ove rubrike izraz „malo i srednje poduzeće” definira se u skladu s člankom 501. stavkom 2. točkom (b) CRR-a.</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Izloženosti prema MSP-ovima – rizikom ponderirana imovina – izloženosti u skladu s IRB pristupom</w:t>
            </w:r>
          </w:p>
          <w:p w14:paraId="61D071ED" w14:textId="7E4D19E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Rizikom ponderiran iznos izloženosti za imovinu koju u skladu s IRB pristupom čine izloženosti prema trgovačkim društvima u skladu s člankom 147. stavkom 2. točkom (c) CRR-a ako su to izloženosti prema malim i srednjim poduzećima i ako nisu osigurane nekretninama u skladu s člankom 199. stavkom 1. točkom (a) CRR-a</w:t>
            </w:r>
          </w:p>
          <w:p w14:paraId="14AF8756" w14:textId="6A7B57D1"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Za potrebe ove rubrike izraz „malo i srednje poduzeće” definira se u skladu s člankom 501. stavkom 2. točkom (b) CRR-a.</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sz w:val="24"/>
                <w:szCs w:val="24"/>
              </w:rPr>
              <w:t>Izloženosti koje nisu izloženosti prema MSP-ovima – vrijednost izloženosti omjera financijske poluge – izloženosti u skladu sa standardiziranim pristupom</w:t>
            </w:r>
          </w:p>
          <w:p w14:paraId="41FBC40B" w14:textId="4279AEF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omjera financijske poluge za imovinu koju u skladu sa standardiziranim pristupom čine izloženosti prema trgovačkim društvima iz članka 122. CRR-a i koje nisu iskazane u rubrikama {0230;0040} i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Izloženosti koje nisu izloženosti prema MSP-ovima – vrijednost izloženosti omjera financijske poluge – izloženosti u skladu s IRB pristupom</w:t>
            </w:r>
          </w:p>
          <w:p w14:paraId="585E711E" w14:textId="1495F63C"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Vrijednost izloženosti omjera financijske poluge za imovinu koju u skladu s IRB pristupom čine izloženosti prema trgovačkim društvima u skladu s člankom 147. stavkom 2. točkom (c) CRR-a ako te izloženosti nisu osigurane nekretninama u skladu s člankom 199. stavkom 1. točkom (a) CRR-a i koje nisu iskazane u rubrikama {0230;0040} i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Izloženosti koje nisu izloženosti prema MSP-ovima – rizikom ponderirana imovina – izloženosti u skladu sa standardiziranim pristupom</w:t>
            </w:r>
          </w:p>
          <w:p w14:paraId="10BEA73F" w14:textId="16DC881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 iznos izloženosti za imovinu koju u skladu sa standardiziranim pristupom čine izloženosti prema trgovačkim društvima iz članka 122. CRR-a i koje nisu iskazane u rubrikama {0230;0040} i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Institucije iskazuju iznos bez izloženosti u skladu sa standardiziranim pristupom koje su u statusu neispunjavanja obveza.</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Izloženosti koje nisu izloženosti prema MSP-ovima – rizikom ponderirana imovina – izloženosti u skladu s IRB pristupom</w:t>
            </w:r>
          </w:p>
          <w:p w14:paraId="66C72176" w14:textId="6AE30A03"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Rizikom ponderiran iznos izloženosti za imovinu koju u skladu s IRB pristupom čine izloženosti prema trgovačkim društvima u skladu s člankom 147. stavkom 2. točkom (c) CRR-a ako te izloženosti nisu osigurane nekretninama u skladu s člankom 199. stavkom 1. točkom (a) CRR-a i koje nisu iskazane u rubrikama {0230;0040} i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Izloženosti sa statusom neispunjavanja obveza – vrijednost izloženosti omjera financijske poluge – izloženosti u skladu sa standardiziranim pristupom</w:t>
            </w:r>
          </w:p>
          <w:p w14:paraId="19F3FE8B" w14:textId="181846DB"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omjera financijske poluge za imovinu koju u skladu sa standardiziranim pristupom čine izloženosti sa statusom neispunjavanja obveza i stoga su obuhvaćene člankom 127. CRR-a.</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Izloženosti sa statusom neispunjavanja obveza – vrijednost izloženosti omjera financijske poluge – izloženosti u skladu s IRB pristupom</w:t>
            </w:r>
          </w:p>
          <w:p w14:paraId="35C502CA" w14:textId="3230D6A0"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omjera financijske poluge za imovinu raspoređenu u kategorije izloženosti navedene u članku 147. stavku 2. CRR-a ako je nastupio status neispunjavanja obveza u skladu s člankom 178. CRR-a.</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Izloženosti sa statusom neispunjavanja obveza – rizikom ponderirana imovina – izloženosti u skladu sa standardiziranim pristupom</w:t>
            </w:r>
          </w:p>
          <w:p w14:paraId="4ECD736F" w14:textId="623DFAA3"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Rizikom ponderiran iznos izloženosti za imovinu koju čine izloženosti sa statusom neispunjavanja obveza i stoga su obuhvaćene člankom 127. CRR-a.</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Izloženosti sa statusom neispunjavanja obveza – rizikom ponderirana imovina – izloženosti u skladu s IRB pristupom</w:t>
            </w:r>
          </w:p>
          <w:p w14:paraId="5EF9576D" w14:textId="62CAC8F8"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rizikom ponderiran iznos izloženosti za imovinu raspoređenu u kategorije izloženosti navedene u članku 147. stavku 2. CRR-a ako je nastupio status neispunjavanja obveza u skladu s člankom 178. CRR-a.</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Ostale izloženosti – vrijednost izloženosti omjera financijske poluge – izloženosti u skladu sa standardiziranim pristupom</w:t>
            </w:r>
          </w:p>
          <w:p w14:paraId="59E2187D" w14:textId="188CC7C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Vrijednost izloženosti omjera financijske poluge za imovinu raspoređenu u kategorije izloženosti navedene u članku 112. točkama (k), (m), (n), (o), (p) i (q) CRR-a. </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ovdje iskazuju imovinu koja je oduzeta od regulatornog kapitala (npr. nematerijalna imovina), a ne može se drukčije rasporediti, čak i ako takva kategorizacija nije potrebna za utvrđivanje kapitalnih zahtjeva koji se temelje na riziku u stupcima {*; 0030} i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Ostale izloženosti – vrijednost izloženosti omjera financijske poluge – izloženosti u skladu s IRB pristupom</w:t>
            </w:r>
          </w:p>
          <w:p w14:paraId="509BE205" w14:textId="6C20DAC5"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Iznos izloženosti omjera financijske poluge za imovinu raspoređenu u kategorije izloženosti navedene u članku 147. stavku 2. točkama (e), (f) i (g) CRR-a.</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ovdje iskazuju imovinu koja je oduzeta od regulatornog kapitala (npr. nematerijalna imovina), a ne može se drukčije rasporediti, čak i ako takva kategorizacija nije potrebna za utvrđivanje kapitalnih zahtjeva koji se temelje na riziku u stupcima {*; 0030} i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Ostale izloženosti – rizikom ponderirana imovina – izloženosti u skladu sa standardiziranim pristupom</w:t>
            </w:r>
          </w:p>
          <w:p w14:paraId="61F5D6CA" w14:textId="01E08C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ponderirana vrijednost izloženosti za imovinu raspoređenu u kategorije izloženosti navedene u članku 112. točkama (k), (m), (n), (o), (p) i (q) CRR-a</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Ostale izloženosti – rizikom ponderirana imovina – izloženosti u skladu s IRB pristupom</w:t>
            </w:r>
          </w:p>
          <w:p w14:paraId="047D3368" w14:textId="760FBD6E"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ponderirana vrijednost izloženosti za imovinu raspoređenu u kategorije izloženosti navedene u članku 147. stavku 2. točkama (e), (f) i (g) CRR-a.</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 čega: </w:t>
            </w:r>
            <w:proofErr w:type="spellStart"/>
            <w:r>
              <w:rPr>
                <w:rFonts w:ascii="Times New Roman" w:hAnsi="Times New Roman"/>
                <w:b/>
                <w:sz w:val="24"/>
                <w:szCs w:val="24"/>
              </w:rPr>
              <w:t>Sekuritizacijske</w:t>
            </w:r>
            <w:proofErr w:type="spellEnd"/>
            <w:r>
              <w:rPr>
                <w:rFonts w:ascii="Times New Roman" w:hAnsi="Times New Roman"/>
                <w:b/>
                <w:sz w:val="24"/>
                <w:szCs w:val="24"/>
              </w:rPr>
              <w:t xml:space="preserve"> izloženosti – vrijednost izloženosti omjera financijske poluge – izloženosti u skladu sa standardiziranim pristupom</w:t>
            </w:r>
          </w:p>
          <w:p w14:paraId="7530F6A8" w14:textId="40CC45E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Vrijednost izloženosti omjera financijske poluge za imovinu koju u skladu sa standardiziranim pristupom čine izloženosti u sekuritizaciji iz članka 112. točke (m) CRR-a</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 čega: </w:t>
            </w:r>
            <w:proofErr w:type="spellStart"/>
            <w:r>
              <w:rPr>
                <w:rFonts w:ascii="Times New Roman" w:hAnsi="Times New Roman"/>
                <w:b/>
                <w:sz w:val="24"/>
                <w:szCs w:val="24"/>
              </w:rPr>
              <w:t>Sekuritizacijske</w:t>
            </w:r>
            <w:proofErr w:type="spellEnd"/>
            <w:r>
              <w:rPr>
                <w:rFonts w:ascii="Times New Roman" w:hAnsi="Times New Roman"/>
                <w:b/>
                <w:sz w:val="24"/>
                <w:szCs w:val="24"/>
              </w:rPr>
              <w:t xml:space="preserve"> izloženosti – vrijednost izloženosti omjera financijske poluge – izloženosti u skladu s IRB pristupom</w:t>
            </w:r>
          </w:p>
          <w:p w14:paraId="52AFEF6A" w14:textId="65EB209A"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omjera financijske poluge za imovinu koju u skladu s IRB pristupom čine izloženosti sekuritizaciji iz članka 147. stavka 2. točke (f) CRR-a.</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iskazuju iznos bez izloženosti u skladu s IRB pristupom koje su u statusu neispunjavanja obveza.</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 čega: </w:t>
            </w:r>
            <w:proofErr w:type="spellStart"/>
            <w:r>
              <w:rPr>
                <w:rFonts w:ascii="Times New Roman" w:hAnsi="Times New Roman"/>
                <w:b/>
                <w:bCs/>
                <w:sz w:val="24"/>
                <w:szCs w:val="24"/>
              </w:rPr>
              <w:t>Sekuritizacijske</w:t>
            </w:r>
            <w:proofErr w:type="spellEnd"/>
            <w:r>
              <w:rPr>
                <w:rFonts w:ascii="Times New Roman" w:hAnsi="Times New Roman"/>
                <w:b/>
                <w:bCs/>
                <w:sz w:val="24"/>
                <w:szCs w:val="24"/>
              </w:rPr>
              <w:t xml:space="preserve"> izloženosti – rizikom ponderirana imovina – izloženosti u skladu sa standardiziranim pristupom</w:t>
            </w:r>
          </w:p>
          <w:p w14:paraId="583F2964" w14:textId="49D5BBD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Rizikom ponderiran iznos izloženosti za imovinu koju u skladu sa standardiziranim pristupom čine izloženosti u sekuritizaciji iz članka 112. točke (m) CRR-a </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 čega: </w:t>
            </w:r>
            <w:proofErr w:type="spellStart"/>
            <w:r>
              <w:rPr>
                <w:rFonts w:ascii="Times New Roman" w:hAnsi="Times New Roman"/>
                <w:b/>
                <w:bCs/>
                <w:sz w:val="24"/>
                <w:szCs w:val="24"/>
              </w:rPr>
              <w:t>Sekuritizacijske</w:t>
            </w:r>
            <w:proofErr w:type="spellEnd"/>
            <w:r>
              <w:rPr>
                <w:rFonts w:ascii="Times New Roman" w:hAnsi="Times New Roman"/>
                <w:b/>
                <w:bCs/>
                <w:sz w:val="24"/>
                <w:szCs w:val="24"/>
              </w:rPr>
              <w:t xml:space="preserve"> izloženosti – rizikom ponderirana imovina – izloženosti u skladu s IRB pristupom</w:t>
            </w:r>
          </w:p>
          <w:p w14:paraId="745FCC52" w14:textId="080B8E3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Rizikom ponderiran iznos izloženosti za imovinu koju u skladu s IRB pristupom čine izloženosti sekuritizaciji iz članka 147. stavka 2. točke (f) CRR-a. </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Financiranje trgovine (bilješka) – vrijednost izloženosti omjera financijske poluge – izloženosti u skladu sa standardiziranim pristupom</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Vrijednost izloženosti omjera financijske poluge za bilančne stavke koje se odnose na kreditiranje izvoznika ili uvoznika robe ili usluga u okviru kreditiranja uvoza ili izvoza i sličnih transakcija</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Financiranje trgovine (bilješka) – vrijednost izloženosti omjera financijske poluge – izloženosti u skladu s IRB pristupom</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Iznos izloženosti omjera financijske poluge za bilančne stavke koje se odnose na kreditiranje izvoznika ili uvoznika robe ili usluga u okviru kreditiranja uvoza ili izvoza i sličnih transakcija</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Institucije iskazuju iznos bez izloženosti u skladu s IRB pristupom koje su u statusu neispunjavanja obveza.</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Financiranje trgovine (bilješka) – rizikom ponderirana imovina – izloženosti u skladu sa standardiziranim pristupom</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ponderirana vrijednost izloženosti bilančnih stavki koje se odnose na kreditiranje izvoznika ili uvoznika robe ili usluga u okviru kreditiranja uvoza ili izvoza i sličnih transakcija</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sa standardiziranim pristupom koje su u statusu neispunjavanja obveza.</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Financiranje trgovine (bilješka) – rizikom ponderirana imovina – izloženosti u skladu s IRB pristupom</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Rizikom ponderiran iznos izloženosti bilančnih stavki koje se odnose na kreditiranje izvoznika ili uvoznika robe ili usluga u okviru kreditiranja uvoza ili izvoza i sličnih transakcija</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 čega: </w:t>
            </w:r>
            <w:r>
              <w:rPr>
                <w:rFonts w:ascii="Times New Roman" w:hAnsi="Times New Roman"/>
                <w:b/>
                <w:sz w:val="24"/>
                <w:szCs w:val="24"/>
              </w:rPr>
              <w:t>U okviru službenih aranžmana za osiguranje kredita za izvoz – vrijednost izloženosti omjera financijske poluge – izloženosti u skladu sa standardiziranim pristupom</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Vrijednost izloženosti omjera financijske poluge za bilančne stavke koje se odnose na financiranje trgovine u okviru službenih aranžmana za osiguranje kredita za izvoz.</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Za potrebe izvješćivanja u obrascu LR4</w:t>
            </w:r>
            <w:r>
              <w:rPr>
                <w:rFonts w:ascii="Times New Roman" w:hAnsi="Times New Roman"/>
                <w:sz w:val="24"/>
                <w:szCs w:val="24"/>
              </w:rPr>
              <w:t xml:space="preserve">, službeni aranžmani za osiguranje kredita za izvoz odnose se na službenu potporu države ili drugog subjekta, kao što je agencija za kreditiranje izvoza, u obliku, među ostalim, izravnog kreditiranja/financiranja, refinanciranja, kamatne stope (ako je fiksna kamatna stopa zajamčena za vrijeme trajanja kredita), potpore za financiranje (krediti i bespovratna sredstva), osiguranja i jamstava za kreditiranje izvoza.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szCs w:val="24"/>
              </w:rPr>
              <w:t>Institucije iskazuju iznos bez izloženosti u skladu sa standardiziranim pristupom koje su u statusu neispunjavanja obveza.</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 čega: </w:t>
            </w:r>
            <w:r>
              <w:rPr>
                <w:rFonts w:ascii="Times New Roman" w:hAnsi="Times New Roman"/>
                <w:b/>
                <w:sz w:val="24"/>
                <w:szCs w:val="24"/>
              </w:rPr>
              <w:t>U okviru službenih aranžmana za osiguranje kredita za izvoz – vrijednost izloženosti omjera financijske poluge – izloženosti u skladu s IRB pristupom</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lastRenderedPageBreak/>
              <w:t>Iznos izloženosti omjera financijske poluge za bilančne stavke koje se odnose na financiranje trgovine u okviru službenih aranžmana za osiguranje kredita za izvoz.</w:t>
            </w:r>
            <w:r>
              <w:rPr>
                <w:rFonts w:ascii="Times New Roman" w:hAnsi="Times New Roman"/>
                <w:bCs/>
                <w:sz w:val="24"/>
                <w:szCs w:val="24"/>
              </w:rPr>
              <w:t xml:space="preserve">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Za potrebe izvješćivanja u obrascu LR4</w:t>
            </w:r>
            <w:r>
              <w:rPr>
                <w:rFonts w:ascii="Times New Roman" w:hAnsi="Times New Roman"/>
                <w:sz w:val="24"/>
                <w:szCs w:val="24"/>
              </w:rPr>
              <w:t>, službeni aranžmani za osiguranje kredita za izvoz odnose se na službenu potporu države ili drugog subjekta, kao što je agencija za kreditiranje izvoza, u obliku, među ostalim, izravnog kreditiranja/financiranja, refinanciranja, kamatne stope (ako je fiksna kamatna stopa zajamčena za vrijeme trajanja kredita), potpore za financiranje (krediti i bespovratna sredstva), osiguranja i jamstava za kreditiranje izvoza.</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Institucije iskazuju iznos bez izloženosti u skladu s IRB pristupom koje su u statusu neispunjavanja obveza.</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od čega: U okviru službenih aranžmana za osiguranje kredita za izvoz – rizikom ponderirana imovina – izloženosti u skladu sa standardiziranim pristupom prema standardiziranom pristupu</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Rizikom ponderirana vrijednost izloženosti bilančnih stavki koje se odnose na financiranje trgovine u okviru službenih aranžmana za osiguranje kredita za izvoz.</w:t>
            </w:r>
            <w:r>
              <w:rPr>
                <w:rFonts w:ascii="Times New Roman" w:hAnsi="Times New Roman"/>
                <w:bCs/>
                <w:sz w:val="24"/>
                <w:szCs w:val="24"/>
              </w:rPr>
              <w:t xml:space="preserve">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Za potrebe izvješćivanja u obrascu LR4</w:t>
            </w:r>
            <w:r>
              <w:rPr>
                <w:rFonts w:ascii="Times New Roman" w:hAnsi="Times New Roman"/>
                <w:sz w:val="24"/>
                <w:szCs w:val="24"/>
              </w:rPr>
              <w:t xml:space="preserve">, službeni aranžmani za osiguranje kredita za izvoz odnose se na službenu potporu države ili drugog subjekta, kao što je agencija za kreditiranje izvoza, u obliku, među ostalim, izravnog kreditiranja/financiranja, refinanciranja, kamatne stope (ako je fiksna kamatna stopa zajamčena za vrijeme trajanja kredita), potpore za financiranje (krediti i bespovratna sredstva), osiguranja i jamstava za kreditiranje izvoza.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Institucije iskazuju iznos bez izloženosti u skladu sa standardiziranim pristupom koje su u statusu neispunjavanja obveza.</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od čega: U okviru službenih aranžmana za osiguranje kredita za izvoz – rizikom ponderirana imovina – izloženosti u skladu s IRB pristupom</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Rizikom ponderiran iznos izloženosti bilančnih stavki koje se odnose na financiranje trgovine u okviru službenih aranžmana za osiguranje kredita za izvoz.</w:t>
            </w:r>
            <w:r>
              <w:rPr>
                <w:rFonts w:ascii="Times New Roman" w:hAnsi="Times New Roman"/>
                <w:bCs/>
                <w:sz w:val="24"/>
                <w:szCs w:val="24"/>
              </w:rPr>
              <w:t xml:space="preserve">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Za potrebe izvješćivanja u obrascu LR4</w:t>
            </w:r>
            <w:r>
              <w:rPr>
                <w:rFonts w:ascii="Times New Roman" w:hAnsi="Times New Roman"/>
                <w:sz w:val="24"/>
                <w:szCs w:val="24"/>
              </w:rPr>
              <w:t xml:space="preserve">, službeni aranžmani za osiguranje kredita za izvoz odnose se na službenu potporu države ili drugog subjekta, kao što je agencija za kreditiranje izvoza, u obliku, među ostalim, izravnog kreditiranja/financiranja, refinanciranja, kamatne stope (ako je fiksna kamatna stopa zajamčena za vrijeme trajanja kredita), potpore za financiranje (krediti i bespovratna sredstva), osiguranja i jamstava za kreditiranje izvoza.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Institucije iskazuju iznos bez izloženosti u skladu s IRB pristupom koje su u statusu neispunjavanja obveza.</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5" w:name="_Toc351048511"/>
      <w:bookmarkStart w:id="76" w:name="_Toc359414290"/>
      <w:bookmarkStart w:id="77" w:name="_Toc423089075"/>
      <w:bookmarkEnd w:id="73"/>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8" w:name="_Toc58573165"/>
      <w:r>
        <w:rPr>
          <w:rFonts w:ascii="Times New Roman" w:hAnsi="Times New Roman"/>
          <w:b/>
          <w:sz w:val="24"/>
          <w:szCs w:val="24"/>
        </w:rPr>
        <w:t>6.</w:t>
      </w:r>
      <w:r>
        <w:tab/>
      </w:r>
      <w:r>
        <w:rPr>
          <w:rFonts w:ascii="Times New Roman" w:hAnsi="Times New Roman"/>
          <w:b/>
          <w:sz w:val="24"/>
          <w:szCs w:val="24"/>
        </w:rPr>
        <w:t>C 44.00 – Opće informacije</w:t>
      </w:r>
      <w:bookmarkEnd w:id="75"/>
      <w:bookmarkEnd w:id="76"/>
      <w:r>
        <w:rPr>
          <w:rFonts w:ascii="Times New Roman" w:hAnsi="Times New Roman"/>
          <w:b/>
          <w:sz w:val="24"/>
          <w:szCs w:val="24"/>
        </w:rPr>
        <w:t xml:space="preserve"> (LR5)</w:t>
      </w:r>
      <w:bookmarkEnd w:id="77"/>
      <w:bookmarkEnd w:id="78"/>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28.</w:t>
      </w:r>
      <w:r>
        <w:tab/>
      </w:r>
      <w:r>
        <w:rPr>
          <w:rFonts w:ascii="Times New Roman" w:hAnsi="Times New Roman"/>
          <w:sz w:val="24"/>
          <w:szCs w:val="24"/>
        </w:rPr>
        <w:t>Ovdje se prikupljaju dodatne informacije u svrhu kategorizacije aktivnosti institucije i regulatornih opcija koje je institucija odabrala.</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 xml:space="preserve">Redak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i stupac</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Upute</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Oblik trgovačkog društva institucije</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Institucija svoj oblik trgovačkog društva klasificira u skladu s kategorijama navedenima u nastavku:</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dioničko društvo</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uzajamna institucija/zadruga</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ostala društva koja nisu dionička društva.</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Tretman izvedenica</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Institucija navodi regulatorni tretman izvedenica u skladu s kategorijama navedenima u nastavku:</w:t>
            </w:r>
          </w:p>
          <w:p w14:paraId="255B888B" w14:textId="77777777"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standardizirani pristup za kreditni rizik druge ugovorne strane (SA-CCR)</w:t>
            </w:r>
          </w:p>
          <w:p w14:paraId="43920088" w14:textId="080D2445"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pojednostavnjeni standardizirani pristup za metodu kreditnog rizika druge ugovorne strane</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metoda originalne izloženosti.</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Vrsta institucije</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Institucija se prema vrsti klasificira u skladu s kategorijama navedenima u nastavku:</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univerzalno bankarstvo (poslovanje sa stanovništvom/poslovno i investicijsko bankarstvo)</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poslovanje sa stanovništvom/poslovno bankarstvo</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investicijsko bankarstvo</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specijalizirano financiranje</w:t>
            </w:r>
          </w:p>
          <w:p w14:paraId="5E1BA609" w14:textId="30316771"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sz w:val="24"/>
                <w:szCs w:val="24"/>
              </w:rPr>
              <w:lastRenderedPageBreak/>
              <w:t>– javne razvojne kreditne institucije</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ostali poslovni modeli.</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bCs/>
                <w:sz w:val="24"/>
                <w:szCs w:val="24"/>
              </w:rPr>
              <w:lastRenderedPageBreak/>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Institucija s javnom razvojnom jedinicom</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sz w:val="24"/>
                <w:szCs w:val="24"/>
              </w:rPr>
              <w:t>Institucije koje nisu javne razvojne kreditne institucije naznačuju imaju li javnu razvojnu jedinicu.</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66B939F9" w14:textId="6DF6B901"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Subjekt koji pruža jamstva javnoj razvojnoj kreditnoj instituciji/jedinici u skladu s člankom 429.a stavkom 2. točkom (d) CRR-a: središnja država, područna (regionalna) ili lokalna samouprava</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sz w:val="24"/>
                <w:szCs w:val="24"/>
              </w:rPr>
              <w:t>Institucije koje su javne razvojne kreditne institucije ili imaju javnu razvojnu jedinicu iskazuju jamstva središnje države, područne (regionalne) ili lokalne samouprave</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navode TOČNO u retku koji odgovara primjenjivoj vrsti ili vrstama pružatelja zaštite, a u protivnom navode NETOČNO.</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bCs/>
                <w:sz w:val="24"/>
                <w:szCs w:val="24"/>
              </w:rPr>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sz w:val="24"/>
                <w:szCs w:val="24"/>
              </w:rPr>
              <w:t>Središnja država pruža jamstva javnim razvojnim kreditnim institucijama/jedinicama</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sz w:val="24"/>
                <w:szCs w:val="24"/>
              </w:rPr>
              <w:t>Područne (regionalna) samouprava pruža jamstva javnim razvojnim kreditnim institucijama/jedinicama</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szCs w:val="24"/>
              </w:rPr>
              <w:t>Lokalna samouprava pruža jamstva javnim razvojnim kreditnim institucijama/jedinicama</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5E6BF02B" w14:textId="58A39281"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Vrsta jamstva primljenog u skladu s člankom 429.a stavkom 2. točkom (d) CRR-a</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szCs w:val="24"/>
              </w:rPr>
              <w:t>Institucije koje su javne razvojne kreditne institucije ili imaju javnu razvojnu jedinicu iskazuju vrstu primljene zaštite</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Institucije navode TOČNO u retku koji odgovara primjenjivoj vrsti ili vrstama pružatelja zaštite, a u protivnom navode NETOČNO.</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Obveza zaštite redovnog poslovanja kreditnih institucija</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Izravno jamstvo za kapitalne zahtjeve kreditnih institucija, zahtjeve za financiranje ili odobrene promotivne kredite</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Neizravno jamstvo za kapitalne zahtjeve kreditnih institucija, zahtjeve za financiranje ili odobrene promotivne kredite</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9" w:name="_Toc58573166"/>
      <w:r>
        <w:rPr>
          <w:rFonts w:ascii="Times New Roman" w:hAnsi="Times New Roman"/>
          <w:b/>
          <w:sz w:val="24"/>
          <w:szCs w:val="24"/>
        </w:rPr>
        <w:t>7.</w:t>
      </w:r>
      <w:r>
        <w:tab/>
      </w:r>
      <w:r>
        <w:rPr>
          <w:rFonts w:ascii="Times New Roman" w:hAnsi="Times New Roman"/>
          <w:b/>
          <w:sz w:val="24"/>
          <w:szCs w:val="24"/>
        </w:rPr>
        <w:t xml:space="preserve">C 48.00 </w:t>
      </w:r>
      <w:proofErr w:type="spellStart"/>
      <w:r>
        <w:rPr>
          <w:rFonts w:ascii="Times New Roman" w:hAnsi="Times New Roman"/>
          <w:b/>
          <w:sz w:val="24"/>
          <w:szCs w:val="24"/>
        </w:rPr>
        <w:t>Volatilnost</w:t>
      </w:r>
      <w:proofErr w:type="spellEnd"/>
      <w:r>
        <w:rPr>
          <w:rFonts w:ascii="Times New Roman" w:hAnsi="Times New Roman"/>
          <w:b/>
          <w:sz w:val="24"/>
          <w:szCs w:val="24"/>
        </w:rPr>
        <w:t xml:space="preserve"> omjera financijske poluge (LR6)</w:t>
      </w:r>
      <w:bookmarkEnd w:id="79"/>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lastRenderedPageBreak/>
        <w:t>29.</w:t>
      </w:r>
      <w:r>
        <w:tab/>
      </w:r>
      <w:r>
        <w:rPr>
          <w:rFonts w:ascii="Times New Roman" w:hAnsi="Times New Roman"/>
          <w:sz w:val="24"/>
          <w:szCs w:val="24"/>
        </w:rPr>
        <w:t xml:space="preserve">Informacije se prikupljaju u svrhu praćenja </w:t>
      </w:r>
      <w:proofErr w:type="spellStart"/>
      <w:r>
        <w:rPr>
          <w:rFonts w:ascii="Times New Roman" w:hAnsi="Times New Roman"/>
          <w:sz w:val="24"/>
          <w:szCs w:val="24"/>
        </w:rPr>
        <w:t>volatilnosti</w:t>
      </w:r>
      <w:proofErr w:type="spellEnd"/>
      <w:r>
        <w:rPr>
          <w:rFonts w:ascii="Times New Roman" w:hAnsi="Times New Roman"/>
          <w:sz w:val="24"/>
          <w:szCs w:val="24"/>
        </w:rPr>
        <w:t xml:space="preserve"> omjera financijske poluge. Te informacije dostavljaju samo velike institucije.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80" w:name="_Toc58573167"/>
      <w:r>
        <w:rPr>
          <w:rFonts w:ascii="Times New Roman" w:hAnsi="Times New Roman"/>
          <w:b/>
          <w:sz w:val="24"/>
          <w:szCs w:val="24"/>
        </w:rPr>
        <w:t>8.</w:t>
      </w:r>
      <w:r>
        <w:tab/>
      </w:r>
      <w:r>
        <w:rPr>
          <w:rFonts w:ascii="Times New Roman" w:hAnsi="Times New Roman"/>
          <w:b/>
          <w:sz w:val="24"/>
          <w:szCs w:val="24"/>
        </w:rPr>
        <w:t xml:space="preserve">C 48.01 </w:t>
      </w:r>
      <w:proofErr w:type="spellStart"/>
      <w:r>
        <w:rPr>
          <w:rFonts w:ascii="Times New Roman" w:hAnsi="Times New Roman"/>
          <w:b/>
          <w:sz w:val="24"/>
          <w:szCs w:val="24"/>
        </w:rPr>
        <w:t>Volatilnost</w:t>
      </w:r>
      <w:proofErr w:type="spellEnd"/>
      <w:r>
        <w:rPr>
          <w:rFonts w:ascii="Times New Roman" w:hAnsi="Times New Roman"/>
          <w:b/>
          <w:sz w:val="24"/>
          <w:szCs w:val="24"/>
        </w:rPr>
        <w:t xml:space="preserve"> omjera financijske poluge: srednja vrijednost za izvještajno razdoblje</w:t>
      </w:r>
      <w:bookmarkEnd w:id="8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Redak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i stupac</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Upute</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Srednja vrijednost za izvještajno razdoblje – vrijednost izloženosti transakcija financiranja vrijednosnim papirima</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Institucije iskazuju srednju od dnevnih vrijednosti izvještajnog tromjesečja za vrijednost izloženosti transakcija financiranja vrijednosnim papirima bez izuzetog dijela izloženosti iz trgovanja prema središnjoj drugoj ugovornoj strani koje su poravnane preko klijenta kako je definirano u recima 0010 i 0050 obrasca C47.00.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Srednja vrijednost za izvještajno razdoblje –</w:t>
            </w:r>
            <w:r>
              <w:rPr>
                <w:sz w:val="24"/>
                <w:szCs w:val="24"/>
              </w:rPr>
              <w:t xml:space="preserve"> </w:t>
            </w:r>
            <w:r>
              <w:rPr>
                <w:rFonts w:ascii="Times New Roman" w:hAnsi="Times New Roman"/>
                <w:b/>
                <w:color w:val="auto"/>
                <w:sz w:val="24"/>
                <w:szCs w:val="24"/>
              </w:rPr>
              <w:t xml:space="preserve">ispravci vrijednosti za transakcije financiranja vrijednosnim papirima koje se obračunavaju kao prodaja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szCs w:val="24"/>
              </w:rPr>
              <w:t>Institucije iskazuju srednju od dnevnih vrijednosti izvještajnog tromjesečja za ispravke vrijednosti za transakcije financiranja vrijednosnim papirima koje se obračunavaju kao prodaja kako je definirano u retku 0230 obrasca C47.00.</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1" w:name="_Toc58573168"/>
      <w:r>
        <w:rPr>
          <w:rFonts w:ascii="Times New Roman" w:hAnsi="Times New Roman"/>
          <w:b/>
          <w:sz w:val="24"/>
          <w:szCs w:val="24"/>
        </w:rPr>
        <w:t>9.</w:t>
      </w:r>
      <w:r>
        <w:tab/>
      </w:r>
      <w:r>
        <w:rPr>
          <w:rFonts w:ascii="Times New Roman" w:hAnsi="Times New Roman"/>
          <w:b/>
          <w:sz w:val="24"/>
          <w:szCs w:val="24"/>
        </w:rPr>
        <w:t xml:space="preserve">C 48.02 </w:t>
      </w:r>
      <w:proofErr w:type="spellStart"/>
      <w:r>
        <w:rPr>
          <w:rFonts w:ascii="Times New Roman" w:hAnsi="Times New Roman"/>
          <w:b/>
          <w:sz w:val="24"/>
          <w:szCs w:val="24"/>
        </w:rPr>
        <w:t>Volatilnost</w:t>
      </w:r>
      <w:proofErr w:type="spellEnd"/>
      <w:r>
        <w:rPr>
          <w:rFonts w:ascii="Times New Roman" w:hAnsi="Times New Roman"/>
          <w:b/>
          <w:sz w:val="24"/>
          <w:szCs w:val="24"/>
        </w:rPr>
        <w:t xml:space="preserve"> omjera financijske poluge: dnevne vrijednosti za izvještajno razdoblje</w:t>
      </w:r>
      <w:bookmarkEnd w:id="81"/>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30.</w:t>
      </w:r>
      <w:r>
        <w:tab/>
      </w:r>
      <w:r>
        <w:rPr>
          <w:rFonts w:ascii="Times New Roman" w:hAnsi="Times New Roman"/>
          <w:sz w:val="24"/>
          <w:szCs w:val="24"/>
        </w:rPr>
        <w:t xml:space="preserve">Iskazuju se dnevne vrijednosti tijekom tromjesečja.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Redak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i stupac</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Upute</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Referentni datum u izvještajnom razdoblju</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Institucije iskazuju datum na koji se odnosi iskazana dnevna vrijednost. Iskazuje se svaki dan izvještajnog razdoblja.</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Vrijednost izloženosti transakcija financiranja vrijednosnim papirima</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 xml:space="preserve">Institucije iskazuju dnevne vrijednosti izvještajnog tromjesečja za vrijednost izloženosti transakcija financiranja vrijednosnim papirima bez izuzetog dijela izloženosti iz trgovanja prema središnjoj drugoj ugovornoj </w:t>
            </w:r>
            <w:r>
              <w:rPr>
                <w:rFonts w:ascii="Times New Roman" w:hAnsi="Times New Roman"/>
                <w:color w:val="auto"/>
                <w:sz w:val="24"/>
                <w:szCs w:val="24"/>
              </w:rPr>
              <w:lastRenderedPageBreak/>
              <w:t>strani koje su poravnane preko klijenta kako je navedeno u recima 0010 i 0050 obrasca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lastRenderedPageBreak/>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Ispravci vrijednosti za transakcije financiranja vrijednosnim papirima koje se obračunavaju kao prodaja</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szCs w:val="24"/>
              </w:rPr>
              <w:t>Institucije iskazuju dnevne vrijednosti izvještajnog tromjesečja za ispravke vrijednosti transakcija financiranja vrijednosnim papirima koje se obračunavaju kao prodaja kako je definirano u retku 0230 obrasca C 47.00.</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footerReference w:type="default" r:id="rId16"/>
      <w:headerReference w:type="first" r:id="rId17"/>
      <w:footerReference w:type="first" r:id="rId18"/>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37872" w14:textId="77777777" w:rsidR="000B66BC" w:rsidRDefault="000B66BC">
      <w:r>
        <w:separator/>
      </w:r>
    </w:p>
  </w:endnote>
  <w:endnote w:type="continuationSeparator" w:id="0">
    <w:p w14:paraId="5FA72A43" w14:textId="77777777" w:rsidR="000B66BC" w:rsidRDefault="000B66BC">
      <w:r>
        <w:continuationSeparator/>
      </w:r>
    </w:p>
  </w:endnote>
  <w:endnote w:type="continuationNotice" w:id="1">
    <w:p w14:paraId="37556CA5" w14:textId="77777777" w:rsidR="000B66BC" w:rsidRDefault="000B66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BDAE"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160F" w14:textId="2B225E98" w:rsidR="000B66BC" w:rsidRPr="00A772B4" w:rsidRDefault="000B66BC">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14:paraId="5677655A" w14:textId="5B1015C0" w:rsidR="000B66BC" w:rsidRDefault="000B66BC">
        <w:pPr>
          <w:pStyle w:val="Footer"/>
          <w:jc w:val="center"/>
        </w:pPr>
        <w:r>
          <w:fldChar w:fldCharType="begin"/>
        </w:r>
        <w:r>
          <w:instrText xml:space="preserve"> PAGE   \* MERGEFORMAT </w:instrText>
        </w:r>
        <w:r>
          <w:fldChar w:fldCharType="separate"/>
        </w:r>
        <w:r w:rsidR="001D5BC0">
          <w:rPr>
            <w:noProof/>
          </w:rPr>
          <w:t>1</w:t>
        </w:r>
        <w:r>
          <w:fldChar w:fldCharType="end"/>
        </w:r>
      </w:p>
    </w:sdtContent>
  </w:sdt>
  <w:p w14:paraId="3D7804EA" w14:textId="77777777" w:rsidR="000B66BC" w:rsidRDefault="000B66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EndPr/>
    <w:sdtContent>
      <w:p w14:paraId="3FFD22B5" w14:textId="523A0355" w:rsidR="000B66BC" w:rsidRPr="009A78F0" w:rsidRDefault="000B66BC"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1D5BC0">
          <w:rPr>
            <w:rFonts w:ascii="Times New Roman" w:hAnsi="Times New Roman"/>
            <w:noProof/>
            <w:sz w:val="20"/>
          </w:rPr>
          <w:t>21</w:t>
        </w:r>
        <w:r>
          <w:rPr>
            <w:rFonts w:ascii="Times New Roman" w:hAnsi="Times New Roman"/>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8B045" w14:textId="77777777" w:rsidR="000B66BC" w:rsidRPr="004D223F" w:rsidRDefault="000B66BC" w:rsidP="00C7701D">
      <w:r>
        <w:continuationSeparator/>
      </w:r>
    </w:p>
  </w:footnote>
  <w:footnote w:type="continuationSeparator" w:id="0">
    <w:p w14:paraId="7AD75631" w14:textId="77777777" w:rsidR="000B66BC" w:rsidRDefault="000B66BC">
      <w:r>
        <w:continuationSeparator/>
      </w:r>
    </w:p>
  </w:footnote>
  <w:footnote w:type="continuationNotice" w:id="1">
    <w:p w14:paraId="0E3C9440" w14:textId="77777777" w:rsidR="000B66BC" w:rsidRDefault="000B66B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359B9" w14:textId="77777777" w:rsidR="000B66BC" w:rsidRDefault="000B66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F71AD" w14:textId="77777777" w:rsidR="000B66BC" w:rsidRPr="00B93D0F" w:rsidRDefault="000B66BC" w:rsidP="00B93D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32A18" w14:textId="6DF5D568" w:rsidR="000B66BC" w:rsidRPr="000B66BC" w:rsidRDefault="000B66BC" w:rsidP="000B66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0B66BC" w:rsidRDefault="000B66BC">
    <w:pPr>
      <w:pStyle w:val="Header"/>
      <w:tabs>
        <w:tab w:val="clear" w:pos="8306"/>
        <w:tab w:val="right" w:pos="9072"/>
      </w:tabs>
      <w:jc w:val="right"/>
      <w:rPr>
        <w:noProof/>
      </w:rPr>
    </w:pPr>
    <w:r>
      <w:rPr>
        <w:noProof/>
        <w:lang w:eastAsia="hr-HR"/>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2"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3"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0"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6"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2"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2"/>
  </w:num>
  <w:num w:numId="4">
    <w:abstractNumId w:val="8"/>
  </w:num>
  <w:num w:numId="5">
    <w:abstractNumId w:val="3"/>
  </w:num>
  <w:num w:numId="6">
    <w:abstractNumId w:val="51"/>
  </w:num>
  <w:num w:numId="7">
    <w:abstractNumId w:val="1"/>
  </w:num>
  <w:num w:numId="8">
    <w:abstractNumId w:val="36"/>
  </w:num>
  <w:num w:numId="9">
    <w:abstractNumId w:val="50"/>
  </w:num>
  <w:num w:numId="10">
    <w:abstractNumId w:val="24"/>
  </w:num>
  <w:num w:numId="11">
    <w:abstractNumId w:val="43"/>
  </w:num>
  <w:num w:numId="12">
    <w:abstractNumId w:val="20"/>
  </w:num>
  <w:num w:numId="13">
    <w:abstractNumId w:val="49"/>
  </w:num>
  <w:num w:numId="14">
    <w:abstractNumId w:val="7"/>
  </w:num>
  <w:num w:numId="15">
    <w:abstractNumId w:val="38"/>
  </w:num>
  <w:num w:numId="16">
    <w:abstractNumId w:val="19"/>
  </w:num>
  <w:num w:numId="17">
    <w:abstractNumId w:val="29"/>
  </w:num>
  <w:num w:numId="18">
    <w:abstractNumId w:val="15"/>
  </w:num>
  <w:num w:numId="19">
    <w:abstractNumId w:val="41"/>
  </w:num>
  <w:num w:numId="20">
    <w:abstractNumId w:val="35"/>
  </w:num>
  <w:num w:numId="21">
    <w:abstractNumId w:val="17"/>
  </w:num>
  <w:num w:numId="22">
    <w:abstractNumId w:val="28"/>
  </w:num>
  <w:num w:numId="23">
    <w:abstractNumId w:val="44"/>
  </w:num>
  <w:num w:numId="24">
    <w:abstractNumId w:val="5"/>
  </w:num>
  <w:num w:numId="25">
    <w:abstractNumId w:val="32"/>
  </w:num>
  <w:num w:numId="26">
    <w:abstractNumId w:val="16"/>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
  </w:num>
  <w:num w:numId="33">
    <w:abstractNumId w:val="18"/>
  </w:num>
  <w:num w:numId="34">
    <w:abstractNumId w:val="37"/>
  </w:num>
  <w:num w:numId="35">
    <w:abstractNumId w:val="9"/>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3"/>
  </w:num>
  <w:num w:numId="40">
    <w:abstractNumId w:val="21"/>
  </w:num>
  <w:num w:numId="41">
    <w:abstractNumId w:val="30"/>
  </w:num>
  <w:num w:numId="42">
    <w:abstractNumId w:val="31"/>
  </w:num>
  <w:num w:numId="43">
    <w:abstractNumId w:val="39"/>
  </w:num>
  <w:num w:numId="44">
    <w:abstractNumId w:val="52"/>
  </w:num>
  <w:num w:numId="45">
    <w:abstractNumId w:val="42"/>
  </w:num>
  <w:num w:numId="46">
    <w:abstractNumId w:val="26"/>
  </w:num>
  <w:num w:numId="47">
    <w:abstractNumId w:val="40"/>
  </w:num>
  <w:num w:numId="48">
    <w:abstractNumId w:val="53"/>
  </w:num>
  <w:num w:numId="49">
    <w:abstractNumId w:val="13"/>
  </w:num>
  <w:num w:numId="50">
    <w:abstractNumId w:val="27"/>
  </w:num>
  <w:num w:numId="51">
    <w:abstractNumId w:val="48"/>
  </w:num>
  <w:num w:numId="52">
    <w:abstractNumId w:val="46"/>
  </w:num>
  <w:num w:numId="53">
    <w:abstractNumId w:val="25"/>
  </w:num>
  <w:num w:numId="54">
    <w:abstractNumId w:val="12"/>
  </w:num>
  <w:num w:numId="55">
    <w:abstractNumId w:val="4"/>
  </w:num>
  <w:num w:numId="56">
    <w:abstractNumId w:val="34"/>
  </w:num>
  <w:num w:numId="57">
    <w:abstractNumId w:val="6"/>
  </w:num>
  <w:num w:numId="58">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3249"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735D"/>
    <w:rsid w:val="00037947"/>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580"/>
    <w:rsid w:val="000B5761"/>
    <w:rsid w:val="000B66BC"/>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BC0"/>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7954"/>
    <w:rsid w:val="002509B1"/>
    <w:rsid w:val="00252F75"/>
    <w:rsid w:val="00253D80"/>
    <w:rsid w:val="00254983"/>
    <w:rsid w:val="00255202"/>
    <w:rsid w:val="002573FC"/>
    <w:rsid w:val="00260D4F"/>
    <w:rsid w:val="0026270F"/>
    <w:rsid w:val="0026336E"/>
    <w:rsid w:val="00264409"/>
    <w:rsid w:val="002662F0"/>
    <w:rsid w:val="002706B3"/>
    <w:rsid w:val="00270DBA"/>
    <w:rsid w:val="002710BE"/>
    <w:rsid w:val="00272017"/>
    <w:rsid w:val="00272210"/>
    <w:rsid w:val="00272715"/>
    <w:rsid w:val="0027305C"/>
    <w:rsid w:val="0027308B"/>
    <w:rsid w:val="002736E3"/>
    <w:rsid w:val="00275254"/>
    <w:rsid w:val="00275423"/>
    <w:rsid w:val="00275435"/>
    <w:rsid w:val="0027548E"/>
    <w:rsid w:val="00276DB0"/>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536D"/>
    <w:rsid w:val="002A54FF"/>
    <w:rsid w:val="002A6ADE"/>
    <w:rsid w:val="002A6B55"/>
    <w:rsid w:val="002B009A"/>
    <w:rsid w:val="002B071B"/>
    <w:rsid w:val="002B0879"/>
    <w:rsid w:val="002B0936"/>
    <w:rsid w:val="002B0A4B"/>
    <w:rsid w:val="002B0AAC"/>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7BD"/>
    <w:rsid w:val="00316905"/>
    <w:rsid w:val="00317861"/>
    <w:rsid w:val="00317BCB"/>
    <w:rsid w:val="00321B6C"/>
    <w:rsid w:val="00321D7D"/>
    <w:rsid w:val="003231FC"/>
    <w:rsid w:val="0032369D"/>
    <w:rsid w:val="003236C2"/>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4DD5"/>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433B"/>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76D"/>
    <w:rsid w:val="00417210"/>
    <w:rsid w:val="004178C8"/>
    <w:rsid w:val="00421540"/>
    <w:rsid w:val="004220C8"/>
    <w:rsid w:val="004229C1"/>
    <w:rsid w:val="00422C76"/>
    <w:rsid w:val="00423769"/>
    <w:rsid w:val="0042419F"/>
    <w:rsid w:val="00424A0A"/>
    <w:rsid w:val="00424BB8"/>
    <w:rsid w:val="00424F61"/>
    <w:rsid w:val="004250C0"/>
    <w:rsid w:val="00426A00"/>
    <w:rsid w:val="00430CAC"/>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BFB"/>
    <w:rsid w:val="004F0C5D"/>
    <w:rsid w:val="004F39F5"/>
    <w:rsid w:val="004F4212"/>
    <w:rsid w:val="004F4B70"/>
    <w:rsid w:val="004F782C"/>
    <w:rsid w:val="00500508"/>
    <w:rsid w:val="00505096"/>
    <w:rsid w:val="00505AEE"/>
    <w:rsid w:val="00505D21"/>
    <w:rsid w:val="0050602F"/>
    <w:rsid w:val="005063DE"/>
    <w:rsid w:val="00506444"/>
    <w:rsid w:val="00506596"/>
    <w:rsid w:val="00507878"/>
    <w:rsid w:val="00510FE5"/>
    <w:rsid w:val="00512342"/>
    <w:rsid w:val="00512B5A"/>
    <w:rsid w:val="00513244"/>
    <w:rsid w:val="00514EAE"/>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357EF"/>
    <w:rsid w:val="005403C7"/>
    <w:rsid w:val="00540765"/>
    <w:rsid w:val="00541DA7"/>
    <w:rsid w:val="00542529"/>
    <w:rsid w:val="00542741"/>
    <w:rsid w:val="005441C9"/>
    <w:rsid w:val="00544664"/>
    <w:rsid w:val="00546848"/>
    <w:rsid w:val="00546D9F"/>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3639"/>
    <w:rsid w:val="005C3647"/>
    <w:rsid w:val="005C5A30"/>
    <w:rsid w:val="005C5DE5"/>
    <w:rsid w:val="005C5E78"/>
    <w:rsid w:val="005C624B"/>
    <w:rsid w:val="005C69DE"/>
    <w:rsid w:val="005C6F27"/>
    <w:rsid w:val="005D0068"/>
    <w:rsid w:val="005D0BA3"/>
    <w:rsid w:val="005D0D88"/>
    <w:rsid w:val="005D1F91"/>
    <w:rsid w:val="005D5E9E"/>
    <w:rsid w:val="005D66B3"/>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658B"/>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112E"/>
    <w:rsid w:val="006F3775"/>
    <w:rsid w:val="006F4457"/>
    <w:rsid w:val="006F44FE"/>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173"/>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5978"/>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FB7"/>
    <w:rsid w:val="0077078C"/>
    <w:rsid w:val="00770AF5"/>
    <w:rsid w:val="0077269C"/>
    <w:rsid w:val="00772B95"/>
    <w:rsid w:val="007737A3"/>
    <w:rsid w:val="00773BB8"/>
    <w:rsid w:val="007748A3"/>
    <w:rsid w:val="007749D9"/>
    <w:rsid w:val="0077517E"/>
    <w:rsid w:val="0077565E"/>
    <w:rsid w:val="00775A75"/>
    <w:rsid w:val="00776491"/>
    <w:rsid w:val="007765A0"/>
    <w:rsid w:val="00776650"/>
    <w:rsid w:val="007772F8"/>
    <w:rsid w:val="0077762D"/>
    <w:rsid w:val="00777EDA"/>
    <w:rsid w:val="00780634"/>
    <w:rsid w:val="0078115E"/>
    <w:rsid w:val="0078134B"/>
    <w:rsid w:val="007817BA"/>
    <w:rsid w:val="00781E1E"/>
    <w:rsid w:val="00782B6B"/>
    <w:rsid w:val="007833AC"/>
    <w:rsid w:val="00783CC3"/>
    <w:rsid w:val="007840A3"/>
    <w:rsid w:val="00785F3B"/>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289C"/>
    <w:rsid w:val="00822B8F"/>
    <w:rsid w:val="00823913"/>
    <w:rsid w:val="0082401E"/>
    <w:rsid w:val="0082480F"/>
    <w:rsid w:val="008252BC"/>
    <w:rsid w:val="00825312"/>
    <w:rsid w:val="00825376"/>
    <w:rsid w:val="0082585A"/>
    <w:rsid w:val="00826E34"/>
    <w:rsid w:val="00826FA0"/>
    <w:rsid w:val="008272B2"/>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5C87"/>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3B69"/>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26849"/>
    <w:rsid w:val="009310D6"/>
    <w:rsid w:val="00932AE8"/>
    <w:rsid w:val="00932CC4"/>
    <w:rsid w:val="009339D1"/>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A9F"/>
    <w:rsid w:val="009E6F32"/>
    <w:rsid w:val="009E74C1"/>
    <w:rsid w:val="009E7F70"/>
    <w:rsid w:val="009F3379"/>
    <w:rsid w:val="009F40E2"/>
    <w:rsid w:val="009F54CD"/>
    <w:rsid w:val="009F64CC"/>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36AD7"/>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73B"/>
    <w:rsid w:val="00A66B6F"/>
    <w:rsid w:val="00A67C2D"/>
    <w:rsid w:val="00A70014"/>
    <w:rsid w:val="00A7136D"/>
    <w:rsid w:val="00A743BD"/>
    <w:rsid w:val="00A753F2"/>
    <w:rsid w:val="00A7572B"/>
    <w:rsid w:val="00A759BF"/>
    <w:rsid w:val="00A77381"/>
    <w:rsid w:val="00A77A1A"/>
    <w:rsid w:val="00A80007"/>
    <w:rsid w:val="00A81A47"/>
    <w:rsid w:val="00A8295E"/>
    <w:rsid w:val="00A83AF9"/>
    <w:rsid w:val="00A84D67"/>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3257"/>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0AFE"/>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16F0"/>
    <w:rsid w:val="00B41FD3"/>
    <w:rsid w:val="00B42046"/>
    <w:rsid w:val="00B43466"/>
    <w:rsid w:val="00B451A5"/>
    <w:rsid w:val="00B45EE1"/>
    <w:rsid w:val="00B46733"/>
    <w:rsid w:val="00B54E92"/>
    <w:rsid w:val="00B572B5"/>
    <w:rsid w:val="00B60297"/>
    <w:rsid w:val="00B60E64"/>
    <w:rsid w:val="00B617F9"/>
    <w:rsid w:val="00B63250"/>
    <w:rsid w:val="00B64C27"/>
    <w:rsid w:val="00B66A92"/>
    <w:rsid w:val="00B66BD0"/>
    <w:rsid w:val="00B67376"/>
    <w:rsid w:val="00B70EBF"/>
    <w:rsid w:val="00B72700"/>
    <w:rsid w:val="00B73746"/>
    <w:rsid w:val="00B749EA"/>
    <w:rsid w:val="00B7631C"/>
    <w:rsid w:val="00B76BB7"/>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736E"/>
    <w:rsid w:val="00BA0C4C"/>
    <w:rsid w:val="00BA35F8"/>
    <w:rsid w:val="00BA422E"/>
    <w:rsid w:val="00BA46B1"/>
    <w:rsid w:val="00BA4907"/>
    <w:rsid w:val="00BA59EB"/>
    <w:rsid w:val="00BA5B5B"/>
    <w:rsid w:val="00BA69D3"/>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CFF"/>
    <w:rsid w:val="00BD24F1"/>
    <w:rsid w:val="00BD3534"/>
    <w:rsid w:val="00BD608A"/>
    <w:rsid w:val="00BD793A"/>
    <w:rsid w:val="00BD7A36"/>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BEA"/>
    <w:rsid w:val="00C2008B"/>
    <w:rsid w:val="00C2142A"/>
    <w:rsid w:val="00C21642"/>
    <w:rsid w:val="00C21DB4"/>
    <w:rsid w:val="00C223C7"/>
    <w:rsid w:val="00C22792"/>
    <w:rsid w:val="00C23186"/>
    <w:rsid w:val="00C23B6D"/>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2C30"/>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468"/>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79D"/>
    <w:rsid w:val="00DF53AC"/>
    <w:rsid w:val="00DF58DD"/>
    <w:rsid w:val="00DF5A86"/>
    <w:rsid w:val="00DF6990"/>
    <w:rsid w:val="00DF7649"/>
    <w:rsid w:val="00DF7A39"/>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13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3854"/>
    <w:rsid w:val="00E940DF"/>
    <w:rsid w:val="00E94154"/>
    <w:rsid w:val="00EA2EE1"/>
    <w:rsid w:val="00EA339B"/>
    <w:rsid w:val="00EA3F3F"/>
    <w:rsid w:val="00EA3F88"/>
    <w:rsid w:val="00EA630C"/>
    <w:rsid w:val="00EA6568"/>
    <w:rsid w:val="00EB0C28"/>
    <w:rsid w:val="00EB5ECF"/>
    <w:rsid w:val="00EB6A20"/>
    <w:rsid w:val="00EB7F64"/>
    <w:rsid w:val="00EC030F"/>
    <w:rsid w:val="00EC1B93"/>
    <w:rsid w:val="00EC2827"/>
    <w:rsid w:val="00EC2C14"/>
    <w:rsid w:val="00EC3422"/>
    <w:rsid w:val="00EC3FCB"/>
    <w:rsid w:val="00EC45E9"/>
    <w:rsid w:val="00EC4CF2"/>
    <w:rsid w:val="00EC4D93"/>
    <w:rsid w:val="00EC4E6F"/>
    <w:rsid w:val="00EC6544"/>
    <w:rsid w:val="00EC6F1E"/>
    <w:rsid w:val="00ED009A"/>
    <w:rsid w:val="00ED09F6"/>
    <w:rsid w:val="00ED1434"/>
    <w:rsid w:val="00ED1F3E"/>
    <w:rsid w:val="00ED6D08"/>
    <w:rsid w:val="00ED6FE2"/>
    <w:rsid w:val="00ED7412"/>
    <w:rsid w:val="00ED7455"/>
    <w:rsid w:val="00ED76D2"/>
    <w:rsid w:val="00EE00B8"/>
    <w:rsid w:val="00EE2696"/>
    <w:rsid w:val="00EE5B34"/>
    <w:rsid w:val="00EE6CA0"/>
    <w:rsid w:val="00EE76BD"/>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1A8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3BE7"/>
    <w:rsid w:val="00F45CD9"/>
    <w:rsid w:val="00F46A1B"/>
    <w:rsid w:val="00F4754B"/>
    <w:rsid w:val="00F477BE"/>
    <w:rsid w:val="00F50AD6"/>
    <w:rsid w:val="00F522ED"/>
    <w:rsid w:val="00F56B61"/>
    <w:rsid w:val="00F573EA"/>
    <w:rsid w:val="00F57807"/>
    <w:rsid w:val="00F624B0"/>
    <w:rsid w:val="00F62568"/>
    <w:rsid w:val="00F62ED1"/>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v:textbox inset="0,0,0,0"/>
    </o:shapedefaults>
    <o:shapelayout v:ext="edit">
      <o:idmap v:ext="edit" data="1"/>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hr-HR"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hr-HR"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hr-HR"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2.xml><?xml version="1.0" encoding="utf-8"?>
<ds:datastoreItem xmlns:ds="http://schemas.openxmlformats.org/officeDocument/2006/customXml" ds:itemID="{2F1B27C0-57A6-42C7-8401-2BB0EBF0AC1A}">
  <ds:schemaRefs>
    <ds:schemaRef ds:uri="http://schemas.openxmlformats.org/officeDocument/2006/bibliography"/>
  </ds:schemaRefs>
</ds:datastoreItem>
</file>

<file path=customXml/itemProps3.xml><?xml version="1.0" encoding="utf-8"?>
<ds:datastoreItem xmlns:ds="http://schemas.openxmlformats.org/officeDocument/2006/customXml" ds:itemID="{AFFAE9ED-5B06-4504-B62A-E277B6175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20826</Words>
  <Characters>133392</Characters>
  <Application>Microsoft Office Word</Application>
  <DocSecurity>0</DocSecurity>
  <Lines>1111</Lines>
  <Paragraphs>307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153911</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2020-09-30T07:28:00Z</dcterms:created>
  <dcterms:modified xsi:type="dcterms:W3CDTF">2020-12-11T09:02:00Z</dcterms:modified>
</cp:coreProperties>
</file>