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bookmarkStart w:id="0" w:name="_GoBack"/>
      <w:bookmarkEnd w:id="0"/>
      <w:r>
        <w:rPr>
          <w:rFonts w:ascii="Times New Roman" w:hAnsi="Times New Roman"/>
          <w:sz w:val="24"/>
        </w:rPr>
        <w:t>BILAG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INSTRUKSER VEDRØRENDE INDBERETNING OM YDERLIGERE PARAMETRE FOR LIKVIDITETSOVERVÅGNING</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Yderligere parametre for likviditetsovervågning</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1" w:name="_Toc308175819"/>
      <w:bookmarkStart w:id="2" w:name="_Toc310414966"/>
      <w:r>
        <w:rPr>
          <w:rFonts w:ascii="Times New Roman" w:hAnsi="Times New Roman"/>
          <w:sz w:val="24"/>
        </w:rPr>
        <w:t xml:space="preserve">Generelt </w:t>
      </w:r>
      <w:bookmarkEnd w:id="1"/>
      <w:bookmarkEnd w:id="2"/>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Med henblik på at overvåge den del af et instituts likviditetsrisiko, der ikke er omfattet af indberetningerne vedrørende likviditetsdækning og stabil finansiering, skal institutterne udfylde skemaet i bilag XVIII i overensstemmelse med instrukserne i nærværende bilag.</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Ved finansiering i alt forstås alle forpligtelser, bortset fra derivater og korte positioner.</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Finansiering med åben løbetid, herunder på anfordringsindskud, anses for at have dag-til-dag-løbetid.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Oprindelig løbetid er tiden mellem indgåelsesdatoen og finansieringens forfaldsdato. Finansieringens forfaldsdato bestemmes i overensstemmelse med punkt 12 i bilag XXIII. I tilfælde af optionalitet såsom i forbindelse med punkt 12 i bilag XXIII betyder dette, at en finansieringsposts oprindelige løbetid kan være kortere end den tid, der er gået siden indgåelsen.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Restløbetid er tiden mellem indberetningsperiodens slutning og finansieringens forfaldsdato. Finansieringens forfaldsdato bestemmes i overensstemmelse med punkt 12 i bilag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Med henblik på at beregne den vægtede gennemsnitlige oprindelige løbetid eller resteløbetid anses indskud med dag-til-dag-løbetid for at have en løbetid på én dag.</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Med henblik på at beregne den oprindelige løbetid og restløbetiden, når der er finansiering med en opsigelsesfrist eller klausul om annullering eller hævning før tid for instituttets modpart, antages hævning på den første mulige dato.</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Hvad angår vedvarende forpligtelser, bortset fra vedvarende forpligtelser omfattet af optionalitet som omhandlet i punkt 12 i bilag XXIII, antages en fast løbetid og restløbetid på tyve år.</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Med henblik på at beregne den i indberetningsskema C 67.00 og C 68.00 omhandlede tærskel (udtrykt i procent) efter væsentlig valuta skal institutterne anvende en tærskel på 1 % af samlede forpligtelser i alle valutaer.</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Koncentration af finansiering efter modpart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For at indhente oplysninger om de indberettende institutters koncentration af finansiering efter modpart i C 67.00 skal institutterne anvende instrukserne i dette afsnit.</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Institutterne skal indberette de ti største modparter eller en gruppe af indbyrdes forbundne kunder, som defineret i artikel 4, nr. stk. 1, nr. 39), i forordning (EU) nr. 575/2013, fra hvilke den modtagne finansiering fra hver modpart eller gruppe af indbyrdes forbundne kunder overstiger en tærskel på 1 % af de samlede forpligtelser i posterne i skemaets afsnit 1, række 020-110. Den modpart, der indberettes under post 1.01, skal være den, der tegner sig for det største finansieringsbeløb modtaget fra en modpart eller en gruppe af indbyrdes </w:t>
      </w:r>
      <w:r>
        <w:rPr>
          <w:sz w:val="24"/>
          <w:u w:val="none"/>
        </w:rPr>
        <w:lastRenderedPageBreak/>
        <w:t>forbundne kunder, som ligger over tærsklen på 1 % pr. indberetningsdatoen. Post 1.02 skal være den næststørste over tærsklen på 1 % og på lignende vis med de øvrige poster.</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Hvis en modpart tilhører flere grupper af indbyrdes forbundne kunder, indberettes denne kun én gang i gruppen med den største finansiering.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Institutterne skal indberette det samlede beløb for al anden øvrig finansiering i afsnit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Summen af afsnit 1 og 2 skal svare til et instituts samlede finansiering, som de fremgår af dets balance indberettet inden for rammerne af den regnskabsmæssige indberetning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For hver modpart skal institutterne indberette alle kolonner fra 010 til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Hvis der modtages finansiering i mere end én produkttype, skal den indberettede type være det produkt, i hvilket den største finansieringsandel er modtaget. Der kan træffes rimelige foranstaltninger til at identificere den underliggende indehaver af værdipapirerne. Hvis et institut har oplysninger om indehaveren af værdipapirerne i kraft a sin rolle som depotbank, skal dette beløb indgå ved indberetningen af koncentrationen af modparter. Hvis der ikke foreligger oplysninger om indehaveren af værdipapirerne, er det ikke nødvendigt at indberette det pågældende beløb.</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Instrukser vedrørende specifikke kolonner: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Kolonne</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Henvisninger til retsakter og instrukser</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Modpartens navn</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Navnet på hver modpart, fra hvem den modtagne finansiering overstiger 1 % af de samlede forpligtelser, skal angives i kolonne 010 i aftagende rækkefølge, dvs. efter størrelsen af den modtagne finansiering.</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Navnet på modparten, uanset om modparten er en juridisk enhed eller en fysisk person, skal indberettes. Når modparten er en juridisk enhed, skal det navn på modparten, der angives, være det fulde navn på den juridiske enhed, som finansieringen kommer fra, inklusive eventuelle angivelser af selskabsform i overensstemmelse med national selskabsret.</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Kode</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Koden er en ID-kode for rækken og skal være unik for hver modpart. For institutter og forsikringsselskaber er koden LEI-koden. For andre enheder er koden LEI-koden, eller, hvis en sådan ikke foreligger, en national kode. Koden skal være unik og skal anvendes konsekvent i alle skemaer og over tid. Koden skal altid have en værdi.</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Kodetype</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Institutter skal identificere typen af kode indberettet i kolonne 015 som "LEI-kode" eller "ikke-LEI-kode".</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Kodetypen skal altid indberettes.</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National kode</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Institutter kan endvidere indberette den nationale kode, når de indberetter en LEI-kode som ID i kolonnen "Kode".</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Modpartens sektor</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Der skal tildeles én sektor til hver modpart på grundlag af </w:t>
            </w:r>
            <w:proofErr w:type="spellStart"/>
            <w:r>
              <w:rPr>
                <w:rStyle w:val="FormatvorlageInstructionsTabelleText"/>
                <w:rFonts w:ascii="Times New Roman" w:hAnsi="Times New Roman"/>
                <w:sz w:val="24"/>
              </w:rPr>
              <w:t>FINREP's</w:t>
            </w:r>
            <w:proofErr w:type="spellEnd"/>
            <w:r>
              <w:rPr>
                <w:rStyle w:val="FormatvorlageInstructionsTabelleText"/>
                <w:rFonts w:ascii="Times New Roman" w:hAnsi="Times New Roman"/>
                <w:sz w:val="24"/>
              </w:rPr>
              <w:t xml:space="preserve"> økonomiske sektorklasser:</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Centralbanker ii) Offentlig forvaltning og service iii) Kreditinstitutter iv) Andre finansielle selskaber v) Ikkefinansielle selskaber vi) Husholdninger.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For grupper af indbyrdes forbundne kunder indberettes ingen sektor.</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Modpartens hjemsted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Der anvendes </w:t>
            </w:r>
            <w:proofErr w:type="spellStart"/>
            <w:r>
              <w:rPr>
                <w:rStyle w:val="FormatvorlageInstructionsTabelleText"/>
                <w:rFonts w:ascii="Times New Roman" w:hAnsi="Times New Roman"/>
                <w:sz w:val="24"/>
              </w:rPr>
              <w:t>tobogstavskode</w:t>
            </w:r>
            <w:proofErr w:type="spellEnd"/>
            <w:r>
              <w:rPr>
                <w:rStyle w:val="FormatvorlageInstructionsTabelleText"/>
                <w:rFonts w:ascii="Times New Roman" w:hAnsi="Times New Roman"/>
                <w:sz w:val="24"/>
              </w:rPr>
              <w:t xml:space="preserve"> efter ISO 3166-1-standarden for det land, hvor modparten har sit hjemsted (herunder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 xml:space="preserve">-ISO-koder for internationale organisationer, som anført i den seneste udgave af Eurostats "Balance of Payments Vademecum").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For grupper af indbyrdes forbundne kunder indberettes ikke noget land.</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Produkttype</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Modparter, der indberettes i kolonne 010, skal tildeles en produkttype svarende til det udstedte produkt, i hvilket finansieringen blev modtaget, eller i hvilket den største andel af finansieringen blev modtaget for så vidt angår blandede produkttyper. Hertil anvendes følgende koder angivet med fed skrift:</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UWF</w:t>
            </w:r>
            <w:r>
              <w:rPr>
                <w:rFonts w:ascii="Times New Roman" w:hAnsi="Times New Roman"/>
                <w:color w:val="000000"/>
                <w:sz w:val="24"/>
              </w:rPr>
              <w:t xml:space="preserve"> (usikret engrosfinansiering fra finansielle kunder, herunder via </w:t>
            </w:r>
            <w:proofErr w:type="spellStart"/>
            <w:r>
              <w:rPr>
                <w:rFonts w:ascii="Times New Roman" w:hAnsi="Times New Roman"/>
                <w:color w:val="000000"/>
                <w:sz w:val="24"/>
              </w:rPr>
              <w:t>interbankmarkedet</w:t>
            </w:r>
            <w:proofErr w:type="spellEnd"/>
            <w:r>
              <w:rPr>
                <w:rFonts w:ascii="Times New Roman" w:hAnsi="Times New Roman"/>
                <w:color w:val="000000"/>
                <w:sz w:val="24"/>
              </w:rPr>
              <w:t>)</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UWNF</w:t>
            </w:r>
            <w:r>
              <w:rPr>
                <w:rFonts w:ascii="Times New Roman" w:hAnsi="Times New Roman"/>
                <w:color w:val="000000"/>
                <w:sz w:val="24"/>
              </w:rPr>
              <w:t xml:space="preserve"> (usikret engrosfinansiering fra ikkefinansielle kunder)</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SFT</w:t>
            </w:r>
            <w:r>
              <w:rPr>
                <w:rFonts w:ascii="Times New Roman" w:hAnsi="Times New Roman"/>
                <w:color w:val="000000"/>
                <w:sz w:val="24"/>
              </w:rPr>
              <w:t xml:space="preserve"> (finansiering gennem genkøbsaftaler som defineret i artikel 4, stk. 1, nr. 82), i forordning (EU) nr.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CB</w:t>
            </w:r>
            <w:r>
              <w:rPr>
                <w:rFonts w:ascii="Times New Roman" w:hAnsi="Times New Roman"/>
                <w:color w:val="000000"/>
                <w:sz w:val="24"/>
              </w:rPr>
              <w:t xml:space="preserve"> (finansiering på grundlag af udstedelse af dækkede obligationer som defineret i artikel 129, stk. 4 eller 5, i forordning (EU) nr. 575/2013 eller artikel 52, stk. 4, i direktiv 2009/65/EF)</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ABS</w:t>
            </w:r>
            <w:r>
              <w:rPr>
                <w:rFonts w:ascii="Times New Roman" w:hAnsi="Times New Roman"/>
                <w:color w:val="000000"/>
                <w:sz w:val="24"/>
              </w:rPr>
              <w:t xml:space="preserve"> (finansiering på grundlag af udstedelse af værdipapirer med sikkerhed i aktiver (asset </w:t>
            </w:r>
            <w:proofErr w:type="spellStart"/>
            <w:r>
              <w:rPr>
                <w:rFonts w:ascii="Times New Roman" w:hAnsi="Times New Roman"/>
                <w:color w:val="000000"/>
                <w:sz w:val="24"/>
              </w:rPr>
              <w:t>backed</w:t>
            </w:r>
            <w:proofErr w:type="spellEnd"/>
            <w:r>
              <w:rPr>
                <w:rFonts w:ascii="Times New Roman" w:hAnsi="Times New Roman"/>
                <w:color w:val="000000"/>
                <w:sz w:val="24"/>
              </w:rPr>
              <w:t xml:space="preserve"> </w:t>
            </w:r>
            <w:proofErr w:type="spellStart"/>
            <w:r>
              <w:rPr>
                <w:rFonts w:ascii="Times New Roman" w:hAnsi="Times New Roman"/>
                <w:color w:val="000000"/>
                <w:sz w:val="24"/>
              </w:rPr>
              <w:t>securities</w:t>
            </w:r>
            <w:proofErr w:type="spellEnd"/>
            <w:r>
              <w:rPr>
                <w:rFonts w:ascii="Times New Roman" w:hAnsi="Times New Roman"/>
                <w:color w:val="000000"/>
                <w:sz w:val="24"/>
              </w:rPr>
              <w:t xml:space="preserve"> - ABS), herunder kortfristede gældsbreve (</w:t>
            </w:r>
            <w:proofErr w:type="spellStart"/>
            <w:r>
              <w:rPr>
                <w:rFonts w:ascii="Times New Roman" w:hAnsi="Times New Roman"/>
                <w:color w:val="000000"/>
                <w:sz w:val="24"/>
              </w:rPr>
              <w:t>commercial</w:t>
            </w:r>
            <w:proofErr w:type="spellEnd"/>
            <w:r>
              <w:rPr>
                <w:rFonts w:ascii="Times New Roman" w:hAnsi="Times New Roman"/>
                <w:color w:val="000000"/>
                <w:sz w:val="24"/>
              </w:rPr>
              <w:t xml:space="preserve"> </w:t>
            </w:r>
            <w:proofErr w:type="spellStart"/>
            <w:r>
              <w:rPr>
                <w:rFonts w:ascii="Times New Roman" w:hAnsi="Times New Roman"/>
                <w:color w:val="000000"/>
                <w:sz w:val="24"/>
              </w:rPr>
              <w:t>paper</w:t>
            </w:r>
            <w:proofErr w:type="spellEnd"/>
            <w:r>
              <w:rPr>
                <w:rFonts w:ascii="Times New Roman" w:hAnsi="Times New Roman"/>
                <w:color w:val="000000"/>
                <w:sz w:val="24"/>
              </w:rPr>
              <w:t xml:space="preserve"> — ABCP)</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(finansiering modtaget fra koncerninterne modparter)</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(anden usikret engrosfinansiering)</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(andre finansieringsprodukter, f.eks. detailfinansiering).</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Modtaget beløb</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Finansiering i alt modtaget fra modparter indberettet i kolonne 010 skal angives i kolonne 060, og institutterne skal der indberette regnskabsmæssige værdier.</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Vægtet gennemsnitlig oprindelig løbetid</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For den modtagne finansiering indberettet i kolonne 060 fra den i kolonne 010 indberettede modpart skal der i kolonne 070 angives en vægtet gennemsnitlig oprindelig løbetid.</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Den vægtede gennemsnitlige oprindelige løbetid beregnes som den gennemsnitlige oprindelige løbetid (i dage) for den finansiering, der er modtaget fra den pågældende modpart. Gennemsnittet skal vægtes efter størrelse, baseret på størrelsen af forskellige modtagne finansieringsbeløb i forhold til den samlede finansiering, der er modtaget fra den pågældende modpart.</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Vægtet gennemsnitlig restløbetid</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For den modtagne finansiering indberettet i kolonne 060 fra den i kolonne 010 indberettede modpart skal der i kolonne 080 angives en vægtet gennemsnitlig restløbetid i antal dage.</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Den vægtede gennemsnitlige restløbetid beregnes som den gennemsnitlige løbetid i resterende dage for den finansiering, der er modtaget fra den pågældende modpart. Gennemsnittet skal vægtes efter størrelse, baseret på størrelsen af forskellige modtagne finansieringsbeløb i forhold til den samlede finansiering, der er modtaget fra den pågældende modpart.</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Koncentration af finansiering efter produkttype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Formålet med dette skema er at indsamle oplysninger om det indberettende instituts koncentration af finansiering efter produkttype, opdelt efter de finansieringstyper, der er angivet i følgende rækkeinstrukser: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Række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Detailfinansiering</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Detailindskud som defineret i artikel 3, nr. 8), i delegeret forordning (EU)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Heraf anfordringsindskud</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Den detailfinansiering i række 010, der er anfordringsindskud.</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Heraf tidsindskud, der ikke kan hæves inden for de følgende 30 dage</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Den detailfinansiering i række 010, der er tidsindskud, der ikke kan hæves inden for de følgende 30 dage.</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Heraf tidsindskud, der kan hæves inden for de følgende 30 dage</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Den detailfinansiering i række 010, der er tidsindskud, der kan hæves inden for de følgende 30 dage.</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Heraf opsparingskonti med et af følgende karakteristika</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lastRenderedPageBreak/>
              <w:t>Den detailfinansiering i række 010, der er opsparingskonti med et af følgende karakteristika:</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Med en opsigelsesfrist på over 30 dage</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Uden en opsigelsesfrist på over 30 dage</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Denne række indberettes ikke.</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Med en opsigelsesfrist på over 30 dage</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Den detailfinansiering i række 010, der er opsparingskonti med en opsigelsesfrist på over 30 dage.</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Uden en opsigelsesfrist på over 30 dage</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Den detailfinansiering i række 010, der er opsparingskonti uden en opsigelsesfrist på over 30 dage.</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Følgende betragtes som engrosfinansiering:</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Alle andre modparter end dem for detailindskud som defineret i artikel 3, nr. 8), i delegeret forordning (EU)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Denne række indberettes ikke.</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Usikret engrosfinansiering</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Alle andre modparter end dem for detailindskud som defineret i artikel 3, nr. 8), i delegeret forordning (EU) 2015/61, hvor finansieringen er usikret.</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Heraf lån og indskud fra finansielle kunder</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Den finansiering i række 110, der består af lån og indskud fra finansielle kunder.</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Finansiering fra centralbanker medtages ikke i denne række.</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Heraf lån og indskud fra ikkefinansielle kunder</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Den finansiering i række 110, der består af lån og indskud fra ikkefinansielle kunder.</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Finansiering fra centralbanker medtages ikke i denne række.</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Heraf lån og indskud fra koncerninterne enheder</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Den finansiering i række 110, der består af lån og indskud fra koncerninterne enheder.</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Engrosfinansiering fra koncerninterne enheder skal kun indberettes på individuelt eller delkonsolideret grundlag.</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 xml:space="preserve">Sikret engrosfinansiering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Alle andre modparter end dem for detailindskud som defineret i artikel 3, nr. 8), i delegeret forordning (EU) 2015/61, hvor finansieringen er sikret.</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 xml:space="preserve">Heraf </w:t>
            </w:r>
            <w:proofErr w:type="spellStart"/>
            <w:r>
              <w:rPr>
                <w:rFonts w:ascii="Times New Roman" w:hAnsi="Times New Roman"/>
                <w:b/>
                <w:sz w:val="24"/>
                <w:u w:val="single"/>
              </w:rPr>
              <w:t>vædipapirfinansieringstransaktioner</w:t>
            </w:r>
            <w:proofErr w:type="spellEnd"/>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Den finansiering i række 150, som er finansiering opnået gennem genkøbsaftaler som defineret i artikel 4, stk. 82, nr. 1), i forordning (EU) nr.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Heraf udstedelse af dækkede obligationer</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Den finansiering i række 150, som er finansiering opnået på grundlag af udstedelse af dækkede obligationer som defineret i artikel 129, stk. 4 eller 5, i forordning (EU) nr. 575/2013 eller artikel 52, stk. 4, i direktiv 2009/65/EF.</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 xml:space="preserve">Heraf udstedelse af værdipapirer med sikkerhed i aktiver (asset </w:t>
            </w:r>
            <w:proofErr w:type="spellStart"/>
            <w:r>
              <w:rPr>
                <w:rFonts w:ascii="Times New Roman" w:hAnsi="Times New Roman"/>
                <w:b/>
                <w:sz w:val="24"/>
                <w:u w:val="single"/>
              </w:rPr>
              <w:t>backed</w:t>
            </w:r>
            <w:proofErr w:type="spellEnd"/>
            <w:r>
              <w:rPr>
                <w:rFonts w:ascii="Times New Roman" w:hAnsi="Times New Roman"/>
                <w:b/>
                <w:sz w:val="24"/>
                <w:u w:val="single"/>
              </w:rPr>
              <w:t xml:space="preserve"> </w:t>
            </w:r>
            <w:proofErr w:type="spellStart"/>
            <w:r>
              <w:rPr>
                <w:rFonts w:ascii="Times New Roman" w:hAnsi="Times New Roman"/>
                <w:b/>
                <w:sz w:val="24"/>
                <w:u w:val="single"/>
              </w:rPr>
              <w:t>securities</w:t>
            </w:r>
            <w:proofErr w:type="spellEnd"/>
            <w:r>
              <w:rPr>
                <w:rFonts w:ascii="Times New Roman" w:hAnsi="Times New Roman"/>
                <w:b/>
                <w:sz w:val="24"/>
                <w:u w:val="single"/>
              </w:rPr>
              <w:t xml:space="preserve"> — ABS)</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Den finansiering i række 150, som er finansiering opnået gennem udstedelse af værdipapirer med sikkerhed i aktiver, herunder også kortfristede gældsbreve (</w:t>
            </w:r>
            <w:proofErr w:type="spellStart"/>
            <w:r>
              <w:rPr>
                <w:rFonts w:ascii="Times New Roman" w:hAnsi="Times New Roman"/>
                <w:sz w:val="24"/>
              </w:rPr>
              <w:t>commercial</w:t>
            </w:r>
            <w:proofErr w:type="spellEnd"/>
            <w:r>
              <w:rPr>
                <w:rFonts w:ascii="Times New Roman" w:hAnsi="Times New Roman"/>
                <w:sz w:val="24"/>
              </w:rPr>
              <w:t xml:space="preserve"> </w:t>
            </w:r>
            <w:proofErr w:type="spellStart"/>
            <w:r>
              <w:rPr>
                <w:rFonts w:ascii="Times New Roman" w:hAnsi="Times New Roman"/>
                <w:sz w:val="24"/>
              </w:rPr>
              <w:t>paper</w:t>
            </w:r>
            <w:proofErr w:type="spellEnd"/>
            <w:r>
              <w:rPr>
                <w:rFonts w:ascii="Times New Roman" w:hAnsi="Times New Roman"/>
                <w:sz w:val="24"/>
              </w:rPr>
              <w:t>) med sikkerhed i aktiver.</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Heraf lån og indskud fra koncerninterne enheder</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Den finansiering i række 150, der er finansiering fra koncerninterne enheder.</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Engrosfinansiering fra koncerninterne enheder skal kun indberettes på individuelt eller delkonsolideret grundlag.</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Institutterne skal i skemaet indberette den samlede finansiering, som er modtaget fra hver produkttype, der overstiger en tærskel på 1 % af de samlede forpligtelser.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For hver produkttype skal institutterne indberette alle kolonner fra 010 til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Tærsklen på 1 % af de samlede forpligtelser, skal anvendes til at bestemme de produkter, fra hvilke der er opnået finansiering i overensstemmelse med følgende:</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211EF2">
        <w:rPr>
          <w:u w:val="none"/>
        </w:rPr>
        <w:tab/>
      </w:r>
      <w:r>
        <w:rPr>
          <w:sz w:val="24"/>
          <w:u w:val="none"/>
        </w:rPr>
        <w:t xml:space="preserve">Tærsklen på 1 % af de samlede forpligtelser skal anvendes for de produkter, der er omhandlet i samtlige følgende rækker: 1.1 "Anfordringsindskud", 1.2 "Tidsindskud, der ikke kan hæves inden for de følgende 30 dage", 1.3 "Tidsindskud i løbet af de følgende 30 dage", 1.4 "Opsparingskonti", 2.1 "Usikret engrosfinansiering", 2.2 "Sikret engrosfinansiering".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211EF2">
        <w:rPr>
          <w:u w:val="none"/>
        </w:rPr>
        <w:tab/>
      </w:r>
      <w:r>
        <w:rPr>
          <w:sz w:val="24"/>
          <w:u w:val="none"/>
        </w:rPr>
        <w:t>Med hensyn til beregningen af tærsklen på 1 % for samlede forpligtelser for række 1.4 "Opsparingskonti" skal tærsklen anvendes på summen af 1.4.1 og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211EF2">
        <w:rPr>
          <w:u w:val="none"/>
        </w:rPr>
        <w:tab/>
      </w:r>
      <w:r>
        <w:rPr>
          <w:sz w:val="24"/>
          <w:u w:val="none"/>
        </w:rPr>
        <w:t>For række 1. "Detailfinansiering" og 2. "Engrosfinansiering" anvendes tærsklen på 1 % af samlede forpligtelser kun på aggregeret niveau.</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De tal, der indberettes i række 1. "</w:t>
      </w:r>
      <w:proofErr w:type="spellStart"/>
      <w:r>
        <w:rPr>
          <w:sz w:val="24"/>
          <w:u w:val="none"/>
        </w:rPr>
        <w:t>Detail</w:t>
      </w:r>
      <w:proofErr w:type="spellEnd"/>
      <w:r>
        <w:rPr>
          <w:sz w:val="24"/>
          <w:u w:val="none"/>
        </w:rPr>
        <w:t xml:space="preserve">", 2.1 "Usikret engrosfinansiering" og 2.2 "Sikret engrosfinansiering", kan omfatte bredere produkttyper end de underliggende "heraf"-poster.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Kolonne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Modtaget regnskabsmæssig værdi</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Den regnskabsmæssige værdi af modtagen finansiering for hver af produktkategorierne i kolonnen "Produktnavn" skal indberettes i skemaets kolonne 010.</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Beløb omfattet af en indskudsgarantiordning i henhold til direktiv 2014/49/EU eller en tilsvarende indskudsgarantiordning i et tredjeland</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Her angives, hvor stor en andel af den samlede finansiering angivet i kolonne 010, som er modtaget for hver af de i kolonnen "Produktnavn" anførte produktkategorier, der er omfattet af en indskudsgarantiordning i overensstemmelse med direktiv 2014/49/EU eller en tilsvarende indskudsgarantiordning i et tredjeland.</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De i kolonne 020 og kolonne 030 anførte beløb for hver af produktkategorierne i kolonnen "Produktnavn" skal svare til det indberettede samlede modtagne beløb i kolonne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Beløb, der ikke er omfattet af en indskudsgarantiordning i henhold til direktiv 2014/49/EU eller en tilsvarende indskudsgarantiordning i et tredjeland</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Her angives, hvor stor en andel af den samlede finansiering angivet i kolonne 010, som er modtaget for hver af de i kolonnen "Produktnavn" anførte produktkategorier, der </w:t>
            </w:r>
            <w:r>
              <w:rPr>
                <w:rFonts w:ascii="Times New Roman" w:hAnsi="Times New Roman"/>
                <w:sz w:val="24"/>
                <w:u w:val="single"/>
              </w:rPr>
              <w:t>ikke</w:t>
            </w:r>
            <w:r>
              <w:rPr>
                <w:rFonts w:ascii="Times New Roman" w:hAnsi="Times New Roman"/>
                <w:sz w:val="24"/>
              </w:rPr>
              <w:t xml:space="preserve"> er omfattet af en indskudsgarantiordning i overensstemmelse med direktiv 2014/49/EU eller en tilsvarende indskudsgarantiordning i et tredjeland.</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De i kolonne 020 og kolonne 030 anførte beløb for hver af produktkategorierne i kolonnen "Produktnavn" skal svare til det indberettede samlede modtagne beløb i kolonne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Vægtet gennemsnitlig oprindelig løbetid</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For den modtagne finansiering indberettet i kolonne 010 fra de i kolonnen "Produktnavn" indberettede produktkategorier, skal der angives en vægtet gennemsnitlig oprindelig løbetid (i dage).</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Den vægtede gennemsnitlige oprindelige løbetid beregnes som den gennemsnitlige oprindelige løbetid (i dage)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Vægtet gennemsnitlig restløbetid</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For den modtagne finansiering indberettet i kolonne 010 fra de i kolonnen "Produktnavn" indberettede produktkategorier skal der angives en vægtet gennemsnitlig restløbetid (i dage).</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 xml:space="preserve">Den vægtede gennemsnitlige restløbetid beregnes som den gennemsnitlige løbetid (i dage), der er tilbage for den finansiering, der er modtaget for den pågældende produkttype. Gennemsnittet skal vægtes efter størrelse, baseret på størrelsen af forskellige modtagne </w:t>
            </w:r>
            <w:r>
              <w:rPr>
                <w:rFonts w:ascii="Times New Roman" w:hAnsi="Times New Roman"/>
                <w:sz w:val="24"/>
              </w:rPr>
              <w:lastRenderedPageBreak/>
              <w:t>finansieringsbeløb i forhold til den samlede finansiering, der er modtaget fra alle udstedelser af den pågældende produkttype.</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Priser for finansiering med forskellig løbetid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Institutterne skal indberette oplysningerne om transaktionsvolumen og priser betalt af institutterne for finansiering, der er opnået i indberetningsperioden og stadig til stede ved indberetningsperiodens slutning, i skema C 69.00 i overensstemmelse med følgende oprindelige løbetider:</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dag-til-dag (kolonne 010 og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over dag-til-dag og mindre end eller lig med 1 uge (kolonne 030 og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over 1 uge og mindre end eller lig med 1 måned (kolonne 050 og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over 1 måned og mindre end eller lig med 3 måneder (kolonne 070 og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over 3 måneder og mindre end eller lig med 6 måneder (kolonne 090 og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over 6 måneder og mindre end eller lig med 1 år (kolonne 110 og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over 1 år og mindre end eller lig med 2 år (kolonne 130 og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over 2 år og mindre end eller lig med 5 år (kolonne 150 og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over 5 år og mindre end eller lig med 10 år (kolonne 170 og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I tilfælde af valutarevalueringer opnås der ingen ny finansiering i den oprindelige valuta, og det indberettende institut har ikke betalt mere end den oprindelige pris ved den første deponering af midler. Der indberettes derfor ikke en positiv stigning som følge af valutarevalueringen i dette skema.</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Ved fastlæggelse af løbetiden for den modtagne finansiering skal institutterne se bort fra perioden mellem handelsdagen og afviklingsdagen, f.eks. skal en tremåneders forpligtelse med afregning om to uger indberettes under "3 måneders løbetid" (kolonne 070 og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Det spænd, der indberettes i venstre kolonne for hver løbetidsklasse, skal være et af følgende:</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det spænd, der skal betales af instituttet, for forpligtelser på ikke over et år, hvis de skulle ombyttes til det som benchmark gældende dag-til-dag-indeks for den relevante valuta senest ved lukketid på dagen for transaktionen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det spænd, der skal betales af instituttet ved udstedelsen for forpligtelser med en oprindelig løbetid på over et år, hvis de skulle ombyttes til det relevante benchmark (variabel, tre måneder — EURIBOR for EUR eller et lignende indeks for andre valutaer) senest ved lukketid på dagen for transaktionen.</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Alene med henblik på beregning af spænd, jf. litra a) og b) ovenfor, kan instituttet på grundlag af historiske erfaringer bestemme den oprindelige løbetid med eller uden hensyntagen til optionalitet, alt efter hvad der er relevant.</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lastRenderedPageBreak/>
        <w:t xml:space="preserve">Spænd skal indberettes i basispoint med negativt fortegn, hvis den nye finansiering er billigere end under den relevante </w:t>
      </w:r>
      <w:proofErr w:type="spellStart"/>
      <w:r>
        <w:rPr>
          <w:sz w:val="24"/>
          <w:u w:val="none"/>
        </w:rPr>
        <w:t>benchmarksats</w:t>
      </w:r>
      <w:proofErr w:type="spellEnd"/>
      <w:r>
        <w:rPr>
          <w:sz w:val="24"/>
          <w:u w:val="none"/>
        </w:rPr>
        <w:t xml:space="preserve">. De skal beregnes på basis af et vægtet gennemsnit.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 xml:space="preserve">Ved beregningen af det gennemsnitlige spænd, der skal betales på flere udstedelser/indskud/lån, skal institutterne beregne de samlede omkostninger i udstedelsesvalutaen uden hensyntagen til eventuelle </w:t>
      </w:r>
      <w:proofErr w:type="spellStart"/>
      <w:r>
        <w:rPr>
          <w:sz w:val="24"/>
          <w:u w:val="none"/>
        </w:rPr>
        <w:t>valutaswaps</w:t>
      </w:r>
      <w:proofErr w:type="spellEnd"/>
      <w:r>
        <w:rPr>
          <w:sz w:val="24"/>
          <w:u w:val="none"/>
        </w:rPr>
        <w:t>, men medregne eventuelle tillæg eller fradrag og gebyrer, der skal betales, eller som modtages, således at løbetiden på en teoretisk eller faktisk renteswap modsvarer forpligtelsens løbetid. Spændet er renten på forpligtelsen minus swaprenten.</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Beløbet for finansiering modtaget for finansieringskategorierne i kolonnen "Post" skal indberettes i kolonnen "Volumen" i den relevante løbetidsklasse.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I kolonnen "volumen" skal institutterne oplyse beløbene for den regnskabsmæssige værdi af den nye finansiering opnået i den relevante løbetidsklasse i overensstemmelse med oprindelig løbetid.</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Hvad angår alle poster, også ikkebalanceførte forpligtelser, skal institutterne kun indberette relaterede beløb, der er afspejlet på balancen. En ikkebalanceført forpligtelse, som er ydet til instituttet, skal først indberettes i C 69.00 efter udnyttelse. I tilfælde af udnyttelse skal den volumen og det spænd, der indberettes, være det udnyttede beløb og det relevante spænd ved indberetningsperiodens slutning. Hvis udnyttelsen ikke kan refinansieres efter instituttets skøn, indberettes udnyttelsens faktiske løbetid. Hvis instituttet allerede har udnyttet faciliteten ved den foregående indberetningsperiodes slutning, og hvis instituttet efterfølgende øger anvendelsen af faciliteten, skal kun det yderligere udnyttede beløb indberettes.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Indskud fra detailkunder er de indskud, der er defineret i artikel 3, nr. 8), i delegeret forordning (EU)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For finansiering der er blevet refinansieret i løbet af indberetningsperioden, og som stadig er udestående ved indberetningsperiodens slutning, skal gennemsnittet af de spænd, der finder anvendelse på det pågældende tidspunkt (dvs. indberetningsperiodens slutning), indberettes. Med henblik på C 69.00 anses finansiering, der er refinansieret og stadig findes ved indberetningsperiodens slutning, for at repræsentere ny finansiering.</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Som en undtagelse fra resten af punkt 1.4 skal volumen og spænd for anfordringsindskud kun indberettes, når indskyderen ikke havde et anfordringsindskud i den foregående indberetningsperiode, eller når der er en stigning i indskudsbeløbet sammenlignet med den tidligere referencedato; i så tilfælde behandles forøgelse som ny finansiering. Det spænd, der indberettes, er spændet ved periodens slutning.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Hvis der ikke er noget at indberette, skal felterne vedrørende indberetning stå tomme.</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Instrukser vedrørende specifikke rækker: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Række</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Henvisninger til retsakter og instrukser</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w:t>
            </w:r>
            <w:r>
              <w:rPr>
                <w:rFonts w:ascii="Times New Roman" w:hAnsi="Times New Roman"/>
                <w:b/>
                <w:sz w:val="24"/>
                <w:u w:val="single"/>
              </w:rPr>
              <w:tab/>
              <w:t>Finansiering i alt</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lastRenderedPageBreak/>
              <w:t>Samlet volumen og vægtet gennemsnitligt spænd for al finansiering skal oplyses for alle følgende løbetider:</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dag-til-dag (kolonne 010 og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over dag-til-dag og mindre end eller lig med 1 uge (kolonne 030 og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over 1 uge og mindre end eller lig med 1 måned (kolonne 050 og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over 1 måned og mindre end eller lig med 3 måneder (kolonne 070 og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over 3 måneder og mindre end eller lig med 6 måneder (kolonne 090 og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over 6 måneder og mindre end eller lig med 1 år (kolonne 110 og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over 1 år og mindre end eller lig med 2 år (kolonne 130 og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over 2 år og mindre end eller lig med 5 år (kolonne 150 og 160)</w:t>
            </w:r>
          </w:p>
          <w:p w14:paraId="22EC36F6" w14:textId="7C57E11E" w:rsidR="00CE333E" w:rsidRPr="001263B4" w:rsidRDefault="00CD20D9" w:rsidP="00FB0324">
            <w:pPr>
              <w:pStyle w:val="InstructionsText2"/>
              <w:numPr>
                <w:ilvl w:val="0"/>
                <w:numId w:val="49"/>
              </w:numPr>
              <w:spacing w:after="120"/>
              <w:rPr>
                <w:sz w:val="24"/>
              </w:rPr>
            </w:pPr>
            <w:r>
              <w:rPr>
                <w:sz w:val="24"/>
                <w:u w:val="none"/>
              </w:rPr>
              <w:t>over 5 år og mindre end eller lig med 10 år (kolonne 170 og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heraf: Detailfinansiering</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Den andel af den samlede finansiering indberettet under post 1, der udgøres af den modtagne detailfinansiering. Angiv samlet volumen og vægtet gennemsnitligt spænd.</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heraf: Usikret engrosfinansiering</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 xml:space="preserve">Den andel af den samlede finansiering indberettet under 1, der udgøres af den modtagne </w:t>
            </w:r>
            <w:proofErr w:type="spellStart"/>
            <w:r>
              <w:rPr>
                <w:rFonts w:ascii="Times New Roman" w:hAnsi="Times New Roman"/>
                <w:sz w:val="24"/>
              </w:rPr>
              <w:t>usikrede</w:t>
            </w:r>
            <w:proofErr w:type="spellEnd"/>
            <w:r>
              <w:rPr>
                <w:rFonts w:ascii="Times New Roman" w:hAnsi="Times New Roman"/>
                <w:sz w:val="24"/>
              </w:rPr>
              <w:t xml:space="preserve"> engrosfinansiering. Angiv samlet volumen og vægtet gennemsnitligt spænd.</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heraf: Sikret finansiering</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Den andel af den samlede finansiering indberettet under 1, der udgøres af modtaget sikret finansiering. Angiv samlet volumen og vægtet gennemsnitligt spænd.</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heraf: Usikret seniorgæld</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Den andel af den samlede finansiering indberettet under 1, der udgøres af modtaget usikret seniorgæld. Angiv samlet volumen og vægtet gennemsnitligt spænd.</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heraf: Dækkede obligationer</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Den andel af den samlede finansiering indberettet under 1, der udgøres af dækkede obligationer, ved hvilke instituttets egne aktiver er behæftet. Angiv samlet volumen og vægtet gennemsnitligt spænd.</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 xml:space="preserve">1.6 heraf: Værdipapirer med sikkerhed i aktiver (asset </w:t>
            </w:r>
            <w:proofErr w:type="spellStart"/>
            <w:r>
              <w:rPr>
                <w:rFonts w:ascii="Times New Roman" w:hAnsi="Times New Roman"/>
                <w:b/>
                <w:sz w:val="24"/>
                <w:u w:val="single"/>
              </w:rPr>
              <w:t>backed</w:t>
            </w:r>
            <w:proofErr w:type="spellEnd"/>
            <w:r>
              <w:rPr>
                <w:rFonts w:ascii="Times New Roman" w:hAnsi="Times New Roman"/>
                <w:b/>
                <w:sz w:val="24"/>
                <w:u w:val="single"/>
              </w:rPr>
              <w:t xml:space="preserve"> </w:t>
            </w:r>
            <w:proofErr w:type="spellStart"/>
            <w:r>
              <w:rPr>
                <w:rFonts w:ascii="Times New Roman" w:hAnsi="Times New Roman"/>
                <w:b/>
                <w:sz w:val="24"/>
                <w:u w:val="single"/>
              </w:rPr>
              <w:t>securities</w:t>
            </w:r>
            <w:proofErr w:type="spellEnd"/>
            <w:r>
              <w:rPr>
                <w:rFonts w:ascii="Times New Roman" w:hAnsi="Times New Roman"/>
                <w:b/>
                <w:sz w:val="24"/>
                <w:u w:val="single"/>
              </w:rPr>
              <w:t> — ABS), herunder kortfristede gældsbreve (</w:t>
            </w:r>
            <w:proofErr w:type="spellStart"/>
            <w:r>
              <w:rPr>
                <w:rFonts w:ascii="Times New Roman" w:hAnsi="Times New Roman"/>
                <w:b/>
                <w:sz w:val="24"/>
                <w:u w:val="single"/>
              </w:rPr>
              <w:t>commercial</w:t>
            </w:r>
            <w:proofErr w:type="spellEnd"/>
            <w:r>
              <w:rPr>
                <w:rFonts w:ascii="Times New Roman" w:hAnsi="Times New Roman"/>
                <w:b/>
                <w:sz w:val="24"/>
                <w:u w:val="single"/>
              </w:rPr>
              <w:t xml:space="preserve"> </w:t>
            </w:r>
            <w:proofErr w:type="spellStart"/>
            <w:r>
              <w:rPr>
                <w:rFonts w:ascii="Times New Roman" w:hAnsi="Times New Roman"/>
                <w:b/>
                <w:sz w:val="24"/>
                <w:u w:val="single"/>
              </w:rPr>
              <w:t>paper</w:t>
            </w:r>
            <w:proofErr w:type="spellEnd"/>
            <w:r>
              <w:rPr>
                <w:rFonts w:ascii="Times New Roman" w:hAnsi="Times New Roman"/>
                <w:b/>
                <w:sz w:val="24"/>
                <w:u w:val="single"/>
              </w:rPr>
              <w:t> —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Den andel af den samlede finansiering indberettet under 1, der udgøres af værdipapirer med sikkerhed i aktiver (asset </w:t>
            </w:r>
            <w:proofErr w:type="spellStart"/>
            <w:r>
              <w:rPr>
                <w:rFonts w:ascii="Times New Roman" w:hAnsi="Times New Roman"/>
                <w:sz w:val="24"/>
              </w:rPr>
              <w:t>backed</w:t>
            </w:r>
            <w:proofErr w:type="spellEnd"/>
            <w:r>
              <w:rPr>
                <w:rFonts w:ascii="Times New Roman" w:hAnsi="Times New Roman"/>
                <w:sz w:val="24"/>
              </w:rPr>
              <w:t xml:space="preserve"> </w:t>
            </w:r>
            <w:proofErr w:type="spellStart"/>
            <w:r>
              <w:rPr>
                <w:rFonts w:ascii="Times New Roman" w:hAnsi="Times New Roman"/>
                <w:sz w:val="24"/>
              </w:rPr>
              <w:t>securities</w:t>
            </w:r>
            <w:proofErr w:type="spellEnd"/>
            <w:r>
              <w:rPr>
                <w:rFonts w:ascii="Times New Roman" w:hAnsi="Times New Roman"/>
                <w:sz w:val="24"/>
              </w:rPr>
              <w:t xml:space="preserve"> — ABS), </w:t>
            </w:r>
            <w:r>
              <w:rPr>
                <w:rFonts w:ascii="Times New Roman" w:hAnsi="Times New Roman"/>
                <w:sz w:val="24"/>
              </w:rPr>
              <w:lastRenderedPageBreak/>
              <w:t>herunder kortfristede gældsbreve (</w:t>
            </w:r>
            <w:proofErr w:type="spellStart"/>
            <w:r>
              <w:rPr>
                <w:rFonts w:ascii="Times New Roman" w:hAnsi="Times New Roman"/>
                <w:sz w:val="24"/>
              </w:rPr>
              <w:t>commercial</w:t>
            </w:r>
            <w:proofErr w:type="spellEnd"/>
            <w:r>
              <w:rPr>
                <w:rFonts w:ascii="Times New Roman" w:hAnsi="Times New Roman"/>
                <w:sz w:val="24"/>
              </w:rPr>
              <w:t xml:space="preserve"> </w:t>
            </w:r>
            <w:proofErr w:type="spellStart"/>
            <w:r>
              <w:rPr>
                <w:rFonts w:ascii="Times New Roman" w:hAnsi="Times New Roman"/>
                <w:sz w:val="24"/>
              </w:rPr>
              <w:t>paper</w:t>
            </w:r>
            <w:proofErr w:type="spellEnd"/>
            <w:r>
              <w:rPr>
                <w:rFonts w:ascii="Times New Roman" w:hAnsi="Times New Roman"/>
                <w:sz w:val="24"/>
              </w:rPr>
              <w:t xml:space="preserve"> — ABCP). Angiv samlet volumen og vægtet gennemsnitligt spænd.</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lastRenderedPageBreak/>
        <w:t>Refinansiering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Formålet med dette skema er at indsamle oplysninger om volumen af finansiering, der udløber, og ny modtagen finansiering, dvs. "refinansiering" på daglig basis i den måned, der går forud for indberetningsdatoen.</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Institutterne skal i kalenderdage indberette den finansiering, som de har, og som udløber i overensstemmelse med følgende løbetidsklasser, i overensstemmelse med den oprindelige løbetid:</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dag-til-dag (kolonne 010-040)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mellem 1 dag og 7 dage (kolonne 050-080)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mellem 7 dag og 14 dage (kolonne 090-120)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mellem 14 dage og 1 måned (kolonne 130-160)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mellem 1 måned og 3 måneder (kolonne 170-200)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mellem 3 måned og 6 måneder (kolonne 210-240)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med løbetid over 6 måneder (kolonne 250-280).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For hver løbetidsklasse beskrevet i punkt 2 ovenfor skal det beløb, der udløber, indberettes i venstre kolonne, refinansierede midler skal indberettes i kolonnen "Refinansiering", nye modtagne finansieringsmidler skal indberettes i kolonnen "Nye midler", og nettoforskellen mellem nye midler på den ene side og refinansiering minus finansiering, der udløber, på den anden side skal indberettes i højre kolonne.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Nettopengestrømme i alt skal indberettes i kolonne 290 og skal svare til summen af alle "Netto"-kolonner med nr. 040, 080, 120, 160, 200, 240 og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Finansieringens gennemsnitlige løbetid i dage for så vidt angår finansiering, der udløber, skal indberettes i kolonne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Finansieringens gennemsnitlige løbetid i dage for så vidt angår refinansiering skal indberettes i kolonne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Finansieringens gennemsnitlige løbetid i dage for så vidt angår nye midler, skal indberettes i kolonne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Beløbet, "der udløber", skal omfatte alle forpligtelser, der efter kontrakten kan hæves af finansieringsgiveren, eller der udløber på den relevante dag i indberetningsperioden. Det skal altid indberettes med positivt fortegn.</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Beløbet i "Refinansiering" skal omfatte det beløb, der udløber, som defineret i punkt 2 og 3, som stadig er hos instituttet på den relevante dag i indberetningsperioden. Det skal altid indberettes med positivt fortegn. Hvis finansieringens løbetid er ændret på grund af refinansieringshændelsen, skal beløbet i "Refinansiering" indberettes i en løbetidsklasse i overensstemmelse med den nye løbetid.</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lastRenderedPageBreak/>
        <w:t>Beløbet i "Nye midler" skal omfatte faktiske indgående pengestrømme på den relevante dag i indberetningsperioden. Det skal altid indberettes med positivt fortegn.</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Nettobeløbet skal anses for at udgøre en ændring af finansieringen inden for et bestemt oprindeligt løbetidsbånd på den relevante dag i indberetningsperioden og skal beregnes ved i "nettokolonnen" at lægge de nye midler og de refinansierede midler sammen og fratrække de midler, der udløber.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7039"/>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Kolonne</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Henvisninger til retsakter og instrukser</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 til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Dag-til-dag</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Finansiering i alt, der udløber på den relevante dag i indberetningsperioden og oprindeligt udløber på dag-til-dag-basis, skal indberettes i kolonne 010 i linjepost 1.1-1.31. For måneder med mindre end 31 dage samt for weekender skal ikkerelevante linjer stå tomme.</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oprindeligt udløber på dag-til-dag-basis, skal indberettes i kolonne 020 i linjepost 1.1-1.31.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Ny finansiering i alt, der er opnået på den relevante dag i indberetningsperioden og oprindeligt udløber på dag-til-dag-basis, skal indberettes i kolonne 030 i linjepost 1.1-1.31.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Nettoforskellen mellem finansiering, der udløber på dag-til-dag-basis, på den ene side, og refinansiering plus nye midler modtaget på dag-til-dag-basis på den anden side skal indberettes i kolonne 040 under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 til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dag ≤ 7 dage</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Finansiering i alt, der udløber på den relevante dag i indberetningsperioden og har en oprindelig løbetid på mellem en dag og en uge, skal indberettes i kolonne 050 i linjepost 1.1-1.31. For måneder med mindre end 31 dage samt for weekender skal ikkerelevante linjer stå tomme.</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har en oprindelig løbetid på mellem en dag og en uge, skal indberettes i kolonne 060 i linjepost 1.1-1.31.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Ny finansiering i alt, der er opnået på den relevante dag i indberetningsperioden og har en oprindelig løbetid på mellem en dag og en uge, skal indberettes i kolonne 70 i linjepost 1.1-1.31.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Nettoforskellen mellem finansiering, der udløber, på den ene side, og refinansiering plus nye midler på den anden side skal indberettes i kolonne 080 under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 til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&gt;7 dage ≤ 14 dage</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Finansiering i alt, der udløber på den relevante dag i indberetningsperioden og har en oprindelig løbetid på mellem en uge </w:t>
            </w:r>
            <w:r>
              <w:rPr>
                <w:rFonts w:ascii="Times New Roman" w:hAnsi="Times New Roman"/>
                <w:sz w:val="24"/>
              </w:rPr>
              <w:lastRenderedPageBreak/>
              <w:t>og to uger, skal indberettes i kolonne 090 i linjepost 1.1-1.31. For måneder med mindre end 31 dage samt for weekender skal ikkerelevante linjer stå tomme.</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har en oprindelig løbetid på mellem en uge og to uger, skal indberettes i kolonne 100 i linjepost 1.1-1.31.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Ny finansiering i alt, der er modtaget på den relevante dag i indberetningsperioden og har en oprindelig løbetid på mellem en uge og to uger, skal indberettes i kolonne 110 i linjepost 1.1-1.31.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Nettoforskellen mellem finansiering, der udløber, på den ene side, og refinansiering plus nye midler på den anden side skal indberettes i kolonne 120 under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130 til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dage ≤ 1 måned</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Finansiering i alt, der udløber på den relevante dag i indberetningsperioden og har en oprindelig løbetid på mellem to uger og en måned, skal indberettes i kolonne 130 i linjepost 1.1-1.31. For måneder med mindre end 31 dage samt for weekender skal ikkerelevante linjer stå tomme.</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har en oprindelig løbetid på mellem to uger og en måned, skal indberettes i kolonne 140 i linjepost 1.1-1.31.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Ny finansiering i alt, der er modtaget på den relevante dag i indberetningsperioden og har en oprindelig løbetid på mellem to uger og en måned, skal indberettes i kolonne 150 i linjepost 1.1-1.31.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Nettoforskellen mellem finansiering, der udløber, på den ene side, og refinansiering plus nye midler på den anden side skal indberettes i kolonne 160 under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170 til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måned ≤ 3 måneder</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Finansiering i alt, der udløber på den relevante dag i indberetningsperioden og har en oprindelig løbetid på mellem en måned og tre måneder, skal indberettes i kolonne 170 i linjepost 1.1-1.31. For måneder med mindre end 31 dage samt for weekender skal ikkerelevante linjer stå tomme.</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har en oprindelig løbetid på mellem en måned og tre måneder, skal indberettes i kolonne 180 i linjepost 1.1-1.31.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Ny finansiering i alt, der er modtaget på den relevante dag i indberetningsperioden og har en oprindelig løbetid på mellem en måned og tre måneder, skal indberettes i kolonne 190 i linjepost 1.1-1.31.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Nettoforskellen mellem finansiering, der udløber, på den ene side, og refinansiering plus nye midler på den anden side skal indberettes i kolonne 200 under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210 til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måneder ≤ 6 måneder</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Finansiering i alt, der udløber på den relevante dag i indberetningsperioden og har en oprindelig løbetid på mellem tre måneder og seks måneder, skal indberettes i kolonne 210 i linjepost 1.1-1.31. For måneder med mindre end 31 dage samt for weekender skal ikkerelevante linjer stå tomme.</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har en oprindelig løbetid på mellem tre måneder og seks måneder, skal indberettes i kolonne 220 i linjepost 1.1-1.31.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Ny finansiering i alt, der er modtaget på den relevante dag i indberetningsperioden og har en oprindelig løbetid på mellem tre måneder og seks måneder, skal indberettes i kolonne 230 i linjepost 1.1-1.31.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Nettoforskellen mellem finansiering, der udløber, på den ene side, og refinansiering plus nye midler på den anden side skal indberettes i kolonne 240 under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 til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måneder</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Finansiering i alt, der udløber på den relevante dag i indberetningsperioden og har en oprindelig løbetid på over seks måneder, skal indberettes i kolonne 250 i linjepost 1.1-1.31. For måneder med mindre end 31 dage samt for weekender skal ikkerelevante linjer stå tomme.</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Finansiering i alt, der er refinansieret på den relevante dag i indberetningsperioden og har en oprindelig løbetid på over seks måneder, skal indberettes i kolonne 260 i linjepost 1.1-1.31.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Ny finansiering i alt, der er modtaget på den relevante dag i indberetningsperioden og har en oprindelig løbetid på over seks måneder, skal indberettes i kolonne 270 i linjepost 1.1-1.31.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Nettoforskellen mellem finansiering, der udløber, på den ene side, og refinansiering plus nye midler på den anden side skal indberettes i kolonne 280 under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Nettopengestrømme i alt</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Nettopengestrømme i alt svarende til summen af alle "Netto"-kolonner (040, 080, 120, 160, 200, 240 og 280) indberettes i kolonne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Gennemsnitlig løbetid (dage)</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Den vægtede gennemsnitlige løbetid i dage for al finansiering, der udløber, skal indberettes i kolonne 300. Den vægtede gennemsnitlige løbetid i dage for alle refinansierede midler indberettes i kolonne 310, den vægtede gennemsnitlige løbetid i dage for alle nye midler indberettes i kolonne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23F0093" w:rsidR="003E009D" w:rsidRDefault="003E009D">
        <w:pPr>
          <w:pStyle w:val="Footer"/>
          <w:jc w:val="center"/>
        </w:pPr>
        <w:r>
          <w:fldChar w:fldCharType="begin"/>
        </w:r>
        <w:r>
          <w:instrText xml:space="preserve"> PAGE   \* MERGEFORMAT </w:instrText>
        </w:r>
        <w:r>
          <w:fldChar w:fldCharType="separate"/>
        </w:r>
        <w:r w:rsidR="00211EF2">
          <w:rPr>
            <w:noProof/>
          </w:rPr>
          <w:t>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1227F811" w:rsidR="00EA0D1D" w:rsidRDefault="00EA0D1D">
        <w:pPr>
          <w:pStyle w:val="Footer"/>
          <w:jc w:val="center"/>
        </w:pPr>
        <w:r>
          <w:fldChar w:fldCharType="begin"/>
        </w:r>
        <w:r>
          <w:instrText xml:space="preserve"> PAGE   \* MERGEFORMAT </w:instrText>
        </w:r>
        <w:r>
          <w:fldChar w:fldCharType="separate"/>
        </w:r>
        <w:r w:rsidR="00211EF2">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1EF2"/>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B4008"/>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a-DK"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a-D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a-DK"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a-DK" w:eastAsia="en-US" w:bidi="ar-SA"/>
    </w:rPr>
  </w:style>
  <w:style w:type="character" w:customStyle="1" w:styleId="FunoteChar">
    <w:name w:val="Fußnote Char"/>
    <w:aliases w:val=" Char Char Char"/>
    <w:semiHidden/>
    <w:rsid w:val="009D253B"/>
    <w:rPr>
      <w:rFonts w:ascii="Arial" w:hAnsi="Arial"/>
      <w:sz w:val="18"/>
      <w:lang w:val="da-D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a-D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a-D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a-DK"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a-DK"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a-DK" w:eastAsia="de-AT"/>
    </w:rPr>
  </w:style>
  <w:style w:type="character" w:customStyle="1" w:styleId="BalloonTextChar">
    <w:name w:val="Balloon Text Char"/>
    <w:link w:val="BalloonText"/>
    <w:semiHidden/>
    <w:rsid w:val="00167536"/>
    <w:rPr>
      <w:rFonts w:ascii="Tahoma" w:hAnsi="Tahoma" w:cs="Tahoma"/>
      <w:sz w:val="16"/>
      <w:szCs w:val="16"/>
      <w:lang w:val="da-DK" w:eastAsia="en-US"/>
    </w:rPr>
  </w:style>
  <w:style w:type="character" w:customStyle="1" w:styleId="PlainTextChar">
    <w:name w:val="Plain Text Char"/>
    <w:link w:val="PlainText"/>
    <w:semiHidden/>
    <w:rsid w:val="00167536"/>
    <w:rPr>
      <w:rFonts w:ascii="Consolas" w:hAnsi="Consolas"/>
      <w:sz w:val="21"/>
      <w:szCs w:val="21"/>
      <w:lang w:val="da-DK"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a-DK" w:eastAsia="en-US"/>
    </w:rPr>
  </w:style>
  <w:style w:type="character" w:customStyle="1" w:styleId="FooterCoverPageChar">
    <w:name w:val="Footer Cover Page Char"/>
    <w:link w:val="FooterCoverPage"/>
    <w:rsid w:val="00167536"/>
    <w:rPr>
      <w:color w:val="4F81BD"/>
      <w:sz w:val="24"/>
      <w:szCs w:val="24"/>
      <w:lang w:val="da-DK"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a-DK"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0F72EB-0DC9-435D-B824-6889E6B89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4897</Words>
  <Characters>28094</Characters>
  <Application>Microsoft Office Word</Application>
  <DocSecurity>0</DocSecurity>
  <Lines>653</Lines>
  <Paragraphs>350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32641</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CHRISTIANSEN Tine (DGT)</cp:lastModifiedBy>
  <cp:revision>7</cp:revision>
  <cp:lastPrinted>2014-06-12T08:34:00Z</cp:lastPrinted>
  <dcterms:created xsi:type="dcterms:W3CDTF">2020-10-01T12:52:00Z</dcterms:created>
  <dcterms:modified xsi:type="dcterms:W3CDTF">2020-11-25T14:38:00Z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