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BIJLAGE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RAPPORTAGE-INSTRUCTIES OM MSI’S TE IDENTIFICEREN EN MSI-BUFFERPERCENTAGES TOE TE KENNEN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Inhoudsopgave</w:t>
      </w:r>
    </w:p>
    <w:p w14:paraId="18F8DA97" w14:textId="738D5CAE" w:rsidR="006B4EF8" w:rsidRPr="006B4EF8" w:rsidRDefault="00745369">
      <w:pPr>
        <w:pStyle w:val="TOC2"/>
        <w:rPr>
          <w:rFonts w:ascii="Times New Roman" w:eastAsiaTheme="minorEastAsia" w:hAnsi="Times New Roman"/>
          <w:b w:val="0"/>
          <w:smallCaps w:val="0"/>
          <w:sz w:val="24"/>
          <w:szCs w:val="24"/>
          <w:lang w:val="en-US"/>
        </w:rPr>
      </w:pPr>
      <w:r w:rsidRPr="006B4EF8">
        <w:rPr>
          <w:rFonts w:ascii="Times New Roman" w:hAnsi="Times New Roman"/>
          <w:sz w:val="24"/>
          <w:szCs w:val="24"/>
        </w:rPr>
        <w:fldChar w:fldCharType="begin"/>
      </w:r>
      <w:r w:rsidRPr="006B4EF8">
        <w:rPr>
          <w:rFonts w:ascii="Times New Roman" w:hAnsi="Times New Roman"/>
          <w:sz w:val="24"/>
          <w:szCs w:val="24"/>
        </w:rPr>
        <w:instrText xml:space="preserve"> TOC \o "1-3" \h \z \u </w:instrText>
      </w:r>
      <w:r w:rsidRPr="006B4EF8">
        <w:rPr>
          <w:rFonts w:ascii="Times New Roman" w:hAnsi="Times New Roman"/>
          <w:sz w:val="24"/>
          <w:szCs w:val="24"/>
        </w:rPr>
        <w:fldChar w:fldCharType="separate"/>
      </w:r>
      <w:hyperlink w:anchor="_Toc58320491" w:history="1">
        <w:r w:rsidR="006B4EF8" w:rsidRPr="006B4EF8">
          <w:rPr>
            <w:rStyle w:val="Hyperlink"/>
            <w:rFonts w:ascii="Times New Roman" w:hAnsi="Times New Roman"/>
            <w:sz w:val="24"/>
            <w:szCs w:val="24"/>
          </w:rPr>
          <w:t>DEEL I: ALGEMENE INSTRUCTIES</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_Toc58320491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1DE69791" w14:textId="6FFBFAEC" w:rsidR="006B4EF8" w:rsidRPr="006B4EF8" w:rsidRDefault="00F11BC9">
      <w:pPr>
        <w:pStyle w:val="TOC2"/>
        <w:rPr>
          <w:rFonts w:ascii="Times New Roman" w:eastAsiaTheme="minorEastAsia" w:hAnsi="Times New Roman"/>
          <w:b w:val="0"/>
          <w:smallCaps w:val="0"/>
          <w:sz w:val="24"/>
          <w:szCs w:val="24"/>
          <w:lang w:val="en-US"/>
        </w:rPr>
      </w:pPr>
      <w:hyperlink w:anchor="_Toc58320492"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Opzet en conventies</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_Toc58320492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32515ECF" w14:textId="70920F59" w:rsidR="006B4EF8" w:rsidRPr="006B4EF8" w:rsidRDefault="00F11BC9">
      <w:pPr>
        <w:pStyle w:val="TOC2"/>
        <w:rPr>
          <w:rFonts w:ascii="Times New Roman" w:eastAsiaTheme="minorEastAsia" w:hAnsi="Times New Roman"/>
          <w:b w:val="0"/>
          <w:smallCaps w:val="0"/>
          <w:sz w:val="24"/>
          <w:szCs w:val="24"/>
          <w:lang w:val="en-US"/>
        </w:rPr>
      </w:pPr>
      <w:hyperlink w:anchor="_Toc58320493"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w:t>
        </w:r>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Opzet</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_Toc58320493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76AEE976" w14:textId="69F5F202" w:rsidR="006B4EF8" w:rsidRPr="006B4EF8" w:rsidRDefault="00F11BC9">
      <w:pPr>
        <w:pStyle w:val="TOC2"/>
        <w:rPr>
          <w:rFonts w:ascii="Times New Roman" w:eastAsiaTheme="minorEastAsia" w:hAnsi="Times New Roman"/>
          <w:b w:val="0"/>
          <w:smallCaps w:val="0"/>
          <w:sz w:val="24"/>
          <w:szCs w:val="24"/>
          <w:lang w:val="en-US"/>
        </w:rPr>
      </w:pPr>
      <w:hyperlink w:anchor="_Toc58320494"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w:t>
        </w:r>
        <w:r w:rsidR="006B4EF8" w:rsidRPr="00046528">
          <w:rPr>
            <w:rStyle w:val="Hyperlink"/>
            <w:rFonts w:ascii="Times New Roman" w:hAnsi="Times New Roman"/>
            <w:sz w:val="24"/>
            <w:szCs w:val="24"/>
          </w:rPr>
          <w:t>2</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Gebruik van nummering</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_Toc58320494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2F3F51E6" w14:textId="05E721E6" w:rsidR="006B4EF8" w:rsidRPr="006B4EF8" w:rsidRDefault="00F11BC9">
      <w:pPr>
        <w:pStyle w:val="TOC2"/>
        <w:rPr>
          <w:rFonts w:ascii="Times New Roman" w:eastAsiaTheme="minorEastAsia" w:hAnsi="Times New Roman"/>
          <w:b w:val="0"/>
          <w:smallCaps w:val="0"/>
          <w:sz w:val="24"/>
          <w:szCs w:val="24"/>
          <w:lang w:val="en-US"/>
        </w:rPr>
      </w:pPr>
      <w:hyperlink w:anchor="_Toc58320495"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w:t>
        </w:r>
        <w:r w:rsidR="006B4EF8" w:rsidRPr="00046528">
          <w:rPr>
            <w:rStyle w:val="Hyperlink"/>
            <w:rFonts w:ascii="Times New Roman" w:hAnsi="Times New Roman"/>
            <w:sz w:val="24"/>
            <w:szCs w:val="24"/>
          </w:rPr>
          <w:t>3</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Gebruik van tekens</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_Toc58320495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2B35AC1D" w14:textId="5E130428" w:rsidR="006B4EF8" w:rsidRPr="006B4EF8" w:rsidRDefault="00F11BC9">
      <w:pPr>
        <w:pStyle w:val="TOC2"/>
        <w:rPr>
          <w:rFonts w:ascii="Times New Roman" w:eastAsiaTheme="minorEastAsia" w:hAnsi="Times New Roman"/>
          <w:b w:val="0"/>
          <w:smallCaps w:val="0"/>
          <w:sz w:val="24"/>
          <w:szCs w:val="24"/>
          <w:lang w:val="en-US"/>
        </w:rPr>
      </w:pPr>
      <w:hyperlink w:anchor="_Toc58320496"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w:t>
        </w:r>
        <w:r w:rsidR="006B4EF8" w:rsidRPr="00046528">
          <w:rPr>
            <w:rStyle w:val="Hyperlink"/>
            <w:rFonts w:ascii="Times New Roman" w:hAnsi="Times New Roman"/>
            <w:sz w:val="24"/>
            <w:szCs w:val="24"/>
          </w:rPr>
          <w:t>4</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Afkortingen</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_Toc58320496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2</w:t>
        </w:r>
        <w:r w:rsidR="006B4EF8" w:rsidRPr="006B4EF8">
          <w:rPr>
            <w:rFonts w:ascii="Times New Roman" w:hAnsi="Times New Roman"/>
            <w:webHidden/>
            <w:sz w:val="24"/>
            <w:szCs w:val="24"/>
          </w:rPr>
          <w:fldChar w:fldCharType="end"/>
        </w:r>
      </w:hyperlink>
    </w:p>
    <w:p w14:paraId="451899EB" w14:textId="253AF088" w:rsidR="006B4EF8" w:rsidRPr="006B4EF8" w:rsidRDefault="00F11BC9">
      <w:pPr>
        <w:pStyle w:val="TOC2"/>
        <w:rPr>
          <w:rFonts w:ascii="Times New Roman" w:eastAsiaTheme="minorEastAsia" w:hAnsi="Times New Roman"/>
          <w:b w:val="0"/>
          <w:smallCaps w:val="0"/>
          <w:sz w:val="24"/>
          <w:szCs w:val="24"/>
          <w:lang w:val="en-US"/>
        </w:rPr>
      </w:pPr>
      <w:hyperlink w:anchor="_Toc58320497" w:history="1">
        <w:r w:rsidR="006B4EF8" w:rsidRPr="006B4EF8">
          <w:rPr>
            <w:rStyle w:val="Hyperlink"/>
            <w:rFonts w:ascii="Times New Roman" w:hAnsi="Times New Roman"/>
            <w:sz w:val="24"/>
            <w:szCs w:val="24"/>
          </w:rPr>
          <w:t>DEEL II: INSTRUCTIES IN VERBAND MET DE TEMPLATES</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_Toc58320497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3</w:t>
        </w:r>
        <w:r w:rsidR="006B4EF8" w:rsidRPr="006B4EF8">
          <w:rPr>
            <w:rFonts w:ascii="Times New Roman" w:hAnsi="Times New Roman"/>
            <w:webHidden/>
            <w:sz w:val="24"/>
            <w:szCs w:val="24"/>
          </w:rPr>
          <w:fldChar w:fldCharType="end"/>
        </w:r>
      </w:hyperlink>
    </w:p>
    <w:p w14:paraId="5BD5ADDA" w14:textId="6E14550A" w:rsidR="006B4EF8" w:rsidRPr="006B4EF8" w:rsidRDefault="00F11BC9">
      <w:pPr>
        <w:pStyle w:val="TOC2"/>
        <w:rPr>
          <w:rFonts w:ascii="Times New Roman" w:eastAsiaTheme="minorEastAsia" w:hAnsi="Times New Roman"/>
          <w:b w:val="0"/>
          <w:smallCaps w:val="0"/>
          <w:sz w:val="24"/>
          <w:szCs w:val="24"/>
          <w:lang w:val="en-US"/>
        </w:rPr>
      </w:pPr>
      <w:hyperlink w:anchor="_Toc58320498" w:history="1">
        <w:r w:rsidR="006B4EF8" w:rsidRPr="00046528">
          <w:rPr>
            <w:rStyle w:val="Hyperlink"/>
            <w:rFonts w:ascii="Times New Roman" w:hAnsi="Times New Roman"/>
            <w:sz w:val="24"/>
            <w:szCs w:val="24"/>
          </w:rPr>
          <w:t>1</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Algemene opmerkingen</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_Toc58320498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3</w:t>
        </w:r>
        <w:r w:rsidR="006B4EF8" w:rsidRPr="006B4EF8">
          <w:rPr>
            <w:rFonts w:ascii="Times New Roman" w:hAnsi="Times New Roman"/>
            <w:webHidden/>
            <w:sz w:val="24"/>
            <w:szCs w:val="24"/>
          </w:rPr>
          <w:fldChar w:fldCharType="end"/>
        </w:r>
      </w:hyperlink>
    </w:p>
    <w:p w14:paraId="2F7B6A19" w14:textId="6D755CD2" w:rsidR="006B4EF8" w:rsidRPr="006B4EF8" w:rsidRDefault="00F11BC9">
      <w:pPr>
        <w:pStyle w:val="TOC2"/>
        <w:rPr>
          <w:rFonts w:ascii="Times New Roman" w:eastAsiaTheme="minorEastAsia" w:hAnsi="Times New Roman"/>
          <w:b w:val="0"/>
          <w:smallCaps w:val="0"/>
          <w:sz w:val="24"/>
          <w:szCs w:val="24"/>
          <w:lang w:val="en-US"/>
        </w:rPr>
      </w:pPr>
      <w:hyperlink w:anchor="_Toc58320499" w:history="1">
        <w:r w:rsidR="006B4EF8" w:rsidRPr="00046528">
          <w:rPr>
            <w:rStyle w:val="Hyperlink"/>
            <w:rFonts w:ascii="Times New Roman" w:hAnsi="Times New Roman"/>
            <w:sz w:val="24"/>
            <w:szCs w:val="24"/>
          </w:rPr>
          <w:t>2</w:t>
        </w:r>
        <w:r w:rsidR="006B4EF8" w:rsidRPr="006B4EF8">
          <w:rPr>
            <w:rStyle w:val="Hyperlink"/>
            <w:rFonts w:ascii="Times New Roman" w:hAnsi="Times New Roman"/>
            <w:sz w:val="24"/>
            <w:szCs w:val="24"/>
          </w:rPr>
          <w:t xml:space="preserve">. </w:t>
        </w:r>
        <w:r w:rsidR="00046528">
          <w:rPr>
            <w:rStyle w:val="Hyperlink"/>
            <w:rFonts w:ascii="Times New Roman" w:hAnsi="Times New Roman"/>
            <w:sz w:val="24"/>
            <w:szCs w:val="24"/>
          </w:rPr>
          <w:tab/>
        </w:r>
        <w:r w:rsidR="006B4EF8" w:rsidRPr="006B4EF8">
          <w:rPr>
            <w:rStyle w:val="Hyperlink"/>
            <w:rFonts w:ascii="Times New Roman" w:hAnsi="Times New Roman"/>
            <w:sz w:val="24"/>
            <w:szCs w:val="24"/>
          </w:rPr>
          <w:t>Instructies voor bepaalde posities</w:t>
        </w:r>
        <w:r w:rsidR="006B4EF8" w:rsidRPr="006B4EF8">
          <w:rPr>
            <w:rFonts w:ascii="Times New Roman" w:hAnsi="Times New Roman"/>
            <w:webHidden/>
            <w:sz w:val="24"/>
            <w:szCs w:val="24"/>
          </w:rPr>
          <w:tab/>
        </w:r>
        <w:r w:rsidR="006B4EF8" w:rsidRPr="006B4EF8">
          <w:rPr>
            <w:rFonts w:ascii="Times New Roman" w:hAnsi="Times New Roman"/>
            <w:webHidden/>
            <w:sz w:val="24"/>
            <w:szCs w:val="24"/>
          </w:rPr>
          <w:fldChar w:fldCharType="begin"/>
        </w:r>
        <w:r w:rsidR="006B4EF8" w:rsidRPr="006B4EF8">
          <w:rPr>
            <w:rFonts w:ascii="Times New Roman" w:hAnsi="Times New Roman"/>
            <w:webHidden/>
            <w:sz w:val="24"/>
            <w:szCs w:val="24"/>
          </w:rPr>
          <w:instrText xml:space="preserve"> PAGEREF _Toc58320499 \h </w:instrText>
        </w:r>
        <w:r w:rsidR="006B4EF8" w:rsidRPr="006B4EF8">
          <w:rPr>
            <w:rFonts w:ascii="Times New Roman" w:hAnsi="Times New Roman"/>
            <w:webHidden/>
            <w:sz w:val="24"/>
            <w:szCs w:val="24"/>
          </w:rPr>
        </w:r>
        <w:r w:rsidR="006B4EF8" w:rsidRPr="006B4EF8">
          <w:rPr>
            <w:rFonts w:ascii="Times New Roman" w:hAnsi="Times New Roman"/>
            <w:webHidden/>
            <w:sz w:val="24"/>
            <w:szCs w:val="24"/>
          </w:rPr>
          <w:fldChar w:fldCharType="separate"/>
        </w:r>
        <w:r w:rsidR="006B4EF8" w:rsidRPr="00046528">
          <w:rPr>
            <w:rFonts w:ascii="Times New Roman" w:hAnsi="Times New Roman"/>
            <w:webHidden/>
            <w:sz w:val="24"/>
            <w:szCs w:val="24"/>
          </w:rPr>
          <w:t>3</w:t>
        </w:r>
        <w:r w:rsidR="006B4EF8" w:rsidRPr="006B4EF8">
          <w:rPr>
            <w:rFonts w:ascii="Times New Roman" w:hAnsi="Times New Roman"/>
            <w:webHidden/>
            <w:sz w:val="24"/>
            <w:szCs w:val="24"/>
          </w:rPr>
          <w:fldChar w:fldCharType="end"/>
        </w:r>
      </w:hyperlink>
    </w:p>
    <w:p w14:paraId="7AC7042C" w14:textId="64EAA640"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6B4EF8">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320491"/>
      <w:r>
        <w:lastRenderedPageBreak/>
        <w:t>DEEL I:</w:t>
      </w:r>
      <w:bookmarkEnd w:id="2"/>
      <w:r>
        <w:t xml:space="preserve"> ALGEMENE INSTRUCTIES</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320492"/>
      <w:r w:rsidRPr="00046528">
        <w:rPr>
          <w:sz w:val="24"/>
        </w:rPr>
        <w:t>1</w:t>
      </w:r>
      <w:r>
        <w:rPr>
          <w:sz w:val="24"/>
        </w:rPr>
        <w:t>.</w:t>
      </w:r>
      <w:r>
        <w:tab/>
      </w:r>
      <w:r>
        <w:rPr>
          <w:sz w:val="24"/>
        </w:rPr>
        <w:t>Opzet en conventies</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320493"/>
      <w:bookmarkStart w:id="12" w:name="_Toc264038399"/>
      <w:bookmarkStart w:id="13" w:name="_Toc294018834"/>
      <w:r w:rsidRPr="00046528">
        <w:rPr>
          <w:sz w:val="24"/>
        </w:rPr>
        <w:t>1</w:t>
      </w:r>
      <w:r>
        <w:rPr>
          <w:sz w:val="24"/>
        </w:rPr>
        <w:t>.</w:t>
      </w:r>
      <w:r w:rsidRPr="00046528">
        <w:rPr>
          <w:sz w:val="24"/>
        </w:rPr>
        <w:t>1</w:t>
      </w:r>
      <w:r>
        <w:rPr>
          <w:sz w:val="24"/>
        </w:rPr>
        <w:t>.</w:t>
      </w:r>
      <w:r>
        <w:tab/>
      </w:r>
      <w:r>
        <w:rPr>
          <w:sz w:val="24"/>
        </w:rPr>
        <w:t>Opzet</w:t>
      </w:r>
      <w:bookmarkStart w:id="14" w:name="_GoBack"/>
      <w:bookmarkEnd w:id="9"/>
      <w:bookmarkEnd w:id="10"/>
      <w:bookmarkEnd w:id="11"/>
      <w:bookmarkEnd w:id="14"/>
    </w:p>
    <w:p w14:paraId="6C67B776" w14:textId="5BE94C55" w:rsidR="005643EA" w:rsidRPr="00EC067D" w:rsidRDefault="00125707" w:rsidP="00004542">
      <w:pPr>
        <w:pStyle w:val="InstructionsText2"/>
        <w:numPr>
          <w:ilvl w:val="0"/>
          <w:numId w:val="0"/>
        </w:numPr>
        <w:ind w:left="993"/>
      </w:pPr>
      <w:r w:rsidRPr="00046528">
        <w:t>1</w:t>
      </w:r>
      <w:r>
        <w:t>.</w:t>
      </w:r>
      <w:r>
        <w:tab/>
        <w:t>Dit kader bestaat uit een template met informatie over indicatoren voor mondiale systeemrelevantie en bepaalde posten die nodig zijn voor de toepassing van de EU-methodiek om mondiaal systeemrelevante instellingen (MSI’s) te identificeren en overeenkomstige SMI-bufferpercentages toe te kennen.</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320494"/>
      <w:r w:rsidRPr="00046528">
        <w:rPr>
          <w:sz w:val="24"/>
        </w:rPr>
        <w:t>1</w:t>
      </w:r>
      <w:r>
        <w:rPr>
          <w:sz w:val="24"/>
        </w:rPr>
        <w:t>.</w:t>
      </w:r>
      <w:r w:rsidRPr="00046528">
        <w:rPr>
          <w:sz w:val="24"/>
        </w:rPr>
        <w:t>2</w:t>
      </w:r>
      <w:r>
        <w:rPr>
          <w:sz w:val="24"/>
        </w:rPr>
        <w:t>.</w:t>
      </w:r>
      <w:r>
        <w:tab/>
      </w:r>
      <w:r>
        <w:rPr>
          <w:sz w:val="24"/>
        </w:rPr>
        <w:t>Gebruik van nummering</w:t>
      </w:r>
      <w:bookmarkEnd w:id="15"/>
      <w:bookmarkEnd w:id="16"/>
      <w:bookmarkEnd w:id="17"/>
    </w:p>
    <w:p w14:paraId="3C0F0268" w14:textId="5212C39C" w:rsidR="002648B0" w:rsidRPr="00EC067D" w:rsidRDefault="006137FD" w:rsidP="00004542">
      <w:pPr>
        <w:pStyle w:val="InstructionsText2"/>
        <w:numPr>
          <w:ilvl w:val="0"/>
          <w:numId w:val="0"/>
        </w:numPr>
        <w:ind w:left="993"/>
      </w:pPr>
      <w:r w:rsidRPr="00046528">
        <w:t>2</w:t>
      </w:r>
      <w:r>
        <w:t>.</w:t>
      </w:r>
      <w:r>
        <w:tab/>
        <w:t xml:space="preserve">Het document volgt de in de punten </w:t>
      </w:r>
      <w:r w:rsidRPr="00046528">
        <w:t>3</w:t>
      </w:r>
      <w:r>
        <w:t xml:space="preserve"> tot en met </w:t>
      </w:r>
      <w:r w:rsidRPr="00046528">
        <w:t>5</w:t>
      </w:r>
      <w:r>
        <w:t xml:space="preserve"> beschreven conventies voor verwijzingen naar de kolommen, rijen en cellen van de templates. Van die numerieke codes wordt uitgebreid gebruikgemaakt in de validatievoorschriften.</w:t>
      </w:r>
    </w:p>
    <w:p w14:paraId="26DC2799" w14:textId="2C43513E" w:rsidR="005643EA" w:rsidRPr="00EC067D" w:rsidRDefault="006137FD" w:rsidP="00004542">
      <w:pPr>
        <w:pStyle w:val="InstructionsText2"/>
        <w:numPr>
          <w:ilvl w:val="0"/>
          <w:numId w:val="0"/>
        </w:numPr>
        <w:ind w:left="993"/>
      </w:pPr>
      <w:r w:rsidRPr="00046528">
        <w:t>3</w:t>
      </w:r>
      <w:r>
        <w:t>.</w:t>
      </w:r>
      <w:r>
        <w:tab/>
        <w:t>In de instructies wordt de volgende algemene notatie gehanteerd: {Template; Rij; Kolom}.</w:t>
      </w:r>
    </w:p>
    <w:p w14:paraId="6A9F72AA" w14:textId="1B191E59" w:rsidR="005643EA" w:rsidRPr="00EC067D" w:rsidRDefault="006137FD" w:rsidP="00004542">
      <w:pPr>
        <w:pStyle w:val="InstructionsText2"/>
        <w:numPr>
          <w:ilvl w:val="0"/>
          <w:numId w:val="0"/>
        </w:numPr>
        <w:ind w:left="993"/>
      </w:pPr>
      <w:r w:rsidRPr="00046528">
        <w:t>4</w:t>
      </w:r>
      <w:r>
        <w:t>.</w:t>
      </w:r>
      <w:r>
        <w:tab/>
        <w:t>In het geval van verwijzingen binnen een template, waarbij alleen gegevenspunten uit die template worden gebruikt, verwijzen de notaties niet naar een template: {Rij; Kolom}. In het geval van templates die uit slechts één kolom bestaan, wordt uitsluitend verwezen naar {Template; Rij}.</w:t>
      </w:r>
    </w:p>
    <w:p w14:paraId="01FECE3C" w14:textId="482B71E1" w:rsidR="002648B0" w:rsidRPr="00EC067D" w:rsidRDefault="006137FD" w:rsidP="00004542">
      <w:pPr>
        <w:pStyle w:val="InstructionsText2"/>
        <w:numPr>
          <w:ilvl w:val="0"/>
          <w:numId w:val="0"/>
        </w:numPr>
        <w:ind w:left="993"/>
      </w:pPr>
      <w:r w:rsidRPr="00046528">
        <w:t>5</w:t>
      </w:r>
      <w:r>
        <w:t>.</w:t>
      </w:r>
      <w:r>
        <w:tab/>
        <w:t>Een asterisk geeft aan dat de verwijzing geldt voor de gehele rij of kolom.</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320495"/>
      <w:r w:rsidRPr="00046528">
        <w:rPr>
          <w:sz w:val="24"/>
        </w:rPr>
        <w:t>1</w:t>
      </w:r>
      <w:r>
        <w:rPr>
          <w:sz w:val="24"/>
        </w:rPr>
        <w:t>.</w:t>
      </w:r>
      <w:r w:rsidRPr="00046528">
        <w:rPr>
          <w:sz w:val="24"/>
        </w:rPr>
        <w:t>3</w:t>
      </w:r>
      <w:r>
        <w:rPr>
          <w:sz w:val="24"/>
        </w:rPr>
        <w:t>.</w:t>
      </w:r>
      <w:r>
        <w:tab/>
      </w:r>
      <w:r>
        <w:rPr>
          <w:sz w:val="24"/>
        </w:rPr>
        <w:t>Gebruik van tekens</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rsidRPr="00046528">
        <w:t>6</w:t>
      </w:r>
      <w:r>
        <w:t>.</w:t>
      </w:r>
      <w:r>
        <w:tab/>
        <w:t xml:space="preserve">Elk bedrag dat de waarde van de indicator, de activa, passiva of blootstellingen doet stijgen, wordt als een positieve waarde gerapporteerd. Elk bedrag dat de waarde van de indicator, de activa, passiva of blootstellingen doet dalen, wordt als een negatieve waarde gerapporteerd. Indien er een minteken (-) voor </w:t>
      </w:r>
      <w:proofErr w:type="gramStart"/>
      <w:r>
        <w:t>het</w:t>
      </w:r>
      <w:proofErr w:type="gramEnd"/>
      <w:r>
        <w:t xml:space="preserve"> label van een post staat, wordt er voor die post geen positieve waarde verwacht.</w:t>
      </w:r>
    </w:p>
    <w:p w14:paraId="318F1B9B" w14:textId="19EFDD0F" w:rsidR="00304CA5" w:rsidRPr="00EC067D" w:rsidRDefault="00304CA5" w:rsidP="00EC067D">
      <w:pPr>
        <w:pStyle w:val="Instructionsberschrift2"/>
        <w:rPr>
          <w:rFonts w:cs="Times New Roman"/>
          <w:sz w:val="24"/>
        </w:rPr>
      </w:pPr>
      <w:bookmarkStart w:id="21" w:name="_Toc58320496"/>
      <w:r w:rsidRPr="00046528">
        <w:rPr>
          <w:sz w:val="24"/>
        </w:rPr>
        <w:t>1</w:t>
      </w:r>
      <w:r>
        <w:rPr>
          <w:sz w:val="24"/>
        </w:rPr>
        <w:t>.</w:t>
      </w:r>
      <w:r w:rsidRPr="00046528">
        <w:rPr>
          <w:sz w:val="24"/>
        </w:rPr>
        <w:t>4</w:t>
      </w:r>
      <w:r>
        <w:rPr>
          <w:sz w:val="24"/>
        </w:rPr>
        <w:t>.</w:t>
      </w:r>
      <w:r>
        <w:tab/>
      </w:r>
      <w:r>
        <w:rPr>
          <w:sz w:val="24"/>
        </w:rPr>
        <w:t>Afkortingen</w:t>
      </w:r>
      <w:bookmarkEnd w:id="21"/>
    </w:p>
    <w:p w14:paraId="5A22E3D2" w14:textId="07D28013" w:rsidR="00304CA5" w:rsidRPr="00EC067D" w:rsidRDefault="006137FD" w:rsidP="00004542">
      <w:pPr>
        <w:pStyle w:val="InstructionsText2"/>
        <w:numPr>
          <w:ilvl w:val="0"/>
          <w:numId w:val="0"/>
        </w:numPr>
        <w:ind w:left="993"/>
      </w:pPr>
      <w:r w:rsidRPr="00046528">
        <w:t>7</w:t>
      </w:r>
      <w:r>
        <w:t xml:space="preserve">. Voor de toepassing van deze bijlage wordt Verordening (EU) nr. </w:t>
      </w:r>
      <w:r w:rsidRPr="00046528">
        <w:t>575</w:t>
      </w:r>
      <w:r>
        <w:t>/</w:t>
      </w:r>
      <w:r w:rsidRPr="00046528">
        <w:t>2013</w:t>
      </w:r>
      <w:r>
        <w:t xml:space="preserve"> van het Europees Parlement en de Raad</w:t>
      </w:r>
      <w:r>
        <w:rPr>
          <w:rStyle w:val="FootnoteReference"/>
          <w:rFonts w:ascii="Times New Roman" w:hAnsi="Times New Roman"/>
          <w:sz w:val="24"/>
          <w:szCs w:val="24"/>
          <w:vertAlign w:val="superscript"/>
        </w:rPr>
        <w:footnoteReference w:id="2"/>
      </w:r>
      <w:r>
        <w:t xml:space="preserve"> “VKV” genoemd, en Richtlijn </w:t>
      </w:r>
      <w:r w:rsidRPr="00046528">
        <w:t>2013</w:t>
      </w:r>
      <w:r>
        <w:t>/</w:t>
      </w:r>
      <w:r w:rsidRPr="00046528">
        <w:t>36</w:t>
      </w:r>
      <w:r>
        <w:t>/EU van het Europees Parlement en de Raad</w:t>
      </w:r>
      <w:r>
        <w:rPr>
          <w:rStyle w:val="FootnoteReference"/>
          <w:rFonts w:ascii="Times New Roman" w:hAnsi="Times New Roman"/>
          <w:sz w:val="24"/>
          <w:szCs w:val="24"/>
          <w:vertAlign w:val="superscript"/>
        </w:rPr>
        <w:footnoteReference w:id="3"/>
      </w:r>
      <w:r>
        <w:t xml:space="preserve"> “RKV”.</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320497"/>
      <w:r>
        <w:t>DEEL II: INSTRUCTIES IN VERBAND MET DE TEMPLATES</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320498"/>
      <w:r w:rsidRPr="00046528">
        <w:rPr>
          <w:sz w:val="24"/>
        </w:rPr>
        <w:t>1</w:t>
      </w:r>
      <w:r>
        <w:rPr>
          <w:sz w:val="24"/>
        </w:rPr>
        <w:t>.</w:t>
      </w:r>
      <w:r>
        <w:tab/>
      </w:r>
      <w:bookmarkStart w:id="29" w:name="_Toc308175819"/>
      <w:bookmarkStart w:id="30" w:name="_Toc360188324"/>
      <w:bookmarkStart w:id="31" w:name="_Toc473560872"/>
      <w:bookmarkEnd w:id="26"/>
      <w:bookmarkEnd w:id="27"/>
      <w:r>
        <w:rPr>
          <w:sz w:val="24"/>
        </w:rPr>
        <w:t>Algemene opmerkingen</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rsidRPr="00046528">
        <w:t>8</w:t>
      </w:r>
      <w:r>
        <w:t>.</w:t>
      </w:r>
      <w:r>
        <w:tab/>
        <w:t xml:space="preserve">De template is verdeeld in twee delen. Het bovenste deel over MSI-indicatoren omvat de indicatoren voor de identificatie van mondiaal systeemrelevante instellingen in de zin van de door het Bazels Comité voor bankentoezicht ontwikkelde methodiek. Het onderste deel omvat een aantal posten die nodig zijn voor de berekening van de relevante indicatoren overeenkomstig de op basis van artikel </w:t>
      </w:r>
      <w:r w:rsidRPr="00046528">
        <w:t>131</w:t>
      </w:r>
      <w:r>
        <w:t xml:space="preserve">, punt </w:t>
      </w:r>
      <w:r w:rsidRPr="00046528">
        <w:t>18</w:t>
      </w:r>
      <w:r>
        <w:t xml:space="preserve">, van de RKV vastgestelde methodiek. </w:t>
      </w:r>
    </w:p>
    <w:p w14:paraId="285BFC5F" w14:textId="50F4BAE2" w:rsidR="005643EA" w:rsidRPr="00EC067D" w:rsidRDefault="00004542" w:rsidP="00004542">
      <w:pPr>
        <w:pStyle w:val="InstructionsText2"/>
        <w:numPr>
          <w:ilvl w:val="0"/>
          <w:numId w:val="0"/>
        </w:numPr>
        <w:ind w:left="993"/>
      </w:pPr>
      <w:r w:rsidRPr="00046528">
        <w:t>9</w:t>
      </w:r>
      <w:r>
        <w:t>.</w:t>
      </w:r>
      <w:r>
        <w:tab/>
        <w:t xml:space="preserve">De in deze template verstrekte informatie is in voorkomend geval consistent met de informatie die aan de betrokken autoriteiten wordt verstrekt voor de verzameling van de indicatorwaarden als bedoeld in artikel </w:t>
      </w:r>
      <w:r w:rsidRPr="00046528">
        <w:t>3</w:t>
      </w:r>
      <w:r>
        <w:t xml:space="preserve">, lid </w:t>
      </w:r>
      <w:r w:rsidRPr="00046528">
        <w:t>2</w:t>
      </w:r>
      <w:r>
        <w:t xml:space="preserve">, van Gedelegeerde Verordening (EU) nr. </w:t>
      </w:r>
      <w:r w:rsidRPr="00046528">
        <w:t>1222</w:t>
      </w:r>
      <w:r>
        <w:t>/</w:t>
      </w:r>
      <w:r w:rsidRPr="00046528">
        <w:t>2014</w:t>
      </w:r>
      <w:r>
        <w:t xml:space="preserve"> van de Commissie door de betrokken autoriteiten.</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320499"/>
      <w:r w:rsidRPr="00046528">
        <w:rPr>
          <w:sz w:val="24"/>
        </w:rPr>
        <w:t>2</w:t>
      </w:r>
      <w:r>
        <w:rPr>
          <w:sz w:val="24"/>
        </w:rPr>
        <w:t>.</w:t>
      </w:r>
      <w:r>
        <w:tab/>
      </w:r>
      <w:bookmarkStart w:id="36" w:name="_Toc308175821"/>
      <w:r w:rsidRPr="006B4EF8">
        <w:rPr>
          <w:sz w:val="24"/>
        </w:rPr>
        <w:t xml:space="preserve">Instructies voor bepaalde </w:t>
      </w:r>
      <w:bookmarkEnd w:id="36"/>
      <w:bookmarkEnd w:id="32"/>
      <w:r w:rsidRPr="006B4EF8">
        <w:rPr>
          <w:sz w:val="24"/>
        </w:rPr>
        <w:t>posities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 </w:t>
            </w:r>
            <w:r w:rsidRPr="00046528">
              <w:rPr>
                <w:rStyle w:val="FormatvorlageInstructionsTabelleText"/>
                <w:rFonts w:ascii="Times New Roman" w:hAnsi="Times New Roman"/>
                <w:sz w:val="24"/>
              </w:rPr>
              <w:t>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MSI-indicatoren</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Voor de vaststelling van de indicatoren dient dezelfde aanpak te worden gevolgd als voor de bepaling van de informatie in de bijlage bij Gedelegeerde Verordening (EU) nr. </w:t>
            </w:r>
            <w:r w:rsidRPr="00046528">
              <w:rPr>
                <w:rStyle w:val="FormatvorlageInstructionsTabelleText"/>
                <w:rFonts w:ascii="Times New Roman" w:hAnsi="Times New Roman"/>
                <w:sz w:val="24"/>
              </w:rPr>
              <w:t>1222</w:t>
            </w:r>
            <w:r>
              <w:rPr>
                <w:rStyle w:val="FormatvorlageInstructionsTabelleText"/>
                <w:rFonts w:ascii="Times New Roman" w:hAnsi="Times New Roman"/>
                <w:sz w:val="24"/>
              </w:rPr>
              <w:t>/</w:t>
            </w:r>
            <w:r w:rsidRPr="00046528">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van de Commissie.</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In geval van wijzigingen in de methodiek dient de methodiek voor de bepaling van de indicatorwaarden aan het eind van het begrotingsjaar ook te worden toegepast voor de rapportage van informatie aan het eind van het eerste, tweede en derde kwartaal van datzelfde begrotingsjaar.</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Indicatoren die stroommaatstaven zijn, worden cumulatief gerapporteerd sinds het begin van het kalender- of begrotingsjaar, naargelang het geval.</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Rechtsgebiedoverschrijdende</w:t>
            </w:r>
            <w:proofErr w:type="spellEnd"/>
            <w:r>
              <w:rPr>
                <w:rStyle w:val="InstructionsTabelleberschrift"/>
                <w:rFonts w:ascii="Times New Roman" w:hAnsi="Times New Roman"/>
                <w:sz w:val="24"/>
              </w:rPr>
              <w:t xml:space="preserve"> vorderingen</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Rechtsgebiedoverschrijdende</w:t>
            </w:r>
            <w:proofErr w:type="spellEnd"/>
            <w:r>
              <w:rPr>
                <w:rStyle w:val="InstructionsTabelleberschrift"/>
                <w:rFonts w:ascii="Times New Roman" w:hAnsi="Times New Roman"/>
                <w:sz w:val="24"/>
              </w:rPr>
              <w:t xml:space="preserve"> passiva</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blootstellingen (hefboomratio)</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Activa binnen het financiële stelsel</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binnen het financiële stelsel</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Uitstaande effecten</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In bewaring gegeven activa</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Betalingsactiviteiten</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Gegarandeerde transacties op schuld- en aandelenmarkten</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Notionele waarde van otc-derivaten</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Activa van niveau </w:t>
            </w:r>
            <w:r w:rsidRPr="00046528">
              <w:rPr>
                <w:rStyle w:val="InstructionsTabelleberschrift"/>
                <w:rFonts w:ascii="Times New Roman" w:hAnsi="Times New Roman"/>
                <w:sz w:val="24"/>
              </w:rPr>
              <w:t>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Handelseffecten en voor verkoop beschikbare effecten.</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0140</w:t>
            </w:r>
            <w:r>
              <w:rPr>
                <w:rStyle w:val="FormatvorlageInstructionsTabelleText"/>
                <w:rFonts w:ascii="Times New Roman" w:hAnsi="Times New Roman"/>
                <w:sz w:val="24"/>
              </w:rPr>
              <w:t xml:space="preserve"> – </w:t>
            </w:r>
            <w:r w:rsidRPr="00046528">
              <w:rPr>
                <w:rStyle w:val="FormatvorlageInstructionsTabelleText"/>
                <w:rFonts w:ascii="Times New Roman" w:hAnsi="Times New Roman"/>
                <w:sz w:val="24"/>
              </w:rPr>
              <w:t>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die de Europese Bankenunie als één rechtsgebied beschouwen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Voor de vaststelling van de hieronder gespecificeerde posten en bij ontstentenis van specificaties in de onderstaande instructies, moeten de definities en concepten zoveel mogelijk worden afgestemd op die in de richtsnoeren voor de rapportage van de internationale bancaire statistieken van de BIB</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In afwijking daarvan worden de activiteiten van de rapporterende entiteiten in de deelnemende lidstaten als bedoeld in artikel </w:t>
            </w:r>
            <w:r w:rsidRPr="00046528">
              <w:rPr>
                <w:rStyle w:val="FormatvorlageInstructionsTabelleText"/>
                <w:rFonts w:ascii="Times New Roman" w:hAnsi="Times New Roman"/>
                <w:sz w:val="24"/>
              </w:rPr>
              <w:t>4</w:t>
            </w:r>
            <w:r>
              <w:rPr>
                <w:rStyle w:val="FormatvorlageInstructionsTabelleText"/>
                <w:rFonts w:ascii="Times New Roman" w:hAnsi="Times New Roman"/>
                <w:sz w:val="24"/>
              </w:rPr>
              <w:t xml:space="preserve"> van Verordening (EU) nr. </w:t>
            </w:r>
            <w:r w:rsidRPr="00046528">
              <w:rPr>
                <w:rStyle w:val="FormatvorlageInstructionsTabelleText"/>
                <w:rFonts w:ascii="Times New Roman" w:hAnsi="Times New Roman"/>
                <w:sz w:val="24"/>
              </w:rPr>
              <w:t>806</w:t>
            </w:r>
            <w:r>
              <w:rPr>
                <w:rStyle w:val="FormatvorlageInstructionsTabelleText"/>
                <w:rFonts w:ascii="Times New Roman" w:hAnsi="Times New Roman"/>
                <w:sz w:val="24"/>
              </w:rPr>
              <w:t>/</w:t>
            </w:r>
            <w:r w:rsidRPr="00046528">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van het Europees Parlement en de Raad</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uitgesloten, d.w.z. dat de deelnemende lidstaten worden beschouwd als één rechtsgebied.</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buitenlandse vorderingen op basis van uiteindelijk risico</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totale buitenlandse vorderingen zijn gelijk aan de som van de grensoverschrijdende vorderingen en de lokale vorderingen van buitenlandse filialen in lokale of buitenlandse valuta. Vorderingen uit posities in derivatencontracten worden uitgesloten. “Vorderingen”, “grensoverschrijdende vorderingen” en “lokale vorderingen van buitenlandse filialen in buitenlandse en lokale valuta” hebben dezelfde betekenis als in de richtsnoeren voor de rapportage van de internationale bancaire statistieken van de BIB.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 basis van uiteindelijk risico” betekent dat, om te bepalen of een vordering een grensoverschrijdende dan wel een lokale vordering is, de positie wordt toegewezen aan een derde partij die zich contractueel heeft verplicht de schulden of verplichtingen van de primaire tegenpartij over te nemen indien die partij haar verplichtingen niet nakomt, voor zover een derde partij bestaat. Deze toewijzing gebeurt overeenkomstig de bepalingen inzake de overdracht van risico’s in de richtsnoeren voor de rapportage van de internationale bancaire statistieken van de BIB.</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Buitenlandse derivatenvorderingen op basis van uiteindelijk risico</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positieve reële waarde van alle derivatenvorderingen die grensoverschrijdende vorderingen zijn, of lokale vorderingen van buitenlandse filialen in lokale of buitenlandse valuta.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Derivaten omvatten forwards, swaps en opties met betrekking tot valuta, rentetarieven, aandelen, grondstoffen en kredietinstrumenten. Daartoe behoren gekochte kredietderivaten die verkochte protectie afdekken of compenseren of die worden aangehouden voor handelsdoeleinden.</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het geval van dergelijke aangekochte kredietderivaten wordt de waarde niet gemaximeerd op de waarde van de rechtstreekse vordering die met de gekochte kredietderivaten moet worden gewaarborgd.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positieve reële waarden van derivatencontracten mogen slechts worden verrekend met negatieve reële waarden wanneer de posities zijn uitgevoerd met dezelfde tegenpartij in het kader van een afdwingbare contractuele verrekening. Alleen verrekenbare transacties met een positieve waarde worden in deze post opgenomen.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derivatenvorderingen worden gerapporteerd inclusief zekerheden in de vorm van contanten.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Voor de rapportage van informatie op basis van uiteindelijk risico geldt het volgende: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Wanneer het finale risico bij de tegenpartij ligt, wordt een derivaat als buitenlands beschouwd wanneer de tegenpartij zich niet in het rechtsgebied van herkomst van de rapporterende entiteiten bevindt.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Wanneer het finale risico bij de garantiegever ligt, wordt een derivaat als buitenlands beschouwd wanneer de garantiegever zich niet in het rechtsgebied van herkomst van de rapporterende entiteiten bevindt.</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Buitenlandse passiva op basis van onmiddellijk risico, inclusief derivaten</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Buitenlandse passiva, inclusief derivaten, zijn gelijk aan de som van buitenlandse passiva en buitenlandse uit derivaten voortvloeiende passiva. Effectenpassiva die verhandelbare, door de rapporterende instelling uitgegeven financiële activa zijn, worden niet opgenomen in deze post.</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definitie van derivaten is dezelfde als die voor rij </w:t>
            </w:r>
            <w:r w:rsidRPr="00046528">
              <w:rPr>
                <w:rStyle w:val="FormatvorlageInstructionsTabelleText"/>
                <w:rFonts w:ascii="Times New Roman" w:hAnsi="Times New Roman"/>
                <w:sz w:val="24"/>
              </w:rPr>
              <w:t>0140</w:t>
            </w:r>
            <w:r>
              <w:rPr>
                <w:rStyle w:val="FormatvorlageInstructionsTabelleText"/>
                <w:rFonts w:ascii="Times New Roman" w:hAnsi="Times New Roman"/>
                <w:sz w:val="24"/>
              </w:rPr>
              <w:t>.</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negatieve reële waarden van derivatencontracten mogen slechts worden verrekend met positieve reële waarden wanneer de posities zijn uitgevoerd met dezelfde tegenpartij in het kader van een afdwingbare contractuele verrekening. Derivatenpassiva worden gerapporteerd inclusief (contante en niet-contante) zekerheden.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“Op basis van onmiddellijk risico” betekent dat, om te bepalen of een claim een grensoverschrijdende dan wel lokale claim is, de positie wordt toegewezen aan de directe tegenpartij van het contract.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sidRPr="00046528">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waarvan</w:t>
            </w:r>
            <w:proofErr w:type="gramEnd"/>
            <w:r>
              <w:rPr>
                <w:rStyle w:val="InstructionsTabelleberschrift"/>
                <w:rFonts w:ascii="Times New Roman" w:hAnsi="Times New Roman"/>
                <w:sz w:val="24"/>
              </w:rPr>
              <w:t>: buitenlandse derivatenpassiva op basis van onmiddellijk risico</w:t>
            </w:r>
          </w:p>
          <w:p w14:paraId="2ACECCE5" w14:textId="202A3512" w:rsidR="000359E7" w:rsidRPr="00EC067D" w:rsidRDefault="000359E7" w:rsidP="000359E7">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Subreeks</w:t>
            </w:r>
            <w:proofErr w:type="spellEnd"/>
            <w:r>
              <w:rPr>
                <w:rStyle w:val="FormatvorlageInstructionsTabelleText"/>
                <w:rFonts w:ascii="Times New Roman" w:hAnsi="Times New Roman"/>
                <w:sz w:val="24"/>
              </w:rPr>
              <w:t xml:space="preserve"> van rij </w:t>
            </w:r>
            <w:r w:rsidRPr="00046528">
              <w:rPr>
                <w:rStyle w:val="FormatvorlageInstructionsTabelleText"/>
                <w:rFonts w:ascii="Times New Roman" w:hAnsi="Times New Roman"/>
                <w:sz w:val="24"/>
              </w:rPr>
              <w:t>0160</w:t>
            </w:r>
            <w:r>
              <w:rPr>
                <w:rStyle w:val="FormatvorlageInstructionsTabelleText"/>
                <w:rFonts w:ascii="Times New Roman" w:hAnsi="Times New Roman"/>
                <w:sz w:val="24"/>
              </w:rPr>
              <w:t xml:space="preserve"> die bestaat uit derivatenpassiva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E4D329A"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046528">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3A8A986"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046528">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DD05AAE"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11BC9">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sidRPr="006B4EF8">
        <w:rPr>
          <w:rFonts w:ascii="Times New Roman" w:hAnsi="Times New Roman"/>
          <w:sz w:val="20"/>
          <w:szCs w:val="20"/>
        </w:rPr>
        <w:t>Verordening (EU) nr. </w:t>
      </w:r>
      <w:r w:rsidRPr="00046528">
        <w:rPr>
          <w:rFonts w:ascii="Times New Roman" w:hAnsi="Times New Roman"/>
          <w:sz w:val="20"/>
          <w:szCs w:val="20"/>
        </w:rPr>
        <w:t>575</w:t>
      </w:r>
      <w:r w:rsidRPr="006B4EF8">
        <w:rPr>
          <w:rFonts w:ascii="Times New Roman" w:hAnsi="Times New Roman"/>
          <w:sz w:val="20"/>
          <w:szCs w:val="20"/>
        </w:rPr>
        <w:t>/</w:t>
      </w:r>
      <w:r w:rsidRPr="00046528">
        <w:rPr>
          <w:rFonts w:ascii="Times New Roman" w:hAnsi="Times New Roman"/>
          <w:sz w:val="20"/>
          <w:szCs w:val="20"/>
        </w:rPr>
        <w:t>2013</w:t>
      </w:r>
      <w:r w:rsidRPr="006B4EF8">
        <w:rPr>
          <w:rFonts w:ascii="Times New Roman" w:hAnsi="Times New Roman"/>
          <w:sz w:val="20"/>
          <w:szCs w:val="20"/>
        </w:rPr>
        <w:t xml:space="preserve"> van het Europees Parlement en de Raad van </w:t>
      </w:r>
      <w:r w:rsidRPr="00046528">
        <w:rPr>
          <w:rFonts w:ascii="Times New Roman" w:hAnsi="Times New Roman"/>
          <w:sz w:val="20"/>
          <w:szCs w:val="20"/>
        </w:rPr>
        <w:t>26</w:t>
      </w:r>
      <w:r w:rsidRPr="006B4EF8">
        <w:rPr>
          <w:rFonts w:ascii="Times New Roman" w:hAnsi="Times New Roman"/>
          <w:sz w:val="20"/>
          <w:szCs w:val="20"/>
        </w:rPr>
        <w:t xml:space="preserve"> juni </w:t>
      </w:r>
      <w:r w:rsidRPr="00046528">
        <w:rPr>
          <w:rFonts w:ascii="Times New Roman" w:hAnsi="Times New Roman"/>
          <w:sz w:val="20"/>
          <w:szCs w:val="20"/>
        </w:rPr>
        <w:t>2013</w:t>
      </w:r>
      <w:r w:rsidRPr="006B4EF8">
        <w:rPr>
          <w:rFonts w:ascii="Times New Roman" w:hAnsi="Times New Roman"/>
          <w:sz w:val="20"/>
          <w:szCs w:val="20"/>
        </w:rPr>
        <w:t xml:space="preserve"> betreffende prudentiële vereisten voor kredietinstellingen en beleggingsondernemingen en tot wijziging van Verordening (EU) nr. </w:t>
      </w:r>
      <w:r w:rsidRPr="00046528">
        <w:rPr>
          <w:rFonts w:ascii="Times New Roman" w:hAnsi="Times New Roman"/>
          <w:sz w:val="20"/>
          <w:szCs w:val="20"/>
        </w:rPr>
        <w:t>648</w:t>
      </w:r>
      <w:r w:rsidRPr="006B4EF8">
        <w:rPr>
          <w:rFonts w:ascii="Times New Roman" w:hAnsi="Times New Roman"/>
          <w:sz w:val="20"/>
          <w:szCs w:val="20"/>
        </w:rPr>
        <w:t>/</w:t>
      </w:r>
      <w:r w:rsidRPr="00046528">
        <w:rPr>
          <w:rFonts w:ascii="Times New Roman" w:hAnsi="Times New Roman"/>
          <w:sz w:val="20"/>
          <w:szCs w:val="20"/>
        </w:rPr>
        <w:t>2012</w:t>
      </w:r>
      <w:r w:rsidRPr="006B4EF8">
        <w:rPr>
          <w:rFonts w:ascii="Times New Roman" w:hAnsi="Times New Roman"/>
          <w:sz w:val="20"/>
          <w:szCs w:val="20"/>
        </w:rPr>
        <w:t xml:space="preserve"> (PB L </w:t>
      </w:r>
      <w:r w:rsidRPr="00046528">
        <w:rPr>
          <w:rFonts w:ascii="Times New Roman" w:hAnsi="Times New Roman"/>
          <w:sz w:val="20"/>
          <w:szCs w:val="20"/>
        </w:rPr>
        <w:t>176</w:t>
      </w:r>
      <w:r w:rsidRPr="006B4EF8">
        <w:rPr>
          <w:rFonts w:ascii="Times New Roman" w:hAnsi="Times New Roman"/>
          <w:sz w:val="20"/>
          <w:szCs w:val="20"/>
        </w:rPr>
        <w:t xml:space="preserve"> van </w:t>
      </w:r>
      <w:r w:rsidRPr="00046528">
        <w:rPr>
          <w:rFonts w:ascii="Times New Roman" w:hAnsi="Times New Roman"/>
          <w:sz w:val="20"/>
          <w:szCs w:val="20"/>
        </w:rPr>
        <w:t>27</w:t>
      </w:r>
      <w:r w:rsidRPr="006B4EF8">
        <w:rPr>
          <w:rFonts w:ascii="Times New Roman" w:hAnsi="Times New Roman"/>
          <w:sz w:val="20"/>
          <w:szCs w:val="20"/>
        </w:rPr>
        <w:t>.</w:t>
      </w:r>
      <w:r w:rsidRPr="00046528">
        <w:rPr>
          <w:rFonts w:ascii="Times New Roman" w:hAnsi="Times New Roman"/>
          <w:sz w:val="20"/>
          <w:szCs w:val="20"/>
        </w:rPr>
        <w:t>6</w:t>
      </w:r>
      <w:r w:rsidRPr="006B4EF8">
        <w:rPr>
          <w:rFonts w:ascii="Times New Roman" w:hAnsi="Times New Roman"/>
          <w:sz w:val="20"/>
          <w:szCs w:val="20"/>
        </w:rPr>
        <w:t>.</w:t>
      </w:r>
      <w:r w:rsidRPr="00046528">
        <w:rPr>
          <w:rFonts w:ascii="Times New Roman" w:hAnsi="Times New Roman"/>
          <w:sz w:val="20"/>
          <w:szCs w:val="20"/>
        </w:rPr>
        <w:t>2013</w:t>
      </w:r>
      <w:r w:rsidRPr="006B4EF8">
        <w:rPr>
          <w:rFonts w:ascii="Times New Roman" w:hAnsi="Times New Roman"/>
          <w:sz w:val="20"/>
          <w:szCs w:val="20"/>
        </w:rPr>
        <w:t>, blz. </w:t>
      </w:r>
      <w:r w:rsidRPr="00046528">
        <w:rPr>
          <w:rFonts w:ascii="Times New Roman" w:hAnsi="Times New Roman"/>
          <w:sz w:val="20"/>
          <w:szCs w:val="20"/>
        </w:rPr>
        <w:t>1</w:t>
      </w:r>
      <w:r w:rsidRPr="006B4EF8">
        <w:rPr>
          <w:rFonts w:ascii="Times New Roman" w:hAnsi="Times New Roman"/>
          <w:sz w:val="20"/>
          <w:szCs w:val="20"/>
        </w:rPr>
        <w:t>).</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sidRPr="006B4EF8">
        <w:rPr>
          <w:rFonts w:ascii="Times New Roman" w:hAnsi="Times New Roman"/>
          <w:sz w:val="20"/>
          <w:szCs w:val="20"/>
        </w:rPr>
        <w:t xml:space="preserve">Richtlijn </w:t>
      </w:r>
      <w:r w:rsidRPr="00046528">
        <w:rPr>
          <w:rFonts w:ascii="Times New Roman" w:hAnsi="Times New Roman"/>
          <w:sz w:val="20"/>
          <w:szCs w:val="20"/>
        </w:rPr>
        <w:t>2013</w:t>
      </w:r>
      <w:r w:rsidRPr="006B4EF8">
        <w:rPr>
          <w:rFonts w:ascii="Times New Roman" w:hAnsi="Times New Roman"/>
          <w:sz w:val="20"/>
          <w:szCs w:val="20"/>
        </w:rPr>
        <w:t>/</w:t>
      </w:r>
      <w:r w:rsidRPr="00046528">
        <w:rPr>
          <w:rFonts w:ascii="Times New Roman" w:hAnsi="Times New Roman"/>
          <w:sz w:val="20"/>
          <w:szCs w:val="20"/>
        </w:rPr>
        <w:t>36</w:t>
      </w:r>
      <w:r w:rsidRPr="006B4EF8">
        <w:rPr>
          <w:rFonts w:ascii="Times New Roman" w:hAnsi="Times New Roman"/>
          <w:sz w:val="20"/>
          <w:szCs w:val="20"/>
        </w:rPr>
        <w:t xml:space="preserve">/EU van het Europees Parlement en de Raad van </w:t>
      </w:r>
      <w:r w:rsidRPr="00046528">
        <w:rPr>
          <w:rFonts w:ascii="Times New Roman" w:hAnsi="Times New Roman"/>
          <w:sz w:val="20"/>
          <w:szCs w:val="20"/>
        </w:rPr>
        <w:t>26</w:t>
      </w:r>
      <w:r w:rsidRPr="006B4EF8">
        <w:rPr>
          <w:rFonts w:ascii="Times New Roman" w:hAnsi="Times New Roman"/>
          <w:sz w:val="20"/>
          <w:szCs w:val="20"/>
        </w:rPr>
        <w:t xml:space="preserve"> juni </w:t>
      </w:r>
      <w:r w:rsidRPr="00046528">
        <w:rPr>
          <w:rFonts w:ascii="Times New Roman" w:hAnsi="Times New Roman"/>
          <w:sz w:val="20"/>
          <w:szCs w:val="20"/>
        </w:rPr>
        <w:t>2013</w:t>
      </w:r>
      <w:r w:rsidRPr="006B4EF8">
        <w:rPr>
          <w:rFonts w:ascii="Times New Roman" w:hAnsi="Times New Roman"/>
          <w:sz w:val="20"/>
          <w:szCs w:val="20"/>
        </w:rPr>
        <w:t xml:space="preserve"> betreffende toegang tot het bedrijf van kredietinstellingen en het prudentieel toezicht op kredietinstellingen en beleggingsondernemingen, tot wijziging van Richtlijn </w:t>
      </w:r>
      <w:r w:rsidRPr="00046528">
        <w:rPr>
          <w:rFonts w:ascii="Times New Roman" w:hAnsi="Times New Roman"/>
          <w:sz w:val="20"/>
          <w:szCs w:val="20"/>
        </w:rPr>
        <w:t>2002</w:t>
      </w:r>
      <w:r w:rsidRPr="006B4EF8">
        <w:rPr>
          <w:rFonts w:ascii="Times New Roman" w:hAnsi="Times New Roman"/>
          <w:sz w:val="20"/>
          <w:szCs w:val="20"/>
        </w:rPr>
        <w:t>/</w:t>
      </w:r>
      <w:r w:rsidRPr="00046528">
        <w:rPr>
          <w:rFonts w:ascii="Times New Roman" w:hAnsi="Times New Roman"/>
          <w:sz w:val="20"/>
          <w:szCs w:val="20"/>
        </w:rPr>
        <w:t>87</w:t>
      </w:r>
      <w:r w:rsidRPr="006B4EF8">
        <w:rPr>
          <w:rFonts w:ascii="Times New Roman" w:hAnsi="Times New Roman"/>
          <w:sz w:val="20"/>
          <w:szCs w:val="20"/>
        </w:rPr>
        <w:t xml:space="preserve">/EG en tot intrekking van de Richtlijnen </w:t>
      </w:r>
      <w:r w:rsidRPr="00046528">
        <w:rPr>
          <w:rFonts w:ascii="Times New Roman" w:hAnsi="Times New Roman"/>
          <w:sz w:val="20"/>
          <w:szCs w:val="20"/>
        </w:rPr>
        <w:t>2006</w:t>
      </w:r>
      <w:r w:rsidRPr="006B4EF8">
        <w:rPr>
          <w:rFonts w:ascii="Times New Roman" w:hAnsi="Times New Roman"/>
          <w:sz w:val="20"/>
          <w:szCs w:val="20"/>
        </w:rPr>
        <w:t>/</w:t>
      </w:r>
      <w:r w:rsidRPr="00046528">
        <w:rPr>
          <w:rFonts w:ascii="Times New Roman" w:hAnsi="Times New Roman"/>
          <w:sz w:val="20"/>
          <w:szCs w:val="20"/>
        </w:rPr>
        <w:t>48</w:t>
      </w:r>
      <w:r w:rsidRPr="006B4EF8">
        <w:rPr>
          <w:rFonts w:ascii="Times New Roman" w:hAnsi="Times New Roman"/>
          <w:sz w:val="20"/>
          <w:szCs w:val="20"/>
        </w:rPr>
        <w:t xml:space="preserve">/EG en </w:t>
      </w:r>
      <w:r w:rsidRPr="00046528">
        <w:rPr>
          <w:rFonts w:ascii="Times New Roman" w:hAnsi="Times New Roman"/>
          <w:sz w:val="20"/>
          <w:szCs w:val="20"/>
        </w:rPr>
        <w:t>2006</w:t>
      </w:r>
      <w:r w:rsidRPr="006B4EF8">
        <w:rPr>
          <w:rFonts w:ascii="Times New Roman" w:hAnsi="Times New Roman"/>
          <w:sz w:val="20"/>
          <w:szCs w:val="20"/>
        </w:rPr>
        <w:t>/</w:t>
      </w:r>
      <w:r w:rsidRPr="00046528">
        <w:rPr>
          <w:rFonts w:ascii="Times New Roman" w:hAnsi="Times New Roman"/>
          <w:sz w:val="20"/>
          <w:szCs w:val="20"/>
        </w:rPr>
        <w:t>49</w:t>
      </w:r>
      <w:r w:rsidRPr="006B4EF8">
        <w:rPr>
          <w:rFonts w:ascii="Times New Roman" w:hAnsi="Times New Roman"/>
          <w:sz w:val="20"/>
          <w:szCs w:val="20"/>
        </w:rPr>
        <w:t xml:space="preserve">/EG (PB L </w:t>
      </w:r>
      <w:r w:rsidRPr="00046528">
        <w:rPr>
          <w:rFonts w:ascii="Times New Roman" w:hAnsi="Times New Roman"/>
          <w:sz w:val="20"/>
          <w:szCs w:val="20"/>
        </w:rPr>
        <w:t>176</w:t>
      </w:r>
      <w:r w:rsidRPr="006B4EF8">
        <w:rPr>
          <w:rFonts w:ascii="Times New Roman" w:hAnsi="Times New Roman"/>
          <w:sz w:val="20"/>
          <w:szCs w:val="20"/>
        </w:rPr>
        <w:t xml:space="preserve"> van </w:t>
      </w:r>
      <w:r w:rsidRPr="00046528">
        <w:rPr>
          <w:rFonts w:ascii="Times New Roman" w:hAnsi="Times New Roman"/>
          <w:sz w:val="20"/>
          <w:szCs w:val="20"/>
        </w:rPr>
        <w:t>27</w:t>
      </w:r>
      <w:r w:rsidRPr="006B4EF8">
        <w:rPr>
          <w:rFonts w:ascii="Times New Roman" w:hAnsi="Times New Roman"/>
          <w:sz w:val="20"/>
          <w:szCs w:val="20"/>
        </w:rPr>
        <w:t>.</w:t>
      </w:r>
      <w:r w:rsidRPr="00046528">
        <w:rPr>
          <w:rFonts w:ascii="Times New Roman" w:hAnsi="Times New Roman"/>
          <w:sz w:val="20"/>
          <w:szCs w:val="20"/>
        </w:rPr>
        <w:t>6</w:t>
      </w:r>
      <w:r w:rsidRPr="006B4EF8">
        <w:rPr>
          <w:rFonts w:ascii="Times New Roman" w:hAnsi="Times New Roman"/>
          <w:sz w:val="20"/>
          <w:szCs w:val="20"/>
        </w:rPr>
        <w:t>.</w:t>
      </w:r>
      <w:r w:rsidRPr="00046528">
        <w:rPr>
          <w:rFonts w:ascii="Times New Roman" w:hAnsi="Times New Roman"/>
          <w:sz w:val="20"/>
          <w:szCs w:val="20"/>
        </w:rPr>
        <w:t>2013</w:t>
      </w:r>
      <w:r w:rsidRPr="006B4EF8">
        <w:rPr>
          <w:rFonts w:ascii="Times New Roman" w:hAnsi="Times New Roman"/>
          <w:sz w:val="20"/>
          <w:szCs w:val="20"/>
        </w:rPr>
        <w:t xml:space="preserve">, blz. </w:t>
      </w:r>
      <w:r w:rsidRPr="00046528">
        <w:rPr>
          <w:rFonts w:ascii="Times New Roman" w:hAnsi="Times New Roman"/>
          <w:sz w:val="20"/>
          <w:szCs w:val="20"/>
        </w:rPr>
        <w:t>338</w:t>
      </w:r>
      <w:r w:rsidRPr="006B4EF8">
        <w:rPr>
          <w:rFonts w:ascii="Times New Roman" w:hAnsi="Times New Roman"/>
          <w:sz w:val="20"/>
          <w:szCs w:val="20"/>
        </w:rPr>
        <w:t>).</w:t>
      </w:r>
    </w:p>
  </w:footnote>
  <w:footnote w:id="4">
    <w:p w14:paraId="7E81C75F" w14:textId="7AFAACB8" w:rsidR="000359E7" w:rsidRPr="00EF0DDB" w:rsidRDefault="000359E7">
      <w:pPr>
        <w:pStyle w:val="FootnoteText"/>
      </w:pPr>
      <w:r>
        <w:rPr>
          <w:rStyle w:val="FootnoteReference"/>
        </w:rPr>
        <w:footnoteRef/>
      </w:r>
      <w:r>
        <w:t xml:space="preserve"> </w:t>
      </w:r>
      <w:r w:rsidRPr="006B4EF8">
        <w:rPr>
          <w:rFonts w:ascii="Times New Roman" w:hAnsi="Times New Roman"/>
          <w:sz w:val="20"/>
          <w:szCs w:val="20"/>
        </w:rPr>
        <w:t>Verordening (EU) nr. </w:t>
      </w:r>
      <w:r w:rsidRPr="00046528">
        <w:rPr>
          <w:rFonts w:ascii="Times New Roman" w:hAnsi="Times New Roman"/>
          <w:sz w:val="20"/>
          <w:szCs w:val="20"/>
        </w:rPr>
        <w:t>806</w:t>
      </w:r>
      <w:r w:rsidRPr="006B4EF8">
        <w:rPr>
          <w:rFonts w:ascii="Times New Roman" w:hAnsi="Times New Roman"/>
          <w:sz w:val="20"/>
          <w:szCs w:val="20"/>
        </w:rPr>
        <w:t>/</w:t>
      </w:r>
      <w:r w:rsidRPr="00046528">
        <w:rPr>
          <w:rFonts w:ascii="Times New Roman" w:hAnsi="Times New Roman"/>
          <w:sz w:val="20"/>
          <w:szCs w:val="20"/>
        </w:rPr>
        <w:t>2014</w:t>
      </w:r>
      <w:r w:rsidRPr="006B4EF8">
        <w:rPr>
          <w:rFonts w:ascii="Times New Roman" w:hAnsi="Times New Roman"/>
          <w:sz w:val="20"/>
          <w:szCs w:val="20"/>
        </w:rPr>
        <w:t xml:space="preserve"> van het Europees Parlement en de Raad van </w:t>
      </w:r>
      <w:r w:rsidRPr="00046528">
        <w:rPr>
          <w:rFonts w:ascii="Times New Roman" w:hAnsi="Times New Roman"/>
          <w:sz w:val="20"/>
          <w:szCs w:val="20"/>
        </w:rPr>
        <w:t>15</w:t>
      </w:r>
      <w:r w:rsidRPr="006B4EF8">
        <w:rPr>
          <w:rFonts w:ascii="Times New Roman" w:hAnsi="Times New Roman"/>
          <w:sz w:val="20"/>
          <w:szCs w:val="20"/>
        </w:rPr>
        <w:t> juli </w:t>
      </w:r>
      <w:r w:rsidRPr="00046528">
        <w:rPr>
          <w:rFonts w:ascii="Times New Roman" w:hAnsi="Times New Roman"/>
          <w:sz w:val="20"/>
          <w:szCs w:val="20"/>
        </w:rPr>
        <w:t>2014</w:t>
      </w:r>
      <w:r w:rsidRPr="006B4EF8">
        <w:rPr>
          <w:rFonts w:ascii="Times New Roman" w:hAnsi="Times New Roman"/>
          <w:sz w:val="20"/>
          <w:szCs w:val="20"/>
        </w:rPr>
        <w:t xml:space="preserve">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w:t>
      </w:r>
      <w:r w:rsidRPr="00046528">
        <w:rPr>
          <w:rFonts w:ascii="Times New Roman" w:hAnsi="Times New Roman"/>
          <w:sz w:val="20"/>
          <w:szCs w:val="20"/>
        </w:rPr>
        <w:t>1093</w:t>
      </w:r>
      <w:r w:rsidRPr="006B4EF8">
        <w:rPr>
          <w:rFonts w:ascii="Times New Roman" w:hAnsi="Times New Roman"/>
          <w:sz w:val="20"/>
          <w:szCs w:val="20"/>
        </w:rPr>
        <w:t>/</w:t>
      </w:r>
      <w:r w:rsidRPr="00046528">
        <w:rPr>
          <w:rFonts w:ascii="Times New Roman" w:hAnsi="Times New Roman"/>
          <w:sz w:val="20"/>
          <w:szCs w:val="20"/>
        </w:rPr>
        <w:t>2010</w:t>
      </w:r>
      <w:r w:rsidRPr="006B4EF8">
        <w:rPr>
          <w:rFonts w:ascii="Times New Roman" w:hAnsi="Times New Roman"/>
          <w:sz w:val="20"/>
          <w:szCs w:val="20"/>
        </w:rPr>
        <w:t xml:space="preserve"> (PB L </w:t>
      </w:r>
      <w:r w:rsidRPr="00046528">
        <w:rPr>
          <w:rFonts w:ascii="Times New Roman" w:hAnsi="Times New Roman"/>
          <w:sz w:val="20"/>
          <w:szCs w:val="20"/>
        </w:rPr>
        <w:t>225</w:t>
      </w:r>
      <w:r w:rsidRPr="006B4EF8">
        <w:rPr>
          <w:rFonts w:ascii="Times New Roman" w:hAnsi="Times New Roman"/>
          <w:sz w:val="20"/>
          <w:szCs w:val="20"/>
        </w:rPr>
        <w:t xml:space="preserve"> van </w:t>
      </w:r>
      <w:r w:rsidRPr="00046528">
        <w:rPr>
          <w:rFonts w:ascii="Times New Roman" w:hAnsi="Times New Roman"/>
          <w:sz w:val="20"/>
          <w:szCs w:val="20"/>
        </w:rPr>
        <w:t>30</w:t>
      </w:r>
      <w:r w:rsidRPr="006B4EF8">
        <w:rPr>
          <w:rFonts w:ascii="Times New Roman" w:hAnsi="Times New Roman"/>
          <w:sz w:val="20"/>
          <w:szCs w:val="20"/>
        </w:rPr>
        <w:t>.</w:t>
      </w:r>
      <w:r w:rsidRPr="00046528">
        <w:rPr>
          <w:rFonts w:ascii="Times New Roman" w:hAnsi="Times New Roman"/>
          <w:sz w:val="20"/>
          <w:szCs w:val="20"/>
        </w:rPr>
        <w:t>7</w:t>
      </w:r>
      <w:r w:rsidRPr="006B4EF8">
        <w:rPr>
          <w:rFonts w:ascii="Times New Roman" w:hAnsi="Times New Roman"/>
          <w:sz w:val="20"/>
          <w:szCs w:val="20"/>
        </w:rPr>
        <w:t>.</w:t>
      </w:r>
      <w:r w:rsidRPr="00046528">
        <w:rPr>
          <w:rFonts w:ascii="Times New Roman" w:hAnsi="Times New Roman"/>
          <w:sz w:val="20"/>
          <w:szCs w:val="20"/>
        </w:rPr>
        <w:t>2014</w:t>
      </w:r>
      <w:r w:rsidRPr="006B4EF8">
        <w:rPr>
          <w:rFonts w:ascii="Times New Roman" w:hAnsi="Times New Roman"/>
          <w:sz w:val="20"/>
          <w:szCs w:val="20"/>
        </w:rPr>
        <w:t>, blz. </w:t>
      </w:r>
      <w:r w:rsidRPr="00046528">
        <w:rPr>
          <w:rFonts w:ascii="Times New Roman" w:hAnsi="Times New Roman"/>
          <w:sz w:val="20"/>
          <w:szCs w:val="20"/>
        </w:rPr>
        <w:t>1</w:t>
      </w:r>
      <w:r w:rsidRPr="006B4EF8">
        <w:rPr>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nl-NL"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6528"/>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4EF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1BC9"/>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3655F-512C-4252-BAAD-FD88F2C8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1225</Words>
  <Characters>7493</Characters>
  <Application>Microsoft Office Word</Application>
  <DocSecurity>0</DocSecurity>
  <Lines>171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IDZERDA Renee (DGT)</cp:lastModifiedBy>
  <cp:revision>5</cp:revision>
  <dcterms:created xsi:type="dcterms:W3CDTF">2020-12-02T17:25:00Z</dcterms:created>
  <dcterms:modified xsi:type="dcterms:W3CDTF">2020-12-08T12:32:00Z</dcterms:modified>
</cp:coreProperties>
</file>