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XI PRIEDAS</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INFORMACIJOS APIE SVERTĄ TEIKIMO NURODYMAI</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68B68BD9" w14:textId="0BF20F82" w:rsidR="006C2F56"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26654" w:history="1">
        <w:r w:rsidR="006C2F56" w:rsidRPr="006D2726">
          <w:rPr>
            <w:rStyle w:val="Hyperlink"/>
            <w:rFonts w:ascii="Times New Roman" w:hAnsi="Times New Roman"/>
            <w:b/>
          </w:rPr>
          <w:t>I DALIS. BENDRIEJI NURODYMAI</w:t>
        </w:r>
        <w:r w:rsidR="006C2F56">
          <w:rPr>
            <w:webHidden/>
          </w:rPr>
          <w:tab/>
        </w:r>
        <w:r w:rsidR="006C2F56">
          <w:rPr>
            <w:webHidden/>
          </w:rPr>
          <w:fldChar w:fldCharType="begin"/>
        </w:r>
        <w:r w:rsidR="006C2F56">
          <w:rPr>
            <w:webHidden/>
          </w:rPr>
          <w:instrText xml:space="preserve"> PAGEREF _Toc58926654 \h </w:instrText>
        </w:r>
        <w:r w:rsidR="006C2F56">
          <w:rPr>
            <w:webHidden/>
          </w:rPr>
        </w:r>
        <w:r w:rsidR="006C2F56">
          <w:rPr>
            <w:webHidden/>
          </w:rPr>
          <w:fldChar w:fldCharType="separate"/>
        </w:r>
        <w:r w:rsidR="006C2F56">
          <w:rPr>
            <w:webHidden/>
          </w:rPr>
          <w:t>2</w:t>
        </w:r>
        <w:r w:rsidR="006C2F56">
          <w:rPr>
            <w:webHidden/>
          </w:rPr>
          <w:fldChar w:fldCharType="end"/>
        </w:r>
      </w:hyperlink>
    </w:p>
    <w:p w14:paraId="3E200190" w14:textId="218C75DD" w:rsidR="006C2F56" w:rsidRDefault="006C2F56">
      <w:pPr>
        <w:pStyle w:val="TOC2"/>
        <w:rPr>
          <w:rFonts w:asciiTheme="minorHAnsi" w:eastAsiaTheme="minorEastAsia" w:hAnsiTheme="minorHAnsi" w:cstheme="minorBidi"/>
          <w:b w:val="0"/>
          <w:smallCaps w:val="0"/>
          <w:sz w:val="22"/>
          <w:lang w:val="en-US"/>
        </w:rPr>
      </w:pPr>
      <w:hyperlink w:anchor="_Toc58926655" w:history="1">
        <w:r w:rsidRPr="006D2726">
          <w:rPr>
            <w:rStyle w:val="Hyperlink"/>
            <w:rFonts w:ascii="Times New Roman" w:hAnsi="Times New Roman"/>
          </w:rPr>
          <w:t>1.</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Struktūra ir kita tvarka</w:t>
        </w:r>
        <w:r>
          <w:rPr>
            <w:webHidden/>
          </w:rPr>
          <w:tab/>
        </w:r>
        <w:r>
          <w:rPr>
            <w:webHidden/>
          </w:rPr>
          <w:fldChar w:fldCharType="begin"/>
        </w:r>
        <w:r>
          <w:rPr>
            <w:webHidden/>
          </w:rPr>
          <w:instrText xml:space="preserve"> PAGEREF _Toc58926655 \h </w:instrText>
        </w:r>
        <w:r>
          <w:rPr>
            <w:webHidden/>
          </w:rPr>
        </w:r>
        <w:r>
          <w:rPr>
            <w:webHidden/>
          </w:rPr>
          <w:fldChar w:fldCharType="separate"/>
        </w:r>
        <w:r>
          <w:rPr>
            <w:webHidden/>
          </w:rPr>
          <w:t>2</w:t>
        </w:r>
        <w:r>
          <w:rPr>
            <w:webHidden/>
          </w:rPr>
          <w:fldChar w:fldCharType="end"/>
        </w:r>
      </w:hyperlink>
    </w:p>
    <w:p w14:paraId="6CE8C335" w14:textId="53170C5A" w:rsidR="006C2F56" w:rsidRDefault="006C2F56">
      <w:pPr>
        <w:pStyle w:val="TOC3"/>
        <w:rPr>
          <w:rFonts w:asciiTheme="minorHAnsi" w:eastAsiaTheme="minorEastAsia" w:hAnsiTheme="minorHAnsi" w:cstheme="minorBidi"/>
          <w:smallCaps w:val="0"/>
          <w:sz w:val="22"/>
          <w:szCs w:val="22"/>
          <w:lang w:val="en-US"/>
        </w:rPr>
      </w:pPr>
      <w:hyperlink w:anchor="_Toc58926656" w:history="1">
        <w:r w:rsidRPr="006D2726">
          <w:rPr>
            <w:rStyle w:val="Hyperlink"/>
            <w:rFonts w:ascii="Times New Roman" w:hAnsi="Times New Roman"/>
            <w:b/>
          </w:rPr>
          <w:t>1.1.</w:t>
        </w:r>
        <w:r>
          <w:rPr>
            <w:rFonts w:asciiTheme="minorHAnsi" w:eastAsiaTheme="minorEastAsia" w:hAnsiTheme="minorHAnsi" w:cstheme="minorBidi"/>
            <w:smallCaps w:val="0"/>
            <w:sz w:val="22"/>
            <w:szCs w:val="22"/>
            <w:lang w:val="en-US"/>
          </w:rPr>
          <w:tab/>
        </w:r>
        <w:r w:rsidRPr="006D2726">
          <w:rPr>
            <w:rStyle w:val="Hyperlink"/>
            <w:rFonts w:ascii="Times New Roman" w:hAnsi="Times New Roman"/>
            <w:b/>
          </w:rPr>
          <w:t>Struktūra</w:t>
        </w:r>
        <w:r>
          <w:rPr>
            <w:webHidden/>
          </w:rPr>
          <w:tab/>
        </w:r>
        <w:r>
          <w:rPr>
            <w:webHidden/>
          </w:rPr>
          <w:fldChar w:fldCharType="begin"/>
        </w:r>
        <w:r>
          <w:rPr>
            <w:webHidden/>
          </w:rPr>
          <w:instrText xml:space="preserve"> PAGEREF _Toc58926656 \h </w:instrText>
        </w:r>
        <w:r>
          <w:rPr>
            <w:webHidden/>
          </w:rPr>
        </w:r>
        <w:r>
          <w:rPr>
            <w:webHidden/>
          </w:rPr>
          <w:fldChar w:fldCharType="separate"/>
        </w:r>
        <w:r>
          <w:rPr>
            <w:webHidden/>
          </w:rPr>
          <w:t>2</w:t>
        </w:r>
        <w:r>
          <w:rPr>
            <w:webHidden/>
          </w:rPr>
          <w:fldChar w:fldCharType="end"/>
        </w:r>
      </w:hyperlink>
    </w:p>
    <w:p w14:paraId="3895B68D" w14:textId="64B2BAA0" w:rsidR="006C2F56" w:rsidRDefault="006C2F56">
      <w:pPr>
        <w:pStyle w:val="TOC3"/>
        <w:rPr>
          <w:rFonts w:asciiTheme="minorHAnsi" w:eastAsiaTheme="minorEastAsia" w:hAnsiTheme="minorHAnsi" w:cstheme="minorBidi"/>
          <w:smallCaps w:val="0"/>
          <w:sz w:val="22"/>
          <w:szCs w:val="22"/>
          <w:lang w:val="en-US"/>
        </w:rPr>
      </w:pPr>
      <w:hyperlink w:anchor="_Toc58926657" w:history="1">
        <w:r w:rsidRPr="006D2726">
          <w:rPr>
            <w:rStyle w:val="Hyperlink"/>
            <w:rFonts w:ascii="Times New Roman" w:hAnsi="Times New Roman"/>
            <w:b/>
          </w:rPr>
          <w:t>1.2.</w:t>
        </w:r>
        <w:r>
          <w:rPr>
            <w:rFonts w:asciiTheme="minorHAnsi" w:eastAsiaTheme="minorEastAsia" w:hAnsiTheme="minorHAnsi" w:cstheme="minorBidi"/>
            <w:smallCaps w:val="0"/>
            <w:sz w:val="22"/>
            <w:szCs w:val="22"/>
            <w:lang w:val="en-US"/>
          </w:rPr>
          <w:tab/>
        </w:r>
        <w:r w:rsidRPr="006D2726">
          <w:rPr>
            <w:rStyle w:val="Hyperlink"/>
            <w:rFonts w:ascii="Times New Roman" w:hAnsi="Times New Roman"/>
            <w:b/>
          </w:rPr>
          <w:t>Numeravimo tvarka</w:t>
        </w:r>
        <w:r>
          <w:rPr>
            <w:webHidden/>
          </w:rPr>
          <w:tab/>
        </w:r>
        <w:r>
          <w:rPr>
            <w:webHidden/>
          </w:rPr>
          <w:fldChar w:fldCharType="begin"/>
        </w:r>
        <w:r>
          <w:rPr>
            <w:webHidden/>
          </w:rPr>
          <w:instrText xml:space="preserve"> PAGEREF _Toc58926657 \h </w:instrText>
        </w:r>
        <w:r>
          <w:rPr>
            <w:webHidden/>
          </w:rPr>
        </w:r>
        <w:r>
          <w:rPr>
            <w:webHidden/>
          </w:rPr>
          <w:fldChar w:fldCharType="separate"/>
        </w:r>
        <w:r>
          <w:rPr>
            <w:webHidden/>
          </w:rPr>
          <w:t>2</w:t>
        </w:r>
        <w:r>
          <w:rPr>
            <w:webHidden/>
          </w:rPr>
          <w:fldChar w:fldCharType="end"/>
        </w:r>
      </w:hyperlink>
    </w:p>
    <w:p w14:paraId="62890115" w14:textId="507759D7" w:rsidR="006C2F56" w:rsidRDefault="006C2F56">
      <w:pPr>
        <w:pStyle w:val="TOC3"/>
        <w:rPr>
          <w:rFonts w:asciiTheme="minorHAnsi" w:eastAsiaTheme="minorEastAsia" w:hAnsiTheme="minorHAnsi" w:cstheme="minorBidi"/>
          <w:smallCaps w:val="0"/>
          <w:sz w:val="22"/>
          <w:szCs w:val="22"/>
          <w:lang w:val="en-US"/>
        </w:rPr>
      </w:pPr>
      <w:hyperlink w:anchor="_Toc58926658" w:history="1">
        <w:r w:rsidRPr="006D2726">
          <w:rPr>
            <w:rStyle w:val="Hyperlink"/>
            <w:rFonts w:ascii="Times New Roman" w:hAnsi="Times New Roman"/>
            <w:b/>
          </w:rPr>
          <w:t>1.3.</w:t>
        </w:r>
        <w:r>
          <w:rPr>
            <w:rFonts w:asciiTheme="minorHAnsi" w:eastAsiaTheme="minorEastAsia" w:hAnsiTheme="minorHAnsi" w:cstheme="minorBidi"/>
            <w:smallCaps w:val="0"/>
            <w:sz w:val="22"/>
            <w:szCs w:val="22"/>
            <w:lang w:val="en-US"/>
          </w:rPr>
          <w:tab/>
        </w:r>
        <w:r w:rsidRPr="006D2726">
          <w:rPr>
            <w:rStyle w:val="Hyperlink"/>
            <w:rFonts w:ascii="Times New Roman" w:hAnsi="Times New Roman"/>
            <w:b/>
          </w:rPr>
          <w:t>Santrumpos</w:t>
        </w:r>
        <w:r>
          <w:rPr>
            <w:webHidden/>
          </w:rPr>
          <w:tab/>
        </w:r>
        <w:r>
          <w:rPr>
            <w:webHidden/>
          </w:rPr>
          <w:fldChar w:fldCharType="begin"/>
        </w:r>
        <w:r>
          <w:rPr>
            <w:webHidden/>
          </w:rPr>
          <w:instrText xml:space="preserve"> PAGEREF _Toc58926658 \h </w:instrText>
        </w:r>
        <w:r>
          <w:rPr>
            <w:webHidden/>
          </w:rPr>
        </w:r>
        <w:r>
          <w:rPr>
            <w:webHidden/>
          </w:rPr>
          <w:fldChar w:fldCharType="separate"/>
        </w:r>
        <w:r>
          <w:rPr>
            <w:webHidden/>
          </w:rPr>
          <w:t>2</w:t>
        </w:r>
        <w:r>
          <w:rPr>
            <w:webHidden/>
          </w:rPr>
          <w:fldChar w:fldCharType="end"/>
        </w:r>
      </w:hyperlink>
    </w:p>
    <w:p w14:paraId="3CFB75DE" w14:textId="394D4399" w:rsidR="006C2F56" w:rsidRDefault="006C2F56">
      <w:pPr>
        <w:pStyle w:val="TOC3"/>
        <w:rPr>
          <w:rFonts w:asciiTheme="minorHAnsi" w:eastAsiaTheme="minorEastAsia" w:hAnsiTheme="minorHAnsi" w:cstheme="minorBidi"/>
          <w:smallCaps w:val="0"/>
          <w:sz w:val="22"/>
          <w:szCs w:val="22"/>
          <w:lang w:val="en-US"/>
        </w:rPr>
      </w:pPr>
      <w:hyperlink w:anchor="_Toc58926659" w:history="1">
        <w:r w:rsidRPr="006D2726">
          <w:rPr>
            <w:rStyle w:val="Hyperlink"/>
            <w:rFonts w:ascii="Times New Roman" w:hAnsi="Times New Roman"/>
            <w:b/>
          </w:rPr>
          <w:t>1.4.</w:t>
        </w:r>
        <w:r>
          <w:rPr>
            <w:rFonts w:asciiTheme="minorHAnsi" w:eastAsiaTheme="minorEastAsia" w:hAnsiTheme="minorHAnsi" w:cstheme="minorBidi"/>
            <w:smallCaps w:val="0"/>
            <w:sz w:val="22"/>
            <w:szCs w:val="22"/>
            <w:lang w:val="en-US"/>
          </w:rPr>
          <w:tab/>
        </w:r>
        <w:r w:rsidRPr="006D2726">
          <w:rPr>
            <w:rStyle w:val="Hyperlink"/>
            <w:rFonts w:ascii="Times New Roman" w:hAnsi="Times New Roman"/>
            <w:b/>
          </w:rPr>
          <w:t>Ženklų tvarka</w:t>
        </w:r>
        <w:r>
          <w:rPr>
            <w:webHidden/>
          </w:rPr>
          <w:tab/>
        </w:r>
        <w:r>
          <w:rPr>
            <w:webHidden/>
          </w:rPr>
          <w:fldChar w:fldCharType="begin"/>
        </w:r>
        <w:r>
          <w:rPr>
            <w:webHidden/>
          </w:rPr>
          <w:instrText xml:space="preserve"> PAGEREF _Toc58926659 \h </w:instrText>
        </w:r>
        <w:r>
          <w:rPr>
            <w:webHidden/>
          </w:rPr>
        </w:r>
        <w:r>
          <w:rPr>
            <w:webHidden/>
          </w:rPr>
          <w:fldChar w:fldCharType="separate"/>
        </w:r>
        <w:r>
          <w:rPr>
            <w:webHidden/>
          </w:rPr>
          <w:t>3</w:t>
        </w:r>
        <w:r>
          <w:rPr>
            <w:webHidden/>
          </w:rPr>
          <w:fldChar w:fldCharType="end"/>
        </w:r>
      </w:hyperlink>
    </w:p>
    <w:p w14:paraId="15E5AD6D" w14:textId="56D41AFD" w:rsidR="006C2F56" w:rsidRDefault="006C2F56">
      <w:pPr>
        <w:pStyle w:val="TOC1"/>
        <w:rPr>
          <w:rFonts w:asciiTheme="minorHAnsi" w:eastAsiaTheme="minorEastAsia" w:hAnsiTheme="minorHAnsi" w:cstheme="minorBidi"/>
          <w:color w:val="auto"/>
          <w:sz w:val="22"/>
          <w:szCs w:val="22"/>
          <w:lang w:val="en-US"/>
        </w:rPr>
      </w:pPr>
      <w:hyperlink w:anchor="_Toc58926660" w:history="1">
        <w:r w:rsidRPr="006D2726">
          <w:rPr>
            <w:rStyle w:val="Hyperlink"/>
            <w:rFonts w:ascii="Times New Roman" w:hAnsi="Times New Roman"/>
            <w:b/>
          </w:rPr>
          <w:t>II DALIS. SU FORMA SUSIJĘ NURODYMAI</w:t>
        </w:r>
        <w:r>
          <w:rPr>
            <w:webHidden/>
          </w:rPr>
          <w:tab/>
        </w:r>
        <w:r>
          <w:rPr>
            <w:webHidden/>
          </w:rPr>
          <w:fldChar w:fldCharType="begin"/>
        </w:r>
        <w:r>
          <w:rPr>
            <w:webHidden/>
          </w:rPr>
          <w:instrText xml:space="preserve"> PAGEREF _Toc58926660 \h </w:instrText>
        </w:r>
        <w:r>
          <w:rPr>
            <w:webHidden/>
          </w:rPr>
        </w:r>
        <w:r>
          <w:rPr>
            <w:webHidden/>
          </w:rPr>
          <w:fldChar w:fldCharType="separate"/>
        </w:r>
        <w:r>
          <w:rPr>
            <w:webHidden/>
          </w:rPr>
          <w:t>4</w:t>
        </w:r>
        <w:r>
          <w:rPr>
            <w:webHidden/>
          </w:rPr>
          <w:fldChar w:fldCharType="end"/>
        </w:r>
      </w:hyperlink>
    </w:p>
    <w:p w14:paraId="273AF807" w14:textId="0FCFE1DF" w:rsidR="006C2F56" w:rsidRDefault="006C2F56">
      <w:pPr>
        <w:pStyle w:val="TOC2"/>
        <w:rPr>
          <w:rFonts w:asciiTheme="minorHAnsi" w:eastAsiaTheme="minorEastAsia" w:hAnsiTheme="minorHAnsi" w:cstheme="minorBidi"/>
          <w:b w:val="0"/>
          <w:smallCaps w:val="0"/>
          <w:sz w:val="22"/>
          <w:lang w:val="en-US"/>
        </w:rPr>
      </w:pPr>
      <w:hyperlink w:anchor="_Toc58926661" w:history="1">
        <w:r w:rsidRPr="006D2726">
          <w:rPr>
            <w:rStyle w:val="Hyperlink"/>
            <w:rFonts w:ascii="Times New Roman" w:hAnsi="Times New Roman"/>
          </w:rPr>
          <w:t>1.</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Sverto koeficiento apskaičiavimo formulės</w:t>
        </w:r>
        <w:r>
          <w:rPr>
            <w:webHidden/>
          </w:rPr>
          <w:tab/>
        </w:r>
        <w:r>
          <w:rPr>
            <w:webHidden/>
          </w:rPr>
          <w:fldChar w:fldCharType="begin"/>
        </w:r>
        <w:r>
          <w:rPr>
            <w:webHidden/>
          </w:rPr>
          <w:instrText xml:space="preserve"> PAGEREF _Toc58926661 \h </w:instrText>
        </w:r>
        <w:r>
          <w:rPr>
            <w:webHidden/>
          </w:rPr>
        </w:r>
        <w:r>
          <w:rPr>
            <w:webHidden/>
          </w:rPr>
          <w:fldChar w:fldCharType="separate"/>
        </w:r>
        <w:r>
          <w:rPr>
            <w:webHidden/>
          </w:rPr>
          <w:t>4</w:t>
        </w:r>
        <w:r>
          <w:rPr>
            <w:webHidden/>
          </w:rPr>
          <w:fldChar w:fldCharType="end"/>
        </w:r>
      </w:hyperlink>
    </w:p>
    <w:p w14:paraId="1C49FEAF" w14:textId="35ECE42A" w:rsidR="006C2F56" w:rsidRDefault="006C2F56">
      <w:pPr>
        <w:pStyle w:val="TOC2"/>
        <w:rPr>
          <w:rFonts w:asciiTheme="minorHAnsi" w:eastAsiaTheme="minorEastAsia" w:hAnsiTheme="minorHAnsi" w:cstheme="minorBidi"/>
          <w:b w:val="0"/>
          <w:smallCaps w:val="0"/>
          <w:sz w:val="22"/>
          <w:lang w:val="en-US"/>
        </w:rPr>
      </w:pPr>
      <w:hyperlink w:anchor="_Toc58926662" w:history="1">
        <w:r w:rsidRPr="006D2726">
          <w:rPr>
            <w:rStyle w:val="Hyperlink"/>
            <w:rFonts w:ascii="Times New Roman" w:hAnsi="Times New Roman"/>
          </w:rPr>
          <w:t>2.</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Išvestinių finansinių priemonių reikšmingumo ribinės vertės</w:t>
        </w:r>
        <w:r>
          <w:rPr>
            <w:webHidden/>
          </w:rPr>
          <w:tab/>
        </w:r>
        <w:r>
          <w:rPr>
            <w:webHidden/>
          </w:rPr>
          <w:fldChar w:fldCharType="begin"/>
        </w:r>
        <w:r>
          <w:rPr>
            <w:webHidden/>
          </w:rPr>
          <w:instrText xml:space="preserve"> PAGEREF _Toc58926662 \h </w:instrText>
        </w:r>
        <w:r>
          <w:rPr>
            <w:webHidden/>
          </w:rPr>
        </w:r>
        <w:r>
          <w:rPr>
            <w:webHidden/>
          </w:rPr>
          <w:fldChar w:fldCharType="separate"/>
        </w:r>
        <w:r>
          <w:rPr>
            <w:webHidden/>
          </w:rPr>
          <w:t>4</w:t>
        </w:r>
        <w:r>
          <w:rPr>
            <w:webHidden/>
          </w:rPr>
          <w:fldChar w:fldCharType="end"/>
        </w:r>
      </w:hyperlink>
    </w:p>
    <w:p w14:paraId="5DBC46C1" w14:textId="3FFE6D97" w:rsidR="006C2F56" w:rsidRDefault="006C2F56">
      <w:pPr>
        <w:pStyle w:val="TOC2"/>
        <w:rPr>
          <w:rFonts w:asciiTheme="minorHAnsi" w:eastAsiaTheme="minorEastAsia" w:hAnsiTheme="minorHAnsi" w:cstheme="minorBidi"/>
          <w:b w:val="0"/>
          <w:smallCaps w:val="0"/>
          <w:sz w:val="22"/>
          <w:lang w:val="en-US"/>
        </w:rPr>
      </w:pPr>
      <w:hyperlink w:anchor="_Toc58926663" w:history="1">
        <w:r w:rsidRPr="006D2726">
          <w:rPr>
            <w:rStyle w:val="Hyperlink"/>
            <w:rFonts w:ascii="Times New Roman" w:hAnsi="Times New Roman"/>
          </w:rPr>
          <w:t>3.</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C 47.00. Sverto koeficiento apskaičiavimas (LRCalc)</w:t>
        </w:r>
        <w:r>
          <w:rPr>
            <w:webHidden/>
          </w:rPr>
          <w:tab/>
        </w:r>
        <w:r>
          <w:rPr>
            <w:webHidden/>
          </w:rPr>
          <w:fldChar w:fldCharType="begin"/>
        </w:r>
        <w:r>
          <w:rPr>
            <w:webHidden/>
          </w:rPr>
          <w:instrText xml:space="preserve"> PAGEREF _Toc58926663 \h </w:instrText>
        </w:r>
        <w:r>
          <w:rPr>
            <w:webHidden/>
          </w:rPr>
        </w:r>
        <w:r>
          <w:rPr>
            <w:webHidden/>
          </w:rPr>
          <w:fldChar w:fldCharType="separate"/>
        </w:r>
        <w:r>
          <w:rPr>
            <w:webHidden/>
          </w:rPr>
          <w:t>5</w:t>
        </w:r>
        <w:r>
          <w:rPr>
            <w:webHidden/>
          </w:rPr>
          <w:fldChar w:fldCharType="end"/>
        </w:r>
      </w:hyperlink>
    </w:p>
    <w:p w14:paraId="1AF34962" w14:textId="6636E7D9" w:rsidR="006C2F56" w:rsidRDefault="006C2F56">
      <w:pPr>
        <w:pStyle w:val="TOC2"/>
        <w:rPr>
          <w:rFonts w:asciiTheme="minorHAnsi" w:eastAsiaTheme="minorEastAsia" w:hAnsiTheme="minorHAnsi" w:cstheme="minorBidi"/>
          <w:b w:val="0"/>
          <w:smallCaps w:val="0"/>
          <w:sz w:val="22"/>
          <w:lang w:val="en-US"/>
        </w:rPr>
      </w:pPr>
      <w:hyperlink w:anchor="_Toc58926664" w:history="1">
        <w:r w:rsidRPr="006D2726">
          <w:rPr>
            <w:rStyle w:val="Hyperlink"/>
            <w:rFonts w:ascii="Times New Roman" w:hAnsi="Times New Roman"/>
          </w:rPr>
          <w:t>4.</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C 40.00. Alternatyvus pozicijų mato vertinimas (LR1)</w:t>
        </w:r>
        <w:r>
          <w:rPr>
            <w:webHidden/>
          </w:rPr>
          <w:tab/>
        </w:r>
        <w:r>
          <w:rPr>
            <w:webHidden/>
          </w:rPr>
          <w:fldChar w:fldCharType="begin"/>
        </w:r>
        <w:r>
          <w:rPr>
            <w:webHidden/>
          </w:rPr>
          <w:instrText xml:space="preserve"> PAGEREF _Toc58926664 \h </w:instrText>
        </w:r>
        <w:r>
          <w:rPr>
            <w:webHidden/>
          </w:rPr>
        </w:r>
        <w:r>
          <w:rPr>
            <w:webHidden/>
          </w:rPr>
          <w:fldChar w:fldCharType="separate"/>
        </w:r>
        <w:r>
          <w:rPr>
            <w:webHidden/>
          </w:rPr>
          <w:t>30</w:t>
        </w:r>
        <w:r>
          <w:rPr>
            <w:webHidden/>
          </w:rPr>
          <w:fldChar w:fldCharType="end"/>
        </w:r>
      </w:hyperlink>
    </w:p>
    <w:p w14:paraId="02530454" w14:textId="3DAF1708" w:rsidR="006C2F56" w:rsidRDefault="006C2F56">
      <w:pPr>
        <w:pStyle w:val="TOC2"/>
        <w:rPr>
          <w:rFonts w:asciiTheme="minorHAnsi" w:eastAsiaTheme="minorEastAsia" w:hAnsiTheme="minorHAnsi" w:cstheme="minorBidi"/>
          <w:b w:val="0"/>
          <w:smallCaps w:val="0"/>
          <w:sz w:val="22"/>
          <w:lang w:val="en-US"/>
        </w:rPr>
      </w:pPr>
      <w:hyperlink w:anchor="_Toc58926665" w:history="1">
        <w:r w:rsidRPr="006D2726">
          <w:rPr>
            <w:rStyle w:val="Hyperlink"/>
            <w:rFonts w:ascii="Times New Roman" w:hAnsi="Times New Roman"/>
          </w:rPr>
          <w:t>5.</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C 43.00. Alternatyvus sverto koeficiento pozicijų mato sudedamųjų dalių suskirstymas (LR4)</w:t>
        </w:r>
        <w:r>
          <w:rPr>
            <w:webHidden/>
          </w:rPr>
          <w:tab/>
        </w:r>
        <w:r>
          <w:rPr>
            <w:webHidden/>
          </w:rPr>
          <w:fldChar w:fldCharType="begin"/>
        </w:r>
        <w:r>
          <w:rPr>
            <w:webHidden/>
          </w:rPr>
          <w:instrText xml:space="preserve"> PAGEREF _Toc58926665 \h </w:instrText>
        </w:r>
        <w:r>
          <w:rPr>
            <w:webHidden/>
          </w:rPr>
        </w:r>
        <w:r>
          <w:rPr>
            <w:webHidden/>
          </w:rPr>
          <w:fldChar w:fldCharType="separate"/>
        </w:r>
        <w:r>
          <w:rPr>
            <w:webHidden/>
          </w:rPr>
          <w:t>41</w:t>
        </w:r>
        <w:r>
          <w:rPr>
            <w:webHidden/>
          </w:rPr>
          <w:fldChar w:fldCharType="end"/>
        </w:r>
      </w:hyperlink>
    </w:p>
    <w:p w14:paraId="45D9C82E" w14:textId="521BA359" w:rsidR="006C2F56" w:rsidRDefault="006C2F56">
      <w:pPr>
        <w:pStyle w:val="TOC2"/>
        <w:rPr>
          <w:rFonts w:asciiTheme="minorHAnsi" w:eastAsiaTheme="minorEastAsia" w:hAnsiTheme="minorHAnsi" w:cstheme="minorBidi"/>
          <w:b w:val="0"/>
          <w:smallCaps w:val="0"/>
          <w:sz w:val="22"/>
          <w:lang w:val="en-US"/>
        </w:rPr>
      </w:pPr>
      <w:hyperlink w:anchor="_Toc58926666" w:history="1">
        <w:r w:rsidRPr="006D2726">
          <w:rPr>
            <w:rStyle w:val="Hyperlink"/>
            <w:rFonts w:ascii="Times New Roman" w:hAnsi="Times New Roman"/>
          </w:rPr>
          <w:t>6.</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C 44.00. Bendroji informacija (LR5)</w:t>
        </w:r>
        <w:r>
          <w:rPr>
            <w:webHidden/>
          </w:rPr>
          <w:tab/>
        </w:r>
        <w:r>
          <w:rPr>
            <w:webHidden/>
          </w:rPr>
          <w:fldChar w:fldCharType="begin"/>
        </w:r>
        <w:r>
          <w:rPr>
            <w:webHidden/>
          </w:rPr>
          <w:instrText xml:space="preserve"> PAGEREF _Toc58926666 \h </w:instrText>
        </w:r>
        <w:r>
          <w:rPr>
            <w:webHidden/>
          </w:rPr>
        </w:r>
        <w:r>
          <w:rPr>
            <w:webHidden/>
          </w:rPr>
          <w:fldChar w:fldCharType="separate"/>
        </w:r>
        <w:r>
          <w:rPr>
            <w:webHidden/>
          </w:rPr>
          <w:t>63</w:t>
        </w:r>
        <w:r>
          <w:rPr>
            <w:webHidden/>
          </w:rPr>
          <w:fldChar w:fldCharType="end"/>
        </w:r>
      </w:hyperlink>
    </w:p>
    <w:p w14:paraId="4EE1795C" w14:textId="648C0D81" w:rsidR="006C2F56" w:rsidRDefault="006C2F56">
      <w:pPr>
        <w:pStyle w:val="TOC2"/>
        <w:rPr>
          <w:rFonts w:asciiTheme="minorHAnsi" w:eastAsiaTheme="minorEastAsia" w:hAnsiTheme="minorHAnsi" w:cstheme="minorBidi"/>
          <w:b w:val="0"/>
          <w:smallCaps w:val="0"/>
          <w:sz w:val="22"/>
          <w:lang w:val="en-US"/>
        </w:rPr>
      </w:pPr>
      <w:hyperlink w:anchor="_Toc58926667" w:history="1">
        <w:r w:rsidRPr="006D2726">
          <w:rPr>
            <w:rStyle w:val="Hyperlink"/>
            <w:rFonts w:ascii="Times New Roman" w:hAnsi="Times New Roman"/>
          </w:rPr>
          <w:t>7.</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C 48.00. Sverto koeficiento kintamumas (LR6)</w:t>
        </w:r>
        <w:r>
          <w:rPr>
            <w:webHidden/>
          </w:rPr>
          <w:tab/>
        </w:r>
        <w:r>
          <w:rPr>
            <w:webHidden/>
          </w:rPr>
          <w:fldChar w:fldCharType="begin"/>
        </w:r>
        <w:r>
          <w:rPr>
            <w:webHidden/>
          </w:rPr>
          <w:instrText xml:space="preserve"> PAGEREF _Toc58926667 \h </w:instrText>
        </w:r>
        <w:r>
          <w:rPr>
            <w:webHidden/>
          </w:rPr>
        </w:r>
        <w:r>
          <w:rPr>
            <w:webHidden/>
          </w:rPr>
          <w:fldChar w:fldCharType="separate"/>
        </w:r>
        <w:r>
          <w:rPr>
            <w:webHidden/>
          </w:rPr>
          <w:t>65</w:t>
        </w:r>
        <w:r>
          <w:rPr>
            <w:webHidden/>
          </w:rPr>
          <w:fldChar w:fldCharType="end"/>
        </w:r>
      </w:hyperlink>
    </w:p>
    <w:p w14:paraId="3AF99770" w14:textId="1FAC7363" w:rsidR="006C2F56" w:rsidRDefault="006C2F56">
      <w:pPr>
        <w:pStyle w:val="TOC2"/>
        <w:rPr>
          <w:rFonts w:asciiTheme="minorHAnsi" w:eastAsiaTheme="minorEastAsia" w:hAnsiTheme="minorHAnsi" w:cstheme="minorBidi"/>
          <w:b w:val="0"/>
          <w:smallCaps w:val="0"/>
          <w:sz w:val="22"/>
          <w:lang w:val="en-US"/>
        </w:rPr>
      </w:pPr>
      <w:hyperlink w:anchor="_Toc58926668" w:history="1">
        <w:r w:rsidRPr="006D2726">
          <w:rPr>
            <w:rStyle w:val="Hyperlink"/>
            <w:rFonts w:ascii="Times New Roman" w:hAnsi="Times New Roman"/>
          </w:rPr>
          <w:t>8.</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C 48.01. Sverto koeficiento kintamumas Ataskaitinio laikotarpio aritmetinis vidurkis</w:t>
        </w:r>
        <w:r>
          <w:rPr>
            <w:webHidden/>
          </w:rPr>
          <w:tab/>
        </w:r>
        <w:r>
          <w:rPr>
            <w:webHidden/>
          </w:rPr>
          <w:fldChar w:fldCharType="begin"/>
        </w:r>
        <w:r>
          <w:rPr>
            <w:webHidden/>
          </w:rPr>
          <w:instrText xml:space="preserve"> PAGEREF _Toc58926668 \h </w:instrText>
        </w:r>
        <w:r>
          <w:rPr>
            <w:webHidden/>
          </w:rPr>
        </w:r>
        <w:r>
          <w:rPr>
            <w:webHidden/>
          </w:rPr>
          <w:fldChar w:fldCharType="separate"/>
        </w:r>
        <w:r>
          <w:rPr>
            <w:webHidden/>
          </w:rPr>
          <w:t>65</w:t>
        </w:r>
        <w:r>
          <w:rPr>
            <w:webHidden/>
          </w:rPr>
          <w:fldChar w:fldCharType="end"/>
        </w:r>
      </w:hyperlink>
    </w:p>
    <w:p w14:paraId="14337570" w14:textId="40121537" w:rsidR="006C2F56" w:rsidRDefault="006C2F56">
      <w:pPr>
        <w:pStyle w:val="TOC2"/>
        <w:rPr>
          <w:rFonts w:asciiTheme="minorHAnsi" w:eastAsiaTheme="minorEastAsia" w:hAnsiTheme="minorHAnsi" w:cstheme="minorBidi"/>
          <w:b w:val="0"/>
          <w:smallCaps w:val="0"/>
          <w:sz w:val="22"/>
          <w:lang w:val="en-US"/>
        </w:rPr>
      </w:pPr>
      <w:hyperlink w:anchor="_Toc58926669" w:history="1">
        <w:r w:rsidRPr="006D2726">
          <w:rPr>
            <w:rStyle w:val="Hyperlink"/>
            <w:rFonts w:ascii="Times New Roman" w:hAnsi="Times New Roman"/>
          </w:rPr>
          <w:t>9.</w:t>
        </w:r>
        <w:r>
          <w:rPr>
            <w:rFonts w:asciiTheme="minorHAnsi" w:eastAsiaTheme="minorEastAsia" w:hAnsiTheme="minorHAnsi" w:cstheme="minorBidi"/>
            <w:b w:val="0"/>
            <w:smallCaps w:val="0"/>
            <w:sz w:val="22"/>
            <w:lang w:val="en-US"/>
          </w:rPr>
          <w:tab/>
        </w:r>
        <w:r w:rsidRPr="006D2726">
          <w:rPr>
            <w:rStyle w:val="Hyperlink"/>
            <w:rFonts w:ascii="Times New Roman" w:hAnsi="Times New Roman"/>
          </w:rPr>
          <w:t>C 48.02. Sverto koeficiento kintamumas Ataskaitinio laikotarpio dienos vertės</w:t>
        </w:r>
        <w:r>
          <w:rPr>
            <w:webHidden/>
          </w:rPr>
          <w:tab/>
        </w:r>
        <w:r>
          <w:rPr>
            <w:webHidden/>
          </w:rPr>
          <w:fldChar w:fldCharType="begin"/>
        </w:r>
        <w:r>
          <w:rPr>
            <w:webHidden/>
          </w:rPr>
          <w:instrText xml:space="preserve"> PAGEREF _Toc58926669 \h </w:instrText>
        </w:r>
        <w:r>
          <w:rPr>
            <w:webHidden/>
          </w:rPr>
        </w:r>
        <w:r>
          <w:rPr>
            <w:webHidden/>
          </w:rPr>
          <w:fldChar w:fldCharType="separate"/>
        </w:r>
        <w:r>
          <w:rPr>
            <w:webHidden/>
          </w:rPr>
          <w:t>66</w:t>
        </w:r>
        <w:r>
          <w:rPr>
            <w:webHidden/>
          </w:rPr>
          <w:fldChar w:fldCharType="end"/>
        </w:r>
      </w:hyperlink>
    </w:p>
    <w:p w14:paraId="43D747E1" w14:textId="302A7AD2"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926654"/>
      <w:r>
        <w:rPr>
          <w:rFonts w:ascii="Times New Roman" w:hAnsi="Times New Roman"/>
          <w:b/>
          <w:sz w:val="24"/>
          <w:szCs w:val="24"/>
        </w:rPr>
        <w:t>I DALIS.</w:t>
      </w:r>
      <w:bookmarkEnd w:id="0"/>
      <w:r>
        <w:rPr>
          <w:rFonts w:ascii="Times New Roman" w:hAnsi="Times New Roman"/>
          <w:b/>
          <w:sz w:val="24"/>
          <w:szCs w:val="24"/>
        </w:rPr>
        <w:t xml:space="preserve"> BENDRIEJI NURODYMAI</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926655"/>
      <w:r>
        <w:rPr>
          <w:rFonts w:ascii="Times New Roman" w:hAnsi="Times New Roman"/>
          <w:b/>
          <w:sz w:val="24"/>
          <w:szCs w:val="24"/>
        </w:rPr>
        <w:t>1.</w:t>
      </w:r>
      <w:r>
        <w:tab/>
      </w:r>
      <w:r>
        <w:rPr>
          <w:rFonts w:ascii="Times New Roman" w:hAnsi="Times New Roman"/>
          <w:b/>
          <w:sz w:val="24"/>
          <w:szCs w:val="24"/>
        </w:rPr>
        <w:t>Struktūra ir kita tvarka</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58926656"/>
      <w:r>
        <w:rPr>
          <w:rFonts w:ascii="Times New Roman" w:hAnsi="Times New Roman"/>
          <w:b/>
          <w:sz w:val="24"/>
          <w:szCs w:val="24"/>
        </w:rPr>
        <w:t>1.1.</w:t>
      </w:r>
      <w:r>
        <w:tab/>
      </w:r>
      <w:bookmarkEnd w:id="11"/>
      <w:bookmarkEnd w:id="12"/>
      <w:bookmarkEnd w:id="13"/>
      <w:r>
        <w:rPr>
          <w:rFonts w:ascii="Times New Roman" w:hAnsi="Times New Roman"/>
          <w:b/>
          <w:sz w:val="24"/>
          <w:szCs w:val="24"/>
        </w:rPr>
        <w:t>Struktūra</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Šiame priede pateikti papildomi su šio reglamento X priede pateiktomis formomis (toliau – LR) susiję nurodymai.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Sistemą iš viso sudaro penkios formos:</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Sverto koeficiento apskaičiavimas (LRCalc). Sverto koeficiento apskaičiavimas;</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1 sverto koeficiento forma (LR1). Alternatyvus pozicijos mato vertinimas;</w:t>
      </w:r>
    </w:p>
    <w:p w14:paraId="29356C92" w14:textId="6934A030"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4 sverto koeficiento forma (LR4). Sverto koeficiento pozicijų mato sudedamųjų dalių alternatyvus suskirstymas</w:t>
      </w:r>
      <w:r w:rsidR="006C2F56">
        <w:rPr>
          <w:bCs/>
          <w:sz w:val="24"/>
        </w:rPr>
        <w:t>;</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5 sverto koeficiento forma (LR5). Bendroji informacija;</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Sverto koeficiento kintamumas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Kiekvienos formos atveju pateikiamos nuorodos į teisės aktus, taip pat tolesnė išsami informacija apie bendresnius informacijos teikimo aspektus.</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926657"/>
      <w:bookmarkEnd w:id="17"/>
      <w:r>
        <w:rPr>
          <w:rFonts w:ascii="Times New Roman" w:hAnsi="Times New Roman"/>
          <w:b/>
          <w:sz w:val="24"/>
          <w:szCs w:val="24"/>
        </w:rPr>
        <w:t>1.2.</w:t>
      </w:r>
      <w:r>
        <w:tab/>
      </w:r>
      <w:r>
        <w:rPr>
          <w:rFonts w:ascii="Times New Roman" w:hAnsi="Times New Roman"/>
          <w:b/>
          <w:sz w:val="24"/>
          <w:szCs w:val="24"/>
        </w:rPr>
        <w:t>Numeravimo tvarka</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Dokumente nurodant formų skiltis, eilutes ir laukelius taikoma tolesnėse dalyse nurodyta žymėjimo tvarka. Šie skaitiniai kodai plačiai naudojami patvirtinimo taisyklėse.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Nurodymuose laikomasi šios bendros žymėjimo tvarkos: {forma; eilutė; skiltis}. Norint nurodyti visą eilutę arba skiltį, naudojamas žvaigždutės ženklas.</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Kai tvirtinimas atliekamas formoje ir naudojami tik tos formos duomenų vienetai, žymint forma nenurodoma: {eilutė; skiltis}.</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Teikiant informaciją apie svertą žodžių junginiu „iš kurių“ nurodomas aukštesnio lygio pozicijų kategorijos pogrupio straipsnis, o žodžių junginiu „papildomas straipsnis“ – atskiras straipsnis, kuris nėra pozicijų klasės pogrupis. Jei nenurodyta kitaip, informaciją privaloma pateikti abiejų tipų laukeliuose.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8926658"/>
      <w:r>
        <w:rPr>
          <w:rFonts w:ascii="Times New Roman" w:hAnsi="Times New Roman"/>
          <w:b/>
          <w:sz w:val="24"/>
          <w:szCs w:val="24"/>
        </w:rPr>
        <w:t>1.3.</w:t>
      </w:r>
      <w:r>
        <w:tab/>
      </w:r>
      <w:r>
        <w:rPr>
          <w:rFonts w:ascii="Times New Roman" w:hAnsi="Times New Roman"/>
          <w:b/>
          <w:sz w:val="24"/>
          <w:szCs w:val="24"/>
        </w:rPr>
        <w:t>Santrumpos</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tab/>
      </w:r>
      <w:r>
        <w:rPr>
          <w:bCs/>
          <w:sz w:val="24"/>
        </w:rPr>
        <w:t>Šiame priede ir susijusiose formose naudojamos tokios santrumpos:</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lastRenderedPageBreak/>
        <w:t>a.</w:t>
      </w:r>
      <w:r>
        <w:tab/>
      </w:r>
      <w:r>
        <w:rPr>
          <w:bCs/>
          <w:sz w:val="24"/>
        </w:rPr>
        <w:t>KRR – Kapitalo reikalavimų reglamento, t. y. Reglamento (ES) Nr. 575/2013, santrumpa;</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KRD – Kapitalo reikalavimų direktyvos, t. y. Direktyvos 2013/36/ES, santrumpa;</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VPĮFS – vertybinių popierių įsigijimo finansavimo sandorio santrumpa, kuri reiškia „atpirkimo sandorį, vertybinių popierių arba biržos prekių skolinimo ar skolinimosi sandorį arba garantinės įmokos skolinimo sandorį“, kaip nurodyta Reglamento (ES) Nr. 575/2013 4 straipsnio 1 dalies 139 punkte;</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KRM – kredito rizikos mažinimo santrumpa;</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CVPD – centrinio vertybinių popierių depozitoriumo santrumpa;</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tab/>
      </w:r>
      <w:r>
        <w:rPr>
          <w:bCs/>
          <w:sz w:val="24"/>
        </w:rPr>
        <w:t>QCCP – reikalavimus atitinkančios pagrindinės sandorio šalies santrumpa;</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PFE – galimos būsimos pozicijos santrumpa.</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926659"/>
      <w:r>
        <w:rPr>
          <w:rFonts w:ascii="Times New Roman" w:hAnsi="Times New Roman"/>
          <w:b/>
          <w:sz w:val="24"/>
          <w:szCs w:val="24"/>
        </w:rPr>
        <w:t>1.4.</w:t>
      </w:r>
      <w:r>
        <w:tab/>
      </w:r>
      <w:r>
        <w:rPr>
          <w:rFonts w:ascii="Times New Roman" w:hAnsi="Times New Roman"/>
          <w:b/>
          <w:sz w:val="24"/>
          <w:szCs w:val="24"/>
        </w:rPr>
        <w:t>Ženklų tvarka</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tab/>
      </w:r>
      <w:r>
        <w:rPr>
          <w:bCs/>
          <w:sz w:val="24"/>
        </w:rPr>
        <w:t>Visos sumos pateikiamos kaip teigiami skaičiai.</w:t>
      </w:r>
      <w:bookmarkStart w:id="32" w:name="_Toc264033192"/>
      <w:bookmarkEnd w:id="32"/>
      <w:r>
        <w:rPr>
          <w:bCs/>
          <w:sz w:val="24"/>
        </w:rPr>
        <w:t xml:space="preserve"> Išskyrus:</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prieš straipsnio pavadinimą įrašytas minuso ženklas (−) reiškia prielaidą, kad tame straipsnyje teigiamas skaičius nebus rašomas.</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{LRCalc;0340;0010} laukeliuose nurodomos teigiamos vertės, o neigiamos vertės galėtų būti nurodomos tik kraštutiniais atvejais.</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{LRCalc;0280;0010} laukelyje nurodomos neigiamos vertės, o teigiamos vertės gali būti nurodomos, kai taikoma KRR 473a straipsnio 7 dalis.</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8926660"/>
      <w:r>
        <w:rPr>
          <w:rFonts w:ascii="Times New Roman" w:hAnsi="Times New Roman"/>
          <w:b/>
          <w:sz w:val="24"/>
          <w:szCs w:val="24"/>
        </w:rPr>
        <w:lastRenderedPageBreak/>
        <w:t>II DALIS. SU FORMA SUSIJĘ NURODYMAI</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58926661"/>
      <w:r>
        <w:rPr>
          <w:rFonts w:ascii="Times New Roman" w:hAnsi="Times New Roman"/>
          <w:b/>
          <w:sz w:val="24"/>
          <w:szCs w:val="24"/>
        </w:rPr>
        <w:t>1.</w:t>
      </w:r>
      <w:r>
        <w:tab/>
      </w:r>
      <w:r>
        <w:rPr>
          <w:rFonts w:ascii="Times New Roman" w:hAnsi="Times New Roman"/>
          <w:b/>
          <w:sz w:val="24"/>
          <w:szCs w:val="24"/>
        </w:rPr>
        <w:t>Sverto koeficiento apskaičiavimo formulės</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Sverto koeficientas pagrįstas kapitalo matu ir bendru pozicijų matu, kuriuos galima apskaičiuoti taikant LRCalc laukelius.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Sverto koeficientas – visiškai įdiegta apibrėžtis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Sverto koeficientas – pereinamojo laikotarpio apibrėžtis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58926662"/>
      <w:bookmarkEnd w:id="39"/>
      <w:r>
        <w:rPr>
          <w:rFonts w:ascii="Times New Roman" w:hAnsi="Times New Roman"/>
          <w:b/>
          <w:sz w:val="24"/>
          <w:szCs w:val="24"/>
        </w:rPr>
        <w:t>2.</w:t>
      </w:r>
      <w:r>
        <w:tab/>
      </w:r>
      <w:r>
        <w:rPr>
          <w:rFonts w:ascii="Times New Roman" w:hAnsi="Times New Roman"/>
          <w:b/>
          <w:sz w:val="24"/>
          <w:szCs w:val="24"/>
        </w:rPr>
        <w:t>Išvestinių finansinių priemonių reikšmingumo ribinės vertės</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Siekiant sumažinti nedideles išvestinių finansinių priemonių pozicijas turinčių įstaigų informacijos teikimo naštą, santykinei išvestinių finansinių priemonių pozicijų svarbai nustatyti atsižvelgiant į visą sverto koeficiento poziciją taikomi toliau nurodyti matai. Šiuos matus įstaigos apskaičiuoja taip</w:t>
      </w:r>
      <w:bookmarkStart w:id="45" w:name="_Toc322533853"/>
      <w:bookmarkEnd w:id="43"/>
      <w:r>
        <w:rPr>
          <w:rFonts w:ascii="Times New Roman" w:hAnsi="Times New Roman"/>
          <w:sz w:val="24"/>
          <w:szCs w:val="24"/>
        </w:rPr>
        <w:t>:</w:t>
      </w:r>
    </w:p>
    <w:p w14:paraId="1388E099" w14:textId="23870909"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tab/>
      </w:r>
      <w:r>
        <w:rPr>
          <w:rFonts w:ascii="Times New Roman" w:hAnsi="Times New Roman"/>
          <w:sz w:val="24"/>
          <w:szCs w:val="24"/>
        </w:rPr>
        <w:t>Išvestinių finansinių priemonių dalis =</w:t>
      </w:r>
      <m:oMath>
        <m:f>
          <m:fPr>
            <m:ctrlPr>
              <w:rPr>
                <w:rFonts w:ascii="Cambria Math" w:hAnsi="Times New Roman"/>
                <w:sz w:val="24"/>
                <w:szCs w:val="24"/>
              </w:rPr>
            </m:ctrlPr>
          </m:fPr>
          <m:num>
            <m:r>
              <m:rPr>
                <m:sty m:val="p"/>
              </m:rPr>
              <w:rPr>
                <w:rFonts w:ascii="Cambria Math" w:hAnsi="Times New Roman"/>
                <w:sz w:val="24"/>
                <w:szCs w:val="24"/>
              </w:rPr>
              <m:t>i</m:t>
            </m:r>
            <m:r>
              <m:rPr>
                <m:sty m:val="p"/>
              </m:rPr>
              <w:rPr>
                <w:rFonts w:ascii="Cambria Math" w:hAnsi="Times New Roman"/>
                <w:sz w:val="24"/>
                <w:szCs w:val="24"/>
              </w:rPr>
              <m:t>š</m:t>
            </m:r>
            <m:r>
              <m:rPr>
                <m:sty m:val="p"/>
              </m:rPr>
              <w:rPr>
                <w:rFonts w:ascii="Cambria Math" w:hAnsi="Times New Roman"/>
                <w:sz w:val="24"/>
                <w:szCs w:val="24"/>
              </w:rPr>
              <m:t>vestini</m:t>
            </m:r>
            <m:r>
              <m:rPr>
                <m:sty m:val="p"/>
              </m:rPr>
              <w:rPr>
                <w:rFonts w:ascii="Cambria Math" w:hAnsi="Times New Roman"/>
                <w:sz w:val="24"/>
                <w:szCs w:val="24"/>
              </w:rPr>
              <m:t>ų</m:t>
            </m:r>
            <m:r>
              <m:rPr>
                <m:sty m:val="p"/>
              </m:rPr>
              <w:rPr>
                <w:rFonts w:ascii="Cambria Math" w:hAnsi="Times New Roman"/>
                <w:sz w:val="24"/>
                <w:szCs w:val="24"/>
              </w:rPr>
              <m:t xml:space="preserve"> finansini</m:t>
            </m:r>
            <m:r>
              <m:rPr>
                <m:sty m:val="p"/>
              </m:rPr>
              <w:rPr>
                <w:rFonts w:ascii="Cambria Math" w:hAnsi="Times New Roman"/>
                <w:sz w:val="24"/>
                <w:szCs w:val="24"/>
              </w:rPr>
              <m:t>ų</m:t>
            </m:r>
            <m:r>
              <m:rPr>
                <m:sty m:val="p"/>
              </m:rPr>
              <w:rPr>
                <w:rFonts w:ascii="Cambria Math" w:hAnsi="Times New Roman"/>
                <w:sz w:val="24"/>
                <w:szCs w:val="24"/>
              </w:rPr>
              <m:t xml:space="preserve"> priemoni</m:t>
            </m:r>
            <m:r>
              <m:rPr>
                <m:sty m:val="p"/>
              </m:rPr>
              <w:rPr>
                <w:rFonts w:ascii="Cambria Math" w:hAnsi="Times New Roman"/>
                <w:sz w:val="24"/>
                <w:szCs w:val="24"/>
              </w:rPr>
              <m:t>ų</m:t>
            </m:r>
            <m:r>
              <m:rPr>
                <m:sty m:val="p"/>
              </m:rPr>
              <w:rPr>
                <w:rFonts w:ascii="Cambria Math" w:hAnsi="Times New Roman"/>
                <w:sz w:val="24"/>
                <w:szCs w:val="24"/>
              </w:rPr>
              <m:t xml:space="preserve"> pozicij</m:t>
            </m:r>
            <m:r>
              <m:rPr>
                <m:sty m:val="p"/>
              </m:rPr>
              <w:rPr>
                <w:rFonts w:ascii="Cambria Math" w:hAnsi="Times New Roman"/>
                <w:sz w:val="24"/>
                <w:szCs w:val="24"/>
              </w:rPr>
              <m:t>ų</m:t>
            </m:r>
            <m:r>
              <m:rPr>
                <m:sty m:val="p"/>
              </m:rPr>
              <w:rPr>
                <w:rFonts w:ascii="Cambria Math" w:hAnsi="Times New Roman"/>
                <w:sz w:val="24"/>
                <w:szCs w:val="24"/>
              </w:rPr>
              <m:t xml:space="preserve"> matas</m:t>
            </m:r>
          </m:num>
          <m:den>
            <m:r>
              <m:rPr>
                <m:sty m:val="p"/>
              </m:rPr>
              <w:rPr>
                <w:rFonts w:ascii="Cambria Math" w:hAnsi="Times New Roman"/>
                <w:sz w:val="24"/>
                <w:szCs w:val="24"/>
              </w:rPr>
              <m:t>bendras pozicij</m:t>
            </m:r>
            <m:r>
              <m:rPr>
                <m:sty m:val="p"/>
              </m:rPr>
              <w:rPr>
                <w:rFonts w:ascii="Cambria Math" w:hAnsi="Times New Roman"/>
                <w:sz w:val="24"/>
                <w:szCs w:val="24"/>
              </w:rPr>
              <m:t>ų</m:t>
            </m:r>
            <m:r>
              <m:rPr>
                <m:sty m:val="p"/>
              </m:rPr>
              <w:rPr>
                <w:rFonts w:ascii="Cambria Math" w:hAnsi="Times New Roman"/>
                <w:sz w:val="24"/>
                <w:szCs w:val="24"/>
              </w:rPr>
              <m:t xml:space="preserve"> matas</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Šioje formulėje išvestinių finansinių priemonių pozicijų matas yra lygus: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Šioje formulėje bendras pozicijų matas yra lygus: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Bendra tariamoji suma, kuria grindžiamos išvestinės finansinės priemonės = {LR1; 0010;0070}. Tai laukelis, kurį įstaigos visada turi nurodyti.</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Kredito išvestinių finansinių priemonių apimtis = {LR1;0020;0070} + {LR1;0050;0070}. Tai laukeliai, kuriuos įstaigos visada turi nurodyti.</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13 punkte nurodytų laukelių informaciją įstaigos turi pateikti, jei tenkinama bet kuri iš šių sąlygų:</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5 punkte nurodyta išvestinių finansinių priemonių dalis yra didesnė nei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5 punkte nurodyta išvestinių finansinių priemonių dalis viršija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Taikomi šio Reglamento 4 straipsnio prievolės taikymo ir netaikymo kriterijai, išskyrus b punkto atveju, kai įstaigos pradeda teikti informaciją nuo kitos ataskaitinės datos, jeigu jos vieną ataskaitinę datą viršijo ribinę vertę.</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tab/>
      </w:r>
      <w:r>
        <w:rPr>
          <w:rFonts w:ascii="Times New Roman" w:hAnsi="Times New Roman"/>
          <w:sz w:val="24"/>
          <w:szCs w:val="24"/>
        </w:rPr>
        <w:t>Įstaigos, kurių atveju bendra tariamoji suma, kuria grindžiamos išvestinės finansinės priemonės, kaip apibrėžta 8 punkte, viršija 10 mlrd. EUR, 13 punkte nurodytų laukelių informaciją turi pateikti, net jei jų išvestinių finansinių priemonių dalis neatitinka 10 punkte aprašytų sąlygų.</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Šio reglamento 4 straipsnio prievolės taikymo kriterijai netaikomi 4 daliai. Įstaigos pradeda teikti informaciją nuo kitos ataskaitinės datos, jeigu jos vieną ataskaitinę datą viršijo ribinę vertę.</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14 punkte nurodytų laukelių informaciją įstaigos turi pateikti, jei tenkinama bet kuri iš šių sąlygų:</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9 punkte nurodyta kredito išvestinių finansinių priemonių apimtis viršija 300 mln. EUR</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9 punkte nurodyta kredito išvestinių finansinių priemonių apimtis viršija 500 mln. EUR.</w:t>
      </w:r>
    </w:p>
    <w:p w14:paraId="3B88084F" w14:textId="34241752" w:rsidR="00F4754B" w:rsidRPr="000B66BC" w:rsidRDefault="00242493" w:rsidP="000B66BC">
      <w:pPr>
        <w:pStyle w:val="InstructionsText2"/>
        <w:numPr>
          <w:ilvl w:val="0"/>
          <w:numId w:val="0"/>
        </w:numPr>
        <w:ind w:left="709" w:firstLine="11"/>
        <w:rPr>
          <w:sz w:val="24"/>
        </w:rPr>
      </w:pPr>
      <w:r>
        <w:rPr>
          <w:bCs/>
          <w:sz w:val="24"/>
        </w:rPr>
        <w:t>Taikomi šio Reglamento 4 straipsnio prievolės taikymo ir netaikymo kriterijai, išskyrus b punkto atveju, kai įstaigos pradeda teikti informaciją nuo kitos ataskaitinės datos, jeigu jos vieną ataskaitinę datą viršijo ribinę vertę.</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Laukeliai, kurių informaciją įstaigos turi pateikti pagal 10 ir 11 punktus: {LR1;0010;0010}, {LR1;0010;0020}, {LR1;0020;0010}, {LR1;0020;0020}, {LR1;0030;0070}, {LR1;0040;0070}, {LR1;0050;0010}, {LR1;0050;0020}, {LR1;0060;0010}, {LR1;0060;0020}, ir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Laukeliai, kurių informaciją įstaigos turi pateikti pagal 12 punktą: {LR1;0020;0075}, {LR1;0050;0075} ir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322687879"/>
      <w:bookmarkStart w:id="50" w:name="_Toc315961853"/>
      <w:bookmarkStart w:id="51" w:name="_Toc58926663"/>
      <w:bookmarkEnd w:id="46"/>
      <w:r>
        <w:rPr>
          <w:rFonts w:ascii="Times New Roman" w:hAnsi="Times New Roman"/>
          <w:b/>
          <w:sz w:val="24"/>
          <w:szCs w:val="24"/>
        </w:rPr>
        <w:t>3.</w:t>
      </w:r>
      <w:r>
        <w:tab/>
      </w:r>
      <w:bookmarkStart w:id="52" w:name="_Toc351048506"/>
      <w:r>
        <w:rPr>
          <w:rFonts w:ascii="Times New Roman" w:hAnsi="Times New Roman"/>
          <w:b/>
          <w:sz w:val="24"/>
          <w:szCs w:val="24"/>
        </w:rPr>
        <w:t>C 47.00. Sverto koeficiento apskaičiavimas</w:t>
      </w:r>
      <w:bookmarkEnd w:id="47"/>
      <w:bookmarkEnd w:id="52"/>
      <w:r>
        <w:rPr>
          <w:rFonts w:ascii="Times New Roman" w:hAnsi="Times New Roman"/>
          <w:b/>
          <w:sz w:val="24"/>
          <w:szCs w:val="24"/>
        </w:rPr>
        <w:t xml:space="preserve"> (LRCalc)</w:t>
      </w:r>
      <w:bookmarkEnd w:id="48"/>
      <w:bookmarkEnd w:id="51"/>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Šioje formoje renkami duomenys, kurių reikia sverto koeficientui apskaičiuoti, kaip nustatyta KRR septintoje dalyje.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Įstaigos informaciją apie sverto koeficientą teikia kas ketvirtį. Kiekvieną ketvirtį vertė „ataskaitinę datą“ atitinka atitinkamo ketvirčio trečiojo mėnesio paskutinės kalendorinės dienos vertę.</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Įstaigos informaciją apie Pozicijų verčių skirsnio straipsnius pateikia su teigiamu ženklu pagal šio priedo I dalies 9 punkte nurodytą ženklų tvarką (išskyrus {LRCalc;0270;0010} ir {LRCalc;0280;0010}), tarsi straipsniai su neigiamu ženklu (pavyzdžiui, išimtys ir (arba) atskaitymai) pagal šio priedo I dalies 9 punkte nurodytą ženklų tvarką nebūtų taikomi.</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Bet kuri suma, dėl kurios nuosavos lėšos arba sverto koeficiento pozicija didėja, nurodoma teigiamu skaičiumi. Priešingai – bet kuri suma, dėl kurios bendra nuosavų lėšų suma arba sverto koeficiento pozicija mažėja, nurodoma neigiamu skaičiumi. Prieš straipsnio pavadinimą įrašytas minuso ženklas (−) reiškia prielaidą, kad tame straipsnyje teigiamas skaičius nebus rašomas.</w:t>
      </w:r>
    </w:p>
    <w:p w14:paraId="69E62B50" w14:textId="5424BF48" w:rsidR="00EC3422" w:rsidRPr="000B66BC" w:rsidRDefault="006A4991" w:rsidP="009339D1">
      <w:pPr>
        <w:pStyle w:val="InstructionsText2"/>
        <w:numPr>
          <w:ilvl w:val="0"/>
          <w:numId w:val="0"/>
        </w:numPr>
        <w:ind w:left="720" w:hanging="360"/>
        <w:rPr>
          <w:sz w:val="24"/>
        </w:rPr>
      </w:pPr>
      <w:r>
        <w:rPr>
          <w:sz w:val="24"/>
        </w:rPr>
        <w:lastRenderedPageBreak/>
        <w:t>19. Jeigu suma galėtų būti atskaitoma dėl kelių priežasčių, suma sumažinama tik iš pozicijos, nurodytos vienoje iš C47.00 formos eilučių.</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Nuorodos į teisės aktus ir nurodymai</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Eilutė ir skiltis</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Pozicijų vertės</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VPĮFS. Pozicijos vertė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szCs w:val="24"/>
              </w:rPr>
              <w:t>KRR 429b straipsnio 1 dalies b punktas ir 4 bei 5 dalys.</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VPĮFS pozicija, apskaičiuota pagal KRR 429b straipsnio 1 dalies b punktą ir 4 bei 5 dalis.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nurodo sandorius pagal KRR 429e straipsnio 7 dalies c punktą.</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Į šį laukelį įstaigos neįtraukia gautų pinigų arba garantijų, pateiktų sandorio šaliai pagal pirmiau minėtus sandorius ir nurodytų balanse (t. y. neįvykdyti pripažinimo nutraukimo apskaitos kriterijai). Šiuos straipsnius įstaigos įtraukia į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Įstaigos į šį laukelį neįtraukia tarpininkų VPĮFS, jeigu įstaiga klientui arba sandorio šaliai suteikia žalos atlyginimo draudimą arba garantiją, apribotą bet kokiu vertybinių popierių arba pinigų, kuriuos klientas paskolino, vertės ir užtikrinimo priemonės, kurią suteikė skolininkas, vertės skirtumu pagal KRR 429e straipsnio 7 dalies a punktą.</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VPĮFS. Papildomas mokestis dėl sandorio šalies kredito rizikos</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429e straipsnio 1 dalis.</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Papildomas mokestis dėl VPĮFS (įskaitant į balansą neįtrauktus sandorius) sandorio šalies kredito rizikos, atitinkamai nustatytas pagal KRR 429e straipsnio 2 arba 3 ir 4 dalį.</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nurodo sandorius pagal KRR 429e straipsnio 7 dalies c punktą.</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į šį laukelį neįtraukia tarpininkų VPĮFS, jeigu įstaiga klientui arba sandorio šaliai suteikia žalos atlyginimo draudimą arba garantiją, apribotą bet kokiu vertybinių popierių arba pinigų, kuriuos klientas paskolino, vertės ir užtikrinimo priemonės, kurią suteikė skolininkas, vertės skirtumu pagal KRR 429e straipsnio 7 dalies a punktą. Šiuos straipsnius įstaigos įtraukia į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VPĮFS skirta nukrypti leidžianti nuostata. Papildomas mokestis pagal KRR 429e straipsnio 5 dalį ir 222 straipsnį</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KRR 429e straipsnio 5 dalis ir 222 straipsnis</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VPĮFS (įskaitant į balansą neįtrauktus sandorius) pozicijos vertė, apskaičiuota pagal KRR 222 straipsnį, taikant 20 % apatinę ribą taikytinam rizikos koeficientui.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nurodo sandorius pagal KRR 429e straipsnio 7 dalies c punktą.</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nenurodo sandorių, kurių sverto koeficiento pozicijos vertės papildomo mokesčio dalis nustatoma pagal KRR 429e straipsnio 1 dalyje nurodytą metodą.</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VPĮFS tarpininkų sandorio šalies kredito rizika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szCs w:val="24"/>
              </w:rPr>
              <w:t>KRR 429e straipsnio 2 ir 3 dalys ir 7 dalies a punktas.</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Tarpininkų VPĮFS pozicijos vertė, jeigu įstaiga klientui arba sandorio šaliai suteikia žalos atlyginimo draudimą arba garantiją, apribotą bet kokiu vertybinių popierių arba pinigų, kuriuos klientas paskolino, vertės ir užtikrinimo priemonės, kurią suteikė skolininkas, vertės skirtumu pagal KRR 429e straipsnio 7 dalies a punktą, kurį sudaro tik papildomas mokestis, atitinkamai nustatytas pagal KRR 429e straipsnio 2 arba 3 dalį.</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Į šį laukelį įstaigos neįtraukia sandorių pagal 429e straipsnio 7 dalies c punktą. Šiuos duomenis įstaigos atitinkamai įtraukia į {0010;0010} ir {0020;0010} arba {0010;0010} ir {0030;0010} laukelius.</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Kliento VPĮFS pozicijų, kurių tarpuskaitą atlieka pagrindinė sandorio šalis, dalis, kuriai taikoma išimtis</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g punktas ir 306 straipsnio 1 dalies c punktas.</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Kliento VPĮFS prekybos pozicijų, kurių tarpuskaitą atlieka pagrindinė sandorio šalis, dalis, kuriai taikoma išimtis, jeigu tie straipsniai atitinka KRR 306 straipsnio 1 dalies c punkte nurodytas sąlygas.</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 pozicijų, kurių tarpuskaitą atlieka pagrindinė sandorio šalis, dalis, kuriai taikoma išimtis, yra garantija, ji nenurodoma šiame laukelyje, nebent tai yra dar kartą įkeista garantija, kuri pagal taikytiną apskaitos sistemą (t. y. pagal KRR 111 straipsnio 1 dalies pirmą sakinį) yra įtraukiama visa verte.</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taip pat įtraukia šiame laukelyje nurodytą sumą į {0010;0010}, {0020;0010} ir {0030;0010} laukelius taip, lyg išimtis nebūtų taikoma, o jei tai yra dar kartą įkeista garantija, kuri pagal taikytiną apskaitos sistemą yra įtraukiama visa verte – ir į {0190;0010} laukelį.</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Jeigu įstaiga suteikė pradinę garantinę įmoką už VPĮFS dalį, kuriai taikoma išimtis ir kuri nurodyta {0190;0010} laukelyje, bet nenurodyta {0020;0010} </w:t>
            </w:r>
            <w:r>
              <w:rPr>
                <w:rFonts w:ascii="Times New Roman" w:hAnsi="Times New Roman"/>
                <w:bCs/>
                <w:sz w:val="24"/>
                <w:szCs w:val="24"/>
              </w:rPr>
              <w:lastRenderedPageBreak/>
              <w:t>arba {0030;0010} laukelyje, tuomet įstaiga gali nurodyti minėtą garantinę įmoką šiame laukelyje.</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Išvestinės finansinės priemonės. Pakeitimo išlaidų indėlis pagal SA-CCR metodą (be užtikrinimo priemonės poveikio grynajai nepriklausomai užtikrinimo priemonės sumai, NICA) </w:t>
            </w:r>
          </w:p>
          <w:p w14:paraId="303004A2" w14:textId="0FE6FF15"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429c straipsnio 1 dalis</w:t>
            </w:r>
            <w:r w:rsidR="002B5DF0">
              <w:rPr>
                <w:rFonts w:ascii="Times New Roman" w:hAnsi="Times New Roman"/>
                <w:bCs/>
                <w:sz w:val="24"/>
                <w:szCs w:val="24"/>
              </w:rPr>
              <w:t>.</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275 straipsnyje nurodytos pakeitimo išlaidos be užtikrinimo priemonės poveikio NICA sumai ir be jokios kintamosios garantinės įmokos poveikio. Pildydamos šį laukelį įstaigos netaiko KRR 429c straipsnio 3 ir 4 dalyse ir 429a straipsnio 1 dalies g punkte nustatytų nukrypti leidžiančių nuostatų. Suma nurodoma pritaikius 1,4 alfa koeficientą, kaip nurodyta KRR 274 straipsnio 2 dalyje.</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Kaip nustatyta KRR 429c straipsnio 1 dalyje, įstaigos pagal KRR 295 straipsnį gali atsižvelgti į novacijų sutarčių ir kitų užskaitos susitarimų poveikį. Kryžminė produktų užskaita netaikoma. Tačiau įstaigos KRR 272 straipsnio 25 punkto c papunktyje nurodytos kategorijos priemones ir kredito išvestines finansines priemones gali užskaityti, kai joms taikomas KRR 295 straipsnio c punkte nurodytas sutartinės kryžminės produktų užskaitos susitarimas.</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įtraukia visas kredito išvestines finansines priemones, ne vien tas, kurios yra prekybos knygoje.</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Į šį laukelį įstaigos neįtraukia sutarčių, įvertintų taikant supaprastintą standartizuotą metodą arba pradinės pozicijos metodą.</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Užtikrinimo priemonės pripažinimo apskaičiuojant grynąją nepriklausomą užtikrinimo priemonės sumą (NICA) poveikis kliento sandoriams, kurių tarpuskaitą atlieka reikalavimus atitinkanti pagrindinės sandorio šalis (SA-CCR; pakeitimo išlaidos)</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429c straipsnio 4 dalis.</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Apskaičiuojant išvestinių finansinių priemonių sutarčių su klientais pakeitimo išlaidas, kai tokių sutarčių tarpuskaitą atlieka reikalavimus atitinkanti pagrindinė sandorio šalis, taikoma KRR 429c straipsnio 4 dalyje nustatyta nukrypti leidžianti nuostata. Suma nurodoma pritaikius 1,4 alfa koeficientą, kaip nurodyta KRR 274 straipsnio 2 dalyje.</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taip pat įtraukia šiame laukelyje nurodytą sumą į {0061;0010} laukelį taip, lyg nukrypti leidžianti nuostata nebūtų taikoma.</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Tinkamos gautos piniginės kintamosios garantinės įmokos, atimtos iš išvestinių finansinių priemonių rinkos vertės, poveikis (SA-CCR; pakeitimo išlaidos)</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KRR 429c straipsnio 3 dalis.</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Iš sandorio šalies pinigais gauta kintamoji garantinė įmoka, kuria pagal KRR 429c straipsnio 3 dalį galima kompensuoti išvestinių finansinių priemonių pozicijos dabartinių pakeitimo išlaidų dalį. Suma nurodoma pritaikius 1,4 alfa koeficientą, kaip nurodyta KRR 274 straipsnio 2 dalyje.</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Nenurodoma jokia piniginė kintamoji garantinė įmoka, gauta už pagrindinės sandorio šalies pozicijos dalį, kuriai taikoma išimtis pagal KRR 429a straipsnio 1 dalies g punktą.</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taip pat įtraukia šiame laukelyje nurodytą sumą į {0061;0010} laukelį taip, lyg piniginė kintamoji garantinė įmoka nėra atskaitoma.</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Kliento prekybos pozicijų, kurių tarpuskaitą atlieka pagrindinė sandorio šalis, dalies, kuriai taikoma išimtis, poveikis (SA-CCR; pakeitimo išlaidos)</w:t>
            </w:r>
          </w:p>
          <w:p w14:paraId="4B3A4644" w14:textId="1631CDA0"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g punktas</w:t>
            </w:r>
            <w:r w:rsidR="002B5DF0">
              <w:rPr>
                <w:rFonts w:ascii="Times New Roman" w:hAnsi="Times New Roman"/>
                <w:bCs/>
                <w:sz w:val="24"/>
                <w:szCs w:val="24"/>
              </w:rPr>
              <w:t>.</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Reikalavimus atitinkančios pagrindinės sandorio šalies prekybos pozicijų, atsiradusių dėl kliento išvestinių finansinių priemonių sandorių tarpuskaitos, kurioms taikoma išimtis, jeigu tie elementai atitinka KRR 306 straipsnio 1 dalies c punkte nustatytas sąlygas, pakeitimo išlaidų dalis. Ši suma nurodoma neatėmus už šią dalį gautos piniginės kintamosios garantinės įmokos. Suma nurodoma pritaikius 1,4 alfa koeficientą, kaip nurodyta KRR 274 straipsnio 2 dalyje.</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taip pat įtraukia šiame laukelyje nurodytą sumą į {0061;0010} laukelį taip, lyg išimtis nebūtų taikoma.</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Išvestinės finansinės priemonės. Galimos būsimos pozicijos indėlis pagal SA-CCR metodą (koeficientas –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429c straipsnio 5 dalis.</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KRR 278 straipsnyje nurodyta galima būsima pozicija, kuriai taikomas koeficientas lygus 1, t. y. netaikoma KRR 429c straipsnio 5 dalyje numatyta nukrypti leidžianti nuostata dėl sutarčių su klientais, kai tokių sutarčių tarpuskaitą atlieka reikalavimus atitinkanti pagrindinė sandorio šalis. Suma nurodoma pritaikius 1,4 alfa koeficientą, kaip nurodyta KRR 274 straipsnio 2 dalyje.</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Kliento sandorių, kurių tarpuskaitą atlieka reikalavimus atitinkanti pagrindinė sandorio šalis, mažesnio koeficiento poveikis galimos būsimos pozicijos indėliui (SA-CCR; galima būsima pozicija)</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429c straipsnio 5 dalis.</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Apskaičiuojant išvestinių finansinių priemonių galimą būsimą poziciją, kai tokių sutarčių tarpuskaitą atlieka reikalavimus atitinkanti pagrindinė sandorio </w:t>
            </w:r>
            <w:r>
              <w:rPr>
                <w:rFonts w:ascii="Times New Roman" w:hAnsi="Times New Roman"/>
                <w:bCs/>
                <w:sz w:val="24"/>
                <w:szCs w:val="24"/>
              </w:rPr>
              <w:lastRenderedPageBreak/>
              <w:t>šalis, taikoma KRR 429c straipsnio 5 dalyje nustatyta nukrypti leidžianti nuostata. Suma nurodoma pritaikius 1,4 alfa koeficientą, kaip nurodyta KRR 274 straipsnio 2 dalyje.</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taip pat įtraukia šiame laukelyje nurodytą sumą į {0091;0010} laukelį taip, lyg nukrypti leidžianti nuostata nebūtų taikoma.</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Kliento prekybos pozicijų, kurių tarpuskaitą atlieka pagrindinė sandorio šalis, dalies, kuriai taikoma išimtis, poveikis (SA-CCR metodas; galima būsima pozicija)</w:t>
            </w:r>
          </w:p>
          <w:p w14:paraId="638E19CF" w14:textId="4B238912"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g punktas</w:t>
            </w:r>
            <w:r w:rsidR="002B5DF0">
              <w:rPr>
                <w:rFonts w:ascii="Times New Roman" w:hAnsi="Times New Roman"/>
                <w:bCs/>
                <w:sz w:val="24"/>
                <w:szCs w:val="24"/>
              </w:rPr>
              <w:t>.</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Reikalavimus atitinkančios pagrindinės sandorio šalies prekybos pozicijų, atsiradusių dėl kliento išvestinių finansinių priemonių sandorių tarpuskaitos, kurioms taikoma išimtis, jeigu tie elementai atitinka KRR 306 straipsnio 1 dalies c punkte nustatytas sąlygas, galima būsima pozicija. Suma nurodoma pritaikius 1,4 alfa koeficientą, kaip nurodyta KRR 274 straipsnio 2 dalyje.</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taip pat įtraukia šiame laukelyje nurodytą sumą į {0091;0010} laukelį taip, lyg išimtis nebūtų taikoma.</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Išvestinėms finansinėms priemonėms skirta nukrypti leidžianti nuostata. Pakeitimo išlaidų indėlis pagal supaprastintą standartizuotą metodą </w:t>
            </w:r>
          </w:p>
          <w:p w14:paraId="729E4C3C" w14:textId="1F34642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429c straipsnio 6 dalis ir 281 straipsnis</w:t>
            </w:r>
            <w:r w:rsidR="002B5DF0">
              <w:rPr>
                <w:rFonts w:ascii="Times New Roman" w:hAnsi="Times New Roman"/>
                <w:bCs/>
                <w:sz w:val="24"/>
                <w:szCs w:val="24"/>
              </w:rPr>
              <w:t>.</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nurodomas KRR II priedo 1 ir 2 punktuose išvardytų sutarčių pozicijų matas, apskaičiuotas pagal supaprastintą standartizuotą metodą, nurodytą KRR 281 straipsnyje. Suma nurodoma pritaikius 1,4 alfa koeficientą, kaip nurodyta KRR 274 straipsnio 2 dalyje.</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Supaprastintą standartizuotą metodą taikančios įstaigos bendro pozicijų mato nemažina gautos garantinės įmokos suma pagal KRR 429c straipsnio 6 dalį. Todėl KRR 429c straipsnio 4 dalyje nustatyta išimtis išvestinių finansinių priemonių sutarčių su klientais atveju, kai tokių sutarčių tarpuskaitą atlieka reikalavimus atitinkanti pagrindinė sandorio šalis, netaikoma.</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 šį laukelį įstaigos neįtraukia sutarčių, įvertintų taikant SA-CCR metodą arba pradinės pozicijos metodą.</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Kliento prekybos pozicijų, kurių tarpuskaitą atlieka pagrindinė sandorio šalis, dalies, kuriai taikoma išimtis, poveikis (supaprastintas standartizuotas metodas; pakeitimo išlaidos)</w:t>
            </w:r>
          </w:p>
          <w:p w14:paraId="145D251C" w14:textId="4014F54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g punktas</w:t>
            </w:r>
            <w:r w:rsidR="002B5DF0">
              <w:rPr>
                <w:rFonts w:ascii="Times New Roman" w:hAnsi="Times New Roman"/>
                <w:bCs/>
                <w:sz w:val="24"/>
                <w:szCs w:val="24"/>
              </w:rPr>
              <w:t>.</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Reikalavimus atitinkančios pagrindinės sandorio šalies prekybos pozicijų, atsiradusių dėl kliento išvestinių finansinių priemonių sandorių tarpuskaitos, kurioms taikoma išimtis, jeigu tie elementai atitinka KRR 306 straipsnio 1 dalies c punkte nustatytas sąlygas, pakeitimo išlaidų dalis. Ši suma nurodoma </w:t>
            </w:r>
            <w:r>
              <w:rPr>
                <w:rFonts w:ascii="Times New Roman" w:hAnsi="Times New Roman"/>
                <w:bCs/>
                <w:sz w:val="24"/>
                <w:szCs w:val="24"/>
              </w:rPr>
              <w:lastRenderedPageBreak/>
              <w:t xml:space="preserve">neatėmus už šią dalį gautos piniginės kintamosios garantinės įmokos. Suma nurodoma pritaikius 1,4 alfa koeficientą, kaip nurodyta KRR 274 straipsnio 2 dalyje.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taip pat įtraukia šiame laukelyje nurodytą sumą į {0101;0010} laukelį taip, lyg išimtis nebūtų taikoma.</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Išvestinėms finansinėms priemonėms skirta nukrypti leidžianti nuostata. Galimos būsimos pozicijos indėlis pagal supaprastintą standartizuotą metodą (koeficientas –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KRR 281 straipsnio 2 dalies f punktas ir 429c straipsnio 6 dalis.</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Galima būsima pozicija, apskaičiuota pagal supaprastintą standartizuotą metodą, nustatytą KRR 281 straipsnyje, kuriai taikomas koeficientas lygus 1. Suma nurodoma pritaikius 1,4 alfa koeficientą, kaip nurodyta KRR 274 straipsnio 2 dalyje.</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Supaprastintą standartizuotą metodą taikančios įstaigos bendro pozicijų mato nemažina gautos garantinės įmokos suma pagal KRR 429c straipsnio 6 dalį.</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Kliento prekybos pozicijų, kurių tarpuskaitą atlieka pagrindinė sandorio šalis, dalies, kuriai taikoma išimtis, poveikis (supaprastintas standartizuotas metodas; galima būsima pozicija)</w:t>
            </w:r>
          </w:p>
          <w:p w14:paraId="350D0B05" w14:textId="6D360F9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g punktas</w:t>
            </w:r>
            <w:r w:rsidR="002B5DF0">
              <w:rPr>
                <w:rFonts w:ascii="Times New Roman" w:hAnsi="Times New Roman"/>
                <w:bCs/>
                <w:sz w:val="24"/>
                <w:szCs w:val="24"/>
              </w:rPr>
              <w:t>.</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Reikalavimus atitinkančios pagrindinės sandorio šalies prekybos pozicijų, atsiradusių dėl kliento išvestinių finansinių priemonių sandorių tarpuskaitos, kurioms taikoma išimtis, jeigu tie elementai atitinka KRR 306 straipsnio 1 dalies c punkte nustatytas sąlygas, galima būsima pozicija. Suma nurodoma pritaikius 1,4 alfa koeficientą, kaip nurodyta KRR 274 straipsnio 2 dalyje.</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taip pat įtraukia šiame laukelyje nurodytą sumą į {0103;0010} laukelį taip, lyg išimtis nebūtų taikoma.</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Išvestinėms finansinėms priemonėms skirta nukrypti leidžianti nuostata. Pradinės pozicijos metodas</w:t>
            </w:r>
          </w:p>
          <w:p w14:paraId="6E5CD50D" w14:textId="101E62A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429c straipsnio 6 dalis ir 282 straipsnis</w:t>
            </w:r>
            <w:r w:rsidR="002B5DF0">
              <w:rPr>
                <w:rFonts w:ascii="Times New Roman" w:hAnsi="Times New Roman"/>
                <w:bCs/>
                <w:sz w:val="24"/>
                <w:szCs w:val="24"/>
              </w:rPr>
              <w:t>.</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nurodomas KRR II priedo 1 ir 2 punktuose išvardytų sutarčių pozicijų matas, apskaičiuotas pagal pradinės pozicijos metodą, nurodytą KRR 282 straipsnyje.</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Pradinės pozicijos metodą taikančios įstaigos bendro pozicijų mato nemažina gautos garantinės įmokos suma pagal KRR 429c straipsnio 6 dalį.</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Pradinės pozicijos metodo netaikančios įstaigos šiame laukelyje informacijos nepateikia.</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Į šį laukelį įstaigos neįtraukia sutarčių, įvertintų taikant SA-CCR metodą arba supaprastintą standartizuotą metodą.</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Kliento prekybos pozicijų, kurių tarpuskaitą atlieka pagrindinė sandorio šalis, dalis, kuriai taikoma išimtis (pradinės pozicijos metodas)</w:t>
            </w:r>
          </w:p>
          <w:p w14:paraId="7A371D92" w14:textId="41D2E264"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g punktas</w:t>
            </w:r>
            <w:r w:rsidR="002B5DF0">
              <w:rPr>
                <w:rFonts w:ascii="Times New Roman" w:hAnsi="Times New Roman"/>
                <w:bCs/>
                <w:sz w:val="24"/>
                <w:szCs w:val="24"/>
              </w:rPr>
              <w:t>.</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Kliento prekybos pozicijų, kurių tarpuskaitą atlieka pagrindinė sandorio šalis, dalis, kuriai taikoma išimtis, taikant KRR 282 straipsnyje nurodytą pradinės pozicijos metodą, jeigu tie elementai atitinka KRR 306 straipsnio 1 dalies c punkte nurodytas sąlygas.</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taip pat įtraukia šiame laukelyje nurodytą sumą į {0110;0010} laukelį taip, lyg išimtis nebūtų taikoma.</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Pasirašytų kredito išvestinių finansinių priemonių apribota tariamoji suma</w:t>
            </w:r>
          </w:p>
          <w:p w14:paraId="3144DF47" w14:textId="3928EA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429d straipsnis</w:t>
            </w:r>
            <w:r w:rsidR="002B5DF0">
              <w:rPr>
                <w:rFonts w:ascii="Times New Roman" w:hAnsi="Times New Roman"/>
                <w:bCs/>
                <w:sz w:val="24"/>
                <w:szCs w:val="24"/>
              </w:rPr>
              <w:t>.</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pagal KRR 429d straipsnį nustato pasirašytų kredito išvestinių finansinių priemonių, apibrėžtų 429d straipsnio 1 dalyje, apribotą tariamąją sumą.</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Tinkamos įsigytos kredito išvestinės finansinės priemonės, išskaičiuojamos iš pasirašytų kredito išvestinių finansinių priemonių</w:t>
            </w:r>
          </w:p>
          <w:p w14:paraId="64C8DF12" w14:textId="7D8B28E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429d straipsnis</w:t>
            </w:r>
            <w:r w:rsidR="002B5DF0">
              <w:rPr>
                <w:rFonts w:ascii="Times New Roman" w:hAnsi="Times New Roman"/>
                <w:bCs/>
                <w:sz w:val="24"/>
                <w:szCs w:val="24"/>
              </w:rPr>
              <w:t>.</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Įsigytų kredito išvestinių finansinių priemonių (t. y. kai įstaiga perka kredito užtikrinimą iš sandorio šalies) tais pačiais referenciniais pavadinimais, kaip įstaigos išleistos kredito išvestinės finansinės priemonės, kai įsigyto užtikrinimo likęs terminas atitinka parduoto užtikrinimo likusį terminą arba yra už jį ilgesnis, apribota tariamoji suma. Taigi kiekvieno referencinio pavadinimo atveju vertė neturi būti didesnė nei {0130;0010} įrašyta vertė.</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Nebalansiniai straipsniai, kuriems taikomas 10 % kredito perskaičiavimo koeficientas pagal KRR 429f straipsnį</w:t>
            </w:r>
          </w:p>
          <w:p w14:paraId="7C110152" w14:textId="40C9F63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429f straipsnis, 111 straipsnio 1 dalies d punktas ir 166 straipsnio 9 dalis</w:t>
            </w:r>
            <w:r w:rsidR="002B5DF0">
              <w:rPr>
                <w:rFonts w:ascii="Times New Roman" w:hAnsi="Times New Roman"/>
                <w:bCs/>
                <w:sz w:val="24"/>
                <w:szCs w:val="24"/>
              </w:rPr>
              <w:t>.</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Mažos rizikos nebalansinių straipsnių, kuriems būtų pritaikytas 0 % kredito perskaičiavimo koeficientas, nurodytas KRR I priedo 4 punkto a–c papunkčiuose, pozicijos vertė pagal KRR 429f straipsnį ir 111 straipsnio 1 dalies d punktą (primenama, kad ši pozicijos vertė sudaro 10 % nominaliosios vertės).</w:t>
            </w:r>
            <w:r>
              <w:rPr>
                <w:rFonts w:ascii="Times New Roman" w:hAnsi="Times New Roman"/>
                <w:bCs/>
                <w:sz w:val="24"/>
                <w:szCs w:val="24"/>
              </w:rPr>
              <w:t xml:space="preserve"> </w:t>
            </w:r>
            <w:r>
              <w:rPr>
                <w:rFonts w:ascii="Times New Roman" w:hAnsi="Times New Roman"/>
                <w:sz w:val="24"/>
                <w:szCs w:val="24"/>
              </w:rPr>
              <w:t xml:space="preserve">Tai yra įsipareigojimai, kuriuos įstaiga gali bet kuriuo metu </w:t>
            </w:r>
            <w:r>
              <w:rPr>
                <w:rFonts w:ascii="Times New Roman" w:hAnsi="Times New Roman"/>
                <w:sz w:val="24"/>
                <w:szCs w:val="24"/>
              </w:rPr>
              <w:lastRenderedPageBreak/>
              <w:t>besąlygiškai anuliuoti be išankstinio perspėjimo (UCC) arba kuriais veiksmingai numatomas automatinis atšaukimas dėl paskolos gavėjo kreditingumo pablogėjimo.</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Primenama, kad nominalioji vertė nesumažinama specifinės kredito rizikos koregavimais.</w:t>
            </w:r>
            <w:r>
              <w:rPr>
                <w:sz w:val="24"/>
                <w:szCs w:val="24"/>
              </w:rPr>
              <w:t xml:space="preserve"> </w:t>
            </w:r>
            <w:r>
              <w:rPr>
                <w:rFonts w:ascii="Times New Roman" w:hAnsi="Times New Roman"/>
                <w:bCs/>
                <w:sz w:val="24"/>
                <w:szCs w:val="24"/>
              </w:rPr>
              <w:t>Vietoj to, kaip nurodyta 429f straipsnio 2 dalyje, įstaigos gali kredito pozicijai lygią nebalansinio straipsnio sumą sumažinti atitinkama specifinės kredito rizikos koregavimų suma. Taip skaičiuojant taikoma žemiausia riba yra lygi nuliui.</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 įsipareigojimu numatomas kito įsipareigojimo pratęsimas, pagal KRR 166 straipsnio 9 dalį naudojamas mažesnysis iš dviejų perskaičiavimo koeficientų, susijusių su atskiru įsipareigojimu.</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Pagal KRR 429f straipsnį, šiame laukelyje įstaigos nenurodo KRR II priede išvardytų sutarčių, kredito išvestinių finansinių priemonių, VPĮFS ir 429d straipsnyje nurodytų pozicijų.</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Nebalansiniai straipsniai, kuriems taikomas 20 % kredito perskaičiavimo koeficientas pagal KRR 429f straipsnį</w:t>
            </w:r>
          </w:p>
          <w:p w14:paraId="1808F2C6" w14:textId="2E1CC8E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429f straipsnis, 111 straipsnio 1 dalies c punktas ir 166 straipsnio 9 dalis</w:t>
            </w:r>
            <w:r w:rsidR="002B5DF0">
              <w:rPr>
                <w:rFonts w:ascii="Times New Roman" w:hAnsi="Times New Roman"/>
                <w:bCs/>
                <w:sz w:val="24"/>
                <w:szCs w:val="24"/>
              </w:rPr>
              <w:t>.</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sz w:val="24"/>
                <w:szCs w:val="24"/>
              </w:rPr>
              <w:t>Vidutinės / mažos rizikos nebalansinių straipsnių, kuriems būtų pritaikytas 20 % kredito perskaičiavimo koeficientas, nurodytas KRR I priedo 3 punkto a ir b papunkčiuose, pozicijos vertė pagal KRR 429f straipsnio ir 111 straipsnio 1 dalies c punktą (primenama, kad ši pozicijos vertė sudaro 20 % nominaliosios vertės).</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Primenama, kad nominalioji vertė nesumažinama specifinės kredito rizikos koregavimais. Vietoj to, kaip nurodyta 429f straipsnio 2 dalyje, įstaigos gali kredito pozicijai lygią nebalansinio straipsnio sumą sumažinti atitinkama specifinės kredito rizikos koregavimų suma. Taip skaičiuojant taikoma žemiausia riba yra lygi nuliui.</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 įsipareigojimu numatomas kito įsipareigojimo pratęsimas, pagal KRR 166 straipsnio 9 dalį naudojamas mažesnysis iš dviejų perskaičiavimo koeficientų, susijusių su atskiru įsipareigojimu.</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Pagal KRR 429f straipsnį, šiame laukelyje įstaigos nenurodo KRR II priede išvardytų sutarčių, kredito išvestinių finansinių priemonių, VPĮFS ir 429d straipsnyje nurodytų pozicijų.</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Nebalansiniai straipsniai, kuriems taikomas 50 % kredito perskaičiavimo koeficientas pagal KRR 429f straipsnį</w:t>
            </w:r>
          </w:p>
          <w:p w14:paraId="7DA0F3D2" w14:textId="291BF1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429f straipsnis, 111 straipsnio 1 dalies b punktas ir 166 straipsnio 9 dalis</w:t>
            </w:r>
            <w:r w:rsidR="002B5DF0">
              <w:rPr>
                <w:rFonts w:ascii="Times New Roman" w:hAnsi="Times New Roman"/>
                <w:bCs/>
                <w:sz w:val="24"/>
                <w:szCs w:val="24"/>
              </w:rPr>
              <w:t>.</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Vidutinės rizikos nebalansinių straipsnių, kuriems būtų pritaikytas 50 % kredito perskaičiavimo koeficientas pagal standartizuotą kredito rizikos metodą, nurodytą KRR I priedo 2 punkto a ir b papunkčiuose, pozicijos vertė pagal KRR 429f straipsnio ir 111 straipsnio 1 dalies b punktą (primenama, kad ši pozicijos vertė sudaro 50 % nominaliosios vertės).</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Primenama, kad nominalioji vertė nesumažinama specifinės kredito rizikos koregavimais. Vietoj to, kaip nurodyta 429f straipsnio 2 dalyje, įstaigos gali kredito pozicijai lygią nebalansinio straipsnio sumą sumažinti atitinkama specifinės kredito rizikos koregavimų suma. Taip skaičiuojant taikoma žemiausia riba yra lygi nuliui.</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nurodytos likvidumo priemonės ir kiti pakeitimo vertybiniais popieriais įsipareigojimai. Kitaip tariant, nepriklausomai nuo termino, visų likvidumo priemonių kredito perskaičiavimo koeficientas pagal KRR 255 straipsnį yra 50 %.</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 įsipareigojimu numatomas kito įsipareigojimo pratęsimas, pagal KRR 166 straipsnio 9 dalį naudojamas mažesnysis iš dviejų perskaičiavimo koeficientų, susijusių su atskiru įsipareigojimu.</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Pagal KRR 429f straipsnį, šiame laukelyje įstaigos nenurodo KRR II priede išvardytų sutarčių, kredito išvestinių finansinių priemonių, VPĮFS ir 429d straipsnyje nurodytų pozicijų.</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Nebalansiniai straipsniai, kuriems taikomas 100 % kredito perskaičiavimo koeficientas pagal KRR 429f straipsnį </w:t>
            </w:r>
          </w:p>
          <w:p w14:paraId="603EE80E" w14:textId="5D0B82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429f straipsnis, 111 straipsnio 1 dalies a punktas ir 166 straipsnio 9 dalis</w:t>
            </w:r>
            <w:r w:rsidR="002B5DF0">
              <w:rPr>
                <w:rFonts w:ascii="Times New Roman" w:hAnsi="Times New Roman"/>
                <w:bCs/>
                <w:sz w:val="24"/>
                <w:szCs w:val="24"/>
              </w:rPr>
              <w:t>.</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Didelės rizikos nebalansinių straipsnių, kuriems būtų pritaikytas 100 % kredito perskaičiavimo koeficientas, nurodytas KRR I priedo 1 punkto a–k papunkčiuose, pozicijos vertė pagal KRR 429f straipsnį ir 111 straipsnio 1 dalies a punktą (primenama, kad ši pozicijos vertė sudaro 100 % nominaliosios vertės).</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Primenama, kad nominalioji vertė nesumažinama specifinės kredito rizikos koregavimais. Vietoj to, kaip nurodyta 429f straipsnio 2 dalyje, įstaigos gali kredito pozicijai lygią nebalansinio straipsnio sumą sumažinti atitinkama specifinės kredito rizikos koregavimų suma. Taip skaičiuojant taikoma žemiausia riba yra lygi nuliui.</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nurodytos likvidumo priemonės ir kiti pakeitimo vertybiniais popieriais įsipareigojimai.</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 įsipareigojimu numatomas kito įsipareigojimo pratęsimas, pagal KRR 166 straipsnio 9 dalį naudojamas mažesnysis iš dviejų perskaičiavimo koeficientų, susijusių su atskiru įsipareigojimu.</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lastRenderedPageBreak/>
              <w:t>Pagal KRR 429f straipsnį, šiame laukelyje įstaigos nenurodo KRR II priede išvardytų sutarčių, kredito išvestinių finansinių priemonių, VPĮFS ir 429d straipsnyje nurodytų pozicijų.</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5EF5AFA4"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Nebalansinių straipsnių bendrosios kredito rizikos koregavimai </w:t>
            </w:r>
          </w:p>
          <w:p w14:paraId="62AD4ABC" w14:textId="31FB7E3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KRR 429 straipsnio 4 dalis</w:t>
            </w:r>
            <w:r w:rsidR="002B5DF0">
              <w:rPr>
                <w:rFonts w:ascii="Times New Roman" w:hAnsi="Times New Roman"/>
                <w:bCs/>
                <w:sz w:val="24"/>
                <w:szCs w:val="24"/>
              </w:rPr>
              <w:t>.</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Bendrosios kredito rizikos koregavimų, atitinkančių KRR 429 straipsnio 4 dalies d punkte nurodytus nebalansinius straipsnius, kuriuos įstaigos atskaito pagal KRR 429 straipsnio 4 dalies paskutinę pastraipą, suma.</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Apskaičiuojant nebalansinius straipsnius, nurodomus {0150;0010}–{0180;0010} eilutėse, į čia nurodytą sumą neatsižvelgiama kaip į sumažinimą.</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Įprastinis pirkimas ir pardavimas, už kuriuos dar neatsiskaityta. Apskaitinė vertė pagal apskaitą prekybos datą </w:t>
            </w:r>
          </w:p>
          <w:p w14:paraId="4C694246" w14:textId="20F2DF98"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KRR 429g straipsnio 1 dalis</w:t>
            </w:r>
            <w:r w:rsidR="002B5DF0">
              <w:rPr>
                <w:rFonts w:ascii="Times New Roman" w:hAnsi="Times New Roman"/>
                <w:bCs/>
                <w:sz w:val="24"/>
                <w:szCs w:val="24"/>
              </w:rPr>
              <w:t>.</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Toliau nurodytų elementų suma:</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pinigų sumos, susijusios su įprastiniais pirkimais, kurie iki atsiskaitymo dienos lieka balanse kaip turtas pagal KRR 429 straipsnio 4 dalies a punktą, ir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gautinos grynųjų pinigų sumos, susijusios su įprastiniais pardavimais, kurie iki atsiskaitymo dienos lieka balanse kaip turtas pagal KPR 429 straipsnio 4 dalies a punktą. Ši suma susidaro po to, kai pagal taikytiną apskaitos sistemą tarpusavyje užskaitomos už įprastinį pardavimą, už kurį dar neatsiskaityta, gautinų grynųjų pinigų sumos ir už įprastinį pirkimą, už kurį dar neatsiskaityta, mokėtinų grynųjų pinigų sumos.</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Įstaigos, kurios taiko apskaitą prekybos datą, minėtąją sumą nurodo šiame laukelyje, o ne 0190 eilutėje „kitas turtas“, o eilutėje 0190 – su įprastiniu pirkimu susijusius vertybinius popierius.</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Įprastinis pardavimas, už kurį dar neatsiskaityta. Atvirkštinė užskaita apskaitoje pagal apskaitą prekybos datą</w:t>
            </w:r>
          </w:p>
          <w:p w14:paraId="20327055" w14:textId="779C0C6E"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KRR 429g straipsnio 2 dalis</w:t>
            </w:r>
            <w:r w:rsidR="002B5DF0">
              <w:rPr>
                <w:rFonts w:ascii="Times New Roman" w:hAnsi="Times New Roman"/>
                <w:bCs/>
                <w:sz w:val="24"/>
                <w:szCs w:val="24"/>
              </w:rPr>
              <w:t>.</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Suma, gauta pagal taikytiną apskaitos sistemą atlikus už įprastinį pardavimą, už kurį dar neatsiskaityta, gautinų grynųjų pinigų sumų ir už įprastinį pirkimą, už kurį dar neatsiskaityta, mokėtinų grynųjų pinigų sumų tarpusavio užskaitą.</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lastRenderedPageBreak/>
              <w:t>(–) Įprastinis pardavimas, už kurį dar neatsiskaityta. Užskaita pagal KRR 429g straipsnio 2 dalį</w:t>
            </w:r>
          </w:p>
          <w:p w14:paraId="416B6808" w14:textId="1D3404F0"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lastRenderedPageBreak/>
              <w:t>KRR 429g straipsnio 2 dalis</w:t>
            </w:r>
            <w:r w:rsidR="002B5DF0">
              <w:rPr>
                <w:rFonts w:ascii="Times New Roman" w:hAnsi="Times New Roman"/>
                <w:bCs/>
                <w:sz w:val="24"/>
                <w:szCs w:val="24"/>
              </w:rPr>
              <w:t>.</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Suma, gauta atlikus gautinų grynųjų pinigų sumų ir mokėtinų grynųjų pinigų sumų tarpusavio užskaitą, jeigu ir pagal susijusius įprastinius pardavimus ir pirkimus atsiskaitoma taikant vienalaikio vertybinių popierių ir lėšų pateikimo principą pagal KRR 429 g straipsnio 2 dalį.</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Įprastinis pirkimas, už kurį dar neatsiskaityta. Įsipareigojimų sumokėti visiškas pripažinimas pagal apskaitą atsiskaitymo datą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KRR 429g straipsnio 3 dalis.</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Bendra su įprastiniu pirkimu susijusių įsipareigojimų sumokėti nominalioji vertė, kurią nurodo įstaigos, kurios pagal taikytiną apskaitos sistemą įprastiniam pirkimui ir pardavimui taiko apskaitą atsiskaitymo datą.</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Su įprastiniu pirkimu susiję vertybiniai popieriai nurodomi 0190 eilutėje „kitas turtas“.</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Įprastinis pirkimas, už kurį dar neatsiskaityta. Įsipareigojimų sumokėti užskaita pagal apskaitą atsiskaitymo datą pagal KRR 429g straipsnio 3 dalį</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KRR 429g straipsnio 3 dalis.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0188 eilutėje nurodytos sumos dalis, padengta bendra su įprastiniu pardavimu, už kurį dar neatsiskaityta, susijusių gautinų grynųjų pinigų sumų nominaliąja verte pagal KRR 429 g straipsnio 3 dalį.</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Kitas turtas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429 straipsnio 4 dalies a punktas.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Visas turtas, išskyrus KRR II priede išvardytas išvestinių finansinių priemonių sutartis, kredito išvestines finansines priemones ir VPĮFS (pvz., kitą turtą, kurį reikia nurodyti šiame laukelyje, sudaro gautinos sumos už piniginę kintamąją garantinę įmoką, jei jos pripažįstamos pagal taikomą apskaitos sistemą, likvidusis turtas, apibrėžtas pagal padengimo likvidžiuoju turtu rodiklį, neįvykdyti ir neapmokėti sandoriai). Vertinimą įstaigos grindžia KRR 429b straipsnio 1 dalyje ir 429 straipsnio 7 dalyje išdėstytais principais.</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Į šį laukelį įstaigos įtraukia gautus pinigus arba garantijas, pateiktas sandorio šaliai pagal VPĮFS ir nurodytus balanse (t. y. neįvykdyti pripažinimo nutraukimo apskaitos kriterijai). Be to, įstaigos pripažįsta straipsnius, kurie yra atskaitomi iš bendro 1 lygio nuosavo kapitalo ir papildomų 1 lygio straipsnių (pvz., nematerialiojo turto, atidėtųjų mokesčių turto ir kt.).</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Apskaičiuojant šioje eilutėje nurodomą sumą, į {0191;0010} eilutėje nurodytą sumą neatsižvelgiama kaip į sumažinimą.</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lastRenderedPageBreak/>
              <w:t>Susitarimai dėl bendro pinigų fondo sudarymo nurodomi ne čia, o {0193;0010}, {0194;0010}, {0195;0010}, {0196;0010}, {0197;0010} ir {0198;0010} eilutėse.</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Balansinių straipsnių bendrosios kredito rizikos koregavimai </w:t>
            </w:r>
          </w:p>
          <w:p w14:paraId="1CDF58F3" w14:textId="7C7AC8C3" w:rsidR="00CB48CC" w:rsidRPr="000B66BC" w:rsidRDefault="002B5DF0"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KRR 429 straipsnio 4 dalis.</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Bendrosios kredito rizikos koregavimų, atitinkančių KRR 429 straipsnio 4 dalies a punkte nurodytus balansinius straipsnius, kuriuos įstaigos atskaito pagal KRR 429 straipsnio 4 dalies paskutinę pastraipą, suma.</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Apskaičiuojant kitą turtą, nurodomą 0190;0010} laukelyje, į čia nurodytą sumą neatsižvelgiama kaip į sumažinimą.</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Susitarimai dėl bendro pinigų fondo sudarymo, kurių prudenciniu požiūriu negalima užskaityti. Vertė apskaitos sistemoje</w:t>
            </w:r>
          </w:p>
          <w:p w14:paraId="01265E9F" w14:textId="0B24B37A"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KRR 429b straipsnio 2 ir 3 dalys</w:t>
            </w:r>
            <w:r w:rsidR="002B5DF0">
              <w:rPr>
                <w:rFonts w:ascii="Times New Roman" w:hAnsi="Times New Roman"/>
                <w:color w:val="auto"/>
                <w:sz w:val="24"/>
                <w:szCs w:val="24"/>
              </w:rPr>
              <w:t>.</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Susitarimų dėl bendro pinigų fondo sudarymo (t. y, susitarimų, pagal kuriuos pinigų arba likvidumo valdymo tikslais sujungiami kelių atskirų sąskaitų kredito ar debeto likučiai), kurių prudenciniu požiūriu negalima užskaityti, apskaitinė vertė pagal KRR 429b straipsnio 2 ir 3 dalis.</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Susitarimai dėl bendro pinigų fondo sudarymo, kurių prudenciniu požiūriu negalima užskaityti. Apskaitos sistemoje taikytos užskaitos apibendrinimo poveikis</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KRR 429 straipsnio 7 dalies b punktas ir 429b straipsnio 2 ir 3 dalys.</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Suma, užskaityta pagal susitarimams dėl bendro pinigų fondo sudarymo, kurių prudenciniu požiūriu negalima užskaityti, taikytiną apskaitos sistemą, nurodoma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Susitarimai dėl bendro pinigų fondo sudarymo, kuriuos prudenciniu požiūriu galima užskaityti. Vertė apskaitos sistemoje</w:t>
            </w:r>
          </w:p>
          <w:p w14:paraId="444FD556" w14:textId="62704F2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KRR 429b straipsnio 2 ir 3 dalys</w:t>
            </w:r>
            <w:r w:rsidR="002B5DF0">
              <w:rPr>
                <w:rFonts w:ascii="Times New Roman" w:hAnsi="Times New Roman"/>
                <w:color w:val="auto"/>
                <w:sz w:val="24"/>
                <w:szCs w:val="24"/>
              </w:rPr>
              <w:t>.</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Susitarimų dėl bendro pinigų fondo sudarymo (t. y, susitarimų, pagal kuriuos pinigų arba likvidumo valdymo tikslais sujungiami kelių atskirų sąskaitų kredito ar debeto likučiai), kuriuos prudenciniu požiūriu galima užskaityti, apskaitinė vertė pagal KRR 429b straipsnio 2 ir 3 dalis.</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Susitarimai dėl bendro pinigų fondo sudarymo, kuriuos prudenciniu požiūriu galima užskaityti. Apskaitos sistemoje taikytos užskaitos apibendrinimo poveikis</w:t>
            </w:r>
          </w:p>
          <w:p w14:paraId="770F0F10" w14:textId="09B796D6"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KRR 429b straipsnio 2 ir 3 dalys</w:t>
            </w:r>
            <w:r w:rsidR="002B5DF0">
              <w:rPr>
                <w:rFonts w:ascii="Times New Roman" w:hAnsi="Times New Roman"/>
                <w:color w:val="auto"/>
                <w:sz w:val="24"/>
                <w:szCs w:val="24"/>
              </w:rPr>
              <w:t>.</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lastRenderedPageBreak/>
              <w:t>Suma, užskaityta pagal susitarimams dėl bendro pinigų fondo sudarymo, kuriuos prudenciniu požiūriu galima užskaityti, taikytiną apskaitos sistemą, nurodoma {0193;0010}.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Jei įstaiga atitinka 429b straipsnio 2 dalies b punkto reikalavimą, ji šioje eilutėje nenurodo likučių, kurie buvo anuliuoti atlikus 429b straipsnio 2 dalies a punkte nustatytą procesą, bendros sumos.</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Susitarimai dėl bendro pinigų fondo sudarymo, kuriuos prudenciniu požiūriu galima užskaityti. Užskaitos pripažinimas pagal KRR 429b straipsnio 2 dalį</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KRR 429b straipsnio 2 dalis.</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Suma, užskaityta iš bendrosios pozicijos, susijusios su susitarimais dėl bendro pinigų fondo sudarymo (0195 ir 0196 eilučių suma) pagal</w:t>
            </w:r>
            <w:r>
              <w:rPr>
                <w:rFonts w:ascii="Times New Roman" w:hAnsi="Times New Roman"/>
                <w:color w:val="auto"/>
                <w:sz w:val="24"/>
                <w:szCs w:val="24"/>
              </w:rPr>
              <w:t xml:space="preserve"> KRR 429b straipsnio 2 dalį.</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Susitarimai dėl bendro pinigų fondo sudarymo, kuriuos prudenciniu požiūriu galima užskaityti. Užskaitos pripažinimas pagal KRR 429b straipsnio 3 dalį</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KRR 429b straipsnio 3 dalis.</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Suma, užskaityta iš bendrosios pozicijos, susijusios su susitarimais dėl bendro pinigų fondo sudarymo (0195 ir 0196 eilučių suma) pagal</w:t>
            </w:r>
            <w:r>
              <w:rPr>
                <w:rFonts w:ascii="Times New Roman" w:hAnsi="Times New Roman"/>
                <w:color w:val="auto"/>
                <w:sz w:val="24"/>
                <w:szCs w:val="24"/>
              </w:rPr>
              <w:t xml:space="preserve"> KRR 429b straipsnio 3 dalį.</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Bendra pateiktų išvestinių finansinių priemonių užtikrinimo priemonių suma</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429c straipsnio 2 dalis.</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Pateiktų išvestinių finansinių priemonių užtikrinimo priemonių suma, jei dėl tų užtikrinimo priemonių pateikimo turto suma sumažinama pagal taikytiną apskaitos sistemą, nurodytą KRR 429c straipsnio 2 dalyje.</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į šį laukelį neįtraukia pradinės garantinės įmokos už kliento išvestinių finansinių priemonių sandorius, kurių tarpuskaitą atlieka reikalavimus atitinkanti pagrindinė sandorio šalis, arba tinkamos piniginės kintamosios įmokos, kaip apibrėžta KRR 429c straipsnio 3 dalyje.</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Gautinos sumos už piniginę kintamąją garantinę įmoką, pateikiamą išvestinių finansinių priemonių sandoriuose</w:t>
            </w:r>
          </w:p>
          <w:p w14:paraId="353AEF67" w14:textId="15725AF0"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429c straipsnio 3 dalies c punktas</w:t>
            </w:r>
            <w:r w:rsidR="002B5DF0">
              <w:rPr>
                <w:rFonts w:ascii="Times New Roman" w:hAnsi="Times New Roman"/>
                <w:bCs/>
                <w:sz w:val="24"/>
                <w:szCs w:val="24"/>
              </w:rPr>
              <w:t>.</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Gautinos sumos už kintamąją garantinę įmoką, sumokėtą pinigais sandorio šaliai vykdant išvestinių finansinių priemonių sandorius, jeigu pagal taikytiną </w:t>
            </w:r>
            <w:r>
              <w:rPr>
                <w:rFonts w:ascii="Times New Roman" w:hAnsi="Times New Roman"/>
                <w:bCs/>
                <w:sz w:val="24"/>
                <w:szCs w:val="24"/>
              </w:rPr>
              <w:lastRenderedPageBreak/>
              <w:t>apskaitos sistemą įstaiga turi pripažinti šias gautinas sumas kaip turtą, jei tenkinamos KRR 429c straipsnio 3 dalies a–e punktuose nurodytos sąlygos.</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Nurodyta suma taip pat turi būti įtraukta į kitą turtą, nurodytą {0190;0010} laukelyje.</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Kliento prekybos pozicijų, kurių tarpuskaitą atlieka pagrindinė sandorio šalis, dalis, kuriai taikoma išimtis (pradinė garantinė įmoka)</w:t>
            </w:r>
          </w:p>
          <w:p w14:paraId="3E812C65" w14:textId="7894DC3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g punktas</w:t>
            </w:r>
            <w:r w:rsidR="002B5DF0">
              <w:rPr>
                <w:rFonts w:ascii="Times New Roman" w:hAnsi="Times New Roman"/>
                <w:bCs/>
                <w:sz w:val="24"/>
                <w:szCs w:val="24"/>
              </w:rPr>
              <w:t>.</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Reikalavimus atitinkančios pagrindinės sandorio šalies prekybos pozicijų, atsiradusių dėl kliento išvestinių finansinių priemonių sandorių tarpuskaitos, kurioms taikoma išimtis, jeigu tie elementai atitinka KRR 306 straipsnio 1 dalies c punkte nustatytas sąlygas, (suteiktos) pradinės garantinės įmokos dalis.</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Nurodyta suma taip pat turi būti įtraukta į kitą turtą, nurodytą {0190;0010} laukelyje.</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VPĮFS pardavimo apskaitos sandorių koregavimai</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429e straipsnio 6 dalis.</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Pagal atpirkimo sandorį paskolintų vertybinių popierių, kurių pripažinimas nutrauktas dėl pardavimo apskaitos sandorio pagal taikytiną apskaitos sistemą, vertė.</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Išankstinio finansavimo arba tarpinių paskolų pozicijos vertės sumažėjimas </w:t>
            </w:r>
          </w:p>
          <w:p w14:paraId="44C18D39" w14:textId="78DD3C12"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 straipsnio 8 dalis</w:t>
            </w:r>
            <w:r w:rsidR="002B5DF0">
              <w:rPr>
                <w:rFonts w:ascii="Times New Roman" w:hAnsi="Times New Roman"/>
                <w:bCs/>
                <w:sz w:val="24"/>
                <w:szCs w:val="24"/>
              </w:rPr>
              <w:t>.</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Suma, gauta pagal KRR 429 straipsnio 8 dalį sumažinus išankstinio finansavimo paskolos arba tarpinės paskolos pozicijos vertę.</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Nurodyta suma turi būti įtraukta į kitą turtą, nurodytą {0190;0010} laukelyje.</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Patikėtas turtas</w:t>
            </w:r>
          </w:p>
          <w:p w14:paraId="7B749386" w14:textId="471ECE44"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i punktas</w:t>
            </w:r>
            <w:r w:rsidR="002B5DF0">
              <w:rPr>
                <w:rFonts w:ascii="Times New Roman" w:hAnsi="Times New Roman"/>
                <w:bCs/>
                <w:sz w:val="24"/>
                <w:szCs w:val="24"/>
              </w:rPr>
              <w:t>.</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 xml:space="preserve">Patikėto turto, kuris pagal nacionalinius bendruosius apskaitos principus yra pripažintas įstaigos balanse ir tenkina 9-ajame tarptautiniame finansinės atskaitomybės standarte (TFAS) nustatytus pripažinimo panaikinimo kriterijus ir, atitinkamais atvejais, 10-ajame TFAS nustatytus nekonsolidavimo kriterijus, vertė pagal KRR 429a straipsnio 1 dalies i punktą, neatsižvelgiant į rizikos ribojimo ar apskaitinės užskaitos arba kito </w:t>
            </w:r>
            <w:r>
              <w:rPr>
                <w:rFonts w:ascii="Times New Roman" w:hAnsi="Times New Roman"/>
                <w:bCs/>
                <w:sz w:val="24"/>
                <w:szCs w:val="24"/>
              </w:rPr>
              <w:lastRenderedPageBreak/>
              <w:t>KRM būdo poveikį (t. y. panaikinamas bet koks apskaitinės užskaitos arba KRM poveikis apskaitinei vertei).</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Nurodyta suma taip pat turi būti įtraukta į kitą turtą, nurodytą {0190;0010} laukelyje.</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Grupės vidaus pozicijos (individualiu pagrindu), kurioms taikoma išimtis pagal KRR 429a straipsnio 1 dalies c punktą</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c punktas ir 113 straipsnio 6 dalis.</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Pozicijos, kurios nebuvo konsoliduotos taikytinu konsolidavimo lygmeniu ir kurioms gali būti taikoma KRR 113 straipsnio 6 dalyje nustatyta tvarka, jeigu įvykdytos visos KRR 113 straipsnio 6 dalies a–e punktuose nustatytos sąlygos ir jeigu kompetentingos institucijos yra suteikusios leidimą.</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Institucinės užtikrinimo sistemos pozicijos, kurioms taikoma išimtis pagal KRR 429a straipsnio 1 dalies c punktą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c punktas ir 113 straipsnio 7 dalis.</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Pozicijos, kurioms gali būti taikoma KRR 113 straipsnio 7 dalyje nustatyta tvarka, jeigu įvykdytos visos KRR 113 straipsnio 7 dalies a–i punktuose nustatytos sąlygos ir jeigu kompetentingos institucijos yra suteikusios leidimą.</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Neįtraukiamos dėl eksporto kredito susidariusių pozicijų garantuotos dalys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f punktas.</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Pozicijų, susidarančių dėl eksporto kreditų, garantuotos dalys, kurių galima neįtraukti, kai tenkinamos KRR 429a straipsnio 1 dalies f punkte nustatytos sąlygos.</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Neįtraukiamas užtikrinimo priemonės perviršis, laikomas trišalio agento įkaito valdymo sistemoje</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k punktas.</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Užtikrinimo priemonės perviršis, laikomas trišalio agento įkaito valdymo sistemoje, kuris nebuvo paskolintas, gali būti neįtraukiamas pagal 429a straipsnio k punktą.</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Neįtraukiamos vertybiniais popieriais pakeistos pozicijos, atitinkančios reikšmingą rizikos perleidimą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429a straipsnio 1 dalies m punktas.</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Tradicinio pakeitimo vertybiniais popieriais būdu vertybiniais popieriais pakeistos pozicijos, atitinkančios 244 straipsnio 2 dalyje nustatytas reikšmingos rizikos perleidimo sąlygas.</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Centrinio banko pozicijos, kurioms taikoma išimtis pagal KRR 429a straipsnio 1 dalies n punktą</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n punktas.</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Neįtraukiamos CVPD / įstaigų bankinės papildomos paslaugos pagal KRR 429a straipsnio 1 dalies o punktą</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o punktas.</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Neįtraukiamos paskirtųjų įstaigų bankinės papildomos paslaugos pagal KRR 429a straipsnio 1 dalies p punktą</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KRR 429a straipsnio 1 dalies p punktas.</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Pozicijos, kurioms taikoma išimtis pagal KRR 429a straipsnio 1 dalies j punktą</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j punktas.</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Pozicijos, kurioms taikoma išimtis pagal KRR 429a straipsnio 1 dalies j punktą, jeigu įvykdytos jame nustatytos sąlygos.</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Nurodyta suma taip pat turi būti įtraukta į pirmiau pateiktus taikytinus laukelius taip, lyg išimtis nebūtų taikoma.</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Neįtraukiamos viešosios plėtros kredito įstaigų pozicijos. Viešojo sektoriaus investicijos</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d punktas ir 2 dalis.</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Pozicijos, susidarančios dėl turto, kurį sudaro su viešojo sektoriaus investicijomis susiję reikalavimai centrinės, regioninės arba vietos valdžios institucijoms arba viešojo sektoriaus subjektams, kurių galima neįtraukti pagal KRR 429a straipsnio 1 dalies d punktą.</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Jei reikalavimas yra skatinamoji paskola pagal 429a straipsnio 3 dalį, jis nurodomas ne šiame laukelyje, o atitinkamai 0262–0264 eilutėse.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Neįtraukiamos viešosios plėtros kredito įstaigų pozicijos. Viešosios plėtros kredito įstaigos suteiktos skatinamosios paskolos</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d punktas ir 2 bei 3 dalys.</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Pozicijos, susidarančios dėl viešosios plėtros kredito įstaigos suteiktų skatinamųjų paskolų, įskaitant perleidžiamąsias skatinamąsias paskolas, kurių galima neįtraukti pagal KRR 429a straipsnio 1 dalies d punktą. </w:t>
            </w:r>
            <w:r>
              <w:rPr>
                <w:rFonts w:ascii="Times New Roman" w:hAnsi="Times New Roman"/>
                <w:sz w:val="24"/>
                <w:szCs w:val="24"/>
              </w:rPr>
              <w:t>Taip pat atsižvelgiama į įstaigos, kurią kompetentinga institucija pagal KRR 429a straipsnio 2 dalies paskutinę pastraipą laiko viešosios plėtros kredito įstaiga, skyriaus pozicijas.</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Neįtraukiamos viešosios plėtros kredito įstaigų pozicijos. Valstybės narės centrinės valdžios, regioninės valdžios arba vietos valdžios institucijų tiesiogiai įsteigto subjekto suteiktos skatinamosios paskolos</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d punktas ir 2 bei 3 dalys.</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Pozicijos, susidarančios dėl skatinamųjų paskolų, įskaitant perleidžiamąsias skatinamąsias paskolas, kurias suteikė valstybės narės centrinės valdžios, regioninės valdžios arba vietos valdžios institucijų tiesiogiai įsteigtas subjektas, kurių galima neįtraukti pagal KRR 429a straipsnio 1 dalies d punktą.</w:t>
            </w:r>
            <w:r>
              <w:rPr>
                <w:rFonts w:ascii="Times New Roman" w:hAnsi="Times New Roman"/>
                <w:bCs/>
                <w:sz w:val="24"/>
                <w:szCs w:val="24"/>
              </w:rPr>
              <w:t xml:space="preserve"> </w:t>
            </w:r>
            <w:r>
              <w:rPr>
                <w:rFonts w:ascii="Times New Roman" w:hAnsi="Times New Roman"/>
                <w:sz w:val="24"/>
                <w:szCs w:val="24"/>
              </w:rPr>
              <w:t>Taip pat atsižvelgiama į įstaigos, kurią kompetentinga institucija pagal KRR 429a straipsnio 2 dalies paskutinę pastraipą laiko viešosios plėtros kredito įstaiga, skyriaus pozicijas.</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Neįtraukiamos viešosios plėtros kredito įstaigų pozicijos. Valstybės narės centrinės valdžios, regioninės valdžios arba vietos valdžios institucijų įsteigto subjekto, naudojantis tarpininkaujančios kredito įstaigos paslaugomis, suteiktos skatinamosios paskolos</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d punktas ir 2 bei 3 dalys.</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Pozicijos, susidarančios dėl skatinamųjų paskolų, įskaitant perleidžiamąsias skatinamąsias paskolas, kurias suteikė valstybės narės centrinės valdžios, regioninės valdžios arba vietos valdžios institucijų naudojantis tarpininkaujančios kredito įstaigos paslaugomis įsteigtas subjektas, kurių galima neįtraukti pagal KRR 429a straipsnio 1 dalies d punktą.</w:t>
            </w:r>
            <w:r>
              <w:rPr>
                <w:rFonts w:ascii="Times New Roman" w:hAnsi="Times New Roman"/>
                <w:bCs/>
                <w:sz w:val="24"/>
                <w:szCs w:val="24"/>
              </w:rPr>
              <w:t xml:space="preserve"> </w:t>
            </w:r>
            <w:r>
              <w:rPr>
                <w:rFonts w:ascii="Times New Roman" w:hAnsi="Times New Roman"/>
                <w:sz w:val="24"/>
                <w:szCs w:val="24"/>
              </w:rPr>
              <w:t>Taip pat atsižvelgiama į įstaigos, kurią kompetentinga institucija pagal KRR 429a straipsnio 2 dalies paskutinę pastraipą laiko viešosios plėtros kredito įstaiga, skyriaus pozicijas.</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Neįtraukiamos ne viešosios plėtros kredito įstaigų (ar skyrių) perleidžiamųjų skatinamųjų paskolų pozicijos. Viešosios plėtros kredito įstaigos suteiktos skatinamosios paskolos</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e punktas ir 2 bei 3 dalys.</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Pozicijų, susidarančių dėl perleidžiamų skatinamųjų paskolų kitoms kredito įstaigoms, dalys, kai skatinamąsias paskolas suteikė viešosios plėtros kredito įstaiga. </w:t>
            </w:r>
            <w:r>
              <w:rPr>
                <w:rFonts w:ascii="Times New Roman" w:hAnsi="Times New Roman"/>
                <w:sz w:val="24"/>
                <w:szCs w:val="24"/>
              </w:rPr>
              <w:t>Taip pat atsižvelgiama į įstaigos, kurios kompetentinga institucija pagal KRR 429a straipsnio 2 dalies paskutinę pastraipą nelaiko viešosios plėtros kredito įstaiga, skyriaus pozicijų dalis.</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Neįtraukiamos ne viešosios plėtros kredito įstaigų (ar skyrių) perleidžiamųjų skatinamųjų paskolų pozicijos. Valstybės narės centrinės valdžios, regioninės valdžios arba vietos valdžios institucijų tiesiogiai įsteigto subjekto suteiktos skatinamosios paskolos</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e punktas ir 2 bei 3 dalys.</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Pozicijų, susidarančių dėl perleidžiamų skatinamųjų paskolų kitoms kredito įstaigoms, dalys, kai skatinamąsias paskolas suteikė valstybės narės centrinės valdžios, regioninės valdžios arba vietos valdžios institucijų tiesiogiai įsteigtas subjektas. </w:t>
            </w:r>
            <w:r>
              <w:rPr>
                <w:rFonts w:ascii="Times New Roman" w:hAnsi="Times New Roman"/>
                <w:sz w:val="24"/>
                <w:szCs w:val="24"/>
              </w:rPr>
              <w:t>Taip pat atsižvelgiama į įstaigos, kurios kompetentinga institucija pagal KRR 429a straipsnio 2 dalies paskutinę pastraipą nelaiko viešosios plėtros kredito įstaiga, skyriaus pozicijų dalis.</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Nurodyta suma taip pat turi būti įtraukta į pirmiau pateiktus taikytinus laukelius taip, lyg išimtis nebūtų taikoma.</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Neįtraukiamos ne viešosios plėtros kredito įstaigų (ar skyrių) perleidžiamųjų skatinamųjų paskolų pozicijos. Valstybės narės centrinės valdžios, regioninės valdžios arba vietos valdžios institucijų įsteigto subjekto, naudojantis tarpininkaujančios kredito įstaigos paslaugomis, suteiktos skatinamosios paskolos</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KRR 429a straipsnio 1 dalies e punktas ir 2 bei 3 dalys.</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Pozicijų, susidarančių dėl perleidžiamų skatinamųjų paskolų kitoms kredito įstaigoms, dalys, kai skatinamąsias paskolas suteikė valstybės narės centrinės valdžios, regioninės valdžios arba vietos valdžios institucijų naudojantis tarpininkaujančios kredito įstaigos paslaugomis įsteigtas subjektas. </w:t>
            </w:r>
            <w:r>
              <w:rPr>
                <w:rFonts w:ascii="Times New Roman" w:hAnsi="Times New Roman"/>
                <w:sz w:val="24"/>
                <w:szCs w:val="24"/>
              </w:rPr>
              <w:t>Taip pat atsižvelgiama į įstaigos, kurios kompetentinga institucija pagal KRR 429a straipsnio 2 dalies paskutinę pastraipą nelaiko viešosios plėtros kredito įstaiga, skyriaus pozicijų dalis.</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Nurodyta suma taip pat turi būti įtraukta į pirmiau pateiktus taikytinus laukelius taip, lyg išimtis nebūtų taikoma.</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Atskaityta turto suma. 1 lygio kapitalas. Visiškai įdiegta apibrėžtis</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t>KRR 429a straipsnio 1 dalies b punktas ir 499 straipsnio 1 dalies a punktas.</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Ji apima visus koregavimus, kurie yra susiję su turto verte ir kurių reikalaujama pagal toliau nurodytus straipsnius:</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KRR 32–35 straipsnius arba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KRR 36–47 straipsnius, arba</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KRR 56–60 straipsnius,</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 taikoma.</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atsižvelgia į tokių atskaitymų išimtis, alternatyvas ir netaikymo galimybes, nustatytas KRR 48, 49 ir 79 straipsniuose, neatsižvelgdamos į nukrypti leidžiančią nuostatą, nustatytą KRR dešimtos dalies I antraštinės dalies 1, 2 ir 4 skyriuose. Kad išvengtų dvigubo skaičiavimo, įstaigos nenurodo koregavimų, jau taikytų pagal KRR 111 straipsnį apskaičiuojant pozicijos vertę {0010;0010}–{0267;0010} laukeliuose, ir nenurodo jokio koregavimo, kuris nėra konkretaus turto vertės atskaitymas.</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Kadangi šios sumos jau atskaitytos iš kapitalo priemonės, jos mažina sverto koeficiento poziciją ir turi būti nurodomos neigiamu skaičiumi.</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lastRenderedPageBreak/>
              <w:t>Atimta (–) arba pridėta (+) turto suma. 1 lygio kapitalas. Pereinamojo laikotarpio apibrėžtis</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KRR 429a straipsnio 1 dalies b punktas ir 499 straipsnio 1 dalies a punktas.</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Ji apima visus koregavimus, kuriais koreguojama turto vertė ir kurių reikalaujama pagal toliau nurodytus straipsnius:</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KRR 32–35 straipsnius arba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KRR 36–47 straipsnius, arba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KRR 56–60 straipsnius,</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 taikoma.</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atsižvelgia į tokių atskaitymų išimtis, alternatyvas ir netaikymo galimybes, nustatytas KRR 48, 49 ir 79 straipsniuose, kartu atsižvelgdamos į nukrypti leidžiančią nuostatą, nustatytą KRR dešimtos dalies I antraštinės dalies 1, 2 ir 4 skyriuose. Kad išvengtų dvigubo skaičiavimo, įstaigos nenurodo koregavimų, jau taikytų pagal KRR 111 straipsnį apskaičiuojant pozicijos vertę {0010;0010}–{0267;0010} laukeliuose, ir nenurodo jokio koregavimo, kuris nėra konkretaus turto vertės atskaitymas.</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Kadangi šios sumos jau atskaitytos iš kapitalo priemonės, jos mažina sverto koeficiento poziciją ir turi būti nurodomos neigiamu skaičiumi.</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sz w:val="24"/>
                <w:szCs w:val="24"/>
              </w:rPr>
              <w:t>Be to, šioje eilutėje įstaigos nurodo sumas teigiama verte, kurias reikia pridėti prie bendro pozicijų mato pagal KRR 473a straipsnio 7 dalį ir 473a straipsnio 7a dalį.</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Bendras sverto koeficiento pozicijų matas taikant visiškai įdiegtą 1 lygio kapitalo apibrėžtį</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nurodo visų 0010–0267 eilučių ir 0270 eilutės sumą.</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Bendras sverto koeficiento pozicijų matas taikant pereinamojo laikotarpio 1 lygio kapitalo apibrėžtį</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nurodo visų 0010–0267 eilučių ir 0280 eilutės sumą.</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Eilutė ir skiltis</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Kapitalas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1 lygio kapitalas. Visiškai įdiegta apibrėžtis</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 straipsnio 3 dalis ir 499 straipsnio 1 dalies a punktas.</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Nurodoma pagal KRR 25 straipsnį apskaičiuota 1 lygio kapitalo suma, neatsižvelgiant į KRR dešimtos dalies I antraštinės dalies 1, 2 ir 4 skyriuose nustatytą nukrypti leidžiančią nuostatą.</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1 lygio kapitalas. Pereinamojo laikotarpio apibrėžtis</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KRR 429 straipsnio 3 dalis ir 499 straipsnio 1 dalies b punktas.</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Nurodoma pagal KRR 25 straipsnį apskaičiuota 1 lygio kapitalo suma, atsižvelgus į KRR dešimtos dalies I antraštinės dalies 1, 2 ir 4 skyriuose nustatytą nukrypti leidžiančią nuostatą.</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lastRenderedPageBreak/>
              <w:t>Eilutė ir skiltis</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Sverto koeficientas</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Sverto koeficientas taikant visiškai įdiegtą 1 lygio kapitalo apibrėžtį</w:t>
            </w:r>
          </w:p>
          <w:p w14:paraId="14103416" w14:textId="3E5D6C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 straipsnio 2 dalis ir 499 straipsnio 1 dalis</w:t>
            </w:r>
            <w:r w:rsidR="002B5DF0">
              <w:rPr>
                <w:rFonts w:ascii="Times New Roman" w:hAnsi="Times New Roman"/>
                <w:bCs/>
                <w:sz w:val="24"/>
                <w:szCs w:val="24"/>
              </w:rPr>
              <w:t>.</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Nurodomas pagal šio priedo II dalies 4 dalį apskaičiuotas sverto koeficientas.</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Sverto koeficientas taikant pereinamojo laikotarpio 1 lygio kapitalo apibrėžtį</w:t>
            </w:r>
          </w:p>
          <w:p w14:paraId="26098DFB" w14:textId="3404715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429 straipsnio 2 dalis ir 499 straipsnio 1 dalis</w:t>
            </w:r>
            <w:r w:rsidR="002B5DF0">
              <w:rPr>
                <w:rFonts w:ascii="Times New Roman" w:hAnsi="Times New Roman"/>
                <w:bCs/>
                <w:sz w:val="24"/>
                <w:szCs w:val="24"/>
              </w:rPr>
              <w:t>.</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Nurodomas pagal šio priedo II dalies 5 dalį apskaičiuotas sverto koeficientas.</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Eilutė ir skiltis</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Reikalavimai: sumos</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2 ramsčio kapitalo reikalavimas (P2R) pernelyg didelio sverto rizikai mažinti</w:t>
            </w:r>
          </w:p>
          <w:p w14:paraId="50F35A01" w14:textId="77777777" w:rsidR="002B5DF0" w:rsidRDefault="008B096D" w:rsidP="00B70EBF">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KRD 104 ir 104a straipsniai. </w:t>
            </w:r>
          </w:p>
          <w:p w14:paraId="52420558" w14:textId="0FD09BBD"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szCs w:val="24"/>
              </w:rPr>
              <w:t>Papildomos nuosavos lėšos, kurios, kompetentingos institucijos reikalavimu, turi būti skiriamos pernelyg didelio sverto rizikai mažinti, kaip nurodyta KRD 104 straipsnyje.</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iš jų: sudarytina iš CET1 kapitalo</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P2R, nurodyto 0350 eilutėje, dalis, kuri, kompetentingos institucijos reikalavimu, laikytina CET1 kapitalo forma.</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G-SII sverto koeficiento rezervas</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KRR 92 straipsnio 1a dalis.</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 nurodo G-SII taikomo sverto koeficiento papildomo mokesčio vertę, nustatytą pagal KRR 92 straipsnio 1a dalį.</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G-SII nurodo šią sumą nuo sverto koeficiento rezervo reikalavimo taikymo pagal KRR dienos.</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2 ramsčio rekomendacijos (P2G) pernelyg didelio sverto rizikai mažinti</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KRD 104b straipsnis. Papildomos nuosavos lėšos, apie kurias pranešė kompetentinga institucija, skirtos pernelyg didelio sverto rizikai mažinti, kaip nurodyta KRD 104b straipsnyje.</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iš jų: sudarytina iš CET1 kapitalo</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P2G, nurodyto 0380 eilutėje, dalis, kuri, kompetentingos institucijos reikalavimu, laikytina CET1 kapitalo forma.</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iš jų: sudarytina iš 1 lygio kapitalo</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P2G, nurodyto 0380 eilutėje, dalis, kuri, kompetentingos institucijos reikalavimu, laikytina 1 lygio kapitalo forma.</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Eilutė ir skiltis</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Reikalavimai: koeficientai</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1 lygio sverto koeficiento reikalavimas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KRR 92 straipsnio 1 dalies d punktas, 429a straipsnio 7 dalis ir 429a straipsnio 1 dalies n punktas. Sverto koeficientas, reikalingas pernelyg didelio sverto rizikai mažinti, kaip nurodyta KRR 92 straipsnio 1 dalies d punkte;</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szCs w:val="24"/>
              </w:rPr>
              <w:t>Įstaigos, kurios neįtraukia įstaigos centrinio banko pozicijų, nurodytų KRR 429a straipsnio 1 dalies n punkte, nurodo pakoreguoto sverto koeficiento reikalavimą pagal KRR 429a straipsnio 7 dalį.</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Bendras SREP sverto koeficiento reikalavimas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KRD 104 ir 104a straipsniai.</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Toliau nurodytų i ir ii punktų suma:</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0410 eilutėje nurodyto 1 lygio sverto koeficiento reikalavimo;</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szCs w:val="24"/>
              </w:rPr>
              <w:t>papildomų nuosavų lėšų, kurios, kompetentingos institucijos reikalavimu, turi būti skiriamos pernelyg didelio sverto rizikai mažinti, reikalavimo (P2R) koeficiento, kaip nurodyta KRD 104 straipsnyje.</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Įstaigos ii punktą apskaičiuoja padalindamos {0350;0010} laukelyje nurodytą vertę iš</w:t>
            </w:r>
            <w:r>
              <w:rPr>
                <w:rFonts w:ascii="Times New Roman" w:hAnsi="Times New Roman"/>
                <w:bCs/>
                <w:sz w:val="24"/>
                <w:szCs w:val="24"/>
              </w:rPr>
              <w:t xml:space="preserve"> {0300;0010} nurodytos vertės.</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Jei kompetentinga institucija nėra pateikusi papildomų nuosavų lėšų reikalavimų, nurodomas tik i punktas.</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sudarytina iš CET1 kapitalo</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Papildomų nuosavų lėšų reikalavimų koeficiento, nurodyto 0420 eilutės ii punkte, dalis, kuri, kompetentingos institucijos reikalavimu, laikytina CET1 kapitalo forma.</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Įstaigos šią vertę apskaičiuoja padalindamos {0360;0010} laukelyje nurodytą vertę iš</w:t>
            </w:r>
            <w:r>
              <w:rPr>
                <w:rFonts w:ascii="Times New Roman" w:hAnsi="Times New Roman"/>
                <w:bCs/>
                <w:sz w:val="24"/>
                <w:szCs w:val="24"/>
              </w:rPr>
              <w:t xml:space="preserve"> {0300;0010} nurodytos vertės.</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Visas sverto koeficiento reikalavimas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92 straipsnio 1a dalis.</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Toliau nurodytų i ir ii punktų suma:</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0420 eilutėje nurodyto TSLRR;</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szCs w:val="24"/>
              </w:rPr>
              <w:t>G-SII sverto koeficiento rezervo pagal KRR 92 straipsnio 1a dalį, išreikšto kaip bendro sverto koeficiento pozicijos procentinė dalis.</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Įstaigos ii punktą apskaičiuoja padalindamos {0370;0010} laukelyje nurodytą vertę iš</w:t>
            </w:r>
            <w:r>
              <w:rPr>
                <w:rFonts w:ascii="Times New Roman" w:hAnsi="Times New Roman"/>
                <w:bCs/>
                <w:sz w:val="24"/>
                <w:szCs w:val="24"/>
              </w:rPr>
              <w:t xml:space="preserve"> {0300;0010} nurodytos vertės.</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 į ii punktą atsižvelgia tik nuo sverto koeficiento rezervo reikalavimo taikymo pagal KRR dienos.</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Jei G-SII nėra taikomas joks papildomas mokestis, nurodomas tik i punktas.</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Viso sverto koeficiento reikalavimo (OLRR) ir 2 ramsčio rekomendacijos (P2G) koeficientas</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KRD 104b straipsnis.</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Toliau nurodytų i ir ii punktų suma:</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0440 eilutėje nurodyto OLRR;</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papildomų nuosavų lėšų reikalavimo, skirto pernelyg didelio sverto rizikai mažinti ir nustatyto įstaigoms pagal KRD 104b straipsnį, apie kurį pranešė kompetentinga institucija, išreikšto kaip bendro sverto koeficiento pozicijos procentinė dalis.</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Įstaigos ii punktą apskaičiuoja padalindamos {0380;0010} laukelyje nurodytą vertę iš</w:t>
            </w:r>
            <w:r>
              <w:rPr>
                <w:rFonts w:ascii="Times New Roman" w:hAnsi="Times New Roman"/>
                <w:bCs/>
                <w:sz w:val="24"/>
                <w:szCs w:val="24"/>
              </w:rPr>
              <w:t xml:space="preserve"> {0300;0010} nurodytos vertės.</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Jei kompetentinga institucija nėra pateikusi P2G, nurodomas tik i punktas.</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ir P2G: sudarytina iš CET1 kapitalo</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Toliau nurodytų i ir ii punktų suma:</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papildomų nuosavų lėšų reikalavimų koeficiento, nurodyto 0430 eilutėje, dalis, kuri, kompetentingos institucijos reikalavimu, laikytina CET1 kapitalo forma;</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P2G koeficiento, nurodyto 0450 eilutės ii punkte, dalis, kuri, kaip pranešė kompetentinga institucija, laikytina CET 1 kapitalo forma.</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Įstaigos ii punktą apskaičiuoja padalindamos {0390;0010} laukelyje nurodytą vertę iš</w:t>
            </w:r>
            <w:r>
              <w:rPr>
                <w:rFonts w:ascii="Times New Roman" w:hAnsi="Times New Roman"/>
                <w:bCs/>
                <w:sz w:val="24"/>
                <w:szCs w:val="24"/>
              </w:rPr>
              <w:t xml:space="preserve"> {0300;0010} nurodytos vertės.</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Jei kompetentinga institucija nėra pateikusi P2G, nurodomas tik i punktas.</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ir P2G: sudarytina iš 1 lygio kapitalo</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Toliau nurodytų i, ii ir iii punktų suma:</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0420 eilutėje nurodyto bendro SREP sverto koeficiento reikalavimo;</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G-SII sverto koeficiento rezervo pagal KRR 92 straipsnio 1a dalį, išreikšto kaip bendro sverto koeficiento pozicijos procentinė dalis.</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P2G koeficiento, nurodyto 0450 eilutės ii punkte, dalis, kuri, kompetentingos institucijos reikalavimu, laikytina 1 lygio kapitalo forma.</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Įstaigos ii punktą apskaičiuoja padalindamos {0370;0010} laukelyje nurodytą vertę iš</w:t>
            </w:r>
            <w:r>
              <w:rPr>
                <w:rFonts w:ascii="Times New Roman" w:hAnsi="Times New Roman"/>
                <w:bCs/>
                <w:sz w:val="24"/>
                <w:szCs w:val="24"/>
              </w:rPr>
              <w:t xml:space="preserve"> {0300;0010} nurodytos vertės.</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Įstaigos iii punktą apskaičiuoja padalindamos {0400;0010} laukelyje nurodytą vertę iš</w:t>
            </w:r>
            <w:r>
              <w:rPr>
                <w:rFonts w:ascii="Times New Roman" w:hAnsi="Times New Roman"/>
                <w:bCs/>
                <w:sz w:val="24"/>
                <w:szCs w:val="24"/>
              </w:rPr>
              <w:t xml:space="preserve"> {0300;0010} nurodytos vertės.</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Jei G-SII nėra taikomas joks papildomas mokestis, nurodomi tik i ir iii punktai.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Jei kompetentinga institucija nėra pateikusi P2G, nurodomi tik i ir ii punktai.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Eilutė ir skiltis</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Papildomi straipsniai</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Sverto koeficientas, tarsi nebūtų taikomas 9-asis TFAS arba analogiškos tikėtinų kredito nuostolių pereinamojo laikotarpio nuostatos</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KRR 473a straipsnio 8 dalis.</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Įstaigos, kurios nusprendė taikyti KRR 473a straipsnyje nustatytas pereinamojo laikotarpio nuostatas, nurodo sverto koeficientą, kuris susidarytų, jeigu jos šio straipsnio netaikytų.</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Sverto koeficientas, tarsi nebūtų taikoma laikina tvarka, taikoma tikrąja verte vertinamam nerealizuotam pelnui ir nuostoliams pagal kitas bendrąsias pajamas</w:t>
            </w:r>
          </w:p>
          <w:p w14:paraId="22FC70A7" w14:textId="19E23C71"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KRR 468 straipsnio 5 dalis</w:t>
            </w:r>
            <w:r w:rsidR="002B5DF0">
              <w:rPr>
                <w:rFonts w:ascii="Times New Roman" w:hAnsi="Times New Roman"/>
                <w:color w:val="auto"/>
                <w:sz w:val="24"/>
                <w:szCs w:val="24"/>
              </w:rPr>
              <w:t>.</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Įstaigos, kurios nusprendė taikyti KRR 468 straipsnio 1 dalyje nustatytą laikiną tvarką, nurodo sverto koeficientą, kuris susidarytų, jeigu jos šio straipsnio netaikytų.</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9414286"/>
      <w:bookmarkStart w:id="54" w:name="_Toc423089071"/>
      <w:bookmarkStart w:id="55" w:name="_Toc58926664"/>
      <w:r>
        <w:rPr>
          <w:rFonts w:ascii="Times New Roman" w:hAnsi="Times New Roman"/>
          <w:b/>
          <w:sz w:val="24"/>
          <w:szCs w:val="24"/>
        </w:rPr>
        <w:t>4.</w:t>
      </w:r>
      <w:r>
        <w:tab/>
      </w:r>
      <w:bookmarkStart w:id="56" w:name="_Toc351048507"/>
      <w:r>
        <w:rPr>
          <w:rFonts w:ascii="Times New Roman" w:hAnsi="Times New Roman"/>
          <w:b/>
          <w:sz w:val="24"/>
          <w:szCs w:val="24"/>
        </w:rPr>
        <w:t>C 40.00. Alternatyvus pozicijų mato vertinimas</w:t>
      </w:r>
      <w:bookmarkEnd w:id="49"/>
      <w:bookmarkEnd w:id="53"/>
      <w:bookmarkEnd w:id="56"/>
      <w:r>
        <w:rPr>
          <w:rFonts w:ascii="Times New Roman" w:hAnsi="Times New Roman"/>
          <w:b/>
          <w:sz w:val="24"/>
          <w:szCs w:val="24"/>
        </w:rPr>
        <w:t xml:space="preserve"> (LR1)</w:t>
      </w:r>
      <w:bookmarkEnd w:id="54"/>
      <w:bookmarkEnd w:id="55"/>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Šioje ataskaitos dalyje renkami duomenys apie alternatyvų išvestinių finansinių priemonių, VPĮFS, nebalansinių straipsnių, viešojo sektoriaus investicijų, kurioms taikoma išimtis, ir skatinamųjų paskolų pozicijų, kurioms taikoma išimtis, vertinimą.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Apskaitines balansines vertes LR1 formoje įstaigos nustato remdamosi KRR 4 straipsnio 1 dalies 77 punkte nurodyta taikytina apskaitos sistema. Žodžių junginiu „apskaitinė vertė darant prielaidą, kad netaikoma užskaita arba kitas KRM būdas“ nurodoma, kad nustatant apskaitinę balansinę vertę neatsižvelgiama į užskaitos arba kito rizikos mažinimo būdo poveikį.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Įstaigos informaciją LR1 formoje nurodo taip, tarsi straipsniai su neigiamu ženklu LRCalc formoje (pavyzdžiui, išimtys ir (arba) atskaitymai), išskyrus {0270;0010} {0280;0010} eilutes, pagal šio priedo I dalies 9 punkte nurodytą ženklų tvarką nebūtų taikomi.</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40.00 formoje {r0410;c0010} laukelyje informaciją teikia:</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kas pusmetį didelės įstaigos, kurios yra G-SII arba yra išleidusios vertybinių popierių, kuriais leidžiama prekiauti reguliuojamoje rinkoje,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kas metus teikia didelės įstaigos, išskyrus G-SII, kurios nėra biržinės įstaigos,</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kas metus teikia kitos įstaigos, išskyrus dideles įstaigas ir mažas bei nesudėtingas įstaigas, kurios yra išleidusios vertybinių popierių, kuriais leidžiama prekiauti reguliuojamoje rinkoje.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Eilutė ir skiltis</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Nuorodos į teisės aktus ir nurodymai</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Išvestinės finansinės priemonės. Apskaitinė balansinė vertė</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Nurodoma {0020;010}, {0050;0010} ir {0060;0010} laukelių suma.</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Apskaitinė vertė darant prielaidą, kad netaikoma užskaita arba kitas KRM būdas</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Nurodoma {0020;0020}, {0050;0020} ir {0060;0020} laukelių suma.</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Išvestinės finansinės priemonės. Tariamoji suma</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Nurodoma {0020;0070}, {0050;0070} ir {0060;0070} laukelių suma.</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(parduotas užtikrinimas). Apskaitinė balansinė vertė</w:t>
            </w:r>
          </w:p>
          <w:p w14:paraId="5582CC49" w14:textId="77777777" w:rsidR="002B5DF0" w:rsidRDefault="006D6827" w:rsidP="003E3C45">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w:t>
            </w:r>
          </w:p>
          <w:p w14:paraId="0232A08C" w14:textId="0C0922A5"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Kredito išvestinių finansinių priemonių apskaitinė balansinė vertė pagal taikytiną apskaitos sistemą, kai įstaiga parduoda kredito užtikrinimą sandorio šaliai ir sutartis pripažįstama kaip į balansą įtrauktas turtas.</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Kredito išvestinės finansinės priemonės (parduotas užtikrinimas). Apskaitinė vertė darant prielaidą, kad netaikoma užskaita arba kitas KRM būdas</w:t>
            </w:r>
          </w:p>
          <w:p w14:paraId="3CC6CD63" w14:textId="77777777" w:rsidR="002B5DF0" w:rsidRDefault="006D6827" w:rsidP="003E3C45">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w:t>
            </w:r>
          </w:p>
          <w:p w14:paraId="379F5EE7" w14:textId="3210778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Kredito išvestinių finansinių priemonių apskaitinė balansinė vertė pagal taikytiną apskaitos sistemą, kai įstaiga parduoda kredito užtikrinimą sandorio šaliai ir sutartis pripažįstama kaip į balansą įtrauktas turtas, neatsižvelgiant į rizikos ribojimo ar apskaitinės užskaitos arba kito KRM būdo poveikį (t. y. panaikinamas bet koks apskaitinės užskaitos arba KRM poveikis apskaitinei vertei).</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(parduotas užtikrinimas). Tariamoji suma</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Nurodoma {0030;0070} ir {0040;0070} laukelių suma.</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(parduotas užtikrinimas). Apribota tariamoji suma</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tariamąją sumą, kuria grindžiamos kredito išvestinės finansinės priemonės (parduotu užtikrinimu), kaip {0020; 0070} laukelyje, sumažinta bet kokių neigiamų tikrosios vertės pokyčių suma, įtraukta į 1 lygio kapitalą pasirašytų kredito išvestinių finansinių priemonių atžvilgiu.</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(parduotas užtikrinimas), kurioms taikoma sandorių užbaigimo nuostata. Tariamoji suma</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tariamąją sumą, kuria grindžiamos kredito išvestinės finansinės priemonės, kai įstaiga parduoda kredito užtikrinimą sandorio šaliai, kuriai taikoma sandorių užbaigimo nuostata.</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Sandorių užbaigimo nuostata apibrėžiama kaip nuostata, kuria įsipareigojimų neįvykdymo atveju, įskaitant kitos sandorio šalies bankrotą ar nemokumą, </w:t>
            </w:r>
            <w:r>
              <w:rPr>
                <w:rFonts w:ascii="Times New Roman" w:hAnsi="Times New Roman"/>
                <w:bCs/>
                <w:sz w:val="24"/>
                <w:szCs w:val="24"/>
              </w:rPr>
              <w:lastRenderedPageBreak/>
              <w:t>įsipareigojimų nepažeidžiančiai šaliai suteikiama teisė nutraukti ir laiku užbaigti visus pagal susitarimą numatytus sandorius.</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atsižvelgia į visas kredito išvestines finansines priemones, ne vien į tas, kurios priskirtos prekybos knygai.</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(parduotas užtikrinimas), kurioms netaikoma sandorių užbaigimo nuostata. Tariamoji suma</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Įstaigos nurodo tariamąją sumą, kuria grindžiamos kredito išvestinės finansinės priemonės, kai įstaiga parduoda kredito užtikrinimą sandorio šaliai, kuriai netaikoma sandorių užbaigimo nuostata.</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Sandorių užbaigimo nuostata apibrėžiama kaip nuostata, kuria įsipareigojimų neįvykdymo atveju, įskaitant kitos sandorio šalies bankrotą ar nemokumą, įsipareigojimų nepažeidžiančiai šaliai suteikiama teisė nutraukti ir laiku užbaigti visus pagal susitarimą numatytus sandorius.</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atsižvelgia į visas kredito išvestines finansines priemones, ne vien į tas, kurios priskirtos prekybos knygai.</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(įsigytas užtikrinimas). Apskaitinė balansinė vertė</w:t>
            </w:r>
          </w:p>
          <w:p w14:paraId="0969DBD5" w14:textId="77777777" w:rsidR="002B5DF0"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w:t>
            </w:r>
          </w:p>
          <w:p w14:paraId="253831D8" w14:textId="0752AAA9"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Kredito išvestinių finansinių priemonių apskaitinė balansinė vertė pagal taikytiną apskaitos sistemą, kai įstaiga įsigyja kredito užtikrinimą iš sandorio šalies, o sutartis pripažįstama kaip į balansą įtrauktas turtas.</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atsižvelgia į visas kredito išvestines finansines priemones, ne vien į tas, kurios priskirtos prekybos knygai.</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(įsigytas užtikrinimas). Apskaitinė vertė darant prielaidą, kad netaikoma užskaita arba kitas KRM būdas</w:t>
            </w:r>
          </w:p>
          <w:p w14:paraId="3E5FB87F" w14:textId="77777777" w:rsidR="002B5DF0"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w:t>
            </w:r>
          </w:p>
          <w:p w14:paraId="269D2982" w14:textId="375476D6"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Kredito išvestinių finansinių priemonių apskaitinė balansinė vertė pagal taikytiną apskaitos sistemą, kai įstaiga įsigyja kredito užtikrinimą iš sandorio šalies, o sutartis pripažįstama kaip į balansą įtrauktas turtas, neatsižvelgiant į apskaitinės užskaitos arba kito KRM būdo poveikį (t. y. panaikinamas bet koks apskaitinės užskaitos arba KRM poveikis apskaitinei vertei).</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atsižvelgia į visas kredito išvestines finansines priemones, ne vien į tas, kurios priskirtos prekybos knygai.</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Kredito išvestinės finansinės priemonės (įsigytas užtikrinimas). Tariamoji suma</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Įstaigos nurodo tariamąją sumą, kuria grindžiamos kredito išvestinės finansinės priemonės, kai įstaiga įsigyja kredito užtikrinimą iš sandorio šalies.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atsižvelgia į visas kredito išvestines finansines priemones, ne vien į tas, kurios priskirtos prekybos knygai.</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(įsigytas užtikrinimas). Apribota tariamoji suma</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nurodo tariamąją sumą, kuria grindžiamos kredito išvestinės finansinės priemonės (įsigytu užtikrinimu), kaip {0050;0070} laukelyje, sumažintą bet kokių teigiamų tikrosios vertės pokyčių suma, įtraukta į 1 lygio kapitalą įsigytų kredito išvestinių finansinių priemonių atžvilgiu.</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išvestinės finansinės priemonės (įsigytas užtikrinimas). Apribota tariamoji suma (tie patys referenciniai pavadinimai)</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Įstaigos nurodo tariamąją sumą, kuria grindžiamos kredito išvestinės finansinės priemonės, kai įstaiga įsigyja kredito užtikrinimą tuo pačiu susijusiu referenciniu pavadinimu, kaip tos kredito išvestinės finansinės priemonės, kurias yra pasirašiusi informaciją teikianti įstaiga.</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Nurodant šio laukelio vertę susiję referenciniai pavadinimai laikomi tapačiais, jei jais nurodomas tas pats juridinis asmuo ir tas pats prioritetas.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Referencinių subjektų grupės atžvilgiu įsigytas kredito užtikrinimas laikomas tapačiu, jei jis yra ekonomiškai lygiavertis užtikrinimui, įsigyjamam kiekvieno atskiro grupės subjekto atžvilgiu.</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Jei įstaiga įsigyja kredito užtikrinimą referencinių pavadinimų grupės atžvilgiu, šis kredito užtikrinimas laikomas tapačiu, tik jei įsigytas kredito užtikrinimas apima visus grupės, kurios pavadinimu parduotas kredito užtikrinimas, pogrupius. Kitaip tariant, tarpusavio užskaitymas gali būti pripažįstamas, tik jei sutampa abiejų sandorių referencinių subjektų grupė ir subordinacijos lygis.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Su kiekvienu referenciniu pavadinimu susijusios įsigyto kredito užtikrinimo tariamosios sumos, kurios nurodomos šiame laukelyje, negali viršyti {0020;0075} ir {0050;0075} laukeliuose nurodytų sumų.</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Išvestinės finansinės priemonės. Apskaitinė balansinė vertė</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KRR 4 straipsnio 1 dalies 77 punktas.</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KRR II priede išvardytų sutarčių apskaitinę balansinę vertę pagal taikytiną apskaitos sistemą, kai sutartys pripažįstamos kaip į balansą įtrauktas turtas.</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Išvestinės finansinės priemonės. Apskaitinė vertė darant prielaidą, kad netaikoma užskaita arba kitas KRM būdas</w:t>
            </w:r>
          </w:p>
          <w:p w14:paraId="658CC2EB" w14:textId="77777777" w:rsidR="002B5DF0" w:rsidRDefault="006D6827" w:rsidP="00474B43">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w:t>
            </w:r>
          </w:p>
          <w:p w14:paraId="00EB79C6" w14:textId="28266F68"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KRR II priede išvardytų sutarčių apskaitinė balansinė vertė pagal taikytiną apskaitos sistemą, kai sutartys pripažįstamos kaip į balansą įtrauktas turtas, neatsižvelgiant į apskaitinės užskaitos arba kito KRM būdo poveikį (t. y. panaikinamas bet koks apskaitinės užskaitos arba KRM poveikis apskaitinei vertei).</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Išvestinės finansinės priemonės. Tariamoji suma</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Šiame laukelyje pateikiama tariamoji suma, kuria grindžiamos sutartys, išvardytos KRR II priede.</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Vertybinių popierių įsigijimo finansavimo sandoriai. Apskaitinė balansinė vertė</w:t>
            </w:r>
          </w:p>
          <w:p w14:paraId="73E09D49" w14:textId="77777777" w:rsidR="002B5DF0"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w:t>
            </w:r>
          </w:p>
          <w:p w14:paraId="0D6AB751" w14:textId="38140A6C"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VPĮFS apskaitinė balansinė vertė pagal taikytiną apskaitos sistemą, kai sutartys pripažįstamos kaip į balansą įtrauktas turtas.</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 šį laukelį įstaigos neįtraukia gautų pinigų arba garantijų, pateiktų sandorio šaliai pagal pirmiau minėtus sandorius ir nurodytų balanse (t. y. neįvykdyti pripažinimo nutraukimo apskaitos kriterijai). Šiuos duomenis įstaigos įtraukia į {0090,0010} laukelį.</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Vertybinių popierių įsigijimo finansavimo sandoriai. Apskaitinė vertė darant prielaidą, kad netaikoma užskaita arba kitas KRM būdas</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Apskaitinė balansinė vertė pagal taikytiną apskaitos sistemą, kai sutartys pripažįstamos kaip į balansą įtrauktas turtas, neatsižvelgiant į apskaitinės užskaitos arba kito KRM būdo poveikį (t. y. panaikinamas bet koks apskaitinės užskaitos arba KRM poveikis apskaitinei vertei).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Jeigu VPĮFS pagal taikytiną apskaitos sistemą apskaitoje tvarkomi kaip pardavimas, įstaigos panaikina visus su pardavimu susijusius apskaitos įrašus.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 šį laukelį įstaigos neįtraukia gautų pinigų arba garantijų, pateiktų sandorio šaliai pagal pirmiau minėtus sandorius ir nurodytų balanse (t. y. neįvykdyti pripažinimo nutraukimo apskaitos kriterijai). Šiuos duomenis įstaigos įtraukia į {0090,0020} laukelį.</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Kitas turtas. Apskaitinė balansinė vertė</w:t>
            </w:r>
          </w:p>
          <w:p w14:paraId="6D8A3D90" w14:textId="77777777" w:rsidR="002B5DF0" w:rsidRDefault="0084728D" w:rsidP="00474B43">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w:t>
            </w:r>
          </w:p>
          <w:p w14:paraId="6BEE30BB" w14:textId="18D2E43A"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Viso turto, išskyrus KRR II priede išvardytas sutartis, kredito išvestines finansines priemones ir VPĮFS, apskaitinė balansinė vertė pagal taikytiną apskaitos sistemą.</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Kitas turtas. Apskaitinė vertė darant prielaidą, kad netaikoma užskaita arba kitas KRM būdas</w:t>
            </w:r>
          </w:p>
          <w:p w14:paraId="12179C46" w14:textId="77777777" w:rsidR="002B5DF0" w:rsidRDefault="00E20CD8" w:rsidP="00474B43">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KRR 4 straipsnio 1 dalies 77 punktas. </w:t>
            </w:r>
          </w:p>
          <w:p w14:paraId="398E7EA3" w14:textId="66E59F28"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Viso turto, išskyrus KRR II priede išvardytas sutartis, kredito išvestines finansines priemones ir VPĮFS, apskaitinė balansinė vertė pagal taikytiną apskaitos sistemą, neatsižvelgiant į apskaitinės užskaitos arba kito KRM būdo poveikį (t. y. panaikinamas bet koks apskaitinės užskaitos arba KRM poveikis apskaitinei vertei).</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Nebalansiniai straipsniai</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nebalansinių straipsnių nominaliąją vertę. Ši vertė nesumažinama specifinės kredito rizikos koregavimais.</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Pagal KRR 429f straipsnio 1 dalį, šiame laukelyje įstaigos nenurodo KRR II priede išvardytų sutarčių, kredito išvestinių finansinių priemonių ir VPĮFS.</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Pagal išvestinių finansinių priemonių sandorius gautos piniginės užtikrinimo priemonės. Apskaitinė vertė darant prielaidą, kad netaikoma užskaita arba kitas KRM būdas</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Pagal išvestinių finansinių priemonių sandorius gautų piniginių užtikrinimo priemonių apskaitinė balansinė vertė pagal taikytiną apskaitos sistemą, neatsižvelgiant į apskaitinės užskaitos arba kito KRM būdo poveikį (t. y. panaikinamas bet koks apskaitinės užskaitos arba KRM poveikis apskaitinei vertei).</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Šiame laukelyje nurodomi grynieji pinigai – visa grynųjų pinigų, įskaitant monetas ir banknotus atitinkama valiuta, suma. Įtraukiama visa indėlių centriniuose bankuose suma, kurią susidarius nepalankiausioms sąlygoms galima atsiimti. Šiame laukelyje įstaigos nenurodo kitose įstaigose laikomų indėlių grynaisiais pinigais.</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Sumos, gautinos už pinigines užtikrinimo priemones, suteiktas pagal išvestinių finansinių priemonių sandorius. Apskaitinė vertė darant prielaidą, kad netaikoma užskaita arba kitas KRM būdas</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Sumų, gautinų už pinigines užtikrinimo priemones, suteiktas pagal išvestinių finansinių priemonių sandorius, apskaitinė balansinė vertė pagal taikytiną apskaitos sistemą, neatsižvelgiant į apskaitinės užskaitos arba kito KRM būdo poveikį (t. y. panaikinamas bet koks apskaitinės užskaitos arba KRM poveikis apskaitinei vertei).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Įstaigos, kurioms pagal taikytiną apskaitos sistemą leidžiama atskaityti sumas, gautinas už suteiktas pinigines užtikrinimo priemones, iš susijusių išvestinių finansinių priemonių įsipareigojimų (neigiama tikroji vertė) ir kurios nutaria tai daryti, atlieka atvirkštinę užskaitą ir nurodo grynąsias gautinas grynųjų pinigų sumas.</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Pagal VPĮFS gauti vertybiniai popieriai, pripažinti kaip turtas. Apskaitinė vertė darant prielaidą, kad netaikoma užskaita arba kitas KRM būdas</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Pagal VPĮFS gautų vertybinių popierių, pripažintų kaip turtas, apskaitinė balansinė vertė pagal taikytiną apskaitos sistemą, neatsižvelgiant į apskaitinės užskaitos arba kito KRM būdo poveikį (t. y. panaikinamas bet koks apskaitinės užskaitos arba KRM poveikis apskaitinei vertei).</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Tarpininkaujamasis grynųjų pinigų skolinimas pagal VPĮFS (gautinos grynųjų pinigų sumos). Apskaitinė vertė darant prielaidą, kad netaikoma užskaita arba kitas KRM būdas</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 xml:space="preserve">Pagal reikalavimus atitinkantį tarpininkaujamąjį grynųjų pinigų skolinimo sandorį (angl. </w:t>
            </w:r>
            <w:r>
              <w:rPr>
                <w:rFonts w:ascii="Times New Roman" w:hAnsi="Times New Roman"/>
                <w:i/>
                <w:iCs/>
                <w:sz w:val="24"/>
                <w:szCs w:val="24"/>
              </w:rPr>
              <w:t>cash conduit lending</w:t>
            </w:r>
            <w:r>
              <w:rPr>
                <w:rFonts w:ascii="Times New Roman" w:hAnsi="Times New Roman"/>
                <w:sz w:val="24"/>
                <w:szCs w:val="24"/>
              </w:rPr>
              <w:t>, CCLT) už vertybinių popierių savininkui perskolintus grynuosius pinigus gautinų grynųjų pinigų apskaitinė balansinė vertė pagal taikytiną apskaitos sistemą, neatsižvelgiant į apskaitinės užskaitos arba kito KRM būdo poveikį (t. y. panaikinamas bet koks apskaitinės užskaitos arba KRM poveikis apskaitinei vertei).</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Šiame laukelyje nurodomi grynieji pinigai – visa grynųjų pinigų, įskaitant monetas ir banknotus atitinkama valiuta, suma. Įtraukiama visa indėlių centriniuose bankuose suma, kurią susidarius nepalankiausioms sąlygoms galima atsiimti. Šiame laukelyje įstaigos nenurodo kitose įstaigose laikomų indėlių grynaisiais pinigais.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CCLT – dviejų sandorių derinys, kai įstaiga pasiskolina vertybinių popierių iš jų savininkų ir juos perskolina vertybinių popierių gavėjui. Kartu įstaiga iš vertybinių popierių gavėjo gauna piniginę užtikrinimo priemonę ir gautus pinigus perskolina vertybinių popierių savininkui. Reikalavimus atitinkantis CCLT atitinka visas šias sąlygas: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abu atskiri sandoriai, apimantys reikalavimus atitinkantį CCLT, įvykdomi tą pačią prekybos dieną, o tarptautiniai sandoriai – artimiausiomis darbo dienomis;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kai CCLT sudarančiuose sandoriuose terminas nenurodytas, įstaiga turi teisės aktais užtikrintą teisę bet kuriuo metu be išankstinio pranešimo uždaryti bet kurią CCLT sandorio pusę, t. y. abu jį sudarančius sandorius;</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 xml:space="preserve">kai CCLT sudarančiuose sandoriuose terminas nurodytas, dėl šio sandorio neatsiranda įstaigos terminų nesutapimų; įstaiga turi teisės aktais užtikrintą teisę bet kuriuo metu be išankstinio pranešimo </w:t>
            </w:r>
            <w:r>
              <w:rPr>
                <w:rFonts w:ascii="Times New Roman" w:hAnsi="Times New Roman"/>
                <w:color w:val="000000"/>
                <w:sz w:val="24"/>
                <w:szCs w:val="24"/>
              </w:rPr>
              <w:lastRenderedPageBreak/>
              <w:t>uždaryti bet kurią CCLT sandorio pusę, t. y. abu jį sudarančius sandorius;</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dėl jo neatsiranda jokių kitų papildomų pozicijų.</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0"/>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Viešojo sektoriaus investicijos. Reikalavimai centrinei valdžiai. Apskaitinė balansinė vertė</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Jeigu įstaiga yra viešosios plėtros kredito įstaiga – turto, kurį sudaro su viešojo sektoriaus investicijomis susiję reikalavimai centrinei valdžiai, apskaitinė balansinė vertė pagal taikytiną apskaitos sistemą.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apskaitines balansines vertes.</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Viešojo sektoriaus investicijos. Reikalavimai regioninei valdžiai. Apskaitinė balansinė vertė</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Jeigu įstaiga yra viešosios plėtros kredito įstaiga – turto, kurį sudaro su viešojo sektoriaus investicijomis susiję reikalavimai regioninei valdžiai, apskaitinė balansinė vertė pagal taikytiną apskaitos sistemą.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apskaitines balansines vertes.</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Viešojo sektoriaus investicijos. Reikalavimai vietos valdžiai. Apskaitinė balansinė vertė</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turto, kurį sudaro su viešojo sektoriaus investicijomis susiję reikalavimai vietos valdžios institucijoms, apskaitinė balansinė vertė pagal taikytiną apskaitos sistemą.</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apskaitines balansines vertes.</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Viešojo sektoriaus investicijos. Reikalavimai viešojo sektoriaus subjektams. Apskaitinė balansinė vertė</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turto, kurį sudaro su viešojo sektoriaus investicijomis susiję reikalavimai viešojo sektoriaus subjektams, apskaitinė balansinė vertė pagal taikytiną apskaitos sistemą.</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apskaitines balansines vertes.</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Skatinamosios paskolos. Reikalavimai centrinei valdžiai. Apskaitinė balansinė vertė</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Jeigu įstaiga yra viešosios plėtros kredito įstaiga – turto, kurį sudaro su skatinamosiomis paskolomis susiję reikalavimai centrinei valdžiai, apskaitinė balansinė vertė pagal taikytiną apskaitos sistemą.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apskaitines balansines vertes.</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Skatinamosios paskolos. Reikalavimai centrinei valdžiai. Tariamoji suma / nominalioji vertė</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nebalansinių straipsnių nominalioji suma, susijusi su centrinei valdžiai suteiktų skatinamųjų paskolų nepanaudota dalimi.</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nominaliąsias sumas.</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Skatinamosios paskolos. Reikalavimai regioninei valdžiai. Apskaitinė balansinė vertė</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turto, kurį sudaro su skatinamosiomis paskolomis susiję reikalavimai regioninei valdžiai, apskaitinė balansinė vertė pagal taikytiną apskaitos sistemą.</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apskaitines balansines vertes.</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Skatinamosios paskolos. Reikalavimai regioninei valdžiai. Tariamoji suma / nominalioji vertė</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nebalansinių straipsnių nominalioji suma, susijusi su regioninei valdžiai suteiktų skatinamųjų paskolų nepanaudota dalimi.</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nominaliąsias sumas.</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Skatinamosios paskolos. Reikalavimai vietos valdžiai. Apskaitinė balansinė vertė</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turto, kurį sudaro su skatinamosiomis paskolomis susiję reikalavimai vietos valdžios institucijoms, apskaitinė balansinė vertė pagal taikytiną apskaitos sistemą.</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lastRenderedPageBreak/>
              <w:t>Taip pat atsižvelgiama į įstaigos, kurią kompetentinga institucija pagal KRR 429a straipsnio 2 dalies paskutinę pastraipą laiko viešosios plėtros kredito įstaiga, skyriaus apskaitines balansines vertes.</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Skatinamosios paskolos. Reikalavimai vietos valdžiai. Tariamoji suma / nominalioji vertė</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nebalansinių straipsnių nominalioji suma, susijusi su vietos valdžios institucijoms suteiktų skatinamųjų paskolų nepanaudota dalimi.</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nominaliąsias sumas.</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Skatinamosios paskolos. Reikalavimai viešojo sektoriaus subjektams. Apskaitinė balansinė vertė</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turto, kurį sudaro su skatinamosiomis paskolomis susiję reikalavimai viešojo sektoriaus subjektams, apskaitinė balansinė vertė pagal taikytiną apskaitos sistemą.</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apskaitines balansines vertes.</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Skatinamosios paskolos. Reikalavimai viešojo sektoriaus subjektams. Tariamoji suma / nominalioji vertė</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nebalansinių straipsnių nominalioji suma, susijusi su viešojo sektoriaus subjektams suteiktų skatinamųjų paskolų nepanaudota dalimi.</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nominaliąsias sumas.</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Skatinamosios paskolos. Reikalavimai ne finansų bendrovėms. Apskaitinė balansinė vertė</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turto, kurį sudaro su skatinamosiomis paskolomis susiję reikalavimai ne finansų bendrovėms, apskaitinė balansinė vertė pagal taikytiną apskaitos sistemą.</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apskaitines balansines vertes.</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lastRenderedPageBreak/>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Skatinamosios paskolos. Reikalavimai ne finansų bendrovėms. Tariamoji suma / nominalioji vertė</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nebalansinių straipsnių nominalioji suma, susijusi su ne finansų bendrovėms suteiktų skatinamųjų paskolų nepanaudota dalimi.</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nominaliąsias sumas.</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Skatinamosios paskolos. Reikalavimai namų ūkiams. Apskaitinė balansinė vertė</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turto, kurį sudaro su skatinamosiomis paskolomis susiję reikalavimai namų ūkiams, apskaitinė balansinė vertė pagal taikytiną apskaitos sistemą.</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apskaitines balansines vertes.</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Skatinamosios paskolos. Reikalavimai namų ūkiams. Tariamoji suma / nominalioji vertė</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Jeigu įstaiga yra viešosios plėtros kredito įstaiga – nebalansinių straipsnių nominalioji suma, susijusi su namų ūkiams suteiktų skatinamųjų paskolų nepanaudota dalimi.</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nominaliąsias sumas.</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Skatinamosios paskolos. Perleidžiamasis finansavimas. Apskaitinė balansinė vertė</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Jeigu įstaiga yra viešosios plėtros kredito įstaiga – perleidžiamųjų skatinamųjų paskolų apskaitinė balansinė vertė pagal taikytiną apskaitos sistemą, jei skatinamąsias paskolas suteikė ne pati įstaiga.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Taip pat atsižvelgiama į įstaigos, kurią kompetentinga institucija pagal KRR 429a straipsnio 2 dalies paskutinę pastraipą laiko viešosios plėtros kredito įstaiga, skyriaus apskaitines balansines vertes.</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Skatinamosios paskolos. Perleidžiamasis finansavimas. Tariamoji suma / nominalioji vertė</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Jeigu įstaiga yra viešosios plėtros kredito įstaiga – nebalansinių straipsnių nominalioji suma, susijusi su perleidžiamųjų skatinamųjų paskolų nepanaudota dalimi, jei skatinamąsias paskolas suteikė ne pati įstaiga.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Taip pat atsižvelgiama į įstaigos, kurią kompetentinga institucija pagal KRR 429a straipsnio 2 dalies paskutinę pastraipą laiko viešosios plėtros kredito įstaiga, skyriaus nominaliąsias sumas.</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Centrinio banko pozicijos. Apskaitinė balansinė vertė</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Įstaigos pagal taikytiną apskaitos sistemą nurodo šių įstaigos centrinio banko pozicijų vertę: i) monetų ir banknotų, kurie yra teisėta valiuta pagal centrinio banko jurisdikciją; ii) turto, kurį sudaro reikalavimai centriniam bankui, įskaitant centriniame banke saugomus rezervus.</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Įstaigos įtraukia tik tas pozicijas, kurios atitinka abi šias sąlygas: a) jos yra išreikštos ta pačia valiuta kaip ir įstaigos prisiimti indėliai; b) jų vidutinis terminas pastebimai neviršija įstaigos prisiimtų indėlių vidutinio termino.</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szCs w:val="24"/>
              </w:rPr>
              <w:t>Įstaigos nurodo šias pozicijas nepriklausomai nuo to, ar joms taikoma išimtis dėl į bendro pozicijų matą neįtraukiamų pozicijų pagal KRR 429a straipsnio 5 ir 6 dalis.</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Centrinio banko pozicijų vertė, naudojama apskaičiuojant pakoreguoto sverto koeficiento reikalavimą, nurodytą KRR 429a straipsnio 7 dalyje. Sverto koeficiento pozicijos suma</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Įstaigos pozicijų jos centrinio banko atžvilgiu, kurios gali būti neįtrauktos pagal KRR 429a straipsnio 1 dalies n punktą, bendros vertės dienos vidurkis, apskaičiuotas per visą centrinio banko atsargų laikymo laikotarpį, einantį prieš pat KRR 429a straipsnio 1 dalies c punkte nurodytą datą.</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Sverto koeficiento pozicijų matas, naudojamas apskaičiuojant pakoreguoto sverto koeficiento reikalavimą, nurodytą KRR 429a straipsnio 7 dalyje. Sverto koeficiento pozicijos suma</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Įstaigos bendras pozicijų matas, kaip apibrėžta KRR 429 straipsnio 4 dalyje, įskaitant visas pozicijas, kurios neįtrauktos pagal KRR 429 straipsnio 1 dalies n punktą, KRR 429a straipsnio 5 dalies c punkte nurodytą datą.</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Visas turtas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Šiame straipsnyje įstaigos nurodo visą turtą pagal paskelbtose finansinėse ataskaitose naudotą taikymo sritį.</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58926665"/>
      <w:bookmarkEnd w:id="57"/>
      <w:bookmarkEnd w:id="65"/>
      <w:bookmarkEnd w:id="66"/>
      <w:bookmarkEnd w:id="67"/>
      <w:r>
        <w:rPr>
          <w:rFonts w:ascii="Times New Roman" w:hAnsi="Times New Roman"/>
          <w:b/>
          <w:sz w:val="24"/>
          <w:szCs w:val="24"/>
        </w:rPr>
        <w:t>5.</w:t>
      </w:r>
      <w:r>
        <w:tab/>
      </w:r>
      <w:r>
        <w:rPr>
          <w:rFonts w:ascii="Times New Roman" w:hAnsi="Times New Roman"/>
          <w:b/>
          <w:sz w:val="24"/>
          <w:szCs w:val="24"/>
        </w:rPr>
        <w:t>C 43.00. Alternatyvus sverto koeficiento pozicijų mato sudedamųjų dalių suskirstymas</w:t>
      </w:r>
      <w:bookmarkEnd w:id="68"/>
      <w:bookmarkEnd w:id="69"/>
      <w:bookmarkEnd w:id="70"/>
      <w:r>
        <w:rPr>
          <w:rFonts w:ascii="Times New Roman" w:hAnsi="Times New Roman"/>
          <w:b/>
          <w:sz w:val="24"/>
          <w:szCs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Įstaigos nurodo sverto koeficiento pozicijų vertes LR4 formoje, atitinkamai pritaikiusios išimtis ir atskaitymus LRCalc formoje, t. y. straipsnius su neigiamu ženklu pagal šio priedo I dalies 9 punkte nurodytą ženklų tvarką, išskyrus {0270;0010} {0280;0010} eilutes.</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25.</w:t>
      </w:r>
      <w:r>
        <w:tab/>
      </w:r>
      <w:r>
        <w:rPr>
          <w:rFonts w:ascii="Times New Roman" w:hAnsi="Times New Roman"/>
          <w:sz w:val="24"/>
          <w:szCs w:val="24"/>
        </w:rPr>
        <w:t>Siekdamos išvengti dvigubo skaičiavimo, įstaigos išlaiko tokią lygybę:</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LRCalc formoje visų eilučių nuo {0010;0010}</w:t>
      </w:r>
      <w:r>
        <w:rPr>
          <w:rFonts w:ascii="Times New Roman" w:hAnsi="Times New Roman"/>
          <w:bCs/>
          <w:sz w:val="24"/>
          <w:szCs w:val="24"/>
        </w:rPr>
        <w:t xml:space="preserve"> iki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suma yra lygi</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Siekiant nuoseklumo su sverto koeficiento pozicijų vertėmis, pagal riziką įvertintų pozicijų sumos taip pat nurodomos taikant visiškai įdiegtą apibrėžtį.</w:t>
      </w:r>
    </w:p>
    <w:p w14:paraId="794DC095" w14:textId="09C4CD59"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27. Įstaigos nurodo sandorio šalies pagal riziką įvertintų pozicijų sumą (RWEA) pritaikius kredito rizikos mažinimo (KRM) metodus atsižvelgus į jų pakeitimo poveikį. Įstaigos nurodo sandorio šalies sverto koeficiento pozicijų vertes, apskaičiuotas pagal pradinės pozicijos metodą, t. y. neatsižvelgiant į RWEA atžvilgiu taikyt</w:t>
      </w:r>
      <w:r w:rsidR="006C2F56">
        <w:rPr>
          <w:rFonts w:ascii="Times New Roman" w:hAnsi="Times New Roman"/>
          <w:sz w:val="24"/>
          <w:szCs w:val="24"/>
        </w:rPr>
        <w:t>us KRM ar jų pakeitimo poveikį.</w:t>
      </w:r>
      <w:r>
        <w:rPr>
          <w:rFonts w:ascii="Times New Roman" w:hAnsi="Times New Roman"/>
          <w:sz w:val="24"/>
          <w:szCs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Eilutė ir skiltis</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Nuorodos į teisės aktus ir nurodymai</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Nebalansiniai straipsniai. Sverto koeficiento pozicijos vertė</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Sverto koeficiento pozicijos vertė, apskaičiuota kaip {LRCalc;0150;0010}, {LRCalc;0160;0010}, {LRCalc;0170;0010} ir {LRCalc;0180;0010} suma, išskyrus atitinkamas grupės vidaus pozicijas (individualiu pagrindu), kurioms taikoma išimtis pagal KRR 429a straipsnio 1 dalies c punktą.</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Nebalansiniai straipsniai. RWEA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Nebalansinių straipsnių – išskyrus VPĮFS ir išvestines finansines priemones – pagal riziką įvertintų pozicijų suma taikant standartizuotą metodą ir IRB metodą. </w:t>
            </w:r>
            <w:r>
              <w:rPr>
                <w:rFonts w:ascii="Times New Roman" w:hAnsi="Times New Roman"/>
                <w:sz w:val="24"/>
                <w:szCs w:val="24"/>
              </w:rPr>
              <w:t>Teikdamos informaciją apie pozicijas, kurioms taikomas standartizuotas metodas, įstaigos pagal riziką įvertintų pozicijų sumą nustato pagal KRR trečios dalies II antraštinės dalies 2 skyrių.</w:t>
            </w:r>
            <w:r>
              <w:rPr>
                <w:rFonts w:ascii="Times New Roman" w:hAnsi="Times New Roman"/>
                <w:bCs/>
                <w:sz w:val="24"/>
                <w:szCs w:val="24"/>
              </w:rPr>
              <w:t xml:space="preserve"> </w:t>
            </w:r>
            <w:r>
              <w:rPr>
                <w:rFonts w:ascii="Times New Roman" w:hAnsi="Times New Roman"/>
                <w:sz w:val="24"/>
                <w:szCs w:val="24"/>
              </w:rPr>
              <w:t>Teikdamos informaciją apie pozicijas, kurioms taikomas IRB metodas, įstaigos pagal riziką įvertintų pozicijų sumą nustato pagal KRR trečios dalies II antraštinės dalies 3 skyrių.</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Pr>
                <w:rFonts w:ascii="Times New Roman" w:hAnsi="Times New Roman"/>
                <w:b/>
                <w:sz w:val="24"/>
                <w:szCs w:val="24"/>
              </w:rPr>
              <w:t>prekybos finansavimas. Sverto koeficiento pozicijos vertė</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Su prekybos finansavimu susijusių nebalansinių straipsnių sverto koeficiento pozicijos vertė.</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LR4 formoje nurodomi su prekybos finansavimu susiję nebalansiniai straipsniai turi būti susiję su išduotais ir patvirtintais trumpalaikiais ir savaime pasibaigiančiais importo ir eksporto akredityvais ir panašiais sandoriais.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prekybos finansavimas.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Su prekybos finansavimu susijusių nebalansinių straipsnių – išskyrus VPĮFS ir išvestines finansines priemones – pagal riziką įvertintų pozicijų vertė.</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LR4 formoje nurodomi su prekybos finansavimu susiję nebalansiniai straipsniai turi būti susiję su išduotais ir patvirtintais trumpalaikiais ir savaime pasibaigiančiais importo ir eksporto akredityvais ir panašiais sandoriais.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Pr>
                <w:rFonts w:ascii="Times New Roman" w:hAnsi="Times New Roman"/>
                <w:b/>
                <w:sz w:val="24"/>
                <w:szCs w:val="24"/>
              </w:rPr>
              <w:t>pagal oficialiai remiamo eksporto kredito draudimo sistemą. Sverto koeficiento pozicijos vertė</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Su prekybos finansavimu pagal oficialiai remiamo eksporto kredito draudimo sistemą susijusių nebalansinių straipsnių sverto koeficiento pozicijos vertė.</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pagal oficialiai remiamo eksporto kredito draudimo sistemą.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Su prekybos finansavimu pagal oficialiai remiamo eksporto kredito draudimo sistemą susijusių nebalansinių straipsnių – išskyrus VPĮFS ir išvestines finansines priemones – pagal riziką įvertintų pozicijų vertė.</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Išvestinės finansinės priemonės ir VPĮFS, kuriems taikomas kryžminės produktų užskaitos susitarimas. Sverto koeficiento pozicijos vertė</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Išvestinių finansinių priemonių ir VPĮFS sverto koeficiento pozicijos vertė, jei taikomas KRR 272 straipsnio 25 dalyje apibrėžtas kryžminės produktų užskaitos susitarimas.</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Išvestinės finansinės priemonės ir VPĮFS, kuriems taikomas kryžminės produktų užskaitos susitarimas. RWEA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Taikant KRR trečios dalies II antraštinę dalį apskaičiuotos išvestinių finansinių priemonių ir VPĮFS, įskaitant tuos, kurie yra nebalansiniai straipsniai, kredito ir sandorio šalies kredito rizikos pagal riziką įvertintų pozicijų sumos, jei taikomas KRR 272 straipsnio 25 dalyje apibrėžtas kryžminės produktų užskaitos susitarimas.</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Išvestinės finansinės priemonės, kurioms netaikomas kryžminės produktų užskaitos susitarimas. Sverto koeficiento pozicijos vertė</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Išvestinių finansinių priemonių sverto koeficiento pozicijos vertė, jei netaikomas KRR 272 straipsnio 25 dalyje apibrėžtas kryžminės produktų užskaitos susitarimas.</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Išvestinės finansinės priemonės, kurioms netaikomas kryžminės produktų užskaitos susitarimas. RWEA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Taikant KRR trečios dalies II antraštinę dalį apskaičiuotos išvestinių finansinių priemonių, įskaitant tas, kurios yra nebalansiniai straipsniai, kredito ir sandorio šalies kredito rizikos pagal riziką įvertintų pozicijų sumos, jei netaikomas KRR 272 straipsnio 25 dalyje apibrėžtas kryžminės produktų užskaitos susitarimas.</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VPĮFS, kuriems netaikomas kryžminės produktų užskaitos susitarimas. Sverto koeficiento pozicijos vertė</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VPĮFS pozicijų sverto koeficiento pozicijos vertė, jei netaikomas KRR 272 straipsnio 25 dalyje apibrėžtas kryžminės produktų užskaitos susitarimas.</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VPĮFS, kuriems netaikomas kryžminės produktų užskaitos susitarimas. RWEA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Taikant KRR trečios dalies II antraštinę dalį apskaičiuotos VPĮFS, įskaitant tuos, kurie yra nebalansiniai straipsniai, kredito ir sandorio šalies kredito rizikos pagal riziką įvertintų pozicijų sumos, jei netaikomas KRR 272 straipsnio 25 dalyje apibrėžtas kryžminės produktų užskaitos susitarimas.</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Pozicijų sumos, atsirandančios dėl papildomo kredito išvestinių finansinių priemonių vertinimo. Sverto koeficiento pozicijos vertė</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Šiame laukelyje nurodomas {LRCalc;0130;0010} ir {LRCalc;0140;0010} skirtumas, išskyrus atitinkamas grupės vidaus pozicijas (individualiu pagrindu), kurioms taikoma išimtis pagal KRR 429a straipsnio 1 dalies c punktą.</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lastRenderedPageBreak/>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Kitas į prekybos knygą įtrauktas turtas. Sverto koeficiento pozicijos vertė</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{LRCalc;0190;0010} laukelyje nurodytų straipsnių sverto koeficiento pozicijos vertė, išskyrus ne prekybos knygos straipsnius.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Kitas į prekybos knygą įtrauktas turtas. RWEA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Straipsnių, kuriems taikoma KRR trečios dalies IV antraštinė dalis, nuosavų lėšų reikalavimas, padaugintas iš 12,5.</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Padengtosios obligacijos. Sverto koeficiento pozicijos vertė. SA pozicijos</w:t>
            </w:r>
          </w:p>
          <w:p w14:paraId="7DABED3A" w14:textId="15FA279E"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KRR 129 straipsnyje nurodytos padengtų</w:t>
            </w:r>
            <w:r w:rsidR="006C51B9">
              <w:rPr>
                <w:rFonts w:ascii="Times New Roman" w:hAnsi="Times New Roman"/>
                <w:bCs/>
                <w:sz w:val="24"/>
                <w:szCs w:val="24"/>
              </w:rPr>
              <w:t>jų</w:t>
            </w:r>
            <w:r>
              <w:rPr>
                <w:rFonts w:ascii="Times New Roman" w:hAnsi="Times New Roman"/>
                <w:bCs/>
                <w:sz w:val="24"/>
                <w:szCs w:val="24"/>
              </w:rPr>
              <w:t xml:space="preserve"> obligacijų SA pozicijos, sverto koeficiento pozicijos vertė.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Padengtosios obligacijos. Sverto koeficiento pozicijos vertė. IRB pozicijos</w:t>
            </w:r>
          </w:p>
          <w:p w14:paraId="31EFC20D" w14:textId="71010EC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KRR 161 straipsnio 1 dalies d punkte nurodytos padengtų</w:t>
            </w:r>
            <w:r w:rsidR="006C51B9">
              <w:rPr>
                <w:rFonts w:ascii="Times New Roman" w:hAnsi="Times New Roman"/>
                <w:bCs/>
                <w:sz w:val="24"/>
                <w:szCs w:val="24"/>
              </w:rPr>
              <w:t>jų</w:t>
            </w:r>
            <w:r>
              <w:rPr>
                <w:rFonts w:ascii="Times New Roman" w:hAnsi="Times New Roman"/>
                <w:bCs/>
                <w:sz w:val="24"/>
                <w:szCs w:val="24"/>
              </w:rPr>
              <w:t xml:space="preserve"> obligacijų IRB pozicijos, sverto koeficiento pozicijos vertė.</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Padengtosios obligacijos. RWEA. SA pozicijos</w:t>
            </w:r>
          </w:p>
          <w:p w14:paraId="6C4B05A8" w14:textId="7427AB1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KRR 129 straipsnyje apibrėžtos padengtų</w:t>
            </w:r>
            <w:r w:rsidR="006C51B9">
              <w:rPr>
                <w:rFonts w:ascii="Times New Roman" w:hAnsi="Times New Roman"/>
                <w:bCs/>
                <w:sz w:val="24"/>
                <w:szCs w:val="24"/>
              </w:rPr>
              <w:t>jų</w:t>
            </w:r>
            <w:r>
              <w:rPr>
                <w:rFonts w:ascii="Times New Roman" w:hAnsi="Times New Roman"/>
                <w:bCs/>
                <w:sz w:val="24"/>
                <w:szCs w:val="24"/>
              </w:rPr>
              <w:t xml:space="preserve"> obligacijų SA pozicijos, pagal riziką įvertintų pozicijų suma.</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Padengtosios obligacijos. RWEA. IRB pozicijos</w:t>
            </w:r>
          </w:p>
          <w:p w14:paraId="466ABC6A" w14:textId="1AA7C1B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KRR 161 straipsnio 1 dalies d punkte apibrėžtos padengtų</w:t>
            </w:r>
            <w:r w:rsidR="006C51B9">
              <w:rPr>
                <w:rFonts w:ascii="Times New Roman" w:hAnsi="Times New Roman"/>
                <w:bCs/>
                <w:sz w:val="24"/>
                <w:szCs w:val="24"/>
              </w:rPr>
              <w:t>jų</w:t>
            </w:r>
            <w:r>
              <w:rPr>
                <w:rFonts w:ascii="Times New Roman" w:hAnsi="Times New Roman"/>
                <w:bCs/>
                <w:sz w:val="24"/>
                <w:szCs w:val="24"/>
              </w:rPr>
              <w:t xml:space="preserve"> obligacijų IRB pozicijos, pagal riziką įvertintų pozicijų suma.</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Pozicijos, vertinamos kaip centrinės valdžios pozicijos. Sverto koeficiento pozicijos vertė. SA pozicijos</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Nurodoma {0100,0010}–{0130,0010} laukelių suma.</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Įstaigos nurodo duomenis atskaičiusios neįvykdytas SA pozicijas.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Pozicijos, vertinamos kaip centrinės valdžios pozicijos. Sverto koeficiento pozicijos vertė. IRB pozicijos</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Nurodoma {0100,0020}–{0130,0020} laukelių suma.</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Pozicijos, vertinamos kaip centrinės valdžios pozicijos. RWEA. SA pozicijos</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Nurodoma {0100,0030}–{0130,0030} laukelių suma.</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Pozicijos, vertinamos kaip centrinės valdžios pozicijos. RWEA. IRB pozicijos</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Nurodoma {0100,0040}–{0130,0040} laukelių suma.</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Centrinės valdžios institucijos ir centriniai bankai. Sverto koeficiento pozicijos vertė. SA pozicijos</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KRR 114 straipsnyje nurodytų centrinės valdžios institucijų arba centrinių bankų SA pozicijos, sverto koeficiento pozicijos vertė.</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Centrinės valdžios institucijos ir centriniai bankai. Sverto koeficiento pozicijos vertė. IRB pozicijos</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KRR 147 straipsnio 2 dalies a punkte nurodytų centrinės valdžios institucijų arba centrinių bankų IRB pozicijos, sverto koeficiento pozicijos vertė.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Centrinės valdžios institucijos ir centriniai bankai. RWEA. SA pozicijos</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KRR 114 straipsnyje nurodytų centrinės valdžios institucijų arba centrinių bankų SA pozicijos, pagal riziką įvertintų pozicijų suma.</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Centrinės valdžios institucijos ir centriniai bankai. RWEA. IRB pozicijos</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KRR 147 straipsnio 2 dalies a punkte nurodytų centrinės valdžios institucijų arba centrinių bankų IRB pozicijos, pagal riziką įvertintų pozicijų suma.</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Įstaigos nurodo duomenis atskaičiusios neįvykdytas IRB pozicijas.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Regioninės ir vietos valdžios institucijos, vertinamos kaip centrinė valdžia. Sverto koeficiento pozicijos vertė. SA pozicijos</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115 straipsnio 2 ir 4 dalių taikymo sritį patenkančios kaip centrinė valdžia vertinamų regioninių ir vietos valdžios institucijų SA pozicijos, sverto koeficiento pozicijos vertė.</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Įstaigos nurodo duomenis atskaičiusios neįvykdytas SA pozicijas.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Regioninės ir vietos valdžios institucijos, vertinamos kaip centrinė valdžia. Sverto koeficiento pozicijos vertė. IRB pozicijos</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Turto, kuris yra į KRR 147 straipsnio 3 dalies a punkto taikymo sritį patenkančios regioninių ir vietos valdžios institucijų IRB pozicijos, sverto koeficiento pozicijos vertė.</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ir vietos valdžios institucijos, vertinamos kaip centrinė valdžia. RWEA. SA pozicijos</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115 straipsnio 2 ir 4 dalių taikymo sritį patenkančios kaip centrinė valdžia vertinamų regioninių ir vietos valdžios institucijų SA pozicijos, pagal riziką įvertintų pozicijų suma.</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ir vietos valdžios institucijos, vertinamos kaip centrinė valdžia. RWEA. IRB pozicijos</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į KRR 147 straipsnio 3 dalies a punkto taikymo sritį patenkančios regioninių ir vietos valdžios institucijų IRB pozicijos, pagal riziką įvertintų pozicijų suma.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Daugiašaliai plėtros bankai ir tarptautinės organizacijos, vertinami kaip centrinė valdžia. Sverto koeficiento pozicijos vertė. SA pozicijos</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į KRR 117 straipsnio 2 dalies ir 118 straipsnio taikymo sritį patenkančios daugiašalių plėtros bankų ir tarptautinių organizacijų SA pozicijos, sverto koeficiento pozicijos vertė.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Daugiašaliai plėtros bankai ir tarptautinės organizacijos, vertinami kaip centrinė valdžia. Sverto koeficiento pozicijos vertė. IRB pozicijos</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Turto, kuris yra į KRR 147 straipsnio 3 dalies b ir c punktų taikymo sritį patenkančios daugiašalių plėtros bankų ir tarptautinių organizacijų IRB pozicijos, sverto koeficiento pozicijos vertė.</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Daugiašaliai plėtros bankai ir tarptautinės organizacijos, vertinami kaip centrinė valdžia. RWEA. SA pozicijos</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117 straipsnio 2 dalies ir 118 straipsnio taikymo sritį patenkančios daugiašalių plėtros bankų ir tarptautinių organizacijų SA pozicijos, pagal riziką įvertintų pozicijų suma.</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Daugiašaliai plėtros bankai ir tarptautinės organizacijos, vertinami kaip centrinė valdžia. RWEA. IRB pozicijos</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3 dalies b ir c punktų taikymo sritį patenkančios daugiašalių plėtros bankų ir tarptautinių organizacijų IRB pozicijos, pagal riziką įvertintų pozicijų suma.</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nurodo duomenis atskaičiusios neįvykdytas IRB pozicijas.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Viešojo sektoriaus subjektai, vertinami kaip centrinė valdžia. Sverto koeficiento pozicijos vertė. SA pozicijos</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116 straipsnio 4 dalies taikymo sritį patenkančios viešojo sektoriaus subjektų SA pozicijos, sverto koeficiento pozicijos vertė.</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Įstaigos nurodo duomenis atskaičiusios neįvykdytas SA pozicijas.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Viešojo sektoriaus subjektai, vertinami kaip centrinė valdžia. Sverto koeficiento pozicijos vertė. IRB pozicijos</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3 dalies a punkto taikymo sritį patenkančios viešojo sektoriaus subjektų IRB pozicijos, sverto koeficiento pozicijos suma.</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Viešojo sektoriaus subjektai, vertinami kaip centrinė valdžia. RWEA. SA pozicijos</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116 straipsnio 4 dalies taikymo sritį patenkančios viešojo sektoriaus subjektų SA pozicijos, pagal riziką įvertintų pozicijų suma.</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Viešojo sektoriaus subjektai, vertinami kaip centrinė valdžia. RWEA. IRB pozicijos</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3 dalies a punkto taikymo sritį patenkančios viešojo sektoriaus subjektų IRB pozicijos, pagal riziką įvertintų pozicijų suma.</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valdžios institucijų, daugiašalių plėtros bankų, tarptautinių organizacijų ir viešojo sektoriaus subjektų,</w:t>
            </w:r>
            <w:r>
              <w:rPr>
                <w:rFonts w:ascii="Times New Roman" w:hAnsi="Times New Roman"/>
                <w:b/>
                <w:sz w:val="24"/>
                <w:szCs w:val="24"/>
              </w:rPr>
              <w:t xml:space="preserve"> nevertinamų </w:t>
            </w:r>
            <w:r>
              <w:rPr>
                <w:rFonts w:ascii="Times New Roman" w:hAnsi="Times New Roman"/>
                <w:b/>
                <w:bCs/>
                <w:sz w:val="24"/>
                <w:szCs w:val="24"/>
              </w:rPr>
              <w:t>kaip centrinė valdžia, pozicijos. Sverto koeficiento pozicijos vertė. SA pozicijos</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Nurodoma </w:t>
            </w:r>
            <w:r>
              <w:rPr>
                <w:rFonts w:ascii="Times New Roman" w:hAnsi="Times New Roman"/>
                <w:bCs/>
                <w:sz w:val="24"/>
                <w:szCs w:val="24"/>
              </w:rPr>
              <w:t>{0150,0010}–{0170,0010}</w:t>
            </w:r>
            <w:r>
              <w:rPr>
                <w:rFonts w:ascii="Times New Roman" w:hAnsi="Times New Roman"/>
                <w:sz w:val="24"/>
                <w:szCs w:val="24"/>
              </w:rPr>
              <w:t xml:space="preserve"> laukelių suma.</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valdžios institucijų, daugiašalių plėtros bankų, tarptautinių organizacijų ir viešojo sektoriaus subjektų,</w:t>
            </w:r>
            <w:r>
              <w:rPr>
                <w:rFonts w:ascii="Times New Roman" w:hAnsi="Times New Roman"/>
                <w:b/>
                <w:sz w:val="24"/>
                <w:szCs w:val="24"/>
              </w:rPr>
              <w:t xml:space="preserve"> nevertinamų </w:t>
            </w:r>
            <w:r>
              <w:rPr>
                <w:rFonts w:ascii="Times New Roman" w:hAnsi="Times New Roman"/>
                <w:b/>
                <w:bCs/>
                <w:sz w:val="24"/>
                <w:szCs w:val="24"/>
              </w:rPr>
              <w:t>kaip centrinė valdžia, pozicijos. Sverto koeficiento pozicijos vertė. IRB pozicijos</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Nurodoma {0150,0020}–{0170,0020} laukelių suma.</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valdžios institucijų, daugiašalių plėtros bankų, tarptautinių organizacijų ir viešojo sektoriaus subjektų,</w:t>
            </w:r>
            <w:r>
              <w:rPr>
                <w:rFonts w:ascii="Times New Roman" w:hAnsi="Times New Roman"/>
                <w:b/>
                <w:sz w:val="24"/>
                <w:szCs w:val="24"/>
              </w:rPr>
              <w:t xml:space="preserve"> nevertinamų </w:t>
            </w:r>
            <w:r>
              <w:rPr>
                <w:rFonts w:ascii="Times New Roman" w:hAnsi="Times New Roman"/>
                <w:b/>
                <w:bCs/>
                <w:sz w:val="24"/>
                <w:szCs w:val="24"/>
              </w:rPr>
              <w:t>kaip centrinė valdžia, pozicijos. RWEA. SA pozicijos</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Nurodoma {0150,0030}–{0170,0030} laukelių suma.</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valdžios institucijų, daugiašalių plėtros bankų, tarptautinių organizacijų ir viešojo sektoriaus subjektų,</w:t>
            </w:r>
            <w:r>
              <w:rPr>
                <w:rFonts w:ascii="Times New Roman" w:hAnsi="Times New Roman"/>
                <w:b/>
                <w:sz w:val="24"/>
                <w:szCs w:val="24"/>
              </w:rPr>
              <w:t xml:space="preserve"> nevertinamų </w:t>
            </w:r>
            <w:r>
              <w:rPr>
                <w:rFonts w:ascii="Times New Roman" w:hAnsi="Times New Roman"/>
                <w:b/>
                <w:bCs/>
                <w:sz w:val="24"/>
                <w:szCs w:val="24"/>
              </w:rPr>
              <w:t>kaip centrinė valdžia, pozicijos. RWEA. IRB pozicijos</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Nurodoma {0150,0040}–{0170,0040} laukelių suma.</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ir vietos valdžios institucijos,</w:t>
            </w:r>
            <w:r>
              <w:rPr>
                <w:rFonts w:ascii="Times New Roman" w:hAnsi="Times New Roman"/>
                <w:b/>
                <w:sz w:val="24"/>
                <w:szCs w:val="24"/>
              </w:rPr>
              <w:t xml:space="preserve"> nevertinamos</w:t>
            </w:r>
            <w:r>
              <w:rPr>
                <w:rFonts w:ascii="Times New Roman" w:hAnsi="Times New Roman"/>
                <w:b/>
                <w:bCs/>
                <w:sz w:val="24"/>
                <w:szCs w:val="24"/>
              </w:rPr>
              <w:t xml:space="preserve"> kaip centrinė valdžia. Sverto koeficiento pozicijos vertė. SA pozicijos</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115 straipsnio 1, 3 ir 5 dalių taikymo sritį patenkančios ne kaip centrinė valdžia vertinamų regioninių ir vietos valdžios institucijų SA pozicijos, sverto koeficiento pozicijos vertė.</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ir vietos valdžios institucijos,</w:t>
            </w:r>
            <w:r>
              <w:rPr>
                <w:rFonts w:ascii="Times New Roman" w:hAnsi="Times New Roman"/>
                <w:b/>
                <w:sz w:val="24"/>
                <w:szCs w:val="24"/>
              </w:rPr>
              <w:t xml:space="preserve"> nevertinamos </w:t>
            </w:r>
            <w:r>
              <w:rPr>
                <w:rFonts w:ascii="Times New Roman" w:hAnsi="Times New Roman"/>
                <w:b/>
                <w:bCs/>
                <w:sz w:val="24"/>
                <w:szCs w:val="24"/>
              </w:rPr>
              <w:t>kaip centrinė valdžia. Sverto koeficiento pozicijos vertė. IRB pozicijos</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4 dalies a punkto taikymo sritį patenkančios ne kaip centrinė valdžia vertinamų regioninių ir vietos valdžios institucijų IRB pozicijos, sverto koeficiento pozicijos vertė.</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Įstaigos nurodo duomenis atskaičiusios neįvykdytas IRB pozicijas.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ir vietos valdžios institucijos,</w:t>
            </w:r>
            <w:r>
              <w:rPr>
                <w:rFonts w:ascii="Times New Roman" w:hAnsi="Times New Roman"/>
                <w:b/>
                <w:sz w:val="24"/>
                <w:szCs w:val="24"/>
              </w:rPr>
              <w:t xml:space="preserve"> nevertinamos </w:t>
            </w:r>
            <w:r>
              <w:rPr>
                <w:rFonts w:ascii="Times New Roman" w:hAnsi="Times New Roman"/>
                <w:b/>
                <w:bCs/>
                <w:sz w:val="24"/>
                <w:szCs w:val="24"/>
              </w:rPr>
              <w:t xml:space="preserve">kaip centrinė valdžia. RWEA. SA pozicijos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115 straipsnio 1, 3 ir 5 dalių taikymo sritį patenkančios ne kaip centrinė valdžia vertinamų regioninių ir vietos valdžios institucijų SA pozicijos, pagal riziką įvertintų pozicijų suma.</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Regioninės ir vietos valdžios institucijos,</w:t>
            </w:r>
            <w:r>
              <w:rPr>
                <w:rFonts w:ascii="Times New Roman" w:hAnsi="Times New Roman"/>
                <w:b/>
                <w:sz w:val="24"/>
                <w:szCs w:val="24"/>
              </w:rPr>
              <w:t xml:space="preserve"> nevertinamos </w:t>
            </w:r>
            <w:r>
              <w:rPr>
                <w:rFonts w:ascii="Times New Roman" w:hAnsi="Times New Roman"/>
                <w:b/>
                <w:bCs/>
                <w:sz w:val="24"/>
                <w:szCs w:val="24"/>
              </w:rPr>
              <w:t>kaip centrinė valdžia. RWEA. IRB pozicijos</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4 dalies a punkto taikymo sritį patenkančios ne kaip centrinė valdžia vertinamų regioninių ir vietos valdžios institucijų IRB pozicijos, pagal riziką įvertintų pozicijų suma.</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Daugiašaliai plėtros bankai, </w:t>
            </w:r>
            <w:r>
              <w:rPr>
                <w:rFonts w:ascii="Times New Roman" w:hAnsi="Times New Roman"/>
                <w:b/>
                <w:sz w:val="24"/>
                <w:szCs w:val="24"/>
                <w:u w:val="single"/>
              </w:rPr>
              <w:t>nevertinami</w:t>
            </w:r>
            <w:r>
              <w:rPr>
                <w:rFonts w:ascii="Times New Roman" w:hAnsi="Times New Roman"/>
                <w:b/>
                <w:sz w:val="24"/>
                <w:szCs w:val="24"/>
              </w:rPr>
              <w:t xml:space="preserve"> kaip centrinė valdžia. Sverto koeficiento pozicijos vertė. SA pozicijos</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į KRR 117 straipsnio 1 ir 3 dalių taikymo sritį patenkančios daugiašalių plėtros bankų SA pozicijos, sverto koeficiento pozicijos vertė.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Daugiašaliai plėtros bankai, </w:t>
            </w:r>
            <w:r>
              <w:rPr>
                <w:rFonts w:ascii="Times New Roman" w:hAnsi="Times New Roman"/>
                <w:b/>
                <w:sz w:val="24"/>
                <w:szCs w:val="24"/>
                <w:u w:val="single"/>
              </w:rPr>
              <w:t>nevertinami</w:t>
            </w:r>
            <w:r>
              <w:rPr>
                <w:rFonts w:ascii="Times New Roman" w:hAnsi="Times New Roman"/>
                <w:b/>
                <w:sz w:val="24"/>
                <w:szCs w:val="24"/>
              </w:rPr>
              <w:t xml:space="preserve"> kaip centrinė valdžia. Sverto koeficiento pozicijos vertė. IRB pozicijos</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4 dalies c punkto taikymo sritį patenkančios ne kaip centrinė valdžia vertinamų daugiašalių plėtros bankų IRB pozicijos, sverto koeficiento pozicijos vertė.</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Daugiašaliai plėtros bankai,</w:t>
            </w:r>
            <w:r>
              <w:rPr>
                <w:rFonts w:ascii="Times New Roman" w:hAnsi="Times New Roman"/>
                <w:b/>
                <w:sz w:val="24"/>
                <w:szCs w:val="24"/>
              </w:rPr>
              <w:t xml:space="preserve"> nevertinami </w:t>
            </w:r>
            <w:r>
              <w:rPr>
                <w:rFonts w:ascii="Times New Roman" w:hAnsi="Times New Roman"/>
                <w:b/>
                <w:bCs/>
                <w:sz w:val="24"/>
                <w:szCs w:val="24"/>
              </w:rPr>
              <w:t>kaip centrinė valdžia. RWEA. SA pozicijos</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Turto, kuris yra į KRR 117 straipsnio 1 ir 3 dalių taikymo sritį patenkančios daugiašalių plėtros bankų SA pozicijos, pagal riziką įvertintų pozicijų suma.</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Įstaigos nurodo duomenis atskaičiusios neįvykdytas SA pozicijas.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Daugiašaliai plėtros bankai,</w:t>
            </w:r>
            <w:r>
              <w:rPr>
                <w:rFonts w:ascii="Times New Roman" w:hAnsi="Times New Roman"/>
                <w:b/>
                <w:sz w:val="24"/>
                <w:szCs w:val="24"/>
              </w:rPr>
              <w:t xml:space="preserve"> nevertinami </w:t>
            </w:r>
            <w:r>
              <w:rPr>
                <w:rFonts w:ascii="Times New Roman" w:hAnsi="Times New Roman"/>
                <w:b/>
                <w:bCs/>
                <w:sz w:val="24"/>
                <w:szCs w:val="24"/>
              </w:rPr>
              <w:t>kaip centrinė valdžia. RWEA. IRB pozicijos</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4 dalies c punkto taikymo sritį patenkančios ne kaip centrinė valdžia vertinamų daugiašalių plėtros bankų IRB pozicijos, pagal riziką įvertintų pozicijų suma.</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Viešojo sektoriaus subjektai,</w:t>
            </w:r>
            <w:r>
              <w:rPr>
                <w:rFonts w:ascii="Times New Roman" w:hAnsi="Times New Roman"/>
                <w:b/>
                <w:sz w:val="24"/>
                <w:szCs w:val="24"/>
              </w:rPr>
              <w:t xml:space="preserve"> nevertinami </w:t>
            </w:r>
            <w:r>
              <w:rPr>
                <w:rFonts w:ascii="Times New Roman" w:hAnsi="Times New Roman"/>
                <w:b/>
                <w:bCs/>
                <w:sz w:val="24"/>
                <w:szCs w:val="24"/>
              </w:rPr>
              <w:t>kaip centrinė valdžia. Sverto koeficiento pozicijos vertė. SA pozicijos</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116 straipsnio 1, 2, 3 ir 5 dalių taikymo sritį patenkančios viešojo sektoriaus subjektų SA pozicijos, sverto koeficiento pozicijos vertė.</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Įstaigos nurodo duomenis atskaičiusios neįvykdytas SA pozicijas.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Viešojo sektoriaus subjektai,</w:t>
            </w:r>
            <w:r>
              <w:rPr>
                <w:rFonts w:ascii="Times New Roman" w:hAnsi="Times New Roman"/>
                <w:b/>
                <w:sz w:val="24"/>
                <w:szCs w:val="24"/>
              </w:rPr>
              <w:t xml:space="preserve"> nevertinami </w:t>
            </w:r>
            <w:r>
              <w:rPr>
                <w:rFonts w:ascii="Times New Roman" w:hAnsi="Times New Roman"/>
                <w:b/>
                <w:bCs/>
                <w:sz w:val="24"/>
                <w:szCs w:val="24"/>
              </w:rPr>
              <w:t>kaip centrinė valdžia. Sverto koeficiento pozicijos vertė. IRB pozicijos</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4 dalies b punkto taikymo sritį patenkančios ne kaip centrinė valdžia vertinamų viešojo sektoriaus subjektų IRB pozicijos, sverto koeficiento pozicijos vertė.</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Viešojo sektoriaus subjektai,</w:t>
            </w:r>
            <w:r>
              <w:rPr>
                <w:rFonts w:ascii="Times New Roman" w:hAnsi="Times New Roman"/>
                <w:b/>
                <w:sz w:val="24"/>
                <w:szCs w:val="24"/>
              </w:rPr>
              <w:t xml:space="preserve"> nevertinami </w:t>
            </w:r>
            <w:r>
              <w:rPr>
                <w:rFonts w:ascii="Times New Roman" w:hAnsi="Times New Roman"/>
                <w:b/>
                <w:bCs/>
                <w:sz w:val="24"/>
                <w:szCs w:val="24"/>
              </w:rPr>
              <w:t>kaip centrinė valdžia. RWEA. SA pozicijos</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į KRR 116 straipsnio 1, 2, 3 ir 5 dalių taikymo sritį patenkančios viešojo sektoriaus subjektų SA pozicijos, pagal riziką įvertintų pozicijų suma.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Viešojo sektoriaus subjektai,</w:t>
            </w:r>
            <w:r>
              <w:rPr>
                <w:rFonts w:ascii="Times New Roman" w:hAnsi="Times New Roman"/>
                <w:b/>
                <w:sz w:val="24"/>
                <w:szCs w:val="24"/>
              </w:rPr>
              <w:t xml:space="preserve"> nevertinami </w:t>
            </w:r>
            <w:r>
              <w:rPr>
                <w:rFonts w:ascii="Times New Roman" w:hAnsi="Times New Roman"/>
                <w:b/>
                <w:bCs/>
                <w:sz w:val="24"/>
                <w:szCs w:val="24"/>
              </w:rPr>
              <w:t>kaip centrinė valdžia. RWEA. IRB pozicijos</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į KRR 147 straipsnio 4 dalies b punkto taikymo sritį patenkančios ne kaip centrinė valdžia vertinamų viešojo sektoriaus subjektų IRB pozicijos, pagal riziką įvertintų pozicijų suma.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Įstaigos. Sverto koeficiento pozicijos vertė. SA pozicijos</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Turto, kuris yra į KRR 119–121 straipsnių taikymo sritį patenkančios įstaigų SA pozicijos, sverto koeficiento pozicijos vertė.</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Įstaigos. Sverto koeficiento pozicijos vertė. IRB pozicijos</w:t>
            </w:r>
          </w:p>
          <w:p w14:paraId="50027CF2" w14:textId="17F30878"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Turto, kuris yra į KRR 147 straipsnio 2 dalies b punkto taikymo sritį patenkančios įstaigų IRB pozicijos, bet kuris</w:t>
            </w:r>
            <w:r>
              <w:rPr>
                <w:rFonts w:ascii="Times New Roman" w:hAnsi="Times New Roman"/>
                <w:sz w:val="24"/>
                <w:szCs w:val="24"/>
              </w:rPr>
              <w:t xml:space="preserve"> nėra </w:t>
            </w:r>
            <w:r>
              <w:rPr>
                <w:rFonts w:ascii="Times New Roman" w:hAnsi="Times New Roman"/>
                <w:bCs/>
                <w:sz w:val="24"/>
                <w:szCs w:val="24"/>
              </w:rPr>
              <w:t>padengtų</w:t>
            </w:r>
            <w:r w:rsidR="006C51B9">
              <w:rPr>
                <w:rFonts w:ascii="Times New Roman" w:hAnsi="Times New Roman"/>
                <w:bCs/>
                <w:sz w:val="24"/>
                <w:szCs w:val="24"/>
              </w:rPr>
              <w:t>jų</w:t>
            </w:r>
            <w:r>
              <w:rPr>
                <w:rFonts w:ascii="Times New Roman" w:hAnsi="Times New Roman"/>
                <w:bCs/>
                <w:sz w:val="24"/>
                <w:szCs w:val="24"/>
              </w:rPr>
              <w:t xml:space="preserve"> obligacijų pozicijos pagal KRR 161 straipsnio 1 dalies d punktą ir</w:t>
            </w:r>
            <w:r>
              <w:rPr>
                <w:rFonts w:ascii="Times New Roman" w:hAnsi="Times New Roman"/>
                <w:sz w:val="24"/>
                <w:szCs w:val="24"/>
              </w:rPr>
              <w:t xml:space="preserve"> nepatenka </w:t>
            </w:r>
            <w:r>
              <w:rPr>
                <w:rFonts w:ascii="Times New Roman" w:hAnsi="Times New Roman"/>
                <w:bCs/>
                <w:sz w:val="24"/>
                <w:szCs w:val="24"/>
              </w:rPr>
              <w:t>į KRR 147 straipsnio 4 dalies a–c punktų taikymo sritį, sverto koeficiento pozicijos vertė</w:t>
            </w:r>
            <w:r>
              <w:rPr>
                <w:rFonts w:ascii="Times New Roman" w:hAnsi="Times New Roman"/>
                <w:sz w:val="24"/>
                <w:szCs w:val="24"/>
              </w:rPr>
              <w:t>.</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Įstaigos. RWEA. SA pozicijos</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119–121 straipsnių taikymo sritį patenkančios įstaigų SA pozicijos, pagal riziką įvertintų pozicijų suma.</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Įstaigos. RWEA. IRB pozicijos</w:t>
            </w:r>
          </w:p>
          <w:p w14:paraId="5E814575" w14:textId="42A4C6CC"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2 dalies b punkto taikymo sritį patenkančios įstaigų IRB pozicijos, bet kuris</w:t>
            </w:r>
            <w:r>
              <w:rPr>
                <w:rFonts w:ascii="Times New Roman" w:hAnsi="Times New Roman"/>
                <w:sz w:val="24"/>
                <w:szCs w:val="24"/>
              </w:rPr>
              <w:t xml:space="preserve"> nėra </w:t>
            </w:r>
            <w:r>
              <w:rPr>
                <w:rFonts w:ascii="Times New Roman" w:hAnsi="Times New Roman"/>
                <w:bCs/>
                <w:sz w:val="24"/>
                <w:szCs w:val="24"/>
              </w:rPr>
              <w:t>padengtų</w:t>
            </w:r>
            <w:r w:rsidR="006C51B9">
              <w:rPr>
                <w:rFonts w:ascii="Times New Roman" w:hAnsi="Times New Roman"/>
                <w:bCs/>
                <w:sz w:val="24"/>
                <w:szCs w:val="24"/>
              </w:rPr>
              <w:t>jų</w:t>
            </w:r>
            <w:bookmarkStart w:id="74" w:name="_GoBack"/>
            <w:bookmarkEnd w:id="74"/>
            <w:r>
              <w:rPr>
                <w:rFonts w:ascii="Times New Roman" w:hAnsi="Times New Roman"/>
                <w:bCs/>
                <w:sz w:val="24"/>
                <w:szCs w:val="24"/>
              </w:rPr>
              <w:t xml:space="preserve"> obligacijų pozicijos pagal KRR 161 straipsnio 1 dalies d punktą ir</w:t>
            </w:r>
            <w:r>
              <w:rPr>
                <w:rFonts w:ascii="Times New Roman" w:hAnsi="Times New Roman"/>
                <w:sz w:val="24"/>
                <w:szCs w:val="24"/>
              </w:rPr>
              <w:t xml:space="preserve"> nepatenka </w:t>
            </w:r>
            <w:r>
              <w:rPr>
                <w:rFonts w:ascii="Times New Roman" w:hAnsi="Times New Roman"/>
                <w:bCs/>
                <w:sz w:val="24"/>
                <w:szCs w:val="24"/>
              </w:rPr>
              <w:t>į KRR 147 straipsnio 4 dalies a–c punktų taikymo sritį, pagal riziką įvertintų pozicijų suma</w:t>
            </w:r>
            <w:r>
              <w:rPr>
                <w:rFonts w:ascii="Times New Roman" w:hAnsi="Times New Roman"/>
                <w:sz w:val="24"/>
                <w:szCs w:val="24"/>
              </w:rPr>
              <w:t>.</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Užtikrintos nekilnojamojo turto hipoteka. Sverto koeficiento pozicijos vertė. SA pozicijos</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124 straipsnio taikymo sritį patenkančios nekilnojamojo turto hipoteka užtikrintos SA pozicijos, sverto koeficiento pozicijos vertė.</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Užtikrintos nekilnojamojo turto hipoteka. Sverto koeficiento pozicijos vertė. IRB pozicijos</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įmonių IRB pozicijos pagal KRR 147 straipsnio 2 dalies c punktą arba mažmeninės pozicijos pagal KRR 147 straipsnio 2 dalies d punktą, jei šios pozicijos užtikrintos nekilnojamojo turto hipoteka pagal KRR 199 straipsnio 1 dalies a punktą, sverto koeficiento pozicijos vertė.</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Užtikrintos nekilnojamojo turto hipoteka. RWEA. SA pozicijos</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Turto, kuris yra į KRR 124 straipsnio taikymo sritį patenkančios nekilnojamojo turto hipoteka užtikrintos SA pozicijos, pagal riziką įvertintų pozicijų suma.</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Užtikrintos nekilnojamojo turto hipoteka. RWEA. IRB pozicijos</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įmonių IRB pozicijos pagal KRR 147 straipsnio 2 dalies c punktą arba mažmeninės pozicijos pagal KRR 147 straipsnio 2 dalies d punktą, jei šios pozicijos užtikrintos nekilnojamojo turto hipoteka pagal KRR 199 straipsnio 1 dalies a punktą, pagal riziką įvertintų pozicijų suma.</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Pr>
                <w:rFonts w:ascii="Times New Roman" w:hAnsi="Times New Roman"/>
                <w:b/>
                <w:sz w:val="24"/>
                <w:szCs w:val="24"/>
              </w:rPr>
              <w:t>užtikrintos gyvenamosios paskirties nekilnojamojo turto hipoteka. Sverto koeficiento pozicijos vertė. SA pozicijos</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125 straipsnio taikymo sritį patenkančios gyvenamosios paskirties nekilnojamojo turto hipoteka visapusiškai ir visiškai užtikrintos SA pozicijos, sverto koeficiento pozicijos vertė.</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iš jų: </w:t>
            </w:r>
            <w:r>
              <w:rPr>
                <w:rFonts w:ascii="Times New Roman" w:hAnsi="Times New Roman"/>
                <w:b/>
                <w:sz w:val="24"/>
                <w:szCs w:val="24"/>
              </w:rPr>
              <w:t>užtikrintos gyvenamosios paskirties nekilnojamojo turto hipoteka. Sverto koeficiento pozicijos vertė. IRB pozicijos</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įmonių IRB pozicijos pagal KRR 147 straipsnio 2 dalies c punktą arba mažmeninės pozicijos pagal KRR 147 straipsnio 2 dalies d punktą, jei šios pozicijos užtikrintos gyvenamosios paskirties nekilnojamojo turto hipoteka pagal KRR 199 straipsnio 1 dalies a punktą, sverto koeficiento pozicijos vertė.</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užtikrintos gyvenamosios paskirties nekilnojamojo turto hipoteka. RWEA. SA pozicijos</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125 straipsnio taikymo sritį patenkančios gyvenamosios paskirties nekilnojamojo turto hipoteka visapusiškai ir visiškai užtikrintos SA pozicijos, pagal riziką įvertintų pozicijų suma.</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užtikrintos gyvenamosios paskirties nekilnojamojo turto hipoteka. RWEA. IRB pozicijos</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Turto, kuris yra įmonių IRB pozicijos pagal KRR 147 straipsnio 2 dalies c punktą arba mažmeninės pozicijos pagal KRR 147 straipsnio 2 dalies d punktą, jei šios pozicijos užtikrintos gyvenamosios paskirties nekilnojamojo turto hipoteka pagal KRR 199 straipsnio 1 dalies a punktą, pagal riziką įvertintų pozicijų suma.</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Mažmeninės pozicijos. Sverto koeficiento pozicijos vertė. SA pozicijos</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123 straipsnio taikymo sritį patenkančios mažmeninės SA pozicijos, sverto koeficiento pozicijos vertė.</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Mažmeninės pozicijos. Sverto koeficiento pozicijos vertė. IRB pozicijos</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mažmeninės IRB pozicijos pagal KRR 147 straipsnio 2 dalies d punktą, jei šios pozicijos</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sverto koeficiento pozicijos vertė</w:t>
            </w:r>
            <w:r>
              <w:rPr>
                <w:rFonts w:ascii="Times New Roman" w:hAnsi="Times New Roman"/>
                <w:sz w:val="24"/>
                <w:szCs w:val="24"/>
              </w:rPr>
              <w:t>.</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Mažmeninės pozicijos. RWEA. SA pozicijos</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123 straipsnio taikymo sritį patenkančios mažmeninės SA pozicijos, pagal riziką įvertintų pozicijų suma.</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Mažmeninės pozicijos. RWEA. IRB pozicijos</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mažmeninės IRB pozicijos pagal KRR 147 straipsnio 2 dalies d punktą, jei šios pozicijos</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pagal riziką įvertintų pozicijų suma</w:t>
            </w:r>
            <w:r>
              <w:rPr>
                <w:rFonts w:ascii="Times New Roman" w:hAnsi="Times New Roman"/>
                <w:sz w:val="24"/>
                <w:szCs w:val="24"/>
              </w:rPr>
              <w:t>.</w:t>
            </w:r>
            <w:r>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iš jų: </w:t>
            </w:r>
            <w:r>
              <w:rPr>
                <w:rFonts w:ascii="Times New Roman" w:hAnsi="Times New Roman"/>
                <w:b/>
                <w:sz w:val="24"/>
                <w:szCs w:val="24"/>
              </w:rPr>
              <w:t>mažmeninės (MVĮ). Sverto koeficiento pozicijos vertė. SA pozicijos</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123 straipsnio taikymo sritį patenkančios mažųjų ir vidutinių įmonių mažmeninės SA pozicijos, sverto koeficiento pozicijos vertė.</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taiko KRR 501 straipsnio 2 dalies b punkte nurodytą mažųjų ir vidutinių įmonių apibrėžtį.</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Įstaigos nurodo duomenis atskaičiusios neįvykdytas SA pozicijas.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Pr>
                <w:rFonts w:ascii="Times New Roman" w:hAnsi="Times New Roman"/>
                <w:b/>
                <w:sz w:val="24"/>
                <w:szCs w:val="24"/>
              </w:rPr>
              <w:t>mažmeninės (MVĮ). Sverto koeficiento pozicijos vertė. IRB pozicijos</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mažmeninės IRB pozicijos pagal KRR 147 straipsnio 2 dalies d punktą, jei šios pozicijos yra mažųjų ir vidutinių įmonių pozicijos ir</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sverto koeficiento pozicijos vertė</w:t>
            </w:r>
            <w:r>
              <w:rPr>
                <w:rFonts w:ascii="Times New Roman" w:hAnsi="Times New Roman"/>
                <w:sz w:val="24"/>
                <w:szCs w:val="24"/>
              </w:rPr>
              <w:t>.</w:t>
            </w:r>
            <w:r>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taiko KRR 501 straipsnio 2 dalies b punkte nurodytą mažųjų ir vidutinių įmonių apibrėžtį.</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mažmeninės (MVĮ). RWEA. SA pozicijos</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123 straipsnio taikymo sritį patenkančios mažųjų ir vidutinių įmonių mažmeninės SA pozicijos, pagal riziką įvertintų pozicijų suma.</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taiko KRR 501 straipsnio 2 dalies b punkte nurodytą mažųjų ir vidutinių įmonių apibrėžtį.</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mažmeninės (MVĮ). RWEA. IRB pozicijos</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mažmeninės IRB pozicijos pagal KRR 147 straipsnio 2 dalies d punktą, jei šios pozicijos yra mažųjų ir vidutinių įmonių pozicijos ir</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pagal riziką įvertintų pozicijų suma</w:t>
            </w:r>
            <w:r>
              <w:rPr>
                <w:rFonts w:ascii="Times New Roman" w:hAnsi="Times New Roman"/>
                <w:sz w:val="24"/>
                <w:szCs w:val="24"/>
              </w:rPr>
              <w:t>.</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taiko KRR 501 straipsnio 2 dalies b punkte nurodytą mažųjų ir vidutinių įmonių apibrėžtį.</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Įmonių pozicijos. Sverto koeficiento pozicijos vertė. SA pozicijos</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Nurodoma {0240,0010} ir {0250,0010} laukelių suma.</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Įstaigos nurodo duomenis atskaičiusios neįvykdytas SA pozicijas.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Įmonių pozicijos. Sverto koeficiento pozicijos vertė. IRB pozicijos</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Nurodoma {0240,0020} ir {0250,0020} laukelių suma.</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Įmonių pozicijos. RWEA. SA pozicijos</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Nurodoma {0240,0030} ir {0250,0030} laukelių suma.</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Įmonių pozicijos. RWEA. IRB pozicijos</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Nurodoma {0240,0040} ir {0250,0040} laukelių suma.</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Finansų įmonių. Sverto koeficiento pozicijos vertė. SA pozicijos</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122 straipsnio taikymo sritį patenkančios finansų įmonių SA pozicijos, sverto koeficiento pozicijos vertė.</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LR4 formoje nurodomos finansų įmonės – reguliuojamosios ir nereguliuojamosios įmonės, išskyrus {0180;0010} laukelyje nurodytas įstaigas, kurių pagrindinė veikla yra įsigyti įmonių kapitalo dalis arba verstis vienos ar kelių rūšių veikla, nurodyta Direktyvos 2013/36/ES I priede, taip pat KRR 4 straipsnio 1 dalies 27 punkte išvardytos įmonės, išskyrus {0180;0010} laukelyje nurodytas įstaigas.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Finansų įmonių. Sverto koeficiento pozicijos vertė. IRB pozicijos</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finansų įmonių IRB pozicijos pagal KRR 147 straipsnio 2 dalies c punktą, jei šios pozicijos</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sverto koeficiento pozicijos vertė</w:t>
            </w:r>
            <w:r>
              <w:rPr>
                <w:rFonts w:ascii="Times New Roman" w:hAnsi="Times New Roman"/>
                <w:sz w:val="24"/>
                <w:szCs w:val="24"/>
              </w:rPr>
              <w:t>.</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LR4 formoje nurodomos finansų įmonės – reguliuojamosios ir nereguliuojamosios įmonės, išskyrus {0180;0010} laukelyje nurodytas įstaigas, kurių pagrindinė veikla yra įsigyti įmonių kapitalo dalis arba verstis vienos ar kelių rūšių veikla, nurodyta Direktyvos 2013/36/ES I priede, taip pat KRR 4 straipsnio 1 dalies 27 punkte išvardytos įmonės, išskyrus {0180;0010} laukelyje nurodytas įstaigas.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Finansų įmonių. RWEA. SA pozicijos</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122 straipsnio taikymo sritį patenkančios finansų įmonių SA pozicijos, pagal riziką įvertintų pozicijų suma.</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LR4 formoje nurodomos finansų įmonės – reguliuojamosios ir nereguliuojamosios įmonės, išskyrus {0180;0010} laukelyje nurodytas įstaigas, kurių pagrindinė veikla yra įsigyti įmonių kapitalo dalis arba verstis vienos ar kelių rūšių veikla, nurodyta Direktyvos 2013/36/ES </w:t>
            </w:r>
            <w:r>
              <w:rPr>
                <w:rFonts w:ascii="Times New Roman" w:hAnsi="Times New Roman"/>
                <w:bCs/>
                <w:sz w:val="24"/>
                <w:szCs w:val="24"/>
              </w:rPr>
              <w:lastRenderedPageBreak/>
              <w:t xml:space="preserve">I priede, taip pat KRR 4 straipsnio 1 dalies 27 punkte išvardytos įmonės, išskyrus {0180;0010} laukelyje nurodytas įstaigas.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Finansų įmonių. RWEA. IRB pozicijos</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finansų įmonių IRB pozicijos pagal KRR 147 straipsnio 2 dalies c punktą, jei šios pozicijos</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pagal riziką įvertintų pozicijų suma</w:t>
            </w:r>
            <w:r>
              <w:rPr>
                <w:rFonts w:ascii="Times New Roman" w:hAnsi="Times New Roman"/>
                <w:sz w:val="24"/>
                <w:szCs w:val="24"/>
              </w:rPr>
              <w:t>.</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LR4 formoje nurodomos finansų įmonės – reguliuojamosios ir nereguliuojamosios įmonės, išskyrus {0180;0010} laukelyje nurodytas įstaigas, kurių pagrindinė veikla yra įsigyti įmonių kapitalo dalis arba verstis vienos ar kelių rūšių veikla, nurodyta Direktyvos 2013/36/ES I priede, taip pat KRR 4 straipsnio 1 dalies 27 punkte išvardytos įmonės, išskyrus {0180;0010} laukelyje nurodytas įstaigas.</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Ne finansų įmonių. Sverto koeficiento pozicijos vertė. SA pozicijos</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Turto, kuris yra į KRR 122 straipsnio taikymo sritį patenkančios ne finansų įmonių SA pozicijos, sverto koeficiento pozicijos vertė.</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Nurodoma {0260,0010} ir {0270,0010} laukelių suma.</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Ne finansų įmonių. Sverto koeficiento pozicijos vertė. IRB pozicijos</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ne finansų įmonių IRB pozicijos pagal KRR 147 straipsnio 2 dalies c punktą, jei šios pozicijos</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sverto koeficiento pozicijos vertė</w:t>
            </w:r>
            <w:r>
              <w:rPr>
                <w:rFonts w:ascii="Times New Roman" w:hAnsi="Times New Roman"/>
                <w:sz w:val="24"/>
                <w:szCs w:val="24"/>
              </w:rPr>
              <w:t>.</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Nurodoma {0260,0020} ir {0270,0020} laukelių suma.</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 finansų įmonių. RWEA. SA pozicijos</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Turto, kuris yra į KRR 122 straipsnio taikymo sritį patenkančios ne finansų įmonių SA pozicijos, pagal riziką įvertintų pozicijų suma.</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Nurodoma {0260,0030} ir {0270,0030} laukelių suma.</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 finansų įmonių. RWEA. IRB pozicijos</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ne finansų įmonių IRB pozicijos pagal KRR 147 straipsnio 2 dalies c punktą, jei šios pozicijos</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pagal riziką įvertintų pozicijų suma</w:t>
            </w:r>
            <w:r>
              <w:rPr>
                <w:rFonts w:ascii="Times New Roman" w:hAnsi="Times New Roman"/>
                <w:sz w:val="24"/>
                <w:szCs w:val="24"/>
              </w:rPr>
              <w:t>.</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Nurodoma {0260,0040} ir {0270,0040} laukelių suma.</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MVĮ pozicijos. Sverto koeficiento pozicijos vertė. SA pozicijos</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į KRR 122 straipsnio taikymo sritį patenkančios mažosioms ir vidutinėms įmonėms priskiriamų įmonių SA pozicijos, sverto koeficiento pozicijos vertė.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taiko KRR 501 straipsnio 2 dalies b punkte nurodytą mažųjų ir vidutinių įmonių apibrėžtį.</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MVĮ pozicijos. Sverto koeficiento pozicijos vertė. IRB pozicijos</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įmonių IRB pozicijos pagal KRR 147 straipsnio 2 dalies c punktą, jei šios pozicijos yra mažųjų ir vidutinių įmonių pozicijos ir</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sverto koeficiento pozicijos vertė</w:t>
            </w:r>
            <w:r>
              <w:rPr>
                <w:rFonts w:ascii="Times New Roman" w:hAnsi="Times New Roman"/>
                <w:sz w:val="24"/>
                <w:szCs w:val="24"/>
              </w:rPr>
              <w:t>.</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Šiame laukelyje įstaigos taiko KRR 501 straipsnio 2 dalies b punkte nurodytą mažųjų ir vidutinių įmonių apibrėžtį.</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MVĮ pozicijos. RWEA. SA pozicijos</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122 straipsnio taikymo sritį patenkančios mažosioms ir vidutinėms įmonėms priskiriamų įmonių SA pozicijos, pagal riziką įvertintų pozicijų suma.</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taiko KRR 501 straipsnio 2 dalies b punkte nurodytą mažųjų ir vidutinių įmonių apibrėžtį.</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MVĮ pozicijos. RWEA. IRB pozicijos</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įmonių IRB pozicijos pagal KRR 147 straipsnio 2 dalies c punktą, jei šios pozicijos yra mažųjų ir vidutinių įmonių pozicijos ir</w:t>
            </w:r>
            <w:r>
              <w:rPr>
                <w:rFonts w:ascii="Times New Roman" w:hAnsi="Times New Roman"/>
                <w:sz w:val="24"/>
                <w:szCs w:val="24"/>
              </w:rPr>
              <w:t xml:space="preserve"> nėra </w:t>
            </w:r>
            <w:r>
              <w:rPr>
                <w:rFonts w:ascii="Times New Roman" w:hAnsi="Times New Roman"/>
                <w:bCs/>
                <w:sz w:val="24"/>
                <w:szCs w:val="24"/>
              </w:rPr>
              <w:lastRenderedPageBreak/>
              <w:t>užtikrintos nekilnojamojo turto hipoteka pagal KRR 199 straipsnio 1 dalies a punktą, pagal riziką įvertintų pozicijų suma</w:t>
            </w:r>
            <w:r>
              <w:rPr>
                <w:rFonts w:ascii="Times New Roman" w:hAnsi="Times New Roman"/>
                <w:sz w:val="24"/>
                <w:szCs w:val="24"/>
              </w:rPr>
              <w:t>.</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Šiame laukelyje įstaigos taiko KRR 501 straipsnio 2 dalies b punkte nurodytą mažųjų ir vidutinių įmonių apibrėžtį.</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Kitos pozicijos, išskyrus MVĮ pozicijas. Sverto koeficiento pozicijos vertė. SA pozicijos</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122 straipsnio taikymo sritį patenkančios įmonių SA pozicijos, apie kurias nepranešta {0230;0040} ir {0250;0040} laukeliuose, sverto koeficiento pozicijos vertė.</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Kitos pozicijos, išskyrus MVĮ pozicijas. Sverto koeficiento pozicijos vertė. IRB pozicijos</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Turto, kuris yra įmonių IRB pozicijos pagal KRR 147 straipsnio 2 dalies c punktą, jei šios pozicijos</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ir apie jas nepranešta {0230;0040} ir {0250;0040} laukeliuose, sverto koeficiento pozicijos vertė</w:t>
            </w:r>
            <w:r>
              <w:rPr>
                <w:rFonts w:ascii="Times New Roman" w:hAnsi="Times New Roman"/>
                <w:sz w:val="24"/>
                <w:szCs w:val="24"/>
              </w:rPr>
              <w:t>.</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Kitos pozicijos, išskyrus MVĮ pozicijas. RWEA. SA pozicijos</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122 straipsnio taikymo sritį patenkančios įmonių SA pozicijos, apie kurias nepranešta {0230;0040} ir {0250;0040} laukeliuose, pagal riziką įvertintų pozicijų suma.</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Kitos pozicijos, išskyrus MVĮ pozicijas. RWEA. IRB pozicijos</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Turto, kuris yra įmonių IRB pozicijos pagal KRR 147 straipsnio 2 dalies c punktą, jei šios pozicijos</w:t>
            </w:r>
            <w:r>
              <w:rPr>
                <w:rFonts w:ascii="Times New Roman" w:hAnsi="Times New Roman"/>
                <w:sz w:val="24"/>
                <w:szCs w:val="24"/>
              </w:rPr>
              <w:t xml:space="preserve"> nėra </w:t>
            </w:r>
            <w:r>
              <w:rPr>
                <w:rFonts w:ascii="Times New Roman" w:hAnsi="Times New Roman"/>
                <w:bCs/>
                <w:sz w:val="24"/>
                <w:szCs w:val="24"/>
              </w:rPr>
              <w:t>užtikrintos nekilnojamojo turto hipoteka pagal KRR 199 straipsnio 1 dalies a punktą ir apie jas nepranešta {0230;0040} ir {0250;0040} laukeliuose, pagal riziką įvertintų pozicijų suma</w:t>
            </w:r>
            <w:r>
              <w:rPr>
                <w:rFonts w:ascii="Times New Roman" w:hAnsi="Times New Roman"/>
                <w:sz w:val="24"/>
                <w:szCs w:val="24"/>
              </w:rPr>
              <w:t>.</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Pozicijos esant įsipareigojimų neįvykdymui. Sverto koeficiento pozicijos vertė. SA pozicijos</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Įstaigos nurodo turto, kuris yra neįvykdytos SA pozicijos ir todėl patenka į KRR 127 straipsnio taikymo sritį, sverto koeficiento pozicijos vertę.</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Pozicijos esant įsipareigojimų neįvykdymui. Sverto koeficiento pozicijos vertė. IRB pozicijos</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turto, priskirto KRR 147 straipsnio 2 dalyje išvardytų pozicijų klasėms, jei, kaip nurodyta KRR 178 straipsnyje, neįvykdyti įsipareigojimai, sverto koeficiento pozicijos vertę.</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Pozicijos esant įsipareigojimų neįvykdymui. RWEA. SA pozicijos</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turto, kuris yra neįvykdytos pozicijos ir todėl patenka į KRR 127 straipsnio taikymo sritį, pagal riziką įvertintų pozicijų sumą.</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Pozicijos esant įsipareigojimų neįvykdymui. RWEA. IRB pozicijos</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turto, priskirto KRR 147 straipsnio 2 dalyje išvardytoms pozicijų klasėms, jei, kaip nurodyta KRR 178 straipsnyje, neįvykdyti įsipareigojimai, pagal riziką įvertintų pozicijų sumą.</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Kitos pozicijos. Sverto koeficiento pozicijos vertė. SA pozicijos</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priskirto KRR 112 straipsnio k, m, n, o, p ir q punktuose išvardytoms pozicijų klasėms, sverto koeficiento pozicijos vertė.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iš nuosavų lėšų atskaitytą turtą (pvz., nematerialųjį turtą), kurio kitaip čia negalima priskirti, netgi jeigu taip skirstyti nereikalaujama, norint nustatyti rizika grindžiamų nuosavų lėšų reikalavimus {*; 0030} ir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Kitos pozicijos. Sverto koeficiento pozicijos vertė. IRB pozicijos</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priskirto KRR 147 straipsnio 2 dalies e, f ir g punktuose išvardytoms pozicijų klasėms, sverto koeficiento pozicijos suma.</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iš nuosavų lėšų atskaitytą turtą (pvz., nematerialųjį turtą), kurio kitaip čia negalima priskirti, netgi jeigu taip skirstyti nereikalaujama, norint nustatyti rizika grindžiamų nuosavų lėšų reikalavimus {*; 0030} ir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Kitos pozicijos. RWEA. SA pozicijos</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priskirto KRR 112 straipsnio k, m, n, o, p ir q punktuose išvardytoms pozicijų klasėms, pagal riziką įvertintų pozicijų vertė.</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Įstaigos nurodo duomenis atskaičiusios neįvykdytas SA pozicijas.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Kitos pozicijos. RWEA. IRB pozicijos</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priskirto KRR 147 straipsnio 2 dalies e, f ir g punktuose išvardytoms pozicijų klasėms, pagal riziką įvertintų pozicijų vertė.</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12CC10FD"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sidR="002B5DF0">
              <w:rPr>
                <w:rFonts w:ascii="Times New Roman" w:hAnsi="Times New Roman"/>
                <w:b/>
                <w:bCs/>
                <w:sz w:val="24"/>
                <w:szCs w:val="24"/>
              </w:rPr>
              <w:t>p</w:t>
            </w:r>
            <w:r>
              <w:rPr>
                <w:rFonts w:ascii="Times New Roman" w:hAnsi="Times New Roman"/>
                <w:b/>
                <w:sz w:val="24"/>
                <w:szCs w:val="24"/>
              </w:rPr>
              <w:t>akeitimo vertybiniais popieriais pozicijos. Sverto koeficiento pozicijos vertė. SA pozicijos</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112 straipsnio m punkto taikymo sritį patenkančios pakeitimo vertybiniais popieriais SA pozicijos, sverto koeficiento pozicijos vertė.</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SA pozicijas.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Pr>
                <w:rFonts w:ascii="Times New Roman" w:hAnsi="Times New Roman"/>
                <w:b/>
                <w:sz w:val="24"/>
                <w:szCs w:val="24"/>
              </w:rPr>
              <w:t>pakeitimo vertybiniais popieriais pozicijos. Sverto koeficiento pozicijos vertė. IRB pozicijos</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Turto, kuris yra į KRR 147 straipsnio 2 dalies f punkto taikymo sritį patenkančios pakeitimo vertybiniais popieriais IRB pozicijos, sverto koeficiento pozicijos vertė.</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pakeitimo vertybiniais popieriais pozicijos. RWEA. SA pozicijos</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į KRR 112 straipsnio m punkto taikymo sritį patenkančios pakeitimo vertybiniais popieriais SA pozicijos, pagal riziką įvertintų pozicijų suma.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pakeitimo vertybiniais popieriais pozicijos. RWEA. IRB pozicijos</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Turto, kuris yra į KRR 147 straipsnio 2 dalies f punkto taikymo sritį patenkančios pakeitimo vertybiniais popieriais IRB pozicijos, pagal riziką įvertintų pozicijų suma.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Prekybos finansavimas (papildomas straipsnis). Sverto koeficiento pozicijos vertė. SA pozicijos</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 skolinimu prekių arba paslaugų eksportuotojui arba importuotojui teikiant importo ir eksporto kreditus ir pagal panašius sandorius susijusių balansinių straipsnių sverto koeficiento pozicijos vertė.</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Įstaigos nurodo duomenis atskaičiusios neįvykdytas SA pozicijas.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Prekybos finansavimas (papildomas straipsnis). Sverto koeficiento pozicijos vertė. IRB pozicijos</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 skolinimu prekių arba paslaugų eksportuotojui arba importuotojui teikiant importo ir eksporto kreditus ir pagal panašius sandorius susijusių balansinių straipsnių sverto koeficiento pozicijų suma.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Įstaigos nurodo duomenis atskaičiusios neįvykdytas IRB pozicijas.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Prekybos finansavimas (papildomas straipsnis). RWEA. SA pozicijos</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 skolinimu prekių arba paslaugų eksportuotojui arba importuotojui teikiant importo ir eksporto kreditus ir pagal panašius sandorius susijusių balansinių straipsnių pagal riziką įvertintos pozicijos vertė.</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SA pozicijas.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Prekybos finansavimas (papildomas straipsnis). RWEA. IRB pozicijos</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 skolinimu prekių arba paslaugų eksportuotojui arba importuotojui teikiant importo ir eksporto kreditus ir pagal panašius sandorius susijusių balansinių straipsnių pagal riziką įvertintų pozicijų suma.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Pr>
                <w:rFonts w:ascii="Times New Roman" w:hAnsi="Times New Roman"/>
                <w:b/>
                <w:sz w:val="24"/>
                <w:szCs w:val="24"/>
              </w:rPr>
              <w:t>pagal oficialiai remiamo eksporto kredito draudimo sistemą. Sverto koeficiento pozicijos vertė. SA pozicijos</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 prekybos finansavimu pagal oficialiai remiamo eksporto kredito draudimo sistemą susijusių balansinių straipsnių sverto koeficiento pozicijos vertė.</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Įstaigos nurodo duomenis atskaičiusios neįvykdytas SA pozicijas.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Pr>
                <w:rFonts w:ascii="Times New Roman" w:hAnsi="Times New Roman"/>
                <w:b/>
                <w:sz w:val="24"/>
                <w:szCs w:val="24"/>
              </w:rPr>
              <w:t>pagal oficialiai remiamo eksporto kredito draudimo sistemą. Sverto koeficiento pozicijos vertė. IRB pozicijos</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 prekybos finansavimu pagal oficialiai remiamo eksporto kredito draudimo sistemą susijusių balansinių straipsnių sverto koeficiento pozicijų suma.</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lastRenderedPageBreak/>
              <w:t>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 jų: pagal oficialiai remiamo eksporto kredito draudimo sistemą. RWEA. SA pozicijos.</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 prekybos finansavimu pagal oficialiai remiamo eksporto kredito draudimo sistemą susijusių balansinių straipsnių pagal riziką įvertintos pozicijos vertė.</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Įstaigos nurodo duomenis atskaičiusios neįvykdytas SA pozicijas.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14C18D55"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iš jų: </w:t>
            </w:r>
            <w:r w:rsidR="002B5DF0">
              <w:rPr>
                <w:rFonts w:ascii="Times New Roman" w:hAnsi="Times New Roman"/>
                <w:b/>
                <w:bCs/>
                <w:sz w:val="24"/>
                <w:szCs w:val="24"/>
              </w:rPr>
              <w:t>p</w:t>
            </w:r>
            <w:r>
              <w:rPr>
                <w:rFonts w:ascii="Times New Roman" w:hAnsi="Times New Roman"/>
                <w:b/>
                <w:bCs/>
                <w:sz w:val="24"/>
                <w:szCs w:val="24"/>
              </w:rPr>
              <w:t>agal oficialiai remiamo eksporto kredito draudimo sistemą. RWEA. IRB pozicijos.</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 prekybos finansavimu pagal oficialiai remiamo eksporto kredito draudimo sistemą susijusių balansinių straipsnių pagal riziką įvertintų pozicijų suma.</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LR4 formoje nurodoma oficialiai remiamo eksporto kredito draudimo sistema turi būti susijusi su vyriausybės arba kito subjekto, pvz., eksporto kreditų agentūros, teikiama oficialia parama, be kita ko, tiesioginiais kreditais / finansavimu, refinansavimu, palūkanų normos parama (kai kredito galiojimo laikotarpiu užtikrinama fiksuotoji palūkanų norma), pagalbos finansavimu (kreditais ir dotacijomis), eksporto kredito draudimu ir garantijomis.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Įstaigos nurodo duomenis atskaičiusios neįvykdytas IRB pozicijas.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926666"/>
      <w:r>
        <w:rPr>
          <w:rFonts w:ascii="Times New Roman" w:hAnsi="Times New Roman"/>
          <w:b/>
          <w:sz w:val="24"/>
          <w:szCs w:val="24"/>
        </w:rPr>
        <w:t>6.</w:t>
      </w:r>
      <w:r>
        <w:tab/>
      </w:r>
      <w:r>
        <w:rPr>
          <w:rFonts w:ascii="Times New Roman" w:hAnsi="Times New Roman"/>
          <w:b/>
          <w:sz w:val="24"/>
          <w:szCs w:val="24"/>
        </w:rPr>
        <w:t>C 44.00. Bendroji informacija</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Šioje formoje renkama informacija apie įstaigos veiklos kategorijas ir įstaigos pasirinktas teisės aktais nustatytas galimybes.</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lastRenderedPageBreak/>
              <w:t xml:space="preserve">Eilutė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ir skiltis</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Nurodymai</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Įstaigos bendrovės struktūra</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Įstaiga savo bendrovės struktūrą priskiria prie kurios nors iš šių kategorijų:</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akcinė bendrovė;</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savidraudos įmonė/kooperatinė bendrovė;</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kita neakcinė bendrovė.</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Išvestinių finansinių priemonių vertinimas</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Įstaiga reguliuojamąjį išvestinių finansinių priemonių vertinimą priskiria prie kurios nors iš šių kategorijų:</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Standartizuotas sandorio šalies kredito rizikos vertinimo metodas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Supaprastintas standartizuotas sandorio šalies kredito rizikos vertinimo metodas;</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pradinės pozicijos metodas;</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Įstaigos rūšis</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Įstaiga savo įstaigos struktūrą priskiria prie kurios nors iš šių kategorijų:</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universalioji bankininkystė (mažmeninė / komercinė ir investicinė bankininkystė);</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mažmeninė / komercinė bankininkystė;</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investicinė bankininkystė;</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specializuotas skolinimas;</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szCs w:val="24"/>
              </w:rPr>
              <w:t>- Viešosios plėtros kredito įstaigos;</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kitas verslo modelis.</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Įstaiga, turinti viešosios plėtros skyrių</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Įstaigos, kurios nėra viešosios plėtros kredito įstaigos, nurodo, ar jos turi viešosios plėtros skyrių.</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Subjektas, teikiantis garantiją viešosios plėtros kredito įstaigai / skyriui pagal KRR 429a straipsnio 2 dalies d punktą. Centrinė valdžia, regioninė valdžia arba vietos valdžios institucija</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Įstaigos, kurios yra viešosios plėtros </w:t>
            </w:r>
            <w:r>
              <w:rPr>
                <w:rFonts w:ascii="Times New Roman" w:hAnsi="Times New Roman"/>
                <w:color w:val="auto"/>
                <w:sz w:val="24"/>
                <w:szCs w:val="24"/>
              </w:rPr>
              <w:t xml:space="preserve">kredito įstaigos </w:t>
            </w:r>
            <w:r>
              <w:rPr>
                <w:rFonts w:ascii="Times New Roman" w:hAnsi="Times New Roman"/>
                <w:bCs/>
                <w:sz w:val="24"/>
                <w:szCs w:val="24"/>
              </w:rPr>
              <w:t>arba turi viešosios plėtros skyrių, nurodo, ar joms garantiją teikia centrinė valdžia, regioninė valdžia ar vietos valdžios institucija.</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Užtikrinimo teikėjo tipą (-us) atitinkančioje eilutėje įstaigos nurodo „TRUE“, o kitose eilutėse –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Centrinė valdžia, teikianti garantiją viešosios plėtros kredito įstaigai / skyriui</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Regioninė valdžia, teikianti garantiją viešosios plėtros kredito įstaigai / skyriui</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Vietos valdžios institucija, teikianti garantiją viešosios plėtros kredito įstaigai / skyriui</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Pagal KRR 429a straipsnio 2 dalies d punktą gautos garantijos rūšis.</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Įstaigos, kurios yra viešosios plėtros </w:t>
            </w:r>
            <w:r>
              <w:rPr>
                <w:rFonts w:ascii="Times New Roman" w:hAnsi="Times New Roman"/>
                <w:color w:val="auto"/>
                <w:sz w:val="24"/>
                <w:szCs w:val="24"/>
              </w:rPr>
              <w:t xml:space="preserve">kredito įstaigos </w:t>
            </w:r>
            <w:r>
              <w:rPr>
                <w:rFonts w:ascii="Times New Roman" w:hAnsi="Times New Roman"/>
                <w:bCs/>
                <w:sz w:val="24"/>
                <w:szCs w:val="24"/>
              </w:rPr>
              <w:t>arba turi viešosios plėtros skyrių, nurodo gauto užtikrinimo rūšį.</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Užtikrinimo tipą (-us) atitinkančioje eilutėje įstaigos nurodo „TRUE“, o kitose eilutėse –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Prievolė apsaugoti kredito įstaigos gyvybingumą</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įstaigos nuosavų lėšų reikalavimų, finansavimo reikalavimų ar suteiktų skatinamųjų paskolų tiesioginė garantija</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Kredito įstaigos nuosavų lėšų reikalavimų, finansavimo reikalavimų ar suteiktų skatinamųjų paskolų netiesioginė garantija</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926667"/>
      <w:r>
        <w:rPr>
          <w:rFonts w:ascii="Times New Roman" w:hAnsi="Times New Roman"/>
          <w:b/>
          <w:sz w:val="24"/>
          <w:szCs w:val="24"/>
        </w:rPr>
        <w:t>7.</w:t>
      </w:r>
      <w:r>
        <w:tab/>
      </w:r>
      <w:r>
        <w:rPr>
          <w:rFonts w:ascii="Times New Roman" w:hAnsi="Times New Roman"/>
          <w:b/>
          <w:sz w:val="24"/>
          <w:szCs w:val="24"/>
        </w:rPr>
        <w:t>C 48.00. Sverto koeficiento kintamumas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Informacija renkama siekiant stebėti sverto koeficiento kintamumą. Informaciją teikia tik didelės įstaigos.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926668"/>
      <w:r>
        <w:rPr>
          <w:rFonts w:ascii="Times New Roman" w:hAnsi="Times New Roman"/>
          <w:b/>
          <w:sz w:val="24"/>
          <w:szCs w:val="24"/>
        </w:rPr>
        <w:t>8.</w:t>
      </w:r>
      <w:r>
        <w:tab/>
      </w:r>
      <w:r>
        <w:rPr>
          <w:rFonts w:ascii="Times New Roman" w:hAnsi="Times New Roman"/>
          <w:b/>
          <w:sz w:val="24"/>
          <w:szCs w:val="24"/>
        </w:rPr>
        <w:t>C 48.01. Sverto koeficiento kintamumas Ataskaitinio laikotarpio aritmetinis vidurkis</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Eilutė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ir skiltis</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Nurodymai</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Ataskaitinio laikotarpio aritmetinis vidurkis. VPĮFS pozicijos vertė</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Įstaigos nurodo ataskaitinio ketvirčio VPĮFS pozicijos vertės dienos verčių vidurkį, atėmus kliento prekybos pozicijų, kurių tarpuskaitą atlieka pagrindinė sandorio šalis, dalį, kuriai taikoma išimtis, kaip apibrėžta C47.00 formos 0010 ir 0050 eilutėse.</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Ataskaitinio laikotarpio aritmetinis vidurkis. VPĮFS pardavimo apskaitos sandorių koregavimai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Įstaigos nurodo ataskaitinio ketvirčio VPĮFS pardavimo apskaitos sandorių koregavimų, apibrėžtų C47.00 formos 0230 eilutėje, dienos verčių vidurkį.</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926669"/>
      <w:r>
        <w:rPr>
          <w:rFonts w:ascii="Times New Roman" w:hAnsi="Times New Roman"/>
          <w:b/>
          <w:sz w:val="24"/>
          <w:szCs w:val="24"/>
        </w:rPr>
        <w:t>9.</w:t>
      </w:r>
      <w:r>
        <w:tab/>
      </w:r>
      <w:r>
        <w:rPr>
          <w:rFonts w:ascii="Times New Roman" w:hAnsi="Times New Roman"/>
          <w:b/>
          <w:sz w:val="24"/>
          <w:szCs w:val="24"/>
        </w:rPr>
        <w:t>C 48.02. Sverto koeficiento kintamumas Ataskaitinio laikotarpio dienos vertės</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Nurodomos ketvirčio dienos vertės.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Eilutė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ir skiltis</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Nurodymai</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Ataskaitinio laikotarpio ataskaitinė data</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Įstaigos nurodo datą, su kuria susijusi pranešama dienos vertė. Nurodoma kiekviena ataskaitinio ketvirčio diena.</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VPĮFS pozicijos vertė</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Įstaigos nurodo ataskaitinio ketvirčio VPĮFS pozicijos vertės dienos vertes, atėmus kliento prekybos pozicijų, kurių tarpuskaitą atlieka pagrindinė sandorio šalis, dalį, kuriai taikoma išimtis, kaip nurodyta C47.00 formos 0010 ir 0050 eilutėse.</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VPĮFS pardavimo apskaitos sandorių koregavimai</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Įstaigos nurodo ataskaitinio ketvirčio VPĮFS pardavimo apskaitos sandorių koregavimų, apibrėžtų C47.00 formos 0230 eilutėje, dienos vertes.</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5288B" w14:textId="77777777" w:rsidR="004D7951" w:rsidRDefault="004D7951">
      <w:r>
        <w:separator/>
      </w:r>
    </w:p>
  </w:endnote>
  <w:endnote w:type="continuationSeparator" w:id="0">
    <w:p w14:paraId="724D4373" w14:textId="77777777" w:rsidR="004D7951" w:rsidRDefault="004D7951">
      <w:r>
        <w:continuationSeparator/>
      </w:r>
    </w:p>
  </w:endnote>
  <w:endnote w:type="continuationNotice" w:id="1">
    <w:p w14:paraId="358F75B2" w14:textId="77777777" w:rsidR="004D7951" w:rsidRDefault="004D79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2D696174" w:rsidR="000B66BC" w:rsidRDefault="000B66BC">
        <w:pPr>
          <w:pStyle w:val="Footer"/>
          <w:jc w:val="center"/>
        </w:pPr>
        <w:r>
          <w:fldChar w:fldCharType="begin"/>
        </w:r>
        <w:r>
          <w:instrText xml:space="preserve"> PAGE   \* MERGEFORMAT </w:instrText>
        </w:r>
        <w:r>
          <w:fldChar w:fldCharType="separate"/>
        </w:r>
        <w:r w:rsidR="006C2F56">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262F8151"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C51B9">
          <w:rPr>
            <w:rFonts w:ascii="Times New Roman" w:hAnsi="Times New Roman"/>
            <w:noProof/>
            <w:sz w:val="20"/>
          </w:rPr>
          <w:t>61</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1CF23" w14:textId="77777777" w:rsidR="004D7951" w:rsidRPr="004D223F" w:rsidRDefault="004D7951" w:rsidP="00C7701D">
      <w:r>
        <w:continuationSeparator/>
      </w:r>
    </w:p>
  </w:footnote>
  <w:footnote w:type="continuationSeparator" w:id="0">
    <w:p w14:paraId="47569DE1" w14:textId="77777777" w:rsidR="004D7951" w:rsidRDefault="004D7951">
      <w:r>
        <w:continuationSeparator/>
      </w:r>
    </w:p>
  </w:footnote>
  <w:footnote w:type="continuationNotice" w:id="1">
    <w:p w14:paraId="7A47AAE9" w14:textId="77777777" w:rsidR="004D7951" w:rsidRDefault="004D79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5DF0"/>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951"/>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2F56"/>
    <w:rsid w:val="006C3615"/>
    <w:rsid w:val="006C40B3"/>
    <w:rsid w:val="006C51B9"/>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t-L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t-L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t-LT"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FCACD-F88C-4872-B460-0AC572A8D3D9}">
  <ds:schemaRefs>
    <ds:schemaRef ds:uri="http://schemas.openxmlformats.org/officeDocument/2006/bibliography"/>
  </ds:schemaRefs>
</ds:datastoreItem>
</file>

<file path=customXml/itemProps2.xml><?xml version="1.0" encoding="utf-8"?>
<ds:datastoreItem xmlns:ds="http://schemas.openxmlformats.org/officeDocument/2006/customXml" ds:itemID="{09A9E7BA-85B8-4D77-83BA-23B082B9B382}">
  <ds:schemaRefs>
    <ds:schemaRef ds:uri="http://schemas.openxmlformats.org/officeDocument/2006/bibliography"/>
  </ds:schemaRefs>
</ds:datastoreItem>
</file>

<file path=customXml/itemProps3.xml><?xml version="1.0" encoding="utf-8"?>
<ds:datastoreItem xmlns:ds="http://schemas.openxmlformats.org/officeDocument/2006/customXml" ds:itemID="{EC017B36-0820-4943-B00A-FEAEF6CC3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17305</Words>
  <Characters>119412</Characters>
  <Application>Microsoft Office Word</Application>
  <DocSecurity>0</DocSecurity>
  <Lines>2653</Lines>
  <Paragraphs>1470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135247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2020-12-15T11:26:00Z</dcterms:modified>
</cp:coreProperties>
</file>