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XXIII LISA</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LÕPPTÄHTAEGADE</w:t>
      </w:r>
      <w:bookmarkStart w:id="0" w:name="_GoBack"/>
      <w:bookmarkEnd w:id="0"/>
      <w:r>
        <w:rPr>
          <w:rFonts w:ascii="Times New Roman" w:hAnsi="Times New Roman"/>
          <w:b/>
          <w:sz w:val="24"/>
          <w:szCs w:val="24"/>
        </w:rPr>
        <w:t xml:space="preserve"> JAOTUSE ARUANDLUSE JUHISED</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53E8C465" w14:textId="79B72D69" w:rsidR="00C819B3" w:rsidRPr="00C819B3" w:rsidRDefault="00391EF9">
      <w:pPr>
        <w:pStyle w:val="TOC1"/>
        <w:rPr>
          <w:rFonts w:ascii="Times New Roman" w:eastAsiaTheme="minorEastAsia" w:hAnsi="Times New Roman"/>
          <w:color w:val="auto"/>
          <w:sz w:val="24"/>
          <w:szCs w:val="24"/>
          <w:lang w:val="en-GB" w:eastAsia="en-GB"/>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909400" w:history="1">
        <w:r w:rsidR="00C819B3" w:rsidRPr="00C819B3">
          <w:rPr>
            <w:rStyle w:val="Hyperlink"/>
            <w:rFonts w:ascii="Times New Roman" w:hAnsi="Times New Roman"/>
            <w:b/>
            <w:sz w:val="24"/>
            <w:szCs w:val="24"/>
          </w:rPr>
          <w:t>I OSA. ÜLDISED JUHISED</w:t>
        </w:r>
        <w:r w:rsidR="00C819B3" w:rsidRPr="00C819B3">
          <w:rPr>
            <w:rFonts w:ascii="Times New Roman" w:hAnsi="Times New Roman"/>
            <w:webHidden/>
            <w:sz w:val="24"/>
            <w:szCs w:val="24"/>
          </w:rPr>
          <w:tab/>
        </w:r>
        <w:r w:rsidR="00C819B3" w:rsidRPr="00C819B3">
          <w:rPr>
            <w:rFonts w:ascii="Times New Roman" w:hAnsi="Times New Roman"/>
            <w:webHidden/>
            <w:sz w:val="24"/>
            <w:szCs w:val="24"/>
          </w:rPr>
          <w:fldChar w:fldCharType="begin"/>
        </w:r>
        <w:r w:rsidR="00C819B3" w:rsidRPr="00C819B3">
          <w:rPr>
            <w:rFonts w:ascii="Times New Roman" w:hAnsi="Times New Roman"/>
            <w:webHidden/>
            <w:sz w:val="24"/>
            <w:szCs w:val="24"/>
          </w:rPr>
          <w:instrText xml:space="preserve"> PAGEREF _Toc58909400 \h </w:instrText>
        </w:r>
        <w:r w:rsidR="00C819B3" w:rsidRPr="00C819B3">
          <w:rPr>
            <w:rFonts w:ascii="Times New Roman" w:hAnsi="Times New Roman"/>
            <w:webHidden/>
            <w:sz w:val="24"/>
            <w:szCs w:val="24"/>
          </w:rPr>
        </w:r>
        <w:r w:rsidR="00C819B3" w:rsidRPr="00C819B3">
          <w:rPr>
            <w:rFonts w:ascii="Times New Roman" w:hAnsi="Times New Roman"/>
            <w:webHidden/>
            <w:sz w:val="24"/>
            <w:szCs w:val="24"/>
          </w:rPr>
          <w:fldChar w:fldCharType="separate"/>
        </w:r>
        <w:r w:rsidR="00C819B3" w:rsidRPr="00C819B3">
          <w:rPr>
            <w:rFonts w:ascii="Times New Roman" w:hAnsi="Times New Roman"/>
            <w:webHidden/>
            <w:sz w:val="24"/>
            <w:szCs w:val="24"/>
          </w:rPr>
          <w:t>2</w:t>
        </w:r>
        <w:r w:rsidR="00C819B3" w:rsidRPr="00C819B3">
          <w:rPr>
            <w:rFonts w:ascii="Times New Roman" w:hAnsi="Times New Roman"/>
            <w:webHidden/>
            <w:sz w:val="24"/>
            <w:szCs w:val="24"/>
          </w:rPr>
          <w:fldChar w:fldCharType="end"/>
        </w:r>
      </w:hyperlink>
    </w:p>
    <w:p w14:paraId="23C345E3" w14:textId="345F71B3" w:rsidR="00C819B3" w:rsidRDefault="00C819B3">
      <w:pPr>
        <w:pStyle w:val="TOC1"/>
        <w:rPr>
          <w:rFonts w:asciiTheme="minorHAnsi" w:eastAsiaTheme="minorEastAsia" w:hAnsiTheme="minorHAnsi" w:cstheme="minorBidi"/>
          <w:color w:val="auto"/>
          <w:sz w:val="22"/>
          <w:szCs w:val="22"/>
          <w:lang w:val="en-GB" w:eastAsia="en-GB"/>
        </w:rPr>
      </w:pPr>
      <w:hyperlink w:anchor="_Toc58909401" w:history="1">
        <w:r w:rsidRPr="00C819B3">
          <w:rPr>
            <w:rStyle w:val="Hyperlink"/>
            <w:rFonts w:ascii="Times New Roman" w:hAnsi="Times New Roman"/>
            <w:b/>
            <w:sz w:val="24"/>
            <w:szCs w:val="24"/>
          </w:rPr>
          <w:t>II OSA. JUHISED KONKREETSETE RIDADE KOHTA</w:t>
        </w:r>
        <w:r w:rsidRPr="00C819B3">
          <w:rPr>
            <w:rFonts w:ascii="Times New Roman" w:hAnsi="Times New Roman"/>
            <w:webHidden/>
            <w:sz w:val="24"/>
            <w:szCs w:val="24"/>
          </w:rPr>
          <w:tab/>
        </w:r>
        <w:r w:rsidRPr="00C819B3">
          <w:rPr>
            <w:rFonts w:ascii="Times New Roman" w:hAnsi="Times New Roman"/>
            <w:webHidden/>
            <w:sz w:val="24"/>
            <w:szCs w:val="24"/>
          </w:rPr>
          <w:fldChar w:fldCharType="begin"/>
        </w:r>
        <w:r w:rsidRPr="00C819B3">
          <w:rPr>
            <w:rFonts w:ascii="Times New Roman" w:hAnsi="Times New Roman"/>
            <w:webHidden/>
            <w:sz w:val="24"/>
            <w:szCs w:val="24"/>
          </w:rPr>
          <w:instrText xml:space="preserve"> PAGEREF _Toc58909401 \h </w:instrText>
        </w:r>
        <w:r w:rsidRPr="00C819B3">
          <w:rPr>
            <w:rFonts w:ascii="Times New Roman" w:hAnsi="Times New Roman"/>
            <w:webHidden/>
            <w:sz w:val="24"/>
            <w:szCs w:val="24"/>
          </w:rPr>
        </w:r>
        <w:r w:rsidRPr="00C819B3">
          <w:rPr>
            <w:rFonts w:ascii="Times New Roman" w:hAnsi="Times New Roman"/>
            <w:webHidden/>
            <w:sz w:val="24"/>
            <w:szCs w:val="24"/>
          </w:rPr>
          <w:fldChar w:fldCharType="separate"/>
        </w:r>
        <w:r w:rsidRPr="00C819B3">
          <w:rPr>
            <w:rFonts w:ascii="Times New Roman" w:hAnsi="Times New Roman"/>
            <w:webHidden/>
            <w:sz w:val="24"/>
            <w:szCs w:val="24"/>
          </w:rPr>
          <w:t>5</w:t>
        </w:r>
        <w:r w:rsidRPr="00C819B3">
          <w:rPr>
            <w:rFonts w:ascii="Times New Roman" w:hAnsi="Times New Roman"/>
            <w:webHidden/>
            <w:sz w:val="24"/>
            <w:szCs w:val="24"/>
          </w:rPr>
          <w:fldChar w:fldCharType="end"/>
        </w:r>
      </w:hyperlink>
    </w:p>
    <w:p w14:paraId="323DFBA7" w14:textId="134EDFB4" w:rsidR="000D338D" w:rsidRPr="001A280E" w:rsidRDefault="00391EF9" w:rsidP="00347FF0">
      <w:pPr>
        <w:pStyle w:val="BodyText1"/>
        <w:rPr>
          <w:rFonts w:ascii="Times New Roman" w:hAnsi="Times New Roman"/>
          <w:sz w:val="24"/>
          <w:szCs w:val="24"/>
        </w:rPr>
      </w:pPr>
      <w:r>
        <w:rPr>
          <w:rFonts w:ascii="Times New Roman" w:hAnsi="Times New Roman"/>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8909400"/>
      <w:r>
        <w:rPr>
          <w:rFonts w:ascii="Times New Roman" w:hAnsi="Times New Roman"/>
          <w:b/>
          <w:sz w:val="24"/>
          <w:szCs w:val="24"/>
        </w:rPr>
        <w:lastRenderedPageBreak/>
        <w:t>I OSA.</w:t>
      </w:r>
      <w:bookmarkEnd w:id="1"/>
      <w:r>
        <w:rPr>
          <w:rFonts w:ascii="Times New Roman" w:hAnsi="Times New Roman"/>
          <w:b/>
          <w:sz w:val="24"/>
          <w:szCs w:val="24"/>
        </w:rPr>
        <w:t xml:space="preserve"> ÜLDISED JUHISED</w:t>
      </w:r>
      <w:bookmarkEnd w:id="2"/>
      <w:bookmarkEnd w:id="3"/>
      <w:bookmarkEnd w:id="4"/>
      <w:bookmarkEnd w:id="5"/>
    </w:p>
    <w:p w14:paraId="2E158D77" w14:textId="77777777" w:rsidR="003A5275" w:rsidRPr="001A280E" w:rsidRDefault="003A5275" w:rsidP="00F52876">
      <w:pPr>
        <w:pStyle w:val="InstructionsText2"/>
        <w:ind w:left="720" w:hanging="360"/>
        <w:rPr>
          <w:rFonts w:eastAsia="Times New Roman"/>
          <w:bCs/>
          <w:sz w:val="24"/>
        </w:rPr>
      </w:pPr>
      <w:bookmarkStart w:id="6" w:name="_Toc264038399"/>
      <w:bookmarkStart w:id="7" w:name="_Toc294018834"/>
      <w:r>
        <w:rPr>
          <w:bCs/>
          <w:sz w:val="24"/>
        </w:rPr>
        <w:t>1.</w:t>
      </w:r>
      <w:r>
        <w:tab/>
      </w:r>
      <w:r>
        <w:rPr>
          <w:bCs/>
          <w:sz w:val="24"/>
        </w:rPr>
        <w:t>Oma tegevuse lõpptähtaegade mittevastavuse („lõpptähtaegade jaotus“) kajastamisel XXII lisas esitatud vormis kasutavad krediidiasutused ja investeerimisühingud käesolevas lisas sisalduvaid juhiseid.</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Lõpptähtaegade jaotuse seirevahend hõlmab lepingulisi ja tingimuslikke väljavoole. Õiguslikult siduvatest kokkulepetest tulenevaid lepingulisi vooge ja järelejäänud tähtaega aruandekuupäeva seisuga kajastatakse vastavalt asjaomaste õiguslikult siduvate kokkulepete sätetele.</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Krediidiasutused ja investeerimisühingud ei võta vahendite sissevoole arvesse topelt.</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tab/>
      </w:r>
      <w:r>
        <w:rPr>
          <w:bCs/>
          <w:sz w:val="24"/>
        </w:rPr>
        <w:t>Veerus „Algne seis“ kajastatakse kirjete seisu aruandekuupäeva seisuga.</w:t>
      </w:r>
    </w:p>
    <w:p w14:paraId="1B71806F" w14:textId="77777777" w:rsidR="003A5275" w:rsidRPr="001A280E" w:rsidRDefault="003A5275" w:rsidP="00746E56">
      <w:pPr>
        <w:pStyle w:val="InstructionsText2"/>
        <w:ind w:left="720" w:hanging="360"/>
        <w:rPr>
          <w:rFonts w:eastAsia="Times New Roman"/>
          <w:bCs/>
          <w:sz w:val="24"/>
        </w:rPr>
      </w:pPr>
      <w:r>
        <w:rPr>
          <w:bCs/>
          <w:sz w:val="24"/>
        </w:rPr>
        <w:t>5.</w:t>
      </w:r>
      <w:r>
        <w:tab/>
      </w:r>
      <w:r>
        <w:rPr>
          <w:bCs/>
          <w:sz w:val="24"/>
        </w:rPr>
        <w:t>XXII lisas esitatud vormis tuleb täita ainult tühjad valged lahtrid.</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tab/>
      </w:r>
      <w:r>
        <w:rPr>
          <w:bCs/>
          <w:sz w:val="24"/>
        </w:rPr>
        <w:t>Lõpptähtaegade jaotuse vormi jagu „Vahendite väljavool ja sissevool“ hõlmab kõigist bilansilistest ja bilansivälistest kirjetest tulenevaid tulevasi lepingulisi rahavoogusid. Kajastatakse üksnes aruandekuupäeval kehtivate lepingute kohaseid vahendite välja- ja sissevoole.</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tab/>
      </w:r>
      <w:r>
        <w:rPr>
          <w:bCs/>
          <w:sz w:val="24"/>
        </w:rPr>
        <w:t>Lõpptähtaegade jaotuse vormi jagu „Tasakaalustamissuutlikkus“ kujutab endast selliste koormamata varade või muude rahastamisallikate seisu, mis on krediidiasutusele või investeerimisühingule aruandekuupäeva seisuga õiguslikult ja praktiliselt kättesaadavad potentsiaalsete lepinguliste puudujääkide katmiseks. Kajastatakse üksnes aruandekuupäeval kehtivate lepingute kohaseid vahendite välja- ja sissevoole.</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tab/>
      </w:r>
      <w:r>
        <w:rPr>
          <w:bCs/>
          <w:sz w:val="24"/>
        </w:rPr>
        <w:t>Jaos „Vahendite väljavool“ esitatavaid raha väljavoole ja jaos „Vahendite sissevool“ esitatavaid raha sissevoole kajastatakse plussmärgiga brutosummana. Tasumisele kuuluvaid summasid kajastatakse jaos „Vahendite väljavool“ ja laekumisele kuuluvaid summasid jaos „Vahendite sissevool“.</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tab/>
      </w:r>
      <w:r>
        <w:rPr>
          <w:bCs/>
          <w:sz w:val="24"/>
        </w:rPr>
        <w:t>Lõpptähtaegade jaotuse vormi jaos „Tasakaalustamissuutlikkus“ kajastatakse vahendite sissevoolu plussmärgiga ja väljavoolu miinusmärgiga netosummana. Rahavoogude puhul kajastatakse tasumisele kuuluvaid summasid. Väärpaberite vooge kajastatakse praeguses turuväärtuses. Krediidi- ja likviidsusliinidest tulenevaid vooge kajastatakse lepingulises kasutada olevas summas.</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Lepingulised vood jaotatakse nende järelejäänud tähtaja järgi 22 tähtajaklassi; päevad tähistavad kalendripäevi.</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Kajastatakse kõiki lepingulisi vooge, sealhulgas kõik olulised muust tegevusest kui finantstegevus tulenevad rahavood, nagu maksud, lisatasud, dividendid ja üürimaksed.</w:t>
      </w:r>
    </w:p>
    <w:p w14:paraId="69B1B78B" w14:textId="77777777" w:rsidR="003A5275" w:rsidRPr="001A280E" w:rsidRDefault="003A5275" w:rsidP="00746E56">
      <w:pPr>
        <w:pStyle w:val="InstructionsText2"/>
        <w:ind w:left="720" w:hanging="360"/>
        <w:rPr>
          <w:rFonts w:eastAsia="Times New Roman"/>
          <w:bCs/>
          <w:sz w:val="24"/>
        </w:rPr>
      </w:pPr>
      <w:r>
        <w:rPr>
          <w:bCs/>
          <w:sz w:val="24"/>
        </w:rPr>
        <w:t>12.</w:t>
      </w:r>
      <w:r>
        <w:tab/>
      </w:r>
      <w:r>
        <w:rPr>
          <w:bCs/>
          <w:sz w:val="24"/>
        </w:rPr>
        <w:t>Voogude lepinguliste lõpptähtaegade kindlaksmääramisel konservatiivse lähenemisviisi kasutamiseks tagavad krediidiasutused ja investeerimisühingud kogu järgmise:</w:t>
      </w:r>
    </w:p>
    <w:p w14:paraId="3479641E" w14:textId="77777777" w:rsidR="003A5275" w:rsidRPr="001A280E" w:rsidRDefault="003A5275" w:rsidP="00F52876">
      <w:pPr>
        <w:pStyle w:val="InstructionsText2"/>
        <w:ind w:left="1440" w:hanging="360"/>
        <w:rPr>
          <w:rFonts w:eastAsia="Times New Roman"/>
          <w:bCs/>
          <w:sz w:val="24"/>
        </w:rPr>
      </w:pPr>
      <w:r>
        <w:rPr>
          <w:bCs/>
          <w:sz w:val="24"/>
        </w:rPr>
        <w:lastRenderedPageBreak/>
        <w:t>a)</w:t>
      </w:r>
      <w:r>
        <w:tab/>
      </w:r>
      <w:r>
        <w:rPr>
          <w:bCs/>
          <w:sz w:val="24"/>
        </w:rPr>
        <w:t>kui on võimalus tasumine edasi lükata või saada ettemakse, eeldatakse, et seda võimalust kasutatakse, kui selle tulemusel toimuks väljavool krediidiasutusest või investeerimisühingust varem või kui sissevool krediidiasutusse või investeerimisühingusse lükkuks edasi;</w:t>
      </w:r>
    </w:p>
    <w:p w14:paraId="300291EA" w14:textId="77777777" w:rsidR="003A5275" w:rsidRPr="001A280E" w:rsidRDefault="003A5275" w:rsidP="00746E56">
      <w:pPr>
        <w:pStyle w:val="InstructionsText2"/>
        <w:ind w:left="1440" w:hanging="360"/>
        <w:rPr>
          <w:rFonts w:eastAsia="Times New Roman"/>
          <w:bCs/>
          <w:sz w:val="24"/>
        </w:rPr>
      </w:pPr>
      <w:r>
        <w:rPr>
          <w:bCs/>
          <w:sz w:val="24"/>
        </w:rPr>
        <w:t>b)</w:t>
      </w:r>
      <w:r>
        <w:tab/>
      </w:r>
      <w:r>
        <w:rPr>
          <w:bCs/>
          <w:sz w:val="24"/>
        </w:rPr>
        <w:t>kui võimalus, mis puudutab varasemat väljavoolu krediidiasutusest või investeerimisühingust, on üksnes krediidiasutuse või investeerimisühingu otsustada, eeldatakse, et seda võimalust kasutatakse ainult juhul, kui turg ootab, et krediidiasutus või investeerimisühing seda teeks. Eeldatakse, et seda võimalust ei kasutata, kui selle tulemusel toimuks sissevool krediidiasutusse või investeerimisühingusse varem või kui väljavool krediidiasutusest või investeerimisühingust lükkuks edasi. Raha väljavoole, mille kõnealune sissevool endaga lepingu kohaselt kaasa toob (näiteks vahendaja kaudu rahastamise puhul), kajastatakse kõnealuse sissevooluga samal kuupäeval;</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tab/>
      </w:r>
      <w:r>
        <w:rPr>
          <w:bCs/>
          <w:sz w:val="24"/>
        </w:rPr>
        <w:t>kõiki nõudmiseni ja mittetähtaeguvaid hoiuseid kajastatakse üleööhoiustena veerus 020;</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tab/>
      </w:r>
      <w:r>
        <w:rPr>
          <w:bCs/>
          <w:sz w:val="24"/>
        </w:rPr>
        <w:t>avatud repotehinguid või pöördrepotehinguid ja sarnaseid tehinguid, mille mõlemad pooled võivad mis tahes päeval lõpetada, käsitatakse ööpäeva jooksul tähtaeguvana, välja arvatud juhul, kui etteteatamise tähtaeg on pikem kui üks päev; viimasel juhul kajastatakse neid etteteatamise tähtajaga järgi asjaomases tähtajaklassis;</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tab/>
      </w:r>
      <w:r>
        <w:rPr>
          <w:bCs/>
          <w:sz w:val="24"/>
        </w:rPr>
        <w:t xml:space="preserve">tähtajalisi jaehoiuseid, millel on ennetähtaegse väljavõtmise võimalus, käsitatakse tähtaeguvana ajavahemikus, mille jooksul ei kaasneks hoiuse ennetähtaegse väljavõtmisega delegeeritud määruse (EL) 2015/61 artikli 25 lõike 4 punkti b kohast leppetrahvi;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tab/>
      </w:r>
      <w:r>
        <w:rPr>
          <w:bCs/>
          <w:sz w:val="24"/>
        </w:rPr>
        <w:t>kui krediidiasutus või investeerimisühing ei suuda teatava kirje või selle osa puhul käesoleva lõike eeskirjade kohaselt minimaalsete lepinguliste maksete graafikut kehtestada, kajastab ta kirje või selle osa veerus 220 „Üle 5 aasta“.</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tab/>
      </w:r>
      <w:r>
        <w:rPr>
          <w:bCs/>
          <w:sz w:val="24"/>
        </w:rPr>
        <w:t>Kõigist bilansilistest ja bilansivälistest instrumentidest tulenevaid intresside välja- ja sissevoole kajastatakse jagude „Vahendite väljavool“ ja „Vahendite sissevool“ kõigis asjaomastes kirjetes.</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r>
        <w:rPr>
          <w:bCs/>
          <w:sz w:val="24"/>
        </w:rPr>
        <w:t>Tähtaeguvate välisvaluuta vahetustehingute puhul kajastatakse vormi asjaomastes tähtajaklassides erinevate valuutade intressimäära vahetustehingute ning valuuta forvardtehingute ja arveldamata hetkelepingute tähtaeguvat tinglikku väärtust.</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Arveldamata tehingutest tulenevaid rahavooge kajastatakse lühikese arveldamiseelse aja jooksul asjakohastel ridadel ja tähtajaklassides.</w:t>
      </w:r>
    </w:p>
    <w:p w14:paraId="1A90B2EC" w14:textId="77777777" w:rsidR="003A5275" w:rsidRPr="001A280E" w:rsidRDefault="003A5275" w:rsidP="00746E56">
      <w:pPr>
        <w:pStyle w:val="InstructionsText2"/>
        <w:ind w:left="720" w:hanging="360"/>
        <w:rPr>
          <w:rFonts w:eastAsia="Times New Roman"/>
          <w:bCs/>
          <w:sz w:val="24"/>
        </w:rPr>
      </w:pPr>
      <w:r>
        <w:rPr>
          <w:bCs/>
          <w:sz w:val="24"/>
        </w:rPr>
        <w:t>16.</w:t>
      </w:r>
      <w:r>
        <w:tab/>
      </w:r>
      <w:r>
        <w:rPr>
          <w:bCs/>
          <w:sz w:val="24"/>
        </w:rPr>
        <w:t>Selliste kirjete puhul, millele vastav äritegevus krediidiasutusel või investeerimisühingul puudub, näiteks kui tal ei ole teatavasse kategooriasse kuuluvaid hoiuseid, jäetakse lahter tühjaks.</w:t>
      </w:r>
    </w:p>
    <w:p w14:paraId="3C2CC015" w14:textId="77777777" w:rsidR="003A5275" w:rsidRPr="001A280E" w:rsidRDefault="003A5275" w:rsidP="00746E56">
      <w:pPr>
        <w:pStyle w:val="InstructionsText2"/>
        <w:ind w:left="720" w:hanging="360"/>
        <w:rPr>
          <w:rFonts w:eastAsia="Times New Roman"/>
          <w:bCs/>
          <w:sz w:val="24"/>
        </w:rPr>
      </w:pPr>
      <w:r>
        <w:rPr>
          <w:bCs/>
          <w:sz w:val="24"/>
        </w:rPr>
        <w:lastRenderedPageBreak/>
        <w:t>17.</w:t>
      </w:r>
      <w:r>
        <w:tab/>
      </w:r>
      <w:r>
        <w:rPr>
          <w:bCs/>
          <w:sz w:val="24"/>
        </w:rPr>
        <w:t>Kirjeid, mille tähtaeg on möödunud, ning kirjeid, mille puhul on krediidiasutusel või investeerimisühingul põhjust eeldada, et kohustusi ei täideta, ei kajastata.</w:t>
      </w:r>
    </w:p>
    <w:p w14:paraId="1BD1AFE3" w14:textId="27D29350" w:rsidR="003A5275" w:rsidRPr="001A280E" w:rsidRDefault="003A5275" w:rsidP="00746E56">
      <w:pPr>
        <w:pStyle w:val="InstructionsText2"/>
        <w:ind w:left="720" w:hanging="360"/>
        <w:rPr>
          <w:rFonts w:eastAsia="Times New Roman"/>
          <w:bCs/>
          <w:sz w:val="24"/>
        </w:rPr>
      </w:pPr>
      <w:r>
        <w:rPr>
          <w:bCs/>
          <w:sz w:val="24"/>
        </w:rPr>
        <w:t>18.</w:t>
      </w:r>
      <w:r>
        <w:tab/>
      </w:r>
      <w:r>
        <w:rPr>
          <w:bCs/>
          <w:sz w:val="24"/>
        </w:rPr>
        <w:t>Kui saadud tagatist kasutatakse edasitagamiseks tehingus, mis tähtaegub hiljem, kui tehing, mille käigus krediidiasutus või investeerimisühing tagatise sai, kajastatakse väärtpaberite väljavool saadud tagatise õiglase väärtuse summana jaos „Tasakaalustamissuutlikkus“ asjaomases klassis vastavalt selle tehingu lõpptähtajale, mis tingis tagatise saamise.</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Grupisisesed kirjed ei mõjuta andmete konsolideeritud alusel esitamist.</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58909401"/>
      <w:r>
        <w:rPr>
          <w:rFonts w:ascii="Times New Roman" w:hAnsi="Times New Roman"/>
          <w:b/>
          <w:sz w:val="24"/>
          <w:szCs w:val="24"/>
        </w:rPr>
        <w:lastRenderedPageBreak/>
        <w:t>II OSA. JUHISED KONKREETSETE RIDADE KOHTA</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Pr>
                <w:rFonts w:ascii="Times New Roman" w:hAnsi="Times New Roman"/>
                <w:sz w:val="24"/>
                <w:szCs w:val="24"/>
              </w:rPr>
              <w:t>Rida</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Viited õigussätetele ja juhised</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010–</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 VAHENDITE VÄLJAVOOL</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bCs/>
                <w:sz w:val="24"/>
                <w:szCs w:val="24"/>
              </w:rPr>
              <w:t>Raha</w:t>
            </w:r>
            <w:r>
              <w:rPr>
                <w:rFonts w:ascii="Times New Roman" w:hAnsi="Times New Roman"/>
                <w:sz w:val="24"/>
                <w:szCs w:val="24"/>
              </w:rPr>
              <w:t xml:space="preserve"> </w:t>
            </w:r>
            <w:r>
              <w:rPr>
                <w:rFonts w:ascii="Times New Roman" w:hAnsi="Times New Roman"/>
                <w:bCs/>
                <w:sz w:val="24"/>
                <w:szCs w:val="24"/>
              </w:rPr>
              <w:t>väljavoolu kogusummat kajastatakse järgmistes alamkategooriates.</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Kohustused, mis tulenevad emiteeritud väärtpaberitest</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Raha väljavoolud, mis tulenevad aruandva krediidiasutuse või investeerimisühingu emiteeritud võlaväärtpaberitest, st enda emissioonidest.</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 Tasumisele kuuluvad tagatiseta võlakirjad</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010 kajastatud sellistest emiteeritud väärtpaberitest tulenevate raha väljavoolude summa, mille moodustavad tagamata võlakirjad, mille aruandev krediidiasutus või investeerimisühing on kolmandatele isikutele emiteerinud.</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Reguleeritud pandikirjad</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010 kajastatud sellistest emiteeritud väärtpaberitest tulenevate raha väljavoolude summa, mille moodustavad võlakirjad, mida saab käsitleda määruse (EL) nr 575/2013 artikli 129 lõikes 4 või 5 või direktiivi 2009/65/EÜ artikli 52 lõikes 4 sätestatud korra kohaselt.</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1.1.3 Tasumisele kuuluvad väärtpaberistamise tehingud</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010 kajastatud sellistest emiteeritud väärtpaberitest tulenevate raha väljavoolude summa, mille puhul on tegemist kolmandate isikutega sõlmitud määruse (EL) nr 575/2013 artikli 4 lõike 1 punkti 61 kohaste väärtpaberistamise tehingutega.</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Muu</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010 kajastatud emiteeritud väärtpaberitest tulenevate raha väljavoolude summa, v.a eespool esitatud alamkategooriates kajastatu.</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 Tagatud laenuandmistehingutest ja kapitaliturupõhistest tehingutest tulenevad</w:t>
            </w:r>
            <w:r>
              <w:rPr>
                <w:rFonts w:ascii="Times New Roman" w:hAnsi="Times New Roman"/>
                <w:b/>
                <w:sz w:val="24"/>
                <w:szCs w:val="24"/>
              </w:rPr>
              <w:t xml:space="preserve"> </w:t>
            </w:r>
            <w:r>
              <w:rPr>
                <w:rFonts w:ascii="Times New Roman" w:hAnsi="Times New Roman"/>
                <w:b/>
                <w:sz w:val="24"/>
                <w:szCs w:val="24"/>
                <w:u w:val="thick" w:color="000000"/>
              </w:rPr>
              <w:t>kohustused, mille tagatiseks on:</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Määruse (EL) nr 575/2013 artiklis 192 määratletud tagatud laenuandmistehingutest ja kapitaliturupõhistest tehingutest tulenevate </w:t>
            </w:r>
            <w:r>
              <w:rPr>
                <w:rFonts w:ascii="Times New Roman" w:hAnsi="Times New Roman"/>
                <w:sz w:val="24"/>
                <w:szCs w:val="24"/>
              </w:rPr>
              <w:lastRenderedPageBreak/>
              <w:t>kõigi raha väljavoolude kogusumma.</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Krediidiasutused ja investeerimisühingud kajastavad üksnes rahavooge. Tagatud laenuandmistehingute ja kapitaliturupõhiste tehingutega seonduvaid väärpaberite vooge kajastatakse jaos „Tasakaalustamissuutlikkus“.</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1. tasandi kaubeldavad varad</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Real 070 kajastatud selliste raha väljavoolude summa, mis on tagatud kaubeldavate varadega, mis juhul, kui nad ei oleks asjaomases tehingus tagatiseks, vastaksid delegeeritud määruse (EL) 2015/61 artiklite 7, 8 ja 10 nõuetele.</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Delegeeritud määruse (EL) 2015/61 artikli 15 kohaseid ühiseks investeerimiseks loodud ettevõtja aktsiaid või osakuid, mis on 1. tasandi varad, kajastatakse järgmistes nende alusvaradele vastavates alamkategooriates.</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1. tasandi varad, v.a pandikirjad</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070 kajastatud selliste raha väljavoolude summa, mis on tagatud muu varaga kui pandikirjad.</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1. tasandi keskpanga varad</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Real 080 kajastatud selliste raha väljavoolude summa, mis on tagatud keskpankade vastu olevate või nende poolt garanteeritud nõuetega.</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1. tasandi varad (krediidikvaliteedi aste 1)</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080 kajastatud raha väljavoolude summa, mida ei ole kajastatud real 090 ja mis on tagatud emitendi või garantiiandja vastu olevate või tema poolt garanteeritud nõuetega, millele krediidikvaliteeti hindav määratud asutus on määranud krediidikvaliteedi astme 1.</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1. tasandi varad (krediidikvaliteedi astmed 2 ja 3)</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080 kajastatud raha väljavoolude summa, mida ei ole kajastatud real 090 ja mis on tagatud emitendi või garantiiandja vastu olevate või tema poolt garanteeritud nõuetega, millele krediidikvaliteeti hindav määratud asutus on määranud krediidikvaliteedi astme 2 või 3.</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1. tasandi varad (krediidikvaliteedi aste 4 või halvem)</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Real 080 kajastatud raha väljavoolude summa, mida ei ole kajastatud real 090 ja mis on tagatud emitendi või garantiiandja vastu olevate või tema </w:t>
            </w:r>
            <w:r>
              <w:rPr>
                <w:rFonts w:ascii="Times New Roman" w:hAnsi="Times New Roman"/>
                <w:sz w:val="24"/>
                <w:szCs w:val="24"/>
              </w:rPr>
              <w:lastRenderedPageBreak/>
              <w:t>poolt garanteeritud nõuetega, millele krediidikvaliteeti hindav määratud asutus on määranud krediidikvaliteedi astme 4 või halvema.</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1. tasandi pandikirjad (krediidikvaliteedi aste 1)</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Real 070 kajastatud selliste raha väljavoolude summa, mis on tagatud pandikirjadega.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Kooskõlas delegeeritud määruse (EL) 2015/61 artikli 10 lõike 1 punktiga f aktsepteeritakse 1. tasandi varadena ainult pandikirju, millel on krediidikvaliteedi aste 1.</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2A tasandi kaubeldavad varad</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060 kajastatud selliste raha väljavoolude summa, mis on tagatud kaubeldavate varadega, mis juhul, kui nad ei oleks asjaomases tehingus tagatiseks, vastaksid delegeeritud määruse (EL) 2015/61 artiklite 7, 8 ja 11 nõuetele.</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Delegeeritud määruse (EL) 2015/61 artikli 15 kohaseid ühiseks investeerimiseks loodud ettevõtja aktsiaid või osakuid, mis on 2A tasandi varad, kajastatakse järgmistes nende alusvaradele vastavates alamkategooriates.</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2A tasandi äriühingu võlakirjad (krediidikvaliteedi aste 1)</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140 kajastatud selliste raha väljavoolude summa, mis on tagatud äriühingu võlakirjadega, millele krediidikvaliteeti hindav määratud asutus on määranud krediidikvaliteedi astme 1.</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2A tasandi pandikirjad (krediidikvaliteedi astmed 1 ja 2)</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140 kajastatud selliste raha väljavoolude summa, mis on tagatud pandikirjadega, millele krediidikvaliteeti hindav määratud asutus on määranud krediidikvaliteedi astme 1 või 2.</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2A tasandi avaliku sektori varad (krediidikvaliteedi astmed 1 ja 2)</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Real 140 kajastatud selliste raha väljavoolude summa, mis on tagatud keskvalitsuste, keskpankade, piirkondlike valitsuste, kohalike omavalitsuste või avaliku sektori asutuste vastu olevate või nende poolt garanteeritud nõuetega.</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Kooskõlas delegeeritud määruse (EL) 2015/61 artikli 11 lõike 1 punktidega a ja b peab kõigil 2A tasandi varadena aktsepteeritavatel avaliku sektori </w:t>
            </w:r>
            <w:r>
              <w:rPr>
                <w:rFonts w:ascii="Times New Roman" w:hAnsi="Times New Roman"/>
                <w:sz w:val="24"/>
                <w:szCs w:val="24"/>
              </w:rPr>
              <w:lastRenderedPageBreak/>
              <w:t>varadel olema kas krediidikvaliteedi aste 1 või 2.</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2B tasandi kaubeldavad varad</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Real 060 kajastatud selliste raha väljavoolude summa, mis on tagatud kaubeldavate varadega, mis juhul, kui nad ei oleks asjaomases tehingus tagatiseks, vastaksid delegeeritud määruse (EL) 2015/61 artiklite 7, 8 ja 12 või 13 nõuetele.</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Delegeeritud määruse (EL) 2015/61 artikli 15 kohaseid ühiseks investeerimiseks loodud ettevõtja aktsiaid või osakuid, mis on 2B tasandi varad, kajastatakse järgmistes nende alusvaradele vastavates alamkategooriates.</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2B tasandi varaga tagatud väärtpaberid (krediidikvaliteedi aste 1)</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 xml:space="preserve">Real 180 kajastatud selliste raha väljavoolude summa, mis on tagatud varaga tagatud väärtpaberitega, sh eluasemehüpoteekväärtpaberid.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Kooskõlas delegeeritud määruse (EL) 2015/61 artikli 13 lõike 2 punktiga a on kõigil 2B tasandi varadena aktsepteeritavatel varaga tagatud väärtpaberitel krediidikvaliteedi aste 1.</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2B tasandi pandikirjad (krediidikvaliteedi astmed 1–6)</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180 kajastatud selliste raha väljavoolude summa, mis on tagatud pandikirjadega.</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2B tasandi äriühingu võlakirjad (krediidikvaliteedi astmed 1-3)</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180 kajastatud selliste raha väljavoolude summa, mis on tagatud äriühingu võlaväärtpaberitega.</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2B tasandi aktsiad</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Real 180 kajastatud selliste raha väljavoolude summa, mis on tagatud aktsiatega.</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2B tasandi avaliku sektori varad (krediidikvaliteedi astmed 3–5)</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Real 180 kajastatud selliste raha väljavoolude summa, mis on tagatud 2B tasandi varadega, mida ei ole kajastatud ridadel 190–220.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Muud kaubeldavad varad</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lastRenderedPageBreak/>
              <w:t>Real 060 kajastatud selliste raha väljavoolude summa, mis on tagatud kaubeldavate varadega, mida ei ole kajastatud ridadel 070, 140 või 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Muud varad</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Real 060 kajastatud selliste raha väljavoolude summa, mis on tagatud varadega, mida ei ole kajastatud ridadel 070, 140, 180 või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thick" w:color="000000"/>
              </w:rPr>
              <w:t>1.3 Kirjes 1.2 kajastamata kohustused, mis tulenevad saadud hoiustest,</w:t>
            </w:r>
            <w:r>
              <w:rPr>
                <w:rFonts w:ascii="Times New Roman" w:hAnsi="Times New Roman"/>
                <w:b/>
                <w:sz w:val="24"/>
                <w:szCs w:val="24"/>
              </w:rPr>
              <w:t xml:space="preserve"> </w:t>
            </w:r>
            <w:r>
              <w:rPr>
                <w:rFonts w:ascii="Times New Roman" w:hAnsi="Times New Roman"/>
                <w:b/>
                <w:sz w:val="24"/>
                <w:szCs w:val="24"/>
                <w:u w:val="thick" w:color="000000"/>
              </w:rPr>
              <w:t>v.a tagatisena saadud hoiused</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Raha väljavoolud, mis tulenevad kõigist saadud hoiustest, v.a real 060 kajastatud väljavoolud ja tagatisena saadud hoiused.</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Tuletisinstrumentidega tehtud tehingutest tulenevaid raha väljavoole kajastatakse real 350 või 360.</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Hoiuseid kajastatakse vastavalt nende varaseimale võimalikule lepingulisele lõpptähtajale. Hoiuseid, mille saab etteteatamiseta viivitamatult välja võtta (nõudmiseni hoiused) ja mittetähtaeguvaid hoiuseid kajastatakse tähtajaklassis „Üleöö“.</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Stabiilsed jaehoiused</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Real 260 kajastatud selliste raha väljavoolude summa, mis tulenevad delegeeritud määruse (EL) 2015/61 artikli 3 punkti 8 ja artikli 24 kohastest jaehoiustest.</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Muud jaehoiused</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260 kajastatud selliste raha väljavoolude summa, mis tulenevad delegeeritud määruse (EL) 2015/61 artikli 3 punkti 8 kohastest jaehoiustest, v.a need, mis on kajastatud real 270.</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Tegevushoiused</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260 kajastatud selliste raha väljavoolude summa, mis tulenevad delegeeritud määruse (EL) 2015/61 artikli 27 kohastest tegevushoiustest.</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Mittetegevushoiused krediidiasutustelt</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260 kajastatud selliste raha väljavoolude summa, mis tulenevad krediidiasutuste hoiustest, v.a need, mis on kajastatud real 290.</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1.3.5 Mittetegevushoiused muudelt finantssektorisse kuuluvatelt </w:t>
            </w:r>
            <w:r>
              <w:rPr>
                <w:rFonts w:ascii="Times New Roman" w:hAnsi="Times New Roman"/>
                <w:b/>
                <w:sz w:val="24"/>
                <w:szCs w:val="24"/>
                <w:u w:val="thick" w:color="000000"/>
              </w:rPr>
              <w:lastRenderedPageBreak/>
              <w:t>klientidelt</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260 kajastatud selliste raha väljavoolude summa, mis tulenevad finantssektorisse kuuluvate klientide hoiustest, v.a need, mis on kajastatud ridadel 290 ja 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Mittetegevushoiused keskpankadelt</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260 kajastatud selliste raha väljavoolude summa, mis tulenevad keskpankade mittetegevushoiustest.</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 Mittetegevushoiused finantssektorivälistelt äriühingutelt</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260 kajastatud selliste raha väljavoolude summa, mis tulenevad finantssektoriväliste äriühingute mittetegevushoiustest.</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Mittetegevushoiused muudelt vastaspooltelt</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260 kajastatud selliste raha väljavoolude summa, mis tulenevad hoiustest, mida ei ole kajastatud ridadel 270–330.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Tähtaeguvad välisvaluuta vahetustehingud</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Selliste raha väljavoolude kogusumma, mis tulenevad välisvaluuta vahetustehingute lõpptähtajast, näiteks põhisummade vahetamisest lepingu lõppedes.</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Tuletisinstrumentide alusel tasumisele kuuluvad summad, v.a kirjes 1.4 kajastatu</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Selliste raha väljavoolude kogusumma, mis tulenevad määruse (EL) nr 575/2013 II lisas loetletud lepingute kohaselt tuletisinstrumentide alusel tasumisele kuuluvate summade positsioonidest (välja arvatud tähtaeguvatest välisvaluuta vahetustehingutest tulenevad väljavoolud, mida kajastatakse real 350).</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Kogusummas kajastatakse arveldussummasid, sealhulgas arveldamata lisatagatise nõudeid, aruandekuupäeva seisuga.</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Kogusumma on eri tähtajaklasside lõikes punktide 1 ja 2 summa järgmiselt.</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tab/>
            </w:r>
            <w:r>
              <w:rPr>
                <w:rFonts w:ascii="Times New Roman" w:hAnsi="Times New Roman"/>
                <w:sz w:val="24"/>
                <w:szCs w:val="24"/>
              </w:rPr>
              <w:t xml:space="preserve">Lõpptähtaegade jaotuse vormides ei kajastata rahavooge ja väärpaberite vooge, mis on seotud tuletisinstrumentidega, mille puhul on sõlmitud tagatiskokkulepe, mille kohaselt on nõutav vastaspoole riskipositsioonide täielik või piisav tagatus. Neis vormides ei kajastata mingeid selliste tuletisinstrumentidega seotud rahavooge, väärpaberite vooge ega rahalistest tagatistest ja väärtpaberitagatistest tulenevaid vooge. </w:t>
            </w:r>
            <w:r>
              <w:rPr>
                <w:rFonts w:ascii="Times New Roman" w:hAnsi="Times New Roman"/>
                <w:sz w:val="24"/>
                <w:szCs w:val="24"/>
              </w:rPr>
              <w:lastRenderedPageBreak/>
              <w:t>Lõpptähtaegade jaotuse tasakaalustamissuutlikkust käsitleva 3. jao veerus „Seis“ ei kajastata tagatud tuletisinstrumentide alusel juba saadud või antud rahaliste tagatiste ja väärtpaberitagatiste seise, v.a raha- ja väärpaberite vood, mis on seotud lisatagatise nõuetega („rahaliste või väärtpaberitagatiste vood“), mis kuuluvad ettenähtud ajal tasumisele, kuid mida ei ole veel arveldatud. Viimati nimetatuid kajastatakse ridadel 1.5 („Tuletisinstrumentidest tulenevad raha väljavoolud“) ja 2.4 („Tuletisinstrumentidest tulenevad raha sissevoolud“) ning vormi 3. jaos („Tasakaalustamissuutlikkus“), kui tegemist on väärtpaberitagatisega.</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Raha ja väärtpaberite sisse- ja väljavoolude puhul, mis on seotud selliste tuletisinstrumentidega, mille puhul ei ole sõlmitud tagatiskokkulepet, või üksnes osalise tagatuse nõudmise korral, eristatakse valikuvõimalusi sisaldavaid lepinguid ja muid lepinguid:</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optsioonilaadsete tuletisinstrumentidega seotud vooge kajastatakse vaid juhul, kui täitmishind on ostuoptsiooni puhul turuhinnast madalam või müügioptsiooni puhul turuhinnast kõrgem („rahas“). Nende voogude puhul kasutatakse asendusväärtust, toimides mõlema järgmise punkti kohaselt:</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kajastades lepingu praegust turuväärtust või nüüdispuhasväärtust optsiooni hiliseimal võimalikul täitmiskuupäeval vahendite sissevooluna lõpptähtaegade jaotuse vormi real 2.4 („Tuletisinstrumentidest tulenevad raha sissevoolud“), kui pangal endal on õigus optsiooni kasutada;</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kajastades lepingu praegust turuväärtust või nüüdispuhasväärtust optsiooni varaseimal võimalikul täitmiskuupäeval vahendite väljavooluna lõpptähtaegade jaotuse vormi real 1.5 („Tuletisinstrumentidest tulenevad raha väljavoolud“), kui panga vastaspoolel on õigus optsiooni kasutada;</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b) muude kui punktis a osutatud lepingutega seotud vooge kajastatakse selliselt, et projitseeritakse raha lepingulised brutovood lõpptähtaegade jaotuse vormi ridade 1.5 („Tuletisinstrumentidest tulenevad raha väljavoolud“) ja 2.4 („Tuletisinstrumentidest tulenevad raha sissevoolud“) asjaomastesse tähtajaklassidesse ning likviidsete väärtpaberite lepingulised vood tasakaalustamissuutlikkuse jakku, kasutades juhul, kui summad ei ole veel kindlad, aruandekuupäeva seisuga kohaldatavaid praeguseid turupõhiseid forvardintressimäärasid ja/või -kursse.</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Muud vahendite väljavoolud</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Kõigi selliste muude raha väljavoolude kogusumma, mida ei ole kajastatud </w:t>
            </w:r>
            <w:r>
              <w:rPr>
                <w:rFonts w:ascii="Times New Roman" w:hAnsi="Times New Roman"/>
                <w:sz w:val="24"/>
                <w:szCs w:val="24"/>
              </w:rPr>
              <w:lastRenderedPageBreak/>
              <w:t>real 010, 060, 260, 350 või 360. Tingimuslikke väljavoole siin ei kajastata.</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Vahendite väljavool kokku</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Ridadel 010, 060, 260, 350, 360 ja 370 kajastatud vahendite väljavoolude summa.</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390–700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 VAHENDITE SISSEVOOL</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 Tagatud laenuandmistehingutest ja kapitaliturupõhistest tehingutest tulenevad rahalised nõuded, mille tagatiseks on:</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Määruse (EL) nr 575/2013 artiklis 192 määratletud tagatud laenuandmistehingutest ja kapitaliturupõhistest tehingutest tulenevate raha sissevoolude kogusumma.</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Siin kajastatakse üksnes rahavooge; tagatud laenuandmistehingute ja kapitaliturupõhiste tehingutega seonduvaid väärpaberite vooge kajastatakse jaos „Tasakaalustamissuutlikkus“.</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1. tasandi kaubeldavad varad</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390 kajastatud selliste raha sissevoolude summa, mis on tagatud delegeeritud määruse (EL) 2015/61 artiklite 7, 8 ja 10 kohaste kaubeldavate varadega.</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Delegeeritud määruse (EL) 2015/61 artikli 15 kohaseid ühiseks investeerimiseks loodud ettevõtja aktsiaid või osakuid, mis on 1. tasandi varad, kajastatakse järgmistes nende alusvaradele vastavates alamkategooriates.</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1. tasandi varad, v.a pandikirjad</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Real 400 kajastatud selliste raha sissevoolude summa, mis on tagatud muu varaga kui pandikirjad.</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1. tasandi keskpanga varad</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410 kajastatud selliste raha sissevoolude summa, mis on tagatud keskpankade vastu olevate või nende poolt garanteeritud nõuetega.</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1. tasandi varad (krediidikvaliteedi aste 1)</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Real 410 kajastatud raha sissevoolude summa, mida ei ole kajastatud real 420 ja mis on tagatud emitendi või garantiiandja vastu olevate või tema poolt garanteeritud nõuetega, millele krediidikvaliteeti hindav määratud </w:t>
            </w:r>
            <w:r>
              <w:rPr>
                <w:rFonts w:ascii="Times New Roman" w:hAnsi="Times New Roman"/>
                <w:sz w:val="24"/>
                <w:szCs w:val="24"/>
              </w:rPr>
              <w:lastRenderedPageBreak/>
              <w:t>asutus on määranud krediidikvaliteedi astme 1.</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1. tasandi varad (krediidikvaliteedi astmed 2 ja 3)</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410 kajastatud raha sissevoolude summa, mida ei ole kajastatud real 420 ja mis on tagatud emitendi või garantiiandja vastu olevate või tema poolt garanteeritud nõuetega, millele krediidikvaliteeti hindav määratud asutus on määranud krediidikvaliteedi astme 2 või 3.</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1. tasandi varad (krediidikvaliteedi aste 4 või halvem)</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410 kajastatud raha sissevoolude summa, mida ei ole kajastatud real 420 ja mis on tagatud emitendi või garantiiandja vastu olevate või tema poolt garanteeritud nõuetega, millele krediidikvaliteeti hindav määratud asutus on määranud krediidikvaliteedi astme 4 või halvema.</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1. tasandi pandikirjad (krediidikvaliteedi aste 1)</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Real 400 kajastatud selliste raha sissevoolude summa, mis on tagatud pandikirjadega.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Kooskõlas delegeeritud määruse (EL) 2015/61 artikli 10 lõike 1 punktiga f aktsepteeritakse 1. tasandi varadena ainult pandikirju, millel on krediidikvaliteedi aste 1.</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2A tasandi kaubeldavad varad</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390 kajastatud selliste raha sissevoolude summa, mis on tagatud delegeeritud määruse (EL) 2015/61 artiklite 7, 8 ja 11 kohaste kaubeldavate varadega.</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Delegeeritud määruse (EL) 2015/61 artikli 15 kohaseid ühiseks investeerimiseks loodud ettevõtja aktsiaid või osakuid, mis on 2A tasandi varad, kajastatakse järgmistes nende alusvaradele vastavates alamkategooriates.</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2A tasandi äriühingu võlakirjad (krediidikvaliteedi aste 1)</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Real 470 kajastatud selliste raha sissevoolude summa, mis on tagatud äriühingu võlakirjadega, millele krediidikvaliteeti hindav määratud asutus on määranud krediidikvaliteedi astme 1.</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2A tasandi pandikirjad (krediidikvaliteedi astmed 1 ja 2)</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Real 470 kajastatud selliste raha sissevoolude summa, mis on tagatud pandikirjadega, millele krediidikvaliteeti hindav määratud asutus on </w:t>
            </w:r>
            <w:r>
              <w:rPr>
                <w:rFonts w:ascii="Times New Roman" w:hAnsi="Times New Roman"/>
                <w:sz w:val="24"/>
                <w:szCs w:val="24"/>
              </w:rPr>
              <w:lastRenderedPageBreak/>
              <w:t>määranud krediidikvaliteedi astme 1 või 2.</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2A tasandi avaliku sektori varad (krediidikvaliteedi astmed 1 ja 2)</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Real 470 kajastatud selliste raha sissevoolude summa, mis on tagatud keskvalitsuste, keskpankade, piirkondlike valitsuste, kohalike omavalitsuste või avaliku sektori asutuste vastu olevate või nende poolt garanteeritud nõuetega.</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Kooskõlas delegeeritud määruse (EL) 2015/61 artikli 11 lõike 1 punktidega a ja b peab kõigil 2A tasandi varadena aktsepteeritavatel avaliku sektori varadel olema kas krediidikvaliteedi aste 1 või 2.</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2B tasandi kaubeldavad varad</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390 kajastatud selliste raha sissevoolude summa, mis on tagatud delegeeritud määruse (EL) 2015/61 artiklite 7, 8 ja 12 või 13 kohaste kaubeldavate varadega.</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Delegeeritud määruse (EL) 2015/61 artikli 15 kohaseid ühiseks investeerimiseks loodud ettevõtja aktsiaid või osakuid, mis on 2B tasandi varad, kajastatakse järgmistes nende alusvaradele vastavates alamkategooriates.</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2B tasandi varaga tagatud väärtpaberid (krediidikvaliteedi aste 1)</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Real 510 kajastatud selliste raha sissevoolude summa, mis on tagatud varaga tagatud väärtpaberitega, sh eluasemehüpoteekväärtpaberid.</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2B tasandi pandikirjad (krediidikvaliteedi astmed 1–6)</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Real 510 kajastatud selliste raha sissevoolude summa, mis on tagatud pandikirjadega.</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2B tasandi äriühingu võlakirjad (krediidikvaliteedi astmed 1-3)</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Real 510 kajastatud selliste raha sissevoolude summa, mis on tagatud äriühingu võlaväärtpaberitega.</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2B tasandi aktsiad</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Real 510 kajastatud selliste raha sissevoolude summa, mis on tagatud aktsiatega.</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2B tasandi avaliku sektori varad (krediidikvaliteedi astmed 3–5)</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510 kajastatud selliste raha sissevoolude summa, mis on tagatud 2B tasandi varadega, mida ei ole kajastatud ridadel 520–550.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Muud kaubeldavad varad</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390 kajastatud selliste raha sissevoolude summa, mis on tagatud kaubeldavate varadega, mida ei ole kajastatud ridadel 400, 470 või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Muud varad</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390 kajastatud selliste raha sissevoolude summa, mis on tagatud varadega, mida ei ole kajastatud ridadel 400, 470, 510 või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Kirjes 2.1 kajastamata rahalised nõuded, mis tulenevad laenudest ja ettemaksetest:</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Laenudest ja ettemaksetest tulenevad raha sissevoolud.</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Raha sissevoole kajastatakse hilisemail lepingujärgsel tagasimaksekuupäeval. Uuenevate laenude korral eeldatakse, et olemasolevat laenu on pikendatud, ja võimalikke jääke käsitletakse krediidilimiidina.</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Jaeklientidele</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590 kajastatud selliste raha sissevoolude summa, mis tulenevad delegeeritud määruse (EL) 2015/61 artikli 3 punkti 8 kohastest füüsilistest isikutest või VKEdest.</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 Finantssektorivälistele äriühingutele</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590 kajastatud selliste raha sissevoolude summa, mis tulenevad finantssektorivälistest äriühingutest.</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Krediidiasutustele</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590 kajastatud selliste raha sissevoolude summa, mis tulenevad krediidiasutustest.</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Muudele finantssektorisse kuuluvatele klientidele</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Real 590 kajastatud selliste raha sissevoolude summa, mis tulenevad delegeeritud määruse (EL) 2015/61 artikli 3 punkti 9 kohastest finantssektorisse kuuluvatest klientidest, v.a need, mis on kajastatud real </w:t>
            </w:r>
            <w:r>
              <w:rPr>
                <w:rFonts w:ascii="Times New Roman" w:hAnsi="Times New Roman"/>
                <w:sz w:val="24"/>
                <w:szCs w:val="24"/>
              </w:rPr>
              <w:lastRenderedPageBreak/>
              <w:t>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Keskpankadele</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590 kajastatud selliste raha sissevoolude summa, mis tulenevad keskpankadest.</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Muudele vastaspooltele</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590 kajastatud selliste raha sissevoolude summa, mis tulenevad muudest kui kirjetes 2.2.1–2.2.5 osutatud vastaspooltest.</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2.3 Tähtaeguvad välisvaluuta vahetustehingud</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Selliste lepinguliste raha sissevoolude kogusumma, mis tulenevad välisvaluuta vahetustehingute lõpptähtajast, näiteks põhisummade vahetamisest lepingu lõppedes.</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Siin kajastatakse vormi asjaomastes tähtajaklassides erinevate valuutade intressimäära vahetustehingute ning valuuta hetke- ja forvardtehingute tähtaeguvat tinglikku väärtust.</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tab/>
            </w:r>
            <w:r>
              <w:rPr>
                <w:rFonts w:ascii="Times New Roman" w:hAnsi="Times New Roman"/>
                <w:b/>
                <w:sz w:val="24"/>
                <w:szCs w:val="24"/>
                <w:u w:val="thick" w:color="000000"/>
              </w:rPr>
              <w:t>Tuletisinstrumentide alusel laekumisele kuuluvad summad, v.a kirjes 2.3 kajastatu</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Selliste lepinguliste raha sissevoolude kogusumma, mis tulenevad määruse (EL) nr 575/2013 II lisas loetletud lepingute kohaselt tuletisinstrumentide alusel laekumisele kuuluvate nõuete positsioonidest (välja arvatud tähtaeguvatest välisvaluuta vahetustehingutest tulenevad sissevoolud, mida kajastatakse kirjes 2.3).</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Kogusummas kajastatakse arveldussummasid, sealhulgas arveldamata lisatagatise nõuded, aruandekuupäeva seisuga.</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Kogusumma on eri tähtajaklasside lõikes punktide 1 ja 2 summa järgmiselt.</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tab/>
            </w:r>
            <w:r>
              <w:rPr>
                <w:rFonts w:ascii="Times New Roman" w:hAnsi="Times New Roman"/>
                <w:sz w:val="24"/>
                <w:szCs w:val="24"/>
              </w:rPr>
              <w:t xml:space="preserve">Lõpptähtaegade jaotuse vormis ei kajastata rahavooge ja väärpaberite vooge, mis on seotud tuletisinstrumentidega, mille puhul on sõlmitud tagatiskokkulepe, mille kohaselt on nõutav vastaspoole riskipositsioonide täielik või piisav tagatus. Vormis ei kajastata mingeid selliste tuletisinstrumentidega seotud rahavooge, väärpaberite vooge ega rahalistest tagatistest ja väärtpaberitagatistest tulenevaid vooge. Lõpptähtaegade jaotuse tasakaalustamissuutlikkust käsitleva 3. jao veerus „Seis“ ei kajastata tagatud tuletisinstrumentide alusel juba saadud või antud rahaliste tagatiste ja väärtpaberitagatiste seise, v.a raha- ja väärpaberite vood, mis on seotud lisatagatise nõuetega, mis kuuluvad ettenähtud ajal tasumisele, kuid mida ei ole veel arveldatud. Viimati nimetatuid kajastatakse lõpptähtaegade jaotuse </w:t>
            </w:r>
            <w:r>
              <w:rPr>
                <w:rFonts w:ascii="Times New Roman" w:hAnsi="Times New Roman"/>
                <w:sz w:val="24"/>
                <w:szCs w:val="24"/>
              </w:rPr>
              <w:lastRenderedPageBreak/>
              <w:t>vormi ridadel 1.5 („Tuletisinstrumentidest tulenevad raha väljavoolud“) ja 2.4 („Tuletisinstrumentidest tulenevad raha sissevoolud“) ning 3. jaos („Tasakaalustamissuutlikkus“), kui tegemist on väärtpaberitagatisega.</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tab/>
            </w:r>
            <w:r>
              <w:rPr>
                <w:rFonts w:ascii="Times New Roman" w:hAnsi="Times New Roman"/>
                <w:sz w:val="24"/>
                <w:szCs w:val="24"/>
              </w:rPr>
              <w:t>Raha ja väärtpaberite sisse- ja väljavoolude puhul, mis on seotud selliste tuletisinstrumentidega, mille puhul ei ole sõlmitud tagatiskokkulepet, või üksnes osalise tagatuse nõudmise korral, eristatakse valikuvõimalusi sisaldavaid lepinguid ja muid lepinguid:</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optsioonilaadsete tuletisinstrumentidega seotud vooge kajastatakse vaid juhul, kui need on rahas. Nende voogude puhul kasutatakse asendusväärtust, toimides mõlema järgmise punkti kohaselt:</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kajastades lepingu praegust turuväärtust või nüüdispuhasväärtust optsiooni hiliseimal võimalikul täitmiskuupäeval vahendite sissevooluna lõpptähtaegade jaotuse vormi real 2.4 („Tuletisinstrumentidest tulenevad raha sissevoolud“), kui pangal endal on õigus optsiooni kasutada;</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kajastades lepingu praegust turuväärtust või nüüdispuhasväärtust optsiooni varaseimal võimalikul täitmiskuupäeval vahendite väljavooluna lõpptähtaegade jaotuse vormi real 1.5 („Tuletisinstrumentidest tulenevad raha väljavoolud“), kui panga vastaspoolel on õigus optsiooni kasutada;</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r>
              <w:rPr>
                <w:rFonts w:ascii="Times New Roman" w:hAnsi="Times New Roman"/>
                <w:sz w:val="24"/>
                <w:szCs w:val="24"/>
              </w:rPr>
              <w:t>muude kui punktis a osutatud lepingutega seotud vooge kajastatakse selliselt, et projitseeritakse raha lepingulised brutovood lõpptähtaegade jaotuse vormi ridade 1.5 („Tuletisinstrumentidest tulenevad raha väljavoolud“) ja 2.4 („Tuletisinstrumentidest tulenevad raha sissevoolud“) asjaomastesse tähtajaklassidesse ning väärtpaberite lepingulised vood tasakaalustamissuutlikkuse jakku, kasutades juhul, kui summad ei ole veel kindlad, aruandekuupäeva seisuga kohaldatavaid praeguseid turupõhiseid forvardintressimäärasid ja/või -kursse.</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Enda portfellis tähtaeguvad võlaväärtpaberid</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Selliste sissevoolude summa, mille puhul on tegemist võlakirjadesse tehtud enda investeeringutelt laekumisele kuuluvate põhisumma tagasimaksetega, mida kajastatakse vastavalt võlakirjade lepingulisele järelejäänud tähtajale.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See kirje hõlmab tasakaalustamissuutlikkuse jaos kajastatud tähtaeguvatest võlaväärtpaberitest tulenevaid raha sissevoole. Kui väärtpaber on tähtaegunud, kajastatakse seda tasakaalustamissuutlikkuse jaos väärtpaberite väljavooluna ning sellest tulenevalt siin raha sissevooluna.</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Muud vahendite sissevoolud</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Kõigi selliste muude raha sissevoolude kogusumma, mida ei ole kajastatud real 390, 590, 660, 670 või 680.</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Tingimuslikke sissevoole ei kajastata.</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Vahendite sissevool kokku</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Ridadel 390, 590, 660, 670, 680 ja 690 kajastatud vahendite sissevoolude summa.</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Lepinguline netopuudujääk</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Real 700 kajastatud vahendite sissevoolud kokku miinus real 380 kajastatud vahendite väljavoolud kokku.</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 Kumulatiivne lepinguline netopuudujääk</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Kumulatiivne lepinguline netopuudujääk alates aruandekuupäevast kuni asjaomase tähtajaklassi ülempiirini.</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 TASAKAALUSTAMISSUUTLIKKUS</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Lõpptähtaegade jaotuse vormi jagu „Tasakaalustamissuutlikkus“ sisaldab teavet krediidiasutuse või investeerimisühingu hoitavate erineva likviidsusega varade, sealhulgas kaubeldavad varad, keskpanga seisukohalt aktsepteeritavad varad ning krediidiasutuse või investeerimisühingu lepinguliselt siduvad krediidilimiidid, arengu kohta.</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Keskpanga seisukohalt aktsepteeritavuse puhul on konsolideeritud alusel toimuva aruandluse korral aluseks iga konsolideeritud krediidiasutuse või investeerimisühingu suhtes tema asutamise jurisdiktsioonis kohaldatavad keskpanga seisukohalt aktsepteeritavuse eeskirjad.</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Kui tasakaalustamissuutlikkus viitab kaubeldavatele varadele, kajastavad krediidiasutused või investeerimisühingud </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kaubeldavaid varasid, millega kaubeldakse suurtel, sügavatel ja aktiivsetel repo- või hetketurgudel, mida iseloomustab madal kontsentreerituse tase.</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Tasakaalustamissuutlikkuse veergudes kajastatud varad hõlmavad ainult koormamata varasid, mida krediidiasutusel või investeerimisühingul on võimalik vahetada igal ajal raha vastu, et katta asjaomase perioodi jooksul raha sisse- ja väljavoolude vahelisi lepingulisi puudujääke. Selles kontekstis kohaldatakse komisjoni delegeeritud määruse (EL) 2015/61 kohast koormatud varade määratlust. Kõnealuseid varasid ei tohi kasutada </w:t>
            </w:r>
            <w:r>
              <w:rPr>
                <w:rFonts w:ascii="Times New Roman" w:hAnsi="Times New Roman"/>
                <w:sz w:val="24"/>
                <w:szCs w:val="24"/>
              </w:rPr>
              <w:lastRenderedPageBreak/>
              <w:t>krediidikvaliteedi parandamiseks struktureeritud tehingutes ega tegevuskulude (nagu üür ja töötasud) katmiseks ning nende haldamise selge ja ainus eesmärk peab olema nende kasutamine tingimuslike rahaliste vahendite allikana.</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Tasakaalustamissuutlikkuse hulka võib lugeda varasid, mille krediidiasutus või investeerimisühing on saanud tagatisena pöördrepotehingute ja väärtpaberite kaudu finantseerimise tehingute puhul, juhul kui neid varasid hoitakse selles krediidiasutuses või investeerimisühingus, neid ei ole edasi tagatud ning need on juriidiliselt ja lepingujärgselt kättesaadavad kasutamiseks krediidiasutuse või investeerimisühingu poolt.</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Kui krediidiasutus või investeerimisühing kajastab eelpositsioneeritud varasid kirjetes 3.1–3.7, ei kajasta ta topelt arvessevõtmise vältimiseks neid kirjes 3.8.</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Krediidiasutused ja investeerimisühingud kajastavad rea kirjeldusele vastavaid ja aruandekuupäeval kättesaadavaid varasid algse seisuna veerus 010.</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Veergudes 020–220 kajastatakse tasakaalustamissuutlikkusele vastavaid lepingulisi voogusid. Kui krediidiasutus või investeerimisühing on sõlminud repotehingu, siis kajastatakse repotehingu raames tagasi ostetud vara uuesti väärtpaberite sissevooluna selles tähtajaklassis, kus repotehing tähtaegub. Tähtaeguvast repotehingust tulenevat raha väljavoolu kajastatakse kirjes 1.2 asjaomases raha väljavoolu tähtajaklassis. Kui krediidiasutus või investeerimisühing on sõlminud pöördrepotehingu, siis kajastatakse repotehingu raames tagasi müüdud vara uuesti väärtpaberite väljavooluna selles tähtajaklassis, kus repotehing tähtaegub. Tähtaeguvast repotehingust tulenevat raha sissevoolu kajastatakse kirjes 2.1 asjaomases raha sissevoolu tähtajaklassis. Tagatise vahetustehinguid kajastatakse väärtpaberite lepinguliste sisse- ja väljavooludena tasakaalustamissuutlikkuse jao asjaomases tähtajaklassis, lähtuvalt sellest, millal need vahetustehingud tähtaeguvad.</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Kirjes 3.8 kajastatavat krediidi- ja likviidsusliinide lepingulise kasutadaoleva summa muutust kajastatakse voona asjaomases tähtajaklassis. Kui krediidiasutusel või investeerimisühingul on keskpangas üleööhoius, siis kajastatakse hoiuse summat algse seisuna kirjes 3.2 ja raha väljavooluna selle kirje tähtajaklassis „Üleöö”. Selle tulemusel tekkivat raha sissevoolu kajastatakse kirjes 2.2.5.</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Tasakaalustamissuutlikkuse hulka kuuluvaid tähtaeguvaid väärtpabereid kajastatakse lepingulise lõpptähtaja alusel. Lõpptähtaja saabudes arvatakse väärtpaber välja sellest varakategooriast, kus seda oli algselt kajastatud, seda käsitatakse väärtpaberite väljavooluna ning sellest tulenevat raha sissevoolu kajastatakse kirjes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Kõiki väärtpaberite väärtusi kajastatakse asjaomases tähtajaklassis </w:t>
            </w:r>
            <w:r>
              <w:rPr>
                <w:rFonts w:ascii="Times New Roman" w:hAnsi="Times New Roman"/>
                <w:sz w:val="24"/>
                <w:szCs w:val="24"/>
              </w:rPr>
              <w:lastRenderedPageBreak/>
              <w:t>praeguses turuväärtuses.</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Kirjes 3.8 kajastatakse ainult lepinguliselt kasutadaolevaid summasid.</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Topelt arvessevõtmise vältimiseks raha sissevoole tasakaalustamissuutlikkuse kirjes 3.1 või 3.2 ei kajastata.</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Tasakaalustamissuutlikkuse kirjeid tuleks kajastada järgmistes alamkategooriates.</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Mündid ja pangatähed</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Raha (sealhulgas mündid ja pangatähed) kogusumma.</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Väljavõetavad keskpanga reservid</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Keskpankades olevate hiljemalt ööpäeva jooksul väljavõetavate reservide kogusumma kooskõlas delegeeritud määruse (EL) 2015/61 artikli 10 lõike 1 punkti b alapunktiga iii.</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Siin ei kajastata väärtpabereid, milleks on keskpankade vastu olevad või nende poolt garanteeritud nõuded.</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1. tasandi kaubeldavad varad</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Kaubeldavate varade turuväärtus kooskõlas delegeeritud määruse (EL) 2015/61 artiklitega 7, 8 ja 10.</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Delegeeritud määruse (EL) 2015/61 artikli 15 kohaseid ühiseks investeerimiseks loodud ettevõtja aktsiaid või osakuid, mis on 1. tasandi varad, kajastatakse järgmistes nende alusvaradele vastavates alamkategooriates.</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1. tasandi varad, v.a pandikirjad</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Real 750 kajastatud summa, mis ei tulene pandikirjadest.</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1. tasandi keskpanga varad</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760 kajastatud summa, mis tuleneb keskpankade vastu olevatest või nende poolt garanteeritud nõuetest.</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1. tasandi varad (krediidikvaliteedi aste 1)</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Real 760 kajastatud summa, mida ei ole kajastatud real 770 ja mis tuleneb emitendi või garantiiandja vastu olevatest või tema poolt garanteeritud nõuetest, millele krediidikvaliteeti hindav määratud asutus on määranud </w:t>
            </w:r>
            <w:r>
              <w:rPr>
                <w:rFonts w:ascii="Times New Roman" w:hAnsi="Times New Roman"/>
                <w:sz w:val="24"/>
                <w:szCs w:val="24"/>
              </w:rPr>
              <w:lastRenderedPageBreak/>
              <w:t>krediidikvaliteedi astme 1.</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1. tasandi varad (krediidikvaliteedi astmed 2 ja 3)</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Real 760 kajastatud summa, mida ei ole kajastatud real 770 ja mis tuleneb emitendi või garantiiandja vastu olevatest või tema poolt garanteeritud nõuetest, millele krediidikvaliteeti hindav määratud asutus on määranud krediidikvaliteedi astme 2 või 3.</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1. tasandi varad (krediidikvaliteedi aste 4 või halvem)</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760 kajastatud summa, mida ei ole kajastatud real 770 ja mis tuleneb emitendi või garantiiandja vastu olevatest või tema poolt garanteeritud nõuetest, millele krediidikvaliteeti hindav määratud asutus on määranud krediidikvaliteedi astme 4 või halvema.</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1. tasandi pandikirjad (krediidikvaliteedi aste 1)</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Real 750 kajastatud summa, mis tuleneb pandikirjadest.</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Kooskõlas delegeeritud määruse (EL) 2015/61 artikli 10 lõike 1 punktiga f aktsepteeritakse 1. tasandi varadena ainult pandikirju, millel on krediidikvaliteedi aste 1.</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2A tasandi kaubeldavad varad</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Kaubeldavate varade turuväärtus kooskõlas delegeeritud määruse (EL) 2015/61 artiklitega 7, 8 ja 11.</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Delegeeritud määruse (EL) 2015/61 artikli 15 kohaseid ühiseks investeerimiseks loodud ettevõtja aktsiaid või osakuid, mis on 2A tasandi varad, kajastatakse järgmistes nende alusvaradele vastavates alamkategooriates.</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2A tasandi äriühingu võlakirjad (krediidikvaliteedi aste 1)</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820 kajastatud summa, mis tuleneb äriühingu võlakirjadest, millele krediidikvaliteeti hindav määratud asutus on määranud krediidikvaliteedi astme 1.</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2A tasandi pandikirjad (krediidikvaliteedi astmed 1 ja 2)</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Real 820 kajastatud summa, mis tuleneb pandikirjadest, millele krediidikvaliteeti hindav määratud asutus on määranud krediidikvaliteedi astme 1 või 2.</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2A tasandi avaliku sektori varad (krediidikvaliteedi astmed 1 ja 2)</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Real 820 kajastatud summa, mis tuleneb keskvalitsuste, keskpankade, piirkondlike valitsuste, kohalike omavalitsuste või avaliku sektori asutuste vastu olevatest või nende poolt garanteeritud nõuetest.</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Kooskõlas delegeeritud määruse (EL) 2015/61 artikli 11 lõike 1 punktidega a ja b peab kõigil 2A tasandi varadena aktsepteeritavatel avaliku sektori varadel olema kas krediidikvaliteedi aste 1 või 2.</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2B tasandi kaubeldavad varad</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Kaubeldavate varade turuväärtus kooskõlas delegeeritud määruse (EL) 2015/61 artiklitega 7, 8 ja 12 või 13.</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Delegeeritud määruse (EL) 2015/61 artikli 15 kohaseid ühiseks investeerimiseks loodud ettevõtja aktsiaid või osakuid, mis on 2B tasandi varad, kajastatakse järgmistes nende alusvaradele vastavates alamkategooriates.</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2B tasandi varaga tagatud väärtpaberid (krediidikvaliteedi aste 1)</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Real 860 kajastatud summa, mis tuleneb varaga tagatud väärtpaberitest (sh eluasemehüpoteekväärtpaberid).</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Kooskõlas delegeeritud määruse (EL) 2015/61 artikli 13 lõike 2 punktiga a on kõigil 2B tasandi varadena aktsepteeritavatel varaga tagatud väärtpaberitel krediidikvaliteedi aste 1.</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2B tasandi pandikirjad (krediidikvaliteedi astmed 1-6)</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Real 860 kajastatud summa, mis tuleneb pandikirjadest.</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2B tasandi äriühingu võlakirjad (krediidikvaliteedi astmed 1-3)</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Real 860 kajastatud summa, mis tuleneb äriühingu võlaväärtpaberitest.</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2B tasandi aktsiad</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Real 860 kajastatud summa, mis tuleneb aktsiatest.</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2B tasandi avaliku sektori varad (krediidikvaliteedi astmed 3–5)</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Real 860 kajastatud summa, mis on 2B tasandi varad, mida ei ole kajastatud kirjetes 3.5.1–3.5.4.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Muud kaubeldavad varad</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Muude kui ridadel 750, 820 ja 860 kajastatud kaubeldavate varade turuväärtus.</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Muudest kaubeldavatest varadest tulenevaid väärtpabereid ja väärtpaberite vooge grupisiseste või enda emissioonide kujul tasakaalustamissuutlikkuses ei kajastata. Sellistest kirjetest tulenevaid rahavooge kajastatakse siiski vormi 1. ja 2. jao asjaomases osas.</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Keskvalitsuse varad (krediidikvaliteedi aste 1)</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920 kajastatud summa, mis tuleneb keskvalitsuse vastu olevatest või selle garanteeritud nõuetest, millele krediidikvaliteeti hindav määratud asutus on määranud krediidikvaliteedi astme 1.</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Keskvalitsuse varad (krediidikvaliteedi astmed 2 ja 3)</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920 kajastatud summa, mis tuleneb keskvalitsuse vastu olevatest või selle garanteeritud nõuetest, millele krediidikvaliteeti hindav määratud asutus on määranud krediidikvaliteedi astme 2 või 3.</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Aktsiad</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Real 920 kajastatud summa, mis tuleneb aktsiatest.</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Pandikirjad</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Real 920 kajastatud summa, mis tuleneb pandikirjadest.</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Varaga tagatud väärtpaberid</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Real 920 kajastatud summa, mis tuleneb varaga tagatud väärtpaberitest.</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Muud kaubeldavad varad</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920 kajastatud summa, mis tuleneb muust kaubeldavast varast, mida ei ole kajastatud ridadel 930–970.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 Keskpanga seisukohalt aktsepteeritavad mittekaubeldavad varad</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Selliste mittekaubeldavate varade bilansiline väärtus, mida aktsepteeritakse tagatisena keskpanga tavapärastes likviidsusoperatsioonides, millele krediidiasutusel või investeerimisühingul on tema konsolideerimistasandil otse juurdepääs.</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Varade puhul, mis on nomineeritud valuutas, mis on lisatud komisjoni rakendusmääruse (EL) nr 2015/233</w:t>
            </w:r>
            <w:r>
              <w:rPr>
                <w:rStyle w:val="FootnoteReference"/>
                <w:rFonts w:ascii="Times New Roman" w:hAnsi="Times New Roman" w:cs="Times New Roman"/>
                <w:spacing w:val="-1"/>
                <w:sz w:val="24"/>
                <w:szCs w:val="24"/>
              </w:rPr>
              <w:footnoteReference w:id="2"/>
            </w:r>
            <w:r>
              <w:rPr>
                <w:rFonts w:ascii="Times New Roman" w:hAnsi="Times New Roman"/>
                <w:sz w:val="24"/>
                <w:szCs w:val="24"/>
              </w:rPr>
              <w:t xml:space="preserve"> lisasse valuutana, mille puhul on keskpanga aktsepteeritavad tagatised määratletud väga kitsalt, jätavad krediidiasutused ja investeerimisühingud selle lahtri tühjaks. Muudest kaubeldavatest varadest tulenevaid väärtpabereid ja väärtpaberite vooge grupisiseste või enda emissioonide kujul tasakaalustamissuutlikkuses ei kajastata. Sellistest kirjetest tulenevaid rahavooge kajastatakse siiski vormi 1. ja 2. jao asjaomases osas.</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Saadud kasutamata krediidilimiidid</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Aruandvale krediidiasutusele või investeerimisühingule antud kasutamata krediidilimiitide kogusumma.</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Need hõlmavad lepingulisi limiite, mida ei saa tühistada. Kui kõnealuste limiitide kasutamiseks potentsiaalselt vajalik tagatis on suurem kui kättesaadav tagatis, kajastavad krediidiasutused ja investeerimisühingud vähendatud summat.</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Kui aruandev krediidiasutus või investeerimisühing on varad kasutamata krediidilimiidi jaoks juba tagatisena eelpositsioneerinud ja need juba ridadel 730–990 kajastanud, siis topelt arvessevõtmise vältimiseks ei kajastata neid enam real 1000. Sama kehtib ka olukorras, kui aruandval krediidiasutusel või investeerimisühingul võib olla vaja varad tagatisena eelpositsioneerida krediidilimiidi siin lahtris kajastatud viisil kasutamiseks.</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1. tasandi krediidilimiidid</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1000 kajastatud summa, mis tuleneb delegeeritud määruse (EL) 2015/61 artikli 19 lõike 1 punkti b kohasest keskpanga krediidilimiidist.</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2B tasandi piiratud kasutusega krediidilimiidid</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1000 kajastatud summa, mis tuleneb delegeeritud määruse (EL) 2015/61 artikli 14 kohastest likviidsuslimiitidest.</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2B tasandi krediidiasutuste ja investeerimisühingute kaitseskeemi limiidid</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1000 kajastatud summa, mis tuleneb delegeeritud määruse (EL) 2015/61 artikli 16 lõike 2 kohasest likviidsuse rahastamisest.</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Muud krediidilimiidid</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lastRenderedPageBreak/>
              <w:t>Real 1000 kajastatud summa, mida ei ole kajastatud ridadel 1010–1030.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Grupisisestelt vastaspooltelt</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1040 kajastatud summa, kui vastaspool on krediidiasutuse või investeerimisühingu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Muudelt vastaspooltelt</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Real 1040 kajastatud summa, mida ei ole kajastatud real 1050.</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Tasakaalustamissuutlikkuse netomuutus</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Siin kajastatakse netomuutust, millele on viidatud kirjetes 3.2, 3.3, 3.4 ja 3.5, 3.6, 3.7 ja 3.8, mis kajastavad vastavalt asjaomases tähtajaklassis keskpankade vastu olevaid nõudeid, väärtpaberite vooge ja krediidiliine.</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Kumulatiivne tasakaalustamissuutlikkus</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Tasakaalustamissuutlikkuse kumulatiivne summa alates aruandekuupäevast kuni asjaomase tähtajaklassi ülempiirini.</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4 TINGIMUSLIKUD KIRJED</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Lõpptähtaegade jaotuse vormi jagu „Tingimuslikud kirjed“ sisaldab teavet tingimuslike väljavoolude kohta.</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Krediidilimiitidest tulenev vahendite väljavool</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Krediidilimiitidest tulenev raha väljavool.</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Krediidiasutused ja investeerimisühingud kajastavad väljavooluna maksimaalset summat, mille saab teataval ajavahemikul kasutusele võtta. Uuenevate krediidilimiitide korral kajastatakse ainult summat, mis ületab olemasolevat laenu.</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Krediidilimiidid</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1090 kajastatud summa, mis tuleneb delegeeritud määruse (EL) 2015/61 artikli 31 kohastest krediidilimiitidest.</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Varad, mida saaja käsitab 2B tasandi varadena</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1100 kajastatud summa, mida käsitatakse delegeeritud määruse (EL) 2015/61 artikli 16 lõike 2 kohaselt likviidsuse rahastamisena.</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Muu</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1100 kajastatud summa, mida ei ole kajastatud real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Likviidsuslimiidid</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1090 kajastatud summa, mis tuleneb delegeeritud määruse (EL) 2015/61 artikli 31 kohastest likviidsuslimiitidest.</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Reitingu alandamise käivitajatest tulenevad väljavoolud</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Krediidiasutused ja investeerimisühingud kajastavad siin oma sellise krediidikvaliteedi olulise halvenemise mõju, mis vastab välise krediidireitingu alandamisele vähemalt kolme astme võrra.</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Positiivsed summad vastavad tinglikele väljavooludele ja negatiivsed algse kohustuse vähenemisele.</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Kui reitingu alandamise mõjuks on tasumata kohustuste varajane lunastamine, kajastatakse asjaomaseid kohustusi miinusmärgiga ajavahemikus, mis vastab ajavahemikule, milles neid kajastati kirjes 1, ja samal ajal plussmärgiga ajavahemikus, mil saabub kohustuse tähtaeg, juhul kui reitingu alandamise mõju jõustub aruandekuupäeval.</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Kui reitingu alandamise mõjuks on lisatagatise nõue, kajastatakse antava tagatise turuväärtust plussmärgiga ajavahemikus, mil saabub nõude tähtaeg, juhul kui reitingu alandamise mõju jõustub aruandekuupäeval.</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Kui reitingu alandamise mõjuks on vastaspooltelt tagatisena saadud väärtpaberite edasitagamise õiguste muutumine, kajastatakse asjaomaste väärtpaberite turuväärtust plussmärgiga ajavahemikus, mil väärtpaberid muutuvad asjaomasele aruandvale krediidiasutusele või investeerimisühingule kättesaamatuks, juhul kui reitingu alandamise mõju jõustub aruandekuupäeval.</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 MEMOKIRJED</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Grupisisesed või krediidiasutuste ja investeerimisühingute kaitseskeemi sisesed väljavoolud (v.a välisvaluuta)</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Ridadel 010, 060, 260, 360 ja 370 kajastatud väljavoolude summa, kui vastaspool on krediidiasutuse või investeerimisühingu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Grupisisesed või krediidiasutuste ja investeerimisühingute kaitseskeemi sisesed sissevoolud (v.a välisvaluuta ja tähtaeguvad väärtpaberid)</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Ridadel 390, 590, 670 ja 690 kajastatud sissevoolude summa, kui vastaspool on krediidiasutuse või investeerimisühingu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Tähtaeguvatest väärtpaberitest tulenevad grupisisesed või krediidiasutuste ja investeerimisühingute kaitseskeemi sisesed sissevoolud</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Real 680 kajastatud sissevoolude summa, kui vastaspool on krediidiasutuse või investeerimisühingu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 Keskpanga seisukohalt aktsepteeritavad kõrge krediidikvaliteediga likviidsed varad</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Ridadel 750, 820 ja 860 kajastatud summade kogusumma, mida aktsepteeritakse tagatisena keskpanga tavapärastes likviidsusoperatsioonides, millele krediidiasutusel või investeerimisühingul on tema konsolideerimistasandil otse juurdepääs.</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Varade puhul, mis on nomineeritud valuutas, mis on lisatud määruse (EL) nr 2015/233 lisasse valuutana, mille puhul on keskpanga aktsepteeritavad tagatised määratletud väga kitsalt, jätavad krediidiasutused ja investeerimisühingud selle lahtri tühjaks.</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Keskpanga seisukohalt aktsepteeritavad varad, mis ei ole kõrge krediidikvaliteediga likviidsed varad</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Järgmiste summa:</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Real 920 kajastatud selliste summade summa, mida aktsepteeritakse tagatisena keskpanga tavapärastes likviidsusoperatsioonides, millele krediidiasutusel või investeerimisühingul on tema konsolideerimistasandil otse juurdepääs.</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ii) Enda emissioonid, mida aktsepteeritakse tagatisena keskpanga tavapärastes likviidsusoperatsioonides, millele krediidiasutusel või investeerimisühingul on tema konsolideerimistasandil otse juurdepääs.</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Varade puhul, mis on nomineeritud valuutas, mis on lisatud määrusesse (EL) nr 2015/233 valuutana, mille puhul on keskpanga aktsepteeritavad tagatised määratletud väga kitsalt, jätavad krediidiasutused ja investeerimisühingud selle lahtri tühjaks.</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Ootuspärased väljavoolud, mis tulenevad hoiustest</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Real 260 kajastatud summa, mis on jaotatud ümber tähtajaklassidesse lähtuvalt ootuspärasest lõpptähtajast ja mis põhineb seniste suundumuste jätkumise eeldusel ning mida kasutatakse aruandva krediidiasutuse või investeerimisühingu likviidsuse juhtimise eesmärgil.</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Käesoleva lahtri puhul tähendab seniste suundumuste jätkumine olukorda, kus ei eeldata likviidsuse puudumist.</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Ümberjaotamine kajastab hoiuste jäikust.</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See kirje ei kajasta äriplaani eeldusi ja ei hõlma seega teavet uute äritegevuste kohta.</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Tähtajaklassidesse jaotamine toimub sama detailsusega, mida kasutati sisemistel eesmärkidel. Järelikult ei ole kõiki tähtajaklasse täita vaja.</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Ootuspärased sissevoolud, mis tulenevad laenudest ja ettemaksetest</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Real 590 kajastatud summa, mis on jaotatud ümber tähtajaklassidesse lähtuvalt ootuspärasest lõpptähtajast ja mis põhineb seniste suundumuste jätkumise eeldusel ning mida kasutatakse aruandva krediidiasutuse või investeerimisühingu likviidsuse juhtimise eesmärgil.</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Käesoleva lahtri puhul tähendab seniste suundumuste jätkumine olukorda, kus ei eeldata likviidsuse puudumist.</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See kirje ei kajasta äriplaani eeldusi ja ei hõlma seega uusi äritegevusi.</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Tähtajaklassidesse jaotamine toimub sama detailsusega, mida kasutati sisemistel eesmärkidel. Järelikult ei ole kõiki tähtajaklasse täita vaja.</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 Krediidilimiitide ootuspärane kasutuselevõtt</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Real 1090 kajastatud summa, mis on jaotatud ümber tähtajaklassidesse lähtuvalt krediidilimiitide kasutuselevõtu ja sellest tulenevate likviidsusvajaduste ootuspärasest tasemest, mis põhineb seniste suundumuste jätkumise eeldusel ja mida kasutatakse aruandva krediidiasutuse või investeerimisühingu likviidsuse juhtimise eesmärgil.</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Käesoleva lahtri puhul tähendab seniste suundumuste jätkumine olukorda, kus ei eeldata likviidsuse puudumist.</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See kirje ei kajasta äriplaani eeldusi ja ei hõlma seega uusi äritegevusi.</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Tähtajaklassidesse jaotamine toimub sama detailsusega, mida kasutati sisemistel eesmärkidel. Järelikult ei ole kõiki tähtajaklasse täita vaja.</w:t>
            </w:r>
          </w:p>
        </w:tc>
      </w:tr>
      <w:bookmarkEnd w:id="13"/>
      <w:bookmarkEnd w:id="14"/>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2C12BFF8" w:rsidR="00FF6A85" w:rsidRDefault="00FF6A85">
        <w:pPr>
          <w:pStyle w:val="Footer"/>
          <w:jc w:val="right"/>
        </w:pPr>
        <w:r>
          <w:fldChar w:fldCharType="begin"/>
        </w:r>
        <w:r>
          <w:instrText xml:space="preserve"> PAGE   \* MERGEFORMAT </w:instrText>
        </w:r>
        <w:r>
          <w:fldChar w:fldCharType="separate"/>
        </w:r>
        <w:r w:rsidR="00C819B3">
          <w:rPr>
            <w:noProof/>
          </w:rPr>
          <w:t>20</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val="en-GB" w:eastAsia="en-GB"/>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19B3"/>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t-E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t-E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t-E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T/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691C7-43F4-47A5-95E2-903EA9D53EE7}">
  <ds:schemaRefs>
    <ds:schemaRef ds:uri="http://schemas.openxmlformats.org/officeDocument/2006/bibliography"/>
  </ds:schemaRefs>
</ds:datastoreItem>
</file>

<file path=customXml/itemProps2.xml><?xml version="1.0" encoding="utf-8"?>
<ds:datastoreItem xmlns:ds="http://schemas.openxmlformats.org/officeDocument/2006/customXml" ds:itemID="{B925B0CE-6776-4040-B9AB-C5C4A9D159C8}">
  <ds:schemaRefs>
    <ds:schemaRef ds:uri="http://schemas.openxmlformats.org/officeDocument/2006/bibliography"/>
  </ds:schemaRefs>
</ds:datastoreItem>
</file>

<file path=customXml/itemProps3.xml><?xml version="1.0" encoding="utf-8"?>
<ds:datastoreItem xmlns:ds="http://schemas.openxmlformats.org/officeDocument/2006/customXml" ds:itemID="{5D16AFEF-D07B-4E93-9805-F73158DAB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6162</Words>
  <Characters>46363</Characters>
  <Application>Microsoft Office Word</Application>
  <DocSecurity>0</DocSecurity>
  <Lines>1404</Lines>
  <Paragraphs>640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51885</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ARRO Terje (DGT)</cp:lastModifiedBy>
  <cp:revision>5</cp:revision>
  <cp:lastPrinted>2015-04-10T08:05:00Z</cp:lastPrinted>
  <dcterms:created xsi:type="dcterms:W3CDTF">2020-12-02T17:03:00Z</dcterms:created>
  <dcterms:modified xsi:type="dcterms:W3CDTF">2020-12-15T06:26:00Z</dcterms:modified>
</cp:coreProperties>
</file>