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381C7A5F" w:rsidR="00C36E0D" w:rsidRPr="004263A0" w:rsidRDefault="00007370" w:rsidP="004263A0">
      <w:pPr>
        <w:pStyle w:val="Pagedecouverture"/>
      </w:pPr>
      <w:bookmarkStart w:id="0" w:name="_GoBack"/>
      <w:bookmarkEnd w:id="0"/>
      <w:r>
        <w:pict w14:anchorId="343001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1AADD67-1990-4C9D-A89E-E163EF5A5BA7" style="width:450.65pt;height:409.45pt">
            <v:imagedata r:id="rId8" o:title=""/>
          </v:shape>
        </w:pict>
      </w:r>
    </w:p>
    <w:p w14:paraId="703F7C0E" w14:textId="77777777" w:rsidR="0004170D" w:rsidRPr="004263A0" w:rsidRDefault="0004170D">
      <w:pPr>
        <w:sectPr w:rsidR="0004170D" w:rsidRPr="004263A0" w:rsidSect="00172FF0">
          <w:footerReference w:type="default" r:id="rId9"/>
          <w:pgSz w:w="11907" w:h="16839"/>
          <w:pgMar w:top="1134" w:right="1417" w:bottom="1134" w:left="1417" w:header="709" w:footer="709" w:gutter="0"/>
          <w:pgNumType w:start="0"/>
          <w:cols w:space="720"/>
          <w:docGrid w:linePitch="360"/>
        </w:sectPr>
      </w:pPr>
    </w:p>
    <w:p w14:paraId="4E87218B" w14:textId="015FD2D6" w:rsidR="0004170D" w:rsidRPr="004263A0" w:rsidRDefault="004263A0" w:rsidP="004263A0">
      <w:pPr>
        <w:pStyle w:val="Typedudocument"/>
      </w:pPr>
      <w:r w:rsidRPr="004263A0">
        <w:lastRenderedPageBreak/>
        <w:t>PROVÁDĚCÍ NAŘÍZENÍ KOMISE (EU) …/...</w:t>
      </w:r>
    </w:p>
    <w:p w14:paraId="311EA019" w14:textId="1D58B6BB" w:rsidR="0004170D" w:rsidRPr="004263A0" w:rsidRDefault="004263A0" w:rsidP="004263A0">
      <w:pPr>
        <w:pStyle w:val="Datedadoption"/>
      </w:pPr>
      <w:r w:rsidRPr="004263A0">
        <w:t xml:space="preserve">ze dne </w:t>
      </w:r>
      <w:r w:rsidRPr="004263A0">
        <w:rPr>
          <w:rStyle w:val="Marker2"/>
        </w:rPr>
        <w:t>XXX</w:t>
      </w:r>
      <w:r w:rsidRPr="004263A0">
        <w:t>,</w:t>
      </w:r>
    </w:p>
    <w:p w14:paraId="7EF0A74F" w14:textId="2E0DF248" w:rsidR="0004170D" w:rsidRPr="004263A0" w:rsidRDefault="004263A0" w:rsidP="004263A0">
      <w:pPr>
        <w:pStyle w:val="Titreobjet"/>
      </w:pPr>
      <w:r w:rsidRPr="004263A0">
        <w:t xml:space="preserve">kterým se stanoví prováděcí technické normy pro uplatňování nařízení Evropského parlamentu a Rady (EU) č. 575/2013, pokud jde o podávání zpráv institucí pro účely dohledu, a kterým se zrušuje prováděcí nařízení (EU) č. 680/2014 </w:t>
      </w:r>
      <w:r w:rsidRPr="004263A0">
        <w:br/>
      </w:r>
    </w:p>
    <w:p w14:paraId="714F85CC" w14:textId="76E8E932" w:rsidR="0004170D" w:rsidRPr="004263A0" w:rsidRDefault="004263A0" w:rsidP="004263A0">
      <w:pPr>
        <w:pStyle w:val="IntrtEEE"/>
      </w:pPr>
      <w:r w:rsidRPr="004263A0">
        <w:t>(Text s významem pro EHP)</w:t>
      </w:r>
    </w:p>
    <w:p w14:paraId="12CCC5F1" w14:textId="77777777" w:rsidR="0004170D" w:rsidRPr="004263A0" w:rsidRDefault="0004170D" w:rsidP="009675DD">
      <w:pPr>
        <w:pStyle w:val="Institutionquiagit"/>
      </w:pPr>
      <w:r w:rsidRPr="004263A0">
        <w:t>EVROPSKÁ KOMISE,</w:t>
      </w:r>
    </w:p>
    <w:p w14:paraId="54D27881" w14:textId="77777777" w:rsidR="0004170D" w:rsidRPr="004263A0" w:rsidRDefault="0004170D" w:rsidP="009675DD">
      <w:r w:rsidRPr="004263A0">
        <w:t>s ohledem na Smlouvu o fungování Evropské unie,</w:t>
      </w:r>
    </w:p>
    <w:p w14:paraId="2965D16B" w14:textId="4EFD17A3" w:rsidR="0004170D" w:rsidRPr="004263A0" w:rsidRDefault="00AD21AA" w:rsidP="009675DD">
      <w:pPr>
        <w:rPr>
          <w:rFonts w:eastAsia="Times New Roman"/>
          <w:noProof/>
          <w:color w:val="000000"/>
        </w:rPr>
      </w:pPr>
      <w:r w:rsidRPr="004263A0">
        <w:t>s ohledem na nařízení Evropského parlamentu a Rady (EU) č. 575/2013 ze dne 26. června 2013 o obezřetnostních požadavcích na úvěrové instituce a investiční podniky a o změně nařízení (EU) č. 648/2012,</w:t>
      </w:r>
      <w:r w:rsidRPr="004263A0">
        <w:rPr>
          <w:rStyle w:val="FootnoteReference"/>
        </w:rPr>
        <w:footnoteReference w:id="1"/>
      </w:r>
      <w:r w:rsidRPr="004263A0">
        <w:t xml:space="preserve"> a zejména na čl. 415 odst. 3 první pododstavec, čl. 415 odst. 3a první pododstavec, čl. 430 odst. 7 první pododstavec a čl. 430 odst. 9 druhý pododstavec uvedeného nařízení,</w:t>
      </w:r>
    </w:p>
    <w:p w14:paraId="421FC692" w14:textId="77777777" w:rsidR="0004170D" w:rsidRPr="004263A0" w:rsidRDefault="0004170D" w:rsidP="009675DD">
      <w:r w:rsidRPr="004263A0">
        <w:t>vzhledem k těmto důvodům:</w:t>
      </w:r>
    </w:p>
    <w:p w14:paraId="0A7D0586" w14:textId="77777777" w:rsidR="00AD21AA" w:rsidRPr="004263A0" w:rsidRDefault="00AD21AA" w:rsidP="0047317A">
      <w:pPr>
        <w:pStyle w:val="Considrant"/>
        <w:numPr>
          <w:ilvl w:val="0"/>
          <w:numId w:val="11"/>
        </w:numPr>
      </w:pPr>
      <w:r w:rsidRPr="004263A0">
        <w:t>Aniž jsou dotčeny pravomoci příslušných orgánů podle čl. 104 odst. 1 písm. j) směrnice Evropského parlamentu a Rady 2013/36/EU</w:t>
      </w:r>
      <w:r w:rsidRPr="004263A0">
        <w:rPr>
          <w:rStyle w:val="FootnoteReference"/>
        </w:rPr>
        <w:footnoteReference w:id="2"/>
      </w:r>
      <w:r w:rsidRPr="004263A0">
        <w:t>, stanoví prováděcí nařízení Komise (EU) č. 680/2014</w:t>
      </w:r>
      <w:r w:rsidRPr="004263A0">
        <w:rPr>
          <w:rStyle w:val="FootnoteReference"/>
        </w:rPr>
        <w:footnoteReference w:id="3"/>
      </w:r>
      <w:r w:rsidRPr="004263A0">
        <w:t xml:space="preserve"> na základě článku 430 nařízení (EU) č. 575/2013 soudržný rámec pro podávání zpráv. Po změnách nařízení (EU) č. 575/2013 přijatých za účelem zavedení, dalšího rozpracování nebo úpravy obezřetnostních prvků bylo prováděcí nařízení (EU) č. 680/2014 několikrát změněno.</w:t>
      </w:r>
    </w:p>
    <w:p w14:paraId="7949AA03" w14:textId="77777777" w:rsidR="00AD21AA" w:rsidRPr="004263A0" w:rsidRDefault="00AD21AA" w:rsidP="0047317A">
      <w:pPr>
        <w:pStyle w:val="Considrant"/>
        <w:numPr>
          <w:ilvl w:val="0"/>
          <w:numId w:val="11"/>
        </w:numPr>
      </w:pPr>
      <w:r w:rsidRPr="004263A0">
        <w:t>Ustanovení v tomto nařízení jsou těsně provázána, protože se vztahují k požadavkům na instituce ohledně podávání zpráv. Aby se zajistila soudržnost mezi těmito ustanoveními, která by měla vstoupit v platnost ve stejnou dobu, usnadnil se komplexní pohled na ně a zajistil se k nim dobrý přístup osobám, jichž se týkají, je potřeba začlenit všechny související prováděcí technické normy, které požaduje nařízení (EU) č. 575/2013, do jediného nařízení.</w:t>
      </w:r>
    </w:p>
    <w:p w14:paraId="1A0C281B" w14:textId="77777777" w:rsidR="00AD21AA" w:rsidRPr="004263A0" w:rsidRDefault="00AD21AA" w:rsidP="00AD21AA">
      <w:pPr>
        <w:pStyle w:val="Considrant"/>
      </w:pPr>
      <w:r w:rsidRPr="004263A0">
        <w:t>S ohledem na mezinárodní normy Basilejského výboru pro bankovní dohled se nařízením Evropského parlamentu a Rady (EU) 2019/876</w:t>
      </w:r>
      <w:r w:rsidRPr="004263A0">
        <w:rPr>
          <w:rStyle w:val="FootnoteReference"/>
        </w:rPr>
        <w:footnoteReference w:id="4"/>
      </w:r>
      <w:r w:rsidRPr="004263A0">
        <w:t xml:space="preserve"> změnilo nařízení (EU) </w:t>
      </w:r>
      <w:r w:rsidRPr="004263A0">
        <w:lastRenderedPageBreak/>
        <w:t>č. 575/2013 v mnoha ohledech, jako jsou pákový poměr, požadavek na čisté stabilní financování, požadavky na kapitál a způsobilé závazky, úvěrové riziko protistrany, tržní riziko, expozice vůči ústředním protistranám, expozice vůči subjektům kolektivního investování, velké expozice a požadavky na podávání zpráv a zpřístupňování informací. Proto je třeba rámec pro podávání zpráv stanovený prováděcím nařízením (EU) č. 680/2014 revidovat a aktualizovat soubor šablon pro sběr informací pro podávání zpráv pro účely dohledu.</w:t>
      </w:r>
    </w:p>
    <w:p w14:paraId="5F6B66C1" w14:textId="77777777" w:rsidR="00AD21AA" w:rsidRPr="004263A0" w:rsidRDefault="00AD21AA" w:rsidP="00AD21AA">
      <w:pPr>
        <w:pStyle w:val="Considrant"/>
      </w:pPr>
      <w:r w:rsidRPr="004263A0">
        <w:t>Nařízením (EU) 2019/876 byl do nařízení (EU) č. 575/2013 zaveden požadavek na pákový poměr kapitálu tier 1 stanovený ve výši 3 %, řada úprav výpočtů expozice pákového poměru a požadavek na kapitálovou rezervu k pákovému poměru pro instituce určené jako globální systémově významné instituce (G-SVI) v souladu se směrnicí 2013/36/EU. Proto je třeba aktualizovat podávání zpráv o pákovém poměru, aby byly tyto požadavky a úpravy promítnuty do výpočtu expozice.</w:t>
      </w:r>
    </w:p>
    <w:p w14:paraId="3651D6E0" w14:textId="77777777" w:rsidR="00AD21AA" w:rsidRPr="004263A0" w:rsidRDefault="00AD21AA" w:rsidP="00AD21AA">
      <w:pPr>
        <w:pStyle w:val="Considrant"/>
      </w:pPr>
      <w:r w:rsidRPr="004263A0">
        <w:t>Nařízením (EU) 2019/876 byly do nařízení (EU) č. 575/2013 zavedeny požadavky na podávání zpráv o ukazateli čistého stabilního financování (NSFR), včetně zjednodušených požadavků. Proto je nezbytné stanovit nový soubor šablon a pokynů pro podávání zpráv.</w:t>
      </w:r>
    </w:p>
    <w:p w14:paraId="7CAD2444" w14:textId="77777777" w:rsidR="00AD21AA" w:rsidRPr="004263A0" w:rsidRDefault="00AD21AA" w:rsidP="00AD21AA">
      <w:pPr>
        <w:pStyle w:val="Considrant"/>
      </w:pPr>
      <w:r w:rsidRPr="004263A0">
        <w:t>Nařízením (EU) 2019/876 byl do nařízení (EU) 575/2013 zaveden nový podpůrný koeficient, který se má použít u expozic projektů infrastruktury, a byly aktualizovány přístupy k výpočtu objemů rizikově vážených expozic pro subjekty kolektivního investování. Proto je nezbytné stanovit, rovněž v souladu s rámcem pro zveřejňování, nové šablony a pokyny pro podávání zpráv o úvěrovém riziku a aktualizovat stávající pokyny.</w:t>
      </w:r>
    </w:p>
    <w:p w14:paraId="19553D31" w14:textId="77777777" w:rsidR="00AD21AA" w:rsidRPr="004263A0" w:rsidRDefault="00AD21AA" w:rsidP="00AD21AA">
      <w:pPr>
        <w:pStyle w:val="Considrant"/>
      </w:pPr>
      <w:r w:rsidRPr="004263A0">
        <w:t>Nařízení (EU) 2019/876 nahradilo v nařízení (EU) č. 575/2013 standardizovaný přístup standardizovaným přístupem k úvěrovému riziku protistrany, který je citlivější na riziko (SA-CCR), a zjednodušenou verzí u institucí, jež splňují předem definovaná kritéria způsobilosti (zjednodušený přístup SA-CCR). Pro instituce splňující předem definovaná kritéria stále zůstává k dispozici metoda původní expozice, byť revidovaná. Proto je nezbytné přidat nové šablony a pokyny pro podávání zpráv o úvěrovém riziku protistrany a aktualizovat stávající pokyny.</w:t>
      </w:r>
    </w:p>
    <w:p w14:paraId="76193745" w14:textId="77777777" w:rsidR="00AD21AA" w:rsidRPr="004263A0" w:rsidRDefault="00AD21AA" w:rsidP="00AD21AA">
      <w:pPr>
        <w:pStyle w:val="Considrant"/>
      </w:pPr>
      <w:r w:rsidRPr="004263A0">
        <w:t>Nařízení (EU) 2019/876 nahradilo v nařízení (EU) č. 575/2013 odkazy na „použitelný kapitál“ ve výpočtu velkých expozic odkazy na „kapitál tier 1“ a zavedlo další prahovou hodnotu pro vykazování velkých expozic na konsolidované bázi. Proto je třeba aktualizovat podávání zpráv o velkých expozicích.</w:t>
      </w:r>
    </w:p>
    <w:p w14:paraId="406A544B" w14:textId="77777777" w:rsidR="00AD21AA" w:rsidRPr="004263A0" w:rsidRDefault="00AD21AA" w:rsidP="00AD21AA">
      <w:pPr>
        <w:pStyle w:val="Considrant"/>
      </w:pPr>
      <w:r w:rsidRPr="004263A0">
        <w:t>Nařízení Evropského parlamentu a Rady (EU) 2019/630</w:t>
      </w:r>
      <w:r w:rsidRPr="004263A0">
        <w:rPr>
          <w:rStyle w:val="FootnoteReference"/>
        </w:rPr>
        <w:footnoteReference w:id="5"/>
      </w:r>
      <w:r w:rsidRPr="004263A0">
        <w:t xml:space="preserve"> zavedlo do nařízení (EU) č. 575/2013 obezřetnostní jištění pro nevýkonné expozice stanovující odpočet z kapitálu institucí podle předem definovaného kalendáře na postupné vytvoření plného krytí, pokud nevýkonné expozice nejsou dostatečně kryty rezervami nebo jinými úpravami. Toto obezřetnostní jištění vychází z definic „nevýkonné expozice“ a „úlev“ stanovených v prováděcím nařízení (EU) č. 680/2014. Proto je nezbytné změnit šablony a pokyny, aby bylo zajištěno, že definice „nevýkonné expozice“ a „úlev“ bude jednotná pro účely vykazování i obezřetnostního jištění. Nové šablony jsou nezbytné také pro sběr informací pro výpočet jištění.</w:t>
      </w:r>
    </w:p>
    <w:p w14:paraId="4A308F65" w14:textId="77777777" w:rsidR="00AD21AA" w:rsidRPr="004263A0" w:rsidRDefault="00AD21AA" w:rsidP="00AD21AA">
      <w:pPr>
        <w:pStyle w:val="Considrant"/>
      </w:pPr>
      <w:r w:rsidRPr="004263A0">
        <w:lastRenderedPageBreak/>
        <w:t>Nařízením Evropského parlamentu a Rady (EU) 2019/2033</w:t>
      </w:r>
      <w:r w:rsidRPr="004263A0">
        <w:rPr>
          <w:rStyle w:val="FootnoteReference"/>
        </w:rPr>
        <w:footnoteReference w:id="6"/>
      </w:r>
      <w:r w:rsidRPr="004263A0">
        <w:t xml:space="preserve"> se s účinností od 26. června 2026 ruší část třetí hlava I kapitola 1 oddíl 2 (články 95 až 98) nařízení (EU) č. 575/2013. Z tohoto důvodu by se dne 26. června 2026 měla přestat používat ustanovení o podávání zpráv na individuálním nebo konsolidovaném základě za skupiny tvořené výlučně investičními podniky podle článků 95 a 96 nařízení (EU) č. 575/2013.</w:t>
      </w:r>
    </w:p>
    <w:p w14:paraId="43FA00D7" w14:textId="77777777" w:rsidR="00AD21AA" w:rsidRPr="004263A0" w:rsidRDefault="00AD21AA" w:rsidP="00AD21AA">
      <w:pPr>
        <w:pStyle w:val="Considrant"/>
      </w:pPr>
      <w:r w:rsidRPr="004263A0">
        <w:t>S ohledem na rozsah těchto změn a pro přehlednost je vhodné zrušit prováděcí nařízení (EU) č. 680/2014 a nahradit jej tímto nařízením.</w:t>
      </w:r>
    </w:p>
    <w:p w14:paraId="68FF0834" w14:textId="77777777" w:rsidR="00AD21AA" w:rsidRPr="004263A0" w:rsidRDefault="00AD21AA" w:rsidP="00AD21AA">
      <w:pPr>
        <w:pStyle w:val="Considrant"/>
      </w:pPr>
      <w:r w:rsidRPr="004263A0">
        <w:t>Nařízení Evropského parlamentu a Rady (EU) 2020/873</w:t>
      </w:r>
      <w:r w:rsidRPr="004263A0">
        <w:rPr>
          <w:rStyle w:val="FootnoteReference"/>
        </w:rPr>
        <w:footnoteReference w:id="7"/>
      </w:r>
      <w:r w:rsidRPr="004263A0">
        <w:t xml:space="preserve"> je součástí souboru postupů ke zmírnění dopadů pandemie COVID-19 na instituce v celé Unii. Toto nařízení zavedlo některé změny nařízení (EU) č. 575/2013 a (EU) 2019/876, které mají dopad na podávání zpráv pro účely dohledu. Tyto změny by se tedy měly projevit v rámci pro podávání zpráv. </w:t>
      </w:r>
    </w:p>
    <w:p w14:paraId="1AEA9367" w14:textId="77777777" w:rsidR="00AD21AA" w:rsidRPr="004263A0" w:rsidRDefault="00AD21AA" w:rsidP="00AD21AA">
      <w:pPr>
        <w:pStyle w:val="Considrant"/>
      </w:pPr>
      <w:r w:rsidRPr="004263A0">
        <w:t>Instituce by měly zahájit podávání zpráv pro účely dohledu od konce druhého čtvrtletí roku 2021. Podávání zpráv o kapitálové rezervě k pákovému poměru by však mělo být zahájeno od ledna 2023, neboť uplatňování požadavků na kapitálovou rezervu k pákovému poměru bylo nařízením (EU) 2020/873 odloženo na leden 2023.</w:t>
      </w:r>
    </w:p>
    <w:p w14:paraId="34258819" w14:textId="77777777" w:rsidR="00AD21AA" w:rsidRPr="004263A0" w:rsidRDefault="00AD21AA" w:rsidP="00AD21AA">
      <w:pPr>
        <w:pStyle w:val="Considrant"/>
      </w:pPr>
      <w:r w:rsidRPr="004263A0">
        <w:t>Toto nařízení vychází z návrhu prováděcích technických norem, které Komisi předložil Evropský orgán pro bankovnictví (EBA).</w:t>
      </w:r>
    </w:p>
    <w:p w14:paraId="1EE2EAF8" w14:textId="77777777" w:rsidR="00AD21AA" w:rsidRPr="004263A0" w:rsidRDefault="00AD21AA" w:rsidP="00AD21AA">
      <w:pPr>
        <w:pStyle w:val="Considrant"/>
        <w:rPr>
          <w:noProof/>
        </w:rPr>
      </w:pPr>
      <w:r w:rsidRPr="004263A0">
        <w:t>Evropský orgán pro bankovnictví uspořádal otevřené veřejné konzultace k návrhu prováděcích technických norem, z nichž toto nařízení vychází, analyzoval potenciální související náklady a přínosy a vyžádal si radu skupiny subjektů působících v bankovnictví zřízené v souladu s článkem 37 nařízení Evropského parlamentu a Rady (EU) č. 1093/2010</w:t>
      </w:r>
      <w:r w:rsidRPr="004263A0">
        <w:rPr>
          <w:rStyle w:val="FootnoteReference"/>
        </w:rPr>
        <w:footnoteReference w:id="8"/>
      </w:r>
      <w:r w:rsidRPr="004263A0">
        <w:t>, s výjimkou ustanovení odrážejících změny nařízení (EU) č. 575/2013 provedené nařízením (EU) 2020/873. Evropský orgán pro bankovnictví rozhodl, že by bylo velmi nepřiměřené provádět veřejné konzultace nebo analýzu nákladů a přínosů těchto ustanovení, neboť se týkají velmi malého počtu řádků v šablonách pro podávání zpráv o solventnosti a pákovém efektu a není pravděpodobné, že by podstatně ovlivnily náklady na podávání zpráv. Kromě toho by tyto veřejné konzultace nebo analýza nákladů a přínosů zabránila orgánům dohledu ve včasném, soudržném a pravidelném sběru příslušných údajů.</w:t>
      </w:r>
    </w:p>
    <w:p w14:paraId="38285338" w14:textId="5E242B95" w:rsidR="0004170D" w:rsidRPr="004263A0" w:rsidRDefault="00AD21AA" w:rsidP="00AD21AA">
      <w:pPr>
        <w:pStyle w:val="Considrant"/>
        <w:rPr>
          <w:noProof/>
        </w:rPr>
      </w:pPr>
      <w:r w:rsidRPr="004263A0">
        <w:t xml:space="preserve">Aby měly instituce dostatek času připravit se na podávání zpráv v souladu s tímto nařízením, mělo by vstoupit v platnost v den následující po vyhlášení v </w:t>
      </w:r>
      <w:r w:rsidRPr="004263A0">
        <w:rPr>
          <w:i/>
          <w:iCs/>
        </w:rPr>
        <w:t>Úředním věstníku Evropské unie</w:t>
      </w:r>
      <w:r w:rsidRPr="004263A0">
        <w:t xml:space="preserve">, </w:t>
      </w:r>
    </w:p>
    <w:p w14:paraId="7E0D596A" w14:textId="77777777" w:rsidR="0004170D" w:rsidRPr="004263A0" w:rsidRDefault="0004170D" w:rsidP="009675DD">
      <w:pPr>
        <w:pStyle w:val="Formuledadoption"/>
      </w:pPr>
      <w:r w:rsidRPr="004263A0">
        <w:lastRenderedPageBreak/>
        <w:t>PŘIJALA TOTO NAŘÍZENÍ:</w:t>
      </w:r>
    </w:p>
    <w:p w14:paraId="576F9D8E" w14:textId="77777777" w:rsidR="0004170D" w:rsidRPr="004263A0" w:rsidRDefault="0004170D" w:rsidP="009675DD">
      <w:pPr>
        <w:pStyle w:val="Titrearticle"/>
      </w:pPr>
      <w:r w:rsidRPr="004263A0">
        <w:t>Článek 1</w:t>
      </w:r>
    </w:p>
    <w:p w14:paraId="288B3999" w14:textId="77777777" w:rsidR="006B61AF" w:rsidRPr="004263A0" w:rsidRDefault="006B61AF" w:rsidP="006B61AF">
      <w:pPr>
        <w:pStyle w:val="Titrearticle"/>
        <w:spacing w:before="120"/>
        <w:rPr>
          <w:b/>
          <w:i w:val="0"/>
        </w:rPr>
      </w:pPr>
      <w:r w:rsidRPr="004263A0">
        <w:rPr>
          <w:b/>
          <w:i w:val="0"/>
        </w:rPr>
        <w:t>Předmět a oblast působnosti</w:t>
      </w:r>
    </w:p>
    <w:p w14:paraId="37986D69" w14:textId="774022E5" w:rsidR="0004170D" w:rsidRPr="004263A0" w:rsidRDefault="006B61AF" w:rsidP="00BC75BD">
      <w:r w:rsidRPr="004263A0">
        <w:t xml:space="preserve">Toto nařízení stanoví jednotné formáty a šablony pro podávání zpráv, pokyny a metodiku, jak tyto šablony používat, dále pak četnost a lhůty pro podávání zpráv, definice a řešení IT pro podávání zpráv institucí jejich příslušným orgánům v souladu s čl. 415 odst. 3 a 3a nařízení (EU) č. 575/2013 a čl. 430 odst. 1 až 4, 7 a 9 uvedeného nařízení. </w:t>
      </w:r>
    </w:p>
    <w:p w14:paraId="46D6B4CF" w14:textId="77777777" w:rsidR="00FF364B" w:rsidRPr="004263A0" w:rsidRDefault="00FF364B" w:rsidP="00FF364B">
      <w:pPr>
        <w:pStyle w:val="Titrearticle"/>
      </w:pPr>
      <w:r w:rsidRPr="004263A0">
        <w:t xml:space="preserve">Článek </w:t>
      </w:r>
      <w:r w:rsidR="00E5531F">
        <w:fldChar w:fldCharType="begin"/>
      </w:r>
      <w:r w:rsidR="00E5531F">
        <w:instrText xml:space="preserve"> seq article </w:instrText>
      </w:r>
      <w:r w:rsidR="00E5531F">
        <w:fldChar w:fldCharType="separate"/>
      </w:r>
      <w:r w:rsidRPr="004263A0">
        <w:t>2</w:t>
      </w:r>
      <w:r w:rsidR="00E5531F">
        <w:fldChar w:fldCharType="end"/>
      </w:r>
    </w:p>
    <w:p w14:paraId="35E34B0E" w14:textId="1A25917F" w:rsidR="00FF364B" w:rsidRPr="004263A0" w:rsidRDefault="006B61AF" w:rsidP="00FF364B">
      <w:pPr>
        <w:pStyle w:val="Titrearticle"/>
        <w:spacing w:before="120"/>
        <w:rPr>
          <w:b/>
          <w:i w:val="0"/>
        </w:rPr>
      </w:pPr>
      <w:r w:rsidRPr="004263A0">
        <w:rPr>
          <w:b/>
          <w:i w:val="0"/>
        </w:rPr>
        <w:t>Referenční data vykazování</w:t>
      </w:r>
    </w:p>
    <w:p w14:paraId="10AD0363" w14:textId="77777777" w:rsidR="006B61AF" w:rsidRPr="004263A0" w:rsidRDefault="006B61AF" w:rsidP="006B61AF">
      <w:pPr>
        <w:pStyle w:val="NumPar1"/>
        <w:numPr>
          <w:ilvl w:val="0"/>
          <w:numId w:val="10"/>
        </w:numPr>
      </w:pPr>
      <w:r w:rsidRPr="004263A0">
        <w:t>Instituce předloží příslušným orgánům informace platné k následujícím referenčním datům vykazování:</w:t>
      </w:r>
    </w:p>
    <w:p w14:paraId="7FC44D08" w14:textId="2BC9CD43" w:rsidR="006B61AF" w:rsidRPr="004263A0" w:rsidRDefault="00D9176D" w:rsidP="006B61AF">
      <w:pPr>
        <w:pStyle w:val="Point1"/>
      </w:pPr>
      <w:r w:rsidRPr="004263A0">
        <w:t>a)</w:t>
      </w:r>
      <w:r w:rsidRPr="004263A0">
        <w:tab/>
        <w:t>měsíční vykazování: k poslednímu dni každého měsíce;</w:t>
      </w:r>
    </w:p>
    <w:p w14:paraId="28CC3121" w14:textId="77777777" w:rsidR="006B61AF" w:rsidRPr="004263A0" w:rsidRDefault="006B61AF" w:rsidP="006B61AF">
      <w:pPr>
        <w:pStyle w:val="Point1"/>
      </w:pPr>
      <w:r w:rsidRPr="004263A0">
        <w:t>b)</w:t>
      </w:r>
      <w:r w:rsidRPr="004263A0">
        <w:tab/>
        <w:t>čtvrtletní vykazování: k 31. březnu, 30. červnu, 30. září a 31. prosinci;</w:t>
      </w:r>
    </w:p>
    <w:p w14:paraId="3C859754" w14:textId="77777777" w:rsidR="006B61AF" w:rsidRPr="004263A0" w:rsidRDefault="006B61AF" w:rsidP="006B61AF">
      <w:pPr>
        <w:pStyle w:val="Point1"/>
      </w:pPr>
      <w:r w:rsidRPr="004263A0">
        <w:t>c)</w:t>
      </w:r>
      <w:r w:rsidRPr="004263A0">
        <w:tab/>
        <w:t>pololetní vykazování: k 30. červnu a 31. prosinci;</w:t>
      </w:r>
    </w:p>
    <w:p w14:paraId="03865441" w14:textId="5E46B259" w:rsidR="00FF364B" w:rsidRPr="004263A0" w:rsidRDefault="006B61AF" w:rsidP="006B61AF">
      <w:pPr>
        <w:pStyle w:val="Point1"/>
      </w:pPr>
      <w:r w:rsidRPr="004263A0">
        <w:t>d)</w:t>
      </w:r>
      <w:r w:rsidRPr="004263A0">
        <w:tab/>
        <w:t>roční vykazování: k 31. prosinci.</w:t>
      </w:r>
    </w:p>
    <w:p w14:paraId="40A4E6AA" w14:textId="77777777" w:rsidR="006B61AF" w:rsidRPr="004263A0" w:rsidRDefault="006B61AF" w:rsidP="006B61AF">
      <w:pPr>
        <w:pStyle w:val="NumPar1"/>
      </w:pPr>
      <w:r w:rsidRPr="004263A0">
        <w:t>Informace předkládané za použití šablon uvedených v přílohách III a IV v souladu s pokyny v příloze V, jež odkazují na určité období, se vykazují kumulativně od prvního dne účetního období do referenčního data.</w:t>
      </w:r>
    </w:p>
    <w:p w14:paraId="65D209FF" w14:textId="1131E63F" w:rsidR="00FF364B" w:rsidRPr="004263A0" w:rsidRDefault="006B61AF" w:rsidP="006B61AF">
      <w:pPr>
        <w:pStyle w:val="NumPar1"/>
      </w:pPr>
      <w:r w:rsidRPr="004263A0">
        <w:t>Pokud vnitrostátní právní předpisy povolují, aby instituce vykazovaly své finanční informace ke konci svého účetního období, které se liší od kalendářního roku, mohou být příslušně upravena referenční data vykazování, aby vykazování finančních informací a informací pro účely určení globálních systémově významných institucí (G-SVI) a přiřazení kapitálových rezerv pro G-SVI bylo prováděno každé tři, šest, nebo dvanáct měsíců od konce jejich účetního období.</w:t>
      </w:r>
    </w:p>
    <w:p w14:paraId="45D66A15" w14:textId="77777777" w:rsidR="00725875" w:rsidRPr="004263A0" w:rsidRDefault="00725875" w:rsidP="00725875">
      <w:pPr>
        <w:pStyle w:val="Titrearticle"/>
      </w:pPr>
      <w:r w:rsidRPr="004263A0">
        <w:t>Článek 3</w:t>
      </w:r>
    </w:p>
    <w:p w14:paraId="19D84E1B" w14:textId="77777777" w:rsidR="0014552F" w:rsidRPr="004263A0" w:rsidRDefault="0014552F" w:rsidP="0014552F">
      <w:pPr>
        <w:pStyle w:val="Titrearticle"/>
        <w:spacing w:before="120"/>
        <w:rPr>
          <w:b/>
          <w:i w:val="0"/>
        </w:rPr>
      </w:pPr>
      <w:r w:rsidRPr="004263A0">
        <w:rPr>
          <w:b/>
          <w:i w:val="0"/>
        </w:rPr>
        <w:t>Lhůty pro zasílání zpráv</w:t>
      </w:r>
    </w:p>
    <w:p w14:paraId="1A3916EF" w14:textId="77777777" w:rsidR="0014552F" w:rsidRPr="004263A0" w:rsidRDefault="0014552F" w:rsidP="0047317A">
      <w:pPr>
        <w:pStyle w:val="NumPar1"/>
        <w:numPr>
          <w:ilvl w:val="0"/>
          <w:numId w:val="12"/>
        </w:numPr>
      </w:pPr>
      <w:r w:rsidRPr="004263A0">
        <w:t>Instituce předloží příslušným orgánům informace do konce běžné pracovní doby v následujících dnech pro zasílání zpráv:</w:t>
      </w:r>
    </w:p>
    <w:p w14:paraId="1B31A059" w14:textId="77777777" w:rsidR="0014552F" w:rsidRPr="004263A0" w:rsidRDefault="0014552F" w:rsidP="0014552F">
      <w:pPr>
        <w:pStyle w:val="Point1"/>
      </w:pPr>
      <w:r w:rsidRPr="004263A0">
        <w:t>a)</w:t>
      </w:r>
      <w:r w:rsidRPr="004263A0">
        <w:tab/>
        <w:t>měsíční vykazování: 15. kalendářní den od referenčního data vykazování;</w:t>
      </w:r>
    </w:p>
    <w:p w14:paraId="59E141C9" w14:textId="77777777" w:rsidR="0014552F" w:rsidRPr="004263A0" w:rsidRDefault="0014552F" w:rsidP="0014552F">
      <w:pPr>
        <w:pStyle w:val="Point1"/>
      </w:pPr>
      <w:r w:rsidRPr="004263A0">
        <w:t>b)</w:t>
      </w:r>
      <w:r w:rsidRPr="004263A0">
        <w:tab/>
        <w:t>čtvrtletní vykazování: 12. května, 11. srpna, 11. listopadu a 11. února;</w:t>
      </w:r>
    </w:p>
    <w:p w14:paraId="31A5927D" w14:textId="77777777" w:rsidR="0014552F" w:rsidRPr="004263A0" w:rsidRDefault="0014552F" w:rsidP="0014552F">
      <w:pPr>
        <w:pStyle w:val="Point1"/>
      </w:pPr>
      <w:r w:rsidRPr="004263A0">
        <w:t>c)</w:t>
      </w:r>
      <w:r w:rsidRPr="004263A0">
        <w:tab/>
        <w:t>pololetní vykazování: 11. srpna a 11. února;</w:t>
      </w:r>
    </w:p>
    <w:p w14:paraId="37F1906A" w14:textId="77777777" w:rsidR="0014552F" w:rsidRPr="004263A0" w:rsidRDefault="0014552F" w:rsidP="0014552F">
      <w:pPr>
        <w:pStyle w:val="Point1"/>
      </w:pPr>
      <w:r w:rsidRPr="004263A0">
        <w:t>d)</w:t>
      </w:r>
      <w:r w:rsidRPr="004263A0">
        <w:tab/>
        <w:t>roční vykazování: 11. února.</w:t>
      </w:r>
    </w:p>
    <w:p w14:paraId="493E0587" w14:textId="77777777" w:rsidR="0014552F" w:rsidRPr="004263A0" w:rsidRDefault="0014552F" w:rsidP="0014552F">
      <w:pPr>
        <w:pStyle w:val="NumPar1"/>
        <w:numPr>
          <w:ilvl w:val="0"/>
          <w:numId w:val="10"/>
        </w:numPr>
      </w:pPr>
      <w:r w:rsidRPr="004263A0">
        <w:t>Připadá-li v členském státě příslušného orgánu, jemuž se zpráva předkládá, lhůta pro zaslání zprávy na státní svátek nebo na sobotu či na neděli, překládají se tyto údaje v nejbližší následující pracovní den.</w:t>
      </w:r>
    </w:p>
    <w:p w14:paraId="6B66EFC5" w14:textId="77777777" w:rsidR="0014552F" w:rsidRPr="004263A0" w:rsidRDefault="0014552F" w:rsidP="0014552F">
      <w:pPr>
        <w:pStyle w:val="NumPar1"/>
        <w:numPr>
          <w:ilvl w:val="0"/>
          <w:numId w:val="10"/>
        </w:numPr>
      </w:pPr>
      <w:r w:rsidRPr="004263A0">
        <w:t xml:space="preserve">Pokud instituce vykazují své finanční informace nebo informace pro účely určení G-SVI a přiřazení kapitálových rezerv pro G-SVI s využitím upravených referenčních dat vykazování ke konci svého účetního období, jak je stanoveno v čl. 2 odst. 3, </w:t>
      </w:r>
      <w:r w:rsidRPr="004263A0">
        <w:lastRenderedPageBreak/>
        <w:t>mohou být příslušně upraveny také lhůty pro zasílání zpráv, aby bylo zachována stejná délka období pro zasílání zpráv od upraveného referenčního data vykazování.</w:t>
      </w:r>
    </w:p>
    <w:p w14:paraId="67094FB3" w14:textId="77777777" w:rsidR="0014552F" w:rsidRPr="004263A0" w:rsidRDefault="0014552F" w:rsidP="0014552F">
      <w:pPr>
        <w:pStyle w:val="NumPar1"/>
        <w:numPr>
          <w:ilvl w:val="0"/>
          <w:numId w:val="10"/>
        </w:numPr>
      </w:pPr>
      <w:r w:rsidRPr="004263A0">
        <w:t>Instituce mohou předkládat neauditované údaje. Pokud se auditované údaje liší od předložených neauditovaných údajů, musí být bez zbytečného prodlení předloženy revidované auditované údaje. Neauditované údaje jsou údaje, k nimž nebylo předáno stanovisko externího auditora, zatímco údaje auditované jsou naopak údaje, u nichž externí auditor provedl audit a vydal k nim stanovisko auditu.</w:t>
      </w:r>
    </w:p>
    <w:p w14:paraId="758E2E74" w14:textId="6B437F09" w:rsidR="00725875" w:rsidRPr="004263A0" w:rsidRDefault="0014552F" w:rsidP="0014552F">
      <w:pPr>
        <w:pStyle w:val="NumPar1"/>
        <w:numPr>
          <w:ilvl w:val="0"/>
          <w:numId w:val="10"/>
        </w:numPr>
      </w:pPr>
      <w:r w:rsidRPr="004263A0">
        <w:t>Rovněž jakékoli jiné opravy předložených zpráv se příslušným orgánům předkládají bez zbytečného odkladu.</w:t>
      </w:r>
    </w:p>
    <w:p w14:paraId="60D8A63C" w14:textId="77777777" w:rsidR="0014552F" w:rsidRPr="004263A0" w:rsidRDefault="0014552F" w:rsidP="0014552F">
      <w:pPr>
        <w:pStyle w:val="Titrearticle"/>
      </w:pPr>
      <w:r w:rsidRPr="004263A0">
        <w:t xml:space="preserve">Článek </w:t>
      </w:r>
      <w:r w:rsidR="00E5531F">
        <w:fldChar w:fldCharType="begin"/>
      </w:r>
      <w:r w:rsidR="00E5531F">
        <w:instrText xml:space="preserve"> seq article </w:instrText>
      </w:r>
      <w:r w:rsidR="00E5531F">
        <w:fldChar w:fldCharType="separate"/>
      </w:r>
      <w:r w:rsidRPr="004263A0">
        <w:t>4</w:t>
      </w:r>
      <w:r w:rsidR="00E5531F">
        <w:fldChar w:fldCharType="end"/>
      </w:r>
    </w:p>
    <w:p w14:paraId="726E257C" w14:textId="77777777" w:rsidR="0014552F" w:rsidRPr="004263A0" w:rsidRDefault="0014552F" w:rsidP="0014552F">
      <w:pPr>
        <w:pStyle w:val="Titrearticle"/>
        <w:spacing w:before="120"/>
        <w:rPr>
          <w:b/>
          <w:i w:val="0"/>
        </w:rPr>
      </w:pPr>
      <w:r w:rsidRPr="004263A0">
        <w:rPr>
          <w:b/>
          <w:i w:val="0"/>
        </w:rPr>
        <w:t>Prahové hodnoty pro vykazování – kritéria pro zahájení a ukončení vykazování</w:t>
      </w:r>
    </w:p>
    <w:p w14:paraId="06A0F026" w14:textId="77777777" w:rsidR="0014552F" w:rsidRPr="004263A0" w:rsidRDefault="0014552F" w:rsidP="0047317A">
      <w:pPr>
        <w:pStyle w:val="NumPar1"/>
        <w:numPr>
          <w:ilvl w:val="0"/>
          <w:numId w:val="13"/>
        </w:numPr>
      </w:pPr>
      <w:r w:rsidRPr="004263A0">
        <w:t>Instituce, které splňují podmínky stanovené v čl. 4 odst. 1 bodu 145 nařízení (EU) č. 575/2013, zahájí vykazování informací jako malé a nepříliš složité instituce k prvnímu referenčnímu datu vykazování, které následuje po splnění těchto podmínek. Pokud instituce tyto podmínky již nesplňují, přestanou vykazovat informace k prvnímu referenčnímu datu vykazování, které následuje po nesplnění.</w:t>
      </w:r>
    </w:p>
    <w:p w14:paraId="67299D12" w14:textId="77777777" w:rsidR="0014552F" w:rsidRPr="004263A0" w:rsidRDefault="0014552F" w:rsidP="0014552F">
      <w:pPr>
        <w:pStyle w:val="NumPar1"/>
        <w:numPr>
          <w:ilvl w:val="0"/>
          <w:numId w:val="10"/>
        </w:numPr>
      </w:pPr>
      <w:r w:rsidRPr="004263A0">
        <w:t>Instituce, které splňují podmínky stanovené v čl. 4 odst. 1 bodu 146 nařízení (EU) č. 575/2013, zahájí vykazování informací jako velké instituce k prvnímu referenčnímu datu vykazování, které následuje po splnění těchto podmínek. Pokud instituce tyto podmínky již nesplňují, přestanou vykazovat informace k prvnímu referenčnímu datu vykazování, které následuje po nesplnění.</w:t>
      </w:r>
    </w:p>
    <w:p w14:paraId="427BAF61" w14:textId="77777777" w:rsidR="0014552F" w:rsidRPr="004263A0" w:rsidRDefault="0014552F" w:rsidP="0014552F">
      <w:pPr>
        <w:pStyle w:val="NumPar1"/>
        <w:numPr>
          <w:ilvl w:val="0"/>
          <w:numId w:val="10"/>
        </w:numPr>
      </w:pPr>
      <w:r w:rsidRPr="004263A0">
        <w:t>Instituce zahájí vykazování informací podléhajících příslušným prahovým hodnotám stanoveným v tomto nařízení k referenčnímu datu vykazování, které následuje poté, co byly tyto prahové hodnoty překročeny ke dvěma po sobě následujícím referenčním datům vykazování. Instituce mohou ukončit vykazování informací podléhajících příslušným prahovým hodnotám stanoveným v tomto nařízení k referenčnímu datu vykazování, které následuje poté, co nedosáhly příslušných prahových hodnot ke třem po sobě následujícím referenčním datům vykazování.</w:t>
      </w:r>
    </w:p>
    <w:p w14:paraId="1E03EF09" w14:textId="77777777" w:rsidR="0014552F" w:rsidRPr="004263A0" w:rsidRDefault="0014552F" w:rsidP="0014552F">
      <w:pPr>
        <w:pStyle w:val="Titrearticle"/>
      </w:pPr>
      <w:r w:rsidRPr="004263A0">
        <w:t xml:space="preserve">Článek </w:t>
      </w:r>
      <w:r w:rsidR="00E5531F">
        <w:fldChar w:fldCharType="begin"/>
      </w:r>
      <w:r w:rsidR="00E5531F">
        <w:instrText xml:space="preserve"> seq article </w:instrText>
      </w:r>
      <w:r w:rsidR="00E5531F">
        <w:fldChar w:fldCharType="separate"/>
      </w:r>
      <w:r w:rsidRPr="004263A0">
        <w:t>5</w:t>
      </w:r>
      <w:r w:rsidR="00E5531F">
        <w:fldChar w:fldCharType="end"/>
      </w:r>
    </w:p>
    <w:p w14:paraId="17F5FB19" w14:textId="77777777" w:rsidR="0014552F" w:rsidRPr="004263A0" w:rsidRDefault="0014552F" w:rsidP="0014552F">
      <w:pPr>
        <w:pStyle w:val="Titrearticle"/>
        <w:spacing w:before="120"/>
        <w:rPr>
          <w:b/>
          <w:i w:val="0"/>
        </w:rPr>
      </w:pPr>
      <w:r w:rsidRPr="004263A0">
        <w:rPr>
          <w:b/>
          <w:i w:val="0"/>
        </w:rPr>
        <w:t xml:space="preserve">Podávání zpráv o kapitálu a kapitálových požadavcích na individuálním základě – čtvrtletní vykazování </w:t>
      </w:r>
    </w:p>
    <w:p w14:paraId="52AEA4DB" w14:textId="77777777" w:rsidR="0014552F" w:rsidRPr="004263A0" w:rsidRDefault="0014552F" w:rsidP="0047317A">
      <w:pPr>
        <w:pStyle w:val="NumPar1"/>
        <w:numPr>
          <w:ilvl w:val="0"/>
          <w:numId w:val="14"/>
        </w:numPr>
      </w:pPr>
      <w:r w:rsidRPr="004263A0">
        <w:t>V rámci podávání zpráv o kapitálu a kapitálových požadavcích podle čl. 430 odst. 1 písm. a) nařízení (EU) č. 575/2013 na individuálním základě vykazují instituce informace uvedené v tomto článku čtvrtletně.</w:t>
      </w:r>
    </w:p>
    <w:p w14:paraId="10F736EF" w14:textId="77777777" w:rsidR="0014552F" w:rsidRPr="004263A0" w:rsidRDefault="0014552F" w:rsidP="0014552F">
      <w:pPr>
        <w:pStyle w:val="NumPar1"/>
      </w:pPr>
      <w:r w:rsidRPr="004263A0">
        <w:t>Instituce vykazují informace o kapitálu a kapitálových požadavcích podle přílohy I šablon 1 až 5 v souladu s pokyny uvedenými v příloze II části II bodě 1.</w:t>
      </w:r>
    </w:p>
    <w:p w14:paraId="77032C56" w14:textId="77777777" w:rsidR="0014552F" w:rsidRPr="004263A0" w:rsidRDefault="0014552F" w:rsidP="0014552F">
      <w:pPr>
        <w:pStyle w:val="NumPar1"/>
      </w:pPr>
      <w:r w:rsidRPr="004263A0">
        <w:t>Instituce vykazují informace o expozicích podléhajících úvěrovému riziku a úvěrovému riziku protistrany řešených standardizovaným přístupem podle přílohy I šablony 7 v souladu s pokyny uvedenými v příloze II části II bodě 3.2.</w:t>
      </w:r>
    </w:p>
    <w:p w14:paraId="4FC8E450" w14:textId="77777777" w:rsidR="0014552F" w:rsidRPr="004263A0" w:rsidRDefault="0014552F" w:rsidP="0014552F">
      <w:pPr>
        <w:pStyle w:val="NumPar1"/>
      </w:pPr>
      <w:r w:rsidRPr="004263A0">
        <w:t>Instituce vykazují informace o expozicích podléhajících úvěrovému riziku a úvěrovému riziku protistrany řešených přístupem založeným na interním ratingu podle přílohy I šablon 8.1 a 8.2 v souladu s pokyny uvedenými v příloze II části II bodě 3.3.</w:t>
      </w:r>
    </w:p>
    <w:p w14:paraId="68EBC1AD" w14:textId="77777777" w:rsidR="0014552F" w:rsidRPr="004263A0" w:rsidRDefault="0014552F" w:rsidP="0014552F">
      <w:pPr>
        <w:pStyle w:val="NumPar1"/>
      </w:pPr>
      <w:r w:rsidRPr="004263A0">
        <w:lastRenderedPageBreak/>
        <w:t xml:space="preserve">Instituce vykazují informace o zeměpisném rozložení expozic podle zemí i o celkových expozicích souhrnně podle přílohy I šablony 9 v souladu s pokyny uvedenými v příloze II části II bodě 3.4. </w:t>
      </w:r>
    </w:p>
    <w:p w14:paraId="37720A47" w14:textId="380C1EA6" w:rsidR="0014552F" w:rsidRPr="004263A0" w:rsidRDefault="0014552F" w:rsidP="006B3AF7">
      <w:pPr>
        <w:pStyle w:val="Text1"/>
      </w:pPr>
      <w:r w:rsidRPr="004263A0">
        <w:t xml:space="preserve">Instituce vykazují informace uvedené v šablonách 9.1 a 9.2, a zejména informace o zeměpisném rozložení expozic podle zemí, pokud jsou původní zahraniční expozice ve všech zahraničních zemích ve všech kategoriích expozic vykázané v souladu s přílohou I šablonou 4 řádkem 0850 rovny nebo vyšší než 10 % celkových tuzemských a původních zahraničních expozic vykázaných v souladu s přílohou I šablonou 4 řádkem 0860. Expozice se považují za tuzemské, jsou-li expozicemi vůči protistranám nacházejícím se v členském státě, v němž je instituce usazena. </w:t>
      </w:r>
    </w:p>
    <w:p w14:paraId="2D010602" w14:textId="678AF76C" w:rsidR="0014552F" w:rsidRPr="004263A0" w:rsidRDefault="0014552F" w:rsidP="006B3AF7">
      <w:pPr>
        <w:pStyle w:val="Text1"/>
      </w:pPr>
      <w:r w:rsidRPr="004263A0">
        <w:t>Použijí se zahajovací a ukončovací kritéria uvedená v článku 4.</w:t>
      </w:r>
    </w:p>
    <w:p w14:paraId="1B5047C1" w14:textId="77777777" w:rsidR="0014552F" w:rsidRPr="004263A0" w:rsidRDefault="0014552F" w:rsidP="0014552F">
      <w:pPr>
        <w:pStyle w:val="NumPar1"/>
      </w:pPr>
      <w:r w:rsidRPr="004263A0">
        <w:t>Instituce vykazují informace týkající se úvěrového rizika protistrany podle přílohy I šablon 34.01 až 34.05 a 34.08 až 34.10 v souladu s pokyny uvedenými v příloze II části II bodě 3.9.</w:t>
      </w:r>
    </w:p>
    <w:p w14:paraId="71DD8676" w14:textId="77777777" w:rsidR="0014552F" w:rsidRPr="004263A0" w:rsidRDefault="0014552F" w:rsidP="0014552F">
      <w:pPr>
        <w:pStyle w:val="NumPar1"/>
      </w:pPr>
      <w:r w:rsidRPr="004263A0">
        <w:t>Instituce uplatňující pro výpočet expozic úvěrového rizika protistrany standardizovaný přístup nebo metodu interního modelu v souladu s částí třetí hlavou II kapitolou 6 oddíly 3 a 6 nařízení (EU) č. 575/2013 vykazují informace týkající se úvěrového rizika protistrany podle přílohy I šablony 34.06 v souladu s pokyny uvedenými v příloze II části II bodě 3.9.7.</w:t>
      </w:r>
    </w:p>
    <w:p w14:paraId="5A7C446B" w14:textId="77777777" w:rsidR="0014552F" w:rsidRPr="004263A0" w:rsidRDefault="0014552F" w:rsidP="0014552F">
      <w:pPr>
        <w:pStyle w:val="NumPar1"/>
      </w:pPr>
      <w:r w:rsidRPr="004263A0">
        <w:t>Instituce vykazují informace týkající se akciových expozic řešených přístupem založeným na interním ratingu podle přílohy I šablony 10 v souladu s pokyny uvedenými v příloze II části II bodě 3.5.</w:t>
      </w:r>
    </w:p>
    <w:p w14:paraId="6C5997E8" w14:textId="77777777" w:rsidR="0014552F" w:rsidRPr="004263A0" w:rsidRDefault="0014552F" w:rsidP="0014552F">
      <w:pPr>
        <w:pStyle w:val="NumPar1"/>
      </w:pPr>
      <w:r w:rsidRPr="004263A0">
        <w:t>Instituce vykazují informace týkající se vypořádacího rizika podle přílohy I šablony 11 v souladu s pokyny uvedenými v příloze II části II bodě 3.6.</w:t>
      </w:r>
    </w:p>
    <w:p w14:paraId="442593B8" w14:textId="77777777" w:rsidR="0014552F" w:rsidRPr="004263A0" w:rsidRDefault="0014552F" w:rsidP="0014552F">
      <w:pPr>
        <w:pStyle w:val="NumPar1"/>
      </w:pPr>
      <w:r w:rsidRPr="004263A0">
        <w:t>Instituce vykazují informace týkající se sekuritizovaných expozic podle přílohy I šablony 13.01 v souladu s pokyny uvedenými v příloze II části II bodě 3.7.</w:t>
      </w:r>
    </w:p>
    <w:p w14:paraId="70A0DE2C" w14:textId="77777777" w:rsidR="0014552F" w:rsidRPr="004263A0" w:rsidRDefault="0014552F" w:rsidP="0014552F">
      <w:pPr>
        <w:pStyle w:val="NumPar1"/>
      </w:pPr>
      <w:r w:rsidRPr="004263A0">
        <w:t>Instituce vykazují informace týkající se kapitálových požadavků a ztrát v souvislosti s operačním rizikem podle přílohy I šablony 16 v souladu s pokyny uvedenými v příloze II části II bodě 4.1.</w:t>
      </w:r>
    </w:p>
    <w:p w14:paraId="66782023" w14:textId="77777777" w:rsidR="0014552F" w:rsidRPr="004263A0" w:rsidRDefault="0014552F" w:rsidP="0014552F">
      <w:pPr>
        <w:pStyle w:val="NumPar1"/>
      </w:pPr>
      <w:r w:rsidRPr="004263A0">
        <w:t>Instituce vykazují informace týkající se kapitálových požadavků v souvislosti s tržním rizikem podle přílohy I šablon 18 až 24 v souladu s pokyny uvedenými v příloze II části II bodech 5.1 až 5.7.</w:t>
      </w:r>
    </w:p>
    <w:p w14:paraId="2975DD1F" w14:textId="77777777" w:rsidR="0014552F" w:rsidRPr="004263A0" w:rsidRDefault="0014552F" w:rsidP="0014552F">
      <w:pPr>
        <w:pStyle w:val="NumPar1"/>
      </w:pPr>
      <w:r w:rsidRPr="004263A0">
        <w:t>Instituce vykazují informace týkající se kapitálových požadavků v souvislosti s rizikem úvěrové úpravy v ocenění podle přílohy I šablony 25 v souladu s pokyny uvedenými v příloze II části II bodě 5.8.</w:t>
      </w:r>
    </w:p>
    <w:p w14:paraId="29B0B226" w14:textId="5F3CD6D2" w:rsidR="0014552F" w:rsidRPr="004263A0" w:rsidRDefault="0014552F" w:rsidP="0014552F">
      <w:pPr>
        <w:pStyle w:val="NumPar1"/>
      </w:pPr>
      <w:r w:rsidRPr="004263A0">
        <w:t>Instituce vykazují informace týkající se obezřetného oceňování podle přílohy I šablony 32 v souladu s pokyny uvedenými v příloze II části II bodě 6 takto:</w:t>
      </w:r>
    </w:p>
    <w:p w14:paraId="7AAF2502" w14:textId="77777777" w:rsidR="0014552F" w:rsidRPr="004263A0" w:rsidRDefault="0014552F" w:rsidP="0014552F">
      <w:pPr>
        <w:pStyle w:val="Point1"/>
      </w:pPr>
      <w:r w:rsidRPr="004263A0">
        <w:t>a)</w:t>
      </w:r>
      <w:r w:rsidRPr="004263A0">
        <w:tab/>
        <w:t>všechny instituce vykazují informace uvedené v příloze I šabloně 32.1 v souladu s pokyny uvedenými v příloze II části II bodě 6;</w:t>
      </w:r>
    </w:p>
    <w:p w14:paraId="2C2BA953" w14:textId="77777777" w:rsidR="0014552F" w:rsidRPr="004263A0" w:rsidRDefault="0014552F" w:rsidP="0014552F">
      <w:pPr>
        <w:pStyle w:val="Point1"/>
      </w:pPr>
      <w:r w:rsidRPr="004263A0">
        <w:t>b)</w:t>
      </w:r>
      <w:r w:rsidRPr="004263A0">
        <w:tab/>
        <w:t>instituce, které uplatňují základní postup v souladu s nařízením Komise v přenesené pravomoci (EU) 2016/101</w:t>
      </w:r>
      <w:r w:rsidRPr="004263A0">
        <w:rPr>
          <w:rStyle w:val="FootnoteReference"/>
        </w:rPr>
        <w:footnoteReference w:id="9"/>
      </w:r>
      <w:r w:rsidRPr="004263A0">
        <w:t xml:space="preserve">, vykazují kromě informací uvedených </w:t>
      </w:r>
      <w:r w:rsidRPr="004263A0">
        <w:lastRenderedPageBreak/>
        <w:t>pod písmenem a) tohoto odstavce informace uvedené v příloze I šabloně 32.2 v souladu s pokyny uvedenými v příloze II části II bodě 6;</w:t>
      </w:r>
    </w:p>
    <w:p w14:paraId="220BA8B3" w14:textId="77777777" w:rsidR="0014552F" w:rsidRPr="004263A0" w:rsidRDefault="0014552F" w:rsidP="0014552F">
      <w:pPr>
        <w:pStyle w:val="Point1"/>
      </w:pPr>
      <w:r w:rsidRPr="004263A0">
        <w:t>c)</w:t>
      </w:r>
      <w:r w:rsidRPr="004263A0">
        <w:tab/>
        <w:t>instituce, které uplatňují základní postup v souladu s nařízením Komise v přenesené pravomoci (EU) 2016/101 a které překročí prahovou hodnotu uvedenou v čl. 4 odst. 1 tohoto nařízení, vykazují kromě informací uvedených pod písmeny a) a b) tohoto odstavce informace uvedené v příloze I šablonách 32.3 a 32.4 v souladu s pokyny uvedenými v příloze II části II bodě 6.</w:t>
      </w:r>
    </w:p>
    <w:p w14:paraId="3453A2CF" w14:textId="77777777" w:rsidR="0014552F" w:rsidRPr="004263A0" w:rsidRDefault="0014552F" w:rsidP="0014552F">
      <w:pPr>
        <w:pStyle w:val="Text1"/>
      </w:pPr>
      <w:r w:rsidRPr="004263A0">
        <w:t>Pro účely tohoto odstavce se neuplatňují zahajovací a ukončovací kritéria podle článku 4.</w:t>
      </w:r>
    </w:p>
    <w:p w14:paraId="3329EA93" w14:textId="0799B97E" w:rsidR="00725875" w:rsidRPr="004263A0" w:rsidRDefault="0014552F" w:rsidP="0014552F">
      <w:pPr>
        <w:pStyle w:val="NumPar1"/>
      </w:pPr>
      <w:r w:rsidRPr="004263A0">
        <w:t>Instituce vykazují informace týkající se obezřetnostního jištění pro nevýkonné expozice podle přílohy I šablon 35.01, 35.02 a 35.03 v souladu s pokyny uvedenými v příloze II části II bodě 8.</w:t>
      </w:r>
    </w:p>
    <w:p w14:paraId="2263BAFA" w14:textId="77777777" w:rsidR="004A4E65" w:rsidRPr="004263A0" w:rsidRDefault="004A4E65" w:rsidP="004A4E65">
      <w:pPr>
        <w:pStyle w:val="Titrearticle"/>
      </w:pPr>
      <w:r w:rsidRPr="004263A0">
        <w:t xml:space="preserve">Článek </w:t>
      </w:r>
      <w:r w:rsidR="00E5531F">
        <w:fldChar w:fldCharType="begin"/>
      </w:r>
      <w:r w:rsidR="00E5531F">
        <w:instrText xml:space="preserve"> seq article </w:instrText>
      </w:r>
      <w:r w:rsidR="00E5531F">
        <w:fldChar w:fldCharType="separate"/>
      </w:r>
      <w:r w:rsidRPr="004263A0">
        <w:t>6</w:t>
      </w:r>
      <w:r w:rsidR="00E5531F">
        <w:fldChar w:fldCharType="end"/>
      </w:r>
      <w:r w:rsidRPr="004263A0">
        <w:t xml:space="preserve"> </w:t>
      </w:r>
    </w:p>
    <w:p w14:paraId="6708BD45" w14:textId="77777777" w:rsidR="004A4E65" w:rsidRPr="004263A0" w:rsidRDefault="004A4E65" w:rsidP="004A4E65">
      <w:pPr>
        <w:pStyle w:val="Titrearticle"/>
        <w:rPr>
          <w:b/>
          <w:i w:val="0"/>
        </w:rPr>
      </w:pPr>
      <w:r w:rsidRPr="004263A0">
        <w:rPr>
          <w:b/>
          <w:i w:val="0"/>
        </w:rPr>
        <w:t xml:space="preserve">Podávání zpráv o kapitálu a kapitálových požadavcích na individuálním základě – pololetní vykazování </w:t>
      </w:r>
    </w:p>
    <w:p w14:paraId="5551DF99" w14:textId="77777777" w:rsidR="004A4E65" w:rsidRPr="004263A0" w:rsidRDefault="004A4E65" w:rsidP="005F180D">
      <w:pPr>
        <w:pStyle w:val="NumPar1"/>
        <w:numPr>
          <w:ilvl w:val="0"/>
          <w:numId w:val="15"/>
        </w:numPr>
      </w:pPr>
      <w:r w:rsidRPr="004263A0">
        <w:t xml:space="preserve">V rámci podávání zpráv o kapitálu a kapitálových požadavcích podle čl. 430 odst. 1 písm. a) nařízení (EU) č. 575/2013 na individuálním základě vykazují instituce informace uvedené v tomto článku pololetně. </w:t>
      </w:r>
    </w:p>
    <w:p w14:paraId="40FBE120" w14:textId="77777777" w:rsidR="004A4E65" w:rsidRPr="004263A0" w:rsidRDefault="004A4E65" w:rsidP="004A4E65">
      <w:pPr>
        <w:pStyle w:val="NumPar1"/>
      </w:pPr>
      <w:r w:rsidRPr="004263A0">
        <w:t>Instituce vykazují informace týkající se všech sekuritizovaných expozic podle přílohy I šablon 14 a 14.01 v souladu s pokyny uvedenými v příloze II části II bodě 3.8; s výjimkou případu, kdy jsou součástí skupiny ve stejné zemi, kde podléhají kapitálovým požadavkům.</w:t>
      </w:r>
    </w:p>
    <w:p w14:paraId="19F85BB9" w14:textId="77777777" w:rsidR="004A4E65" w:rsidRPr="004263A0" w:rsidRDefault="004A4E65" w:rsidP="004A4E65">
      <w:pPr>
        <w:pStyle w:val="NumPar1"/>
      </w:pPr>
      <w:r w:rsidRPr="004263A0">
        <w:t>Instituce vykazují informace týkající se expozic vůči státnímu dluhu takto:</w:t>
      </w:r>
    </w:p>
    <w:p w14:paraId="67E38C8A" w14:textId="0F5AFF0E" w:rsidR="004A4E65" w:rsidRPr="004263A0" w:rsidRDefault="004A4E65" w:rsidP="004A4E65">
      <w:pPr>
        <w:pStyle w:val="Point1"/>
      </w:pPr>
      <w:r w:rsidRPr="004263A0">
        <w:t>a)</w:t>
      </w:r>
      <w:r w:rsidRPr="004263A0">
        <w:tab/>
        <w:t xml:space="preserve">pokud souhrnná účetní hodnota finančních aktiv z odvětví protistran „vládní instituce“ je rovna nebo vyšší než 1 % součtu celkové účetní hodnoty u „dluhových cenných papírů“ a „úvěrů a jiných pohledávek“, instituce vykazují informace podle přílohy I šablony 33 v souladu s pokyny uvedenými v příloze II části II bodě 7 a při výpočtu příslušných hodnot postupují podle </w:t>
      </w:r>
      <w:r w:rsidR="0004072A">
        <w:t>pokynů v příloze V k šabloně 4 z</w:t>
      </w:r>
      <w:r w:rsidRPr="004263A0">
        <w:t xml:space="preserve"> přílo</w:t>
      </w:r>
      <w:r w:rsidR="0004072A">
        <w:t>hy</w:t>
      </w:r>
      <w:r w:rsidRPr="004263A0">
        <w:t xml:space="preserve"> III, případně přílo</w:t>
      </w:r>
      <w:r w:rsidR="0004072A">
        <w:t>hy</w:t>
      </w:r>
      <w:r w:rsidRPr="004263A0">
        <w:t xml:space="preserve"> IV;</w:t>
      </w:r>
    </w:p>
    <w:p w14:paraId="1F937D26" w14:textId="77777777" w:rsidR="004A4E65" w:rsidRPr="004263A0" w:rsidRDefault="004A4E65" w:rsidP="004A4E65">
      <w:pPr>
        <w:pStyle w:val="Point1"/>
      </w:pPr>
      <w:r w:rsidRPr="004263A0">
        <w:t>b)</w:t>
      </w:r>
      <w:r w:rsidRPr="004263A0">
        <w:tab/>
        <w:t>pokud je hodnota vykázaná u tuzemských expozic nederivátových finančních aktiv definovaných v příloze I šabloně 33 řádku 0010 sloupci 0010 menší než 90 % hodnoty vykázané u tuzemských a zahraničních expozic u téhož datového bodu, instituce, které splňují podmínku uvedenou pod písmenem a), vykazují informace podle přílohy I šablony 33 v souladu s pokyny v příloze II části II bodě 7 s úplným rozdělením podle zemí;</w:t>
      </w:r>
    </w:p>
    <w:p w14:paraId="7834EDAC" w14:textId="77777777" w:rsidR="004A4E65" w:rsidRPr="004263A0" w:rsidRDefault="004A4E65" w:rsidP="004A4E65">
      <w:pPr>
        <w:pStyle w:val="Point1"/>
      </w:pPr>
      <w:r w:rsidRPr="004263A0">
        <w:t>c)</w:t>
      </w:r>
      <w:r w:rsidRPr="004263A0">
        <w:tab/>
        <w:t>instituce, které splňují podmínky uvedené pod písmenem a) a nesplňují podmínku uvedenou pod písmenem b), vykazují informace podle šablony 33 v souladu s pokyny v příloze II části II bodě 7 s expozicemi agregovanými na:</w:t>
      </w:r>
    </w:p>
    <w:p w14:paraId="218EDBA5" w14:textId="74AF5388" w:rsidR="004A4E65" w:rsidRPr="004263A0" w:rsidRDefault="004A4E65" w:rsidP="004A4E65">
      <w:pPr>
        <w:pStyle w:val="Point1"/>
        <w:ind w:firstLine="0"/>
      </w:pPr>
      <w:r w:rsidRPr="004263A0">
        <w:t>i) celkové úrovni a</w:t>
      </w:r>
    </w:p>
    <w:p w14:paraId="008CFBAC" w14:textId="77777777" w:rsidR="004A4E65" w:rsidRPr="004263A0" w:rsidRDefault="004A4E65" w:rsidP="004A4E65">
      <w:pPr>
        <w:pStyle w:val="Point1"/>
        <w:ind w:firstLine="0"/>
      </w:pPr>
      <w:r w:rsidRPr="004263A0">
        <w:t>ii) tuzemské úrovni.</w:t>
      </w:r>
    </w:p>
    <w:p w14:paraId="3B9FA7D6" w14:textId="77777777" w:rsidR="004A4E65" w:rsidRPr="004263A0" w:rsidRDefault="004A4E65" w:rsidP="004A4E65">
      <w:pPr>
        <w:pStyle w:val="Text1"/>
      </w:pPr>
      <w:r w:rsidRPr="004263A0">
        <w:t>Použijí se zahajovací a ukončovací kritéria podle čl. 4 odst. 3.</w:t>
      </w:r>
    </w:p>
    <w:p w14:paraId="76F698FA" w14:textId="77777777" w:rsidR="004A4E65" w:rsidRPr="004263A0" w:rsidRDefault="004A4E65" w:rsidP="004A4E65">
      <w:pPr>
        <w:pStyle w:val="NumPar1"/>
      </w:pPr>
      <w:r w:rsidRPr="004263A0">
        <w:lastRenderedPageBreak/>
        <w:t>Informace o podstatných ztrátách v souvislosti s operačním rizikem se vykazují takto:</w:t>
      </w:r>
    </w:p>
    <w:p w14:paraId="6D57AB20" w14:textId="77777777" w:rsidR="004A4E65" w:rsidRPr="004263A0" w:rsidRDefault="004A4E65" w:rsidP="004A4E65">
      <w:pPr>
        <w:pStyle w:val="Point1"/>
      </w:pPr>
      <w:r w:rsidRPr="004263A0">
        <w:t>a)</w:t>
      </w:r>
      <w:r w:rsidRPr="004263A0">
        <w:tab/>
        <w:t>instituce, které provádějí výpočet kapitálových požadavků vztahujících se k operačnímu riziku v souladu s částí třetí hlavou III kapitolou 4 nařízení (EU) č. 575/2013, vykazují tyto informace podle přílohy I šablon 17.01 a 17.02 v souladu s pokyny v příloze II části II bodě 4.2;</w:t>
      </w:r>
    </w:p>
    <w:p w14:paraId="574CD1A6" w14:textId="77777777" w:rsidR="004A4E65" w:rsidRPr="004263A0" w:rsidRDefault="004A4E65" w:rsidP="004A4E65">
      <w:pPr>
        <w:pStyle w:val="Point1"/>
      </w:pPr>
      <w:r w:rsidRPr="004263A0">
        <w:t>b)</w:t>
      </w:r>
      <w:r w:rsidRPr="004263A0">
        <w:tab/>
        <w:t>velké instituce, které provádějí výpočet kapitálových požadavků vztahujících se k operačnímu riziku v souladu s částí třetí hlavou III kapitolou 3 nařízení (EU) č. 575/2013, vykazují tyto informace podle přílohy I šablon 17.01 a 17.02 v souladu s pokyny v příloze II části II bodě 4.2;</w:t>
      </w:r>
    </w:p>
    <w:p w14:paraId="3913C437" w14:textId="77777777" w:rsidR="004A4E65" w:rsidRPr="004263A0" w:rsidRDefault="004A4E65" w:rsidP="004A4E65">
      <w:pPr>
        <w:pStyle w:val="Point1"/>
      </w:pPr>
      <w:r w:rsidRPr="004263A0">
        <w:t>c)</w:t>
      </w:r>
      <w:r w:rsidRPr="004263A0">
        <w:tab/>
        <w:t>jiné než velké instituce, které provádějí výpočet kapitálových požadavků vztahujících se k operačnímu riziku v souladu s částí třetí hlavou III kapitolou 3 nařízení (EU) č. 575/2013, vykazují v souladu s pokyny v příloze II části II bodě 4.2 tyto informace:</w:t>
      </w:r>
    </w:p>
    <w:p w14:paraId="465B55EF" w14:textId="77777777" w:rsidR="004A4E65" w:rsidRPr="004263A0" w:rsidRDefault="004A4E65" w:rsidP="004A4E65">
      <w:pPr>
        <w:pStyle w:val="Point2"/>
      </w:pPr>
      <w:r w:rsidRPr="004263A0">
        <w:t>i)</w:t>
      </w:r>
      <w:r w:rsidRPr="004263A0">
        <w:tab/>
        <w:t>informace uvedené v příloze I šabloně 17.01 sloupci 0080 pro následující řádky:</w:t>
      </w:r>
    </w:p>
    <w:p w14:paraId="38FC9781" w14:textId="77777777" w:rsidR="004A4E65" w:rsidRPr="004263A0" w:rsidRDefault="004A4E65" w:rsidP="004A4E65">
      <w:pPr>
        <w:pStyle w:val="Point3"/>
      </w:pPr>
      <w:r w:rsidRPr="004263A0">
        <w:t>–</w:t>
      </w:r>
      <w:r w:rsidRPr="004263A0">
        <w:tab/>
        <w:t>počet událostí (nové události) (řádek 0910),</w:t>
      </w:r>
    </w:p>
    <w:p w14:paraId="4D4CF5FF" w14:textId="77777777" w:rsidR="004A4E65" w:rsidRPr="004263A0" w:rsidRDefault="004A4E65" w:rsidP="004A4E65">
      <w:pPr>
        <w:pStyle w:val="Point3"/>
      </w:pPr>
      <w:r w:rsidRPr="004263A0">
        <w:t>–</w:t>
      </w:r>
      <w:r w:rsidRPr="004263A0">
        <w:tab/>
        <w:t>hrubý objem ztrát (nové události) (řádek 0920),</w:t>
      </w:r>
    </w:p>
    <w:p w14:paraId="1C861214" w14:textId="77777777" w:rsidR="004A4E65" w:rsidRPr="004263A0" w:rsidRDefault="004A4E65" w:rsidP="004A4E65">
      <w:pPr>
        <w:pStyle w:val="Point3"/>
      </w:pPr>
      <w:r w:rsidRPr="004263A0">
        <w:t>–</w:t>
      </w:r>
      <w:r w:rsidRPr="004263A0">
        <w:tab/>
        <w:t>počet událostí podléhajících úpravám ztrát (řádek 0930),</w:t>
      </w:r>
    </w:p>
    <w:p w14:paraId="5E7045F5" w14:textId="77777777" w:rsidR="004A4E65" w:rsidRPr="004263A0" w:rsidRDefault="004A4E65" w:rsidP="004A4E65">
      <w:pPr>
        <w:pStyle w:val="Point3"/>
      </w:pPr>
      <w:r w:rsidRPr="004263A0">
        <w:t>–</w:t>
      </w:r>
      <w:r w:rsidRPr="004263A0">
        <w:tab/>
        <w:t>úpravy ztrát týkající se předchozích vykazovaných období (řádek 0940),</w:t>
      </w:r>
    </w:p>
    <w:p w14:paraId="1438A6CB" w14:textId="77777777" w:rsidR="004A4E65" w:rsidRPr="004263A0" w:rsidRDefault="004A4E65" w:rsidP="004A4E65">
      <w:pPr>
        <w:pStyle w:val="Point3"/>
      </w:pPr>
      <w:r w:rsidRPr="004263A0">
        <w:t>–</w:t>
      </w:r>
      <w:r w:rsidRPr="004263A0">
        <w:tab/>
        <w:t xml:space="preserve">maximální výše jedné ztráty (řádek 0950), </w:t>
      </w:r>
    </w:p>
    <w:p w14:paraId="5C63649B" w14:textId="77777777" w:rsidR="004A4E65" w:rsidRPr="004263A0" w:rsidRDefault="004A4E65" w:rsidP="004A4E65">
      <w:pPr>
        <w:pStyle w:val="Point3"/>
      </w:pPr>
      <w:r w:rsidRPr="004263A0">
        <w:t>–</w:t>
      </w:r>
      <w:r w:rsidRPr="004263A0">
        <w:tab/>
        <w:t>součet pěti nejvyšších ztrát (řádek 0960),</w:t>
      </w:r>
    </w:p>
    <w:p w14:paraId="6C176440" w14:textId="77777777" w:rsidR="004A4E65" w:rsidRPr="004263A0" w:rsidRDefault="004A4E65" w:rsidP="004A4E65">
      <w:pPr>
        <w:pStyle w:val="Point3"/>
      </w:pPr>
      <w:r w:rsidRPr="004263A0">
        <w:t>–</w:t>
      </w:r>
      <w:r w:rsidRPr="004263A0">
        <w:tab/>
        <w:t>celkový přímý výtěžek ztrát (s výjimkou pojištění a jiných mechanismů převodu rizika) (řádek 0970),</w:t>
      </w:r>
    </w:p>
    <w:p w14:paraId="586DD233" w14:textId="77777777" w:rsidR="004A4E65" w:rsidRPr="004263A0" w:rsidRDefault="004A4E65" w:rsidP="004A4E65">
      <w:pPr>
        <w:pStyle w:val="Point3"/>
      </w:pPr>
      <w:r w:rsidRPr="004263A0">
        <w:t>–</w:t>
      </w:r>
      <w:r w:rsidRPr="004263A0">
        <w:tab/>
        <w:t xml:space="preserve">celkové výtěžky z pojištění a jiných mechanismů převodu rizika (řádek 0980); </w:t>
      </w:r>
    </w:p>
    <w:p w14:paraId="0825DE8D" w14:textId="77777777" w:rsidR="004A4E65" w:rsidRPr="004263A0" w:rsidRDefault="004A4E65" w:rsidP="004A4E65">
      <w:pPr>
        <w:pStyle w:val="Point2"/>
      </w:pPr>
      <w:r w:rsidRPr="004263A0">
        <w:t>ii)</w:t>
      </w:r>
      <w:r w:rsidRPr="004263A0">
        <w:tab/>
        <w:t>informace uvedené v příloze I šabloně 17.02;</w:t>
      </w:r>
    </w:p>
    <w:p w14:paraId="2FD7698B" w14:textId="77777777" w:rsidR="004A4E65" w:rsidRPr="004263A0" w:rsidRDefault="004A4E65" w:rsidP="004A4E65">
      <w:pPr>
        <w:pStyle w:val="Point1"/>
      </w:pPr>
      <w:r w:rsidRPr="004263A0">
        <w:t>d)</w:t>
      </w:r>
      <w:r w:rsidRPr="004263A0">
        <w:tab/>
        <w:t>instituce uvedené pod písmenem c) mohou vykazovat kompletní soubor informací uvedených v příloze I šablonách 17.01 a 17.02 v souladu s pokyny v příloze II části II bodě 4.2;</w:t>
      </w:r>
    </w:p>
    <w:p w14:paraId="75F8B450" w14:textId="77777777" w:rsidR="004A4E65" w:rsidRPr="004263A0" w:rsidRDefault="004A4E65" w:rsidP="004A4E65">
      <w:pPr>
        <w:pStyle w:val="Point1"/>
      </w:pPr>
      <w:r w:rsidRPr="004263A0">
        <w:t>e)</w:t>
      </w:r>
      <w:r w:rsidRPr="004263A0">
        <w:tab/>
        <w:t>velké instituce, které provádějí výpočet kapitálových požadavků vztahujících se k operačnímu riziku v souladu s částí třetí hlavou III kapitolou 2 nařízení (EU) č. 575/2013, vykazují informace podle přílohy I šablon 17.01 a 17.02 v souladu s pokyny v příloze II části II bodě 4.2;</w:t>
      </w:r>
    </w:p>
    <w:p w14:paraId="612A5174" w14:textId="77777777" w:rsidR="004A4E65" w:rsidRPr="004263A0" w:rsidRDefault="004A4E65" w:rsidP="004A4E65">
      <w:pPr>
        <w:pStyle w:val="Point1"/>
      </w:pPr>
      <w:r w:rsidRPr="004263A0">
        <w:t>f)</w:t>
      </w:r>
      <w:r w:rsidRPr="004263A0">
        <w:tab/>
        <w:t>jiné než velké instituce, které provádějí výpočet kapitálových požadavků vztahujících se k operačnímu riziku v souladu s částí třetí hlavou III kapitolou 2 nařízení (EU) č. 575/2013, mohou vykazovat informace podle přílohy I šablon 17.01 a 17.02 v souladu s pokyny v příloze II části II bodě 4.2.</w:t>
      </w:r>
    </w:p>
    <w:p w14:paraId="2F83BAAA" w14:textId="77777777" w:rsidR="004A4E65" w:rsidRPr="004263A0" w:rsidRDefault="004A4E65" w:rsidP="004A4E65">
      <w:pPr>
        <w:pStyle w:val="Text1"/>
      </w:pPr>
      <w:r w:rsidRPr="004263A0">
        <w:t>Použijí se zahajovací a ukončovací kritéria podle čl. 4 odst. 3.</w:t>
      </w:r>
    </w:p>
    <w:p w14:paraId="490166B3" w14:textId="6B9CD855" w:rsidR="00496B08" w:rsidRPr="004263A0" w:rsidRDefault="004A4E65" w:rsidP="004A4E65">
      <w:pPr>
        <w:pStyle w:val="NumPar1"/>
      </w:pPr>
      <w:r w:rsidRPr="004263A0">
        <w:t xml:space="preserve">Instituce uplatňující pro výpočet expozic úvěrového rizika protistrany zjednodušený standardizovaný přístup nebo metodu původní expozice v souladu s částí třetí hlavou II kapitolou 6 oddíly 4 a 5 nařízení (EU) č. 575/2013 vykazují informace týkající se </w:t>
      </w:r>
      <w:r w:rsidRPr="004263A0">
        <w:lastRenderedPageBreak/>
        <w:t>úvěrového rizika protistrany podle přílohy I šablony 34.06 v souladu s pokyny uvedenými v příloze II části II bodě 3.9.7.</w:t>
      </w:r>
    </w:p>
    <w:p w14:paraId="6414DB48" w14:textId="77777777" w:rsidR="00FE0C02" w:rsidRPr="004263A0" w:rsidRDefault="00FE0C02" w:rsidP="00FE0C02">
      <w:pPr>
        <w:pStyle w:val="Titrearticle"/>
      </w:pPr>
      <w:r w:rsidRPr="004263A0">
        <w:t xml:space="preserve">Článek </w:t>
      </w:r>
      <w:r w:rsidR="00E5531F">
        <w:fldChar w:fldCharType="begin"/>
      </w:r>
      <w:r w:rsidR="00E5531F">
        <w:instrText xml:space="preserve"> seq article </w:instrText>
      </w:r>
      <w:r w:rsidR="00E5531F">
        <w:fldChar w:fldCharType="separate"/>
      </w:r>
      <w:r w:rsidRPr="004263A0">
        <w:t>7</w:t>
      </w:r>
      <w:r w:rsidR="00E5531F">
        <w:fldChar w:fldCharType="end"/>
      </w:r>
    </w:p>
    <w:p w14:paraId="0F2D57CA" w14:textId="77777777" w:rsidR="00FE0C02" w:rsidRPr="004263A0" w:rsidRDefault="00FE0C02" w:rsidP="00FE0C02">
      <w:pPr>
        <w:pStyle w:val="Titrearticle"/>
        <w:spacing w:before="120"/>
        <w:rPr>
          <w:b/>
          <w:i w:val="0"/>
        </w:rPr>
      </w:pPr>
      <w:r w:rsidRPr="004263A0">
        <w:rPr>
          <w:b/>
          <w:i w:val="0"/>
        </w:rPr>
        <w:t>Podávání zpráv o kapitálu a kapitálových požadavcích na konsolidovaném základě</w:t>
      </w:r>
    </w:p>
    <w:p w14:paraId="598D92CF" w14:textId="77777777" w:rsidR="00FE0C02" w:rsidRPr="004263A0" w:rsidRDefault="00FE0C02" w:rsidP="00FE0C02">
      <w:pPr>
        <w:widowControl w:val="0"/>
        <w:autoSpaceDE w:val="0"/>
        <w:autoSpaceDN w:val="0"/>
        <w:spacing w:line="228" w:lineRule="auto"/>
      </w:pPr>
      <w:r w:rsidRPr="004263A0">
        <w:t>V rámci podávání zpráv o kapitálu a kapitálových požadavcích podle čl. 430 odst. 1 písm. a) nařízení (EU) č. 575/2013 na konsolidovaném základě vykazují instituce informace uvedené:</w:t>
      </w:r>
    </w:p>
    <w:p w14:paraId="2745F268" w14:textId="77777777" w:rsidR="00FE0C02" w:rsidRPr="004263A0" w:rsidRDefault="00FE0C02" w:rsidP="00FE0C02">
      <w:pPr>
        <w:pStyle w:val="Point1"/>
      </w:pPr>
      <w:r w:rsidRPr="004263A0">
        <w:t>a)</w:t>
      </w:r>
      <w:r w:rsidRPr="004263A0">
        <w:tab/>
        <w:t>v článcích 5 a 6 tohoto prováděcího nařízení na konsolidovaném základě s četností uvedenou v daných článcích a</w:t>
      </w:r>
    </w:p>
    <w:p w14:paraId="41714624" w14:textId="77777777" w:rsidR="00FE0C02" w:rsidRPr="004263A0" w:rsidRDefault="00FE0C02" w:rsidP="00FE0C02">
      <w:pPr>
        <w:pStyle w:val="Point1"/>
      </w:pPr>
      <w:r w:rsidRPr="004263A0">
        <w:t>b)</w:t>
      </w:r>
      <w:r w:rsidRPr="004263A0">
        <w:tab/>
        <w:t>v příloze I šabloně 6 v souladu s pokyny uvedenými v příloze II části II bodě 2, pokud jde o subjekty zahrnuté do konsolidace, pololetně.</w:t>
      </w:r>
    </w:p>
    <w:p w14:paraId="319C9C0F" w14:textId="77777777" w:rsidR="00FE0C02" w:rsidRPr="004263A0" w:rsidRDefault="00FE0C02" w:rsidP="00FE0C02">
      <w:pPr>
        <w:pStyle w:val="Titrearticle"/>
      </w:pPr>
      <w:r w:rsidRPr="004263A0">
        <w:t>Článek 8</w:t>
      </w:r>
    </w:p>
    <w:p w14:paraId="601BC224" w14:textId="77777777" w:rsidR="00FE0C02" w:rsidRPr="004263A0" w:rsidRDefault="00FE0C02" w:rsidP="00FE0C02">
      <w:pPr>
        <w:pStyle w:val="Titrearticle"/>
        <w:rPr>
          <w:b/>
          <w:i w:val="0"/>
        </w:rPr>
      </w:pPr>
      <w:r w:rsidRPr="004263A0">
        <w:rPr>
          <w:b/>
          <w:i w:val="0"/>
        </w:rPr>
        <w:t>Podávání zpráv o kapitálu a kapitálových požadavcích – další požadavky na podávání zpráv na individuálním a konsolidovaném základě</w:t>
      </w:r>
    </w:p>
    <w:p w14:paraId="23F3BEFD" w14:textId="596DDC34" w:rsidR="00FE0C02" w:rsidRPr="004263A0" w:rsidRDefault="00125634" w:rsidP="005F180D">
      <w:pPr>
        <w:pStyle w:val="NumPar1"/>
        <w:numPr>
          <w:ilvl w:val="0"/>
          <w:numId w:val="16"/>
        </w:numPr>
      </w:pPr>
      <w:r w:rsidRPr="004263A0">
        <w:t>Instituce, na něž se vztahuje požadavek zpřístupňovat informace uvedené v čl. 438 písm. e) nebo h) nebo v čl. 452 písm. b), g) nebo h) nařízení (EU) č. 575/2013 s četností stanovenou v článku 433a nebo případně v článku 433c na individuálním základě v souladu s článkem 6 nebo případně na konsolidovaném základě v souladu s článkem 13 uvedeného nařízení, vykazují informace o úvěrovém riziku a úvěrovém riziku protistrany s toutéž četností a na témže základě podle přílohy I šablon 8.3, 8.4, 8.5, 8.5.1, 8.6, 8.7 a 34.11 tohoto nařízení v souladu s pokyny uvedenými v příloze II části II bodech 3.3 a 3.9.12 tohoto nařízení.</w:t>
      </w:r>
    </w:p>
    <w:p w14:paraId="58F2B691" w14:textId="6662E4F8" w:rsidR="00FE0C02" w:rsidRPr="004263A0" w:rsidRDefault="00977656" w:rsidP="00FE0C02">
      <w:pPr>
        <w:pStyle w:val="NumPar1"/>
      </w:pPr>
      <w:r w:rsidRPr="004263A0">
        <w:t>Instituce, na něž se vztahuje požadavek zpřístupňovat informace uvedené v čl. 439 písm. l) nařízení (EU) č. 575/2013 s četností stanovenou v článku 433a nebo případně v článku 433c na individuálním základě v souladu s článkem 6 nebo případně na konsolidovaném základě v souladu s článkem 13 uvedeného nařízení, vykazují informace o úvěrovém riziku protistrany s toutéž četností a na témže základě podle přílohy I šablony 34.07 tohoto nařízení v souladu s pokyny uvedenými v příloze II části II bodě 3.9.8 tohoto nařízení.</w:t>
      </w:r>
    </w:p>
    <w:p w14:paraId="7252BD87" w14:textId="77777777" w:rsidR="00FE0C02" w:rsidRPr="004263A0" w:rsidRDefault="00FE0C02" w:rsidP="00FE0C02">
      <w:pPr>
        <w:pStyle w:val="Titrearticle"/>
      </w:pPr>
      <w:r w:rsidRPr="004263A0">
        <w:t xml:space="preserve">Článek </w:t>
      </w:r>
      <w:r w:rsidR="00E5531F">
        <w:fldChar w:fldCharType="begin"/>
      </w:r>
      <w:r w:rsidR="00E5531F">
        <w:instrText xml:space="preserve"> seq article </w:instrText>
      </w:r>
      <w:r w:rsidR="00E5531F">
        <w:fldChar w:fldCharType="separate"/>
      </w:r>
      <w:r w:rsidRPr="004263A0">
        <w:t>9</w:t>
      </w:r>
      <w:r w:rsidR="00E5531F">
        <w:fldChar w:fldCharType="end"/>
      </w:r>
    </w:p>
    <w:p w14:paraId="6B3DD09D" w14:textId="77777777" w:rsidR="00FE0C02" w:rsidRPr="004263A0" w:rsidRDefault="00FE0C02" w:rsidP="00FE0C02">
      <w:pPr>
        <w:pStyle w:val="Titrearticle"/>
        <w:spacing w:before="120"/>
        <w:rPr>
          <w:b/>
          <w:i w:val="0"/>
        </w:rPr>
      </w:pPr>
      <w:r w:rsidRPr="004263A0">
        <w:rPr>
          <w:b/>
          <w:i w:val="0"/>
        </w:rPr>
        <w:t>Podávání zpráv o kapitálu a kapitálových požadavcích na individuálním základě investičními podniky spadajícími do působnosti článků 95 a 96 nařízení (EU) č. 575/2013</w:t>
      </w:r>
    </w:p>
    <w:p w14:paraId="3D78F884" w14:textId="77777777" w:rsidR="00FE0C02" w:rsidRPr="004263A0" w:rsidRDefault="00FE0C02" w:rsidP="005F180D">
      <w:pPr>
        <w:pStyle w:val="NumPar1"/>
        <w:numPr>
          <w:ilvl w:val="0"/>
          <w:numId w:val="17"/>
        </w:numPr>
      </w:pPr>
      <w:r w:rsidRPr="004263A0">
        <w:t>Podle tohoto článku vykazují informace investiční podniky, které uplatňují přechodná ustanovení čl. 57 odst. 3 nařízení (EU) 2019/2033.</w:t>
      </w:r>
    </w:p>
    <w:p w14:paraId="64E2C5EE" w14:textId="77777777" w:rsidR="00FE0C02" w:rsidRPr="004263A0" w:rsidRDefault="00FE0C02" w:rsidP="00FE0C02">
      <w:pPr>
        <w:pStyle w:val="NumPar1"/>
      </w:pPr>
      <w:r w:rsidRPr="004263A0">
        <w:t>V rámci podávání zpráv o kapitálu a kapitálových požadavcích podle čl. 430 odst. 1 písm. a) nařízení (EU) č. 575/2013 na individuálním základě, s výjimkou informací o pákovém poměru, vykazují investiční podniky využívající čl. 57 odst. 3 nařízení (EU) 2019/2033 s odkazem na článek 95 nařízení (EU) č. 575/2013 informace podle přílohy I šablon 1 až 5 v souladu s pokyny uvedenými v příloze II části II bodě 1 s čtvrtletní četností.</w:t>
      </w:r>
    </w:p>
    <w:p w14:paraId="6AD01D77" w14:textId="77777777" w:rsidR="00FE0C02" w:rsidRPr="004263A0" w:rsidRDefault="00FE0C02" w:rsidP="00FE0C02">
      <w:pPr>
        <w:pStyle w:val="NumPar1"/>
      </w:pPr>
      <w:r w:rsidRPr="004263A0">
        <w:t xml:space="preserve">V rámci podávání zpráv o kapitálu a kapitálových požadavcích podle čl. 430 odst. 1 písm. a) nařízení (EU) č. 575/2013 na individuálním základě vykazují investiční </w:t>
      </w:r>
      <w:r w:rsidRPr="004263A0">
        <w:lastRenderedPageBreak/>
        <w:t>podniky využívající čl. 57 odst. 3 nařízení (EU) 2019/2033 s odkazem na článek 96 nařízení (EU) č. 575/2013 informace uvedené v čl. 5 odst. 1 až 5 a 8 až 13 a v čl. 6 odst. 2 tohoto nařízení s četností stanovenou v těchto článcích.</w:t>
      </w:r>
    </w:p>
    <w:p w14:paraId="4D074E8C" w14:textId="77777777" w:rsidR="00FE0C02" w:rsidRPr="004263A0" w:rsidRDefault="00FE0C02" w:rsidP="00FE0C02">
      <w:pPr>
        <w:pStyle w:val="Titrearticle"/>
      </w:pPr>
      <w:r w:rsidRPr="004263A0">
        <w:t xml:space="preserve">Článek </w:t>
      </w:r>
      <w:r w:rsidR="00E5531F">
        <w:fldChar w:fldCharType="begin"/>
      </w:r>
      <w:r w:rsidR="00E5531F">
        <w:instrText xml:space="preserve"> seq article </w:instrText>
      </w:r>
      <w:r w:rsidR="00E5531F">
        <w:fldChar w:fldCharType="separate"/>
      </w:r>
      <w:r w:rsidRPr="004263A0">
        <w:t>10</w:t>
      </w:r>
      <w:r w:rsidR="00E5531F">
        <w:fldChar w:fldCharType="end"/>
      </w:r>
    </w:p>
    <w:p w14:paraId="2C5D357D" w14:textId="77777777" w:rsidR="00FE0C02" w:rsidRPr="004263A0" w:rsidRDefault="00FE0C02" w:rsidP="00FE0C02">
      <w:pPr>
        <w:pStyle w:val="Titrearticle"/>
        <w:spacing w:before="120"/>
        <w:rPr>
          <w:b/>
          <w:i w:val="0"/>
        </w:rPr>
      </w:pPr>
      <w:r w:rsidRPr="004263A0">
        <w:rPr>
          <w:b/>
          <w:i w:val="0"/>
        </w:rPr>
        <w:t>Podávání zpráv o kapitálu a kapitálových požadavcích na konsolidovaném základě skupinami, které jsou tvořeny výlučně investičními podniky spadajícími do působnosti článků 95 a 96 nařízení (EU) č. 575/2013</w:t>
      </w:r>
    </w:p>
    <w:p w14:paraId="0ED9D414" w14:textId="77777777" w:rsidR="00FE0C02" w:rsidRPr="004263A0" w:rsidRDefault="00FE0C02" w:rsidP="005F180D">
      <w:pPr>
        <w:pStyle w:val="NumPar1"/>
        <w:numPr>
          <w:ilvl w:val="0"/>
          <w:numId w:val="18"/>
        </w:numPr>
      </w:pPr>
      <w:r w:rsidRPr="004263A0">
        <w:t>Podle tohoto článku vykazují informace investiční podniky, které uplatňují přechodná ustanovení čl. 57 odst. 3 nařízení (EU) 2019/2033.</w:t>
      </w:r>
    </w:p>
    <w:p w14:paraId="55A9CAAC" w14:textId="77777777" w:rsidR="00FE0C02" w:rsidRPr="004263A0" w:rsidRDefault="00FE0C02" w:rsidP="00FE0C02">
      <w:pPr>
        <w:pStyle w:val="NumPar1"/>
      </w:pPr>
      <w:r w:rsidRPr="004263A0">
        <w:t>V rámci podávání zpráv o kapitálu a kapitálových požadavcích podle čl. 430 odst. 1 písm. a) nařízení (EU) č. 575/2013 na konsolidovaném základě, s výjimkou informací o pákovém poměru, vykazují investiční podniky ze skupin, které jsou tvořeny výlučně investičními podniky využívajícími čl. 57 odst. 3 nařízení (EU) 2019/2033 s odkazem na článek 95 nařízení (EU) č. 575/2013, následující informace na konsolidovaném základě:</w:t>
      </w:r>
    </w:p>
    <w:p w14:paraId="6DD1064B" w14:textId="77777777" w:rsidR="00FE0C02" w:rsidRPr="004263A0" w:rsidRDefault="00FE0C02" w:rsidP="00FE0C02">
      <w:pPr>
        <w:pStyle w:val="Point1"/>
      </w:pPr>
      <w:r w:rsidRPr="004263A0">
        <w:t>a)</w:t>
      </w:r>
      <w:r w:rsidRPr="004263A0">
        <w:tab/>
        <w:t>informace o kapitálu a kapitálových požadavcích podle přílohy I šablon 1 až 5 v souladu s pokyny uvedenými v příloze II části II bodě 1 s čtvrtletní četností;</w:t>
      </w:r>
    </w:p>
    <w:p w14:paraId="06EB54F9" w14:textId="77777777" w:rsidR="00FE0C02" w:rsidRPr="004263A0" w:rsidRDefault="00FE0C02" w:rsidP="00FE0C02">
      <w:pPr>
        <w:pStyle w:val="Point1"/>
      </w:pPr>
      <w:r w:rsidRPr="004263A0">
        <w:t>b)</w:t>
      </w:r>
      <w:r w:rsidRPr="004263A0">
        <w:tab/>
        <w:t>informace o kapitálu a kapitálových požadavcích týkajících se subjektů zahrnutých do konsolidace podle přílohy I šablony 6 v souladu s pokyny uvedenými v příloze II části II bodě 2 s pololetní četností.</w:t>
      </w:r>
    </w:p>
    <w:p w14:paraId="0D279353" w14:textId="61576F44" w:rsidR="00FE0C02" w:rsidRPr="004263A0" w:rsidRDefault="00FE0C02" w:rsidP="00FE0C02">
      <w:pPr>
        <w:pStyle w:val="NumPar1"/>
      </w:pPr>
      <w:r w:rsidRPr="004263A0">
        <w:t>V rámci podávání zpráv o kapitálu a kapitálových požadavcích podle čl. 430 odst. 1 písm. a) nařízení (EU) č. 575/2013 na konsolidovaném základě vykazují investiční podniky ze skupin, které jsou tvořeny výlučně investičními podniky spadajícími do působnosti článku 95 a investičními podniky spadajícími do působnosti článku 96, nebo ze skupin, které jsou tvořeny výlučně investičními podniky využívajícími čl. 57 odst. 3 nařízení (EU) 2019/2033 s odkazem na článek 96 nařízení (EU) č. 575/2013, následující informace na konsolidovaném základě:</w:t>
      </w:r>
    </w:p>
    <w:p w14:paraId="424B99D7" w14:textId="77777777" w:rsidR="00FE0C02" w:rsidRPr="004263A0" w:rsidRDefault="00FE0C02" w:rsidP="00FE0C02">
      <w:pPr>
        <w:pStyle w:val="Point1"/>
      </w:pPr>
      <w:r w:rsidRPr="004263A0">
        <w:t>a)</w:t>
      </w:r>
      <w:r w:rsidRPr="004263A0">
        <w:tab/>
        <w:t>informace uvedené v čl. 5 odst. 1 až 5 a 8 až 13 a v čl. 6 odst. 2 tohoto nařízení s četností stanovenou v těchto článcích;</w:t>
      </w:r>
    </w:p>
    <w:p w14:paraId="695999E8" w14:textId="77777777" w:rsidR="00FE0C02" w:rsidRPr="004263A0" w:rsidRDefault="00FE0C02" w:rsidP="00FE0C02">
      <w:pPr>
        <w:pStyle w:val="Point1"/>
      </w:pPr>
      <w:r w:rsidRPr="004263A0">
        <w:t>b)</w:t>
      </w:r>
      <w:r w:rsidRPr="004263A0">
        <w:tab/>
        <w:t>informace týkající se subjektů zahrnutých do konsolidace podle přílohy I šablony 6 v souladu s pokyny uvedenými v příloze II části II bodě 2 s pololetní četností.</w:t>
      </w:r>
    </w:p>
    <w:p w14:paraId="2D723A17" w14:textId="77777777" w:rsidR="00FE0C02" w:rsidRPr="004263A0" w:rsidRDefault="00FE0C02" w:rsidP="00FE0C02">
      <w:pPr>
        <w:pStyle w:val="Titrearticle"/>
      </w:pPr>
      <w:r w:rsidRPr="004263A0">
        <w:t xml:space="preserve">Článek </w:t>
      </w:r>
      <w:r w:rsidR="00E5531F">
        <w:fldChar w:fldCharType="begin"/>
      </w:r>
      <w:r w:rsidR="00E5531F">
        <w:instrText xml:space="preserve"> seq article </w:instrText>
      </w:r>
      <w:r w:rsidR="00E5531F">
        <w:fldChar w:fldCharType="separate"/>
      </w:r>
      <w:r w:rsidRPr="004263A0">
        <w:t>11</w:t>
      </w:r>
      <w:r w:rsidR="00E5531F">
        <w:fldChar w:fldCharType="end"/>
      </w:r>
    </w:p>
    <w:p w14:paraId="122B51E9" w14:textId="77777777" w:rsidR="00FE0C02" w:rsidRPr="004263A0" w:rsidRDefault="00FE0C02" w:rsidP="00FE0C02">
      <w:pPr>
        <w:pStyle w:val="Titrearticle"/>
        <w:spacing w:before="120"/>
        <w:rPr>
          <w:b/>
          <w:i w:val="0"/>
        </w:rPr>
      </w:pPr>
      <w:r w:rsidRPr="004263A0">
        <w:rPr>
          <w:b/>
          <w:i w:val="0"/>
        </w:rPr>
        <w:t>Podávání finančních informací na konsolidovaném základě institucemi, na něž se vztahuje nařízení</w:t>
      </w:r>
      <w:r w:rsidRPr="004263A0">
        <w:t xml:space="preserve"> </w:t>
      </w:r>
      <w:r w:rsidRPr="004263A0">
        <w:rPr>
          <w:b/>
          <w:i w:val="0"/>
        </w:rPr>
        <w:t>Evropského parlamentu a Rady (ES) č. 1606/2002</w:t>
      </w:r>
      <w:r w:rsidRPr="004263A0">
        <w:rPr>
          <w:rStyle w:val="FootnoteReference"/>
          <w:b/>
          <w:i w:val="0"/>
        </w:rPr>
        <w:footnoteReference w:id="10"/>
      </w:r>
      <w:r w:rsidRPr="004263A0">
        <w:rPr>
          <w:b/>
          <w:i w:val="0"/>
        </w:rPr>
        <w:t xml:space="preserve"> </w:t>
      </w:r>
    </w:p>
    <w:p w14:paraId="22F20B0C" w14:textId="77777777" w:rsidR="00FE0C02" w:rsidRPr="004263A0" w:rsidRDefault="00FE0C02" w:rsidP="005F180D">
      <w:pPr>
        <w:pStyle w:val="NumPar1"/>
        <w:numPr>
          <w:ilvl w:val="0"/>
          <w:numId w:val="19"/>
        </w:numPr>
      </w:pPr>
      <w:r w:rsidRPr="004263A0">
        <w:t xml:space="preserve">V rámci podávání finančních informací podle čl. 430 odst. 3 nebo 4 nařízení (EU) č. 575/2013 na konsolidovaném základě vykazují instituce informace uvedené v příloze III na konsolidovaném základě v souladu s pokyny v příloze V. </w:t>
      </w:r>
    </w:p>
    <w:p w14:paraId="3A9E9610" w14:textId="77777777" w:rsidR="00FE0C02" w:rsidRPr="004263A0" w:rsidRDefault="00FE0C02" w:rsidP="00FE0C02">
      <w:pPr>
        <w:pStyle w:val="NumPar1"/>
        <w:numPr>
          <w:ilvl w:val="0"/>
          <w:numId w:val="10"/>
        </w:numPr>
      </w:pPr>
      <w:r w:rsidRPr="004263A0">
        <w:t>Informace podle odstavce 1 se předkládají takto:</w:t>
      </w:r>
    </w:p>
    <w:p w14:paraId="70EFC152" w14:textId="77777777" w:rsidR="00FE0C02" w:rsidRPr="004263A0" w:rsidRDefault="00FE0C02" w:rsidP="00FE0C02">
      <w:pPr>
        <w:pStyle w:val="Point1"/>
      </w:pPr>
      <w:r w:rsidRPr="004263A0">
        <w:t>a)</w:t>
      </w:r>
      <w:r w:rsidRPr="004263A0">
        <w:tab/>
        <w:t>informace uvedené v příloze III části 1 se čtvrtletní četností;</w:t>
      </w:r>
    </w:p>
    <w:p w14:paraId="38D85B01" w14:textId="77777777" w:rsidR="00FE0C02" w:rsidRPr="004263A0" w:rsidRDefault="00FE0C02" w:rsidP="00FE0C02">
      <w:pPr>
        <w:pStyle w:val="Point1"/>
      </w:pPr>
      <w:r w:rsidRPr="004263A0">
        <w:lastRenderedPageBreak/>
        <w:t>b)</w:t>
      </w:r>
      <w:r w:rsidRPr="004263A0">
        <w:tab/>
        <w:t>informace uvedené v příloze III části 3 s pololetní četností;</w:t>
      </w:r>
    </w:p>
    <w:p w14:paraId="5F2804B6" w14:textId="77777777" w:rsidR="00FE0C02" w:rsidRPr="004263A0" w:rsidRDefault="00FE0C02" w:rsidP="00FE0C02">
      <w:pPr>
        <w:pStyle w:val="Point1"/>
      </w:pPr>
      <w:r w:rsidRPr="004263A0">
        <w:t>c)</w:t>
      </w:r>
      <w:r w:rsidRPr="004263A0">
        <w:tab/>
        <w:t>informace uvedené v příloze III části 4, s výjimkou informací uvedených v šabloně 47, s roční četností;</w:t>
      </w:r>
    </w:p>
    <w:p w14:paraId="1D49A1AC" w14:textId="77777777" w:rsidR="00FE0C02" w:rsidRPr="004263A0" w:rsidRDefault="00FE0C02" w:rsidP="00FE0C02">
      <w:pPr>
        <w:pStyle w:val="Point1"/>
      </w:pPr>
      <w:r w:rsidRPr="004263A0">
        <w:t>d)</w:t>
      </w:r>
      <w:r w:rsidRPr="004263A0">
        <w:tab/>
        <w:t>informace uvedené v příloze III části 2 šabloně 20 se čtvrtletní četností, pokud instituce překročí prahovou hodnotu stanovenou v čl. 5 odst. 5 druhém pododstavci;</w:t>
      </w:r>
    </w:p>
    <w:p w14:paraId="2CCBF803" w14:textId="77777777" w:rsidR="00FE0C02" w:rsidRPr="004263A0" w:rsidRDefault="00FE0C02" w:rsidP="00FE0C02">
      <w:pPr>
        <w:pStyle w:val="Point1"/>
      </w:pPr>
      <w:r w:rsidRPr="004263A0">
        <w:t>e)</w:t>
      </w:r>
      <w:r w:rsidRPr="004263A0">
        <w:tab/>
        <w:t>informace uvedené v příloze III části 2 šabloně 21 se čtvrtletní četností, pokud se hmotná aktiva v operačním leasingu rovnají nebo jsou vyšší než 10 % celkových hmotných aktiv vykázaných v souladu s přílohou III částí 1 šablonou 1.1;</w:t>
      </w:r>
    </w:p>
    <w:p w14:paraId="27F64B3B" w14:textId="77777777" w:rsidR="00FE0C02" w:rsidRPr="004263A0" w:rsidRDefault="00FE0C02" w:rsidP="00FE0C02">
      <w:pPr>
        <w:pStyle w:val="Point1"/>
      </w:pPr>
      <w:r w:rsidRPr="004263A0">
        <w:t>f)</w:t>
      </w:r>
      <w:r w:rsidRPr="004263A0">
        <w:tab/>
        <w:t>informace uvedené v příloze III části 2 šabloně 22 se čtvrtletní četností, pokud se čisté výnosy z poplatků a provizí rovnají nebo jsou vyšší než 10 % součtu čistých výnosů z poplatků a provizí a čistých úrokových výnosů vykázaných v souladu s přílohou III částí 1 šablonou 2;</w:t>
      </w:r>
    </w:p>
    <w:p w14:paraId="2EB0DC7E" w14:textId="77777777" w:rsidR="00FE0C02" w:rsidRPr="004263A0" w:rsidRDefault="00FE0C02" w:rsidP="00FE0C02">
      <w:pPr>
        <w:pStyle w:val="Point1"/>
      </w:pPr>
      <w:r w:rsidRPr="004263A0">
        <w:t>g)</w:t>
      </w:r>
      <w:r w:rsidRPr="004263A0">
        <w:tab/>
        <w:t>informace uvedené v příloze III části 2 šablonách 23 až 26 se čtvrtletní četností, pokud jsou splněny obě následující podmínky:</w:t>
      </w:r>
    </w:p>
    <w:p w14:paraId="5207A13E" w14:textId="77777777" w:rsidR="00FE0C02" w:rsidRPr="004263A0" w:rsidRDefault="00FE0C02" w:rsidP="00FE0C02">
      <w:pPr>
        <w:pStyle w:val="Point2"/>
      </w:pPr>
      <w:r w:rsidRPr="004263A0">
        <w:t>i)</w:t>
      </w:r>
      <w:r w:rsidRPr="004263A0">
        <w:tab/>
        <w:t>nejde o malou a nepříliš složitou instituci;</w:t>
      </w:r>
    </w:p>
    <w:p w14:paraId="09C1AEB4" w14:textId="33C5BDBB" w:rsidR="00FE0C02" w:rsidRPr="004263A0" w:rsidRDefault="00FE0C02" w:rsidP="00FE0C02">
      <w:pPr>
        <w:pStyle w:val="Point2"/>
      </w:pPr>
      <w:r w:rsidRPr="004263A0">
        <w:t>ii)</w:t>
      </w:r>
      <w:r w:rsidRPr="004263A0">
        <w:tab/>
        <w:t xml:space="preserve">poměr mezi hrubou účetní hodnotou úvěrů a jiných pohledávek instituce, na něž se vztahuje čl. 47a odst. 3 nařízení (EU) č. 575/2013, a celkovou hrubou účetní hodnotou úvěrů a jiných pohledávek, na něž se vztahuje čl. 47a odst. 1 uvedeného nařízení, je roven nebo vyšší než 5 %; </w:t>
      </w:r>
    </w:p>
    <w:p w14:paraId="6657E76F" w14:textId="77777777" w:rsidR="00FE0C02" w:rsidRPr="004263A0" w:rsidRDefault="00FE0C02" w:rsidP="00FE0C02">
      <w:pPr>
        <w:pStyle w:val="Point1"/>
      </w:pPr>
      <w:r w:rsidRPr="004263A0">
        <w:t xml:space="preserve"> h)</w:t>
      </w:r>
      <w:r w:rsidRPr="004263A0">
        <w:tab/>
        <w:t>informace uvedené v příloze III části 4 šabloně 47 s roční četností, pokud jsou splněny obě podmínky stanovené v písmenu g) tohoto odstavce.</w:t>
      </w:r>
    </w:p>
    <w:p w14:paraId="5556886E" w14:textId="77777777" w:rsidR="00FE0C02" w:rsidRPr="004263A0" w:rsidRDefault="00FE0C02" w:rsidP="00FE0C02">
      <w:pPr>
        <w:pStyle w:val="Point1"/>
      </w:pPr>
      <w:r w:rsidRPr="004263A0">
        <w:t>Pro účely písm. g) bodu ii) nezahrnuje poměr v čitateli ani ve jmenovateli úvěry a jiné pohledávky klasifikované jako držené k prodeji, hotovost u centrálních bank a ostatní vklady na požádání.</w:t>
      </w:r>
    </w:p>
    <w:p w14:paraId="73BCCE82" w14:textId="77777777" w:rsidR="00FE0C02" w:rsidRPr="004263A0" w:rsidRDefault="00FE0C02" w:rsidP="00FE0C02">
      <w:pPr>
        <w:pStyle w:val="Point1"/>
      </w:pPr>
      <w:r w:rsidRPr="004263A0">
        <w:t xml:space="preserve">Pro účely písmen d) až h) tohoto odstavce se neuplatňují zahajovací a ukončovací kritéria podle čl. 4 odst. 3. </w:t>
      </w:r>
    </w:p>
    <w:p w14:paraId="2D4B364E" w14:textId="77777777" w:rsidR="00FE0C02" w:rsidRPr="004263A0" w:rsidRDefault="00FE0C02" w:rsidP="00FE0C02">
      <w:pPr>
        <w:pStyle w:val="Titrearticle"/>
      </w:pPr>
      <w:r w:rsidRPr="004263A0">
        <w:t xml:space="preserve">Článek </w:t>
      </w:r>
      <w:r w:rsidR="00E5531F">
        <w:fldChar w:fldCharType="begin"/>
      </w:r>
      <w:r w:rsidR="00E5531F">
        <w:instrText xml:space="preserve"> seq article </w:instrText>
      </w:r>
      <w:r w:rsidR="00E5531F">
        <w:fldChar w:fldCharType="separate"/>
      </w:r>
      <w:r w:rsidRPr="004263A0">
        <w:t>12</w:t>
      </w:r>
      <w:r w:rsidR="00E5531F">
        <w:fldChar w:fldCharType="end"/>
      </w:r>
    </w:p>
    <w:p w14:paraId="396F2986" w14:textId="77777777" w:rsidR="00FE0C02" w:rsidRPr="004263A0" w:rsidRDefault="00FE0C02" w:rsidP="00FE0C02">
      <w:pPr>
        <w:pStyle w:val="Titrearticle"/>
        <w:spacing w:before="120"/>
        <w:rPr>
          <w:b/>
          <w:i w:val="0"/>
        </w:rPr>
      </w:pPr>
      <w:r w:rsidRPr="004263A0">
        <w:rPr>
          <w:b/>
          <w:i w:val="0"/>
        </w:rPr>
        <w:t xml:space="preserve">Podávání finančních informací na konsolidovaném základě institucemi uplatňujícími vnitrostátní účetní rámce </w:t>
      </w:r>
    </w:p>
    <w:p w14:paraId="7898D5B0" w14:textId="77777777" w:rsidR="00FE0C02" w:rsidRPr="004263A0" w:rsidRDefault="00FE0C02" w:rsidP="005F180D">
      <w:pPr>
        <w:pStyle w:val="NumPar1"/>
        <w:numPr>
          <w:ilvl w:val="0"/>
          <w:numId w:val="20"/>
        </w:numPr>
      </w:pPr>
      <w:r w:rsidRPr="004263A0">
        <w:t>Pokud příslušný orgán rozšířil požadavky na podávání finančních informací na instituce usazené v členském státě v souladu s čl. 430 odst. 9 nařízení (EU) č. 575/2013, vykazují instituce informace uvedené v příloze IV tohoto nařízení na konsolidovaném základě podle pokynů v příloze V tohoto nařízení.</w:t>
      </w:r>
    </w:p>
    <w:p w14:paraId="1A4AC33E" w14:textId="77777777" w:rsidR="00FE0C02" w:rsidRPr="004263A0" w:rsidRDefault="00FE0C02" w:rsidP="00FE0C02">
      <w:pPr>
        <w:pStyle w:val="NumPar1"/>
        <w:numPr>
          <w:ilvl w:val="0"/>
          <w:numId w:val="10"/>
        </w:numPr>
      </w:pPr>
      <w:r w:rsidRPr="004263A0">
        <w:t>Informace podle odstavce 1 se předkládají takto:</w:t>
      </w:r>
    </w:p>
    <w:p w14:paraId="4130D034" w14:textId="77777777" w:rsidR="00FE0C02" w:rsidRPr="004263A0" w:rsidRDefault="00FE0C02" w:rsidP="00FE0C02">
      <w:pPr>
        <w:pStyle w:val="Point1"/>
      </w:pPr>
      <w:r w:rsidRPr="004263A0">
        <w:t>a)</w:t>
      </w:r>
      <w:r w:rsidRPr="004263A0">
        <w:tab/>
        <w:t>informace uvedené v příloze IV části 1 se čtvrtletní četností;</w:t>
      </w:r>
    </w:p>
    <w:p w14:paraId="08B03AF4" w14:textId="77777777" w:rsidR="00FE0C02" w:rsidRPr="004263A0" w:rsidRDefault="00FE0C02" w:rsidP="00FE0C02">
      <w:pPr>
        <w:pStyle w:val="Point1"/>
      </w:pPr>
      <w:r w:rsidRPr="004263A0">
        <w:t>b)</w:t>
      </w:r>
      <w:r w:rsidRPr="004263A0">
        <w:tab/>
        <w:t>informace uvedené v příloze IV části 3 s pololetní četností;</w:t>
      </w:r>
    </w:p>
    <w:p w14:paraId="6BD250DE" w14:textId="77777777" w:rsidR="00FE0C02" w:rsidRPr="004263A0" w:rsidRDefault="00FE0C02" w:rsidP="00FE0C02">
      <w:pPr>
        <w:pStyle w:val="Point1"/>
      </w:pPr>
      <w:r w:rsidRPr="004263A0">
        <w:t>c)</w:t>
      </w:r>
      <w:r w:rsidRPr="004263A0">
        <w:tab/>
        <w:t>informace uvedené v příloze IV části 4, s výjimkou informací uvedených v šabloně 47, s roční četností;</w:t>
      </w:r>
    </w:p>
    <w:p w14:paraId="7E75579F" w14:textId="77777777" w:rsidR="00FE0C02" w:rsidRPr="004263A0" w:rsidRDefault="00FE0C02" w:rsidP="00FE0C02">
      <w:pPr>
        <w:pStyle w:val="Point1"/>
      </w:pPr>
      <w:r w:rsidRPr="004263A0">
        <w:lastRenderedPageBreak/>
        <w:t>d)</w:t>
      </w:r>
      <w:r w:rsidRPr="004263A0">
        <w:tab/>
        <w:t>informace uvedené v příloze IV části 2 šabloně 20 se čtvrtletní četností, pokud instituce překročí prahovou hodnotu stanovenou v čl. 5 odst. 5 druhém pododstavci;</w:t>
      </w:r>
    </w:p>
    <w:p w14:paraId="76AF5C14" w14:textId="77777777" w:rsidR="00FE0C02" w:rsidRPr="004263A0" w:rsidRDefault="00FE0C02" w:rsidP="00FE0C02">
      <w:pPr>
        <w:pStyle w:val="Point1"/>
      </w:pPr>
      <w:r w:rsidRPr="004263A0">
        <w:t>e)</w:t>
      </w:r>
      <w:r w:rsidRPr="004263A0">
        <w:tab/>
        <w:t>informace uvedené v příloze IV části 2 šabloně 21 se čtvrtletní četností, pokud se hmotná aktiva v operačním leasingu rovnají nebo jsou vyšší než 10 % celkových hmotných aktiv vykázaných v souladu s přílohou IV částí 1 šablonou 1.1;</w:t>
      </w:r>
    </w:p>
    <w:p w14:paraId="406C6C11" w14:textId="77777777" w:rsidR="00FE0C02" w:rsidRPr="004263A0" w:rsidRDefault="00FE0C02" w:rsidP="00FE0C02">
      <w:pPr>
        <w:pStyle w:val="Point1"/>
      </w:pPr>
      <w:r w:rsidRPr="004263A0">
        <w:t>f)</w:t>
      </w:r>
      <w:r w:rsidRPr="004263A0">
        <w:tab/>
        <w:t>informace uvedené v příloze IV části 2 šabloně 22 se čtvrtletní četností, pokud se čisté výnosy z poplatků a provizí rovnají nebo jsou vyšší než 10 % součtu čistých výnosů z poplatků a provizí a čistých úrokových výnosů vykázaných v souladu s přílohou IV částí 1 šablonou 2;</w:t>
      </w:r>
    </w:p>
    <w:p w14:paraId="1A7AAB4F" w14:textId="77777777" w:rsidR="00FE0C02" w:rsidRPr="004263A0" w:rsidRDefault="00FE0C02" w:rsidP="00FE0C02">
      <w:pPr>
        <w:pStyle w:val="Point1"/>
      </w:pPr>
      <w:r w:rsidRPr="004263A0">
        <w:t>g)</w:t>
      </w:r>
      <w:r w:rsidRPr="004263A0">
        <w:tab/>
        <w:t>informace uvedené v příloze IV části 2 šablonách 23 až 26 se čtvrtletní četností, pokud jsou splněny obě následující podmínky:</w:t>
      </w:r>
    </w:p>
    <w:p w14:paraId="6F0AB516" w14:textId="77777777" w:rsidR="00FE0C02" w:rsidRPr="004263A0" w:rsidRDefault="00FE0C02" w:rsidP="00FE0C02">
      <w:pPr>
        <w:pStyle w:val="Point2"/>
      </w:pPr>
      <w:r w:rsidRPr="004263A0">
        <w:t>i)</w:t>
      </w:r>
      <w:r w:rsidRPr="004263A0">
        <w:tab/>
        <w:t>nejde o malou a nepříliš složitou instituci;</w:t>
      </w:r>
    </w:p>
    <w:p w14:paraId="08D20076" w14:textId="77777777" w:rsidR="00FE0C02" w:rsidRPr="004263A0" w:rsidRDefault="00FE0C02" w:rsidP="00384742">
      <w:pPr>
        <w:pStyle w:val="Point1"/>
        <w:ind w:left="1985"/>
      </w:pPr>
      <w:r w:rsidRPr="004263A0">
        <w:t>ii)</w:t>
      </w:r>
      <w:r w:rsidRPr="004263A0">
        <w:tab/>
        <w:t xml:space="preserve">poměr instituce podle čl. 11 odst. 2 písm. g) bodu ii) se rovná nebo je vyšší než 5 %;  </w:t>
      </w:r>
    </w:p>
    <w:p w14:paraId="7B685EE5" w14:textId="77777777" w:rsidR="00FE0C02" w:rsidRPr="004263A0" w:rsidRDefault="00FE0C02" w:rsidP="00FE0C02">
      <w:pPr>
        <w:pStyle w:val="Point1"/>
      </w:pPr>
      <w:r w:rsidRPr="004263A0">
        <w:t>h)</w:t>
      </w:r>
      <w:r w:rsidRPr="004263A0">
        <w:tab/>
        <w:t xml:space="preserve">informace uvedené v příloze IV části 4 šabloně 47 s roční četností, pokud jsou splněny obě podmínky stanovené v písmenu g) tohoto odstavce. </w:t>
      </w:r>
    </w:p>
    <w:p w14:paraId="6E0D6196" w14:textId="77777777" w:rsidR="00FE0C02" w:rsidRPr="004263A0" w:rsidRDefault="00FE0C02" w:rsidP="00FE0C02">
      <w:pPr>
        <w:pStyle w:val="Point1"/>
      </w:pPr>
      <w:r w:rsidRPr="004263A0">
        <w:t xml:space="preserve">Pro účely písmen d) až h) tohoto odstavce se neuplatňují zahajovací a ukončovací kritéria podle čl. 4 odst. 3. </w:t>
      </w:r>
    </w:p>
    <w:p w14:paraId="1265B500" w14:textId="77777777" w:rsidR="00FE0C02" w:rsidRPr="004263A0" w:rsidRDefault="00FE0C02" w:rsidP="00FE0C02">
      <w:pPr>
        <w:pStyle w:val="Titrearticle"/>
      </w:pPr>
      <w:r w:rsidRPr="004263A0">
        <w:t xml:space="preserve">Článek </w:t>
      </w:r>
      <w:r w:rsidR="00E5531F">
        <w:fldChar w:fldCharType="begin"/>
      </w:r>
      <w:r w:rsidR="00E5531F">
        <w:instrText xml:space="preserve"> seq article </w:instrText>
      </w:r>
      <w:r w:rsidR="00E5531F">
        <w:fldChar w:fldCharType="separate"/>
      </w:r>
      <w:r w:rsidRPr="004263A0">
        <w:t>13</w:t>
      </w:r>
      <w:r w:rsidR="00E5531F">
        <w:fldChar w:fldCharType="end"/>
      </w:r>
    </w:p>
    <w:p w14:paraId="62DD7E11" w14:textId="77777777" w:rsidR="00FE0C02" w:rsidRPr="004263A0" w:rsidRDefault="00FE0C02" w:rsidP="00FE0C02">
      <w:pPr>
        <w:pStyle w:val="Text1"/>
      </w:pPr>
      <w:r w:rsidRPr="004263A0">
        <w:rPr>
          <w:b/>
        </w:rPr>
        <w:t>Podávání zpráv o ztrátách z úvěrů zajištěných nemovitostmi podle čl. 430a odst. 1 nařízení (EU) č. 575/2013 na individuálním a konsolidovaném základě</w:t>
      </w:r>
    </w:p>
    <w:p w14:paraId="663A2D70" w14:textId="77777777" w:rsidR="00FE0C02" w:rsidRPr="004263A0" w:rsidRDefault="00FE0C02" w:rsidP="005F180D">
      <w:pPr>
        <w:pStyle w:val="NumPar1"/>
        <w:numPr>
          <w:ilvl w:val="0"/>
          <w:numId w:val="21"/>
        </w:numPr>
      </w:pPr>
      <w:r w:rsidRPr="004263A0">
        <w:t>Instituce předkládají informace stanovené v příloze VI v souladu s pokyny uvedenými v příloze VII na konsolidovaném základě s pololetní četností.</w:t>
      </w:r>
    </w:p>
    <w:p w14:paraId="60EE04AB" w14:textId="77777777" w:rsidR="00FE0C02" w:rsidRPr="004263A0" w:rsidRDefault="00FE0C02" w:rsidP="00FE0C02">
      <w:pPr>
        <w:pStyle w:val="NumPar1"/>
        <w:numPr>
          <w:ilvl w:val="0"/>
          <w:numId w:val="10"/>
        </w:numPr>
      </w:pPr>
      <w:r w:rsidRPr="004263A0">
        <w:t>Instituce předkládají informace stanovené v příloze VI v souladu s pokyny uvedenými v příloze VII na individuálním základě s roční četností.</w:t>
      </w:r>
    </w:p>
    <w:p w14:paraId="2635EBF0" w14:textId="77777777" w:rsidR="00FE0C02" w:rsidRPr="004263A0" w:rsidRDefault="00FE0C02" w:rsidP="00FE0C02">
      <w:pPr>
        <w:pStyle w:val="NumPar1"/>
        <w:numPr>
          <w:ilvl w:val="0"/>
          <w:numId w:val="10"/>
        </w:numPr>
      </w:pPr>
      <w:r w:rsidRPr="004263A0">
        <w:t>Pokud má instituce pobočku v jiném členském státě, podává tato pobočka příslušnému orgánu hostitelského členského státu informace stanovené v příloze VI týkající se této pobočky v souladu s pokyny uvedenými v příloze VII s roční četností.</w:t>
      </w:r>
    </w:p>
    <w:p w14:paraId="7DA92B87" w14:textId="77777777" w:rsidR="00FE0C02" w:rsidRPr="004263A0" w:rsidRDefault="00FE0C02" w:rsidP="00FE0C02">
      <w:pPr>
        <w:pStyle w:val="Titrearticle"/>
      </w:pPr>
      <w:r w:rsidRPr="004263A0">
        <w:t>Článek 14</w:t>
      </w:r>
    </w:p>
    <w:p w14:paraId="5DF7D5F9" w14:textId="77777777" w:rsidR="00FE0C02" w:rsidRPr="004263A0" w:rsidRDefault="00FE0C02" w:rsidP="00FE0C02">
      <w:pPr>
        <w:pStyle w:val="Titrearticle"/>
        <w:spacing w:before="120"/>
        <w:rPr>
          <w:b/>
          <w:i w:val="0"/>
        </w:rPr>
      </w:pPr>
      <w:r w:rsidRPr="004263A0">
        <w:rPr>
          <w:b/>
          <w:i w:val="0"/>
        </w:rPr>
        <w:t>Podávání zpráv o velkých expozicích na individuálním a konsolidovaném základě</w:t>
      </w:r>
    </w:p>
    <w:p w14:paraId="07D89C15" w14:textId="77777777" w:rsidR="00FE0C02" w:rsidRPr="004263A0" w:rsidRDefault="00FE0C02" w:rsidP="005F180D">
      <w:pPr>
        <w:pStyle w:val="NumPar1"/>
        <w:numPr>
          <w:ilvl w:val="0"/>
          <w:numId w:val="22"/>
        </w:numPr>
      </w:pPr>
      <w:r w:rsidRPr="004263A0">
        <w:t>Za účelem podávání zpráv o velkých expozicích vůči klientům a ekonomicky spjatým skupinám klientů podle článku 394 nařízení (EU) č. 575/2013 na individuálním a konsolidovaném základě předkládají instituce informace stanovené v příloze VIII v souladu s pokyny uvedenými v příloze IX se čtvrtletní četností.</w:t>
      </w:r>
    </w:p>
    <w:p w14:paraId="1BE89751" w14:textId="77777777" w:rsidR="00FE0C02" w:rsidRPr="004263A0" w:rsidRDefault="00FE0C02" w:rsidP="00FE0C02">
      <w:pPr>
        <w:pStyle w:val="NumPar1"/>
        <w:numPr>
          <w:ilvl w:val="0"/>
          <w:numId w:val="10"/>
        </w:numPr>
      </w:pPr>
      <w:r w:rsidRPr="004263A0">
        <w:t>Za účelem podávání zpráv o dvaceti největších expozicích vůči klientům nebo ekonomicky spjatým skupinám klientů podle čl. 394 odst. 1 nařízení (EU) č. 575/2013 na konsolidovaném základě předkládají instituce, na něž se vztahují ustanovení části třetí hlavy II kapitoly 3 nařízení (EU) č. 575/2013, informace stanovené v příloze VIII v souladu s pokyny uvedenými v příloze IX se čtvrtletní četností.</w:t>
      </w:r>
    </w:p>
    <w:p w14:paraId="4501AF0E" w14:textId="77777777" w:rsidR="00FE0C02" w:rsidRPr="004263A0" w:rsidRDefault="00FE0C02" w:rsidP="00FE0C02">
      <w:pPr>
        <w:pStyle w:val="NumPar1"/>
        <w:numPr>
          <w:ilvl w:val="0"/>
          <w:numId w:val="10"/>
        </w:numPr>
      </w:pPr>
      <w:r w:rsidRPr="004263A0">
        <w:lastRenderedPageBreak/>
        <w:t>Za účelem podávání zpráv o expozicích o hodnotě 300 milionů EUR nebo vyšší, avšak nižší než 10 % kapitálu tier 1 instituce, podle čl. 394 odst. 1 nařízení (EU) č. 575/2013 na konsolidovaném základě předkládají instituce informace stanovené v příloze VIII v souladu s pokyny uvedenými v příloze IX se čtvrtletní četností.</w:t>
      </w:r>
    </w:p>
    <w:p w14:paraId="6CA58180" w14:textId="77777777" w:rsidR="00FE0C02" w:rsidRPr="004263A0" w:rsidRDefault="00FE0C02" w:rsidP="00FE0C02">
      <w:pPr>
        <w:pStyle w:val="NumPar1"/>
        <w:numPr>
          <w:ilvl w:val="0"/>
          <w:numId w:val="10"/>
        </w:numPr>
      </w:pPr>
      <w:r w:rsidRPr="004263A0">
        <w:t>Za účelem podávání zpráv na konsolidovaném základě o deseti největších expozicích vůči institucím a o deseti největších expozicích vůči subjektům stínového bankovnictví, které provádějí bankovní činnosti mimo regulační rámec, podle čl. 394 odst. 2 nařízení (EU) č. 575/2013 předkládají instituce informace stanovené v příloze VIII v souladu s pokyny uvedenými v příloze IX se čtvrtletní četností.</w:t>
      </w:r>
    </w:p>
    <w:p w14:paraId="24660E67" w14:textId="77777777" w:rsidR="00FE0C02" w:rsidRPr="004263A0" w:rsidRDefault="00FE0C02" w:rsidP="00FE0C02">
      <w:pPr>
        <w:pStyle w:val="Titrearticle"/>
      </w:pPr>
      <w:r w:rsidRPr="004263A0">
        <w:t xml:space="preserve">Článek </w:t>
      </w:r>
      <w:r w:rsidR="00E5531F">
        <w:fldChar w:fldCharType="begin"/>
      </w:r>
      <w:r w:rsidR="00E5531F">
        <w:instrText xml:space="preserve"> seq article </w:instrText>
      </w:r>
      <w:r w:rsidR="00E5531F">
        <w:fldChar w:fldCharType="separate"/>
      </w:r>
      <w:r w:rsidRPr="004263A0">
        <w:t>15</w:t>
      </w:r>
      <w:r w:rsidR="00E5531F">
        <w:fldChar w:fldCharType="end"/>
      </w:r>
    </w:p>
    <w:p w14:paraId="7A43457A" w14:textId="77777777" w:rsidR="00FE0C02" w:rsidRPr="004263A0" w:rsidRDefault="00FE0C02" w:rsidP="00FE0C02">
      <w:pPr>
        <w:pStyle w:val="Titrearticle"/>
        <w:spacing w:before="120"/>
        <w:rPr>
          <w:b/>
          <w:i w:val="0"/>
        </w:rPr>
      </w:pPr>
      <w:r w:rsidRPr="004263A0">
        <w:rPr>
          <w:b/>
          <w:i w:val="0"/>
        </w:rPr>
        <w:t>Podávání zpráv o pákovém poměru na individuálním a konsolidovaném základě</w:t>
      </w:r>
    </w:p>
    <w:p w14:paraId="01CD6524" w14:textId="77777777" w:rsidR="00FE0C02" w:rsidRPr="004263A0" w:rsidRDefault="00FE0C02" w:rsidP="005F180D">
      <w:pPr>
        <w:pStyle w:val="NumPar1"/>
        <w:numPr>
          <w:ilvl w:val="0"/>
          <w:numId w:val="23"/>
        </w:numPr>
      </w:pPr>
      <w:r w:rsidRPr="004263A0">
        <w:t>Za účelem podávání zpráv o pákovém poměru podle čl. 430 odst. 1 písm. a) nařízení (EU) č. 575/2013 na individuálním a konsolidovaném základě předkládají instituce informace stanovené v příloze X v souladu s pokyny uvedenými v příloze XI se čtvrtletní četností. Šablonu 48.00 přílohy X předkládají pouze velké instituce.</w:t>
      </w:r>
    </w:p>
    <w:p w14:paraId="3FADC775" w14:textId="77777777" w:rsidR="00FE0C02" w:rsidRPr="004263A0" w:rsidRDefault="00FE0C02" w:rsidP="00FE0C02">
      <w:pPr>
        <w:pStyle w:val="NumPar1"/>
        <w:numPr>
          <w:ilvl w:val="0"/>
          <w:numId w:val="10"/>
        </w:numPr>
      </w:pPr>
      <w:r w:rsidRPr="004263A0">
        <w:t>Informace uvedené v příloze X šabloně 40.00 buňce {r0410;c0010} podávají pouze:</w:t>
      </w:r>
    </w:p>
    <w:p w14:paraId="08C9A1E3" w14:textId="77777777" w:rsidR="00FE0C02" w:rsidRPr="004263A0" w:rsidRDefault="00FE0C02" w:rsidP="00FE0C02">
      <w:pPr>
        <w:pStyle w:val="Point2"/>
      </w:pPr>
      <w:r w:rsidRPr="004263A0">
        <w:t>a)</w:t>
      </w:r>
      <w:r w:rsidRPr="004263A0">
        <w:tab/>
        <w:t xml:space="preserve">velké instituce, které jsou buď G-SVI, nebo vydaly cenné papíry, jež jsou přijaty k obchodování na regulovaném trhu, s pololetní četností; </w:t>
      </w:r>
    </w:p>
    <w:p w14:paraId="3A54256E" w14:textId="77777777" w:rsidR="00FE0C02" w:rsidRPr="004263A0" w:rsidRDefault="00FE0C02" w:rsidP="00FE0C02">
      <w:pPr>
        <w:pStyle w:val="Point2"/>
      </w:pPr>
      <w:r w:rsidRPr="004263A0">
        <w:t>b)</w:t>
      </w:r>
      <w:r w:rsidRPr="004263A0">
        <w:tab/>
        <w:t>velké instituce jiné než G-SVI, které nejsou kótovanými institucemi, s roční četností;</w:t>
      </w:r>
    </w:p>
    <w:p w14:paraId="492CCDFE" w14:textId="77777777" w:rsidR="00FE0C02" w:rsidRPr="004263A0" w:rsidRDefault="00FE0C02" w:rsidP="00FE0C02">
      <w:pPr>
        <w:pStyle w:val="Point2"/>
      </w:pPr>
      <w:r w:rsidRPr="004263A0">
        <w:t>c)</w:t>
      </w:r>
      <w:r w:rsidRPr="004263A0">
        <w:tab/>
        <w:t xml:space="preserve">instituce jiné než velké instituce a malé a nepříliš složité instituce, které vydaly cenné papíry, jež jsou přijaty k obchodování na regulovaném trhu, s roční četností. </w:t>
      </w:r>
    </w:p>
    <w:p w14:paraId="56E76BBA" w14:textId="77777777" w:rsidR="00FE0C02" w:rsidRPr="004263A0" w:rsidRDefault="00FE0C02" w:rsidP="00FE0C02">
      <w:pPr>
        <w:pStyle w:val="NumPar1"/>
        <w:numPr>
          <w:ilvl w:val="0"/>
          <w:numId w:val="10"/>
        </w:numPr>
      </w:pPr>
      <w:r w:rsidRPr="004263A0">
        <w:t>Instituce počítají pákový poměr k referenčnímu datu vykazování v souladu s článkem 429 nařízení (EU) č. 575/2013.</w:t>
      </w:r>
    </w:p>
    <w:p w14:paraId="071CB257" w14:textId="77777777" w:rsidR="00FE0C02" w:rsidRPr="004263A0" w:rsidRDefault="00FE0C02" w:rsidP="00FE0C02">
      <w:pPr>
        <w:pStyle w:val="NumPar1"/>
        <w:numPr>
          <w:ilvl w:val="0"/>
          <w:numId w:val="10"/>
        </w:numPr>
      </w:pPr>
      <w:r w:rsidRPr="004263A0">
        <w:t>Instituce vykazují informace uvedené v příloze XI části II bodě 13, pokud je splněna alespoň jedna z následujících podmínek:</w:t>
      </w:r>
    </w:p>
    <w:p w14:paraId="72F25911" w14:textId="77777777" w:rsidR="00FE0C02" w:rsidRPr="004263A0" w:rsidRDefault="00FE0C02" w:rsidP="00FE0C02">
      <w:pPr>
        <w:pStyle w:val="Point1"/>
      </w:pPr>
      <w:r w:rsidRPr="004263A0">
        <w:t>a)</w:t>
      </w:r>
      <w:r w:rsidRPr="004263A0">
        <w:tab/>
        <w:t>podíl derivátů uvedený v příloze XI části II bodě 5 je vyšší než 1,5 %;</w:t>
      </w:r>
    </w:p>
    <w:p w14:paraId="564FDA7C" w14:textId="77777777" w:rsidR="00FE0C02" w:rsidRPr="004263A0" w:rsidRDefault="00FE0C02" w:rsidP="00FE0C02">
      <w:pPr>
        <w:pStyle w:val="Point1"/>
      </w:pPr>
      <w:r w:rsidRPr="004263A0">
        <w:t>b)</w:t>
      </w:r>
      <w:r w:rsidRPr="004263A0">
        <w:tab/>
        <w:t>podíl derivátů uvedený v příloze XI části II bodě 5 je vyšší než 2 %.</w:t>
      </w:r>
    </w:p>
    <w:p w14:paraId="507DA3E2" w14:textId="77777777" w:rsidR="00FE0C02" w:rsidRPr="004263A0" w:rsidRDefault="00FE0C02" w:rsidP="00FE0C02">
      <w:pPr>
        <w:pStyle w:val="Text1"/>
        <w:rPr>
          <w:szCs w:val="24"/>
        </w:rPr>
      </w:pPr>
      <w:r w:rsidRPr="004263A0">
        <w:t xml:space="preserve">Jestliže instituce splňuje pouze podmínku podle písmene a), uplatní se zahajovací a ukončovací kritéria podle čl. 4 odst. 3. </w:t>
      </w:r>
    </w:p>
    <w:p w14:paraId="7F04F0F6" w14:textId="77777777" w:rsidR="00FE0C02" w:rsidRPr="004263A0" w:rsidRDefault="00FE0C02" w:rsidP="00FE0C02">
      <w:pPr>
        <w:pStyle w:val="Text1"/>
      </w:pPr>
      <w:r w:rsidRPr="004263A0">
        <w:t>Jestliže instituce splňuje podmínku podle písmene a) i písmene b), začne podávat tyto informace k referenčnímu datu následujícímu po referenčním datu vykazování, k němuž překročila prahovou hodnotu.</w:t>
      </w:r>
    </w:p>
    <w:p w14:paraId="7B9D01BA" w14:textId="77777777" w:rsidR="00FE0C02" w:rsidRPr="004263A0" w:rsidRDefault="00FE0C02" w:rsidP="00FE0C02">
      <w:pPr>
        <w:pStyle w:val="NumPar1"/>
        <w:numPr>
          <w:ilvl w:val="0"/>
          <w:numId w:val="10"/>
        </w:numPr>
      </w:pPr>
      <w:r w:rsidRPr="004263A0">
        <w:t>Instituce, u nichž celková pomyslná hodnota derivátů dle definice v příloze XI části II bodě 8 přesahuje 10 000 milionů EUR, podávají informace uvedené v příloze XI části II bodě 13 i v případě, že jejich podíl derivátů nesplňuje podmínky uvedené v odstavci 4 tohoto článku.</w:t>
      </w:r>
    </w:p>
    <w:p w14:paraId="51584038" w14:textId="77777777" w:rsidR="00FE0C02" w:rsidRPr="004263A0" w:rsidRDefault="00FE0C02" w:rsidP="00FE0C02">
      <w:pPr>
        <w:pStyle w:val="Text1"/>
      </w:pPr>
      <w:r w:rsidRPr="004263A0">
        <w:t>Pro účely tohoto odstavce se neuplatňují zahajovací kritéria podle čl. 4 odst. 3. Instituce zahájí podávání informací počínaje příštím referenčním datem vykazování, pakliže překročily prahovou hodnotu k jednomu referenčnímu datu vykazování.</w:t>
      </w:r>
    </w:p>
    <w:p w14:paraId="41A483BA" w14:textId="77777777" w:rsidR="00FE0C02" w:rsidRPr="004263A0" w:rsidRDefault="00FE0C02" w:rsidP="00FE0C02">
      <w:pPr>
        <w:pStyle w:val="NumPar1"/>
        <w:numPr>
          <w:ilvl w:val="0"/>
          <w:numId w:val="10"/>
        </w:numPr>
      </w:pPr>
      <w:r w:rsidRPr="004263A0">
        <w:lastRenderedPageBreak/>
        <w:t>Instituce jsou povinny podávat informace uvedené v příloze XI části II bodě 14, pokud je splněna alespoň jedna z následujících podmínek:</w:t>
      </w:r>
    </w:p>
    <w:p w14:paraId="5F5E592D" w14:textId="77777777" w:rsidR="00FE0C02" w:rsidRPr="004263A0" w:rsidRDefault="00FE0C02" w:rsidP="00FE0C02">
      <w:pPr>
        <w:pStyle w:val="Point1"/>
      </w:pPr>
      <w:r w:rsidRPr="004263A0">
        <w:t>a)</w:t>
      </w:r>
      <w:r w:rsidRPr="004263A0">
        <w:tab/>
        <w:t>objem úvěrových derivátů uvedený v příloze XI části II bodě 9 je vyšší než 300 milionů EUR;</w:t>
      </w:r>
    </w:p>
    <w:p w14:paraId="418FEEAF" w14:textId="77777777" w:rsidR="00FE0C02" w:rsidRPr="004263A0" w:rsidRDefault="00FE0C02" w:rsidP="00FE0C02">
      <w:pPr>
        <w:pStyle w:val="Point1"/>
      </w:pPr>
      <w:r w:rsidRPr="004263A0">
        <w:t>b)</w:t>
      </w:r>
      <w:r w:rsidRPr="004263A0">
        <w:tab/>
        <w:t>objem úvěrových derivátů uvedený v příloze XI části II bodě 9 je vyšší než 500 milionů EUR.</w:t>
      </w:r>
    </w:p>
    <w:p w14:paraId="49C49986" w14:textId="77777777" w:rsidR="00FE0C02" w:rsidRPr="004263A0" w:rsidRDefault="00FE0C02" w:rsidP="00FE0C02">
      <w:pPr>
        <w:pStyle w:val="Text1"/>
      </w:pPr>
      <w:r w:rsidRPr="004263A0">
        <w:t>Jestliže instituce splňuje pouze podmínku podle písmene a), uplatní se zahajovací a ukončovací kritéria podle čl. 4 odst. 3. Jestliže instituce splňuje podmínku podle písmene a) i písmene b), začne podávat tyto informace k referenčnímu datu následujícímu po referenčním datu vykazování, k němuž překročila prahovou hodnotu.</w:t>
      </w:r>
    </w:p>
    <w:p w14:paraId="16427D61" w14:textId="77777777" w:rsidR="00FE0C02" w:rsidRPr="004263A0" w:rsidRDefault="00FE0C02" w:rsidP="00FE0C02">
      <w:pPr>
        <w:pStyle w:val="Titrearticle"/>
      </w:pPr>
      <w:r w:rsidRPr="004263A0">
        <w:t xml:space="preserve">Článek </w:t>
      </w:r>
      <w:r w:rsidR="00E5531F">
        <w:fldChar w:fldCharType="begin"/>
      </w:r>
      <w:r w:rsidR="00E5531F">
        <w:instrText xml:space="preserve"> seq article </w:instrText>
      </w:r>
      <w:r w:rsidR="00E5531F">
        <w:fldChar w:fldCharType="separate"/>
      </w:r>
      <w:r w:rsidRPr="004263A0">
        <w:t>16</w:t>
      </w:r>
      <w:r w:rsidR="00E5531F">
        <w:fldChar w:fldCharType="end"/>
      </w:r>
    </w:p>
    <w:p w14:paraId="0FD0A199" w14:textId="77777777" w:rsidR="00FE0C02" w:rsidRPr="004263A0" w:rsidRDefault="00FE0C02" w:rsidP="00FE0C02">
      <w:pPr>
        <w:pStyle w:val="Titrearticle"/>
        <w:spacing w:before="120"/>
        <w:rPr>
          <w:b/>
          <w:i w:val="0"/>
        </w:rPr>
      </w:pPr>
      <w:r w:rsidRPr="004263A0">
        <w:rPr>
          <w:b/>
          <w:i w:val="0"/>
        </w:rPr>
        <w:t>Podávání zpráv o požadavku krytí likvidity na individuálním a konsolidovaném základě</w:t>
      </w:r>
    </w:p>
    <w:p w14:paraId="51D41644" w14:textId="77777777" w:rsidR="00FE0C02" w:rsidRPr="004263A0" w:rsidRDefault="00FE0C02" w:rsidP="005F180D">
      <w:pPr>
        <w:pStyle w:val="NumPar1"/>
        <w:numPr>
          <w:ilvl w:val="0"/>
          <w:numId w:val="24"/>
        </w:numPr>
      </w:pPr>
      <w:r w:rsidRPr="004263A0">
        <w:t>Za účelem podávání zpráv o požadavku krytí likvidity podle čl. 430 odst. 1 písm. d) nařízení (EU) č. 575/2013 na individuálním a konsolidovaném základě předkládají instituce informace stanovené v příloze XXIV tohoto nařízení v souladu s pokyny uvedenými v příloze XXV tohoto nařízení s měsíční četností.</w:t>
      </w:r>
    </w:p>
    <w:p w14:paraId="50670492" w14:textId="77777777" w:rsidR="00FE0C02" w:rsidRPr="004263A0" w:rsidRDefault="00FE0C02" w:rsidP="00FE0C02">
      <w:pPr>
        <w:pStyle w:val="NumPar1"/>
        <w:numPr>
          <w:ilvl w:val="0"/>
          <w:numId w:val="10"/>
        </w:numPr>
      </w:pPr>
      <w:r w:rsidRPr="004263A0">
        <w:t>Informace stanovené v příloze XXIV zohledňují informace předložené k referenčnímu datu a informace o peněžních tocích dané instituce v průběhu následujících 30 kalendářních dní.</w:t>
      </w:r>
    </w:p>
    <w:p w14:paraId="1B273506" w14:textId="77777777" w:rsidR="00FE0C02" w:rsidRPr="004263A0" w:rsidRDefault="00FE0C02" w:rsidP="00FE0C02">
      <w:pPr>
        <w:pStyle w:val="Titrearticle"/>
      </w:pPr>
      <w:r w:rsidRPr="004263A0">
        <w:t xml:space="preserve">Článek </w:t>
      </w:r>
      <w:r w:rsidR="00E5531F">
        <w:fldChar w:fldCharType="begin"/>
      </w:r>
      <w:r w:rsidR="00E5531F">
        <w:instrText xml:space="preserve"> seq article </w:instrText>
      </w:r>
      <w:r w:rsidR="00E5531F">
        <w:fldChar w:fldCharType="separate"/>
      </w:r>
      <w:r w:rsidRPr="004263A0">
        <w:t>17</w:t>
      </w:r>
      <w:r w:rsidR="00E5531F">
        <w:fldChar w:fldCharType="end"/>
      </w:r>
    </w:p>
    <w:p w14:paraId="4A29F4CE" w14:textId="77777777" w:rsidR="00FE0C02" w:rsidRPr="004263A0" w:rsidRDefault="00FE0C02" w:rsidP="00FE0C02">
      <w:pPr>
        <w:pStyle w:val="Titrearticle"/>
        <w:spacing w:before="120"/>
        <w:rPr>
          <w:b/>
          <w:i w:val="0"/>
        </w:rPr>
      </w:pPr>
      <w:r w:rsidRPr="004263A0">
        <w:rPr>
          <w:b/>
          <w:i w:val="0"/>
        </w:rPr>
        <w:t>Podávání zpráv o stabilním financování na individuálním a konsolidovaném základě</w:t>
      </w:r>
    </w:p>
    <w:p w14:paraId="46A16391" w14:textId="77777777" w:rsidR="00FE0C02" w:rsidRPr="004263A0" w:rsidRDefault="00FE0C02" w:rsidP="00FE0C02">
      <w:r w:rsidRPr="004263A0">
        <w:t>Za účelem podávání zpráv o stabilním financování podle čl. 430 odst. 1 písm. d) nařízení (EU) č. 575/2013 na individuálním a konsolidovaném základě předkládají instituce informace stanovené v příloze XII v souladu s pokyny uvedenými v příloze XIII se čtvrtletní četností takto:</w:t>
      </w:r>
    </w:p>
    <w:p w14:paraId="38759E9F" w14:textId="77777777" w:rsidR="00FE0C02" w:rsidRPr="004263A0" w:rsidRDefault="00FE0C02" w:rsidP="00FE0C02">
      <w:pPr>
        <w:pStyle w:val="Point1"/>
      </w:pPr>
      <w:r w:rsidRPr="004263A0">
        <w:t>a)</w:t>
      </w:r>
      <w:r w:rsidRPr="004263A0">
        <w:tab/>
        <w:t>malé a nepříliš složité instituce, které se rozhodly počítat svůj ukazatel čistého stabilního financování (NSFR) pomocí metodiky stanovené v části šesté hlavě IV kapitolách 6 a 7 nařízení (EU) č. 575/2013 s předchozím svolením svého příslušného orgánu v souladu s článkem 428ai téhož nařízení, předkládají šablony 82 a 83 z přílohy XII tohoto nařízení v souladu s pokyny uvedenými v příloze XIII tohoto nařízení;</w:t>
      </w:r>
    </w:p>
    <w:p w14:paraId="135317A6" w14:textId="77777777" w:rsidR="00FE0C02" w:rsidRPr="004263A0" w:rsidRDefault="00FE0C02" w:rsidP="00FE0C02">
      <w:pPr>
        <w:pStyle w:val="Point1"/>
      </w:pPr>
      <w:r w:rsidRPr="004263A0">
        <w:t>b)</w:t>
      </w:r>
      <w:r w:rsidRPr="004263A0">
        <w:tab/>
        <w:t xml:space="preserve">instituce jiné než instituce uvedené pod písmenem a) předkládají šablony 80 a 81 z přílohy XII v souladu s pokyny uvedenými v příloze XIII; </w:t>
      </w:r>
    </w:p>
    <w:p w14:paraId="75BF05A1" w14:textId="77777777" w:rsidR="00FE0C02" w:rsidRPr="004263A0" w:rsidRDefault="00FE0C02" w:rsidP="00FE0C02">
      <w:pPr>
        <w:pStyle w:val="Point1"/>
      </w:pPr>
      <w:r w:rsidRPr="004263A0">
        <w:t>c)</w:t>
      </w:r>
      <w:r w:rsidRPr="004263A0">
        <w:tab/>
        <w:t>všechny instituce předkládají šablonu 84 z přílohy XII v souladu s pokyny uvedenými v příloze XIII.</w:t>
      </w:r>
    </w:p>
    <w:p w14:paraId="3C47F8E2" w14:textId="77777777" w:rsidR="00FE0C02" w:rsidRPr="004263A0" w:rsidRDefault="00FE0C02" w:rsidP="00FE0C02">
      <w:pPr>
        <w:pStyle w:val="Titrearticle"/>
      </w:pPr>
      <w:r w:rsidRPr="004263A0">
        <w:t xml:space="preserve">Článek </w:t>
      </w:r>
      <w:r w:rsidR="00E5531F">
        <w:fldChar w:fldCharType="begin"/>
      </w:r>
      <w:r w:rsidR="00E5531F">
        <w:instrText xml:space="preserve"> seq article </w:instrText>
      </w:r>
      <w:r w:rsidR="00E5531F">
        <w:fldChar w:fldCharType="separate"/>
      </w:r>
      <w:r w:rsidRPr="004263A0">
        <w:t>18</w:t>
      </w:r>
      <w:r w:rsidR="00E5531F">
        <w:fldChar w:fldCharType="end"/>
      </w:r>
    </w:p>
    <w:p w14:paraId="3023D8A2" w14:textId="77777777" w:rsidR="00FE0C02" w:rsidRPr="004263A0" w:rsidRDefault="00FE0C02" w:rsidP="00FE0C02">
      <w:pPr>
        <w:pStyle w:val="Titrearticle"/>
        <w:spacing w:before="120"/>
        <w:rPr>
          <w:b/>
          <w:i w:val="0"/>
        </w:rPr>
      </w:pPr>
      <w:r w:rsidRPr="004263A0">
        <w:rPr>
          <w:b/>
          <w:i w:val="0"/>
        </w:rPr>
        <w:t>Podávání zpráv o dodatečných monitorovacích nástrojích likvidity na individuálním a konsolidovaném základě</w:t>
      </w:r>
    </w:p>
    <w:p w14:paraId="6A3A9338" w14:textId="77777777" w:rsidR="00FE0C02" w:rsidRPr="004263A0" w:rsidRDefault="00FE0C02" w:rsidP="005F180D">
      <w:pPr>
        <w:pStyle w:val="NumPar1"/>
        <w:numPr>
          <w:ilvl w:val="0"/>
          <w:numId w:val="25"/>
        </w:numPr>
      </w:pPr>
      <w:r w:rsidRPr="004263A0">
        <w:t xml:space="preserve">Za účelem podávání zpráv o dodatečných monitorovacích nástrojích likvidity v souladu s čl. 430 odst. 1 písm. d) nařízení (EU) č. 575/2013 na individuálním a </w:t>
      </w:r>
      <w:r w:rsidRPr="004263A0">
        <w:lastRenderedPageBreak/>
        <w:t xml:space="preserve">konsolidovaném základě předkládají instituce s měsíční četností všechny tyto informace: </w:t>
      </w:r>
    </w:p>
    <w:p w14:paraId="642EB969" w14:textId="77777777" w:rsidR="00FE0C02" w:rsidRPr="004263A0" w:rsidRDefault="00FE0C02" w:rsidP="00FE0C02">
      <w:pPr>
        <w:pStyle w:val="Point1"/>
      </w:pPr>
      <w:r w:rsidRPr="004263A0">
        <w:t>a)</w:t>
      </w:r>
      <w:r w:rsidRPr="004263A0">
        <w:tab/>
        <w:t xml:space="preserve">informace uvedené v příloze XVIII v souladu s pokyny v příloze XIX; </w:t>
      </w:r>
    </w:p>
    <w:p w14:paraId="6F8BEAD3" w14:textId="77777777" w:rsidR="00FE0C02" w:rsidRPr="004263A0" w:rsidRDefault="00FE0C02" w:rsidP="00FE0C02">
      <w:pPr>
        <w:pStyle w:val="Point1"/>
      </w:pPr>
      <w:r w:rsidRPr="004263A0">
        <w:t>b)</w:t>
      </w:r>
      <w:r w:rsidRPr="004263A0">
        <w:tab/>
        <w:t xml:space="preserve">informace uvedené v příloze XX v souladu s pokyny v příloze XXI; </w:t>
      </w:r>
    </w:p>
    <w:p w14:paraId="65BCA041" w14:textId="77777777" w:rsidR="00FE0C02" w:rsidRPr="004263A0" w:rsidRDefault="00FE0C02" w:rsidP="00FE0C02">
      <w:pPr>
        <w:pStyle w:val="Point1"/>
      </w:pPr>
      <w:r w:rsidRPr="004263A0">
        <w:t>c)</w:t>
      </w:r>
      <w:r w:rsidRPr="004263A0">
        <w:tab/>
        <w:t xml:space="preserve">informace uvedené v příloze XXII v souladu s pokyny v příloze XXIII. </w:t>
      </w:r>
    </w:p>
    <w:p w14:paraId="105CC458" w14:textId="77777777" w:rsidR="00FE0C02" w:rsidRPr="004263A0" w:rsidRDefault="00FE0C02" w:rsidP="00FE0C02">
      <w:pPr>
        <w:pStyle w:val="NumPar1"/>
        <w:rPr>
          <w:szCs w:val="32"/>
        </w:rPr>
      </w:pPr>
      <w:r w:rsidRPr="004263A0">
        <w:t>Odchylně od odstavce 1 může instituce, která splňuje všechny podmínky stanovené v čl. 4 odst. 1 bodě 145 nařízení (EU) č. 575/2013, podávat informace o dodatečných monitorovacích nástrojích likvidity se čtvrtletní četností.</w:t>
      </w:r>
    </w:p>
    <w:p w14:paraId="51E51891" w14:textId="77777777" w:rsidR="00FE0C02" w:rsidRPr="004263A0" w:rsidRDefault="00FE0C02" w:rsidP="00FE0C02">
      <w:pPr>
        <w:pStyle w:val="Titrearticle"/>
      </w:pPr>
      <w:r w:rsidRPr="004263A0">
        <w:t>Článek 19</w:t>
      </w:r>
    </w:p>
    <w:p w14:paraId="5CEC6025" w14:textId="77777777" w:rsidR="00FE0C02" w:rsidRPr="004263A0" w:rsidRDefault="00FE0C02" w:rsidP="00FE0C02">
      <w:pPr>
        <w:pStyle w:val="Text1"/>
      </w:pPr>
      <w:r w:rsidRPr="004263A0">
        <w:rPr>
          <w:b/>
        </w:rPr>
        <w:t>Podávání zpráv o zatížení aktiv na individuálním a konsolidovaném základě</w:t>
      </w:r>
    </w:p>
    <w:p w14:paraId="733153BD" w14:textId="77777777" w:rsidR="00FE0C02" w:rsidRPr="004263A0" w:rsidRDefault="00FE0C02" w:rsidP="005F180D">
      <w:pPr>
        <w:pStyle w:val="NumPar1"/>
        <w:numPr>
          <w:ilvl w:val="0"/>
          <w:numId w:val="26"/>
        </w:numPr>
      </w:pPr>
      <w:r w:rsidRPr="004263A0">
        <w:t xml:space="preserve">Za účelem podávání zpráv o zatížení aktiv podle čl. 430 odst. 1 písm. g) nařízení (EU) č. 575/2013 na individuálním a konsolidovaném základě předkládají instituce informace stanovené v příloze XVI tohoto nařízení v souladu s pokyny uvedenými v příloze XVII tohoto nařízení. </w:t>
      </w:r>
    </w:p>
    <w:p w14:paraId="466673DE" w14:textId="77777777" w:rsidR="00FE0C02" w:rsidRPr="004263A0" w:rsidRDefault="00FE0C02" w:rsidP="00FE0C02">
      <w:pPr>
        <w:pStyle w:val="NumPar1"/>
        <w:numPr>
          <w:ilvl w:val="0"/>
          <w:numId w:val="10"/>
        </w:numPr>
      </w:pPr>
      <w:r w:rsidRPr="004263A0">
        <w:t xml:space="preserve">Informace podle odstavce 1 se předkládají takto: </w:t>
      </w:r>
    </w:p>
    <w:p w14:paraId="6377EF60" w14:textId="77777777" w:rsidR="00FE0C02" w:rsidRPr="004263A0" w:rsidRDefault="00FE0C02" w:rsidP="00FE0C02">
      <w:pPr>
        <w:pStyle w:val="Point1"/>
      </w:pPr>
      <w:r w:rsidRPr="004263A0">
        <w:t>a)</w:t>
      </w:r>
      <w:r w:rsidRPr="004263A0">
        <w:tab/>
        <w:t xml:space="preserve">informace uvedené v příloze XVI částech A, B a D se čtvrtletní četností; </w:t>
      </w:r>
    </w:p>
    <w:p w14:paraId="0B272D04" w14:textId="77777777" w:rsidR="00FE0C02" w:rsidRPr="004263A0" w:rsidRDefault="00FE0C02" w:rsidP="00FE0C02">
      <w:pPr>
        <w:pStyle w:val="Point1"/>
      </w:pPr>
      <w:r w:rsidRPr="004263A0">
        <w:t>b)</w:t>
      </w:r>
      <w:r w:rsidRPr="004263A0">
        <w:tab/>
        <w:t xml:space="preserve">informace uvedené v příloze XVI části C s roční četností; </w:t>
      </w:r>
    </w:p>
    <w:p w14:paraId="78F69E95" w14:textId="77777777" w:rsidR="00FE0C02" w:rsidRPr="004263A0" w:rsidRDefault="00FE0C02" w:rsidP="00FE0C02">
      <w:pPr>
        <w:pStyle w:val="Point1"/>
      </w:pPr>
      <w:r w:rsidRPr="004263A0">
        <w:t>c)</w:t>
      </w:r>
      <w:r w:rsidRPr="004263A0">
        <w:tab/>
        <w:t xml:space="preserve">informace uvedené v příloze XVI části E s pololetní četností. </w:t>
      </w:r>
    </w:p>
    <w:p w14:paraId="282EB9CF" w14:textId="77777777" w:rsidR="00FE0C02" w:rsidRPr="004263A0" w:rsidRDefault="00FE0C02" w:rsidP="00FE0C02">
      <w:pPr>
        <w:pStyle w:val="NumPar1"/>
        <w:numPr>
          <w:ilvl w:val="0"/>
          <w:numId w:val="10"/>
        </w:numPr>
      </w:pPr>
      <w:r w:rsidRPr="004263A0">
        <w:t xml:space="preserve">Instituce nejsou povinny podávat informace uvedené v příloze XVI částech B, C a E, jsou-li splněny obě tyto podmínky: </w:t>
      </w:r>
    </w:p>
    <w:p w14:paraId="239B0175" w14:textId="77777777" w:rsidR="00FE0C02" w:rsidRPr="004263A0" w:rsidRDefault="00FE0C02" w:rsidP="00FE0C02">
      <w:pPr>
        <w:pStyle w:val="Point1"/>
      </w:pPr>
      <w:r w:rsidRPr="004263A0">
        <w:t>a)</w:t>
      </w:r>
      <w:r w:rsidRPr="004263A0">
        <w:tab/>
        <w:t>instituce není považována za velkou instituci;</w:t>
      </w:r>
    </w:p>
    <w:p w14:paraId="0C93B562" w14:textId="77777777" w:rsidR="00FE0C02" w:rsidRPr="004263A0" w:rsidRDefault="00FE0C02" w:rsidP="00FE0C02">
      <w:pPr>
        <w:pStyle w:val="Point1"/>
      </w:pPr>
      <w:r w:rsidRPr="004263A0">
        <w:t>b)</w:t>
      </w:r>
      <w:r w:rsidRPr="004263A0">
        <w:tab/>
        <w:t>míra zatížení aktiv instituce vypočtená v souladu s přílohou XVII bodem 1.6 podbodem 9 je nižší než 15 %.</w:t>
      </w:r>
    </w:p>
    <w:p w14:paraId="19A215D8" w14:textId="77777777" w:rsidR="00FE0C02" w:rsidRPr="004263A0" w:rsidRDefault="00FE0C02" w:rsidP="00FE0C02">
      <w:pPr>
        <w:pStyle w:val="Text1"/>
      </w:pPr>
      <w:r w:rsidRPr="004263A0">
        <w:t xml:space="preserve">Použijí se zahajovací a ukončovací kritéria podle čl. 4 odst. 3. </w:t>
      </w:r>
    </w:p>
    <w:p w14:paraId="7A2CBD82" w14:textId="77777777" w:rsidR="00FE0C02" w:rsidRPr="004263A0" w:rsidRDefault="00FE0C02" w:rsidP="00FE0C02">
      <w:pPr>
        <w:pStyle w:val="NumPar1"/>
        <w:numPr>
          <w:ilvl w:val="0"/>
          <w:numId w:val="10"/>
        </w:numPr>
      </w:pPr>
      <w:r w:rsidRPr="004263A0">
        <w:t>Instituce podávají informace uvedené v příloze XVI části D pouze v případě, že vydávají dluhopisy uvedené v čl. 52 odst. 4 prvním pododstavci směrnice Evropského parlamentu a Rady 2009/65/ES</w:t>
      </w:r>
      <w:r w:rsidRPr="004263A0">
        <w:rPr>
          <w:rStyle w:val="FootnoteReference"/>
        </w:rPr>
        <w:footnoteReference w:id="11"/>
      </w:r>
      <w:r w:rsidRPr="004263A0">
        <w:t xml:space="preserve">. </w:t>
      </w:r>
    </w:p>
    <w:p w14:paraId="216F0D5A" w14:textId="77777777" w:rsidR="00FE0C02" w:rsidRPr="004263A0" w:rsidRDefault="00FE0C02" w:rsidP="00FE0C02">
      <w:pPr>
        <w:pStyle w:val="Text1"/>
      </w:pPr>
      <w:r w:rsidRPr="004263A0">
        <w:t>Použijí se zahajovací a ukončovací kritéria podle čl. 4 odst. 3.</w:t>
      </w:r>
    </w:p>
    <w:p w14:paraId="3C60098A" w14:textId="77777777" w:rsidR="00FE0C02" w:rsidRPr="004263A0" w:rsidRDefault="00FE0C02" w:rsidP="00FE0C02">
      <w:pPr>
        <w:pStyle w:val="Titrearticle"/>
      </w:pPr>
      <w:r w:rsidRPr="004263A0">
        <w:t>Článek 20</w:t>
      </w:r>
    </w:p>
    <w:p w14:paraId="4B5AD6C9" w14:textId="77777777" w:rsidR="00FE0C02" w:rsidRPr="004263A0" w:rsidRDefault="00FE0C02" w:rsidP="00FE0C02">
      <w:pPr>
        <w:pStyle w:val="Text1"/>
      </w:pPr>
      <w:r w:rsidRPr="004263A0">
        <w:rPr>
          <w:b/>
        </w:rPr>
        <w:t>Doplňkové podávání zpráv na konsolidovaném základě pro účely určení G-SVI a přiřazení sazeb kapitálové rezervy pro G-SVI</w:t>
      </w:r>
    </w:p>
    <w:p w14:paraId="76EECD2F" w14:textId="54CEB2D8" w:rsidR="00FE0C02" w:rsidRPr="004263A0" w:rsidRDefault="00FE0C02" w:rsidP="005F180D">
      <w:pPr>
        <w:pStyle w:val="NumPar1"/>
        <w:numPr>
          <w:ilvl w:val="0"/>
          <w:numId w:val="27"/>
        </w:numPr>
      </w:pPr>
      <w:r w:rsidRPr="004263A0">
        <w:t>V rámci podávání doplňkových informací pro účely určení G-SVI a přiřazení sazeb kapitálové rezervy pro G-SVI podle článku 131 směrnice 2013/36/EU předkládají mateřské instituce v EU, mateřské finanční holdingy v EU a mateřské smíšené finanční holdingy v EU informace na konsolidovaném základě stanovené v příloze XXVI v souladu s pokyny uvedenými v příloze XXVII se čtvrtletní četností.</w:t>
      </w:r>
    </w:p>
    <w:p w14:paraId="4242810E" w14:textId="5FDC7845" w:rsidR="00FE0C02" w:rsidRPr="004263A0" w:rsidRDefault="00FE0C02" w:rsidP="00FE0C02">
      <w:pPr>
        <w:pStyle w:val="NumPar1"/>
        <w:numPr>
          <w:ilvl w:val="0"/>
          <w:numId w:val="10"/>
        </w:numPr>
      </w:pPr>
      <w:r w:rsidRPr="004263A0">
        <w:lastRenderedPageBreak/>
        <w:t>Mateřské instituce v EU, mateřské finanční holdingy v EU a mateřské smíšené finanční holdingy v EU předkládají informace uvedené v odstavci 1, pouze pokud jsou splněny obě následující podmínky:</w:t>
      </w:r>
    </w:p>
    <w:p w14:paraId="0C5DCF08" w14:textId="77777777" w:rsidR="00FE0C02" w:rsidRPr="004263A0" w:rsidRDefault="00FE0C02" w:rsidP="00FE0C02">
      <w:pPr>
        <w:pStyle w:val="Point1"/>
      </w:pPr>
      <w:r w:rsidRPr="004263A0">
        <w:t>a)</w:t>
      </w:r>
      <w:r w:rsidRPr="004263A0">
        <w:tab/>
        <w:t>celková míra expozic skupiny, včetně pojišťovacích dceřiných podniků, se rovná nebo je vyšší než 125 000 milionů EUR;</w:t>
      </w:r>
    </w:p>
    <w:p w14:paraId="05DC0A53" w14:textId="77777777" w:rsidR="00FE0C02" w:rsidRPr="004263A0" w:rsidRDefault="00FE0C02" w:rsidP="00FE0C02">
      <w:pPr>
        <w:pStyle w:val="Point1"/>
      </w:pPr>
      <w:r w:rsidRPr="004263A0">
        <w:t>b)</w:t>
      </w:r>
      <w:r w:rsidRPr="004263A0">
        <w:tab/>
        <w:t>mateřská společnost v EU nebo kterákoli z jejích dceřiných společností nebo kterákoli pobočka provozovaná mateřskou společností nebo dceřinou společností je umístěna v zúčastněném členském státě podle článku 4 nařízení Evropského parlamentu a Rady (EU) č. 806/2014</w:t>
      </w:r>
      <w:r w:rsidRPr="004263A0">
        <w:rPr>
          <w:rStyle w:val="FootnoteReference"/>
        </w:rPr>
        <w:footnoteReference w:id="12"/>
      </w:r>
      <w:r w:rsidRPr="004263A0">
        <w:t>.</w:t>
      </w:r>
    </w:p>
    <w:p w14:paraId="6584D044" w14:textId="77777777" w:rsidR="00FE0C02" w:rsidRPr="004263A0" w:rsidRDefault="00FE0C02" w:rsidP="00FE0C02">
      <w:pPr>
        <w:pStyle w:val="NumPar1"/>
        <w:numPr>
          <w:ilvl w:val="0"/>
          <w:numId w:val="10"/>
        </w:numPr>
      </w:pPr>
      <w:r w:rsidRPr="004263A0">
        <w:t>Odchylně od čl. 3 odst. 1 písm. b) se informace uvedené v odstavci 1 tohoto článku předkládají do konce pracovního dne v následujících lhůtách pro zasílání zpráv: 1. července, 1. října, 2. ledna a 1. dubna.</w:t>
      </w:r>
    </w:p>
    <w:p w14:paraId="3336B0CC" w14:textId="77777777" w:rsidR="00FE0C02" w:rsidRPr="004263A0" w:rsidRDefault="00FE0C02" w:rsidP="00FE0C02">
      <w:pPr>
        <w:pStyle w:val="NumPar1"/>
        <w:numPr>
          <w:ilvl w:val="0"/>
          <w:numId w:val="10"/>
        </w:numPr>
      </w:pPr>
      <w:r w:rsidRPr="004263A0">
        <w:t>Odchylně od článku 4 se u finančního limitu uvedeného v odst. 2 písm. a) tohoto článku uplatní následující:</w:t>
      </w:r>
    </w:p>
    <w:p w14:paraId="542951C2" w14:textId="0D06C811" w:rsidR="00FE0C02" w:rsidRPr="004263A0" w:rsidRDefault="00FE0C02" w:rsidP="00FE0C02">
      <w:pPr>
        <w:pStyle w:val="Point1"/>
      </w:pPr>
      <w:r w:rsidRPr="004263A0">
        <w:t>a)</w:t>
      </w:r>
      <w:r w:rsidRPr="004263A0">
        <w:tab/>
        <w:t>mateřská instituce v EU, mateřský finanční holding v EU nebo mateřský smíšený finanční holding v EU neprodleně zahájí podávání informací v souladu s tímto článkem, pokud jejich míra expozice pákového poměru překročí ke konci účetního období stanovenou prahovou hodnotu, a podají tyto informace alespoň ke konci daného účetního období a k následujícím třem čtvrtletním referenčním datům;</w:t>
      </w:r>
    </w:p>
    <w:p w14:paraId="50325C89" w14:textId="0290171D" w:rsidR="00FE0C02" w:rsidRPr="004263A0" w:rsidRDefault="00FE0C02" w:rsidP="00FE0C02">
      <w:pPr>
        <w:pStyle w:val="Point1"/>
      </w:pPr>
      <w:r w:rsidRPr="004263A0">
        <w:t>b)</w:t>
      </w:r>
      <w:r w:rsidRPr="004263A0">
        <w:tab/>
        <w:t>mateřská instituce v EU, mateřský finanční holding v EU nebo mateřský smíšený finanční holding v EU neprodleně ukončí podávání informací v souladu s tímto článkem, pokud jejich míra expozice pákového poměru poklesne ke konci účetního období pod stanovenou prahovou hodnotu.</w:t>
      </w:r>
    </w:p>
    <w:p w14:paraId="3714E48A" w14:textId="77777777" w:rsidR="00FE0C02" w:rsidRPr="004263A0" w:rsidRDefault="00FE0C02" w:rsidP="00FE0C02">
      <w:pPr>
        <w:pStyle w:val="Titrearticle"/>
      </w:pPr>
      <w:r w:rsidRPr="004263A0">
        <w:t>Článek 21</w:t>
      </w:r>
    </w:p>
    <w:p w14:paraId="379043C5" w14:textId="77777777" w:rsidR="00FE0C02" w:rsidRPr="004263A0" w:rsidRDefault="00FE0C02" w:rsidP="00FE0C02">
      <w:pPr>
        <w:pStyle w:val="Titrearticle"/>
        <w:spacing w:before="120"/>
      </w:pPr>
      <w:r w:rsidRPr="004263A0">
        <w:rPr>
          <w:b/>
          <w:i w:val="0"/>
        </w:rPr>
        <w:t>Formáty pro výměnu údajů a informace přiložené k podání</w:t>
      </w:r>
    </w:p>
    <w:p w14:paraId="3484BAE7" w14:textId="77777777" w:rsidR="00FE0C02" w:rsidRPr="004263A0" w:rsidRDefault="00FE0C02" w:rsidP="005F180D">
      <w:pPr>
        <w:pStyle w:val="NumPar1"/>
        <w:numPr>
          <w:ilvl w:val="0"/>
          <w:numId w:val="28"/>
        </w:numPr>
      </w:pPr>
      <w:r w:rsidRPr="004263A0">
        <w:t>Instituce předkládají informace ve formátech pro výměnu údajů a ve výkazech, jež určí příslušné orgány a jež se řídí definicemi bodů v modelu datových bodů podle přílohy XIV a pravidly pro ověřování podle přílohy XV, přičemž musí splňovat také následující parametry:</w:t>
      </w:r>
    </w:p>
    <w:p w14:paraId="6302FDB1" w14:textId="77777777" w:rsidR="00FE0C02" w:rsidRPr="004263A0" w:rsidRDefault="00FE0C02" w:rsidP="00FE0C02">
      <w:pPr>
        <w:pStyle w:val="Point1"/>
      </w:pPr>
      <w:r w:rsidRPr="004263A0">
        <w:t>a)</w:t>
      </w:r>
      <w:r w:rsidRPr="004263A0">
        <w:tab/>
        <w:t>součástí předkládaných údajů nejsou informace, které nejsou vyžadovány nebo jsou v daném případě bezpředmětné;</w:t>
      </w:r>
    </w:p>
    <w:p w14:paraId="04CB5DF9" w14:textId="77777777" w:rsidR="00FE0C02" w:rsidRPr="004263A0" w:rsidRDefault="00FE0C02" w:rsidP="00FE0C02">
      <w:pPr>
        <w:pStyle w:val="Point1"/>
      </w:pPr>
      <w:r w:rsidRPr="004263A0">
        <w:t>b)</w:t>
      </w:r>
      <w:r w:rsidRPr="004263A0">
        <w:tab/>
        <w:t>číselné hodnoty se předkládají takto:</w:t>
      </w:r>
    </w:p>
    <w:p w14:paraId="08E0D7CD" w14:textId="77777777" w:rsidR="00FE0C02" w:rsidRPr="004263A0" w:rsidRDefault="00FE0C02" w:rsidP="00FE0C02">
      <w:pPr>
        <w:pStyle w:val="Point2"/>
      </w:pPr>
      <w:r w:rsidRPr="004263A0">
        <w:t>i)</w:t>
      </w:r>
      <w:r w:rsidRPr="004263A0">
        <w:tab/>
        <w:t>datové body s údaji typu „měna“ se vykazují s minimální přesností odpovídající tisícům jednotek;</w:t>
      </w:r>
    </w:p>
    <w:p w14:paraId="34C38BBF" w14:textId="77777777" w:rsidR="00FE0C02" w:rsidRPr="004263A0" w:rsidRDefault="00FE0C02" w:rsidP="00FE0C02">
      <w:pPr>
        <w:pStyle w:val="Point2"/>
      </w:pPr>
      <w:r w:rsidRPr="004263A0">
        <w:t>ii)</w:t>
      </w:r>
      <w:r w:rsidRPr="004263A0">
        <w:tab/>
        <w:t>datové body s údaji typu „procento“ se pro každou jednotku vyjádří s minimální přesností odpovídající čtyřem desetinným místům;</w:t>
      </w:r>
    </w:p>
    <w:p w14:paraId="4CD4E1AC" w14:textId="77777777" w:rsidR="00FE0C02" w:rsidRPr="004263A0" w:rsidRDefault="00FE0C02" w:rsidP="00FE0C02">
      <w:pPr>
        <w:pStyle w:val="Point2"/>
      </w:pPr>
      <w:r w:rsidRPr="004263A0">
        <w:t>iii)</w:t>
      </w:r>
      <w:r w:rsidRPr="004263A0">
        <w:tab/>
        <w:t>datové body s údaji typu „celé číslo“ se vykazují s přesností odpovídající jednotkám bez desetinných míst;</w:t>
      </w:r>
    </w:p>
    <w:p w14:paraId="1DE261AC" w14:textId="77777777" w:rsidR="00FE0C02" w:rsidRPr="004263A0" w:rsidRDefault="00FE0C02" w:rsidP="00FE0C02">
      <w:pPr>
        <w:pStyle w:val="Point1"/>
        <w:rPr>
          <w:szCs w:val="24"/>
        </w:rPr>
      </w:pPr>
      <w:r w:rsidRPr="004263A0">
        <w:lastRenderedPageBreak/>
        <w:t>c)</w:t>
      </w:r>
      <w:r w:rsidRPr="004263A0">
        <w:tab/>
        <w:t>instituce a pojišťovny se označují výhradně svým identifikačním kódem právnické osoby (LEI);</w:t>
      </w:r>
    </w:p>
    <w:p w14:paraId="10C9C354" w14:textId="77777777" w:rsidR="00FE0C02" w:rsidRPr="004263A0" w:rsidRDefault="00FE0C02" w:rsidP="00FE0C02">
      <w:pPr>
        <w:pStyle w:val="Point1"/>
      </w:pPr>
      <w:r w:rsidRPr="004263A0">
        <w:t>d) právnické osoby a protistrany jiné než instituce a pojišťovny se označují svým identifikačním kódem právnické osoby, pokud je k dispozici.</w:t>
      </w:r>
    </w:p>
    <w:p w14:paraId="275717B4" w14:textId="77777777" w:rsidR="00FE0C02" w:rsidRPr="004263A0" w:rsidRDefault="00FE0C02" w:rsidP="00FE0C02">
      <w:pPr>
        <w:pStyle w:val="NumPar1"/>
        <w:widowControl w:val="0"/>
        <w:numPr>
          <w:ilvl w:val="0"/>
          <w:numId w:val="10"/>
        </w:numPr>
        <w:autoSpaceDE w:val="0"/>
        <w:autoSpaceDN w:val="0"/>
        <w:spacing w:line="228" w:lineRule="auto"/>
        <w:rPr>
          <w:szCs w:val="24"/>
        </w:rPr>
      </w:pPr>
      <w:r w:rsidRPr="004263A0">
        <w:t>Instituce přiloží k předkládaným údajům tyto informace:</w:t>
      </w:r>
    </w:p>
    <w:p w14:paraId="533511FB" w14:textId="77777777" w:rsidR="00FE0C02" w:rsidRPr="004263A0" w:rsidRDefault="00FE0C02" w:rsidP="00FE0C02">
      <w:pPr>
        <w:pStyle w:val="Point1"/>
      </w:pPr>
      <w:r w:rsidRPr="004263A0">
        <w:t>a)</w:t>
      </w:r>
      <w:r w:rsidRPr="004263A0">
        <w:tab/>
        <w:t>referenční datum vykazování a referenční období;</w:t>
      </w:r>
    </w:p>
    <w:p w14:paraId="35FFAFDD" w14:textId="77777777" w:rsidR="00FE0C02" w:rsidRPr="004263A0" w:rsidRDefault="00FE0C02" w:rsidP="00FE0C02">
      <w:pPr>
        <w:pStyle w:val="Point1"/>
      </w:pPr>
      <w:r w:rsidRPr="004263A0">
        <w:t>b)</w:t>
      </w:r>
      <w:r w:rsidRPr="004263A0">
        <w:tab/>
        <w:t>vykazovací měna;</w:t>
      </w:r>
    </w:p>
    <w:p w14:paraId="2D0A776B" w14:textId="77777777" w:rsidR="00FE0C02" w:rsidRPr="004263A0" w:rsidRDefault="00FE0C02" w:rsidP="00FE0C02">
      <w:pPr>
        <w:pStyle w:val="Point1"/>
      </w:pPr>
      <w:r w:rsidRPr="004263A0">
        <w:t>c)</w:t>
      </w:r>
      <w:r w:rsidRPr="004263A0">
        <w:tab/>
        <w:t>účetní standard;</w:t>
      </w:r>
    </w:p>
    <w:p w14:paraId="05941E50" w14:textId="77777777" w:rsidR="00FE0C02" w:rsidRPr="004263A0" w:rsidRDefault="00FE0C02" w:rsidP="00FE0C02">
      <w:pPr>
        <w:pStyle w:val="Point1"/>
      </w:pPr>
      <w:r w:rsidRPr="004263A0">
        <w:t>d)</w:t>
      </w:r>
      <w:r w:rsidRPr="004263A0">
        <w:tab/>
        <w:t>identifikační kód právnické osoby (LEI) vykazující instituce;</w:t>
      </w:r>
    </w:p>
    <w:p w14:paraId="1E5B9FC2" w14:textId="77777777" w:rsidR="00FE0C02" w:rsidRPr="004263A0" w:rsidRDefault="00FE0C02" w:rsidP="00FE0C02">
      <w:pPr>
        <w:pStyle w:val="Point1"/>
      </w:pPr>
      <w:r w:rsidRPr="004263A0">
        <w:t>e)</w:t>
      </w:r>
      <w:r w:rsidRPr="004263A0">
        <w:tab/>
        <w:t>rozsah konsolidace.</w:t>
      </w:r>
    </w:p>
    <w:p w14:paraId="3C0C8DE6" w14:textId="77777777" w:rsidR="00FE0C02" w:rsidRPr="004263A0" w:rsidRDefault="00FE0C02" w:rsidP="00FE0C02">
      <w:pPr>
        <w:pStyle w:val="Titrearticle"/>
        <w:spacing w:before="120"/>
      </w:pPr>
      <w:r w:rsidRPr="004263A0">
        <w:t>Článek 22</w:t>
      </w:r>
    </w:p>
    <w:p w14:paraId="48AC81C7" w14:textId="77777777" w:rsidR="00FE0C02" w:rsidRPr="004263A0" w:rsidRDefault="00FE0C02" w:rsidP="006B3AF7">
      <w:pPr>
        <w:pStyle w:val="Titrearticle"/>
      </w:pPr>
      <w:r w:rsidRPr="004263A0">
        <w:t>Zrušení prováděcího nařízení (EU) č. 680/2014</w:t>
      </w:r>
    </w:p>
    <w:p w14:paraId="1CFB853D" w14:textId="72EA0D3E" w:rsidR="00FE0C02" w:rsidRPr="004263A0" w:rsidRDefault="00FE0C02" w:rsidP="006B3AF7">
      <w:r w:rsidRPr="004263A0">
        <w:t xml:space="preserve">Prováděcí nařízení (EU) č. 680/2014 se zrušuje. </w:t>
      </w:r>
    </w:p>
    <w:p w14:paraId="783335BF" w14:textId="7744E337" w:rsidR="00FE0C02" w:rsidRPr="004263A0" w:rsidRDefault="00FE0C02" w:rsidP="006B3AF7">
      <w:r w:rsidRPr="004263A0">
        <w:t>Odkazy na zrušené nařízení se považují za odkazy na toto nařízení.</w:t>
      </w:r>
    </w:p>
    <w:p w14:paraId="5FA1D041" w14:textId="77777777" w:rsidR="00FE0C02" w:rsidRPr="004263A0" w:rsidRDefault="00FE0C02" w:rsidP="00FE0C02">
      <w:pPr>
        <w:pStyle w:val="Titrearticle"/>
      </w:pPr>
      <w:r w:rsidRPr="004263A0">
        <w:t>Článek 23</w:t>
      </w:r>
    </w:p>
    <w:p w14:paraId="5DBF2ECB" w14:textId="77777777" w:rsidR="00FE0C02" w:rsidRPr="004263A0" w:rsidRDefault="00FE0C02" w:rsidP="00FE0C02">
      <w:pPr>
        <w:pStyle w:val="Titrearticle"/>
        <w:rPr>
          <w:b/>
          <w:i w:val="0"/>
        </w:rPr>
      </w:pPr>
      <w:r w:rsidRPr="004263A0">
        <w:rPr>
          <w:b/>
          <w:i w:val="0"/>
        </w:rPr>
        <w:t>Vstup v platnost a použitelnost</w:t>
      </w:r>
    </w:p>
    <w:p w14:paraId="0A731224" w14:textId="77777777" w:rsidR="00FE0C02" w:rsidRPr="004263A0" w:rsidRDefault="00FE0C02" w:rsidP="00FE0C02">
      <w:r w:rsidRPr="004263A0">
        <w:t xml:space="preserve">Toto nařízení vstupuje v platnost prvním dnem po vyhlášení v </w:t>
      </w:r>
      <w:r w:rsidRPr="004263A0">
        <w:rPr>
          <w:i/>
        </w:rPr>
        <w:t>Úředním věstníku Evropské unie</w:t>
      </w:r>
      <w:r w:rsidRPr="004263A0">
        <w:t>.</w:t>
      </w:r>
    </w:p>
    <w:p w14:paraId="7B8BB43C" w14:textId="77777777" w:rsidR="00FE0C02" w:rsidRPr="004263A0" w:rsidRDefault="00FE0C02" w:rsidP="00FE0C02">
      <w:r w:rsidRPr="004263A0">
        <w:t>Použije se ode dne 28. června 2021.</w:t>
      </w:r>
    </w:p>
    <w:p w14:paraId="398E54BD" w14:textId="77777777" w:rsidR="00FE0C02" w:rsidRPr="004263A0" w:rsidRDefault="00FE0C02" w:rsidP="00FE0C02">
      <w:r w:rsidRPr="004263A0">
        <w:t>Bez ohledu na druhý odstavec tohoto článku se podávání zpráv o požadavku na kapitálovou rezervu k pákovému poměru u institucí určených jako G-SVI, který je uveden v šabloně 47 přílohy X, použije od 1. ledna 2023.</w:t>
      </w:r>
    </w:p>
    <w:p w14:paraId="077B995C" w14:textId="2455A2B7" w:rsidR="00FF364B" w:rsidRPr="004263A0" w:rsidRDefault="00FE0C02" w:rsidP="00FE0C02">
      <w:r w:rsidRPr="004263A0">
        <w:t>Články 9 a 10 se přestanou používat dne 26. června 2026.</w:t>
      </w:r>
    </w:p>
    <w:p w14:paraId="2BB71259" w14:textId="77777777" w:rsidR="0004170D" w:rsidRPr="004263A0" w:rsidRDefault="0004170D" w:rsidP="009675DD">
      <w:pPr>
        <w:pStyle w:val="Applicationdirecte"/>
      </w:pPr>
      <w:r w:rsidRPr="004263A0">
        <w:t>Toto nařízení je závazné v celém rozsahu a přímo použitelné ve všech členských státech.</w:t>
      </w:r>
    </w:p>
    <w:p w14:paraId="2947B574" w14:textId="4505F8C2" w:rsidR="0004170D" w:rsidRPr="004263A0" w:rsidRDefault="004263A0" w:rsidP="004263A0">
      <w:pPr>
        <w:pStyle w:val="Fait"/>
      </w:pPr>
      <w:r w:rsidRPr="004263A0">
        <w:t>V Bruselu dne</w:t>
      </w:r>
    </w:p>
    <w:p w14:paraId="3F08E3CE" w14:textId="77777777" w:rsidR="0004170D" w:rsidRPr="004263A0" w:rsidRDefault="0004170D" w:rsidP="0004170D">
      <w:pPr>
        <w:pStyle w:val="Institutionquisigne"/>
      </w:pPr>
      <w:r w:rsidRPr="004263A0">
        <w:tab/>
        <w:t>Za Komisi</w:t>
      </w:r>
    </w:p>
    <w:p w14:paraId="2100579F" w14:textId="77777777" w:rsidR="00A211D2" w:rsidRPr="004263A0" w:rsidRDefault="0004170D" w:rsidP="0004170D">
      <w:pPr>
        <w:pStyle w:val="Personnequisigne"/>
      </w:pPr>
      <w:r w:rsidRPr="004263A0">
        <w:tab/>
        <w:t>předsedkyně</w:t>
      </w:r>
    </w:p>
    <w:p w14:paraId="5318264F" w14:textId="632B2009" w:rsidR="0004170D" w:rsidRPr="004263A0" w:rsidRDefault="00A211D2" w:rsidP="0004170D">
      <w:pPr>
        <w:pStyle w:val="Personnequisigne"/>
      </w:pPr>
      <w:r w:rsidRPr="004263A0">
        <w:tab/>
        <w:t xml:space="preserve">Ursula von der Leyen </w:t>
      </w:r>
      <w:r w:rsidRPr="004263A0">
        <w:br/>
      </w:r>
      <w:r w:rsidRPr="004263A0">
        <w:tab/>
        <w:t xml:space="preserve"> </w:t>
      </w:r>
      <w:r w:rsidRPr="004263A0">
        <w:br/>
      </w:r>
      <w:r w:rsidRPr="004263A0">
        <w:tab/>
        <w:t xml:space="preserve"> </w:t>
      </w:r>
      <w:r w:rsidRPr="004263A0">
        <w:br/>
      </w:r>
    </w:p>
    <w:sectPr w:rsidR="0004170D" w:rsidRPr="004263A0" w:rsidSect="00172FF0">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BCCA" w14:textId="2ECD552A" w:rsidR="007E5F66" w:rsidRPr="00172FF0" w:rsidRDefault="00172FF0" w:rsidP="00172FF0">
    <w:pPr>
      <w:pStyle w:val="Footer"/>
      <w:rPr>
        <w:rFonts w:ascii="Arial" w:hAnsi="Arial" w:cs="Arial"/>
        <w:b/>
        <w:sz w:val="48"/>
      </w:rPr>
    </w:pPr>
    <w:r w:rsidRPr="00172FF0">
      <w:rPr>
        <w:rFonts w:ascii="Arial" w:hAnsi="Arial" w:cs="Arial"/>
        <w:b/>
        <w:sz w:val="48"/>
      </w:rPr>
      <w:t>CS</w:t>
    </w:r>
    <w:r w:rsidRPr="00172FF0">
      <w:rPr>
        <w:rFonts w:ascii="Arial" w:hAnsi="Arial" w:cs="Arial"/>
        <w:b/>
        <w:sz w:val="48"/>
      </w:rPr>
      <w:tab/>
    </w:r>
    <w:r w:rsidRPr="00172FF0">
      <w:rPr>
        <w:rFonts w:ascii="Arial" w:hAnsi="Arial" w:cs="Arial"/>
        <w:b/>
        <w:sz w:val="48"/>
      </w:rPr>
      <w:tab/>
    </w:r>
    <w:r w:rsidRPr="00172FF0">
      <w:tab/>
    </w:r>
    <w:r w:rsidRPr="00172FF0">
      <w:rPr>
        <w:rFonts w:ascii="Arial" w:hAnsi="Arial" w:cs="Arial"/>
        <w:b/>
        <w:sz w:val="48"/>
      </w:rPr>
      <w:t>CS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F1C3F" w14:textId="73402F72" w:rsidR="00172FF0" w:rsidRPr="00172FF0" w:rsidRDefault="00172FF0" w:rsidP="00172FF0">
    <w:pPr>
      <w:pStyle w:val="Footer"/>
      <w:rPr>
        <w:rFonts w:ascii="Arial" w:hAnsi="Arial" w:cs="Arial"/>
        <w:b/>
        <w:sz w:val="48"/>
      </w:rPr>
    </w:pPr>
    <w:r w:rsidRPr="00172FF0">
      <w:rPr>
        <w:rFonts w:ascii="Arial" w:hAnsi="Arial" w:cs="Arial"/>
        <w:b/>
        <w:sz w:val="48"/>
      </w:rPr>
      <w:t>CS</w:t>
    </w:r>
    <w:r w:rsidRPr="00172FF0">
      <w:rPr>
        <w:rFonts w:ascii="Arial" w:hAnsi="Arial" w:cs="Arial"/>
        <w:b/>
        <w:sz w:val="48"/>
      </w:rPr>
      <w:tab/>
    </w:r>
    <w:r>
      <w:fldChar w:fldCharType="begin"/>
    </w:r>
    <w:r>
      <w:instrText xml:space="preserve"> PAGE  \* MERGEFORMAT </w:instrText>
    </w:r>
    <w:r>
      <w:fldChar w:fldCharType="separate"/>
    </w:r>
    <w:r w:rsidR="00007370">
      <w:rPr>
        <w:noProof/>
      </w:rPr>
      <w:t>1</w:t>
    </w:r>
    <w:r>
      <w:fldChar w:fldCharType="end"/>
    </w:r>
    <w:r>
      <w:tab/>
    </w:r>
    <w:r w:rsidRPr="00172FF0">
      <w:tab/>
    </w:r>
    <w:r w:rsidRPr="00172FF0">
      <w:rPr>
        <w:rFonts w:ascii="Arial" w:hAnsi="Arial" w:cs="Arial"/>
        <w:b/>
        <w:sz w:val="48"/>
      </w:rPr>
      <w:t>CS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88885" w14:textId="77777777" w:rsidR="00172FF0" w:rsidRPr="00172FF0" w:rsidRDefault="00172FF0" w:rsidP="00172F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2E4D2B" w:rsidRDefault="00AD21AA" w:rsidP="00AD21AA">
      <w:pPr>
        <w:pStyle w:val="FootnoteText"/>
      </w:pPr>
      <w:r>
        <w:rPr>
          <w:rStyle w:val="FootnoteReference"/>
        </w:rPr>
        <w:footnoteRef/>
      </w:r>
      <w:r>
        <w:tab/>
        <w:t>Úř. věst. L 176, 27.6.2013, s. 1.</w:t>
      </w:r>
    </w:p>
  </w:footnote>
  <w:footnote w:id="2">
    <w:p w14:paraId="433B5035" w14:textId="77777777" w:rsidR="00AD21AA" w:rsidRPr="00BD2EEC" w:rsidRDefault="00AD21AA" w:rsidP="00AD21AA">
      <w:pPr>
        <w:pStyle w:val="FootnoteText"/>
      </w:pPr>
      <w:r>
        <w:rPr>
          <w:rStyle w:val="FootnoteReference"/>
        </w:rPr>
        <w:footnoteRef/>
      </w:r>
      <w:r>
        <w:tab/>
        <w:t>Směrnice Evropského parlamentu a Rady 2013/36/EU ze dne 26. června 2013 o přístupu k činnosti úvěrových institucí a o obezřetnostním dohledu nad úvěrovými institucemi a investičními podniky, o změně směrnice 2002/87/ES a zrušení směrnic 2006/48/ES a 2006/49/ES (Úř. věst. L 176, 27.6.2013, s. 338).</w:t>
      </w:r>
    </w:p>
  </w:footnote>
  <w:footnote w:id="3">
    <w:p w14:paraId="5580D4CD" w14:textId="77777777" w:rsidR="00AD21AA" w:rsidRPr="00A45B5C" w:rsidRDefault="00AD21AA" w:rsidP="00AD21AA">
      <w:pPr>
        <w:pStyle w:val="FootnoteText"/>
      </w:pPr>
      <w:r>
        <w:rPr>
          <w:rStyle w:val="FootnoteReference"/>
        </w:rPr>
        <w:footnoteRef/>
      </w:r>
      <w:r>
        <w:tab/>
        <w:t>Prováděcí nařízení Komise (EU) č. 680/2014, kterým se stanoví prováděcí technické normy, pokud jde o podávání zpráv institucí pro účely dohledu podle nařízení (EU) č. 575/2013 (Úř. věst. L 191, 28.6.2014, s. 1).</w:t>
      </w:r>
    </w:p>
  </w:footnote>
  <w:footnote w:id="4">
    <w:p w14:paraId="4A709B42" w14:textId="77777777" w:rsidR="00AD21AA" w:rsidRPr="002E4D2B" w:rsidRDefault="00AD21AA" w:rsidP="00AD21AA">
      <w:pPr>
        <w:pStyle w:val="FootnoteText"/>
      </w:pPr>
      <w:r>
        <w:rPr>
          <w:rStyle w:val="FootnoteReference"/>
        </w:rPr>
        <w:footnoteRef/>
      </w:r>
      <w:r>
        <w:tab/>
        <w:t>Nařízení Evropského parlamentu a Rady (EU) 2019/876 ze dne 20. května 2019, kterým se mění nařízení (EU) č. 575/2013, pokud jde o pákový poměr, ukazatel čistého stabilního financování, požadavky na kapitál a způsobilé závazky, úvěrové riziko protistrany, tržní riziko, expozice vůči ústředním protistranám, expozice vůči subjektům kolektivního investování, velké expozice, požadavky na podávání zpráv a zpřístupňování informací, a nařízení (EU) č. 648/2012 (Úř. věst. L 150, 7.6.2019, s. 1).</w:t>
      </w:r>
    </w:p>
  </w:footnote>
  <w:footnote w:id="5">
    <w:p w14:paraId="5D010433" w14:textId="77777777" w:rsidR="00AD21AA" w:rsidRPr="002E4D2B" w:rsidRDefault="00AD21AA" w:rsidP="00AD21AA">
      <w:pPr>
        <w:pStyle w:val="FootnoteText"/>
      </w:pPr>
      <w:r>
        <w:rPr>
          <w:rStyle w:val="FootnoteReference"/>
        </w:rPr>
        <w:footnoteRef/>
      </w:r>
      <w:r>
        <w:tab/>
        <w:t xml:space="preserve">Nařízení Evropského parlamentu a Rady (EU) 2019/630 ze dne 17. dubna 2019, kterým se mění nařízení (EU) č. 575/2013, pokud jde o minimální krytí ztrát z nevýkonných expozic (Úř. věst. L 111, 25.4.2019, s. 4). </w:t>
      </w:r>
    </w:p>
  </w:footnote>
  <w:footnote w:id="6">
    <w:p w14:paraId="0B0AEE79" w14:textId="77777777" w:rsidR="00AD21AA" w:rsidRPr="008B4A3F" w:rsidRDefault="00AD21AA" w:rsidP="00AD21AA">
      <w:pPr>
        <w:pStyle w:val="FootnoteText"/>
      </w:pPr>
      <w:r>
        <w:rPr>
          <w:rStyle w:val="FootnoteReference"/>
        </w:rPr>
        <w:footnoteRef/>
      </w:r>
      <w:r>
        <w:tab/>
        <w:t>Nařízení Evropského parlamentu a Rady (EU) 2019/2033 ze dne 27. listopadu 2019 o obezřetnostních požadavcích na investiční podniky a o změně nařízení (EU) č. 1093/2010, (EU) č. 575/2013, (EU) č. 600/2014 a (EU) č. 806/2014 (Úř. věst. L 314, 5.12.2019, s. 1).</w:t>
      </w:r>
    </w:p>
  </w:footnote>
  <w:footnote w:id="7">
    <w:p w14:paraId="3D6B588C" w14:textId="1C69D305" w:rsidR="00AD21AA" w:rsidRPr="0069688A" w:rsidRDefault="00AD21AA" w:rsidP="00AD21AA">
      <w:pPr>
        <w:pStyle w:val="FootnoteText"/>
      </w:pPr>
      <w:r>
        <w:rPr>
          <w:rStyle w:val="FootnoteReference"/>
        </w:rPr>
        <w:footnoteRef/>
      </w:r>
      <w:r>
        <w:tab/>
        <w:t>Nařízení Evropského parlamentu a Rady (EU) 2020/873 ze dne 24. června 2020, kterým se mění nařízení (EU) č. 575/2013 a (EU) 2019/876, pokud jde o některé úpravy v reakci na pandemii COVID-19 (Úř. věst. L 204, 26.6.2020, s. 4).</w:t>
      </w:r>
    </w:p>
  </w:footnote>
  <w:footnote w:id="8">
    <w:p w14:paraId="5A30BC5D" w14:textId="77777777" w:rsidR="00AD21AA" w:rsidRPr="002E4D2B" w:rsidRDefault="00AD21AA" w:rsidP="00AD21AA">
      <w:pPr>
        <w:pStyle w:val="FootnoteText"/>
      </w:pPr>
      <w:r>
        <w:rPr>
          <w:rStyle w:val="FootnoteReference"/>
        </w:rPr>
        <w:footnoteRef/>
      </w:r>
      <w:r>
        <w:tab/>
        <w:t>Nařízení Evropského parlamentu a Rady (EU) č. 1093/2010 ze dne 24. listopadu 2010 o zřízení Evropského orgánu dohledu (Evropského orgánu pro bankovnictví), o změně rozhodnutí č. 716/2009/ES a o zrušení rozhodnutí Komise 2009/78/ES (Úř. věst. L 331, 15.12.2020, s. 12).</w:t>
      </w:r>
    </w:p>
  </w:footnote>
  <w:footnote w:id="9">
    <w:p w14:paraId="2F6DC588" w14:textId="77777777" w:rsidR="0014552F" w:rsidRPr="002E4D2B" w:rsidRDefault="0014552F" w:rsidP="0014552F">
      <w:pPr>
        <w:pStyle w:val="FootnoteText"/>
      </w:pPr>
      <w:r>
        <w:rPr>
          <w:rStyle w:val="FootnoteReference"/>
        </w:rPr>
        <w:footnoteRef/>
      </w:r>
      <w:r>
        <w:tab/>
        <w:t>Nařízení Komise v přenesené pravomoci (EU) 2016/101 ze dne 26. října 2015, kterým se doplňuje nařízení Evropského parlamentu a Rady (EU) č. 575/2013, pokud jde o regulační technické normy ohledně obezřetného oceňování podle čl. 105 odst. 14 (Úř. věst. L 21, 28.1.2016, s. 54).</w:t>
      </w:r>
    </w:p>
  </w:footnote>
  <w:footnote w:id="10">
    <w:p w14:paraId="0D4E857F" w14:textId="659ADEF0" w:rsidR="00FE0C02" w:rsidRPr="00B60583" w:rsidRDefault="00FE0C02" w:rsidP="00FE0C02">
      <w:pPr>
        <w:pStyle w:val="FootnoteText"/>
      </w:pPr>
      <w:r>
        <w:rPr>
          <w:rStyle w:val="FootnoteReference"/>
        </w:rPr>
        <w:footnoteRef/>
      </w:r>
      <w:r>
        <w:tab/>
        <w:t>Nařízení Evropského parlamentu a Rady (ES) č. 1606/2002 ze dne 19. července 2002 o uplatňování mezinárodních účetních standardů (Úř. věst. L 243, 11.9.2002, s. 1).</w:t>
      </w:r>
    </w:p>
  </w:footnote>
  <w:footnote w:id="11">
    <w:p w14:paraId="186408CB" w14:textId="77777777" w:rsidR="00FE0C02" w:rsidRPr="00383524" w:rsidRDefault="00FE0C02" w:rsidP="00FE0C02">
      <w:pPr>
        <w:pStyle w:val="FootnoteText"/>
      </w:pPr>
      <w:r>
        <w:rPr>
          <w:rStyle w:val="FootnoteReference"/>
        </w:rPr>
        <w:footnoteRef/>
      </w:r>
      <w:r>
        <w:tab/>
        <w:t>Směrnice Evropského parlamentu a Rady 2009/65/ES ze dne 13. července 2009 o koordinaci právních a správních předpisů týkajících se subjektů kolektivního investování do převoditelných cenných papírů (SKIPCP) (Úř. věst. L 302, 17.11.2009, s. 32).</w:t>
      </w:r>
    </w:p>
  </w:footnote>
  <w:footnote w:id="12">
    <w:p w14:paraId="50B21B4D" w14:textId="77777777" w:rsidR="00FE0C02" w:rsidRPr="00EF0DDB" w:rsidRDefault="00FE0C02" w:rsidP="00FE0C02">
      <w:pPr>
        <w:pStyle w:val="FootnoteText"/>
      </w:pPr>
      <w:r>
        <w:rPr>
          <w:rStyle w:val="FootnoteReference"/>
        </w:rPr>
        <w:footnoteRef/>
      </w:r>
      <w:r>
        <w:tab/>
        <w:t>Nařízení Evropského parlamentu a Rady (EU) č. 806/2014 ze dne 15. července 2014, kterým se stanoví jednotná pravidla a jednotný postup pro řešení krize úvěrových institucí a některých investičních podniků v rámci jednotného mechanismu pro řešení krizí a Jednotného fondu pro řešení krizí a mění nařízení (EU) č. 1093/2010 (Úř. věst. L 225, 30.7.2014,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isplayBackgroundShape/>
  <w:attachedTemplate r:id="rId1"/>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5 10:39:42"/>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61AADD67-1990-4C9D-A89E-E163EF5A5BA7"/>
    <w:docVar w:name="LW_COVERPAGE_TYPE" w:val="1"/>
    <w:docVar w:name="LW_CROSSREFERENCE" w:val="&lt;UNUSED&gt;"/>
    <w:docVar w:name="LW_DATE.ADOPT.CP" w:val="ze dne XXX,"/>
    <w:docVar w:name="LW_DATE.ADOPT.CP_DATEFORMAT" w:val="ze dne %DATE%,"/>
    <w:docVar w:name="LW_DATE.ADOPT.CP_ISODATE" w:val="&lt;EMPTY&gt;"/>
    <w:docVar w:name="LW_DocType" w:val="COM"/>
    <w:docVar w:name="LW_EMISSION" w:val="&lt;EMPTY&gt;"/>
    <w:docVar w:name="LW_EMISSION_ISODATE" w:val="&lt;EMPTY&gt;"/>
    <w:docVar w:name="LW_EMISSION_LOCATION" w:val="BRX"/>
    <w:docVar w:name="LW_EMISSION_PREFIX" w:val="V Bruselu dne "/>
    <w:docVar w:name="LW_EMISSION_SUFFIX" w:val="&lt;EMPTY&gt;"/>
    <w:docVar w:name="LW_ID_DOCMODEL" w:val="SJ-004"/>
    <w:docVar w:name="LW_ID_DOCSIGNATURE" w:val="SJ-004"/>
    <w:docVar w:name="LW_ID_DOCSTRUCTURE" w:val="COM/AA"/>
    <w:docVar w:name="LW_ID_DOCTYPE" w:val="SJ-004"/>
    <w:docVar w:name="LW_INTERETEEE.CP" w:val="(Text s významem pro EHP)"/>
    <w:docVar w:name="LW_LANGUE" w:val="CS"/>
    <w:docVar w:name="LW_LANGUESFAISANTFOI.CP" w:val="&lt;UNUSED&gt;"/>
    <w:docVar w:name="LW_LEVEL_OF_SENSITIVITY" w:val="Standard treatment"/>
    <w:docVar w:name="LW_NOM.INST" w:val="EVROPSKÁ KOMISE"/>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terým se stanoví provád\u283?cí technické normy pro uplat\u328?ování na\u345?ízení Evropského parlamentu a Rady (EU) \u269?. 575/2013, pokud jde o podávání zpráv institucí pro ú\u269?ely dohledu, a kterým se zru\u353?uje provád\u283?cí na\u345?ízení (EU) \u269?. 680/2014 _x000b_"/>
    <w:docVar w:name="LW_TYPE.DOC.CP" w:val="PROVÁD\u282?CÍ NA\u344?ÍZENÍ KOMISE (EU) \u8230?/..."/>
  </w:docVars>
  <w:rsids>
    <w:rsidRoot w:val="0004170D"/>
    <w:rsid w:val="00007370"/>
    <w:rsid w:val="00023622"/>
    <w:rsid w:val="00036497"/>
    <w:rsid w:val="0004072A"/>
    <w:rsid w:val="0004170D"/>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2FF0"/>
    <w:rsid w:val="00173862"/>
    <w:rsid w:val="001738AF"/>
    <w:rsid w:val="00194CD4"/>
    <w:rsid w:val="001957E2"/>
    <w:rsid w:val="001A14C2"/>
    <w:rsid w:val="001E7F77"/>
    <w:rsid w:val="001F6EE6"/>
    <w:rsid w:val="00221852"/>
    <w:rsid w:val="002360F2"/>
    <w:rsid w:val="002759C1"/>
    <w:rsid w:val="00285E17"/>
    <w:rsid w:val="002B6FA8"/>
    <w:rsid w:val="002C0C3E"/>
    <w:rsid w:val="002C1097"/>
    <w:rsid w:val="002C1CA0"/>
    <w:rsid w:val="002D22E3"/>
    <w:rsid w:val="002E476B"/>
    <w:rsid w:val="00332B33"/>
    <w:rsid w:val="00334AD0"/>
    <w:rsid w:val="00352527"/>
    <w:rsid w:val="0036351A"/>
    <w:rsid w:val="00384742"/>
    <w:rsid w:val="003A1165"/>
    <w:rsid w:val="003A6A98"/>
    <w:rsid w:val="003B14E5"/>
    <w:rsid w:val="003B2A70"/>
    <w:rsid w:val="003D6311"/>
    <w:rsid w:val="003E7FD2"/>
    <w:rsid w:val="00403378"/>
    <w:rsid w:val="004263A0"/>
    <w:rsid w:val="00445268"/>
    <w:rsid w:val="0047317A"/>
    <w:rsid w:val="00477A3E"/>
    <w:rsid w:val="00480310"/>
    <w:rsid w:val="00496B08"/>
    <w:rsid w:val="004A4E65"/>
    <w:rsid w:val="004B7AEA"/>
    <w:rsid w:val="004D5E20"/>
    <w:rsid w:val="004D795C"/>
    <w:rsid w:val="00505B92"/>
    <w:rsid w:val="00507343"/>
    <w:rsid w:val="00531744"/>
    <w:rsid w:val="00535526"/>
    <w:rsid w:val="00545C74"/>
    <w:rsid w:val="00554EA5"/>
    <w:rsid w:val="00563765"/>
    <w:rsid w:val="005A2A1F"/>
    <w:rsid w:val="005A6D07"/>
    <w:rsid w:val="005C3834"/>
    <w:rsid w:val="005C415E"/>
    <w:rsid w:val="005E5208"/>
    <w:rsid w:val="005F180D"/>
    <w:rsid w:val="00627D4B"/>
    <w:rsid w:val="00646DA2"/>
    <w:rsid w:val="00656F3B"/>
    <w:rsid w:val="00681997"/>
    <w:rsid w:val="006947FE"/>
    <w:rsid w:val="006B3AF7"/>
    <w:rsid w:val="006B5AAF"/>
    <w:rsid w:val="006B61AF"/>
    <w:rsid w:val="006B721D"/>
    <w:rsid w:val="006C03BF"/>
    <w:rsid w:val="006D20F7"/>
    <w:rsid w:val="007241CC"/>
    <w:rsid w:val="00725875"/>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24F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92406"/>
    <w:rsid w:val="00AD21AA"/>
    <w:rsid w:val="00AE51EF"/>
    <w:rsid w:val="00AE6C16"/>
    <w:rsid w:val="00B33923"/>
    <w:rsid w:val="00B36013"/>
    <w:rsid w:val="00B5497D"/>
    <w:rsid w:val="00B80AC9"/>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348C"/>
    <w:rsid w:val="00CF106C"/>
    <w:rsid w:val="00D9176D"/>
    <w:rsid w:val="00DC2475"/>
    <w:rsid w:val="00E03572"/>
    <w:rsid w:val="00E10715"/>
    <w:rsid w:val="00E14194"/>
    <w:rsid w:val="00E23D3B"/>
    <w:rsid w:val="00E5531F"/>
    <w:rsid w:val="00E76D3F"/>
    <w:rsid w:val="00E820DB"/>
    <w:rsid w:val="00E8608B"/>
    <w:rsid w:val="00EA3E25"/>
    <w:rsid w:val="00EA6449"/>
    <w:rsid w:val="00ED391B"/>
    <w:rsid w:val="00EF4651"/>
    <w:rsid w:val="00F335A5"/>
    <w:rsid w:val="00F37163"/>
    <w:rsid w:val="00F642FD"/>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cs-CZ"/>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cs-CZ"/>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cs-CZ"/>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cs-CZ"/>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cs-CZ"/>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cs-CZ"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D41F0-5350-4E2D-BEDE-1909CDFCC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18</Pages>
  <Words>6637</Words>
  <Characters>36440</Characters>
  <Application>Microsoft Office Word</Application>
  <DocSecurity>0</DocSecurity>
  <Lines>674</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2020-12-18T16:39:00Z</dcterms:created>
  <dcterms:modified xsi:type="dcterms:W3CDTF">2020-12-18T16:39:00Z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