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ALLEGATO XXI</w:t>
      </w:r>
    </w:p>
    <w:p w14:paraId="55B2E7E1" w14:textId="065A927F" w:rsidR="0040604D" w:rsidRDefault="0040604D" w:rsidP="003E55AB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ISTRUZIONI PER LE SEGNALAZIONI RIGUARDANTI LA CONCENTRAZIONE DELLA CAPACITÀ DI COMPENSAZIONE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4230F1D7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tab/>
      </w:r>
      <w:r>
        <w:rPr>
          <w:rFonts w:ascii="Times New Roman" w:hAnsi="Times New Roman"/>
          <w:sz w:val="24"/>
        </w:rPr>
        <w:t>Per raccogliere informazioni sulla concentrazione della capacità di compensazione degli enti segnalanti con riferimento alle dieci principali attività detenute o linee di liquidità concesse all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ente a tale scopo nell</w:t>
      </w:r>
      <w:r w:rsidR="0017019A">
        <w:rPr>
          <w:rFonts w:ascii="Times New Roman" w:hAnsi="Times New Roman"/>
          <w:sz w:val="24"/>
        </w:rPr>
        <w:t>'ambito del modello C </w:t>
      </w:r>
      <w:r>
        <w:rPr>
          <w:rFonts w:ascii="Times New Roman" w:hAnsi="Times New Roman"/>
          <w:sz w:val="24"/>
        </w:rPr>
        <w:t>71.00, gli enti applicano le istruzioni contenute nel presente allegato.</w:t>
      </w:r>
    </w:p>
    <w:p w14:paraId="6D98D095" w14:textId="410D8372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tab/>
      </w:r>
      <w:r>
        <w:rPr>
          <w:rFonts w:ascii="Times New Roman" w:hAnsi="Times New Roman"/>
          <w:sz w:val="24"/>
        </w:rPr>
        <w:t>Se all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emittente o alla controparte è assegnato più di un tipo di prodotto, valuta o classe di merito di credito, è segnalato 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importo totale. Il tipo di prodotto, valuta o classe di merito di credito da segnalare sono quelli che sono rilevanti per la quota più elevata della concentrazione della capacità di compensazione. </w:t>
      </w:r>
    </w:p>
    <w:p w14:paraId="1A86D9FE" w14:textId="305EFB49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tab/>
      </w:r>
      <w:r>
        <w:rPr>
          <w:rFonts w:ascii="Times New Roman" w:hAnsi="Times New Roman"/>
          <w:sz w:val="24"/>
        </w:rPr>
        <w:t>La</w:t>
      </w:r>
      <w:r w:rsidR="0017019A">
        <w:rPr>
          <w:rFonts w:ascii="Times New Roman" w:hAnsi="Times New Roman"/>
          <w:sz w:val="24"/>
        </w:rPr>
        <w:t xml:space="preserve"> capacità di compensazione in C 71.00 è la stessa che in C </w:t>
      </w:r>
      <w:r>
        <w:rPr>
          <w:rFonts w:ascii="Times New Roman" w:hAnsi="Times New Roman"/>
          <w:sz w:val="24"/>
        </w:rPr>
        <w:t>66.01, ma le attività segnalate come capacità di compensazione a</w:t>
      </w:r>
      <w:r w:rsidR="0017019A">
        <w:rPr>
          <w:rFonts w:ascii="Times New Roman" w:hAnsi="Times New Roman"/>
          <w:sz w:val="24"/>
        </w:rPr>
        <w:t>i fini di C </w:t>
      </w:r>
      <w:r>
        <w:rPr>
          <w:rFonts w:ascii="Times New Roman" w:hAnsi="Times New Roman"/>
          <w:sz w:val="24"/>
        </w:rPr>
        <w:t>71.00 devono essere prive di gravami, in modo che 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ente possa convertirle in contanti alla data di riferimento per le segnalazioni.</w:t>
      </w:r>
    </w:p>
    <w:p w14:paraId="52C95F92" w14:textId="2F54ABD9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tab/>
      </w:r>
      <w:r>
        <w:rPr>
          <w:rFonts w:ascii="Times New Roman" w:hAnsi="Times New Roman"/>
          <w:sz w:val="24"/>
        </w:rPr>
        <w:t>Per il calcolo delle concentrazioni ai fini del modello di segnalazione C</w:t>
      </w:r>
      <w:r w:rsidR="0017019A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71.00 per valuta rilevante, gli enti utilizzano le concentrazioni in tutte le valute.</w:t>
      </w:r>
    </w:p>
    <w:p w14:paraId="5D592CDE" w14:textId="764E3BF4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tab/>
      </w:r>
      <w:r>
        <w:rPr>
          <w:rFonts w:ascii="Times New Roman" w:hAnsi="Times New Roman"/>
          <w:sz w:val="24"/>
        </w:rPr>
        <w:t>Se appartengono a diversi gruppi di clienti connessi, 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emittente o la controparte vengono segnalati solo una volta nel gruppo con la concentrazione della capacità di compensazione più elevata.</w:t>
      </w:r>
    </w:p>
    <w:p w14:paraId="2C0B2260" w14:textId="682DB3B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tab/>
      </w:r>
      <w:r>
        <w:rPr>
          <w:rFonts w:ascii="Times New Roman" w:hAnsi="Times New Roman"/>
          <w:sz w:val="24"/>
        </w:rPr>
        <w:t>Fatta eccezione per la riga 120, le concentrazioni di capacità di compensazione con una banca centrale come emittente o controparte non sono segnalate in questo modello. Nel caso in cui 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ente ha già posizionato attività presso una banca centrale per le operazioni di liquidità standard e nella misura in cui tali attività rientrino nella categoria dei dieci principali emittenti o controparti con capacità di compensazione priva di gravame, 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ente segnala l</w:t>
      </w:r>
      <w:r w:rsidR="0017019A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emittente e il tipo di prodotto originari.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0"/>
        <w:gridCol w:w="7266"/>
      </w:tblGrid>
      <w:tr w:rsidR="00E05204" w:rsidRPr="0081623B" w14:paraId="4310E2B4" w14:textId="77777777" w:rsidTr="0017019A">
        <w:tc>
          <w:tcPr>
            <w:tcW w:w="1030" w:type="dxa"/>
            <w:shd w:val="clear" w:color="auto" w:fill="EEECE1" w:themeFill="background2"/>
          </w:tcPr>
          <w:p w14:paraId="27E41224" w14:textId="77777777" w:rsidR="00E05204" w:rsidRPr="0081623B" w:rsidRDefault="00E05204" w:rsidP="0017019A">
            <w:pPr>
              <w:keepNext/>
              <w:keepLines/>
              <w:spacing w:before="0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lastRenderedPageBreak/>
              <w:t>Colonna</w:t>
            </w:r>
          </w:p>
        </w:tc>
        <w:tc>
          <w:tcPr>
            <w:tcW w:w="7266" w:type="dxa"/>
            <w:shd w:val="clear" w:color="auto" w:fill="EEECE1" w:themeFill="background2"/>
          </w:tcPr>
          <w:p w14:paraId="7398AC24" w14:textId="77777777" w:rsidR="00E05204" w:rsidRPr="0081623B" w:rsidRDefault="00E05204" w:rsidP="0017019A">
            <w:pPr>
              <w:keepNext/>
              <w:keepLine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Riferimenti giuridici e istruzioni</w:t>
            </w:r>
          </w:p>
        </w:tc>
      </w:tr>
      <w:tr w:rsidR="00E05204" w:rsidRPr="0081623B" w14:paraId="32AA40F1" w14:textId="77777777" w:rsidTr="0017019A">
        <w:tc>
          <w:tcPr>
            <w:tcW w:w="1030" w:type="dxa"/>
          </w:tcPr>
          <w:p w14:paraId="79D5F65E" w14:textId="77777777" w:rsidR="00E05204" w:rsidRPr="0081623B" w:rsidRDefault="00125C48" w:rsidP="0017019A">
            <w:pPr>
              <w:keepNext/>
              <w:keepLine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</w:t>
            </w:r>
          </w:p>
        </w:tc>
        <w:tc>
          <w:tcPr>
            <w:tcW w:w="7266" w:type="dxa"/>
          </w:tcPr>
          <w:p w14:paraId="20597254" w14:textId="0EE9B21F" w:rsidR="00E05204" w:rsidRPr="0081623B" w:rsidRDefault="004C1638" w:rsidP="0017019A">
            <w:pPr>
              <w:keepNext/>
              <w:keepLines/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Nome dell</w:t>
            </w:r>
            <w:r w:rsidR="0017019A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emittente</w:t>
            </w:r>
          </w:p>
          <w:p w14:paraId="36B02E7E" w14:textId="062058B0" w:rsidR="00E05204" w:rsidRPr="0081623B" w:rsidRDefault="00E05204" w:rsidP="0017019A">
            <w:pPr>
              <w:keepNext/>
              <w:keepLine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 nome dei dieci principali emittenti di attività non vincolate o controparti di linee di liquidità irrevocabili non utilizzate concesse all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ente è registrato nella colonna 010 in modo discendente. 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elemento più consistente sarà registrato alla voce 1.01, il secondo alla voce 1.02 e così via. Gli emittenti e le controparti che costituiscono un gruppo di clienti connessi sono segnalati come un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unica concentrazione.</w:t>
            </w:r>
          </w:p>
          <w:p w14:paraId="4E01B5DA" w14:textId="1EAB859A" w:rsidR="00E05204" w:rsidRPr="0081623B" w:rsidRDefault="00E05204" w:rsidP="0017019A">
            <w:pPr>
              <w:keepNext/>
              <w:keepLine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 nome dell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emittente o della controparte è la denominazione completa del soggetto giuridico che ha emesso le attività o ha concesso le linee di liquidità, compreso qualsiasi riferimento al tipo di società conformemente al diritto societario nazionale.</w:t>
            </w:r>
          </w:p>
        </w:tc>
      </w:tr>
      <w:tr w:rsidR="00E05204" w:rsidRPr="0081623B" w14:paraId="5485249F" w14:textId="77777777" w:rsidTr="0017019A">
        <w:tc>
          <w:tcPr>
            <w:tcW w:w="1030" w:type="dxa"/>
          </w:tcPr>
          <w:p w14:paraId="488A21BC" w14:textId="77777777" w:rsidR="00E05204" w:rsidRPr="0081623B" w:rsidRDefault="00125C48" w:rsidP="0017019A">
            <w:pPr>
              <w:keepNext/>
              <w:keepLine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</w:t>
            </w:r>
          </w:p>
        </w:tc>
        <w:tc>
          <w:tcPr>
            <w:tcW w:w="7266" w:type="dxa"/>
          </w:tcPr>
          <w:p w14:paraId="763D0E5F" w14:textId="77777777" w:rsidR="00E05204" w:rsidRPr="0081623B" w:rsidRDefault="00E05204" w:rsidP="0017019A">
            <w:pPr>
              <w:keepNext/>
              <w:keepLines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Codice LEI</w:t>
            </w:r>
          </w:p>
          <w:p w14:paraId="7861A1B2" w14:textId="190A7764" w:rsidR="00E05204" w:rsidRPr="003E55AB" w:rsidRDefault="00E05204" w:rsidP="0017019A">
            <w:pPr>
              <w:keepNext/>
              <w:keepLines/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Codice identificativo del soggetto giuridico della controparte.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</w:tr>
      <w:tr w:rsidR="00E05204" w:rsidRPr="0081623B" w14:paraId="2B1BAA00" w14:textId="77777777" w:rsidTr="0017019A">
        <w:tc>
          <w:tcPr>
            <w:tcW w:w="103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266" w:type="dxa"/>
          </w:tcPr>
          <w:p w14:paraId="6DAF3DB3" w14:textId="3B9629F6" w:rsidR="00E05204" w:rsidRPr="0081623B" w:rsidRDefault="004C1638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Settore dell</w:t>
            </w:r>
            <w:r w:rsidR="0017019A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emittente</w:t>
            </w:r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 ciascun emittente o controparte è attribuito un settore sulla base della classificazione dei settori economici FINREP: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i) amministrazioni pubbliche; ii) enti creditizi; iii) altre società finanziarie; iv) società non finanziarie; v) famiglie.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 xml:space="preserve"> i gruppi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 clienti connessi non viene segnalato alcun settore. </w:t>
            </w:r>
          </w:p>
        </w:tc>
      </w:tr>
      <w:tr w:rsidR="00E05204" w:rsidRPr="0081623B" w14:paraId="66F40C8E" w14:textId="77777777" w:rsidTr="0017019A">
        <w:tc>
          <w:tcPr>
            <w:tcW w:w="103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266" w:type="dxa"/>
          </w:tcPr>
          <w:p w14:paraId="6EC1C162" w14:textId="1970CF51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Residenza dell</w:t>
            </w:r>
            <w:r w:rsidR="0017019A">
              <w:rPr>
                <w:rFonts w:ascii="Times New Roman" w:hAnsi="Times New Roman"/>
                <w:b/>
                <w:sz w:val="24"/>
                <w:u w:val="single"/>
              </w:rPr>
              <w:t>'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emittente </w:t>
            </w:r>
          </w:p>
          <w:p w14:paraId="0F33DF35" w14:textId="4EBAB55A" w:rsidR="00E05204" w:rsidRPr="0081623B" w:rsidRDefault="00E05204" w:rsidP="003E55AB">
            <w:pPr>
              <w:spacing w:before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Si utilizza il codice ISO 3166-1-alpha-2 del paese in cui l</w:t>
            </w:r>
            <w:r w:rsidR="0017019A">
              <w:rPr>
                <w:rStyle w:val="FormatvorlageInstructionsTabelleText"/>
                <w:rFonts w:ascii="Times New Roman" w:hAnsi="Times New Roman"/>
                <w:sz w:val="24"/>
              </w:rPr>
              <w:t>'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emittente o la controparte ha sede (tra cui gli pseudo-codici ISO per le organizzazioni internazionali</w:t>
            </w:r>
            <w:r>
              <w:rPr>
                <w:rFonts w:ascii="Times New Roman" w:hAnsi="Times New Roman"/>
                <w:sz w:val="24"/>
              </w:rPr>
              <w:t>, disponibili nell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 xml:space="preserve">ultima edizione del </w:t>
            </w:r>
            <w:r w:rsidR="0017019A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vademecum di Eurostat sulla bilancia dei pagamenti</w:t>
            </w:r>
            <w:r w:rsidR="0017019A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Per i gruppi di clienti connessi non viene segnalato il paese. </w:t>
            </w:r>
          </w:p>
        </w:tc>
      </w:tr>
      <w:tr w:rsidR="00E05204" w:rsidRPr="0081623B" w14:paraId="0F08D697" w14:textId="77777777" w:rsidTr="0017019A">
        <w:tc>
          <w:tcPr>
            <w:tcW w:w="103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26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Tipo di prodotto</w:t>
            </w:r>
          </w:p>
          <w:p w14:paraId="7DC48699" w14:textId="0FE651FD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Agli emittenti/alle controparti registrati nella colonna 010 è assegnato un tipo di prodotto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corrispondente</w:t>
            </w:r>
            <w:r>
              <w:rPr>
                <w:rFonts w:ascii="Times New Roman" w:hAnsi="Times New Roman"/>
                <w:sz w:val="24"/>
              </w:rPr>
              <w:t xml:space="preserve"> al prodotto in cui è detenuta 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attività o in cui è stata ricevuta la linea di liquidità standby utilizzando i seguenti codici indicati in grassetto: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bookmarkStart w:id="1" w:name="OLE_LINK1"/>
            <w:r>
              <w:rPr>
                <w:rFonts w:ascii="Times New Roman" w:hAnsi="Times New Roman"/>
                <w:b/>
                <w:sz w:val="24"/>
              </w:rPr>
              <w:t>SrB</w:t>
            </w:r>
            <w:r>
              <w:rPr>
                <w:rFonts w:ascii="Times New Roman" w:hAnsi="Times New Roman"/>
                <w:sz w:val="24"/>
              </w:rPr>
              <w:t xml:space="preserve"> (obbligazione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senior</w:t>
            </w:r>
            <w:r>
              <w:rPr>
                <w:rFonts w:ascii="Times New Roman" w:hAnsi="Times New Roman"/>
                <w:sz w:val="24"/>
              </w:rPr>
              <w:t xml:space="preserve">);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SubB</w:t>
            </w:r>
            <w:r>
              <w:rPr>
                <w:rFonts w:ascii="Times New Roman" w:hAnsi="Times New Roman"/>
                <w:sz w:val="24"/>
              </w:rPr>
              <w:t xml:space="preserve"> (obbligazione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subordinata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CP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i/>
                <w:iCs/>
                <w:sz w:val="24"/>
              </w:rPr>
              <w:t>Commercial</w:t>
            </w:r>
            <w:r>
              <w:rPr>
                <w:rFonts w:ascii="Times New Roman" w:hAnsi="Times New Roman"/>
                <w:i/>
                <w:iCs/>
                <w:sz w:val="24"/>
              </w:rPr>
              <w:t xml:space="preserve"> Paper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CB</w:t>
            </w:r>
            <w:r>
              <w:rPr>
                <w:rFonts w:ascii="Times New Roman" w:hAnsi="Times New Roman"/>
                <w:sz w:val="24"/>
              </w:rPr>
              <w:t xml:space="preserve"> (obbligazioni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garantite</w:t>
            </w:r>
            <w:r>
              <w:rPr>
                <w:rFonts w:ascii="Times New Roman" w:hAnsi="Times New Roman"/>
                <w:sz w:val="24"/>
              </w:rPr>
              <w:t xml:space="preserve">); </w:t>
            </w:r>
          </w:p>
          <w:p w14:paraId="16004F55" w14:textId="3597A256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US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titolo</w:t>
            </w:r>
            <w:r>
              <w:rPr>
                <w:rFonts w:ascii="Times New Roman" w:hAnsi="Times New Roman"/>
                <w:sz w:val="24"/>
              </w:rPr>
              <w:t xml:space="preserve"> OICVM, ossia strumenti finanziari che rappresentano un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azione o un titolo emessa/o da un organismo d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investimento collettivo in valori mobiliari);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ABS</w:t>
            </w:r>
            <w:r>
              <w:rPr>
                <w:rFonts w:ascii="Times New Roman" w:hAnsi="Times New Roman"/>
                <w:sz w:val="24"/>
              </w:rPr>
              <w:t xml:space="preserve"> (titolo garantito da attività);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CrCl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credito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Eq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strumento di capitale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3F4E3AAB" w14:textId="2B47E4FB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Oro</w:t>
            </w:r>
            <w:r>
              <w:rPr>
                <w:rFonts w:ascii="Times New Roman" w:hAnsi="Times New Roman"/>
                <w:sz w:val="24"/>
              </w:rPr>
              <w:t xml:space="preserve"> (se oro fisico, che può essere trattato come un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unica controparte);</w:t>
            </w:r>
          </w:p>
          <w:p w14:paraId="6AE61C73" w14:textId="2462DBE6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LiqL</w:t>
            </w:r>
            <w:r>
              <w:rPr>
                <w:rFonts w:ascii="Times New Roman" w:hAnsi="Times New Roman"/>
                <w:sz w:val="24"/>
              </w:rPr>
              <w:t xml:space="preserve"> (linea di liquidità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irrevocabile</w:t>
            </w:r>
            <w:r>
              <w:rPr>
                <w:rFonts w:ascii="Times New Roman" w:hAnsi="Times New Roman"/>
                <w:sz w:val="24"/>
              </w:rPr>
              <w:t xml:space="preserve"> non utilizzata concessa all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ente);</w:t>
            </w:r>
          </w:p>
          <w:p w14:paraId="23B5C30F" w14:textId="2270CE92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OPT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altro tipo di prodotto</w:t>
            </w:r>
            <w:r>
              <w:rPr>
                <w:rFonts w:ascii="Times New Roman" w:hAnsi="Times New Roman"/>
                <w:sz w:val="24"/>
              </w:rPr>
              <w:t>)</w:t>
            </w:r>
            <w:bookmarkEnd w:id="1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05204" w:rsidRPr="0081623B" w14:paraId="4C932A7E" w14:textId="77777777" w:rsidTr="0017019A">
        <w:tc>
          <w:tcPr>
            <w:tcW w:w="103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060</w:t>
            </w:r>
          </w:p>
        </w:tc>
        <w:tc>
          <w:tcPr>
            <w:tcW w:w="726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Valuta</w:t>
            </w:r>
          </w:p>
          <w:p w14:paraId="1D458B95" w14:textId="22BB94F6" w:rsidR="00C05CCA" w:rsidRPr="0081623B" w:rsidRDefault="004C163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Agli emittenti o alle controparti registrati nella colonna 010 è assegnato un codice ISO della valuta nella colonna 060 corrispondente alla denominazione dell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>attività ricevuta o delle linee di liquidità irrevocabili non utilizzate concesse all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 xml:space="preserve">ente. È segnalato il codice unitario della valuta, formato da tre lettere, conformemente alla ISO 4217. </w:t>
            </w:r>
          </w:p>
          <w:p w14:paraId="74611C9A" w14:textId="29C5DE69" w:rsidR="00774708" w:rsidRPr="0081623B" w:rsidRDefault="00047ECB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 fa parte di una concentrazione della capacità di compensazione, la linea multivaluta è conteggiata nella valuta prevalente nel resto della concentrazione. Per quanto riguarda la segnalazione separata in valute rilevanti di cui all</w:t>
            </w:r>
            <w:r w:rsidR="0017019A">
              <w:rPr>
                <w:rFonts w:ascii="Times New Roman" w:hAnsi="Times New Roman"/>
                <w:sz w:val="24"/>
              </w:rPr>
              <w:t xml:space="preserve">'articolo </w:t>
            </w:r>
            <w:r>
              <w:rPr>
                <w:rFonts w:ascii="Times New Roman" w:hAnsi="Times New Roman"/>
                <w:sz w:val="24"/>
              </w:rPr>
              <w:t>415, paragrafo 2, del regolamento (UE) n. 575/2013, gli enti effettuano una valutazione della valuta in cui è probabile che si verifichi il flusso e segnalano la voce solo in detta valuta rilevante, in linea con le istruzioni per la segnalazione separata di valute rilevanti nel requisito di copertura della liquidità, a norma del regolamento (UE) 2016/322.</w:t>
            </w:r>
          </w:p>
        </w:tc>
      </w:tr>
      <w:tr w:rsidR="00E05204" w:rsidRPr="0081623B" w14:paraId="73A43F51" w14:textId="77777777" w:rsidTr="0017019A">
        <w:tc>
          <w:tcPr>
            <w:tcW w:w="103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070</w:t>
            </w:r>
          </w:p>
        </w:tc>
        <w:tc>
          <w:tcPr>
            <w:tcW w:w="726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Classe di merito di credito</w:t>
            </w:r>
          </w:p>
          <w:p w14:paraId="692CB839" w14:textId="08DBE878" w:rsidR="00E05204" w:rsidRPr="0081623B" w:rsidRDefault="00966F82" w:rsidP="003E55AB">
            <w:pPr>
              <w:spacing w:before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Deve essere assegnata la classe di merito di credito appropriata in conformità al regolamento (UE) n. 575/2013, che è la stessa delle voci segnalate nelle fasce di scadenza. In assenza di rating, è assegnata la classe </w:t>
            </w:r>
            <w:r w:rsidR="0017019A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priva di rating</w:t>
            </w:r>
            <w:r w:rsidR="0017019A">
              <w:rPr>
                <w:rFonts w:ascii="Times New Roman" w:hAnsi="Times New Roman"/>
                <w:sz w:val="24"/>
              </w:rPr>
              <w:t>"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E05204" w:rsidRPr="0081623B" w14:paraId="2461383F" w14:textId="77777777" w:rsidTr="0017019A">
        <w:tc>
          <w:tcPr>
            <w:tcW w:w="103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080</w:t>
            </w:r>
          </w:p>
        </w:tc>
        <w:tc>
          <w:tcPr>
            <w:tcW w:w="726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Valore di mercato/nominale</w:t>
            </w:r>
          </w:p>
          <w:p w14:paraId="78CE7B68" w14:textId="69B9539D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 valore di mercato o il fair value (valore equo) delle attività o, se del caso, il valore nominale della linea di liquidità non utilizzata concessa all</w:t>
            </w:r>
            <w:r w:rsidR="0017019A">
              <w:rPr>
                <w:rFonts w:ascii="Times New Roman" w:hAnsi="Times New Roman"/>
                <w:sz w:val="24"/>
              </w:rPr>
              <w:t>'</w:t>
            </w:r>
            <w:r>
              <w:rPr>
                <w:rFonts w:ascii="Times New Roman" w:hAnsi="Times New Roman"/>
                <w:sz w:val="24"/>
              </w:rPr>
              <w:t xml:space="preserve">ente. </w:t>
            </w:r>
          </w:p>
        </w:tc>
      </w:tr>
      <w:tr w:rsidR="00E05204" w:rsidRPr="0081623B" w14:paraId="74EA2D80" w14:textId="77777777" w:rsidTr="0017019A">
        <w:tc>
          <w:tcPr>
            <w:tcW w:w="103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26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Valore della garanzia reale stanziabile presso la banca centrale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 valore della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garanzia reale</w:t>
            </w:r>
            <w:r>
              <w:rPr>
                <w:rFonts w:ascii="Times New Roman" w:hAnsi="Times New Roman"/>
                <w:sz w:val="24"/>
              </w:rPr>
              <w:t xml:space="preserve"> secondo le norme della banca centrale relative a operazioni su iniziativa delle controparti per attività specifiche.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 le attività denominate in una valuta indicata nel regolamento (UE) 2015/233 tra le valute con una definizione estremamente restrittiva di stanziabilità presso una banca centrale, gli enti lasciano vuoto questo campo.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13745310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19A">
          <w:rPr>
            <w:noProof/>
          </w:rPr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125795A4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19A">
          <w:rPr>
            <w:noProof/>
          </w:rP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19A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it-I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it-IT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it-IT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it-I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it-I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it-I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it-I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it-IT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it-IT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it-IT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it-I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BD4CD-EB1A-42F9-BBAB-995908642A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330EB2-364D-4A4C-BF3E-BECA24A7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898</Words>
  <Characters>5182</Characters>
  <Application>Microsoft Office Word</Application>
  <DocSecurity>0</DocSecurity>
  <Lines>117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CECCANTI Irene (DGT-EXT)</cp:lastModifiedBy>
  <cp:revision>6</cp:revision>
  <cp:lastPrinted>2014-06-12T12:55:00Z</cp:lastPrinted>
  <dcterms:created xsi:type="dcterms:W3CDTF">2020-10-01T13:01:00Z</dcterms:created>
  <dcterms:modified xsi:type="dcterms:W3CDTF">2020-12-14T11:28:00Z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