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sz w:val="24"/>
          <w:szCs w:val="24"/>
          <w:rFonts w:ascii="Times New Roman" w:hAnsi="Times New Roman"/>
        </w:rPr>
      </w:pPr>
      <w:bookmarkStart w:id="0" w:name="_Toc322687879"/>
      <w:bookmarkStart w:id="1" w:name="_Toc315961853"/>
      <w:r>
        <w:rPr>
          <w:sz w:val="24"/>
          <w:szCs w:val="24"/>
          <w:rFonts w:ascii="Times New Roman" w:hAnsi="Times New Roman"/>
        </w:rPr>
        <w:t xml:space="preserve">ANNESS XIV</w:t>
      </w:r>
    </w:p>
    <w:p w:rsidR="008D22AD" w:rsidRPr="00AC35AF" w:rsidRDefault="008D22AD" w:rsidP="008D22AD">
      <w:pPr>
        <w:spacing w:before="120" w:after="120"/>
        <w:jc w:val="center"/>
        <w:rPr>
          <w:b/>
          <w:sz w:val="24"/>
          <w:szCs w:val="24"/>
          <w:rFonts w:ascii="Times New Roman" w:hAnsi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Mudell tal-Punt Uniku tad-</w:t>
      </w:r>
      <w:r>
        <w:rPr>
          <w:b/>
          <w:sz w:val="24"/>
          <w:szCs w:val="24"/>
          <w:i/>
          <w:iCs/>
          <w:rFonts w:ascii="Times New Roman" w:hAnsi="Times New Roman"/>
        </w:rPr>
        <w:t xml:space="preserve">Data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L-entrati tad-</w:t>
      </w:r>
      <w:r>
        <w:rPr>
          <w:sz w:val="24"/>
          <w:szCs w:val="24"/>
          <w:i/>
          <w:iCs/>
          <w:rFonts w:ascii="Times New Roman" w:hAnsi="Times New Roman"/>
        </w:rPr>
        <w:t xml:space="preserve">data</w:t>
      </w:r>
      <w:r>
        <w:rPr>
          <w:sz w:val="24"/>
          <w:szCs w:val="24"/>
          <w:rFonts w:ascii="Times New Roman" w:hAnsi="Times New Roman"/>
        </w:rPr>
        <w:t xml:space="preserve"> kollha stabbiliti fl-Annessi ta’ dan ir-Regolament għandhom jiġu trasformati f'mudell tal-punt uniku tad-</w:t>
      </w:r>
      <w:r>
        <w:rPr>
          <w:sz w:val="24"/>
          <w:szCs w:val="24"/>
          <w:i/>
          <w:iCs/>
          <w:rFonts w:ascii="Times New Roman" w:hAnsi="Times New Roman"/>
        </w:rPr>
        <w:t xml:space="preserve">data</w:t>
      </w:r>
      <w:r>
        <w:rPr>
          <w:sz w:val="24"/>
          <w:szCs w:val="24"/>
          <w:rFonts w:ascii="Times New Roman" w:hAnsi="Times New Roman"/>
        </w:rPr>
        <w:t xml:space="preserve"> li huwa l-bażi biex is-sistemi tal-IT tal-istituzzjonijiet u l-awtoritajiet kompetenti jkunu uniformi.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Il-mudell tal-punt unika tad-</w:t>
      </w:r>
      <w:r>
        <w:rPr>
          <w:sz w:val="24"/>
          <w:szCs w:val="24"/>
          <w:i/>
          <w:iCs/>
          <w:rFonts w:ascii="Times New Roman" w:hAnsi="Times New Roman"/>
        </w:rPr>
        <w:t xml:space="preserve">data</w:t>
      </w:r>
      <w:r>
        <w:rPr>
          <w:sz w:val="24"/>
          <w:szCs w:val="24"/>
          <w:rFonts w:ascii="Times New Roman" w:hAnsi="Times New Roman"/>
        </w:rPr>
        <w:t xml:space="preserve"> għandu jissodisfa l-kriterji li ġejjin: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(a)</w:t>
      </w:r>
      <w:r>
        <w:tab/>
      </w:r>
      <w:r>
        <w:rPr>
          <w:sz w:val="24"/>
          <w:szCs w:val="24"/>
          <w:rFonts w:ascii="Times New Roman" w:hAnsi="Times New Roman"/>
        </w:rPr>
        <w:t xml:space="preserve">jipprovdi rappreżentazzjoni strutturata tal-entrati kollha tad-</w:t>
      </w:r>
      <w:r>
        <w:rPr>
          <w:sz w:val="24"/>
          <w:szCs w:val="24"/>
          <w:i/>
          <w:iCs/>
          <w:rFonts w:ascii="Times New Roman" w:hAnsi="Times New Roman"/>
        </w:rPr>
        <w:t xml:space="preserve">data</w:t>
      </w:r>
      <w:r>
        <w:rPr>
          <w:sz w:val="24"/>
          <w:szCs w:val="24"/>
          <w:rFonts w:ascii="Times New Roman" w:hAnsi="Times New Roman"/>
        </w:rPr>
        <w:t xml:space="preserve"> stabbiliti fl-Annessi ta’ dan ir-Regolament;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(b)</w:t>
      </w:r>
      <w:r>
        <w:tab/>
      </w:r>
      <w:r>
        <w:rPr>
          <w:sz w:val="24"/>
          <w:szCs w:val="24"/>
          <w:rFonts w:ascii="Times New Roman" w:hAnsi="Times New Roman"/>
        </w:rPr>
        <w:t xml:space="preserve">jidentifika l-kunċetti tan-negozju kollha stabbiliti fl-Annessi ta’ dan ir-Regolament;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(c)</w:t>
      </w:r>
      <w:r>
        <w:tab/>
      </w:r>
      <w:r>
        <w:rPr>
          <w:sz w:val="24"/>
          <w:szCs w:val="24"/>
          <w:rFonts w:ascii="Times New Roman" w:hAnsi="Times New Roman"/>
        </w:rPr>
        <w:t xml:space="preserve">jipprovdi dizzjunarju tad-</w:t>
      </w:r>
      <w:r>
        <w:rPr>
          <w:sz w:val="24"/>
          <w:szCs w:val="24"/>
          <w:i/>
          <w:iCs/>
          <w:rFonts w:ascii="Times New Roman" w:hAnsi="Times New Roman"/>
        </w:rPr>
        <w:t xml:space="preserve">data</w:t>
      </w:r>
      <w:r>
        <w:rPr>
          <w:sz w:val="24"/>
          <w:szCs w:val="24"/>
          <w:rFonts w:ascii="Times New Roman" w:hAnsi="Times New Roman"/>
        </w:rPr>
        <w:t xml:space="preserve"> li jidentifika t-tikketti tat-tabelli, it-tikketti ordinati, it-tikketti tal-assi (axis), it-tikketti tad-dominji, it-tikketti tad-dimensjonijiet u t-tikketti tal-membri;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(d)</w:t>
      </w:r>
      <w:r>
        <w:tab/>
      </w:r>
      <w:r>
        <w:rPr>
          <w:sz w:val="24"/>
          <w:szCs w:val="24"/>
          <w:rFonts w:ascii="Times New Roman" w:hAnsi="Times New Roman"/>
        </w:rPr>
        <w:t xml:space="preserve">jipprovdi metrika li tiddefinixxi l-proprjetà jew l-ammont tal-punti tad-</w:t>
      </w:r>
      <w:r>
        <w:rPr>
          <w:sz w:val="24"/>
          <w:szCs w:val="24"/>
          <w:i/>
          <w:iCs/>
          <w:rFonts w:ascii="Times New Roman" w:hAnsi="Times New Roman"/>
        </w:rPr>
        <w:t xml:space="preserve">data</w:t>
      </w:r>
      <w:r>
        <w:rPr>
          <w:sz w:val="24"/>
          <w:szCs w:val="24"/>
          <w:rFonts w:ascii="Times New Roman" w:hAnsi="Times New Roman"/>
        </w:rPr>
        <w:t xml:space="preserve">;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(e)</w:t>
      </w:r>
      <w:r>
        <w:tab/>
      </w:r>
      <w:r>
        <w:rPr>
          <w:sz w:val="24"/>
          <w:szCs w:val="24"/>
          <w:rFonts w:ascii="Times New Roman" w:hAnsi="Times New Roman"/>
        </w:rPr>
        <w:t xml:space="preserve">jipprovdi definizzjonijiet tal-punti tad-</w:t>
      </w:r>
      <w:r>
        <w:rPr>
          <w:sz w:val="24"/>
          <w:szCs w:val="24"/>
          <w:i/>
          <w:iCs/>
          <w:rFonts w:ascii="Times New Roman" w:hAnsi="Times New Roman"/>
        </w:rPr>
        <w:t xml:space="preserve">data</w:t>
      </w:r>
      <w:r>
        <w:rPr>
          <w:sz w:val="24"/>
          <w:szCs w:val="24"/>
          <w:rFonts w:ascii="Times New Roman" w:hAnsi="Times New Roman"/>
        </w:rPr>
        <w:t xml:space="preserve"> li huma espressi bħala kompożizzjoni ta’ karatteristiċi li jidentifikaw b’mod univokali l-kunċett finanzjarju;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(f)</w:t>
      </w:r>
      <w:r>
        <w:tab/>
      </w:r>
      <w:r>
        <w:rPr>
          <w:sz w:val="24"/>
          <w:szCs w:val="24"/>
          <w:rFonts w:ascii="Times New Roman" w:hAnsi="Times New Roman"/>
        </w:rPr>
        <w:t xml:space="preserve">ikun fih l-ispeċifikazzjonijiet tekniċi rilevanti kollha li huma neċessarji għall-iżvilupp ta' soluzzjonijiet għar-rappurtar bl-IT li jipproduċu </w:t>
      </w:r>
      <w:r>
        <w:rPr>
          <w:sz w:val="24"/>
          <w:szCs w:val="24"/>
          <w:i/>
          <w:iCs/>
          <w:rFonts w:ascii="Times New Roman" w:hAnsi="Times New Roman"/>
        </w:rPr>
        <w:t xml:space="preserve">data</w:t>
      </w:r>
      <w:r>
        <w:rPr>
          <w:sz w:val="24"/>
          <w:szCs w:val="24"/>
          <w:rFonts w:ascii="Times New Roman" w:hAnsi="Times New Roman"/>
        </w:rPr>
        <w:t xml:space="preserve"> superviżorja uniformi.</w:t>
      </w:r>
      <w:r>
        <w:rPr>
          <w:sz w:val="24"/>
          <w:szCs w:val="24"/>
          <w:rFonts w:ascii="Times New Roman" w:hAnsi="Times New Roman"/>
        </w:rPr>
        <w:t xml:space="preserve">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0241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t-MT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mt-MT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mt-MT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mt-MT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mt-MT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mt-MT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mt-MT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mt-MT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mt-MT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mt-MT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2B6B-2C6F-4114-8BF0-9236E54B58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4CCC5A-43E1-4297-B75C-73A61DF1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818</Characters>
  <Application>Microsoft Office Word</Application>
  <DocSecurity>0</DocSecurity>
  <Lines>18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952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GRIKSAS Gintaras (FISMA)</cp:lastModifiedBy>
  <cp:revision>4</cp:revision>
  <cp:lastPrinted>2015-04-10T08:05:00Z</cp:lastPrinted>
  <dcterms:created xsi:type="dcterms:W3CDTF">2020-10-01T15:05:00Z</dcterms:created>
  <dcterms:modified xsi:type="dcterms:W3CDTF">2020-10-01T15:05:00Z</dcterms:modified>
</cp:coreProperties>
</file>