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LIITE XXVII</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RAPORTOINTIOHJEET G-SII-PUSKURIKANTOJEN TUNNISTAMISTA JA MÄÄRITTÄMISTÄ VARTEN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Sisällysluettelo</w:t>
      </w:r>
    </w:p>
    <w:p w14:paraId="73334DB7" w14:textId="676EAFBD" w:rsidR="00043C8F"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915407" w:history="1">
        <w:r w:rsidR="00043C8F" w:rsidRPr="00D10BAF">
          <w:rPr>
            <w:rStyle w:val="Hyperlink"/>
          </w:rPr>
          <w:t>I OSA: YLEISET OHJEET</w:t>
        </w:r>
        <w:r w:rsidR="00043C8F">
          <w:rPr>
            <w:webHidden/>
          </w:rPr>
          <w:tab/>
        </w:r>
        <w:r w:rsidR="00043C8F">
          <w:rPr>
            <w:webHidden/>
          </w:rPr>
          <w:fldChar w:fldCharType="begin"/>
        </w:r>
        <w:r w:rsidR="00043C8F">
          <w:rPr>
            <w:webHidden/>
          </w:rPr>
          <w:instrText xml:space="preserve"> PAGEREF _Toc58915407 \h </w:instrText>
        </w:r>
        <w:r w:rsidR="00043C8F">
          <w:rPr>
            <w:webHidden/>
          </w:rPr>
        </w:r>
        <w:r w:rsidR="00043C8F">
          <w:rPr>
            <w:webHidden/>
          </w:rPr>
          <w:fldChar w:fldCharType="separate"/>
        </w:r>
        <w:r w:rsidR="00043C8F">
          <w:rPr>
            <w:webHidden/>
          </w:rPr>
          <w:t>2</w:t>
        </w:r>
        <w:r w:rsidR="00043C8F">
          <w:rPr>
            <w:webHidden/>
          </w:rPr>
          <w:fldChar w:fldCharType="end"/>
        </w:r>
      </w:hyperlink>
    </w:p>
    <w:p w14:paraId="12395DD2" w14:textId="5C74EE48" w:rsidR="00043C8F" w:rsidRDefault="00043C8F">
      <w:pPr>
        <w:pStyle w:val="TOC2"/>
        <w:rPr>
          <w:rFonts w:asciiTheme="minorHAnsi" w:eastAsiaTheme="minorEastAsia" w:hAnsiTheme="minorHAnsi" w:cstheme="minorBidi"/>
          <w:b w:val="0"/>
          <w:smallCaps w:val="0"/>
          <w:sz w:val="22"/>
          <w:lang w:val="en-US"/>
        </w:rPr>
      </w:pPr>
      <w:hyperlink w:anchor="_Toc58915408" w:history="1">
        <w:r w:rsidRPr="00D10BAF">
          <w:rPr>
            <w:rStyle w:val="Hyperlink"/>
          </w:rPr>
          <w:t>1.</w:t>
        </w:r>
        <w:r>
          <w:rPr>
            <w:rFonts w:asciiTheme="minorHAnsi" w:eastAsiaTheme="minorEastAsia" w:hAnsiTheme="minorHAnsi" w:cstheme="minorBidi"/>
            <w:b w:val="0"/>
            <w:smallCaps w:val="0"/>
            <w:sz w:val="22"/>
            <w:lang w:val="en-US"/>
          </w:rPr>
          <w:tab/>
        </w:r>
        <w:r w:rsidRPr="00D10BAF">
          <w:rPr>
            <w:rStyle w:val="Hyperlink"/>
          </w:rPr>
          <w:t>Rakenne ja käytännöt</w:t>
        </w:r>
        <w:r>
          <w:rPr>
            <w:webHidden/>
          </w:rPr>
          <w:tab/>
        </w:r>
        <w:r>
          <w:rPr>
            <w:webHidden/>
          </w:rPr>
          <w:fldChar w:fldCharType="begin"/>
        </w:r>
        <w:r>
          <w:rPr>
            <w:webHidden/>
          </w:rPr>
          <w:instrText xml:space="preserve"> PAGEREF _Toc58915408 \h </w:instrText>
        </w:r>
        <w:r>
          <w:rPr>
            <w:webHidden/>
          </w:rPr>
        </w:r>
        <w:r>
          <w:rPr>
            <w:webHidden/>
          </w:rPr>
          <w:fldChar w:fldCharType="separate"/>
        </w:r>
        <w:r>
          <w:rPr>
            <w:webHidden/>
          </w:rPr>
          <w:t>2</w:t>
        </w:r>
        <w:r>
          <w:rPr>
            <w:webHidden/>
          </w:rPr>
          <w:fldChar w:fldCharType="end"/>
        </w:r>
      </w:hyperlink>
    </w:p>
    <w:p w14:paraId="3DD0E9FA" w14:textId="4DE0E942" w:rsidR="00043C8F" w:rsidRDefault="00043C8F">
      <w:pPr>
        <w:pStyle w:val="TOC2"/>
        <w:rPr>
          <w:rFonts w:asciiTheme="minorHAnsi" w:eastAsiaTheme="minorEastAsia" w:hAnsiTheme="minorHAnsi" w:cstheme="minorBidi"/>
          <w:b w:val="0"/>
          <w:smallCaps w:val="0"/>
          <w:sz w:val="22"/>
          <w:lang w:val="en-US"/>
        </w:rPr>
      </w:pPr>
      <w:hyperlink w:anchor="_Toc58915409" w:history="1">
        <w:r>
          <w:rPr>
            <w:rStyle w:val="Hyperlink"/>
          </w:rPr>
          <w:t>1</w:t>
        </w:r>
        <w:r w:rsidRPr="00D10BAF">
          <w:rPr>
            <w:rStyle w:val="Hyperlink"/>
          </w:rPr>
          <w:t>.1</w:t>
        </w:r>
        <w:r>
          <w:rPr>
            <w:rFonts w:asciiTheme="minorHAnsi" w:eastAsiaTheme="minorEastAsia" w:hAnsiTheme="minorHAnsi" w:cstheme="minorBidi"/>
            <w:b w:val="0"/>
            <w:smallCaps w:val="0"/>
            <w:sz w:val="22"/>
            <w:lang w:val="en-US"/>
          </w:rPr>
          <w:tab/>
        </w:r>
        <w:r w:rsidRPr="00D10BAF">
          <w:rPr>
            <w:rStyle w:val="Hyperlink"/>
          </w:rPr>
          <w:t>Rakenne</w:t>
        </w:r>
        <w:r>
          <w:rPr>
            <w:webHidden/>
          </w:rPr>
          <w:tab/>
        </w:r>
        <w:r>
          <w:rPr>
            <w:webHidden/>
          </w:rPr>
          <w:fldChar w:fldCharType="begin"/>
        </w:r>
        <w:r>
          <w:rPr>
            <w:webHidden/>
          </w:rPr>
          <w:instrText xml:space="preserve"> PAGEREF _Toc58915409 \h </w:instrText>
        </w:r>
        <w:r>
          <w:rPr>
            <w:webHidden/>
          </w:rPr>
        </w:r>
        <w:r>
          <w:rPr>
            <w:webHidden/>
          </w:rPr>
          <w:fldChar w:fldCharType="separate"/>
        </w:r>
        <w:r>
          <w:rPr>
            <w:webHidden/>
          </w:rPr>
          <w:t>2</w:t>
        </w:r>
        <w:r>
          <w:rPr>
            <w:webHidden/>
          </w:rPr>
          <w:fldChar w:fldCharType="end"/>
        </w:r>
      </w:hyperlink>
    </w:p>
    <w:p w14:paraId="12ACE780" w14:textId="094615D5" w:rsidR="00043C8F" w:rsidRDefault="00043C8F">
      <w:pPr>
        <w:pStyle w:val="TOC2"/>
        <w:rPr>
          <w:rFonts w:asciiTheme="minorHAnsi" w:eastAsiaTheme="minorEastAsia" w:hAnsiTheme="minorHAnsi" w:cstheme="minorBidi"/>
          <w:b w:val="0"/>
          <w:smallCaps w:val="0"/>
          <w:sz w:val="22"/>
          <w:lang w:val="en-US"/>
        </w:rPr>
      </w:pPr>
      <w:hyperlink w:anchor="_Toc58915410" w:history="1">
        <w:r>
          <w:rPr>
            <w:rStyle w:val="Hyperlink"/>
          </w:rPr>
          <w:t>1</w:t>
        </w:r>
        <w:r w:rsidRPr="00D10BAF">
          <w:rPr>
            <w:rStyle w:val="Hyperlink"/>
          </w:rPr>
          <w:t>.</w:t>
        </w:r>
        <w:r>
          <w:rPr>
            <w:rStyle w:val="Hyperlink"/>
          </w:rPr>
          <w:t>2</w:t>
        </w:r>
        <w:r>
          <w:rPr>
            <w:rFonts w:asciiTheme="minorHAnsi" w:eastAsiaTheme="minorEastAsia" w:hAnsiTheme="minorHAnsi" w:cstheme="minorBidi"/>
            <w:b w:val="0"/>
            <w:smallCaps w:val="0"/>
            <w:sz w:val="22"/>
            <w:lang w:val="en-US"/>
          </w:rPr>
          <w:tab/>
        </w:r>
        <w:r w:rsidRPr="00D10BAF">
          <w:rPr>
            <w:rStyle w:val="Hyperlink"/>
          </w:rPr>
          <w:t>Numerointikäytäntö</w:t>
        </w:r>
        <w:r>
          <w:rPr>
            <w:webHidden/>
          </w:rPr>
          <w:tab/>
        </w:r>
        <w:r>
          <w:rPr>
            <w:webHidden/>
          </w:rPr>
          <w:fldChar w:fldCharType="begin"/>
        </w:r>
        <w:r>
          <w:rPr>
            <w:webHidden/>
          </w:rPr>
          <w:instrText xml:space="preserve"> PAGEREF _Toc58915410 \h </w:instrText>
        </w:r>
        <w:r>
          <w:rPr>
            <w:webHidden/>
          </w:rPr>
        </w:r>
        <w:r>
          <w:rPr>
            <w:webHidden/>
          </w:rPr>
          <w:fldChar w:fldCharType="separate"/>
        </w:r>
        <w:r>
          <w:rPr>
            <w:webHidden/>
          </w:rPr>
          <w:t>2</w:t>
        </w:r>
        <w:r>
          <w:rPr>
            <w:webHidden/>
          </w:rPr>
          <w:fldChar w:fldCharType="end"/>
        </w:r>
      </w:hyperlink>
    </w:p>
    <w:p w14:paraId="0E39DE83" w14:textId="73148C82" w:rsidR="00043C8F" w:rsidRDefault="00043C8F">
      <w:pPr>
        <w:pStyle w:val="TOC2"/>
        <w:rPr>
          <w:rFonts w:asciiTheme="minorHAnsi" w:eastAsiaTheme="minorEastAsia" w:hAnsiTheme="minorHAnsi" w:cstheme="minorBidi"/>
          <w:b w:val="0"/>
          <w:smallCaps w:val="0"/>
          <w:sz w:val="22"/>
          <w:lang w:val="en-US"/>
        </w:rPr>
      </w:pPr>
      <w:hyperlink w:anchor="_Toc58915411" w:history="1">
        <w:r>
          <w:rPr>
            <w:rStyle w:val="Hyperlink"/>
          </w:rPr>
          <w:t>1.3</w:t>
        </w:r>
        <w:r>
          <w:rPr>
            <w:rFonts w:asciiTheme="minorHAnsi" w:eastAsiaTheme="minorEastAsia" w:hAnsiTheme="minorHAnsi" w:cstheme="minorBidi"/>
            <w:b w:val="0"/>
            <w:smallCaps w:val="0"/>
            <w:sz w:val="22"/>
            <w:lang w:val="en-US"/>
          </w:rPr>
          <w:tab/>
        </w:r>
        <w:r w:rsidRPr="00D10BAF">
          <w:rPr>
            <w:rStyle w:val="Hyperlink"/>
          </w:rPr>
          <w:t>Merkkikäytäntö</w:t>
        </w:r>
        <w:r>
          <w:rPr>
            <w:webHidden/>
          </w:rPr>
          <w:tab/>
        </w:r>
        <w:r>
          <w:rPr>
            <w:webHidden/>
          </w:rPr>
          <w:fldChar w:fldCharType="begin"/>
        </w:r>
        <w:r>
          <w:rPr>
            <w:webHidden/>
          </w:rPr>
          <w:instrText xml:space="preserve"> PAGEREF _Toc58915411 \h </w:instrText>
        </w:r>
        <w:r>
          <w:rPr>
            <w:webHidden/>
          </w:rPr>
        </w:r>
        <w:r>
          <w:rPr>
            <w:webHidden/>
          </w:rPr>
          <w:fldChar w:fldCharType="separate"/>
        </w:r>
        <w:r>
          <w:rPr>
            <w:webHidden/>
          </w:rPr>
          <w:t>2</w:t>
        </w:r>
        <w:r>
          <w:rPr>
            <w:webHidden/>
          </w:rPr>
          <w:fldChar w:fldCharType="end"/>
        </w:r>
      </w:hyperlink>
    </w:p>
    <w:p w14:paraId="5D1A063A" w14:textId="45E42CB1" w:rsidR="00043C8F" w:rsidRDefault="00043C8F">
      <w:pPr>
        <w:pStyle w:val="TOC2"/>
        <w:rPr>
          <w:rFonts w:asciiTheme="minorHAnsi" w:eastAsiaTheme="minorEastAsia" w:hAnsiTheme="minorHAnsi" w:cstheme="minorBidi"/>
          <w:b w:val="0"/>
          <w:smallCaps w:val="0"/>
          <w:sz w:val="22"/>
          <w:lang w:val="en-US"/>
        </w:rPr>
      </w:pPr>
      <w:hyperlink w:anchor="_Toc58915412" w:history="1">
        <w:r>
          <w:rPr>
            <w:rStyle w:val="Hyperlink"/>
          </w:rPr>
          <w:t>1.4</w:t>
        </w:r>
        <w:r>
          <w:rPr>
            <w:rFonts w:asciiTheme="minorHAnsi" w:eastAsiaTheme="minorEastAsia" w:hAnsiTheme="minorHAnsi" w:cstheme="minorBidi"/>
            <w:b w:val="0"/>
            <w:smallCaps w:val="0"/>
            <w:sz w:val="22"/>
            <w:lang w:val="en-US"/>
          </w:rPr>
          <w:tab/>
        </w:r>
        <w:r w:rsidRPr="00D10BAF">
          <w:rPr>
            <w:rStyle w:val="Hyperlink"/>
          </w:rPr>
          <w:t>Lyhenteet</w:t>
        </w:r>
        <w:r>
          <w:rPr>
            <w:webHidden/>
          </w:rPr>
          <w:tab/>
        </w:r>
        <w:r>
          <w:rPr>
            <w:webHidden/>
          </w:rPr>
          <w:fldChar w:fldCharType="begin"/>
        </w:r>
        <w:r>
          <w:rPr>
            <w:webHidden/>
          </w:rPr>
          <w:instrText xml:space="preserve"> PAGEREF _Toc58915412 \h </w:instrText>
        </w:r>
        <w:r>
          <w:rPr>
            <w:webHidden/>
          </w:rPr>
        </w:r>
        <w:r>
          <w:rPr>
            <w:webHidden/>
          </w:rPr>
          <w:fldChar w:fldCharType="separate"/>
        </w:r>
        <w:r>
          <w:rPr>
            <w:webHidden/>
          </w:rPr>
          <w:t>2</w:t>
        </w:r>
        <w:r>
          <w:rPr>
            <w:webHidden/>
          </w:rPr>
          <w:fldChar w:fldCharType="end"/>
        </w:r>
      </w:hyperlink>
    </w:p>
    <w:p w14:paraId="4A6DD994" w14:textId="7ECF22C8" w:rsidR="00043C8F" w:rsidRDefault="00043C8F">
      <w:pPr>
        <w:pStyle w:val="TOC2"/>
        <w:rPr>
          <w:rFonts w:asciiTheme="minorHAnsi" w:eastAsiaTheme="minorEastAsia" w:hAnsiTheme="minorHAnsi" w:cstheme="minorBidi"/>
          <w:b w:val="0"/>
          <w:smallCaps w:val="0"/>
          <w:sz w:val="22"/>
          <w:lang w:val="en-US"/>
        </w:rPr>
      </w:pPr>
      <w:hyperlink w:anchor="_Toc58915413" w:history="1">
        <w:r w:rsidRPr="00D10BAF">
          <w:rPr>
            <w:rStyle w:val="Hyperlink"/>
          </w:rPr>
          <w:t>OSA II: LOMAKKEISIIN LIITTYVÄT OHJEET</w:t>
        </w:r>
        <w:r>
          <w:rPr>
            <w:webHidden/>
          </w:rPr>
          <w:tab/>
        </w:r>
        <w:r>
          <w:rPr>
            <w:webHidden/>
          </w:rPr>
          <w:fldChar w:fldCharType="begin"/>
        </w:r>
        <w:r>
          <w:rPr>
            <w:webHidden/>
          </w:rPr>
          <w:instrText xml:space="preserve"> PAGEREF _Toc58915413 \h </w:instrText>
        </w:r>
        <w:r>
          <w:rPr>
            <w:webHidden/>
          </w:rPr>
        </w:r>
        <w:r>
          <w:rPr>
            <w:webHidden/>
          </w:rPr>
          <w:fldChar w:fldCharType="separate"/>
        </w:r>
        <w:r>
          <w:rPr>
            <w:webHidden/>
          </w:rPr>
          <w:t>3</w:t>
        </w:r>
        <w:r>
          <w:rPr>
            <w:webHidden/>
          </w:rPr>
          <w:fldChar w:fldCharType="end"/>
        </w:r>
      </w:hyperlink>
    </w:p>
    <w:p w14:paraId="7340DBED" w14:textId="067E9BBD" w:rsidR="00043C8F" w:rsidRDefault="00043C8F">
      <w:pPr>
        <w:pStyle w:val="TOC2"/>
        <w:rPr>
          <w:rFonts w:asciiTheme="minorHAnsi" w:eastAsiaTheme="minorEastAsia" w:hAnsiTheme="minorHAnsi" w:cstheme="minorBidi"/>
          <w:b w:val="0"/>
          <w:smallCaps w:val="0"/>
          <w:sz w:val="22"/>
          <w:lang w:val="en-US"/>
        </w:rPr>
      </w:pPr>
      <w:hyperlink w:anchor="_Toc58915414" w:history="1">
        <w:r w:rsidRPr="00D10BAF">
          <w:rPr>
            <w:rStyle w:val="Hyperlink"/>
          </w:rPr>
          <w:t>1</w:t>
        </w:r>
        <w:r>
          <w:rPr>
            <w:rStyle w:val="Hyperlink"/>
          </w:rPr>
          <w:t>.</w:t>
        </w:r>
        <w:r>
          <w:rPr>
            <w:rFonts w:asciiTheme="minorHAnsi" w:eastAsiaTheme="minorEastAsia" w:hAnsiTheme="minorHAnsi" w:cstheme="minorBidi"/>
            <w:b w:val="0"/>
            <w:smallCaps w:val="0"/>
            <w:sz w:val="22"/>
            <w:lang w:val="en-US"/>
          </w:rPr>
          <w:tab/>
        </w:r>
        <w:r w:rsidRPr="00D10BAF">
          <w:rPr>
            <w:rStyle w:val="Hyperlink"/>
          </w:rPr>
          <w:t>Yleiset huomautukset</w:t>
        </w:r>
        <w:r>
          <w:rPr>
            <w:webHidden/>
          </w:rPr>
          <w:tab/>
        </w:r>
        <w:r>
          <w:rPr>
            <w:webHidden/>
          </w:rPr>
          <w:fldChar w:fldCharType="begin"/>
        </w:r>
        <w:r>
          <w:rPr>
            <w:webHidden/>
          </w:rPr>
          <w:instrText xml:space="preserve"> PAGEREF _Toc58915414 \h </w:instrText>
        </w:r>
        <w:r>
          <w:rPr>
            <w:webHidden/>
          </w:rPr>
        </w:r>
        <w:r>
          <w:rPr>
            <w:webHidden/>
          </w:rPr>
          <w:fldChar w:fldCharType="separate"/>
        </w:r>
        <w:r>
          <w:rPr>
            <w:webHidden/>
          </w:rPr>
          <w:t>3</w:t>
        </w:r>
        <w:r>
          <w:rPr>
            <w:webHidden/>
          </w:rPr>
          <w:fldChar w:fldCharType="end"/>
        </w:r>
      </w:hyperlink>
    </w:p>
    <w:p w14:paraId="1A421926" w14:textId="381DA3D8" w:rsidR="00043C8F" w:rsidRDefault="00043C8F">
      <w:pPr>
        <w:pStyle w:val="TOC2"/>
        <w:rPr>
          <w:rFonts w:asciiTheme="minorHAnsi" w:eastAsiaTheme="minorEastAsia" w:hAnsiTheme="minorHAnsi" w:cstheme="minorBidi"/>
          <w:b w:val="0"/>
          <w:smallCaps w:val="0"/>
          <w:sz w:val="22"/>
          <w:lang w:val="en-US"/>
        </w:rPr>
      </w:pPr>
      <w:hyperlink w:anchor="_Toc58915415" w:history="1">
        <w:r>
          <w:rPr>
            <w:rStyle w:val="Hyperlink"/>
          </w:rPr>
          <w:t>2.</w:t>
        </w:r>
        <w:r>
          <w:rPr>
            <w:rFonts w:asciiTheme="minorHAnsi" w:eastAsiaTheme="minorEastAsia" w:hAnsiTheme="minorHAnsi" w:cstheme="minorBidi"/>
            <w:b w:val="0"/>
            <w:smallCaps w:val="0"/>
            <w:sz w:val="22"/>
            <w:lang w:val="en-US"/>
          </w:rPr>
          <w:tab/>
        </w:r>
        <w:bookmarkStart w:id="2" w:name="_GoBack"/>
        <w:bookmarkEnd w:id="2"/>
        <w:r w:rsidRPr="00D10BAF">
          <w:rPr>
            <w:rStyle w:val="Hyperlink"/>
          </w:rPr>
          <w:t>Tiettyjä positioita koskevat ohjeet</w:t>
        </w:r>
        <w:r>
          <w:rPr>
            <w:webHidden/>
          </w:rPr>
          <w:tab/>
        </w:r>
        <w:r>
          <w:rPr>
            <w:webHidden/>
          </w:rPr>
          <w:fldChar w:fldCharType="begin"/>
        </w:r>
        <w:r>
          <w:rPr>
            <w:webHidden/>
          </w:rPr>
          <w:instrText xml:space="preserve"> PAGEREF _Toc58915415 \h </w:instrText>
        </w:r>
        <w:r>
          <w:rPr>
            <w:webHidden/>
          </w:rPr>
        </w:r>
        <w:r>
          <w:rPr>
            <w:webHidden/>
          </w:rPr>
          <w:fldChar w:fldCharType="separate"/>
        </w:r>
        <w:r>
          <w:rPr>
            <w:webHidden/>
          </w:rPr>
          <w:t>3</w:t>
        </w:r>
        <w:r>
          <w:rPr>
            <w:webHidden/>
          </w:rPr>
          <w:fldChar w:fldCharType="end"/>
        </w:r>
      </w:hyperlink>
    </w:p>
    <w:p w14:paraId="7AC7042C" w14:textId="673EE710"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EC067D" w:rsidRDefault="002648B0" w:rsidP="00EC067D">
      <w:pPr>
        <w:pStyle w:val="Heading2"/>
      </w:pPr>
      <w:bookmarkStart w:id="3" w:name="_Toc264038394"/>
      <w:bookmarkStart w:id="4" w:name="_Toc360188317"/>
      <w:bookmarkStart w:id="5" w:name="_Toc473560865"/>
      <w:bookmarkStart w:id="6" w:name="_Toc58915407"/>
      <w:r>
        <w:lastRenderedPageBreak/>
        <w:t>I OSA:</w:t>
      </w:r>
      <w:bookmarkEnd w:id="3"/>
      <w:r>
        <w:t xml:space="preserve"> YLEISET OHJEET</w:t>
      </w:r>
      <w:bookmarkEnd w:id="4"/>
      <w:bookmarkEnd w:id="5"/>
      <w:bookmarkEnd w:id="6"/>
    </w:p>
    <w:p w14:paraId="134C985E" w14:textId="77777777" w:rsidR="002648B0" w:rsidRPr="00EC067D" w:rsidRDefault="00125707" w:rsidP="00EC067D">
      <w:pPr>
        <w:pStyle w:val="Instructionsberschrift2"/>
        <w:rPr>
          <w:rFonts w:cs="Times New Roman"/>
          <w:sz w:val="24"/>
        </w:rPr>
      </w:pPr>
      <w:bookmarkStart w:id="7" w:name="_Toc360188318"/>
      <w:bookmarkStart w:id="8" w:name="_Toc473560866"/>
      <w:bookmarkStart w:id="9" w:name="_Toc58915408"/>
      <w:r>
        <w:rPr>
          <w:sz w:val="24"/>
        </w:rPr>
        <w:t>1.</w:t>
      </w:r>
      <w:r>
        <w:tab/>
      </w:r>
      <w:r>
        <w:rPr>
          <w:sz w:val="24"/>
        </w:rPr>
        <w:t>Rakenne ja käytännöt</w:t>
      </w:r>
      <w:bookmarkEnd w:id="7"/>
      <w:bookmarkEnd w:id="8"/>
      <w:bookmarkEnd w:id="9"/>
    </w:p>
    <w:p w14:paraId="7C7E012C" w14:textId="77777777" w:rsidR="002648B0" w:rsidRPr="00EC067D" w:rsidRDefault="00125707" w:rsidP="00EC067D">
      <w:pPr>
        <w:pStyle w:val="Instructionsberschrift2"/>
        <w:rPr>
          <w:rFonts w:cs="Times New Roman"/>
          <w:sz w:val="24"/>
        </w:rPr>
      </w:pPr>
      <w:bookmarkStart w:id="10" w:name="_Toc360188319"/>
      <w:bookmarkStart w:id="11" w:name="_Toc473560867"/>
      <w:bookmarkStart w:id="12" w:name="_Toc264038399"/>
      <w:bookmarkStart w:id="13" w:name="_Toc294018834"/>
      <w:bookmarkStart w:id="14" w:name="_Toc58915409"/>
      <w:r>
        <w:rPr>
          <w:sz w:val="24"/>
        </w:rPr>
        <w:t>1.1.</w:t>
      </w:r>
      <w:r>
        <w:tab/>
      </w:r>
      <w:r>
        <w:rPr>
          <w:sz w:val="24"/>
        </w:rPr>
        <w:t>Rakenne</w:t>
      </w:r>
      <w:bookmarkEnd w:id="10"/>
      <w:bookmarkEnd w:id="11"/>
      <w:bookmarkEnd w:id="14"/>
    </w:p>
    <w:p w14:paraId="6C67B776" w14:textId="5BE94C55" w:rsidR="005643EA" w:rsidRPr="00EC067D" w:rsidRDefault="00125707" w:rsidP="00004542">
      <w:pPr>
        <w:pStyle w:val="InstructionsText2"/>
        <w:numPr>
          <w:ilvl w:val="0"/>
          <w:numId w:val="0"/>
        </w:numPr>
        <w:ind w:left="993"/>
      </w:pPr>
      <w:r>
        <w:t>1.</w:t>
      </w:r>
      <w:r>
        <w:tab/>
        <w:t>Tämä kehys koostuu yhdestä lomakkeesta, joka sisältää tiedot maailmanlaajuisen järjestelmällisen merkittävyyden indikaattoreista ja eristä, joita tarvitaan sovellettaessa EU:n menetelmiä maailmanlaajuisten järjestelmän kannalta merkittävien laitosten (G-SII-laitokset) yksilöimiseksi ja vastaavien G-SII-puskurikantojen määrittämiseksi.</w:t>
      </w:r>
    </w:p>
    <w:p w14:paraId="61F62C51" w14:textId="77777777" w:rsidR="002648B0" w:rsidRPr="00EC067D" w:rsidRDefault="00125707" w:rsidP="00EC067D">
      <w:pPr>
        <w:pStyle w:val="Instructionsberschrift2"/>
        <w:rPr>
          <w:rFonts w:cs="Times New Roman"/>
          <w:sz w:val="24"/>
        </w:rPr>
      </w:pPr>
      <w:bookmarkStart w:id="15" w:name="_Toc360188320"/>
      <w:bookmarkStart w:id="16" w:name="_Toc473560868"/>
      <w:bookmarkStart w:id="17" w:name="_Toc58915410"/>
      <w:r>
        <w:rPr>
          <w:sz w:val="24"/>
        </w:rPr>
        <w:t>1.2.</w:t>
      </w:r>
      <w:r>
        <w:tab/>
      </w:r>
      <w:r>
        <w:rPr>
          <w:sz w:val="24"/>
        </w:rPr>
        <w:t>Numerointikäytäntö</w:t>
      </w:r>
      <w:bookmarkEnd w:id="15"/>
      <w:bookmarkEnd w:id="16"/>
      <w:bookmarkEnd w:id="17"/>
    </w:p>
    <w:p w14:paraId="3C0F0268" w14:textId="5212C39C" w:rsidR="002648B0" w:rsidRPr="00EC067D" w:rsidRDefault="006137FD" w:rsidP="00004542">
      <w:pPr>
        <w:pStyle w:val="InstructionsText2"/>
        <w:numPr>
          <w:ilvl w:val="0"/>
          <w:numId w:val="0"/>
        </w:numPr>
        <w:ind w:left="993"/>
      </w:pPr>
      <w:r>
        <w:t>2.</w:t>
      </w:r>
      <w:r>
        <w:tab/>
        <w:t>Tässä asiakirjassa noudatetaan 3–5 kohdassa esitettyä merkintäkäytäntöä, kun viitataan lomakkeiden sarakkeisiin, riveihin ja soluihin. Kyseisiä numerokoodeja käytetään laajasti validointisäännöissä.</w:t>
      </w:r>
    </w:p>
    <w:p w14:paraId="26DC2799" w14:textId="2C43513E" w:rsidR="005643EA" w:rsidRPr="00EC067D" w:rsidRDefault="006137FD" w:rsidP="00004542">
      <w:pPr>
        <w:pStyle w:val="InstructionsText2"/>
        <w:numPr>
          <w:ilvl w:val="0"/>
          <w:numId w:val="0"/>
        </w:numPr>
        <w:ind w:left="993"/>
      </w:pPr>
      <w:r>
        <w:t>3.</w:t>
      </w:r>
      <w:r>
        <w:tab/>
        <w:t>Ohjeissa noudatetaan seuraavaa yleistä merkintätapaa: {lomake; rivi; sarake}.</w:t>
      </w:r>
    </w:p>
    <w:p w14:paraId="6A9F72AA" w14:textId="1B191E59" w:rsidR="005643EA" w:rsidRPr="00EC067D" w:rsidRDefault="006137FD" w:rsidP="00004542">
      <w:pPr>
        <w:pStyle w:val="InstructionsText2"/>
        <w:numPr>
          <w:ilvl w:val="0"/>
          <w:numId w:val="0"/>
        </w:numPr>
        <w:ind w:left="993"/>
      </w:pPr>
      <w:r>
        <w:t>4.</w:t>
      </w:r>
      <w:r>
        <w:tab/>
        <w:t>Jos kyseessä ovat lomakkeen sisäiset viittaukset, joissa käytetään vain kyseisen lomakkeen tietopisteitä, merkinnöissä ei mainita lomaketta: {rivi; sarake}. Lomakkeissa, joissa on ainoastaan yksi sarake, viitataan vain riveihin {lomake; rivi}.</w:t>
      </w:r>
    </w:p>
    <w:p w14:paraId="01FECE3C" w14:textId="482B71E1" w:rsidR="002648B0" w:rsidRPr="00EC067D" w:rsidRDefault="006137FD" w:rsidP="00004542">
      <w:pPr>
        <w:pStyle w:val="InstructionsText2"/>
        <w:numPr>
          <w:ilvl w:val="0"/>
          <w:numId w:val="0"/>
        </w:numPr>
        <w:ind w:left="993"/>
      </w:pPr>
      <w:r>
        <w:t>5.</w:t>
      </w:r>
      <w:r>
        <w:tab/>
        <w:t>Asteriskia (*) käytetään ilmaisemaan, että viittaus kohdistuu edellä määriteltyihin riveihin tai sarakkeisiin.</w:t>
      </w:r>
    </w:p>
    <w:p w14:paraId="273A8B8C" w14:textId="6B3DAE3F" w:rsidR="002648B0" w:rsidRPr="00EC067D" w:rsidRDefault="00125707" w:rsidP="00EC067D">
      <w:pPr>
        <w:pStyle w:val="Instructionsberschrift2"/>
        <w:rPr>
          <w:rFonts w:cs="Times New Roman"/>
          <w:sz w:val="24"/>
        </w:rPr>
      </w:pPr>
      <w:bookmarkStart w:id="18" w:name="_Toc360188321"/>
      <w:bookmarkStart w:id="19" w:name="_Toc473560869"/>
      <w:bookmarkStart w:id="20" w:name="_Toc58915411"/>
      <w:r>
        <w:rPr>
          <w:sz w:val="24"/>
        </w:rPr>
        <w:t>1.3.</w:t>
      </w:r>
      <w:r>
        <w:tab/>
      </w:r>
      <w:r>
        <w:rPr>
          <w:sz w:val="24"/>
        </w:rPr>
        <w:t>Merkkikäytäntö</w:t>
      </w:r>
      <w:bookmarkEnd w:id="12"/>
      <w:bookmarkEnd w:id="13"/>
      <w:bookmarkEnd w:id="18"/>
      <w:bookmarkEnd w:id="19"/>
      <w:bookmarkEnd w:id="20"/>
    </w:p>
    <w:p w14:paraId="0C0832BC" w14:textId="4A4E8717" w:rsidR="002648B0" w:rsidRPr="00EC067D" w:rsidRDefault="006137FD" w:rsidP="00004542">
      <w:pPr>
        <w:pStyle w:val="InstructionsText2"/>
        <w:numPr>
          <w:ilvl w:val="0"/>
          <w:numId w:val="0"/>
        </w:numPr>
        <w:ind w:left="993"/>
      </w:pPr>
      <w:r>
        <w:t>6.</w:t>
      </w:r>
      <w:r>
        <w:tab/>
        <w:t>Määrät, jotka lisäävät indikaattorin, varojen, velkojen tai vastuiden arvoa, ilmoitetaan positiivisina lukuina. Määrät, jotka vähentävät indikaattorin, varojen, velkojen tai vastuiden arvoa, ilmoitetaan negatiivisena lukuna. Jos jonkin erän otsaketta edeltää miinusmerkki (–), on tämä osoitus siitä, että erässä ei ole tarkoitus ilmoittaa positiivista lukua.</w:t>
      </w:r>
    </w:p>
    <w:p w14:paraId="318F1B9B" w14:textId="19EFDD0F" w:rsidR="00304CA5" w:rsidRPr="00EC067D" w:rsidRDefault="00304CA5" w:rsidP="00EC067D">
      <w:pPr>
        <w:pStyle w:val="Instructionsberschrift2"/>
        <w:rPr>
          <w:rFonts w:cs="Times New Roman"/>
          <w:sz w:val="24"/>
        </w:rPr>
      </w:pPr>
      <w:bookmarkStart w:id="21" w:name="_Toc58915412"/>
      <w:r>
        <w:rPr>
          <w:sz w:val="24"/>
        </w:rPr>
        <w:t>1.4.</w:t>
      </w:r>
      <w:r>
        <w:tab/>
      </w:r>
      <w:r>
        <w:rPr>
          <w:sz w:val="24"/>
        </w:rPr>
        <w:t>Lyhenteet</w:t>
      </w:r>
      <w:bookmarkEnd w:id="21"/>
    </w:p>
    <w:p w14:paraId="5A22E3D2" w14:textId="07D28013" w:rsidR="00304CA5" w:rsidRPr="00EC067D" w:rsidRDefault="006137FD" w:rsidP="00004542">
      <w:pPr>
        <w:pStyle w:val="InstructionsText2"/>
        <w:numPr>
          <w:ilvl w:val="0"/>
          <w:numId w:val="0"/>
        </w:numPr>
        <w:ind w:left="993"/>
      </w:pPr>
      <w:r>
        <w:t>7. Tässä liitteessä Euroopan parlamentin ja neuvoston asetusta (EU) N:o 575/2013</w:t>
      </w:r>
      <w:r>
        <w:rPr>
          <w:rStyle w:val="FootnoteReference"/>
          <w:rFonts w:ascii="Times New Roman" w:hAnsi="Times New Roman"/>
          <w:sz w:val="24"/>
          <w:szCs w:val="24"/>
          <w:vertAlign w:val="superscript"/>
        </w:rPr>
        <w:footnoteReference w:id="2"/>
      </w:r>
      <w:r>
        <w:t xml:space="preserve"> kutsutaan ’vakavaraisuusasetukseksi’ ja Euroopan parlamentin ja neuvoston direktiiviä 2013/36/EU</w:t>
      </w:r>
      <w:r>
        <w:rPr>
          <w:rStyle w:val="FootnoteReference"/>
          <w:rFonts w:ascii="Times New Roman" w:hAnsi="Times New Roman"/>
          <w:sz w:val="24"/>
          <w:szCs w:val="24"/>
          <w:vertAlign w:val="superscript"/>
        </w:rPr>
        <w:footnoteReference w:id="3"/>
      </w:r>
      <w:r>
        <w:t xml:space="preserve"> ’vakavaraisuusdirektiiviksi’.</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EC067D" w:rsidRDefault="002648B0" w:rsidP="00EC067D">
      <w:pPr>
        <w:pStyle w:val="Heading2"/>
      </w:pPr>
      <w:bookmarkStart w:id="23" w:name="_Toc360188322"/>
      <w:bookmarkStart w:id="24" w:name="_Toc473560870"/>
      <w:bookmarkStart w:id="25" w:name="_Toc58915413"/>
      <w:r>
        <w:t>OSA II: LOMAKKEISIIN LIITTYVÄT OHJEET</w:t>
      </w:r>
      <w:bookmarkEnd w:id="23"/>
      <w:bookmarkEnd w:id="24"/>
      <w:bookmarkEnd w:id="25"/>
    </w:p>
    <w:p w14:paraId="5E8C221B" w14:textId="6A60103B" w:rsidR="002648B0" w:rsidRPr="00EC067D" w:rsidRDefault="00125707" w:rsidP="00EC067D">
      <w:pPr>
        <w:pStyle w:val="Instructionsberschrift2"/>
        <w:rPr>
          <w:rFonts w:cs="Times New Roman"/>
          <w:sz w:val="24"/>
        </w:rPr>
      </w:pPr>
      <w:bookmarkStart w:id="26" w:name="_Toc360188323"/>
      <w:bookmarkStart w:id="27" w:name="_Toc473560871"/>
      <w:bookmarkStart w:id="28" w:name="_Toc58915414"/>
      <w:r>
        <w:rPr>
          <w:sz w:val="24"/>
        </w:rPr>
        <w:t>1.</w:t>
      </w:r>
      <w:r>
        <w:tab/>
      </w:r>
      <w:bookmarkStart w:id="29" w:name="_Toc308175819"/>
      <w:bookmarkStart w:id="30" w:name="_Toc360188324"/>
      <w:bookmarkStart w:id="31" w:name="_Toc473560872"/>
      <w:bookmarkEnd w:id="26"/>
      <w:bookmarkEnd w:id="27"/>
      <w:r>
        <w:rPr>
          <w:sz w:val="24"/>
        </w:rPr>
        <w:t>Yleiset huomautukset</w:t>
      </w:r>
      <w:bookmarkEnd w:id="29"/>
      <w:bookmarkEnd w:id="30"/>
      <w:bookmarkEnd w:id="31"/>
      <w:bookmarkEnd w:id="28"/>
    </w:p>
    <w:p w14:paraId="410557ED" w14:textId="2C0E81CE" w:rsidR="006137FD" w:rsidRPr="00EC067D" w:rsidRDefault="00004542" w:rsidP="00004542">
      <w:pPr>
        <w:pStyle w:val="InstructionsText2"/>
        <w:numPr>
          <w:ilvl w:val="0"/>
          <w:numId w:val="0"/>
        </w:numPr>
        <w:ind w:left="993"/>
      </w:pPr>
      <w:r>
        <w:t>8.</w:t>
      </w:r>
      <w:r>
        <w:tab/>
        <w:t xml:space="preserve">Lomakkeessa on kaksi osaa. G-SII-indikaattoreita koskeva yläosa sisältää indikaattorit maailmanlaajuisten järjestelmän kannalta merkittävien laitosten yksilöimiseksi Baselin pankkivalvontakomitean kehittämän menetelmän mukaisesti. Alemmassa osassa on useita eriä, joita tarvitaan asiaankuuluvien indikaattoreiden laskemiseen vakavaraisuusdirektiivin 131 artiklan 18 kohdan perusteella määritellyn menetelmän mukaisesti. </w:t>
      </w:r>
    </w:p>
    <w:p w14:paraId="285BFC5F" w14:textId="50F4BAE2" w:rsidR="005643EA" w:rsidRPr="00EC067D" w:rsidRDefault="00004542" w:rsidP="00004542">
      <w:pPr>
        <w:pStyle w:val="InstructionsText2"/>
        <w:numPr>
          <w:ilvl w:val="0"/>
          <w:numId w:val="0"/>
        </w:numPr>
        <w:ind w:left="993"/>
      </w:pPr>
      <w:r>
        <w:t>9.</w:t>
      </w:r>
      <w:r>
        <w:tab/>
        <w:t>Tässä lomakkeessa annettujen tietojen on tarvittaessa oltava yhdenmukaisia niiden tietojen kanssa, jotka asianomaiset viranomaiset ovat toimittaneet asianomaisille viranomaisille, jotta ne voivat kerätä indikaattoriarvoja komission delegoidun asetuksen (EU) N:o 1222/2014 3 artiklan 2 kohdan mukaisesti.</w:t>
      </w:r>
    </w:p>
    <w:p w14:paraId="1640AAF5" w14:textId="0F89A136" w:rsidR="002648B0" w:rsidRPr="00EC067D" w:rsidRDefault="00125707" w:rsidP="00EC067D">
      <w:pPr>
        <w:pStyle w:val="Instructionsberschrift2"/>
        <w:rPr>
          <w:rFonts w:cs="Times New Roman"/>
          <w:sz w:val="24"/>
        </w:rPr>
      </w:pPr>
      <w:bookmarkStart w:id="32" w:name="_Toc310414968"/>
      <w:bookmarkStart w:id="33" w:name="_Toc360188326"/>
      <w:bookmarkStart w:id="34" w:name="_Toc473560874"/>
      <w:bookmarkStart w:id="35" w:name="_Toc58915415"/>
      <w:r>
        <w:rPr>
          <w:sz w:val="24"/>
        </w:rPr>
        <w:t>2.</w:t>
      </w:r>
      <w:r>
        <w:tab/>
      </w:r>
      <w:bookmarkStart w:id="36" w:name="_Toc308175821"/>
      <w:r>
        <w:rPr>
          <w:sz w:val="24"/>
        </w:rPr>
        <w:t xml:space="preserve">Tiettyjä positioita koskevat </w:t>
      </w:r>
      <w:bookmarkEnd w:id="36"/>
      <w:bookmarkEnd w:id="32"/>
      <w:r>
        <w:t>ohjeet</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G-SII-indikaattorit</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Indikaattoreiden määritelmän on oltava sama kuin komission delegoidun asetuksen (EU) N:o 1222/2014 liitteessä lueteltujen tietojen määrittämiseen sovellettava määritelmä.</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Jos menetelmään tehdään muutoksia, tietojen raportoinnissa on käytettävä tilikauden ensimmäisen, toisen ja kolmannen neljänneksen lopussa samaa menetelmää, jota sovelletaan indikaattoriarvojen määrittämiseen kyseisen tilikauden lopussa.</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Indikaattorit, jotka ovat virtamittareita, on raportoitava kumulatiivisesti tapauksen mukaan kalenterivuoden tai tilikauden alusta.</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Eri lainkäyttöalueiden väliset saatavat</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Eri lainkäyttöalueiden väliset velat</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Vastuut yhteensä (vähimmäisomavaraisuusaste)</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Rahoitusjärjestelmän sisäiset varat</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Rahoitusjärjestelmän sisäiset velat</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Liikkeessä olevat arvopaperit</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Säilytyksessä olevat varat</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Maksutoiminta</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Merkintäsitoumusliiketoimet oman ja vieraan pääoman markkinoilla</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Kaupankäyntivolyymi</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OTC-johdannaisten nimellisarvo</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Tason 3 omaisuuserät</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Kaupankäyntitarkoituksessa pidettävät ja myytävissä olevat arvopaperit</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Erät, joissa Euroopan pankkiunionia pidetään yhtenä lainkäyttöalueena</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Jäljempänä eriteltyjen erien määrittämiseksi ja jos jäljempänä olevissa ohjeissa ei ole eritelmiä, käytetyt määritelmät ja käsitteet on mahdollisuuksien mukaan yhdenmukaistettava kansainvälisen pankkitietojärjestelmän (BIS) kansainvälisten pankkitilastojen raportointia koskevissa ohjeissa määriteltyjen määritelmien ja käsitteiden kanssa.</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Tästä poiketen raportoivien yhteisöjen toimintoja Euroopan parlamentin ja neuvoston asetuksen (EU) N:o 806/2014 4 artiklassa tarkoitetuissa osallistuvissa jäsenvaltioissa ei oteta huomioon,</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xml:space="preserve"> toisin sanoen osallistuvia jäsenvaltioita pidetään yhtenä lainkäyttöalueena.</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Ulkomaisten saatavien kokonaismäärä lopullisen riskin perusteella</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Ulkomaisten saatavien kokonaismäärä on ulkomaisten osakkuus- ja tytäryhtiöiden rajatylittävien saatavien ja paikallisten saatavien summa paikallisessa tai ulkomaanvaluutassa. Johdannaissopimusten positioista johtuvia saatavia ei oteta huomioon. ’Saatavilla’, ’rajatylittävillä saatavilla’ ja ’ulkomaisten osakkuus- ja tytäryhtiöiden paikallisessa tai ulkomaanvaluutassa olevilla paikallisilla saatavilla’ on sama merkitys kuin BIS:n kansainvälisten pankkitilastojen raportointia koskevissa ohjeissa.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’Perimmäisen riskin perusteella’ tarkoittaa sitä, että määritettäessä, onko saatava rajat ylittävä vai paikallinen saatava, positio kohdennetaan kolmannelle osapuolelle, joka on sopinut ottavansa vastatakseen ensisijaisen vastapuolen velat tai velvoitteet, jos kyseinen vastapuoli ei suorita velvoitteitaan, kun tällainen kolmas osapuoli on olemassa. Kohdentaminen suoritetaan BIS:n kansainvälisten pankkitilastojen raportointia koskevissa ohjeissa annettujen riskinsiirtoja koskevien säännösten mukaisesti.</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Ulkomaiset johdannaissaatavat lopullisen riskin perusteella</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Kaikkien sellaisten johdannaissaatavien positiivinen käypä arvo, jotka ovat rajatylittäviä saatavia tai ulkomaisten osakkuus- ja tytäryhtiöiden paikallisia saatavia paikallisessa tai ulkomaanvaluutassa.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Johdannaisiin kuuluvat muun muassa termiinit, swap-sopimukset ja optiot, jotka liittyvät valuuttaan, korkoon, osakkeisiin, hyödykkeisiin ja luottoinstrumentteihin. Tähän sisältyvät ostetut luottojohdannaiset, jotka suojaavat tai korvaavat myytyä tai kaupankäyntitarkoituksessa pidettävää luottosuojaa.</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Tällaisten ostettujen luottojohdannaisten arvoa ei saa rajata sen välittömän saatavan arvoon, jota takaamaan luottojohdannainen on ostettu.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Johdannaissopimusten positiiviset ja negatiiviset käyvät arvot voidaan kuitata keskenään vain silloin kun positiot on toteutettu saman vastapuolen kanssa oikeudellisesti täytäntöönpanokelpoisen nettoutussopimuksen mukaisesti. Tähän kohtaan sisällytetään ainoastaan nettoutusryhmät, joilla on positiivinen arvo.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Johdannaissaatavat on ilmoitettava ilman käteisvakuuksia.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Ilmoitettaessa tietoja lopullisen riskin perusteella sovelletaan seuraavaa:</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Kun lopullinen riski on vastapuolella, johdannaista pidetään ulkomaisena, jos vastapuoli ei ole raportoivan yhteisön kotipaikan lainkäyttöalueella.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Kun lopullinen riski on takaajalla, johdannaista pidetään ulkomaisena, jos takaaja ei ole raportoivan yhteisön kotipaikan lainkäyttöalueella.</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Ulkomaiset velat välittömän riskin perusteella, mukaan lukien johdannaiset</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Ulkomaiset velat, mukaan lukien johdannaiset, ovat ulkomaisten velkojen ja johdannaisista johtuvien ulkomaisten velkojen summa. Tähän erään ei sisällytetä arvopapereihin liittyviä velkoja, jotka ovat raportoivan laitoksen liikkeeseen laskemia vaihdantakelpoisia rahoitusvaroja.</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Johdannaisten määritelmä on sama kuin rivillä 0140.</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Johdannaissopimusten negatiiviset ja positiiviset käyvät arvot voidaan kuitata keskenään vain silloin kun positiot on toteutettu saman vastapuolen kanssa oikeudellisesti täytäntöönpanokelpoisen nettoutussopimuksen mukaisesti. Johdannaisvelat on ilmoitettava ilman vakuuksia (käteisvaroja ja muita kuin käteisvaroja).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’Välittömän riskin perusteella’ tarkoittaa sitä, että määritettäessä, onko saatava rajat ylittävä vai paikallinen saatava, positio kohdennetaan sopimuksen välittömälle vastapuolelle.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Ulkomaiset johdannaisvelat välittömän riskin perusteella</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Rivin 0160 alaryhmä, joka on johdannaisvelkoja</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567E996A"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043C8F">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014092FA"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043C8F">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59985AB5"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043C8F">
      <w:rPr>
        <w:rFonts w:ascii="Times New Roman" w:hAnsi="Times New Roman"/>
        <w:noProof/>
        <w:sz w:val="20"/>
        <w:szCs w:val="20"/>
      </w:rPr>
      <w:t>5</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Euroopan parlamentin ja neuvoston asetus (EU) N:o 575/2013, annettu 26 päivänä kesäkuuta 2013, luottolaitosten ja sijoituspalveluyritysten vakavaraisuusvaatimuksista ja asetuksen (EU) N:o 648/2012 muuttamisesta (EUVL L 176, 27.6.2013, s. 1)</w:t>
      </w:r>
      <w:r>
        <w:rPr>
          <w:rFonts w:ascii="Times New Roman" w:hAnsi="Times New Roman"/>
          <w:iCs/>
          <w:color w:val="444444"/>
          <w:sz w:val="20"/>
          <w:szCs w:val="20"/>
        </w:rPr>
        <w:t>.</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4">
    <w:p w14:paraId="7E81C75F" w14:textId="7AFAACB8" w:rsidR="000359E7" w:rsidRPr="00EF0DDB" w:rsidRDefault="000359E7">
      <w:pPr>
        <w:pStyle w:val="FootnoteText"/>
      </w:pPr>
      <w:r>
        <w:rPr>
          <w:rStyle w:val="FootnoteReference"/>
        </w:rPr>
        <w:footnoteRef/>
      </w:r>
      <w:r>
        <w:t xml:space="preserve"> Euroopan parlamentin ja neuvoston asetus (EU) N:o 806/2014, annettu 15 päivänä heinäkuuta 2014, yhdenmukaisten sääntöjen ja yhdenmukaisen menettelyn vahvistamisesta luottolaitosten ja tiettyjen sijoituspalveluyritysten kriisinratkaisua varten yhteisen kriisinratkaisumekanismin ja yhteisen kriisinratkaisurahaston puitteissa sekä asetuksen (EU) N:o 1093/2010 muuttamisesta (EUVL L 225,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fi-FI"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3C8F"/>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5AFA"/>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1D64"/>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4019A-C6FC-4915-844D-478CEC841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880</Words>
  <Characters>7972</Characters>
  <Application>Microsoft Office Word</Application>
  <DocSecurity>0</DocSecurity>
  <Lines>181</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KLAAVU Maritta (DGT)</cp:lastModifiedBy>
  <cp:revision>6</cp:revision>
  <dcterms:created xsi:type="dcterms:W3CDTF">2020-12-02T17:25:00Z</dcterms:created>
  <dcterms:modified xsi:type="dcterms:W3CDTF">2020-12-15T08:06:00Z</dcterms:modified>
</cp:coreProperties>
</file>