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II. MELLÉKLET</w:t>
      </w:r>
    </w:p>
    <w:p w:rsidR="002648B0" w:rsidRPr="00661595" w:rsidRDefault="00D11E4C" w:rsidP="00C87CEE">
      <w:pPr>
        <w:jc w:val="center"/>
        <w:rPr>
          <w:rFonts w:ascii="Times New Roman" w:hAnsi="Times New Roman"/>
          <w:b/>
          <w:sz w:val="24"/>
        </w:rPr>
      </w:pPr>
      <w:r>
        <w:rPr>
          <w:rFonts w:ascii="Times New Roman" w:hAnsi="Times New Roman"/>
          <w:b/>
          <w:sz w:val="24"/>
        </w:rPr>
        <w:t>ÚTMUTATÓ A SZAVATOLÓTŐKÉRE ÉS A SZAVATOLÓTŐKE-KÖVETELMÉNYEKRE VONATKOZÓ ADATSZOLGÁLTATÁSHOZ</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Tartalomjegyzék</w:t>
      </w:r>
    </w:p>
    <w:p w:rsidR="00774DB7"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58559" w:history="1">
        <w:r w:rsidR="00774DB7" w:rsidRPr="00C24443">
          <w:rPr>
            <w:rStyle w:val="Hyperlink"/>
            <w:rFonts w:ascii="Times New Roman" w:hAnsi="Times New Roman"/>
          </w:rPr>
          <w:t>I. RÉSZ: ÁLTALÁNOS ÚTMUTATÓ</w:t>
        </w:r>
        <w:r w:rsidR="00774DB7">
          <w:rPr>
            <w:webHidden/>
          </w:rPr>
          <w:tab/>
        </w:r>
        <w:r w:rsidR="00774DB7">
          <w:rPr>
            <w:webHidden/>
          </w:rPr>
          <w:fldChar w:fldCharType="begin"/>
        </w:r>
        <w:r w:rsidR="00774DB7">
          <w:rPr>
            <w:webHidden/>
          </w:rPr>
          <w:instrText xml:space="preserve"> PAGEREF _Toc58858559 \h </w:instrText>
        </w:r>
        <w:r w:rsidR="00774DB7">
          <w:rPr>
            <w:webHidden/>
          </w:rPr>
        </w:r>
        <w:r w:rsidR="00774DB7">
          <w:rPr>
            <w:webHidden/>
          </w:rPr>
          <w:fldChar w:fldCharType="separate"/>
        </w:r>
        <w:r w:rsidR="00644CB1">
          <w:rPr>
            <w:webHidden/>
          </w:rPr>
          <w:t>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0" w:history="1">
        <w:r w:rsidR="00774DB7" w:rsidRPr="00C24443">
          <w:rPr>
            <w:rStyle w:val="Hyperlink"/>
            <w:rFonts w:ascii="Times New Roman" w:hAnsi="Times New Roman"/>
          </w:rPr>
          <w:t>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Felépítés és szabályok</w:t>
        </w:r>
        <w:r w:rsidR="00774DB7">
          <w:rPr>
            <w:webHidden/>
          </w:rPr>
          <w:tab/>
        </w:r>
        <w:r w:rsidR="00774DB7">
          <w:rPr>
            <w:webHidden/>
          </w:rPr>
          <w:fldChar w:fldCharType="begin"/>
        </w:r>
        <w:r w:rsidR="00774DB7">
          <w:rPr>
            <w:webHidden/>
          </w:rPr>
          <w:instrText xml:space="preserve"> PAGEREF _Toc58858560 \h </w:instrText>
        </w:r>
        <w:r w:rsidR="00774DB7">
          <w:rPr>
            <w:webHidden/>
          </w:rPr>
        </w:r>
        <w:r w:rsidR="00774DB7">
          <w:rPr>
            <w:webHidden/>
          </w:rPr>
          <w:fldChar w:fldCharType="separate"/>
        </w:r>
        <w:r w:rsidR="00644CB1">
          <w:rPr>
            <w:webHidden/>
          </w:rPr>
          <w:t>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1" w:history="1">
        <w:r w:rsidR="00774DB7" w:rsidRPr="00C24443">
          <w:rPr>
            <w:rStyle w:val="Hyperlink"/>
            <w:rFonts w:ascii="Times New Roman" w:hAnsi="Times New Roman"/>
          </w:rPr>
          <w:t>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Felépítés</w:t>
        </w:r>
        <w:r w:rsidR="00774DB7">
          <w:rPr>
            <w:webHidden/>
          </w:rPr>
          <w:tab/>
        </w:r>
        <w:r w:rsidR="00774DB7">
          <w:rPr>
            <w:webHidden/>
          </w:rPr>
          <w:fldChar w:fldCharType="begin"/>
        </w:r>
        <w:r w:rsidR="00774DB7">
          <w:rPr>
            <w:webHidden/>
          </w:rPr>
          <w:instrText xml:space="preserve"> PAGEREF _Toc58858561 \h </w:instrText>
        </w:r>
        <w:r w:rsidR="00774DB7">
          <w:rPr>
            <w:webHidden/>
          </w:rPr>
        </w:r>
        <w:r w:rsidR="00774DB7">
          <w:rPr>
            <w:webHidden/>
          </w:rPr>
          <w:fldChar w:fldCharType="separate"/>
        </w:r>
        <w:r w:rsidR="00644CB1">
          <w:rPr>
            <w:webHidden/>
          </w:rPr>
          <w:t>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2" w:history="1">
        <w:r w:rsidR="00774DB7" w:rsidRPr="00C24443">
          <w:rPr>
            <w:rStyle w:val="Hyperlink"/>
            <w:rFonts w:ascii="Times New Roman" w:hAnsi="Times New Roman"/>
          </w:rPr>
          <w:t>1.2.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Számozási szabályok</w:t>
        </w:r>
        <w:r w:rsidR="00774DB7">
          <w:rPr>
            <w:webHidden/>
          </w:rPr>
          <w:tab/>
        </w:r>
        <w:r w:rsidR="00774DB7">
          <w:rPr>
            <w:webHidden/>
          </w:rPr>
          <w:fldChar w:fldCharType="begin"/>
        </w:r>
        <w:r w:rsidR="00774DB7">
          <w:rPr>
            <w:webHidden/>
          </w:rPr>
          <w:instrText xml:space="preserve"> PAGEREF _Toc58858562 \h </w:instrText>
        </w:r>
        <w:r w:rsidR="00774DB7">
          <w:rPr>
            <w:webHidden/>
          </w:rPr>
        </w:r>
        <w:r w:rsidR="00774DB7">
          <w:rPr>
            <w:webHidden/>
          </w:rPr>
          <w:fldChar w:fldCharType="separate"/>
        </w:r>
        <w:r w:rsidR="00644CB1">
          <w:rPr>
            <w:webHidden/>
          </w:rPr>
          <w:t>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3" w:history="1">
        <w:r w:rsidR="00774DB7" w:rsidRPr="00C24443">
          <w:rPr>
            <w:rStyle w:val="Hyperlink"/>
            <w:rFonts w:ascii="Times New Roman" w:hAnsi="Times New Roman"/>
          </w:rPr>
          <w:t>1.3.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Előjelre vonatkozó szabályok</w:t>
        </w:r>
        <w:r w:rsidR="00774DB7">
          <w:rPr>
            <w:webHidden/>
          </w:rPr>
          <w:tab/>
        </w:r>
        <w:r w:rsidR="00774DB7">
          <w:rPr>
            <w:webHidden/>
          </w:rPr>
          <w:fldChar w:fldCharType="begin"/>
        </w:r>
        <w:r w:rsidR="00774DB7">
          <w:rPr>
            <w:webHidden/>
          </w:rPr>
          <w:instrText xml:space="preserve"> PAGEREF _Toc58858563 \h </w:instrText>
        </w:r>
        <w:r w:rsidR="00774DB7">
          <w:rPr>
            <w:webHidden/>
          </w:rPr>
        </w:r>
        <w:r w:rsidR="00774DB7">
          <w:rPr>
            <w:webHidden/>
          </w:rPr>
          <w:fldChar w:fldCharType="separate"/>
        </w:r>
        <w:r w:rsidR="00644CB1">
          <w:rPr>
            <w:webHidden/>
          </w:rPr>
          <w:t>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4" w:history="1">
        <w:r w:rsidR="00774DB7" w:rsidRPr="00C24443">
          <w:rPr>
            <w:rStyle w:val="Hyperlink"/>
            <w:rFonts w:ascii="Times New Roman" w:hAnsi="Times New Roman"/>
          </w:rPr>
          <w:t>1.4.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Rövidítések</w:t>
        </w:r>
        <w:r w:rsidR="00774DB7">
          <w:rPr>
            <w:webHidden/>
          </w:rPr>
          <w:tab/>
        </w:r>
        <w:r w:rsidR="00774DB7">
          <w:rPr>
            <w:webHidden/>
          </w:rPr>
          <w:fldChar w:fldCharType="begin"/>
        </w:r>
        <w:r w:rsidR="00774DB7">
          <w:rPr>
            <w:webHidden/>
          </w:rPr>
          <w:instrText xml:space="preserve"> PAGEREF _Toc58858564 \h </w:instrText>
        </w:r>
        <w:r w:rsidR="00774DB7">
          <w:rPr>
            <w:webHidden/>
          </w:rPr>
        </w:r>
        <w:r w:rsidR="00774DB7">
          <w:rPr>
            <w:webHidden/>
          </w:rPr>
          <w:fldChar w:fldCharType="separate"/>
        </w:r>
        <w:r w:rsidR="00644CB1">
          <w:rPr>
            <w:webHidden/>
          </w:rPr>
          <w:t>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5" w:history="1">
        <w:r w:rsidR="00774DB7" w:rsidRPr="00C24443">
          <w:rPr>
            <w:rStyle w:val="Hyperlink"/>
            <w:rFonts w:ascii="Times New Roman" w:hAnsi="Times New Roman"/>
          </w:rPr>
          <w:t>II. RÉSZ: A TÁBLÁHOZ KAPCSOLÓDÓ ÚTMUTATÓ</w:t>
        </w:r>
        <w:bookmarkStart w:id="2" w:name="_GoBack"/>
        <w:bookmarkEnd w:id="2"/>
        <w:r w:rsidR="00774DB7">
          <w:rPr>
            <w:webHidden/>
          </w:rPr>
          <w:tab/>
        </w:r>
        <w:r w:rsidR="00774DB7">
          <w:rPr>
            <w:webHidden/>
          </w:rPr>
          <w:fldChar w:fldCharType="begin"/>
        </w:r>
        <w:r w:rsidR="00774DB7">
          <w:rPr>
            <w:webHidden/>
          </w:rPr>
          <w:instrText xml:space="preserve"> PAGEREF _Toc58858565 \h </w:instrText>
        </w:r>
        <w:r w:rsidR="00774DB7">
          <w:rPr>
            <w:webHidden/>
          </w:rPr>
        </w:r>
        <w:r w:rsidR="00774DB7">
          <w:rPr>
            <w:webHidden/>
          </w:rPr>
          <w:fldChar w:fldCharType="separate"/>
        </w:r>
        <w:r w:rsidR="00644CB1">
          <w:rPr>
            <w:webHidden/>
          </w:rPr>
          <w:t>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6" w:history="1">
        <w:r w:rsidR="00774DB7" w:rsidRPr="00C24443">
          <w:rPr>
            <w:rStyle w:val="Hyperlink"/>
            <w:rFonts w:ascii="Times New Roman" w:hAnsi="Times New Roman"/>
          </w:rPr>
          <w:t>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Tőkemegfelelési áttekintés (CA)</w:t>
        </w:r>
        <w:r w:rsidR="00774DB7">
          <w:rPr>
            <w:webHidden/>
          </w:rPr>
          <w:tab/>
        </w:r>
        <w:r w:rsidR="00774DB7">
          <w:rPr>
            <w:webHidden/>
          </w:rPr>
          <w:fldChar w:fldCharType="begin"/>
        </w:r>
        <w:r w:rsidR="00774DB7">
          <w:rPr>
            <w:webHidden/>
          </w:rPr>
          <w:instrText xml:space="preserve"> PAGEREF _Toc58858566 \h </w:instrText>
        </w:r>
        <w:r w:rsidR="00774DB7">
          <w:rPr>
            <w:webHidden/>
          </w:rPr>
        </w:r>
        <w:r w:rsidR="00774DB7">
          <w:rPr>
            <w:webHidden/>
          </w:rPr>
          <w:fldChar w:fldCharType="separate"/>
        </w:r>
        <w:r w:rsidR="00644CB1">
          <w:rPr>
            <w:webHidden/>
          </w:rPr>
          <w:t>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7" w:history="1">
        <w:r w:rsidR="00774DB7" w:rsidRPr="00C24443">
          <w:rPr>
            <w:rStyle w:val="Hyperlink"/>
            <w:rFonts w:ascii="Times New Roman" w:hAnsi="Times New Roman"/>
          </w:rPr>
          <w:t>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_Toc58858567 \h </w:instrText>
        </w:r>
        <w:r w:rsidR="00774DB7">
          <w:rPr>
            <w:webHidden/>
          </w:rPr>
        </w:r>
        <w:r w:rsidR="00774DB7">
          <w:rPr>
            <w:webHidden/>
          </w:rPr>
          <w:fldChar w:fldCharType="separate"/>
        </w:r>
        <w:r w:rsidR="00644CB1">
          <w:rPr>
            <w:webHidden/>
          </w:rPr>
          <w:t>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8" w:history="1">
        <w:r w:rsidR="00774DB7" w:rsidRPr="00C24443">
          <w:rPr>
            <w:rStyle w:val="Hyperlink"/>
            <w:rFonts w:ascii="Times New Roman" w:hAnsi="Times New Roman"/>
          </w:rPr>
          <w:t>1.2.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01.00 – SZAVATOLÓTŐKE (CA1)</w:t>
        </w:r>
        <w:r w:rsidR="00774DB7">
          <w:rPr>
            <w:webHidden/>
          </w:rPr>
          <w:tab/>
        </w:r>
        <w:r w:rsidR="00774DB7">
          <w:rPr>
            <w:webHidden/>
          </w:rPr>
          <w:fldChar w:fldCharType="begin"/>
        </w:r>
        <w:r w:rsidR="00774DB7">
          <w:rPr>
            <w:webHidden/>
          </w:rPr>
          <w:instrText xml:space="preserve"> PAGEREF _Toc58858568 \h </w:instrText>
        </w:r>
        <w:r w:rsidR="00774DB7">
          <w:rPr>
            <w:webHidden/>
          </w:rPr>
        </w:r>
        <w:r w:rsidR="00774DB7">
          <w:rPr>
            <w:webHidden/>
          </w:rPr>
          <w:fldChar w:fldCharType="separate"/>
        </w:r>
        <w:r w:rsidR="00644CB1">
          <w:rPr>
            <w:webHidden/>
          </w:rPr>
          <w:t>10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69" w:history="1">
        <w:r w:rsidR="00774DB7" w:rsidRPr="00C24443">
          <w:rPr>
            <w:rStyle w:val="Hyperlink"/>
            <w:rFonts w:ascii="Times New Roman" w:hAnsi="Times New Roman"/>
          </w:rPr>
          <w:t>1.2.1.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_Toc58858569 \h </w:instrText>
        </w:r>
        <w:r w:rsidR="00774DB7">
          <w:rPr>
            <w:webHidden/>
          </w:rPr>
        </w:r>
        <w:r w:rsidR="00774DB7">
          <w:rPr>
            <w:webHidden/>
          </w:rPr>
          <w:fldChar w:fldCharType="separate"/>
        </w:r>
        <w:r w:rsidR="00644CB1">
          <w:rPr>
            <w:webHidden/>
          </w:rPr>
          <w:t>10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0" w:history="1">
        <w:r w:rsidR="00774DB7" w:rsidRPr="00C24443">
          <w:rPr>
            <w:rStyle w:val="Hyperlink"/>
            <w:rFonts w:ascii="Times New Roman" w:hAnsi="Times New Roman"/>
          </w:rPr>
          <w:t>1.3.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02.00 – SZAVATOLÓTŐKE-KÖVETELMÉNY (CA2)</w:t>
        </w:r>
        <w:r w:rsidR="00774DB7">
          <w:rPr>
            <w:webHidden/>
          </w:rPr>
          <w:tab/>
        </w:r>
        <w:r w:rsidR="00774DB7">
          <w:rPr>
            <w:webHidden/>
          </w:rPr>
          <w:fldChar w:fldCharType="begin"/>
        </w:r>
        <w:r w:rsidR="00774DB7">
          <w:rPr>
            <w:webHidden/>
          </w:rPr>
          <w:instrText xml:space="preserve"> PAGEREF _Toc58858570 \h </w:instrText>
        </w:r>
        <w:r w:rsidR="00774DB7">
          <w:rPr>
            <w:webHidden/>
          </w:rPr>
        </w:r>
        <w:r w:rsidR="00774DB7">
          <w:rPr>
            <w:webHidden/>
          </w:rPr>
          <w:fldChar w:fldCharType="separate"/>
        </w:r>
        <w:r w:rsidR="00644CB1">
          <w:rPr>
            <w:webHidden/>
          </w:rPr>
          <w:t>28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1" w:history="1">
        <w:r w:rsidR="00774DB7" w:rsidRPr="00C24443">
          <w:rPr>
            <w:rStyle w:val="Hyperlink"/>
            <w:rFonts w:ascii="Times New Roman" w:hAnsi="Times New Roman"/>
          </w:rPr>
          <w:t>1.3.1.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_Toc58858571 \h </w:instrText>
        </w:r>
        <w:r w:rsidR="00774DB7">
          <w:rPr>
            <w:webHidden/>
          </w:rPr>
        </w:r>
        <w:r w:rsidR="00774DB7">
          <w:rPr>
            <w:webHidden/>
          </w:rPr>
          <w:fldChar w:fldCharType="separate"/>
        </w:r>
        <w:r w:rsidR="00644CB1">
          <w:rPr>
            <w:webHidden/>
          </w:rPr>
          <w:t>28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2" w:history="1">
        <w:r w:rsidR="00774DB7" w:rsidRPr="00C24443">
          <w:rPr>
            <w:rStyle w:val="Hyperlink"/>
            <w:rFonts w:ascii="Times New Roman" w:hAnsi="Times New Roman"/>
          </w:rPr>
          <w:t>1.4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03.00 – TŐKEMEGFELELÉSI MUTATÓK ÉS TŐKESZINTEK (CA3)</w:t>
        </w:r>
        <w:r w:rsidR="00774DB7">
          <w:rPr>
            <w:webHidden/>
          </w:rPr>
          <w:tab/>
        </w:r>
        <w:r w:rsidR="00774DB7">
          <w:rPr>
            <w:webHidden/>
          </w:rPr>
          <w:fldChar w:fldCharType="begin"/>
        </w:r>
        <w:r w:rsidR="00774DB7">
          <w:rPr>
            <w:webHidden/>
          </w:rPr>
          <w:instrText xml:space="preserve"> PAGEREF _Toc58858572 \h </w:instrText>
        </w:r>
        <w:r w:rsidR="00774DB7">
          <w:rPr>
            <w:webHidden/>
          </w:rPr>
        </w:r>
        <w:r w:rsidR="00774DB7">
          <w:rPr>
            <w:webHidden/>
          </w:rPr>
          <w:fldChar w:fldCharType="separate"/>
        </w:r>
        <w:r w:rsidR="00644CB1">
          <w:rPr>
            <w:webHidden/>
          </w:rPr>
          <w:t>35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3" w:history="1">
        <w:r w:rsidR="00774DB7" w:rsidRPr="00C24443">
          <w:rPr>
            <w:rStyle w:val="Hyperlink"/>
            <w:rFonts w:ascii="Times New Roman" w:hAnsi="Times New Roman"/>
          </w:rPr>
          <w:t>1.4.1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_Toc58858573 \h </w:instrText>
        </w:r>
        <w:r w:rsidR="00774DB7">
          <w:rPr>
            <w:webHidden/>
          </w:rPr>
        </w:r>
        <w:r w:rsidR="00774DB7">
          <w:rPr>
            <w:webHidden/>
          </w:rPr>
          <w:fldChar w:fldCharType="separate"/>
        </w:r>
        <w:r w:rsidR="00644CB1">
          <w:rPr>
            <w:webHidden/>
          </w:rPr>
          <w:t>35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4" w:history="1">
        <w:r w:rsidR="00774DB7" w:rsidRPr="00C24443">
          <w:rPr>
            <w:rStyle w:val="Hyperlink"/>
            <w:rFonts w:ascii="Times New Roman" w:hAnsi="Times New Roman"/>
          </w:rPr>
          <w:t>1.5.</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04.00 – TÁJÉKOZTATÓ ADATOK (CA4)</w:t>
        </w:r>
        <w:r w:rsidR="00774DB7">
          <w:rPr>
            <w:webHidden/>
          </w:rPr>
          <w:tab/>
        </w:r>
        <w:r w:rsidR="00774DB7">
          <w:rPr>
            <w:webHidden/>
          </w:rPr>
          <w:fldChar w:fldCharType="begin"/>
        </w:r>
        <w:r w:rsidR="00774DB7">
          <w:rPr>
            <w:webHidden/>
          </w:rPr>
          <w:instrText xml:space="preserve"> PAGEREF _Toc58858574 \h </w:instrText>
        </w:r>
        <w:r w:rsidR="00774DB7">
          <w:rPr>
            <w:webHidden/>
          </w:rPr>
        </w:r>
        <w:r w:rsidR="00774DB7">
          <w:rPr>
            <w:webHidden/>
          </w:rPr>
          <w:fldChar w:fldCharType="separate"/>
        </w:r>
        <w:r w:rsidR="00644CB1">
          <w:rPr>
            <w:webHidden/>
          </w:rPr>
          <w:t>39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5" w:history="1">
        <w:r w:rsidR="00774DB7" w:rsidRPr="00C24443">
          <w:rPr>
            <w:rStyle w:val="Hyperlink"/>
            <w:rFonts w:ascii="Times New Roman" w:hAnsi="Times New Roman"/>
          </w:rPr>
          <w:t>1.5.1.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_Toc58858575 \h </w:instrText>
        </w:r>
        <w:r w:rsidR="00774DB7">
          <w:rPr>
            <w:webHidden/>
          </w:rPr>
        </w:r>
        <w:r w:rsidR="00774DB7">
          <w:rPr>
            <w:webHidden/>
          </w:rPr>
          <w:fldChar w:fldCharType="separate"/>
        </w:r>
        <w:r w:rsidR="00644CB1">
          <w:rPr>
            <w:webHidden/>
          </w:rPr>
          <w:t>39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6" w:history="1">
        <w:r w:rsidR="00774DB7" w:rsidRPr="00C24443">
          <w:rPr>
            <w:rStyle w:val="Hyperlink"/>
            <w:rFonts w:ascii="Times New Roman" w:hAnsi="Times New Roman"/>
          </w:rPr>
          <w:t>1.6</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ÁTMENETI RENDELKEZÉSEK ÉS SZERZETT JOGOK ALAPJÁN FIGYELEMBE VETT TŐKEINSTRUMENTUMOK: ÁLLAMI TÁMOGATÁSNAK NEM MINŐSÜLŐ INSTRUMENTUMOK (CA5)</w:t>
        </w:r>
        <w:r w:rsidR="00774DB7">
          <w:rPr>
            <w:webHidden/>
          </w:rPr>
          <w:tab/>
        </w:r>
        <w:r w:rsidR="00774DB7">
          <w:rPr>
            <w:webHidden/>
          </w:rPr>
          <w:fldChar w:fldCharType="begin"/>
        </w:r>
        <w:r w:rsidR="00774DB7">
          <w:rPr>
            <w:webHidden/>
          </w:rPr>
          <w:instrText xml:space="preserve"> PAGEREF _Toc58858576 \h </w:instrText>
        </w:r>
        <w:r w:rsidR="00774DB7">
          <w:rPr>
            <w:webHidden/>
          </w:rPr>
        </w:r>
        <w:r w:rsidR="00774DB7">
          <w:rPr>
            <w:webHidden/>
          </w:rPr>
          <w:fldChar w:fldCharType="separate"/>
        </w:r>
        <w:r w:rsidR="00644CB1">
          <w:rPr>
            <w:webHidden/>
          </w:rPr>
          <w:t>58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7" w:history="1">
        <w:r w:rsidR="00774DB7" w:rsidRPr="00C24443">
          <w:rPr>
            <w:rStyle w:val="Hyperlink"/>
            <w:rFonts w:ascii="Times New Roman" w:hAnsi="Times New Roman"/>
          </w:rPr>
          <w:t>1.6.1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_Toc58858577 \h </w:instrText>
        </w:r>
        <w:r w:rsidR="00774DB7">
          <w:rPr>
            <w:webHidden/>
          </w:rPr>
        </w:r>
        <w:r w:rsidR="00774DB7">
          <w:rPr>
            <w:webHidden/>
          </w:rPr>
          <w:fldChar w:fldCharType="separate"/>
        </w:r>
        <w:r w:rsidR="00644CB1">
          <w:rPr>
            <w:webHidden/>
          </w:rPr>
          <w:t>58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8" w:history="1">
        <w:r w:rsidR="00774DB7" w:rsidRPr="00C24443">
          <w:rPr>
            <w:rStyle w:val="Hyperlink"/>
            <w:rFonts w:ascii="Times New Roman" w:hAnsi="Times New Roman"/>
          </w:rPr>
          <w:t>1.6.2.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05.01 – ÁTMENETI RENDELKEZÉSEK (CA5.1)</w:t>
        </w:r>
        <w:r w:rsidR="00774DB7">
          <w:rPr>
            <w:webHidden/>
          </w:rPr>
          <w:tab/>
        </w:r>
        <w:r w:rsidR="00774DB7">
          <w:rPr>
            <w:webHidden/>
          </w:rPr>
          <w:fldChar w:fldCharType="begin"/>
        </w:r>
        <w:r w:rsidR="00774DB7">
          <w:rPr>
            <w:webHidden/>
          </w:rPr>
          <w:instrText xml:space="preserve"> PAGEREF _Toc58858578 \h </w:instrText>
        </w:r>
        <w:r w:rsidR="00774DB7">
          <w:rPr>
            <w:webHidden/>
          </w:rPr>
        </w:r>
        <w:r w:rsidR="00774DB7">
          <w:rPr>
            <w:webHidden/>
          </w:rPr>
          <w:fldChar w:fldCharType="separate"/>
        </w:r>
        <w:r w:rsidR="00644CB1">
          <w:rPr>
            <w:webHidden/>
          </w:rPr>
          <w:t>58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79" w:history="1">
        <w:r w:rsidR="00774DB7" w:rsidRPr="00C24443">
          <w:rPr>
            <w:rStyle w:val="Hyperlink"/>
            <w:rFonts w:ascii="Times New Roman" w:hAnsi="Times New Roman"/>
          </w:rPr>
          <w:t>1.6.2.1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_Toc58858579 \h </w:instrText>
        </w:r>
        <w:r w:rsidR="00774DB7">
          <w:rPr>
            <w:webHidden/>
          </w:rPr>
        </w:r>
        <w:r w:rsidR="00774DB7">
          <w:rPr>
            <w:webHidden/>
          </w:rPr>
          <w:fldChar w:fldCharType="separate"/>
        </w:r>
        <w:r w:rsidR="00644CB1">
          <w:rPr>
            <w:webHidden/>
          </w:rPr>
          <w:t>59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0" w:history="1">
        <w:r w:rsidR="00774DB7" w:rsidRPr="00C24443">
          <w:rPr>
            <w:rStyle w:val="Hyperlink"/>
            <w:rFonts w:ascii="Times New Roman" w:hAnsi="Times New Roman"/>
          </w:rPr>
          <w:t>1.6.3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05.02 – SZERZETT JOGOK ALAPJÁN FIGYELEMBE VETT TŐKEINSTRUMENTUMOK: ÁLLAMI TÁMOGATÁSNAK NEM MINŐSÜLŐ INSTRUMENTUMOK (CA5.2)</w:t>
        </w:r>
        <w:r w:rsidR="00774DB7">
          <w:rPr>
            <w:webHidden/>
          </w:rPr>
          <w:tab/>
        </w:r>
        <w:r w:rsidR="00774DB7">
          <w:rPr>
            <w:webHidden/>
          </w:rPr>
          <w:fldChar w:fldCharType="begin"/>
        </w:r>
        <w:r w:rsidR="00774DB7">
          <w:rPr>
            <w:webHidden/>
          </w:rPr>
          <w:instrText xml:space="preserve"> PAGEREF _Toc58858580 \h </w:instrText>
        </w:r>
        <w:r w:rsidR="00774DB7">
          <w:rPr>
            <w:webHidden/>
          </w:rPr>
        </w:r>
        <w:r w:rsidR="00774DB7">
          <w:rPr>
            <w:webHidden/>
          </w:rPr>
          <w:fldChar w:fldCharType="separate"/>
        </w:r>
        <w:r w:rsidR="00644CB1">
          <w:rPr>
            <w:webHidden/>
          </w:rPr>
          <w:t>64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1" w:history="1">
        <w:r w:rsidR="00774DB7" w:rsidRPr="00C24443">
          <w:rPr>
            <w:rStyle w:val="Hyperlink"/>
            <w:rFonts w:ascii="Times New Roman" w:hAnsi="Times New Roman"/>
          </w:rPr>
          <w:t>1.6.3.1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_Toc58858581 \h </w:instrText>
        </w:r>
        <w:r w:rsidR="00774DB7">
          <w:rPr>
            <w:webHidden/>
          </w:rPr>
        </w:r>
        <w:r w:rsidR="00774DB7">
          <w:rPr>
            <w:webHidden/>
          </w:rPr>
          <w:fldChar w:fldCharType="separate"/>
        </w:r>
        <w:r w:rsidR="00644CB1">
          <w:rPr>
            <w:webHidden/>
          </w:rPr>
          <w:t>64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2" w:history="1">
        <w:r w:rsidR="00774DB7" w:rsidRPr="00C24443">
          <w:rPr>
            <w:rStyle w:val="Hyperlink"/>
            <w:rFonts w:ascii="Times New Roman" w:hAnsi="Times New Roman"/>
          </w:rPr>
          <w:t>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CSOPORTSZINTŰ SZAVATOLÓTŐKE-MEGFELELÉS: INFORMÁCIÓK A CSOPORTBA TARTOZÓ SZERVEZETEKRŐL (GS)</w:t>
        </w:r>
        <w:r w:rsidR="00774DB7">
          <w:rPr>
            <w:webHidden/>
          </w:rPr>
          <w:tab/>
        </w:r>
        <w:r w:rsidR="00774DB7">
          <w:rPr>
            <w:webHidden/>
          </w:rPr>
          <w:fldChar w:fldCharType="begin"/>
        </w:r>
        <w:r w:rsidR="00774DB7">
          <w:rPr>
            <w:webHidden/>
          </w:rPr>
          <w:instrText xml:space="preserve"> PAGEREF _Toc58858582 \h </w:instrText>
        </w:r>
        <w:r w:rsidR="00774DB7">
          <w:rPr>
            <w:webHidden/>
          </w:rPr>
        </w:r>
        <w:r w:rsidR="00774DB7">
          <w:rPr>
            <w:webHidden/>
          </w:rPr>
          <w:fldChar w:fldCharType="separate"/>
        </w:r>
        <w:r w:rsidR="00644CB1">
          <w:rPr>
            <w:webHidden/>
          </w:rPr>
          <w:t>67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3" w:history="1">
        <w:r w:rsidR="00774DB7" w:rsidRPr="00C24443">
          <w:rPr>
            <w:rStyle w:val="Hyperlink"/>
            <w:rFonts w:ascii="Times New Roman" w:hAnsi="Times New Roman"/>
          </w:rPr>
          <w:t>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_Toc58858583 \h </w:instrText>
        </w:r>
        <w:r w:rsidR="00774DB7">
          <w:rPr>
            <w:webHidden/>
          </w:rPr>
        </w:r>
        <w:r w:rsidR="00774DB7">
          <w:rPr>
            <w:webHidden/>
          </w:rPr>
          <w:fldChar w:fldCharType="separate"/>
        </w:r>
        <w:r w:rsidR="00644CB1">
          <w:rPr>
            <w:webHidden/>
          </w:rPr>
          <w:t>67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4" w:history="1">
        <w:r w:rsidR="00774DB7" w:rsidRPr="00C24443">
          <w:rPr>
            <w:rStyle w:val="Hyperlink"/>
            <w:rFonts w:ascii="Times New Roman" w:hAnsi="Times New Roman"/>
          </w:rPr>
          <w:t>2.2.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Részletes információk a csoportszintű szavatolótőke-megfelelésről</w:t>
        </w:r>
        <w:r w:rsidR="00774DB7">
          <w:rPr>
            <w:webHidden/>
          </w:rPr>
          <w:tab/>
        </w:r>
        <w:r w:rsidR="00774DB7">
          <w:rPr>
            <w:webHidden/>
          </w:rPr>
          <w:fldChar w:fldCharType="begin"/>
        </w:r>
        <w:r w:rsidR="00774DB7">
          <w:rPr>
            <w:webHidden/>
          </w:rPr>
          <w:instrText xml:space="preserve"> PAGEREF _Toc58858584 \h </w:instrText>
        </w:r>
        <w:r w:rsidR="00774DB7">
          <w:rPr>
            <w:webHidden/>
          </w:rPr>
        </w:r>
        <w:r w:rsidR="00774DB7">
          <w:rPr>
            <w:webHidden/>
          </w:rPr>
          <w:fldChar w:fldCharType="separate"/>
        </w:r>
        <w:r w:rsidR="00644CB1">
          <w:rPr>
            <w:webHidden/>
          </w:rPr>
          <w:t>68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5" w:history="1">
        <w:r w:rsidR="00774DB7" w:rsidRPr="00C24443">
          <w:rPr>
            <w:rStyle w:val="Hyperlink"/>
            <w:rFonts w:ascii="Times New Roman" w:hAnsi="Times New Roman"/>
          </w:rPr>
          <w:t>2.3.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Az egyes szervezeteknek a csoportszintű szavatolótőke-megfeleléshez való hozzájárulásával kapcsolatos információk</w:t>
        </w:r>
        <w:r w:rsidR="00774DB7">
          <w:rPr>
            <w:webHidden/>
          </w:rPr>
          <w:tab/>
        </w:r>
        <w:r w:rsidR="00774DB7">
          <w:rPr>
            <w:webHidden/>
          </w:rPr>
          <w:fldChar w:fldCharType="begin"/>
        </w:r>
        <w:r w:rsidR="00774DB7">
          <w:rPr>
            <w:webHidden/>
          </w:rPr>
          <w:instrText xml:space="preserve"> PAGEREF _Toc58858585 \h </w:instrText>
        </w:r>
        <w:r w:rsidR="00774DB7">
          <w:rPr>
            <w:webHidden/>
          </w:rPr>
        </w:r>
        <w:r w:rsidR="00774DB7">
          <w:rPr>
            <w:webHidden/>
          </w:rPr>
          <w:fldChar w:fldCharType="separate"/>
        </w:r>
        <w:r w:rsidR="00644CB1">
          <w:rPr>
            <w:webHidden/>
          </w:rPr>
          <w:t>68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6" w:history="1">
        <w:r w:rsidR="00774DB7" w:rsidRPr="00C24443">
          <w:rPr>
            <w:rStyle w:val="Hyperlink"/>
            <w:rFonts w:ascii="Times New Roman" w:hAnsi="Times New Roman"/>
          </w:rPr>
          <w:t>2.4.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06.01 – CSOPORTSZINTŰ SZAVATOLÓTŐKE-MEGFELELÉS: INFORMÁCIÓK A CSOPORTBA TARTOZÓ SZERVEZETEKRŐL – ÖSSZESEN (GS Total)</w:t>
        </w:r>
        <w:r w:rsidR="00774DB7">
          <w:rPr>
            <w:webHidden/>
          </w:rPr>
          <w:tab/>
        </w:r>
        <w:r w:rsidR="00774DB7">
          <w:rPr>
            <w:webHidden/>
          </w:rPr>
          <w:fldChar w:fldCharType="begin"/>
        </w:r>
        <w:r w:rsidR="00774DB7">
          <w:rPr>
            <w:webHidden/>
          </w:rPr>
          <w:instrText xml:space="preserve"> PAGEREF _Toc58858586 \h </w:instrText>
        </w:r>
        <w:r w:rsidR="00774DB7">
          <w:rPr>
            <w:webHidden/>
          </w:rPr>
        </w:r>
        <w:r w:rsidR="00774DB7">
          <w:rPr>
            <w:webHidden/>
          </w:rPr>
          <w:fldChar w:fldCharType="separate"/>
        </w:r>
        <w:r w:rsidR="00644CB1">
          <w:rPr>
            <w:webHidden/>
          </w:rPr>
          <w:t>69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7" w:history="1">
        <w:r w:rsidR="00774DB7" w:rsidRPr="00C24443">
          <w:rPr>
            <w:rStyle w:val="Hyperlink"/>
            <w:rFonts w:ascii="Times New Roman" w:hAnsi="Times New Roman"/>
          </w:rPr>
          <w:t>2.5.</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06.02 – CSOPORTSZINTŰ SZAVATOLÓTŐKE-MEGFELELÉS: INFORMÁCIÓK A CSOPORTBA TARTOZÓ SZERVEZETEKRŐL (GS)</w:t>
        </w:r>
        <w:r w:rsidR="00774DB7">
          <w:rPr>
            <w:webHidden/>
          </w:rPr>
          <w:tab/>
        </w:r>
        <w:r w:rsidR="00774DB7">
          <w:rPr>
            <w:webHidden/>
          </w:rPr>
          <w:fldChar w:fldCharType="begin"/>
        </w:r>
        <w:r w:rsidR="00774DB7">
          <w:rPr>
            <w:webHidden/>
          </w:rPr>
          <w:instrText xml:space="preserve"> PAGEREF _Toc58858587 \h </w:instrText>
        </w:r>
        <w:r w:rsidR="00774DB7">
          <w:rPr>
            <w:webHidden/>
          </w:rPr>
        </w:r>
        <w:r w:rsidR="00774DB7">
          <w:rPr>
            <w:webHidden/>
          </w:rPr>
          <w:fldChar w:fldCharType="separate"/>
        </w:r>
        <w:r w:rsidR="00644CB1">
          <w:rPr>
            <w:webHidden/>
          </w:rPr>
          <w:t>70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8" w:history="1">
        <w:r w:rsidR="00774DB7" w:rsidRPr="00C24443">
          <w:rPr>
            <w:rStyle w:val="Hyperlink"/>
            <w:rFonts w:ascii="Times New Roman" w:hAnsi="Times New Roman"/>
          </w:rPr>
          <w:t>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Hitelkockázati táblacsoport</w:t>
        </w:r>
        <w:r w:rsidR="00774DB7">
          <w:rPr>
            <w:webHidden/>
          </w:rPr>
          <w:tab/>
        </w:r>
        <w:r w:rsidR="00774DB7">
          <w:rPr>
            <w:webHidden/>
          </w:rPr>
          <w:fldChar w:fldCharType="begin"/>
        </w:r>
        <w:r w:rsidR="00774DB7">
          <w:rPr>
            <w:webHidden/>
          </w:rPr>
          <w:instrText xml:space="preserve"> PAGEREF _Toc58858588 \h </w:instrText>
        </w:r>
        <w:r w:rsidR="00774DB7">
          <w:rPr>
            <w:webHidden/>
          </w:rPr>
        </w:r>
        <w:r w:rsidR="00774DB7">
          <w:rPr>
            <w:webHidden/>
          </w:rPr>
          <w:fldChar w:fldCharType="separate"/>
        </w:r>
        <w:r w:rsidR="00644CB1">
          <w:rPr>
            <w:webHidden/>
          </w:rPr>
          <w:t>79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89" w:history="1">
        <w:r w:rsidR="00774DB7" w:rsidRPr="00C24443">
          <w:rPr>
            <w:rStyle w:val="Hyperlink"/>
            <w:rFonts w:ascii="Times New Roman" w:hAnsi="Times New Roman"/>
          </w:rPr>
          <w:t>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_Toc58858589 \h </w:instrText>
        </w:r>
        <w:r w:rsidR="00774DB7">
          <w:rPr>
            <w:webHidden/>
          </w:rPr>
        </w:r>
        <w:r w:rsidR="00774DB7">
          <w:rPr>
            <w:webHidden/>
          </w:rPr>
          <w:fldChar w:fldCharType="separate"/>
        </w:r>
        <w:r w:rsidR="00644CB1">
          <w:rPr>
            <w:webHidden/>
          </w:rPr>
          <w:t>79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0" w:history="1">
        <w:r w:rsidR="00774DB7" w:rsidRPr="00C24443">
          <w:rPr>
            <w:rStyle w:val="Hyperlink"/>
            <w:rFonts w:ascii="Times New Roman" w:hAnsi="Times New Roman"/>
          </w:rPr>
          <w:t>3.1.1.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Helyettesítési hatással járó hitelkockázat-mérséklési technikák</w:t>
        </w:r>
        <w:r w:rsidR="00774DB7">
          <w:rPr>
            <w:webHidden/>
          </w:rPr>
          <w:tab/>
        </w:r>
        <w:r w:rsidR="00774DB7">
          <w:rPr>
            <w:webHidden/>
          </w:rPr>
          <w:fldChar w:fldCharType="begin"/>
        </w:r>
        <w:r w:rsidR="00774DB7">
          <w:rPr>
            <w:webHidden/>
          </w:rPr>
          <w:instrText xml:space="preserve"> PAGEREF _Toc58858590 \h </w:instrText>
        </w:r>
        <w:r w:rsidR="00774DB7">
          <w:rPr>
            <w:webHidden/>
          </w:rPr>
        </w:r>
        <w:r w:rsidR="00774DB7">
          <w:rPr>
            <w:webHidden/>
          </w:rPr>
          <w:fldChar w:fldCharType="separate"/>
        </w:r>
        <w:r w:rsidR="00644CB1">
          <w:rPr>
            <w:webHidden/>
          </w:rPr>
          <w:t>79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1" w:history="1">
        <w:r w:rsidR="00774DB7" w:rsidRPr="00C24443">
          <w:rPr>
            <w:rStyle w:val="Hyperlink"/>
            <w:rFonts w:ascii="Times New Roman" w:hAnsi="Times New Roman"/>
          </w:rPr>
          <w:t>3.1.2.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partnerkockázattal kapcsolatos adatszolgáltatás</w:t>
        </w:r>
        <w:r w:rsidR="00774DB7">
          <w:rPr>
            <w:webHidden/>
          </w:rPr>
          <w:tab/>
        </w:r>
        <w:r w:rsidR="00774DB7">
          <w:rPr>
            <w:webHidden/>
          </w:rPr>
          <w:fldChar w:fldCharType="begin"/>
        </w:r>
        <w:r w:rsidR="00774DB7">
          <w:rPr>
            <w:webHidden/>
          </w:rPr>
          <w:instrText xml:space="preserve"> PAGEREF _Toc58858591 \h </w:instrText>
        </w:r>
        <w:r w:rsidR="00774DB7">
          <w:rPr>
            <w:webHidden/>
          </w:rPr>
        </w:r>
        <w:r w:rsidR="00774DB7">
          <w:rPr>
            <w:webHidden/>
          </w:rPr>
          <w:fldChar w:fldCharType="separate"/>
        </w:r>
        <w:r w:rsidR="00644CB1">
          <w:rPr>
            <w:webHidden/>
          </w:rPr>
          <w:t>79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2" w:history="1">
        <w:r w:rsidR="00774DB7" w:rsidRPr="00C24443">
          <w:rPr>
            <w:rStyle w:val="Hyperlink"/>
            <w:rFonts w:ascii="Times New Roman" w:hAnsi="Times New Roman"/>
          </w:rPr>
          <w:t>3.2.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07.00 – Hitelkockázat, partnerkockázat és nyitva szállítások: a sztenderd módszer szerinti tőkekövetelmény (CR SA)</w:t>
        </w:r>
        <w:r w:rsidR="00774DB7">
          <w:rPr>
            <w:webHidden/>
          </w:rPr>
          <w:tab/>
        </w:r>
        <w:r w:rsidR="00774DB7">
          <w:rPr>
            <w:webHidden/>
          </w:rPr>
          <w:fldChar w:fldCharType="begin"/>
        </w:r>
        <w:r w:rsidR="00774DB7">
          <w:rPr>
            <w:webHidden/>
          </w:rPr>
          <w:instrText xml:space="preserve"> PAGEREF _Toc58858592 \h </w:instrText>
        </w:r>
        <w:r w:rsidR="00774DB7">
          <w:rPr>
            <w:webHidden/>
          </w:rPr>
        </w:r>
        <w:r w:rsidR="00774DB7">
          <w:rPr>
            <w:webHidden/>
          </w:rPr>
          <w:fldChar w:fldCharType="separate"/>
        </w:r>
        <w:r w:rsidR="00644CB1">
          <w:rPr>
            <w:webHidden/>
          </w:rPr>
          <w:t>79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3" w:history="1">
        <w:r w:rsidR="00774DB7" w:rsidRPr="00C24443">
          <w:rPr>
            <w:rStyle w:val="Hyperlink"/>
            <w:rFonts w:ascii="Times New Roman" w:hAnsi="Times New Roman"/>
          </w:rPr>
          <w:t>3.2.1.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_Toc58858593 \h </w:instrText>
        </w:r>
        <w:r w:rsidR="00774DB7">
          <w:rPr>
            <w:webHidden/>
          </w:rPr>
        </w:r>
        <w:r w:rsidR="00774DB7">
          <w:rPr>
            <w:webHidden/>
          </w:rPr>
          <w:fldChar w:fldCharType="separate"/>
        </w:r>
        <w:r w:rsidR="00644CB1">
          <w:rPr>
            <w:webHidden/>
          </w:rPr>
          <w:t>79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4" w:history="1">
        <w:r w:rsidR="00774DB7" w:rsidRPr="00C24443">
          <w:rPr>
            <w:rStyle w:val="Hyperlink"/>
            <w:rFonts w:ascii="Times New Roman" w:hAnsi="Times New Roman"/>
          </w:rPr>
          <w:t>3.2.2.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CR SA tábla alkalmazási köre</w:t>
        </w:r>
        <w:r w:rsidR="00774DB7">
          <w:rPr>
            <w:webHidden/>
          </w:rPr>
          <w:tab/>
        </w:r>
        <w:r w:rsidR="00774DB7">
          <w:rPr>
            <w:webHidden/>
          </w:rPr>
          <w:fldChar w:fldCharType="begin"/>
        </w:r>
        <w:r w:rsidR="00774DB7">
          <w:rPr>
            <w:webHidden/>
          </w:rPr>
          <w:instrText xml:space="preserve"> PAGEREF _Toc58858594 \h </w:instrText>
        </w:r>
        <w:r w:rsidR="00774DB7">
          <w:rPr>
            <w:webHidden/>
          </w:rPr>
        </w:r>
        <w:r w:rsidR="00774DB7">
          <w:rPr>
            <w:webHidden/>
          </w:rPr>
          <w:fldChar w:fldCharType="separate"/>
        </w:r>
        <w:r w:rsidR="00644CB1">
          <w:rPr>
            <w:webHidden/>
          </w:rPr>
          <w:t>80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5" w:history="1">
        <w:r w:rsidR="00774DB7" w:rsidRPr="00C24443">
          <w:rPr>
            <w:rStyle w:val="Hyperlink"/>
            <w:rFonts w:ascii="Times New Roman" w:hAnsi="Times New Roman"/>
          </w:rPr>
          <w:t>3.2.3.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 xml:space="preserve"> A kitettségek kitettségi osztályba sorolása a sztenderd módszerrel</w:t>
        </w:r>
        <w:r w:rsidR="00774DB7">
          <w:rPr>
            <w:webHidden/>
          </w:rPr>
          <w:tab/>
        </w:r>
        <w:r w:rsidR="00774DB7">
          <w:rPr>
            <w:webHidden/>
          </w:rPr>
          <w:fldChar w:fldCharType="begin"/>
        </w:r>
        <w:r w:rsidR="00774DB7">
          <w:rPr>
            <w:webHidden/>
          </w:rPr>
          <w:instrText xml:space="preserve"> PAGEREF _Toc58858595 \h </w:instrText>
        </w:r>
        <w:r w:rsidR="00774DB7">
          <w:rPr>
            <w:webHidden/>
          </w:rPr>
        </w:r>
        <w:r w:rsidR="00774DB7">
          <w:rPr>
            <w:webHidden/>
          </w:rPr>
          <w:fldChar w:fldCharType="separate"/>
        </w:r>
        <w:r w:rsidR="00644CB1">
          <w:rPr>
            <w:webHidden/>
          </w:rPr>
          <w:t>81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6" w:history="1">
        <w:r w:rsidR="00774DB7" w:rsidRPr="00C24443">
          <w:rPr>
            <w:rStyle w:val="Hyperlink"/>
            <w:rFonts w:ascii="Times New Roman" w:hAnsi="Times New Roman"/>
          </w:rPr>
          <w:t>3.2.4.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CRR 112. cikkében említett egyes kitettségi osztályok terjedelmének magyarázata</w:t>
        </w:r>
        <w:r w:rsidR="00774DB7">
          <w:rPr>
            <w:webHidden/>
          </w:rPr>
          <w:tab/>
        </w:r>
        <w:r w:rsidR="00774DB7">
          <w:rPr>
            <w:webHidden/>
          </w:rPr>
          <w:fldChar w:fldCharType="begin"/>
        </w:r>
        <w:r w:rsidR="00774DB7">
          <w:rPr>
            <w:webHidden/>
          </w:rPr>
          <w:instrText xml:space="preserve"> PAGEREF _Toc58858596 \h </w:instrText>
        </w:r>
        <w:r w:rsidR="00774DB7">
          <w:rPr>
            <w:webHidden/>
          </w:rPr>
        </w:r>
        <w:r w:rsidR="00774DB7">
          <w:rPr>
            <w:webHidden/>
          </w:rPr>
          <w:fldChar w:fldCharType="separate"/>
        </w:r>
        <w:r w:rsidR="00644CB1">
          <w:rPr>
            <w:webHidden/>
          </w:rPr>
          <w:t>87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7" w:history="1">
        <w:r w:rsidR="00774DB7" w:rsidRPr="00C24443">
          <w:rPr>
            <w:rStyle w:val="Hyperlink"/>
            <w:rFonts w:ascii="Times New Roman" w:hAnsi="Times New Roman"/>
          </w:rPr>
          <w:t>3.2.4.1.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Az „intézmények” kitettségi osztály</w:t>
        </w:r>
        <w:r w:rsidR="00774DB7">
          <w:rPr>
            <w:webHidden/>
          </w:rPr>
          <w:tab/>
        </w:r>
        <w:r w:rsidR="00774DB7">
          <w:rPr>
            <w:webHidden/>
          </w:rPr>
          <w:fldChar w:fldCharType="begin"/>
        </w:r>
        <w:r w:rsidR="00774DB7">
          <w:rPr>
            <w:webHidden/>
          </w:rPr>
          <w:instrText xml:space="preserve"> PAGEREF _Toc58858597 \h </w:instrText>
        </w:r>
        <w:r w:rsidR="00774DB7">
          <w:rPr>
            <w:webHidden/>
          </w:rPr>
        </w:r>
        <w:r w:rsidR="00774DB7">
          <w:rPr>
            <w:webHidden/>
          </w:rPr>
          <w:fldChar w:fldCharType="separate"/>
        </w:r>
        <w:r w:rsidR="00644CB1">
          <w:rPr>
            <w:webHidden/>
          </w:rPr>
          <w:t>87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8" w:history="1">
        <w:r w:rsidR="00774DB7" w:rsidRPr="00C24443">
          <w:rPr>
            <w:rStyle w:val="Hyperlink"/>
            <w:rFonts w:ascii="Times New Roman" w:hAnsi="Times New Roman"/>
          </w:rPr>
          <w:t>3.2.4.2.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„fedezett kötvények” kitettségi osztály</w:t>
        </w:r>
        <w:r w:rsidR="00774DB7">
          <w:rPr>
            <w:webHidden/>
          </w:rPr>
          <w:tab/>
        </w:r>
        <w:r w:rsidR="00774DB7">
          <w:rPr>
            <w:webHidden/>
          </w:rPr>
          <w:fldChar w:fldCharType="begin"/>
        </w:r>
        <w:r w:rsidR="00774DB7">
          <w:rPr>
            <w:webHidden/>
          </w:rPr>
          <w:instrText xml:space="preserve"> PAGEREF _Toc58858598 \h </w:instrText>
        </w:r>
        <w:r w:rsidR="00774DB7">
          <w:rPr>
            <w:webHidden/>
          </w:rPr>
        </w:r>
        <w:r w:rsidR="00774DB7">
          <w:rPr>
            <w:webHidden/>
          </w:rPr>
          <w:fldChar w:fldCharType="separate"/>
        </w:r>
        <w:r w:rsidR="00644CB1">
          <w:rPr>
            <w:webHidden/>
          </w:rPr>
          <w:t>87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599" w:history="1">
        <w:r w:rsidR="00774DB7" w:rsidRPr="00C24443">
          <w:rPr>
            <w:rStyle w:val="Hyperlink"/>
            <w:rFonts w:ascii="Times New Roman" w:hAnsi="Times New Roman"/>
          </w:rPr>
          <w:t>3.2.4.3.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„kollektív befektetési formák” kitettségi osztály</w:t>
        </w:r>
        <w:r w:rsidR="00774DB7">
          <w:rPr>
            <w:webHidden/>
          </w:rPr>
          <w:tab/>
        </w:r>
        <w:r w:rsidR="00774DB7">
          <w:rPr>
            <w:webHidden/>
          </w:rPr>
          <w:fldChar w:fldCharType="begin"/>
        </w:r>
        <w:r w:rsidR="00774DB7">
          <w:rPr>
            <w:webHidden/>
          </w:rPr>
          <w:instrText xml:space="preserve"> PAGEREF _Toc58858599 \h </w:instrText>
        </w:r>
        <w:r w:rsidR="00774DB7">
          <w:rPr>
            <w:webHidden/>
          </w:rPr>
        </w:r>
        <w:r w:rsidR="00774DB7">
          <w:rPr>
            <w:webHidden/>
          </w:rPr>
          <w:fldChar w:fldCharType="separate"/>
        </w:r>
        <w:r w:rsidR="00644CB1">
          <w:rPr>
            <w:webHidden/>
          </w:rPr>
          <w:t>87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0" w:history="1">
        <w:r w:rsidR="00774DB7" w:rsidRPr="00C24443">
          <w:rPr>
            <w:rStyle w:val="Hyperlink"/>
            <w:rFonts w:ascii="Times New Roman" w:hAnsi="Times New Roman"/>
          </w:rPr>
          <w:t>3.2.5.</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_Toc58858600 \h </w:instrText>
        </w:r>
        <w:r w:rsidR="00774DB7">
          <w:rPr>
            <w:webHidden/>
          </w:rPr>
        </w:r>
        <w:r w:rsidR="00774DB7">
          <w:rPr>
            <w:webHidden/>
          </w:rPr>
          <w:fldChar w:fldCharType="separate"/>
        </w:r>
        <w:r w:rsidR="00644CB1">
          <w:rPr>
            <w:webHidden/>
          </w:rPr>
          <w:t>88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1" w:history="1">
        <w:r w:rsidR="00774DB7" w:rsidRPr="00C24443">
          <w:rPr>
            <w:rStyle w:val="Hyperlink"/>
            <w:rFonts w:ascii="Times New Roman" w:hAnsi="Times New Roman"/>
          </w:rPr>
          <w:t>3.3.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Hitelkockázat, partnerkockázat és nyitva szállítások: az IRB módszer szerinti szavatolótőke-követelmény (CR IRB)</w:t>
        </w:r>
        <w:r w:rsidR="00774DB7">
          <w:rPr>
            <w:webHidden/>
          </w:rPr>
          <w:tab/>
        </w:r>
        <w:r w:rsidR="00774DB7">
          <w:rPr>
            <w:webHidden/>
          </w:rPr>
          <w:fldChar w:fldCharType="begin"/>
        </w:r>
        <w:r w:rsidR="00774DB7">
          <w:rPr>
            <w:webHidden/>
          </w:rPr>
          <w:instrText xml:space="preserve"> PAGEREF _Toc58858601 \h </w:instrText>
        </w:r>
        <w:r w:rsidR="00774DB7">
          <w:rPr>
            <w:webHidden/>
          </w:rPr>
        </w:r>
        <w:r w:rsidR="00774DB7">
          <w:rPr>
            <w:webHidden/>
          </w:rPr>
          <w:fldChar w:fldCharType="separate"/>
        </w:r>
        <w:r w:rsidR="00644CB1">
          <w:rPr>
            <w:webHidden/>
          </w:rPr>
          <w:t>97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2" w:history="1">
        <w:r w:rsidR="00774DB7" w:rsidRPr="00C24443">
          <w:rPr>
            <w:rStyle w:val="Hyperlink"/>
            <w:rFonts w:ascii="Times New Roman" w:hAnsi="Times New Roman"/>
          </w:rPr>
          <w:t>3.3.1.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CR IRB tábla alkalmazási köre</w:t>
        </w:r>
        <w:r w:rsidR="00774DB7">
          <w:rPr>
            <w:webHidden/>
          </w:rPr>
          <w:tab/>
        </w:r>
        <w:r w:rsidR="00774DB7">
          <w:rPr>
            <w:webHidden/>
          </w:rPr>
          <w:fldChar w:fldCharType="begin"/>
        </w:r>
        <w:r w:rsidR="00774DB7">
          <w:rPr>
            <w:webHidden/>
          </w:rPr>
          <w:instrText xml:space="preserve"> PAGEREF _Toc58858602 \h </w:instrText>
        </w:r>
        <w:r w:rsidR="00774DB7">
          <w:rPr>
            <w:webHidden/>
          </w:rPr>
        </w:r>
        <w:r w:rsidR="00774DB7">
          <w:rPr>
            <w:webHidden/>
          </w:rPr>
          <w:fldChar w:fldCharType="separate"/>
        </w:r>
        <w:r w:rsidR="00644CB1">
          <w:rPr>
            <w:webHidden/>
          </w:rPr>
          <w:t>97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3" w:history="1">
        <w:r w:rsidR="00774DB7" w:rsidRPr="00C24443">
          <w:rPr>
            <w:rStyle w:val="Hyperlink"/>
            <w:rFonts w:ascii="Times New Roman" w:hAnsi="Times New Roman"/>
          </w:rPr>
          <w:t>3.3.2.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CR IRB táblacsoport felosztása</w:t>
        </w:r>
        <w:r w:rsidR="00774DB7">
          <w:rPr>
            <w:webHidden/>
          </w:rPr>
          <w:tab/>
        </w:r>
        <w:r w:rsidR="00774DB7">
          <w:rPr>
            <w:webHidden/>
          </w:rPr>
          <w:fldChar w:fldCharType="begin"/>
        </w:r>
        <w:r w:rsidR="00774DB7">
          <w:rPr>
            <w:webHidden/>
          </w:rPr>
          <w:instrText xml:space="preserve"> PAGEREF _Toc58858603 \h </w:instrText>
        </w:r>
        <w:r w:rsidR="00774DB7">
          <w:rPr>
            <w:webHidden/>
          </w:rPr>
        </w:r>
        <w:r w:rsidR="00774DB7">
          <w:rPr>
            <w:webHidden/>
          </w:rPr>
          <w:fldChar w:fldCharType="separate"/>
        </w:r>
        <w:r w:rsidR="00644CB1">
          <w:rPr>
            <w:webHidden/>
          </w:rPr>
          <w:t>98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4" w:history="1">
        <w:r w:rsidR="00774DB7" w:rsidRPr="00C24443">
          <w:rPr>
            <w:rStyle w:val="Hyperlink"/>
            <w:rFonts w:ascii="Times New Roman" w:hAnsi="Times New Roman"/>
          </w:rPr>
          <w:t>3.3.3.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08.01 – Hitelkockázat, partnerkockázat és nyitva szállítások: IRB módszer szerinti tőkekövetelmény (CR IRB 1)</w:t>
        </w:r>
        <w:r w:rsidR="00774DB7">
          <w:rPr>
            <w:webHidden/>
          </w:rPr>
          <w:tab/>
        </w:r>
        <w:r w:rsidR="00774DB7">
          <w:rPr>
            <w:webHidden/>
          </w:rPr>
          <w:fldChar w:fldCharType="begin"/>
        </w:r>
        <w:r w:rsidR="00774DB7">
          <w:rPr>
            <w:webHidden/>
          </w:rPr>
          <w:instrText xml:space="preserve"> PAGEREF _Toc58858604 \h </w:instrText>
        </w:r>
        <w:r w:rsidR="00774DB7">
          <w:rPr>
            <w:webHidden/>
          </w:rPr>
        </w:r>
        <w:r w:rsidR="00774DB7">
          <w:rPr>
            <w:webHidden/>
          </w:rPr>
          <w:fldChar w:fldCharType="separate"/>
        </w:r>
        <w:r w:rsidR="00644CB1">
          <w:rPr>
            <w:webHidden/>
          </w:rPr>
          <w:t>99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5" w:history="1">
        <w:r w:rsidR="00774DB7" w:rsidRPr="00C24443">
          <w:rPr>
            <w:rStyle w:val="Hyperlink"/>
            <w:rFonts w:ascii="Times New Roman" w:hAnsi="Times New Roman"/>
          </w:rPr>
          <w:t>3.3.3.1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_Toc58858605 \h </w:instrText>
        </w:r>
        <w:r w:rsidR="00774DB7">
          <w:rPr>
            <w:webHidden/>
          </w:rPr>
        </w:r>
        <w:r w:rsidR="00774DB7">
          <w:rPr>
            <w:webHidden/>
          </w:rPr>
          <w:fldChar w:fldCharType="separate"/>
        </w:r>
        <w:r w:rsidR="00644CB1">
          <w:rPr>
            <w:webHidden/>
          </w:rPr>
          <w:t>99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6" w:history="1">
        <w:r w:rsidR="00774DB7" w:rsidRPr="00C24443">
          <w:rPr>
            <w:rStyle w:val="Hyperlink"/>
            <w:rFonts w:ascii="Times New Roman" w:hAnsi="Times New Roman"/>
          </w:rPr>
          <w:t>3.3.4.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08.02 – Hitelkockázat, partnerkockázat és nyitva szállítások: IRB módszer szerinti tőkekövetelmény: ügyfél-kategória vagy -halmaz (pool) szerint (CR IRB 2 tábla)</w:t>
        </w:r>
        <w:r w:rsidR="00774DB7">
          <w:rPr>
            <w:webHidden/>
          </w:rPr>
          <w:tab/>
        </w:r>
        <w:r w:rsidR="00774DB7">
          <w:rPr>
            <w:webHidden/>
          </w:rPr>
          <w:fldChar w:fldCharType="begin"/>
        </w:r>
        <w:r w:rsidR="00774DB7">
          <w:rPr>
            <w:webHidden/>
          </w:rPr>
          <w:instrText xml:space="preserve"> PAGEREF _Toc58858606 \h </w:instrText>
        </w:r>
        <w:r w:rsidR="00774DB7">
          <w:rPr>
            <w:webHidden/>
          </w:rPr>
        </w:r>
        <w:r w:rsidR="00774DB7">
          <w:rPr>
            <w:webHidden/>
          </w:rPr>
          <w:fldChar w:fldCharType="separate"/>
        </w:r>
        <w:r w:rsidR="00644CB1">
          <w:rPr>
            <w:webHidden/>
          </w:rPr>
          <w:t>110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7" w:history="1">
        <w:r w:rsidR="00774DB7" w:rsidRPr="00C24443">
          <w:rPr>
            <w:rStyle w:val="Hyperlink"/>
            <w:rFonts w:ascii="Times New Roman" w:hAnsi="Times New Roman"/>
          </w:rPr>
          <w:t>3.3.1.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08.03 – Hitelkockázat és nyitva szállítások: IRB módszer szerinti tőkekövetelmény: PD-sávok szerinti bontás (CR IRB 3)</w:t>
        </w:r>
        <w:r w:rsidR="00774DB7">
          <w:rPr>
            <w:webHidden/>
          </w:rPr>
          <w:tab/>
        </w:r>
        <w:r w:rsidR="00774DB7">
          <w:rPr>
            <w:webHidden/>
          </w:rPr>
          <w:fldChar w:fldCharType="begin"/>
        </w:r>
        <w:r w:rsidR="00774DB7">
          <w:rPr>
            <w:webHidden/>
          </w:rPr>
          <w:instrText xml:space="preserve"> PAGEREF _Toc58858607 \h </w:instrText>
        </w:r>
        <w:r w:rsidR="00774DB7">
          <w:rPr>
            <w:webHidden/>
          </w:rPr>
        </w:r>
        <w:r w:rsidR="00774DB7">
          <w:rPr>
            <w:webHidden/>
          </w:rPr>
          <w:fldChar w:fldCharType="separate"/>
        </w:r>
        <w:r w:rsidR="00644CB1">
          <w:rPr>
            <w:webHidden/>
          </w:rPr>
          <w:t>110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8" w:history="1">
        <w:r w:rsidR="00774DB7" w:rsidRPr="00C24443">
          <w:rPr>
            <w:rStyle w:val="Hyperlink"/>
            <w:rFonts w:ascii="Times New Roman" w:hAnsi="Times New Roman"/>
          </w:rPr>
          <w:t>3.3.1.1.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_Toc58858608 \h </w:instrText>
        </w:r>
        <w:r w:rsidR="00774DB7">
          <w:rPr>
            <w:webHidden/>
          </w:rPr>
        </w:r>
        <w:r w:rsidR="00774DB7">
          <w:rPr>
            <w:webHidden/>
          </w:rPr>
          <w:fldChar w:fldCharType="separate"/>
        </w:r>
        <w:r w:rsidR="00644CB1">
          <w:rPr>
            <w:webHidden/>
          </w:rPr>
          <w:t>110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09" w:history="1">
        <w:r w:rsidR="00774DB7" w:rsidRPr="00C24443">
          <w:rPr>
            <w:rStyle w:val="Hyperlink"/>
            <w:rFonts w:ascii="Times New Roman" w:hAnsi="Times New Roman"/>
          </w:rPr>
          <w:t>3.3.1.2.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_Toc58858609 \h </w:instrText>
        </w:r>
        <w:r w:rsidR="00774DB7">
          <w:rPr>
            <w:webHidden/>
          </w:rPr>
        </w:r>
        <w:r w:rsidR="00774DB7">
          <w:rPr>
            <w:webHidden/>
          </w:rPr>
          <w:fldChar w:fldCharType="separate"/>
        </w:r>
        <w:r w:rsidR="00644CB1">
          <w:rPr>
            <w:webHidden/>
          </w:rPr>
          <w:t>110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0" w:history="1">
        <w:r w:rsidR="00774DB7" w:rsidRPr="00C24443">
          <w:rPr>
            <w:rStyle w:val="Hyperlink"/>
            <w:rFonts w:ascii="Times New Roman" w:hAnsi="Times New Roman"/>
          </w:rPr>
          <w:t>3.3.2.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08.04 – Hitelkockázat és nyitva szállítások: IRB módszer szerinti tőkekövetelmény: a kockázattal súlyozott kitettségérték változásának kimutatása (CR IRB 4)</w:t>
        </w:r>
        <w:r w:rsidR="00774DB7">
          <w:rPr>
            <w:webHidden/>
          </w:rPr>
          <w:tab/>
        </w:r>
        <w:r w:rsidR="00774DB7">
          <w:rPr>
            <w:webHidden/>
          </w:rPr>
          <w:fldChar w:fldCharType="begin"/>
        </w:r>
        <w:r w:rsidR="00774DB7">
          <w:rPr>
            <w:webHidden/>
          </w:rPr>
          <w:instrText xml:space="preserve"> PAGEREF _Toc58858610 \h </w:instrText>
        </w:r>
        <w:r w:rsidR="00774DB7">
          <w:rPr>
            <w:webHidden/>
          </w:rPr>
        </w:r>
        <w:r w:rsidR="00774DB7">
          <w:rPr>
            <w:webHidden/>
          </w:rPr>
          <w:fldChar w:fldCharType="separate"/>
        </w:r>
        <w:r w:rsidR="00644CB1">
          <w:rPr>
            <w:webHidden/>
          </w:rPr>
          <w:t>113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1" w:history="1">
        <w:r w:rsidR="00774DB7" w:rsidRPr="00C24443">
          <w:rPr>
            <w:rStyle w:val="Hyperlink"/>
            <w:rFonts w:ascii="Times New Roman" w:hAnsi="Times New Roman"/>
          </w:rPr>
          <w:t>3.3.2.1.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_Toc58858611 \h </w:instrText>
        </w:r>
        <w:r w:rsidR="00774DB7">
          <w:rPr>
            <w:webHidden/>
          </w:rPr>
        </w:r>
        <w:r w:rsidR="00774DB7">
          <w:rPr>
            <w:webHidden/>
          </w:rPr>
          <w:fldChar w:fldCharType="separate"/>
        </w:r>
        <w:r w:rsidR="00644CB1">
          <w:rPr>
            <w:webHidden/>
          </w:rPr>
          <w:t>113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2" w:history="1">
        <w:r w:rsidR="00774DB7" w:rsidRPr="00C24443">
          <w:rPr>
            <w:rStyle w:val="Hyperlink"/>
            <w:rFonts w:ascii="Times New Roman" w:hAnsi="Times New Roman"/>
          </w:rPr>
          <w:t>3.3.2.2.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_Toc58858612 \h </w:instrText>
        </w:r>
        <w:r w:rsidR="00774DB7">
          <w:rPr>
            <w:webHidden/>
          </w:rPr>
        </w:r>
        <w:r w:rsidR="00774DB7">
          <w:rPr>
            <w:webHidden/>
          </w:rPr>
          <w:fldChar w:fldCharType="separate"/>
        </w:r>
        <w:r w:rsidR="00644CB1">
          <w:rPr>
            <w:webHidden/>
          </w:rPr>
          <w:t>113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3" w:history="1">
        <w:r w:rsidR="00774DB7" w:rsidRPr="00C24443">
          <w:rPr>
            <w:rStyle w:val="Hyperlink"/>
            <w:rFonts w:ascii="Times New Roman" w:hAnsi="Times New Roman"/>
          </w:rPr>
          <w:t>3.3.3.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08.05 – Hitelkockázat és nyitva szállítások: IRB módszer szerinti tőkekövetelmény: PD utótesztelése (CR IRB 5)</w:t>
        </w:r>
        <w:r w:rsidR="00774DB7">
          <w:rPr>
            <w:webHidden/>
          </w:rPr>
          <w:tab/>
        </w:r>
        <w:r w:rsidR="00774DB7">
          <w:rPr>
            <w:webHidden/>
          </w:rPr>
          <w:fldChar w:fldCharType="begin"/>
        </w:r>
        <w:r w:rsidR="00774DB7">
          <w:rPr>
            <w:webHidden/>
          </w:rPr>
          <w:instrText xml:space="preserve"> PAGEREF _Toc58858613 \h </w:instrText>
        </w:r>
        <w:r w:rsidR="00774DB7">
          <w:rPr>
            <w:webHidden/>
          </w:rPr>
        </w:r>
        <w:r w:rsidR="00774DB7">
          <w:rPr>
            <w:webHidden/>
          </w:rPr>
          <w:fldChar w:fldCharType="separate"/>
        </w:r>
        <w:r w:rsidR="00644CB1">
          <w:rPr>
            <w:webHidden/>
          </w:rPr>
          <w:t>115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4" w:history="1">
        <w:r w:rsidR="00774DB7" w:rsidRPr="00C24443">
          <w:rPr>
            <w:rStyle w:val="Hyperlink"/>
            <w:rFonts w:ascii="Times New Roman" w:hAnsi="Times New Roman"/>
          </w:rPr>
          <w:t>3.3.3.1.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_Toc58858614 \h </w:instrText>
        </w:r>
        <w:r w:rsidR="00774DB7">
          <w:rPr>
            <w:webHidden/>
          </w:rPr>
        </w:r>
        <w:r w:rsidR="00774DB7">
          <w:rPr>
            <w:webHidden/>
          </w:rPr>
          <w:fldChar w:fldCharType="separate"/>
        </w:r>
        <w:r w:rsidR="00644CB1">
          <w:rPr>
            <w:webHidden/>
          </w:rPr>
          <w:t>115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5" w:history="1">
        <w:r w:rsidR="00774DB7" w:rsidRPr="00C24443">
          <w:rPr>
            <w:rStyle w:val="Hyperlink"/>
            <w:rFonts w:ascii="Times New Roman" w:hAnsi="Times New Roman"/>
          </w:rPr>
          <w:t>3.3.3.2.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_Toc58858615 \h </w:instrText>
        </w:r>
        <w:r w:rsidR="00774DB7">
          <w:rPr>
            <w:webHidden/>
          </w:rPr>
        </w:r>
        <w:r w:rsidR="00774DB7">
          <w:rPr>
            <w:webHidden/>
          </w:rPr>
          <w:fldChar w:fldCharType="separate"/>
        </w:r>
        <w:r w:rsidR="00644CB1">
          <w:rPr>
            <w:webHidden/>
          </w:rPr>
          <w:t>115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6" w:history="1">
        <w:r w:rsidR="00774DB7" w:rsidRPr="00C24443">
          <w:rPr>
            <w:rStyle w:val="Hyperlink"/>
            <w:rFonts w:ascii="Times New Roman" w:hAnsi="Times New Roman"/>
          </w:rPr>
          <w:t>3.3.4.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08.05.1 – Hitelkockázat és nyitva szállítások: IRB módszer szerinti tőkekövetelmény: PD utótesztelése (CR IRB 5B)</w:t>
        </w:r>
        <w:r w:rsidR="00774DB7">
          <w:rPr>
            <w:webHidden/>
          </w:rPr>
          <w:tab/>
        </w:r>
        <w:r w:rsidR="00774DB7">
          <w:rPr>
            <w:webHidden/>
          </w:rPr>
          <w:fldChar w:fldCharType="begin"/>
        </w:r>
        <w:r w:rsidR="00774DB7">
          <w:rPr>
            <w:webHidden/>
          </w:rPr>
          <w:instrText xml:space="preserve"> PAGEREF _Toc58858616 \h </w:instrText>
        </w:r>
        <w:r w:rsidR="00774DB7">
          <w:rPr>
            <w:webHidden/>
          </w:rPr>
        </w:r>
        <w:r w:rsidR="00774DB7">
          <w:rPr>
            <w:webHidden/>
          </w:rPr>
          <w:fldChar w:fldCharType="separate"/>
        </w:r>
        <w:r w:rsidR="00644CB1">
          <w:rPr>
            <w:webHidden/>
          </w:rPr>
          <w:t>116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7" w:history="1">
        <w:r w:rsidR="00774DB7" w:rsidRPr="00C24443">
          <w:rPr>
            <w:rStyle w:val="Hyperlink"/>
            <w:rFonts w:ascii="Times New Roman" w:hAnsi="Times New Roman"/>
          </w:rPr>
          <w:t>3.3.4.1.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_Toc58858617 \h </w:instrText>
        </w:r>
        <w:r w:rsidR="00774DB7">
          <w:rPr>
            <w:webHidden/>
          </w:rPr>
        </w:r>
        <w:r w:rsidR="00774DB7">
          <w:rPr>
            <w:webHidden/>
          </w:rPr>
          <w:fldChar w:fldCharType="separate"/>
        </w:r>
        <w:r w:rsidR="00644CB1">
          <w:rPr>
            <w:webHidden/>
          </w:rPr>
          <w:t>116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8" w:history="1">
        <w:r w:rsidR="00774DB7" w:rsidRPr="00C24443">
          <w:rPr>
            <w:rStyle w:val="Hyperlink"/>
            <w:rFonts w:ascii="Times New Roman" w:hAnsi="Times New Roman"/>
          </w:rPr>
          <w:t>3.3.5.</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08.06 – Hitelkockázat és nyitva szállítások: IRB módszer szerinti tőkekövetelmény: slotting módszer szerinti speciális hitelezési kitettségek (CR IRB 6)</w:t>
        </w:r>
        <w:r w:rsidR="00774DB7">
          <w:rPr>
            <w:webHidden/>
          </w:rPr>
          <w:tab/>
        </w:r>
        <w:r w:rsidR="00774DB7">
          <w:rPr>
            <w:webHidden/>
          </w:rPr>
          <w:fldChar w:fldCharType="begin"/>
        </w:r>
        <w:r w:rsidR="00774DB7">
          <w:rPr>
            <w:webHidden/>
          </w:rPr>
          <w:instrText xml:space="preserve"> PAGEREF _Toc58858618 \h </w:instrText>
        </w:r>
        <w:r w:rsidR="00774DB7">
          <w:rPr>
            <w:webHidden/>
          </w:rPr>
        </w:r>
        <w:r w:rsidR="00774DB7">
          <w:rPr>
            <w:webHidden/>
          </w:rPr>
          <w:fldChar w:fldCharType="separate"/>
        </w:r>
        <w:r w:rsidR="00644CB1">
          <w:rPr>
            <w:webHidden/>
          </w:rPr>
          <w:t>117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19" w:history="1">
        <w:r w:rsidR="00774DB7" w:rsidRPr="00C24443">
          <w:rPr>
            <w:rStyle w:val="Hyperlink"/>
            <w:rFonts w:ascii="Times New Roman" w:hAnsi="Times New Roman"/>
          </w:rPr>
          <w:t>3.3.5.1.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_Toc58858619 \h </w:instrText>
        </w:r>
        <w:r w:rsidR="00774DB7">
          <w:rPr>
            <w:webHidden/>
          </w:rPr>
        </w:r>
        <w:r w:rsidR="00774DB7">
          <w:rPr>
            <w:webHidden/>
          </w:rPr>
          <w:fldChar w:fldCharType="separate"/>
        </w:r>
        <w:r w:rsidR="00644CB1">
          <w:rPr>
            <w:webHidden/>
          </w:rPr>
          <w:t>117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0" w:history="1">
        <w:r w:rsidR="00774DB7" w:rsidRPr="00C24443">
          <w:rPr>
            <w:rStyle w:val="Hyperlink"/>
            <w:rFonts w:ascii="Times New Roman" w:hAnsi="Times New Roman"/>
          </w:rPr>
          <w:t>3.3.5.2.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_Toc58858620 \h </w:instrText>
        </w:r>
        <w:r w:rsidR="00774DB7">
          <w:rPr>
            <w:webHidden/>
          </w:rPr>
        </w:r>
        <w:r w:rsidR="00774DB7">
          <w:rPr>
            <w:webHidden/>
          </w:rPr>
          <w:fldChar w:fldCharType="separate"/>
        </w:r>
        <w:r w:rsidR="00644CB1">
          <w:rPr>
            <w:webHidden/>
          </w:rPr>
          <w:t>117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1" w:history="1">
        <w:r w:rsidR="00774DB7" w:rsidRPr="00C24443">
          <w:rPr>
            <w:rStyle w:val="Hyperlink"/>
            <w:rFonts w:ascii="Times New Roman" w:hAnsi="Times New Roman"/>
          </w:rPr>
          <w:t>3.3.6.</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08.07 – Hitelkockázat és nyitva szállítások: IRB módszer szerinti tőkekövetelmény: az IRB módszer és a sztenderd módszer alkalmazási köre (CR IRB 7)</w:t>
        </w:r>
        <w:r w:rsidR="00774DB7">
          <w:rPr>
            <w:webHidden/>
          </w:rPr>
          <w:tab/>
        </w:r>
        <w:r w:rsidR="00774DB7">
          <w:rPr>
            <w:webHidden/>
          </w:rPr>
          <w:fldChar w:fldCharType="begin"/>
        </w:r>
        <w:r w:rsidR="00774DB7">
          <w:rPr>
            <w:webHidden/>
          </w:rPr>
          <w:instrText xml:space="preserve"> PAGEREF _Toc58858621 \h </w:instrText>
        </w:r>
        <w:r w:rsidR="00774DB7">
          <w:rPr>
            <w:webHidden/>
          </w:rPr>
        </w:r>
        <w:r w:rsidR="00774DB7">
          <w:rPr>
            <w:webHidden/>
          </w:rPr>
          <w:fldChar w:fldCharType="separate"/>
        </w:r>
        <w:r w:rsidR="00644CB1">
          <w:rPr>
            <w:webHidden/>
          </w:rPr>
          <w:t>118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2" w:history="1">
        <w:r w:rsidR="00774DB7" w:rsidRPr="00C24443">
          <w:rPr>
            <w:rStyle w:val="Hyperlink"/>
            <w:rFonts w:ascii="Times New Roman" w:hAnsi="Times New Roman"/>
          </w:rPr>
          <w:t>3.3.6.1.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_Toc58858622 \h </w:instrText>
        </w:r>
        <w:r w:rsidR="00774DB7">
          <w:rPr>
            <w:webHidden/>
          </w:rPr>
        </w:r>
        <w:r w:rsidR="00774DB7">
          <w:rPr>
            <w:webHidden/>
          </w:rPr>
          <w:fldChar w:fldCharType="separate"/>
        </w:r>
        <w:r w:rsidR="00644CB1">
          <w:rPr>
            <w:webHidden/>
          </w:rPr>
          <w:t>118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3" w:history="1">
        <w:r w:rsidR="00774DB7" w:rsidRPr="00C24443">
          <w:rPr>
            <w:rStyle w:val="Hyperlink"/>
            <w:rFonts w:ascii="Times New Roman" w:hAnsi="Times New Roman"/>
          </w:rPr>
          <w:t>3.3.6.2.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_Toc58858623 \h </w:instrText>
        </w:r>
        <w:r w:rsidR="00774DB7">
          <w:rPr>
            <w:webHidden/>
          </w:rPr>
        </w:r>
        <w:r w:rsidR="00774DB7">
          <w:rPr>
            <w:webHidden/>
          </w:rPr>
          <w:fldChar w:fldCharType="separate"/>
        </w:r>
        <w:r w:rsidR="00644CB1">
          <w:rPr>
            <w:webHidden/>
          </w:rPr>
          <w:t>118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4" w:history="1">
        <w:r w:rsidR="00774DB7" w:rsidRPr="00C24443">
          <w:rPr>
            <w:rStyle w:val="Hyperlink"/>
            <w:rFonts w:ascii="Times New Roman" w:hAnsi="Times New Roman"/>
          </w:rPr>
          <w:t>3.4.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Hitelkockázat, partnerkockázat és nyitva szállítások: földrajzi megoszlás</w:t>
        </w:r>
        <w:r w:rsidR="00774DB7">
          <w:rPr>
            <w:webHidden/>
          </w:rPr>
          <w:tab/>
        </w:r>
        <w:r w:rsidR="00774DB7">
          <w:rPr>
            <w:webHidden/>
          </w:rPr>
          <w:fldChar w:fldCharType="begin"/>
        </w:r>
        <w:r w:rsidR="00774DB7">
          <w:rPr>
            <w:webHidden/>
          </w:rPr>
          <w:instrText xml:space="preserve"> PAGEREF _Toc58858624 \h </w:instrText>
        </w:r>
        <w:r w:rsidR="00774DB7">
          <w:rPr>
            <w:webHidden/>
          </w:rPr>
        </w:r>
        <w:r w:rsidR="00774DB7">
          <w:rPr>
            <w:webHidden/>
          </w:rPr>
          <w:fldChar w:fldCharType="separate"/>
        </w:r>
        <w:r w:rsidR="00644CB1">
          <w:rPr>
            <w:webHidden/>
          </w:rPr>
          <w:t>120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5" w:history="1">
        <w:r w:rsidR="00774DB7" w:rsidRPr="00C24443">
          <w:rPr>
            <w:rStyle w:val="Hyperlink"/>
            <w:rFonts w:ascii="Times New Roman" w:hAnsi="Times New Roman"/>
          </w:rPr>
          <w:t>3.4.1.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09.01 – Kitettségek földrajzi bontása a kötelezett illetősége szerint: SA kitettségek (CR GB 1)</w:t>
        </w:r>
        <w:r w:rsidR="00774DB7">
          <w:rPr>
            <w:webHidden/>
          </w:rPr>
          <w:tab/>
        </w:r>
        <w:r w:rsidR="00774DB7">
          <w:rPr>
            <w:webHidden/>
          </w:rPr>
          <w:fldChar w:fldCharType="begin"/>
        </w:r>
        <w:r w:rsidR="00774DB7">
          <w:rPr>
            <w:webHidden/>
          </w:rPr>
          <w:instrText xml:space="preserve"> PAGEREF _Toc58858625 \h </w:instrText>
        </w:r>
        <w:r w:rsidR="00774DB7">
          <w:rPr>
            <w:webHidden/>
          </w:rPr>
        </w:r>
        <w:r w:rsidR="00774DB7">
          <w:rPr>
            <w:webHidden/>
          </w:rPr>
          <w:fldChar w:fldCharType="separate"/>
        </w:r>
        <w:r w:rsidR="00644CB1">
          <w:rPr>
            <w:webHidden/>
          </w:rPr>
          <w:t>120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6" w:history="1">
        <w:r w:rsidR="00774DB7" w:rsidRPr="00C24443">
          <w:rPr>
            <w:rStyle w:val="Hyperlink"/>
            <w:rFonts w:ascii="Times New Roman" w:hAnsi="Times New Roman"/>
          </w:rPr>
          <w:t>3.4.1.1.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_Toc58858626 \h </w:instrText>
        </w:r>
        <w:r w:rsidR="00774DB7">
          <w:rPr>
            <w:webHidden/>
          </w:rPr>
        </w:r>
        <w:r w:rsidR="00774DB7">
          <w:rPr>
            <w:webHidden/>
          </w:rPr>
          <w:fldChar w:fldCharType="separate"/>
        </w:r>
        <w:r w:rsidR="00644CB1">
          <w:rPr>
            <w:webHidden/>
          </w:rPr>
          <w:t>120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7" w:history="1">
        <w:r w:rsidR="00774DB7" w:rsidRPr="00C24443">
          <w:rPr>
            <w:rStyle w:val="Hyperlink"/>
            <w:rFonts w:ascii="Times New Roman" w:hAnsi="Times New Roman"/>
          </w:rPr>
          <w:t>3.4.2.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09.02 – Kitettségek földrajzi bontása a kötelezett illetősége szerint: IRB-kitettségek (CR GB 2)</w:t>
        </w:r>
        <w:r w:rsidR="00774DB7">
          <w:rPr>
            <w:webHidden/>
          </w:rPr>
          <w:tab/>
        </w:r>
        <w:r w:rsidR="00774DB7">
          <w:rPr>
            <w:webHidden/>
          </w:rPr>
          <w:fldChar w:fldCharType="begin"/>
        </w:r>
        <w:r w:rsidR="00774DB7">
          <w:rPr>
            <w:webHidden/>
          </w:rPr>
          <w:instrText xml:space="preserve"> PAGEREF _Toc58858627 \h </w:instrText>
        </w:r>
        <w:r w:rsidR="00774DB7">
          <w:rPr>
            <w:webHidden/>
          </w:rPr>
        </w:r>
        <w:r w:rsidR="00774DB7">
          <w:rPr>
            <w:webHidden/>
          </w:rPr>
          <w:fldChar w:fldCharType="separate"/>
        </w:r>
        <w:r w:rsidR="00644CB1">
          <w:rPr>
            <w:webHidden/>
          </w:rPr>
          <w:t>123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8" w:history="1">
        <w:r w:rsidR="00774DB7" w:rsidRPr="00C24443">
          <w:rPr>
            <w:rStyle w:val="Hyperlink"/>
            <w:rFonts w:ascii="Times New Roman" w:hAnsi="Times New Roman"/>
          </w:rPr>
          <w:t>3.4.2.1.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_Toc58858628 \h </w:instrText>
        </w:r>
        <w:r w:rsidR="00774DB7">
          <w:rPr>
            <w:webHidden/>
          </w:rPr>
        </w:r>
        <w:r w:rsidR="00774DB7">
          <w:rPr>
            <w:webHidden/>
          </w:rPr>
          <w:fldChar w:fldCharType="separate"/>
        </w:r>
        <w:r w:rsidR="00644CB1">
          <w:rPr>
            <w:webHidden/>
          </w:rPr>
          <w:t>123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29" w:history="1">
        <w:r w:rsidR="00774DB7" w:rsidRPr="00C24443">
          <w:rPr>
            <w:rStyle w:val="Hyperlink"/>
            <w:rFonts w:ascii="Times New Roman" w:hAnsi="Times New Roman"/>
          </w:rPr>
          <w:t>3.4.3.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09.04 – A lényeges hitelkockázati kitettségek országonkénti bontása az anticiklikus tőkepuffer és az intézményspecifikus anticiklikus tőkepuffer kiszámításához (CCB)</w:t>
        </w:r>
        <w:r w:rsidR="00774DB7">
          <w:rPr>
            <w:webHidden/>
          </w:rPr>
          <w:tab/>
        </w:r>
        <w:r w:rsidR="00774DB7">
          <w:rPr>
            <w:webHidden/>
          </w:rPr>
          <w:fldChar w:fldCharType="begin"/>
        </w:r>
        <w:r w:rsidR="00774DB7">
          <w:rPr>
            <w:webHidden/>
          </w:rPr>
          <w:instrText xml:space="preserve"> PAGEREF _Toc58858629 \h </w:instrText>
        </w:r>
        <w:r w:rsidR="00774DB7">
          <w:rPr>
            <w:webHidden/>
          </w:rPr>
        </w:r>
        <w:r w:rsidR="00774DB7">
          <w:rPr>
            <w:webHidden/>
          </w:rPr>
          <w:fldChar w:fldCharType="separate"/>
        </w:r>
        <w:r w:rsidR="00644CB1">
          <w:rPr>
            <w:webHidden/>
          </w:rPr>
          <w:t>126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0" w:history="1">
        <w:r w:rsidR="00774DB7" w:rsidRPr="00C24443">
          <w:rPr>
            <w:rStyle w:val="Hyperlink"/>
            <w:rFonts w:ascii="Times New Roman" w:hAnsi="Times New Roman"/>
          </w:rPr>
          <w:t>3.4.3.1.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_Toc58858630 \h </w:instrText>
        </w:r>
        <w:r w:rsidR="00774DB7">
          <w:rPr>
            <w:webHidden/>
          </w:rPr>
        </w:r>
        <w:r w:rsidR="00774DB7">
          <w:rPr>
            <w:webHidden/>
          </w:rPr>
          <w:fldChar w:fldCharType="separate"/>
        </w:r>
        <w:r w:rsidR="00644CB1">
          <w:rPr>
            <w:webHidden/>
          </w:rPr>
          <w:t>126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1" w:history="1">
        <w:r w:rsidR="00774DB7" w:rsidRPr="00C24443">
          <w:rPr>
            <w:rStyle w:val="Hyperlink"/>
            <w:rFonts w:ascii="Times New Roman" w:hAnsi="Times New Roman"/>
          </w:rPr>
          <w:t>3.4.3.2.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_Toc58858631 \h </w:instrText>
        </w:r>
        <w:r w:rsidR="00774DB7">
          <w:rPr>
            <w:webHidden/>
          </w:rPr>
        </w:r>
        <w:r w:rsidR="00774DB7">
          <w:rPr>
            <w:webHidden/>
          </w:rPr>
          <w:fldChar w:fldCharType="separate"/>
        </w:r>
        <w:r w:rsidR="00644CB1">
          <w:rPr>
            <w:webHidden/>
          </w:rPr>
          <w:t>127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2" w:history="1">
        <w:r w:rsidR="00774DB7" w:rsidRPr="00C24443">
          <w:rPr>
            <w:rStyle w:val="Hyperlink"/>
            <w:rFonts w:ascii="Times New Roman" w:hAnsi="Times New Roman"/>
          </w:rPr>
          <w:t>3.5.</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10.01 és C 10.02 – A belső minősítésen alapuló módszer szerinti részvényjellegű kitettségek (CR EQU IRB 1 és CR EQU IRB 2)</w:t>
        </w:r>
        <w:r w:rsidR="00774DB7">
          <w:rPr>
            <w:webHidden/>
          </w:rPr>
          <w:tab/>
        </w:r>
        <w:r w:rsidR="00774DB7">
          <w:rPr>
            <w:webHidden/>
          </w:rPr>
          <w:fldChar w:fldCharType="begin"/>
        </w:r>
        <w:r w:rsidR="00774DB7">
          <w:rPr>
            <w:webHidden/>
          </w:rPr>
          <w:instrText xml:space="preserve"> PAGEREF _Toc58858632 \h </w:instrText>
        </w:r>
        <w:r w:rsidR="00774DB7">
          <w:rPr>
            <w:webHidden/>
          </w:rPr>
        </w:r>
        <w:r w:rsidR="00774DB7">
          <w:rPr>
            <w:webHidden/>
          </w:rPr>
          <w:fldChar w:fldCharType="separate"/>
        </w:r>
        <w:r w:rsidR="00644CB1">
          <w:rPr>
            <w:webHidden/>
          </w:rPr>
          <w:t>131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3" w:history="1">
        <w:r w:rsidR="00774DB7" w:rsidRPr="00C24443">
          <w:rPr>
            <w:rStyle w:val="Hyperlink"/>
            <w:rFonts w:ascii="Times New Roman" w:hAnsi="Times New Roman"/>
          </w:rPr>
          <w:t>3.5.1.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_Toc58858633 \h </w:instrText>
        </w:r>
        <w:r w:rsidR="00774DB7">
          <w:rPr>
            <w:webHidden/>
          </w:rPr>
        </w:r>
        <w:r w:rsidR="00774DB7">
          <w:rPr>
            <w:webHidden/>
          </w:rPr>
          <w:fldChar w:fldCharType="separate"/>
        </w:r>
        <w:r w:rsidR="00644CB1">
          <w:rPr>
            <w:webHidden/>
          </w:rPr>
          <w:t>131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4" w:history="1">
        <w:r w:rsidR="00774DB7" w:rsidRPr="00C24443">
          <w:rPr>
            <w:rStyle w:val="Hyperlink"/>
            <w:rFonts w:ascii="Times New Roman" w:hAnsi="Times New Roman"/>
          </w:rPr>
          <w:t>3.5.2.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 (mind a CR EQU IRB 1, mind a CR EQU IRB 2 táblára alkalmazandó)</w:t>
        </w:r>
        <w:r w:rsidR="00774DB7">
          <w:rPr>
            <w:webHidden/>
          </w:rPr>
          <w:tab/>
        </w:r>
        <w:r w:rsidR="00774DB7">
          <w:rPr>
            <w:webHidden/>
          </w:rPr>
          <w:fldChar w:fldCharType="begin"/>
        </w:r>
        <w:r w:rsidR="00774DB7">
          <w:rPr>
            <w:webHidden/>
          </w:rPr>
          <w:instrText xml:space="preserve"> PAGEREF _Toc58858634 \h </w:instrText>
        </w:r>
        <w:r w:rsidR="00774DB7">
          <w:rPr>
            <w:webHidden/>
          </w:rPr>
        </w:r>
        <w:r w:rsidR="00774DB7">
          <w:rPr>
            <w:webHidden/>
          </w:rPr>
          <w:fldChar w:fldCharType="separate"/>
        </w:r>
        <w:r w:rsidR="00644CB1">
          <w:rPr>
            <w:webHidden/>
          </w:rPr>
          <w:t>133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5" w:history="1">
        <w:r w:rsidR="00774DB7" w:rsidRPr="00C24443">
          <w:rPr>
            <w:rStyle w:val="Hyperlink"/>
            <w:rFonts w:ascii="Times New Roman" w:hAnsi="Times New Roman"/>
          </w:rPr>
          <w:t>3.6.</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11.00 – Elszámolási/teljesítési kockázat (CR SETT)</w:t>
        </w:r>
        <w:r w:rsidR="00774DB7">
          <w:rPr>
            <w:webHidden/>
          </w:rPr>
          <w:tab/>
        </w:r>
        <w:r w:rsidR="00774DB7">
          <w:rPr>
            <w:webHidden/>
          </w:rPr>
          <w:fldChar w:fldCharType="begin"/>
        </w:r>
        <w:r w:rsidR="00774DB7">
          <w:rPr>
            <w:webHidden/>
          </w:rPr>
          <w:instrText xml:space="preserve"> PAGEREF _Toc58858635 \h </w:instrText>
        </w:r>
        <w:r w:rsidR="00774DB7">
          <w:rPr>
            <w:webHidden/>
          </w:rPr>
        </w:r>
        <w:r w:rsidR="00774DB7">
          <w:rPr>
            <w:webHidden/>
          </w:rPr>
          <w:fldChar w:fldCharType="separate"/>
        </w:r>
        <w:r w:rsidR="00644CB1">
          <w:rPr>
            <w:webHidden/>
          </w:rPr>
          <w:t>137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6" w:history="1">
        <w:r w:rsidR="00774DB7" w:rsidRPr="00C24443">
          <w:rPr>
            <w:rStyle w:val="Hyperlink"/>
            <w:rFonts w:ascii="Times New Roman" w:hAnsi="Times New Roman"/>
          </w:rPr>
          <w:t>3.6.1.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_Toc58858636 \h </w:instrText>
        </w:r>
        <w:r w:rsidR="00774DB7">
          <w:rPr>
            <w:webHidden/>
          </w:rPr>
        </w:r>
        <w:r w:rsidR="00774DB7">
          <w:rPr>
            <w:webHidden/>
          </w:rPr>
          <w:fldChar w:fldCharType="separate"/>
        </w:r>
        <w:r w:rsidR="00644CB1">
          <w:rPr>
            <w:webHidden/>
          </w:rPr>
          <w:t>137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7" w:history="1">
        <w:r w:rsidR="00774DB7" w:rsidRPr="00C24443">
          <w:rPr>
            <w:rStyle w:val="Hyperlink"/>
            <w:rFonts w:ascii="Times New Roman" w:hAnsi="Times New Roman"/>
          </w:rPr>
          <w:t>3.6.2.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_Toc58858637 \h </w:instrText>
        </w:r>
        <w:r w:rsidR="00774DB7">
          <w:rPr>
            <w:webHidden/>
          </w:rPr>
        </w:r>
        <w:r w:rsidR="00774DB7">
          <w:rPr>
            <w:webHidden/>
          </w:rPr>
          <w:fldChar w:fldCharType="separate"/>
        </w:r>
        <w:r w:rsidR="00644CB1">
          <w:rPr>
            <w:webHidden/>
          </w:rPr>
          <w:t>137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8" w:history="1">
        <w:r w:rsidR="00774DB7" w:rsidRPr="00C24443">
          <w:rPr>
            <w:rStyle w:val="Hyperlink"/>
            <w:rFonts w:ascii="Times New Roman" w:hAnsi="Times New Roman"/>
          </w:rPr>
          <w:t>3.7.</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13.01 – Hitelkockázat – Értékpapírosítás (CR SEC)</w:t>
        </w:r>
        <w:r w:rsidR="00774DB7">
          <w:rPr>
            <w:webHidden/>
          </w:rPr>
          <w:tab/>
        </w:r>
        <w:r w:rsidR="00774DB7">
          <w:rPr>
            <w:webHidden/>
          </w:rPr>
          <w:fldChar w:fldCharType="begin"/>
        </w:r>
        <w:r w:rsidR="00774DB7">
          <w:rPr>
            <w:webHidden/>
          </w:rPr>
          <w:instrText xml:space="preserve"> PAGEREF _Toc58858638 \h </w:instrText>
        </w:r>
        <w:r w:rsidR="00774DB7">
          <w:rPr>
            <w:webHidden/>
          </w:rPr>
        </w:r>
        <w:r w:rsidR="00774DB7">
          <w:rPr>
            <w:webHidden/>
          </w:rPr>
          <w:fldChar w:fldCharType="separate"/>
        </w:r>
        <w:r w:rsidR="00644CB1">
          <w:rPr>
            <w:webHidden/>
          </w:rPr>
          <w:t>141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39" w:history="1">
        <w:r w:rsidR="00774DB7" w:rsidRPr="00C24443">
          <w:rPr>
            <w:rStyle w:val="Hyperlink"/>
            <w:rFonts w:ascii="Times New Roman" w:hAnsi="Times New Roman"/>
          </w:rPr>
          <w:t>3.7.1.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_Toc58858639 \h </w:instrText>
        </w:r>
        <w:r w:rsidR="00774DB7">
          <w:rPr>
            <w:webHidden/>
          </w:rPr>
        </w:r>
        <w:r w:rsidR="00774DB7">
          <w:rPr>
            <w:webHidden/>
          </w:rPr>
          <w:fldChar w:fldCharType="separate"/>
        </w:r>
        <w:r w:rsidR="00644CB1">
          <w:rPr>
            <w:webHidden/>
          </w:rPr>
          <w:t>141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0" w:history="1">
        <w:r w:rsidR="00774DB7" w:rsidRPr="00C24443">
          <w:rPr>
            <w:rStyle w:val="Hyperlink"/>
            <w:rFonts w:ascii="Times New Roman" w:hAnsi="Times New Roman"/>
          </w:rPr>
          <w:t>3.7.2.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_Toc58858640 \h </w:instrText>
        </w:r>
        <w:r w:rsidR="00774DB7">
          <w:rPr>
            <w:webHidden/>
          </w:rPr>
        </w:r>
        <w:r w:rsidR="00774DB7">
          <w:rPr>
            <w:webHidden/>
          </w:rPr>
          <w:fldChar w:fldCharType="separate"/>
        </w:r>
        <w:r w:rsidR="00644CB1">
          <w:rPr>
            <w:webHidden/>
          </w:rPr>
          <w:t>141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1" w:history="1">
        <w:r w:rsidR="00774DB7" w:rsidRPr="00C24443">
          <w:rPr>
            <w:rStyle w:val="Hyperlink"/>
            <w:rFonts w:ascii="Times New Roman" w:hAnsi="Times New Roman"/>
          </w:rPr>
          <w:t>3.8.</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Az értékpapírosítással kapcsolatos részletes információk (SEC DETAILS)</w:t>
        </w:r>
        <w:r w:rsidR="00774DB7">
          <w:rPr>
            <w:webHidden/>
          </w:rPr>
          <w:tab/>
        </w:r>
        <w:r w:rsidR="00774DB7">
          <w:rPr>
            <w:webHidden/>
          </w:rPr>
          <w:fldChar w:fldCharType="begin"/>
        </w:r>
        <w:r w:rsidR="00774DB7">
          <w:rPr>
            <w:webHidden/>
          </w:rPr>
          <w:instrText xml:space="preserve"> PAGEREF _Toc58858641 \h </w:instrText>
        </w:r>
        <w:r w:rsidR="00774DB7">
          <w:rPr>
            <w:webHidden/>
          </w:rPr>
        </w:r>
        <w:r w:rsidR="00774DB7">
          <w:rPr>
            <w:webHidden/>
          </w:rPr>
          <w:fldChar w:fldCharType="separate"/>
        </w:r>
        <w:r w:rsidR="00644CB1">
          <w:rPr>
            <w:webHidden/>
          </w:rPr>
          <w:t>153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2" w:history="1">
        <w:r w:rsidR="00774DB7" w:rsidRPr="00C24443">
          <w:rPr>
            <w:rStyle w:val="Hyperlink"/>
            <w:rFonts w:ascii="Times New Roman" w:hAnsi="Times New Roman"/>
          </w:rPr>
          <w:t>3.8.1.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SEC DETAILS tábla alkalmazási köre</w:t>
        </w:r>
        <w:r w:rsidR="00774DB7">
          <w:rPr>
            <w:webHidden/>
          </w:rPr>
          <w:tab/>
        </w:r>
        <w:r w:rsidR="00774DB7">
          <w:rPr>
            <w:webHidden/>
          </w:rPr>
          <w:fldChar w:fldCharType="begin"/>
        </w:r>
        <w:r w:rsidR="00774DB7">
          <w:rPr>
            <w:webHidden/>
          </w:rPr>
          <w:instrText xml:space="preserve"> PAGEREF _Toc58858642 \h </w:instrText>
        </w:r>
        <w:r w:rsidR="00774DB7">
          <w:rPr>
            <w:webHidden/>
          </w:rPr>
        </w:r>
        <w:r w:rsidR="00774DB7">
          <w:rPr>
            <w:webHidden/>
          </w:rPr>
          <w:fldChar w:fldCharType="separate"/>
        </w:r>
        <w:r w:rsidR="00644CB1">
          <w:rPr>
            <w:webHidden/>
          </w:rPr>
          <w:t>153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3" w:history="1">
        <w:r w:rsidR="00774DB7" w:rsidRPr="00C24443">
          <w:rPr>
            <w:rStyle w:val="Hyperlink"/>
            <w:rFonts w:ascii="Times New Roman" w:hAnsi="Times New Roman"/>
          </w:rPr>
          <w:t>3.9.2. A SEC DETAILS tábla alkalmazási köre</w:t>
        </w:r>
        <w:r w:rsidR="00774DB7">
          <w:rPr>
            <w:webHidden/>
          </w:rPr>
          <w:tab/>
        </w:r>
        <w:r w:rsidR="00774DB7">
          <w:rPr>
            <w:webHidden/>
          </w:rPr>
          <w:fldChar w:fldCharType="begin"/>
        </w:r>
        <w:r w:rsidR="00774DB7">
          <w:rPr>
            <w:webHidden/>
          </w:rPr>
          <w:instrText xml:space="preserve"> PAGEREF _Toc58858643 \h </w:instrText>
        </w:r>
        <w:r w:rsidR="00774DB7">
          <w:rPr>
            <w:webHidden/>
          </w:rPr>
        </w:r>
        <w:r w:rsidR="00774DB7">
          <w:rPr>
            <w:webHidden/>
          </w:rPr>
          <w:fldChar w:fldCharType="separate"/>
        </w:r>
        <w:r w:rsidR="00644CB1">
          <w:rPr>
            <w:webHidden/>
          </w:rPr>
          <w:t>154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4" w:history="1">
        <w:r w:rsidR="00774DB7" w:rsidRPr="00C24443">
          <w:rPr>
            <w:rStyle w:val="Hyperlink"/>
            <w:rFonts w:ascii="Times New Roman" w:hAnsi="Times New Roman"/>
          </w:rPr>
          <w:t>3.9.3. C 14.00 – Az értékpapírosítással kapcsolatos részletes információk (SEC DETAILS)</w:t>
        </w:r>
        <w:r w:rsidR="00774DB7">
          <w:rPr>
            <w:webHidden/>
          </w:rPr>
          <w:tab/>
        </w:r>
        <w:r w:rsidR="00774DB7">
          <w:rPr>
            <w:webHidden/>
          </w:rPr>
          <w:fldChar w:fldCharType="begin"/>
        </w:r>
        <w:r w:rsidR="00774DB7">
          <w:rPr>
            <w:webHidden/>
          </w:rPr>
          <w:instrText xml:space="preserve"> PAGEREF _Toc58858644 \h </w:instrText>
        </w:r>
        <w:r w:rsidR="00774DB7">
          <w:rPr>
            <w:webHidden/>
          </w:rPr>
        </w:r>
        <w:r w:rsidR="00774DB7">
          <w:rPr>
            <w:webHidden/>
          </w:rPr>
          <w:fldChar w:fldCharType="separate"/>
        </w:r>
        <w:r w:rsidR="00644CB1">
          <w:rPr>
            <w:webHidden/>
          </w:rPr>
          <w:t>155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5" w:history="1">
        <w:r w:rsidR="00774DB7" w:rsidRPr="00C24443">
          <w:rPr>
            <w:rStyle w:val="Hyperlink"/>
            <w:rFonts w:ascii="Times New Roman" w:hAnsi="Times New Roman"/>
          </w:rPr>
          <w:t>3.8.4.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14.01 – Az értékpapírosítással kapcsolatos részletes információk (SEC DETAILS 2)</w:t>
        </w:r>
        <w:r w:rsidR="00774DB7">
          <w:rPr>
            <w:webHidden/>
          </w:rPr>
          <w:tab/>
        </w:r>
        <w:r w:rsidR="00774DB7">
          <w:rPr>
            <w:webHidden/>
          </w:rPr>
          <w:fldChar w:fldCharType="begin"/>
        </w:r>
        <w:r w:rsidR="00774DB7">
          <w:rPr>
            <w:webHidden/>
          </w:rPr>
          <w:instrText xml:space="preserve"> PAGEREF _Toc58858645 \h </w:instrText>
        </w:r>
        <w:r w:rsidR="00774DB7">
          <w:rPr>
            <w:webHidden/>
          </w:rPr>
        </w:r>
        <w:r w:rsidR="00774DB7">
          <w:rPr>
            <w:webHidden/>
          </w:rPr>
          <w:fldChar w:fldCharType="separate"/>
        </w:r>
        <w:r w:rsidR="00644CB1">
          <w:rPr>
            <w:webHidden/>
          </w:rPr>
          <w:t>168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6" w:history="1">
        <w:r w:rsidR="00774DB7" w:rsidRPr="00C24443">
          <w:rPr>
            <w:rStyle w:val="Hyperlink"/>
            <w:rFonts w:ascii="Times New Roman" w:hAnsi="Times New Roman"/>
          </w:rPr>
          <w:t>3.9.</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Partnerkockázat</w:t>
        </w:r>
        <w:r w:rsidR="00774DB7">
          <w:rPr>
            <w:webHidden/>
          </w:rPr>
          <w:tab/>
        </w:r>
        <w:r w:rsidR="00774DB7">
          <w:rPr>
            <w:webHidden/>
          </w:rPr>
          <w:fldChar w:fldCharType="begin"/>
        </w:r>
        <w:r w:rsidR="00774DB7">
          <w:rPr>
            <w:webHidden/>
          </w:rPr>
          <w:instrText xml:space="preserve"> PAGEREF _Toc58858646 \h </w:instrText>
        </w:r>
        <w:r w:rsidR="00774DB7">
          <w:rPr>
            <w:webHidden/>
          </w:rPr>
        </w:r>
        <w:r w:rsidR="00774DB7">
          <w:rPr>
            <w:webHidden/>
          </w:rPr>
          <w:fldChar w:fldCharType="separate"/>
        </w:r>
        <w:r w:rsidR="00644CB1">
          <w:rPr>
            <w:webHidden/>
          </w:rPr>
          <w:t>172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7" w:history="1">
        <w:r w:rsidR="00774DB7" w:rsidRPr="00C24443">
          <w:rPr>
            <w:rStyle w:val="Hyperlink"/>
            <w:rFonts w:ascii="Times New Roman" w:hAnsi="Times New Roman"/>
          </w:rPr>
          <w:t>3.9.1.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partnerkázati táblák alkalmazási köre</w:t>
        </w:r>
        <w:r w:rsidR="00774DB7">
          <w:rPr>
            <w:webHidden/>
          </w:rPr>
          <w:tab/>
        </w:r>
        <w:r w:rsidR="00774DB7">
          <w:rPr>
            <w:webHidden/>
          </w:rPr>
          <w:fldChar w:fldCharType="begin"/>
        </w:r>
        <w:r w:rsidR="00774DB7">
          <w:rPr>
            <w:webHidden/>
          </w:rPr>
          <w:instrText xml:space="preserve"> PAGEREF _Toc58858647 \h </w:instrText>
        </w:r>
        <w:r w:rsidR="00774DB7">
          <w:rPr>
            <w:webHidden/>
          </w:rPr>
        </w:r>
        <w:r w:rsidR="00774DB7">
          <w:rPr>
            <w:webHidden/>
          </w:rPr>
          <w:fldChar w:fldCharType="separate"/>
        </w:r>
        <w:r w:rsidR="00644CB1">
          <w:rPr>
            <w:webHidden/>
          </w:rPr>
          <w:t>172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8" w:history="1">
        <w:r w:rsidR="00774DB7" w:rsidRPr="00C24443">
          <w:rPr>
            <w:rStyle w:val="Hyperlink"/>
            <w:rFonts w:ascii="Times New Roman" w:hAnsi="Times New Roman"/>
          </w:rPr>
          <w:t>3.9.2.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34.01 – A származtatott ügyleti tevékenység mérete</w:t>
        </w:r>
        <w:r w:rsidR="00774DB7">
          <w:rPr>
            <w:webHidden/>
          </w:rPr>
          <w:tab/>
        </w:r>
        <w:r w:rsidR="00774DB7">
          <w:rPr>
            <w:webHidden/>
          </w:rPr>
          <w:fldChar w:fldCharType="begin"/>
        </w:r>
        <w:r w:rsidR="00774DB7">
          <w:rPr>
            <w:webHidden/>
          </w:rPr>
          <w:instrText xml:space="preserve"> PAGEREF _Toc58858648 \h </w:instrText>
        </w:r>
        <w:r w:rsidR="00774DB7">
          <w:rPr>
            <w:webHidden/>
          </w:rPr>
        </w:r>
        <w:r w:rsidR="00774DB7">
          <w:rPr>
            <w:webHidden/>
          </w:rPr>
          <w:fldChar w:fldCharType="separate"/>
        </w:r>
        <w:r w:rsidR="00644CB1">
          <w:rPr>
            <w:webHidden/>
          </w:rPr>
          <w:t>172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49" w:history="1">
        <w:r w:rsidR="00774DB7" w:rsidRPr="00C24443">
          <w:rPr>
            <w:rStyle w:val="Hyperlink"/>
            <w:rFonts w:ascii="Times New Roman" w:hAnsi="Times New Roman"/>
          </w:rPr>
          <w:t>3.9.2.1.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_Toc58858649 \h </w:instrText>
        </w:r>
        <w:r w:rsidR="00774DB7">
          <w:rPr>
            <w:webHidden/>
          </w:rPr>
        </w:r>
        <w:r w:rsidR="00774DB7">
          <w:rPr>
            <w:webHidden/>
          </w:rPr>
          <w:fldChar w:fldCharType="separate"/>
        </w:r>
        <w:r w:rsidR="00644CB1">
          <w:rPr>
            <w:webHidden/>
          </w:rPr>
          <w:t>172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0" w:history="1">
        <w:r w:rsidR="00774DB7" w:rsidRPr="00C24443">
          <w:rPr>
            <w:rStyle w:val="Hyperlink"/>
            <w:rFonts w:ascii="Times New Roman" w:hAnsi="Times New Roman"/>
          </w:rPr>
          <w:t>3.9.2.2.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_Toc58858650 \h </w:instrText>
        </w:r>
        <w:r w:rsidR="00774DB7">
          <w:rPr>
            <w:webHidden/>
          </w:rPr>
        </w:r>
        <w:r w:rsidR="00774DB7">
          <w:rPr>
            <w:webHidden/>
          </w:rPr>
          <w:fldChar w:fldCharType="separate"/>
        </w:r>
        <w:r w:rsidR="00644CB1">
          <w:rPr>
            <w:webHidden/>
          </w:rPr>
          <w:t>173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1" w:history="1">
        <w:r w:rsidR="00774DB7" w:rsidRPr="00C24443">
          <w:rPr>
            <w:rStyle w:val="Hyperlink"/>
            <w:rFonts w:ascii="Times New Roman" w:hAnsi="Times New Roman"/>
          </w:rPr>
          <w:t>3.9.3.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34.02 – Partnerkockázati kitettségek módszer szerint</w:t>
        </w:r>
        <w:r w:rsidR="00774DB7">
          <w:rPr>
            <w:webHidden/>
          </w:rPr>
          <w:tab/>
        </w:r>
        <w:r w:rsidR="00774DB7">
          <w:rPr>
            <w:webHidden/>
          </w:rPr>
          <w:fldChar w:fldCharType="begin"/>
        </w:r>
        <w:r w:rsidR="00774DB7">
          <w:rPr>
            <w:webHidden/>
          </w:rPr>
          <w:instrText xml:space="preserve"> PAGEREF _Toc58858651 \h </w:instrText>
        </w:r>
        <w:r w:rsidR="00774DB7">
          <w:rPr>
            <w:webHidden/>
          </w:rPr>
        </w:r>
        <w:r w:rsidR="00774DB7">
          <w:rPr>
            <w:webHidden/>
          </w:rPr>
          <w:fldChar w:fldCharType="separate"/>
        </w:r>
        <w:r w:rsidR="00644CB1">
          <w:rPr>
            <w:webHidden/>
          </w:rPr>
          <w:t>174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2" w:history="1">
        <w:r w:rsidR="00774DB7" w:rsidRPr="00C24443">
          <w:rPr>
            <w:rStyle w:val="Hyperlink"/>
            <w:rFonts w:ascii="Times New Roman" w:hAnsi="Times New Roman"/>
          </w:rPr>
          <w:t>3.9.3.1.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_Toc58858652 \h </w:instrText>
        </w:r>
        <w:r w:rsidR="00774DB7">
          <w:rPr>
            <w:webHidden/>
          </w:rPr>
        </w:r>
        <w:r w:rsidR="00774DB7">
          <w:rPr>
            <w:webHidden/>
          </w:rPr>
          <w:fldChar w:fldCharType="separate"/>
        </w:r>
        <w:r w:rsidR="00644CB1">
          <w:rPr>
            <w:webHidden/>
          </w:rPr>
          <w:t>174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3" w:history="1">
        <w:r w:rsidR="00774DB7" w:rsidRPr="00C24443">
          <w:rPr>
            <w:rStyle w:val="Hyperlink"/>
            <w:rFonts w:ascii="Times New Roman" w:hAnsi="Times New Roman"/>
          </w:rPr>
          <w:t>3.9.3.2.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_Toc58858653 \h </w:instrText>
        </w:r>
        <w:r w:rsidR="00774DB7">
          <w:rPr>
            <w:webHidden/>
          </w:rPr>
        </w:r>
        <w:r w:rsidR="00774DB7">
          <w:rPr>
            <w:webHidden/>
          </w:rPr>
          <w:fldChar w:fldCharType="separate"/>
        </w:r>
        <w:r w:rsidR="00644CB1">
          <w:rPr>
            <w:webHidden/>
          </w:rPr>
          <w:t>175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4" w:history="1">
        <w:r w:rsidR="00774DB7" w:rsidRPr="00C24443">
          <w:rPr>
            <w:rStyle w:val="Hyperlink"/>
            <w:rFonts w:ascii="Times New Roman" w:hAnsi="Times New Roman"/>
          </w:rPr>
          <w:t>3.9.4.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34.03 – Sztenderd módszerekkel kezelt partnerkockázati kitettségek: SA-CCR vagy egyszerűsített SA-CCR</w:t>
        </w:r>
        <w:r w:rsidR="00774DB7">
          <w:rPr>
            <w:webHidden/>
          </w:rPr>
          <w:tab/>
        </w:r>
        <w:r w:rsidR="00774DB7">
          <w:rPr>
            <w:webHidden/>
          </w:rPr>
          <w:fldChar w:fldCharType="begin"/>
        </w:r>
        <w:r w:rsidR="00774DB7">
          <w:rPr>
            <w:webHidden/>
          </w:rPr>
          <w:instrText xml:space="preserve"> PAGEREF _Toc58858654 \h </w:instrText>
        </w:r>
        <w:r w:rsidR="00774DB7">
          <w:rPr>
            <w:webHidden/>
          </w:rPr>
        </w:r>
        <w:r w:rsidR="00774DB7">
          <w:rPr>
            <w:webHidden/>
          </w:rPr>
          <w:fldChar w:fldCharType="separate"/>
        </w:r>
        <w:r w:rsidR="00644CB1">
          <w:rPr>
            <w:webHidden/>
          </w:rPr>
          <w:t>182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5" w:history="1">
        <w:r w:rsidR="00774DB7" w:rsidRPr="00C24443">
          <w:rPr>
            <w:rStyle w:val="Hyperlink"/>
            <w:rFonts w:ascii="Times New Roman" w:hAnsi="Times New Roman"/>
          </w:rPr>
          <w:t>3.9.4.1.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_Toc58858655 \h </w:instrText>
        </w:r>
        <w:r w:rsidR="00774DB7">
          <w:rPr>
            <w:webHidden/>
          </w:rPr>
        </w:r>
        <w:r w:rsidR="00774DB7">
          <w:rPr>
            <w:webHidden/>
          </w:rPr>
          <w:fldChar w:fldCharType="separate"/>
        </w:r>
        <w:r w:rsidR="00644CB1">
          <w:rPr>
            <w:webHidden/>
          </w:rPr>
          <w:t>182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6" w:history="1">
        <w:r w:rsidR="00774DB7" w:rsidRPr="00C24443">
          <w:rPr>
            <w:rStyle w:val="Hyperlink"/>
            <w:rFonts w:ascii="Times New Roman" w:hAnsi="Times New Roman"/>
          </w:rPr>
          <w:t>3.9.4.2.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_Toc58858656 \h </w:instrText>
        </w:r>
        <w:r w:rsidR="00774DB7">
          <w:rPr>
            <w:webHidden/>
          </w:rPr>
        </w:r>
        <w:r w:rsidR="00774DB7">
          <w:rPr>
            <w:webHidden/>
          </w:rPr>
          <w:fldChar w:fldCharType="separate"/>
        </w:r>
        <w:r w:rsidR="00644CB1">
          <w:rPr>
            <w:webHidden/>
          </w:rPr>
          <w:t>182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7" w:history="1">
        <w:r w:rsidR="00774DB7" w:rsidRPr="00C24443">
          <w:rPr>
            <w:rStyle w:val="Hyperlink"/>
            <w:rFonts w:ascii="Times New Roman" w:hAnsi="Times New Roman"/>
          </w:rPr>
          <w:t>3.9.5.</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34.04 – Az eredeti kitettség szerinti módszerrel (OEM) kezelt partnerkockázati kitettségek</w:t>
        </w:r>
        <w:r w:rsidR="00774DB7">
          <w:rPr>
            <w:webHidden/>
          </w:rPr>
          <w:tab/>
        </w:r>
        <w:r w:rsidR="00774DB7">
          <w:rPr>
            <w:webHidden/>
          </w:rPr>
          <w:fldChar w:fldCharType="begin"/>
        </w:r>
        <w:r w:rsidR="00774DB7">
          <w:rPr>
            <w:webHidden/>
          </w:rPr>
          <w:instrText xml:space="preserve"> PAGEREF _Toc58858657 \h </w:instrText>
        </w:r>
        <w:r w:rsidR="00774DB7">
          <w:rPr>
            <w:webHidden/>
          </w:rPr>
        </w:r>
        <w:r w:rsidR="00774DB7">
          <w:rPr>
            <w:webHidden/>
          </w:rPr>
          <w:fldChar w:fldCharType="separate"/>
        </w:r>
        <w:r w:rsidR="00644CB1">
          <w:rPr>
            <w:webHidden/>
          </w:rPr>
          <w:t>184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8" w:history="1">
        <w:r w:rsidR="00774DB7" w:rsidRPr="00C24443">
          <w:rPr>
            <w:rStyle w:val="Hyperlink"/>
            <w:rFonts w:ascii="Times New Roman" w:hAnsi="Times New Roman"/>
          </w:rPr>
          <w:t>3.9.5.1.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_Toc58858658 \h </w:instrText>
        </w:r>
        <w:r w:rsidR="00774DB7">
          <w:rPr>
            <w:webHidden/>
          </w:rPr>
        </w:r>
        <w:r w:rsidR="00774DB7">
          <w:rPr>
            <w:webHidden/>
          </w:rPr>
          <w:fldChar w:fldCharType="separate"/>
        </w:r>
        <w:r w:rsidR="00644CB1">
          <w:rPr>
            <w:webHidden/>
          </w:rPr>
          <w:t>184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59" w:history="1">
        <w:r w:rsidR="00774DB7" w:rsidRPr="00C24443">
          <w:rPr>
            <w:rStyle w:val="Hyperlink"/>
            <w:rFonts w:ascii="Times New Roman" w:hAnsi="Times New Roman"/>
          </w:rPr>
          <w:t>3.9.6.</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34.05 – A belső modell módszerrel (IMM) kezelt partnerkockázati kitettségek</w:t>
        </w:r>
        <w:r w:rsidR="00774DB7">
          <w:rPr>
            <w:webHidden/>
          </w:rPr>
          <w:tab/>
        </w:r>
        <w:r w:rsidR="00774DB7">
          <w:rPr>
            <w:webHidden/>
          </w:rPr>
          <w:fldChar w:fldCharType="begin"/>
        </w:r>
        <w:r w:rsidR="00774DB7">
          <w:rPr>
            <w:webHidden/>
          </w:rPr>
          <w:instrText xml:space="preserve"> PAGEREF _Toc58858659 \h </w:instrText>
        </w:r>
        <w:r w:rsidR="00774DB7">
          <w:rPr>
            <w:webHidden/>
          </w:rPr>
        </w:r>
        <w:r w:rsidR="00774DB7">
          <w:rPr>
            <w:webHidden/>
          </w:rPr>
          <w:fldChar w:fldCharType="separate"/>
        </w:r>
        <w:r w:rsidR="00644CB1">
          <w:rPr>
            <w:webHidden/>
          </w:rPr>
          <w:t>185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0" w:history="1">
        <w:r w:rsidR="00774DB7" w:rsidRPr="00C24443">
          <w:rPr>
            <w:rStyle w:val="Hyperlink"/>
            <w:rFonts w:ascii="Times New Roman" w:hAnsi="Times New Roman"/>
          </w:rPr>
          <w:t>3.9.6.1.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_Toc58858660 \h </w:instrText>
        </w:r>
        <w:r w:rsidR="00774DB7">
          <w:rPr>
            <w:webHidden/>
          </w:rPr>
        </w:r>
        <w:r w:rsidR="00774DB7">
          <w:rPr>
            <w:webHidden/>
          </w:rPr>
          <w:fldChar w:fldCharType="separate"/>
        </w:r>
        <w:r w:rsidR="00644CB1">
          <w:rPr>
            <w:webHidden/>
          </w:rPr>
          <w:t>185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1" w:history="1">
        <w:r w:rsidR="00774DB7" w:rsidRPr="00C24443">
          <w:rPr>
            <w:rStyle w:val="Hyperlink"/>
            <w:rFonts w:ascii="Times New Roman" w:hAnsi="Times New Roman"/>
          </w:rPr>
          <w:t>3.9.7.</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34.06 – A húsz legnagyobb partner</w:t>
        </w:r>
        <w:r w:rsidR="00774DB7">
          <w:rPr>
            <w:webHidden/>
          </w:rPr>
          <w:tab/>
        </w:r>
        <w:r w:rsidR="00774DB7">
          <w:rPr>
            <w:webHidden/>
          </w:rPr>
          <w:fldChar w:fldCharType="begin"/>
        </w:r>
        <w:r w:rsidR="00774DB7">
          <w:rPr>
            <w:webHidden/>
          </w:rPr>
          <w:instrText xml:space="preserve"> PAGEREF _Toc58858661 \h </w:instrText>
        </w:r>
        <w:r w:rsidR="00774DB7">
          <w:rPr>
            <w:webHidden/>
          </w:rPr>
        </w:r>
        <w:r w:rsidR="00774DB7">
          <w:rPr>
            <w:webHidden/>
          </w:rPr>
          <w:fldChar w:fldCharType="separate"/>
        </w:r>
        <w:r w:rsidR="00644CB1">
          <w:rPr>
            <w:webHidden/>
          </w:rPr>
          <w:t>187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2" w:history="1">
        <w:r w:rsidR="00774DB7" w:rsidRPr="00C24443">
          <w:rPr>
            <w:rStyle w:val="Hyperlink"/>
            <w:rFonts w:ascii="Times New Roman" w:hAnsi="Times New Roman"/>
          </w:rPr>
          <w:t>3.9.7.1.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_Toc58858662 \h </w:instrText>
        </w:r>
        <w:r w:rsidR="00774DB7">
          <w:rPr>
            <w:webHidden/>
          </w:rPr>
        </w:r>
        <w:r w:rsidR="00774DB7">
          <w:rPr>
            <w:webHidden/>
          </w:rPr>
          <w:fldChar w:fldCharType="separate"/>
        </w:r>
        <w:r w:rsidR="00644CB1">
          <w:rPr>
            <w:webHidden/>
          </w:rPr>
          <w:t>187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3" w:history="1">
        <w:r w:rsidR="00774DB7" w:rsidRPr="00C24443">
          <w:rPr>
            <w:rStyle w:val="Hyperlink"/>
            <w:rFonts w:ascii="Times New Roman" w:hAnsi="Times New Roman"/>
          </w:rPr>
          <w:t>3.9.7.2.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_Toc58858663 \h </w:instrText>
        </w:r>
        <w:r w:rsidR="00774DB7">
          <w:rPr>
            <w:webHidden/>
          </w:rPr>
        </w:r>
        <w:r w:rsidR="00774DB7">
          <w:rPr>
            <w:webHidden/>
          </w:rPr>
          <w:fldChar w:fldCharType="separate"/>
        </w:r>
        <w:r w:rsidR="00644CB1">
          <w:rPr>
            <w:webHidden/>
          </w:rPr>
          <w:t>187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4" w:history="1">
        <w:r w:rsidR="00774DB7" w:rsidRPr="00C24443">
          <w:rPr>
            <w:rStyle w:val="Hyperlink"/>
            <w:rFonts w:ascii="Times New Roman" w:hAnsi="Times New Roman"/>
          </w:rPr>
          <w:t>3.9.8.</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34.07 – IRB módszer – Partnerkockázati kitettségek kitettségi osztály és PD-skála szerint</w:t>
        </w:r>
        <w:r w:rsidR="00774DB7">
          <w:rPr>
            <w:webHidden/>
          </w:rPr>
          <w:tab/>
        </w:r>
        <w:r w:rsidR="00774DB7">
          <w:rPr>
            <w:webHidden/>
          </w:rPr>
          <w:fldChar w:fldCharType="begin"/>
        </w:r>
        <w:r w:rsidR="00774DB7">
          <w:rPr>
            <w:webHidden/>
          </w:rPr>
          <w:instrText xml:space="preserve"> PAGEREF _Toc58858664 \h </w:instrText>
        </w:r>
        <w:r w:rsidR="00774DB7">
          <w:rPr>
            <w:webHidden/>
          </w:rPr>
        </w:r>
        <w:r w:rsidR="00774DB7">
          <w:rPr>
            <w:webHidden/>
          </w:rPr>
          <w:fldChar w:fldCharType="separate"/>
        </w:r>
        <w:r w:rsidR="00644CB1">
          <w:rPr>
            <w:webHidden/>
          </w:rPr>
          <w:t>189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5" w:history="1">
        <w:r w:rsidR="00774DB7" w:rsidRPr="00C24443">
          <w:rPr>
            <w:rStyle w:val="Hyperlink"/>
            <w:rFonts w:ascii="Times New Roman" w:hAnsi="Times New Roman"/>
          </w:rPr>
          <w:t>3.9.8.1.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_Toc58858665 \h </w:instrText>
        </w:r>
        <w:r w:rsidR="00774DB7">
          <w:rPr>
            <w:webHidden/>
          </w:rPr>
        </w:r>
        <w:r w:rsidR="00774DB7">
          <w:rPr>
            <w:webHidden/>
          </w:rPr>
          <w:fldChar w:fldCharType="separate"/>
        </w:r>
        <w:r w:rsidR="00644CB1">
          <w:rPr>
            <w:webHidden/>
          </w:rPr>
          <w:t>189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6" w:history="1">
        <w:r w:rsidR="00774DB7" w:rsidRPr="00C24443">
          <w:rPr>
            <w:rStyle w:val="Hyperlink"/>
            <w:rFonts w:ascii="Times New Roman" w:hAnsi="Times New Roman"/>
          </w:rPr>
          <w:t>3.9.8.2.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_Toc58858666 \h </w:instrText>
        </w:r>
        <w:r w:rsidR="00774DB7">
          <w:rPr>
            <w:webHidden/>
          </w:rPr>
        </w:r>
        <w:r w:rsidR="00774DB7">
          <w:rPr>
            <w:webHidden/>
          </w:rPr>
          <w:fldChar w:fldCharType="separate"/>
        </w:r>
        <w:r w:rsidR="00644CB1">
          <w:rPr>
            <w:webHidden/>
          </w:rPr>
          <w:t>190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7" w:history="1">
        <w:r w:rsidR="00774DB7" w:rsidRPr="00C24443">
          <w:rPr>
            <w:rStyle w:val="Hyperlink"/>
            <w:rFonts w:ascii="Times New Roman" w:hAnsi="Times New Roman"/>
          </w:rPr>
          <w:t>3.9.9.</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34.08 – A partnerkockázati kitettségek biztosítékainak összetétele</w:t>
        </w:r>
        <w:r w:rsidR="00774DB7">
          <w:rPr>
            <w:webHidden/>
          </w:rPr>
          <w:tab/>
        </w:r>
        <w:r w:rsidR="00774DB7">
          <w:rPr>
            <w:webHidden/>
          </w:rPr>
          <w:fldChar w:fldCharType="begin"/>
        </w:r>
        <w:r w:rsidR="00774DB7">
          <w:rPr>
            <w:webHidden/>
          </w:rPr>
          <w:instrText xml:space="preserve"> PAGEREF _Toc58858667 \h </w:instrText>
        </w:r>
        <w:r w:rsidR="00774DB7">
          <w:rPr>
            <w:webHidden/>
          </w:rPr>
        </w:r>
        <w:r w:rsidR="00774DB7">
          <w:rPr>
            <w:webHidden/>
          </w:rPr>
          <w:fldChar w:fldCharType="separate"/>
        </w:r>
        <w:r w:rsidR="00644CB1">
          <w:rPr>
            <w:webHidden/>
          </w:rPr>
          <w:t>191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8" w:history="1">
        <w:r w:rsidR="00774DB7" w:rsidRPr="00C24443">
          <w:rPr>
            <w:rStyle w:val="Hyperlink"/>
            <w:rFonts w:ascii="Times New Roman" w:hAnsi="Times New Roman"/>
          </w:rPr>
          <w:t>3.9.9.1.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_Toc58858668 \h </w:instrText>
        </w:r>
        <w:r w:rsidR="00774DB7">
          <w:rPr>
            <w:webHidden/>
          </w:rPr>
        </w:r>
        <w:r w:rsidR="00774DB7">
          <w:rPr>
            <w:webHidden/>
          </w:rPr>
          <w:fldChar w:fldCharType="separate"/>
        </w:r>
        <w:r w:rsidR="00644CB1">
          <w:rPr>
            <w:webHidden/>
          </w:rPr>
          <w:t>191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69" w:history="1">
        <w:r w:rsidR="00774DB7" w:rsidRPr="00C24443">
          <w:rPr>
            <w:rStyle w:val="Hyperlink"/>
            <w:rFonts w:ascii="Times New Roman" w:hAnsi="Times New Roman"/>
          </w:rPr>
          <w:t>3.9.9.2.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_Toc58858669 \h </w:instrText>
        </w:r>
        <w:r w:rsidR="00774DB7">
          <w:rPr>
            <w:webHidden/>
          </w:rPr>
        </w:r>
        <w:r w:rsidR="00774DB7">
          <w:rPr>
            <w:webHidden/>
          </w:rPr>
          <w:fldChar w:fldCharType="separate"/>
        </w:r>
        <w:r w:rsidR="00644CB1">
          <w:rPr>
            <w:webHidden/>
          </w:rPr>
          <w:t>192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0" w:history="1">
        <w:r w:rsidR="00774DB7" w:rsidRPr="00C24443">
          <w:rPr>
            <w:rStyle w:val="Hyperlink"/>
            <w:rFonts w:ascii="Times New Roman" w:hAnsi="Times New Roman"/>
          </w:rPr>
          <w:t>3.9.10.</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34.09 – Hitelderivatíva-kitettségek</w:t>
        </w:r>
        <w:r w:rsidR="00774DB7">
          <w:rPr>
            <w:webHidden/>
          </w:rPr>
          <w:tab/>
        </w:r>
        <w:r w:rsidR="00774DB7">
          <w:rPr>
            <w:webHidden/>
          </w:rPr>
          <w:fldChar w:fldCharType="begin"/>
        </w:r>
        <w:r w:rsidR="00774DB7">
          <w:rPr>
            <w:webHidden/>
          </w:rPr>
          <w:instrText xml:space="preserve"> PAGEREF _Toc58858670 \h </w:instrText>
        </w:r>
        <w:r w:rsidR="00774DB7">
          <w:rPr>
            <w:webHidden/>
          </w:rPr>
        </w:r>
        <w:r w:rsidR="00774DB7">
          <w:rPr>
            <w:webHidden/>
          </w:rPr>
          <w:fldChar w:fldCharType="separate"/>
        </w:r>
        <w:r w:rsidR="00644CB1">
          <w:rPr>
            <w:webHidden/>
          </w:rPr>
          <w:t>193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1" w:history="1">
        <w:r w:rsidR="00774DB7" w:rsidRPr="00C24443">
          <w:rPr>
            <w:rStyle w:val="Hyperlink"/>
            <w:rFonts w:ascii="Times New Roman" w:hAnsi="Times New Roman"/>
          </w:rPr>
          <w:t>3.9.10.1.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_Toc58858671 \h </w:instrText>
        </w:r>
        <w:r w:rsidR="00774DB7">
          <w:rPr>
            <w:webHidden/>
          </w:rPr>
        </w:r>
        <w:r w:rsidR="00774DB7">
          <w:rPr>
            <w:webHidden/>
          </w:rPr>
          <w:fldChar w:fldCharType="separate"/>
        </w:r>
        <w:r w:rsidR="00644CB1">
          <w:rPr>
            <w:webHidden/>
          </w:rPr>
          <w:t>193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2" w:history="1">
        <w:r w:rsidR="00774DB7" w:rsidRPr="00C24443">
          <w:rPr>
            <w:rStyle w:val="Hyperlink"/>
            <w:rFonts w:ascii="Times New Roman" w:hAnsi="Times New Roman"/>
          </w:rPr>
          <w:t>3.9.11.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34.10 – Központi szerződő felekkel szembeni kitettségek</w:t>
        </w:r>
        <w:r w:rsidR="00774DB7">
          <w:rPr>
            <w:webHidden/>
          </w:rPr>
          <w:tab/>
        </w:r>
        <w:r w:rsidR="00774DB7">
          <w:rPr>
            <w:webHidden/>
          </w:rPr>
          <w:fldChar w:fldCharType="begin"/>
        </w:r>
        <w:r w:rsidR="00774DB7">
          <w:rPr>
            <w:webHidden/>
          </w:rPr>
          <w:instrText xml:space="preserve"> PAGEREF _Toc58858672 \h </w:instrText>
        </w:r>
        <w:r w:rsidR="00774DB7">
          <w:rPr>
            <w:webHidden/>
          </w:rPr>
        </w:r>
        <w:r w:rsidR="00774DB7">
          <w:rPr>
            <w:webHidden/>
          </w:rPr>
          <w:fldChar w:fldCharType="separate"/>
        </w:r>
        <w:r w:rsidR="00644CB1">
          <w:rPr>
            <w:webHidden/>
          </w:rPr>
          <w:t>194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3" w:history="1">
        <w:r w:rsidR="00774DB7" w:rsidRPr="00C24443">
          <w:rPr>
            <w:rStyle w:val="Hyperlink"/>
            <w:rFonts w:ascii="Times New Roman" w:hAnsi="Times New Roman"/>
          </w:rPr>
          <w:t>3.9.11.1.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_Toc58858673 \h </w:instrText>
        </w:r>
        <w:r w:rsidR="00774DB7">
          <w:rPr>
            <w:webHidden/>
          </w:rPr>
        </w:r>
        <w:r w:rsidR="00774DB7">
          <w:rPr>
            <w:webHidden/>
          </w:rPr>
          <w:fldChar w:fldCharType="separate"/>
        </w:r>
        <w:r w:rsidR="00644CB1">
          <w:rPr>
            <w:webHidden/>
          </w:rPr>
          <w:t>194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4" w:history="1">
        <w:r w:rsidR="00774DB7" w:rsidRPr="00C24443">
          <w:rPr>
            <w:rStyle w:val="Hyperlink"/>
            <w:rFonts w:ascii="Times New Roman" w:hAnsi="Times New Roman"/>
          </w:rPr>
          <w:t>3.9.11.2.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_Toc58858674 \h </w:instrText>
        </w:r>
        <w:r w:rsidR="00774DB7">
          <w:rPr>
            <w:webHidden/>
          </w:rPr>
        </w:r>
        <w:r w:rsidR="00774DB7">
          <w:rPr>
            <w:webHidden/>
          </w:rPr>
          <w:fldChar w:fldCharType="separate"/>
        </w:r>
        <w:r w:rsidR="00644CB1">
          <w:rPr>
            <w:webHidden/>
          </w:rPr>
          <w:t>194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5" w:history="1">
        <w:r w:rsidR="00774DB7" w:rsidRPr="00C24443">
          <w:rPr>
            <w:rStyle w:val="Hyperlink"/>
            <w:rFonts w:ascii="Times New Roman" w:hAnsi="Times New Roman"/>
          </w:rPr>
          <w:t>3.9.12.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34.11 – A partnerkockázathoz kapcsolódó, belső modell módszer szerint számított, kockázattal súlyozott kitettségérték (RWEA) változásának kimutatása</w:t>
        </w:r>
        <w:r w:rsidR="00774DB7">
          <w:rPr>
            <w:webHidden/>
          </w:rPr>
          <w:tab/>
        </w:r>
        <w:r w:rsidR="00774DB7">
          <w:rPr>
            <w:webHidden/>
          </w:rPr>
          <w:fldChar w:fldCharType="begin"/>
        </w:r>
        <w:r w:rsidR="00774DB7">
          <w:rPr>
            <w:webHidden/>
          </w:rPr>
          <w:instrText xml:space="preserve"> PAGEREF _Toc58858675 \h </w:instrText>
        </w:r>
        <w:r w:rsidR="00774DB7">
          <w:rPr>
            <w:webHidden/>
          </w:rPr>
        </w:r>
        <w:r w:rsidR="00774DB7">
          <w:rPr>
            <w:webHidden/>
          </w:rPr>
          <w:fldChar w:fldCharType="separate"/>
        </w:r>
        <w:r w:rsidR="00644CB1">
          <w:rPr>
            <w:webHidden/>
          </w:rPr>
          <w:t>195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6" w:history="1">
        <w:r w:rsidR="00774DB7" w:rsidRPr="00C24443">
          <w:rPr>
            <w:rStyle w:val="Hyperlink"/>
            <w:rFonts w:ascii="Times New Roman" w:hAnsi="Times New Roman"/>
          </w:rPr>
          <w:t>3.9.12.1.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_Toc58858676 \h </w:instrText>
        </w:r>
        <w:r w:rsidR="00774DB7">
          <w:rPr>
            <w:webHidden/>
          </w:rPr>
        </w:r>
        <w:r w:rsidR="00774DB7">
          <w:rPr>
            <w:webHidden/>
          </w:rPr>
          <w:fldChar w:fldCharType="separate"/>
        </w:r>
        <w:r w:rsidR="00644CB1">
          <w:rPr>
            <w:webHidden/>
          </w:rPr>
          <w:t>195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7" w:history="1">
        <w:r w:rsidR="00774DB7" w:rsidRPr="00C24443">
          <w:rPr>
            <w:rStyle w:val="Hyperlink"/>
            <w:rFonts w:ascii="Times New Roman" w:hAnsi="Times New Roman"/>
          </w:rPr>
          <w:t>3.9.12.2.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_Toc58858677 \h </w:instrText>
        </w:r>
        <w:r w:rsidR="00774DB7">
          <w:rPr>
            <w:webHidden/>
          </w:rPr>
        </w:r>
        <w:r w:rsidR="00774DB7">
          <w:rPr>
            <w:webHidden/>
          </w:rPr>
          <w:fldChar w:fldCharType="separate"/>
        </w:r>
        <w:r w:rsidR="00644CB1">
          <w:rPr>
            <w:webHidden/>
          </w:rPr>
          <w:t>196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8" w:history="1">
        <w:r w:rsidR="00774DB7" w:rsidRPr="00C24443">
          <w:rPr>
            <w:rStyle w:val="Hyperlink"/>
            <w:rFonts w:ascii="Times New Roman" w:hAnsi="Times New Roman"/>
          </w:rPr>
          <w:t>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Működési kockázati táblacsoport</w:t>
        </w:r>
        <w:r w:rsidR="00774DB7">
          <w:rPr>
            <w:webHidden/>
          </w:rPr>
          <w:tab/>
        </w:r>
        <w:r w:rsidR="00774DB7">
          <w:rPr>
            <w:webHidden/>
          </w:rPr>
          <w:fldChar w:fldCharType="begin"/>
        </w:r>
        <w:r w:rsidR="00774DB7">
          <w:rPr>
            <w:webHidden/>
          </w:rPr>
          <w:instrText xml:space="preserve"> PAGEREF _Toc58858678 \h </w:instrText>
        </w:r>
        <w:r w:rsidR="00774DB7">
          <w:rPr>
            <w:webHidden/>
          </w:rPr>
        </w:r>
        <w:r w:rsidR="00774DB7">
          <w:rPr>
            <w:webHidden/>
          </w:rPr>
          <w:fldChar w:fldCharType="separate"/>
        </w:r>
        <w:r w:rsidR="00644CB1">
          <w:rPr>
            <w:webHidden/>
          </w:rPr>
          <w:t>197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79" w:history="1">
        <w:r w:rsidR="00774DB7" w:rsidRPr="00C24443">
          <w:rPr>
            <w:rStyle w:val="Hyperlink"/>
            <w:rFonts w:ascii="Times New Roman" w:hAnsi="Times New Roman"/>
          </w:rPr>
          <w:t>4.1</w:t>
        </w:r>
        <w:r w:rsidR="00774DB7">
          <w:rPr>
            <w:rFonts w:asciiTheme="minorHAnsi" w:eastAsiaTheme="minorEastAsia" w:hAnsiTheme="minorHAnsi" w:cstheme="minorBidi"/>
            <w:b w:val="0"/>
            <w:smallCaps w:val="0"/>
            <w:sz w:val="22"/>
            <w:lang w:val="en-US"/>
          </w:rPr>
          <w:tab/>
        </w:r>
        <w:r w:rsidR="00774DB7" w:rsidRPr="00C24443">
          <w:rPr>
            <w:rStyle w:val="Hyperlink"/>
          </w:rPr>
          <w:t xml:space="preserve"> </w:t>
        </w:r>
        <w:r w:rsidR="00774DB7" w:rsidRPr="00C24443">
          <w:rPr>
            <w:rStyle w:val="Hyperlink"/>
            <w:rFonts w:ascii="Times New Roman" w:hAnsi="Times New Roman"/>
          </w:rPr>
          <w:t>C 16.00 – Működési kockázat (OPR)</w:t>
        </w:r>
        <w:r w:rsidR="00774DB7">
          <w:rPr>
            <w:webHidden/>
          </w:rPr>
          <w:tab/>
        </w:r>
        <w:r w:rsidR="00774DB7">
          <w:rPr>
            <w:webHidden/>
          </w:rPr>
          <w:fldChar w:fldCharType="begin"/>
        </w:r>
        <w:r w:rsidR="00774DB7">
          <w:rPr>
            <w:webHidden/>
          </w:rPr>
          <w:instrText xml:space="preserve"> PAGEREF _Toc58858679 \h </w:instrText>
        </w:r>
        <w:r w:rsidR="00774DB7">
          <w:rPr>
            <w:webHidden/>
          </w:rPr>
        </w:r>
        <w:r w:rsidR="00774DB7">
          <w:rPr>
            <w:webHidden/>
          </w:rPr>
          <w:fldChar w:fldCharType="separate"/>
        </w:r>
        <w:r w:rsidR="00644CB1">
          <w:rPr>
            <w:webHidden/>
          </w:rPr>
          <w:t>197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0" w:history="1">
        <w:r w:rsidR="00774DB7" w:rsidRPr="00C24443">
          <w:rPr>
            <w:rStyle w:val="Hyperlink"/>
            <w:rFonts w:ascii="Times New Roman" w:hAnsi="Times New Roman"/>
          </w:rPr>
          <w:t>4.1.1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_Toc58858680 \h </w:instrText>
        </w:r>
        <w:r w:rsidR="00774DB7">
          <w:rPr>
            <w:webHidden/>
          </w:rPr>
        </w:r>
        <w:r w:rsidR="00774DB7">
          <w:rPr>
            <w:webHidden/>
          </w:rPr>
          <w:fldChar w:fldCharType="separate"/>
        </w:r>
        <w:r w:rsidR="00644CB1">
          <w:rPr>
            <w:webHidden/>
          </w:rPr>
          <w:t>197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1" w:history="1">
        <w:r w:rsidR="00774DB7" w:rsidRPr="00C24443">
          <w:rPr>
            <w:rStyle w:val="Hyperlink"/>
            <w:rFonts w:ascii="Times New Roman" w:hAnsi="Times New Roman"/>
          </w:rPr>
          <w:t>4.1.2.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_Toc58858681 \h </w:instrText>
        </w:r>
        <w:r w:rsidR="00774DB7">
          <w:rPr>
            <w:webHidden/>
          </w:rPr>
        </w:r>
        <w:r w:rsidR="00774DB7">
          <w:rPr>
            <w:webHidden/>
          </w:rPr>
          <w:fldChar w:fldCharType="separate"/>
        </w:r>
        <w:r w:rsidR="00644CB1">
          <w:rPr>
            <w:webHidden/>
          </w:rPr>
          <w:t>198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2" w:history="1">
        <w:r w:rsidR="00774DB7" w:rsidRPr="00C24443">
          <w:rPr>
            <w:rStyle w:val="Hyperlink"/>
            <w:rFonts w:ascii="Times New Roman" w:hAnsi="Times New Roman"/>
          </w:rPr>
          <w:t>4.2.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Működési kockázat: Az előző évi veszteségekre vonatkozó részletes információk (OPR DETAILS)</w:t>
        </w:r>
        <w:r w:rsidR="00774DB7">
          <w:rPr>
            <w:webHidden/>
          </w:rPr>
          <w:tab/>
        </w:r>
        <w:r w:rsidR="00774DB7">
          <w:rPr>
            <w:webHidden/>
          </w:rPr>
          <w:fldChar w:fldCharType="begin"/>
        </w:r>
        <w:r w:rsidR="00774DB7">
          <w:rPr>
            <w:webHidden/>
          </w:rPr>
          <w:instrText xml:space="preserve"> PAGEREF _Toc58858682 \h </w:instrText>
        </w:r>
        <w:r w:rsidR="00774DB7">
          <w:rPr>
            <w:webHidden/>
          </w:rPr>
        </w:r>
        <w:r w:rsidR="00774DB7">
          <w:rPr>
            <w:webHidden/>
          </w:rPr>
          <w:fldChar w:fldCharType="separate"/>
        </w:r>
        <w:r w:rsidR="00644CB1">
          <w:rPr>
            <w:webHidden/>
          </w:rPr>
          <w:t>202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3" w:history="1">
        <w:r w:rsidR="00774DB7" w:rsidRPr="00C24443">
          <w:rPr>
            <w:rStyle w:val="Hyperlink"/>
            <w:rFonts w:ascii="Times New Roman" w:hAnsi="Times New Roman"/>
          </w:rPr>
          <w:t>4.2.1.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_Toc58858683 \h </w:instrText>
        </w:r>
        <w:r w:rsidR="00774DB7">
          <w:rPr>
            <w:webHidden/>
          </w:rPr>
        </w:r>
        <w:r w:rsidR="00774DB7">
          <w:rPr>
            <w:webHidden/>
          </w:rPr>
          <w:fldChar w:fldCharType="separate"/>
        </w:r>
        <w:r w:rsidR="00644CB1">
          <w:rPr>
            <w:webHidden/>
          </w:rPr>
          <w:t>202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4" w:history="1">
        <w:r w:rsidR="00774DB7" w:rsidRPr="00C24443">
          <w:rPr>
            <w:rStyle w:val="Hyperlink"/>
            <w:rFonts w:ascii="Times New Roman" w:hAnsi="Times New Roman"/>
          </w:rPr>
          <w:t>4.2.2.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17.01: Működési kockázat: Az előző évi veszteségek és megtérült veszteségek üzletáganként és veszteségesemény-típusonként (OPR DETAILS 1)</w:t>
        </w:r>
        <w:r w:rsidR="00774DB7">
          <w:rPr>
            <w:webHidden/>
          </w:rPr>
          <w:tab/>
        </w:r>
        <w:r w:rsidR="00774DB7">
          <w:rPr>
            <w:webHidden/>
          </w:rPr>
          <w:fldChar w:fldCharType="begin"/>
        </w:r>
        <w:r w:rsidR="00774DB7">
          <w:rPr>
            <w:webHidden/>
          </w:rPr>
          <w:instrText xml:space="preserve"> PAGEREF _Toc58858684 \h </w:instrText>
        </w:r>
        <w:r w:rsidR="00774DB7">
          <w:rPr>
            <w:webHidden/>
          </w:rPr>
        </w:r>
        <w:r w:rsidR="00774DB7">
          <w:rPr>
            <w:webHidden/>
          </w:rPr>
          <w:fldChar w:fldCharType="separate"/>
        </w:r>
        <w:r w:rsidR="00644CB1">
          <w:rPr>
            <w:webHidden/>
          </w:rPr>
          <w:t>203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5" w:history="1">
        <w:r w:rsidR="00774DB7" w:rsidRPr="00C24443">
          <w:rPr>
            <w:rStyle w:val="Hyperlink"/>
            <w:rFonts w:ascii="Times New Roman" w:hAnsi="Times New Roman"/>
          </w:rPr>
          <w:t>4.2.2.1.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_Toc58858685 \h </w:instrText>
        </w:r>
        <w:r w:rsidR="00774DB7">
          <w:rPr>
            <w:webHidden/>
          </w:rPr>
        </w:r>
        <w:r w:rsidR="00774DB7">
          <w:rPr>
            <w:webHidden/>
          </w:rPr>
          <w:fldChar w:fldCharType="separate"/>
        </w:r>
        <w:r w:rsidR="00644CB1">
          <w:rPr>
            <w:webHidden/>
          </w:rPr>
          <w:t>203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6" w:history="1">
        <w:r w:rsidR="00774DB7" w:rsidRPr="00C24443">
          <w:rPr>
            <w:rStyle w:val="Hyperlink"/>
            <w:rFonts w:ascii="Times New Roman" w:hAnsi="Times New Roman"/>
          </w:rPr>
          <w:t>4.2.2.2.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_Toc58858686 \h </w:instrText>
        </w:r>
        <w:r w:rsidR="00774DB7">
          <w:rPr>
            <w:webHidden/>
          </w:rPr>
        </w:r>
        <w:r w:rsidR="00774DB7">
          <w:rPr>
            <w:webHidden/>
          </w:rPr>
          <w:fldChar w:fldCharType="separate"/>
        </w:r>
        <w:r w:rsidR="00644CB1">
          <w:rPr>
            <w:webHidden/>
          </w:rPr>
          <w:t>204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7" w:history="1">
        <w:r w:rsidR="00774DB7" w:rsidRPr="00C24443">
          <w:rPr>
            <w:rStyle w:val="Hyperlink"/>
            <w:rFonts w:ascii="Times New Roman" w:hAnsi="Times New Roman"/>
          </w:rPr>
          <w:t>4.2.3.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17.02: Működési kockázat: Az utolsó évi nagy veszteségeseményekre vonatkozó részletes információk (OPR DETAILS 2)</w:t>
        </w:r>
        <w:r w:rsidR="00774DB7">
          <w:rPr>
            <w:webHidden/>
          </w:rPr>
          <w:tab/>
        </w:r>
        <w:r w:rsidR="00774DB7">
          <w:rPr>
            <w:webHidden/>
          </w:rPr>
          <w:fldChar w:fldCharType="begin"/>
        </w:r>
        <w:r w:rsidR="00774DB7">
          <w:rPr>
            <w:webHidden/>
          </w:rPr>
          <w:instrText xml:space="preserve"> PAGEREF _Toc58858687 \h </w:instrText>
        </w:r>
        <w:r w:rsidR="00774DB7">
          <w:rPr>
            <w:webHidden/>
          </w:rPr>
        </w:r>
        <w:r w:rsidR="00774DB7">
          <w:rPr>
            <w:webHidden/>
          </w:rPr>
          <w:fldChar w:fldCharType="separate"/>
        </w:r>
        <w:r w:rsidR="00644CB1">
          <w:rPr>
            <w:webHidden/>
          </w:rPr>
          <w:t>211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8" w:history="1">
        <w:r w:rsidR="00774DB7" w:rsidRPr="00C24443">
          <w:rPr>
            <w:rStyle w:val="Hyperlink"/>
            <w:rFonts w:ascii="Times New Roman" w:hAnsi="Times New Roman"/>
          </w:rPr>
          <w:t>4.2.3.1.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_Toc58858688 \h </w:instrText>
        </w:r>
        <w:r w:rsidR="00774DB7">
          <w:rPr>
            <w:webHidden/>
          </w:rPr>
        </w:r>
        <w:r w:rsidR="00774DB7">
          <w:rPr>
            <w:webHidden/>
          </w:rPr>
          <w:fldChar w:fldCharType="separate"/>
        </w:r>
        <w:r w:rsidR="00644CB1">
          <w:rPr>
            <w:webHidden/>
          </w:rPr>
          <w:t>211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89" w:history="1">
        <w:r w:rsidR="00774DB7" w:rsidRPr="00C24443">
          <w:rPr>
            <w:rStyle w:val="Hyperlink"/>
            <w:rFonts w:ascii="Times New Roman" w:hAnsi="Times New Roman"/>
          </w:rPr>
          <w:t>4.2.3.2.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_Toc58858689 \h </w:instrText>
        </w:r>
        <w:r w:rsidR="00774DB7">
          <w:rPr>
            <w:webHidden/>
          </w:rPr>
        </w:r>
        <w:r w:rsidR="00774DB7">
          <w:rPr>
            <w:webHidden/>
          </w:rPr>
          <w:fldChar w:fldCharType="separate"/>
        </w:r>
        <w:r w:rsidR="00644CB1">
          <w:rPr>
            <w:webHidden/>
          </w:rPr>
          <w:t>211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0" w:history="1">
        <w:r w:rsidR="00774DB7" w:rsidRPr="00C24443">
          <w:rPr>
            <w:rStyle w:val="Hyperlink"/>
            <w:rFonts w:ascii="Times New Roman" w:hAnsi="Times New Roman"/>
          </w:rPr>
          <w:t>5.</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Piaci kockázati táblacsoport</w:t>
        </w:r>
        <w:r w:rsidR="00774DB7">
          <w:rPr>
            <w:webHidden/>
          </w:rPr>
          <w:tab/>
        </w:r>
        <w:r w:rsidR="00774DB7">
          <w:rPr>
            <w:webHidden/>
          </w:rPr>
          <w:fldChar w:fldCharType="begin"/>
        </w:r>
        <w:r w:rsidR="00774DB7">
          <w:rPr>
            <w:webHidden/>
          </w:rPr>
          <w:instrText xml:space="preserve"> PAGEREF _Toc58858690 \h </w:instrText>
        </w:r>
        <w:r w:rsidR="00774DB7">
          <w:rPr>
            <w:webHidden/>
          </w:rPr>
        </w:r>
        <w:r w:rsidR="00774DB7">
          <w:rPr>
            <w:webHidden/>
          </w:rPr>
          <w:fldChar w:fldCharType="separate"/>
        </w:r>
        <w:r w:rsidR="00644CB1">
          <w:rPr>
            <w:webHidden/>
          </w:rPr>
          <w:t>214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1" w:history="1">
        <w:r w:rsidR="00774DB7" w:rsidRPr="00C24443">
          <w:rPr>
            <w:rStyle w:val="Hyperlink"/>
            <w:rFonts w:ascii="Times New Roman" w:hAnsi="Times New Roman"/>
          </w:rPr>
          <w:t>5.1.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18.00 – Piaci kockázat: A forgalmazott, hitelviszonyt megtestesítő értékpapírok pozíciókockázatának sztenderd módszere (MKR SA TDI)</w:t>
        </w:r>
        <w:r w:rsidR="00774DB7">
          <w:rPr>
            <w:webHidden/>
          </w:rPr>
          <w:tab/>
        </w:r>
        <w:r w:rsidR="00774DB7">
          <w:rPr>
            <w:webHidden/>
          </w:rPr>
          <w:fldChar w:fldCharType="begin"/>
        </w:r>
        <w:r w:rsidR="00774DB7">
          <w:rPr>
            <w:webHidden/>
          </w:rPr>
          <w:instrText xml:space="preserve"> PAGEREF _Toc58858691 \h </w:instrText>
        </w:r>
        <w:r w:rsidR="00774DB7">
          <w:rPr>
            <w:webHidden/>
          </w:rPr>
        </w:r>
        <w:r w:rsidR="00774DB7">
          <w:rPr>
            <w:webHidden/>
          </w:rPr>
          <w:fldChar w:fldCharType="separate"/>
        </w:r>
        <w:r w:rsidR="00644CB1">
          <w:rPr>
            <w:webHidden/>
          </w:rPr>
          <w:t>214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2" w:history="1">
        <w:r w:rsidR="00774DB7" w:rsidRPr="00C24443">
          <w:rPr>
            <w:rStyle w:val="Hyperlink"/>
            <w:rFonts w:ascii="Times New Roman" w:hAnsi="Times New Roman"/>
          </w:rPr>
          <w:t>5.1.1.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_Toc58858692 \h </w:instrText>
        </w:r>
        <w:r w:rsidR="00774DB7">
          <w:rPr>
            <w:webHidden/>
          </w:rPr>
        </w:r>
        <w:r w:rsidR="00774DB7">
          <w:rPr>
            <w:webHidden/>
          </w:rPr>
          <w:fldChar w:fldCharType="separate"/>
        </w:r>
        <w:r w:rsidR="00644CB1">
          <w:rPr>
            <w:webHidden/>
          </w:rPr>
          <w:t>214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3" w:history="1">
        <w:r w:rsidR="00774DB7" w:rsidRPr="00C24443">
          <w:rPr>
            <w:rStyle w:val="Hyperlink"/>
            <w:rFonts w:ascii="Times New Roman" w:hAnsi="Times New Roman"/>
          </w:rPr>
          <w:t>5.1.2.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_Toc58858693 \h </w:instrText>
        </w:r>
        <w:r w:rsidR="00774DB7">
          <w:rPr>
            <w:webHidden/>
          </w:rPr>
        </w:r>
        <w:r w:rsidR="00774DB7">
          <w:rPr>
            <w:webHidden/>
          </w:rPr>
          <w:fldChar w:fldCharType="separate"/>
        </w:r>
        <w:r w:rsidR="00644CB1">
          <w:rPr>
            <w:webHidden/>
          </w:rPr>
          <w:t>214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4" w:history="1">
        <w:r w:rsidR="00774DB7" w:rsidRPr="00C24443">
          <w:rPr>
            <w:rStyle w:val="Hyperlink"/>
            <w:rFonts w:ascii="Times New Roman" w:hAnsi="Times New Roman"/>
          </w:rPr>
          <w:t>5.2.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19.00 – PIACI KOCKÁZAT: AZ ÉRTÉKPAPÍROSÍTÁSOK EGYEDI KOCKÁZATÁNAK SZTENDERD MÓDSZERE (MKR SA SEC)</w:t>
        </w:r>
        <w:r w:rsidR="00774DB7">
          <w:rPr>
            <w:webHidden/>
          </w:rPr>
          <w:tab/>
        </w:r>
        <w:r w:rsidR="00774DB7">
          <w:rPr>
            <w:webHidden/>
          </w:rPr>
          <w:fldChar w:fldCharType="begin"/>
        </w:r>
        <w:r w:rsidR="00774DB7">
          <w:rPr>
            <w:webHidden/>
          </w:rPr>
          <w:instrText xml:space="preserve"> PAGEREF _Toc58858694 \h </w:instrText>
        </w:r>
        <w:r w:rsidR="00774DB7">
          <w:rPr>
            <w:webHidden/>
          </w:rPr>
        </w:r>
        <w:r w:rsidR="00774DB7">
          <w:rPr>
            <w:webHidden/>
          </w:rPr>
          <w:fldChar w:fldCharType="separate"/>
        </w:r>
        <w:r w:rsidR="00644CB1">
          <w:rPr>
            <w:webHidden/>
          </w:rPr>
          <w:t>217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5" w:history="1">
        <w:r w:rsidR="00774DB7" w:rsidRPr="00C24443">
          <w:rPr>
            <w:rStyle w:val="Hyperlink"/>
            <w:rFonts w:ascii="Times New Roman" w:hAnsi="Times New Roman"/>
          </w:rPr>
          <w:t>5.2.1.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_Toc58858695 \h </w:instrText>
        </w:r>
        <w:r w:rsidR="00774DB7">
          <w:rPr>
            <w:webHidden/>
          </w:rPr>
        </w:r>
        <w:r w:rsidR="00774DB7">
          <w:rPr>
            <w:webHidden/>
          </w:rPr>
          <w:fldChar w:fldCharType="separate"/>
        </w:r>
        <w:r w:rsidR="00644CB1">
          <w:rPr>
            <w:webHidden/>
          </w:rPr>
          <w:t>217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6" w:history="1">
        <w:r w:rsidR="00774DB7" w:rsidRPr="00C24443">
          <w:rPr>
            <w:rStyle w:val="Hyperlink"/>
            <w:rFonts w:ascii="Times New Roman" w:hAnsi="Times New Roman"/>
          </w:rPr>
          <w:t>5.2.2.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_Toc58858696 \h </w:instrText>
        </w:r>
        <w:r w:rsidR="00774DB7">
          <w:rPr>
            <w:webHidden/>
          </w:rPr>
        </w:r>
        <w:r w:rsidR="00774DB7">
          <w:rPr>
            <w:webHidden/>
          </w:rPr>
          <w:fldChar w:fldCharType="separate"/>
        </w:r>
        <w:r w:rsidR="00644CB1">
          <w:rPr>
            <w:webHidden/>
          </w:rPr>
          <w:t>217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7" w:history="1">
        <w:r w:rsidR="00774DB7" w:rsidRPr="00C24443">
          <w:rPr>
            <w:rStyle w:val="Hyperlink"/>
            <w:rFonts w:ascii="Times New Roman" w:hAnsi="Times New Roman"/>
          </w:rPr>
          <w:t>5.3.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20.00 – PIACI KOCKÁZAT: A KORRELÁCIÓKERESKEDÉSI PORTFÓLIÓBA SOROLT POZÍCIÓK EGYEDI KOCKÁZATÁNAK SZTENDERD MÓDSZERE (MKR SA CTP)</w:t>
        </w:r>
        <w:r w:rsidR="00774DB7">
          <w:rPr>
            <w:webHidden/>
          </w:rPr>
          <w:tab/>
        </w:r>
        <w:r w:rsidR="00774DB7">
          <w:rPr>
            <w:webHidden/>
          </w:rPr>
          <w:fldChar w:fldCharType="begin"/>
        </w:r>
        <w:r w:rsidR="00774DB7">
          <w:rPr>
            <w:webHidden/>
          </w:rPr>
          <w:instrText xml:space="preserve"> PAGEREF _Toc58858697 \h </w:instrText>
        </w:r>
        <w:r w:rsidR="00774DB7">
          <w:rPr>
            <w:webHidden/>
          </w:rPr>
        </w:r>
        <w:r w:rsidR="00774DB7">
          <w:rPr>
            <w:webHidden/>
          </w:rPr>
          <w:fldChar w:fldCharType="separate"/>
        </w:r>
        <w:r w:rsidR="00644CB1">
          <w:rPr>
            <w:webHidden/>
          </w:rPr>
          <w:t>220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8" w:history="1">
        <w:r w:rsidR="00774DB7" w:rsidRPr="00C24443">
          <w:rPr>
            <w:rStyle w:val="Hyperlink"/>
            <w:rFonts w:ascii="Times New Roman" w:hAnsi="Times New Roman"/>
          </w:rPr>
          <w:t>5.3.1.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_Toc58858698 \h </w:instrText>
        </w:r>
        <w:r w:rsidR="00774DB7">
          <w:rPr>
            <w:webHidden/>
          </w:rPr>
        </w:r>
        <w:r w:rsidR="00774DB7">
          <w:rPr>
            <w:webHidden/>
          </w:rPr>
          <w:fldChar w:fldCharType="separate"/>
        </w:r>
        <w:r w:rsidR="00644CB1">
          <w:rPr>
            <w:webHidden/>
          </w:rPr>
          <w:t>220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699" w:history="1">
        <w:r w:rsidR="00774DB7" w:rsidRPr="00C24443">
          <w:rPr>
            <w:rStyle w:val="Hyperlink"/>
            <w:rFonts w:ascii="Times New Roman" w:hAnsi="Times New Roman"/>
          </w:rPr>
          <w:t>5.3.2.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_Toc58858699 \h </w:instrText>
        </w:r>
        <w:r w:rsidR="00774DB7">
          <w:rPr>
            <w:webHidden/>
          </w:rPr>
        </w:r>
        <w:r w:rsidR="00774DB7">
          <w:rPr>
            <w:webHidden/>
          </w:rPr>
          <w:fldChar w:fldCharType="separate"/>
        </w:r>
        <w:r w:rsidR="00644CB1">
          <w:rPr>
            <w:webHidden/>
          </w:rPr>
          <w:t>220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0" w:history="1">
        <w:r w:rsidR="00774DB7" w:rsidRPr="00C24443">
          <w:rPr>
            <w:rStyle w:val="Hyperlink"/>
            <w:rFonts w:ascii="Times New Roman" w:hAnsi="Times New Roman"/>
          </w:rPr>
          <w:t>5.4.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21.00 – Piaci kockázat: A részények pozíciókockázatának sztenderd módszere (MKR SA EQU)</w:t>
        </w:r>
        <w:r w:rsidR="00774DB7">
          <w:rPr>
            <w:webHidden/>
          </w:rPr>
          <w:tab/>
        </w:r>
        <w:r w:rsidR="00774DB7">
          <w:rPr>
            <w:webHidden/>
          </w:rPr>
          <w:fldChar w:fldCharType="begin"/>
        </w:r>
        <w:r w:rsidR="00774DB7">
          <w:rPr>
            <w:webHidden/>
          </w:rPr>
          <w:instrText xml:space="preserve"> PAGEREF _Toc58858700 \h </w:instrText>
        </w:r>
        <w:r w:rsidR="00774DB7">
          <w:rPr>
            <w:webHidden/>
          </w:rPr>
        </w:r>
        <w:r w:rsidR="00774DB7">
          <w:rPr>
            <w:webHidden/>
          </w:rPr>
          <w:fldChar w:fldCharType="separate"/>
        </w:r>
        <w:r w:rsidR="00644CB1">
          <w:rPr>
            <w:webHidden/>
          </w:rPr>
          <w:t>223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1" w:history="1">
        <w:r w:rsidR="00774DB7" w:rsidRPr="00C24443">
          <w:rPr>
            <w:rStyle w:val="Hyperlink"/>
            <w:rFonts w:ascii="Times New Roman" w:hAnsi="Times New Roman"/>
          </w:rPr>
          <w:t>5.4.1.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_Toc58858701 \h </w:instrText>
        </w:r>
        <w:r w:rsidR="00774DB7">
          <w:rPr>
            <w:webHidden/>
          </w:rPr>
        </w:r>
        <w:r w:rsidR="00774DB7">
          <w:rPr>
            <w:webHidden/>
          </w:rPr>
          <w:fldChar w:fldCharType="separate"/>
        </w:r>
        <w:r w:rsidR="00644CB1">
          <w:rPr>
            <w:webHidden/>
          </w:rPr>
          <w:t>223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2" w:history="1">
        <w:r w:rsidR="00774DB7" w:rsidRPr="00C24443">
          <w:rPr>
            <w:rStyle w:val="Hyperlink"/>
            <w:rFonts w:ascii="Times New Roman" w:hAnsi="Times New Roman"/>
          </w:rPr>
          <w:t>5.4.2.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_Toc58858702 \h </w:instrText>
        </w:r>
        <w:r w:rsidR="00774DB7">
          <w:rPr>
            <w:webHidden/>
          </w:rPr>
        </w:r>
        <w:r w:rsidR="00774DB7">
          <w:rPr>
            <w:webHidden/>
          </w:rPr>
          <w:fldChar w:fldCharType="separate"/>
        </w:r>
        <w:r w:rsidR="00644CB1">
          <w:rPr>
            <w:webHidden/>
          </w:rPr>
          <w:t>223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3" w:history="1">
        <w:r w:rsidR="00774DB7" w:rsidRPr="00C24443">
          <w:rPr>
            <w:rStyle w:val="Hyperlink"/>
            <w:rFonts w:ascii="Times New Roman" w:hAnsi="Times New Roman"/>
          </w:rPr>
          <w:t>5.5.</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22.00 – Piaci kockázat: a devizaárfolyam-kockázat sztenderd módszerei  (MKR SA FX)</w:t>
        </w:r>
        <w:r w:rsidR="00774DB7">
          <w:rPr>
            <w:webHidden/>
          </w:rPr>
          <w:tab/>
        </w:r>
        <w:r w:rsidR="00774DB7">
          <w:rPr>
            <w:webHidden/>
          </w:rPr>
          <w:fldChar w:fldCharType="begin"/>
        </w:r>
        <w:r w:rsidR="00774DB7">
          <w:rPr>
            <w:webHidden/>
          </w:rPr>
          <w:instrText xml:space="preserve"> PAGEREF _Toc58858703 \h </w:instrText>
        </w:r>
        <w:r w:rsidR="00774DB7">
          <w:rPr>
            <w:webHidden/>
          </w:rPr>
        </w:r>
        <w:r w:rsidR="00774DB7">
          <w:rPr>
            <w:webHidden/>
          </w:rPr>
          <w:fldChar w:fldCharType="separate"/>
        </w:r>
        <w:r w:rsidR="00644CB1">
          <w:rPr>
            <w:webHidden/>
          </w:rPr>
          <w:t>225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4" w:history="1">
        <w:r w:rsidR="00774DB7" w:rsidRPr="00C24443">
          <w:rPr>
            <w:rStyle w:val="Hyperlink"/>
            <w:rFonts w:ascii="Times New Roman" w:hAnsi="Times New Roman"/>
          </w:rPr>
          <w:t>5.5.1.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_Toc58858704 \h </w:instrText>
        </w:r>
        <w:r w:rsidR="00774DB7">
          <w:rPr>
            <w:webHidden/>
          </w:rPr>
        </w:r>
        <w:r w:rsidR="00774DB7">
          <w:rPr>
            <w:webHidden/>
          </w:rPr>
          <w:fldChar w:fldCharType="separate"/>
        </w:r>
        <w:r w:rsidR="00644CB1">
          <w:rPr>
            <w:webHidden/>
          </w:rPr>
          <w:t>225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5" w:history="1">
        <w:r w:rsidR="00774DB7" w:rsidRPr="00C24443">
          <w:rPr>
            <w:rStyle w:val="Hyperlink"/>
            <w:rFonts w:ascii="Times New Roman" w:hAnsi="Times New Roman"/>
          </w:rPr>
          <w:t>5.5.2.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_Toc58858705 \h </w:instrText>
        </w:r>
        <w:r w:rsidR="00774DB7">
          <w:rPr>
            <w:webHidden/>
          </w:rPr>
        </w:r>
        <w:r w:rsidR="00774DB7">
          <w:rPr>
            <w:webHidden/>
          </w:rPr>
          <w:fldChar w:fldCharType="separate"/>
        </w:r>
        <w:r w:rsidR="00644CB1">
          <w:rPr>
            <w:webHidden/>
          </w:rPr>
          <w:t>225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6" w:history="1">
        <w:r w:rsidR="00774DB7" w:rsidRPr="00C24443">
          <w:rPr>
            <w:rStyle w:val="Hyperlink"/>
            <w:rFonts w:ascii="Times New Roman" w:hAnsi="Times New Roman"/>
          </w:rPr>
          <w:t>5.6.</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23.00 – Piaci kockázat: az árupozíciók sztenderd módszerei  (MKR SA COM)</w:t>
        </w:r>
        <w:r w:rsidR="00774DB7">
          <w:rPr>
            <w:webHidden/>
          </w:rPr>
          <w:tab/>
        </w:r>
        <w:r w:rsidR="00774DB7">
          <w:rPr>
            <w:webHidden/>
          </w:rPr>
          <w:fldChar w:fldCharType="begin"/>
        </w:r>
        <w:r w:rsidR="00774DB7">
          <w:rPr>
            <w:webHidden/>
          </w:rPr>
          <w:instrText xml:space="preserve"> PAGEREF _Toc58858706 \h </w:instrText>
        </w:r>
        <w:r w:rsidR="00774DB7">
          <w:rPr>
            <w:webHidden/>
          </w:rPr>
        </w:r>
        <w:r w:rsidR="00774DB7">
          <w:rPr>
            <w:webHidden/>
          </w:rPr>
          <w:fldChar w:fldCharType="separate"/>
        </w:r>
        <w:r w:rsidR="00644CB1">
          <w:rPr>
            <w:webHidden/>
          </w:rPr>
          <w:t>228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7" w:history="1">
        <w:r w:rsidR="00774DB7" w:rsidRPr="00C24443">
          <w:rPr>
            <w:rStyle w:val="Hyperlink"/>
            <w:rFonts w:ascii="Times New Roman" w:hAnsi="Times New Roman"/>
          </w:rPr>
          <w:t>5.6.1.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_Toc58858707 \h </w:instrText>
        </w:r>
        <w:r w:rsidR="00774DB7">
          <w:rPr>
            <w:webHidden/>
          </w:rPr>
        </w:r>
        <w:r w:rsidR="00774DB7">
          <w:rPr>
            <w:webHidden/>
          </w:rPr>
          <w:fldChar w:fldCharType="separate"/>
        </w:r>
        <w:r w:rsidR="00644CB1">
          <w:rPr>
            <w:webHidden/>
          </w:rPr>
          <w:t>228</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8" w:history="1">
        <w:r w:rsidR="00774DB7" w:rsidRPr="00C24443">
          <w:rPr>
            <w:rStyle w:val="Hyperlink"/>
            <w:rFonts w:ascii="Times New Roman" w:hAnsi="Times New Roman"/>
          </w:rPr>
          <w:t>5.6.2.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_Toc58858708 \h </w:instrText>
        </w:r>
        <w:r w:rsidR="00774DB7">
          <w:rPr>
            <w:webHidden/>
          </w:rPr>
        </w:r>
        <w:r w:rsidR="00774DB7">
          <w:rPr>
            <w:webHidden/>
          </w:rPr>
          <w:fldChar w:fldCharType="separate"/>
        </w:r>
        <w:r w:rsidR="00644CB1">
          <w:rPr>
            <w:webHidden/>
          </w:rPr>
          <w:t>229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09" w:history="1">
        <w:r w:rsidR="00774DB7" w:rsidRPr="00C24443">
          <w:rPr>
            <w:rStyle w:val="Hyperlink"/>
            <w:rFonts w:ascii="Times New Roman" w:hAnsi="Times New Roman"/>
          </w:rPr>
          <w:t>5.7.</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24.00 – Piaci kockázat: belső modellek (MKR IM)</w:t>
        </w:r>
        <w:r w:rsidR="00774DB7">
          <w:rPr>
            <w:webHidden/>
          </w:rPr>
          <w:tab/>
        </w:r>
        <w:r w:rsidR="00774DB7">
          <w:rPr>
            <w:webHidden/>
          </w:rPr>
          <w:fldChar w:fldCharType="begin"/>
        </w:r>
        <w:r w:rsidR="00774DB7">
          <w:rPr>
            <w:webHidden/>
          </w:rPr>
          <w:instrText xml:space="preserve"> PAGEREF _Toc58858709 \h </w:instrText>
        </w:r>
        <w:r w:rsidR="00774DB7">
          <w:rPr>
            <w:webHidden/>
          </w:rPr>
        </w:r>
        <w:r w:rsidR="00774DB7">
          <w:rPr>
            <w:webHidden/>
          </w:rPr>
          <w:fldChar w:fldCharType="separate"/>
        </w:r>
        <w:r w:rsidR="00644CB1">
          <w:rPr>
            <w:webHidden/>
          </w:rPr>
          <w:t>230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0" w:history="1">
        <w:r w:rsidR="00774DB7" w:rsidRPr="00C24443">
          <w:rPr>
            <w:rStyle w:val="Hyperlink"/>
            <w:rFonts w:ascii="Times New Roman" w:hAnsi="Times New Roman"/>
          </w:rPr>
          <w:t>5.7.1.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_Toc58858710 \h </w:instrText>
        </w:r>
        <w:r w:rsidR="00774DB7">
          <w:rPr>
            <w:webHidden/>
          </w:rPr>
        </w:r>
        <w:r w:rsidR="00774DB7">
          <w:rPr>
            <w:webHidden/>
          </w:rPr>
          <w:fldChar w:fldCharType="separate"/>
        </w:r>
        <w:r w:rsidR="00644CB1">
          <w:rPr>
            <w:webHidden/>
          </w:rPr>
          <w:t>230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1" w:history="1">
        <w:r w:rsidR="00774DB7" w:rsidRPr="00C24443">
          <w:rPr>
            <w:rStyle w:val="Hyperlink"/>
            <w:rFonts w:ascii="Times New Roman" w:hAnsi="Times New Roman"/>
          </w:rPr>
          <w:t>5.7.2.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_Toc58858711 \h </w:instrText>
        </w:r>
        <w:r w:rsidR="00774DB7">
          <w:rPr>
            <w:webHidden/>
          </w:rPr>
        </w:r>
        <w:r w:rsidR="00774DB7">
          <w:rPr>
            <w:webHidden/>
          </w:rPr>
          <w:fldChar w:fldCharType="separate"/>
        </w:r>
        <w:r w:rsidR="00644CB1">
          <w:rPr>
            <w:webHidden/>
          </w:rPr>
          <w:t>230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2" w:history="1">
        <w:r w:rsidR="00774DB7" w:rsidRPr="00C24443">
          <w:rPr>
            <w:rStyle w:val="Hyperlink"/>
            <w:rFonts w:ascii="Times New Roman" w:hAnsi="Times New Roman"/>
          </w:rPr>
          <w:t>5.8.</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25.00 – HITELÉRTÉKELÉSI KORREKCIÓK KOCKÁZATA (CVA)</w:t>
        </w:r>
        <w:r w:rsidR="00774DB7">
          <w:rPr>
            <w:webHidden/>
          </w:rPr>
          <w:tab/>
        </w:r>
        <w:r w:rsidR="00774DB7">
          <w:rPr>
            <w:webHidden/>
          </w:rPr>
          <w:fldChar w:fldCharType="begin"/>
        </w:r>
        <w:r w:rsidR="00774DB7">
          <w:rPr>
            <w:webHidden/>
          </w:rPr>
          <w:instrText xml:space="preserve"> PAGEREF _Toc58858712 \h </w:instrText>
        </w:r>
        <w:r w:rsidR="00774DB7">
          <w:rPr>
            <w:webHidden/>
          </w:rPr>
        </w:r>
        <w:r w:rsidR="00774DB7">
          <w:rPr>
            <w:webHidden/>
          </w:rPr>
          <w:fldChar w:fldCharType="separate"/>
        </w:r>
        <w:r w:rsidR="00644CB1">
          <w:rPr>
            <w:webHidden/>
          </w:rPr>
          <w:t>234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3" w:history="1">
        <w:r w:rsidR="00774DB7" w:rsidRPr="00C24443">
          <w:rPr>
            <w:rStyle w:val="Hyperlink"/>
            <w:rFonts w:ascii="Times New Roman" w:hAnsi="Times New Roman"/>
          </w:rPr>
          <w:t>5.8.1.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_Toc58858713 \h </w:instrText>
        </w:r>
        <w:r w:rsidR="00774DB7">
          <w:rPr>
            <w:webHidden/>
          </w:rPr>
        </w:r>
        <w:r w:rsidR="00774DB7">
          <w:rPr>
            <w:webHidden/>
          </w:rPr>
          <w:fldChar w:fldCharType="separate"/>
        </w:r>
        <w:r w:rsidR="00644CB1">
          <w:rPr>
            <w:webHidden/>
          </w:rPr>
          <w:t>234</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4" w:history="1">
        <w:r w:rsidR="00774DB7" w:rsidRPr="00C24443">
          <w:rPr>
            <w:rStyle w:val="Hyperlink"/>
            <w:rFonts w:ascii="Times New Roman" w:hAnsi="Times New Roman"/>
          </w:rPr>
          <w:t>6.</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Prudens értékelés (PruVal)</w:t>
        </w:r>
        <w:r w:rsidR="00774DB7">
          <w:rPr>
            <w:webHidden/>
          </w:rPr>
          <w:tab/>
        </w:r>
        <w:r w:rsidR="00774DB7">
          <w:rPr>
            <w:webHidden/>
          </w:rPr>
          <w:fldChar w:fldCharType="begin"/>
        </w:r>
        <w:r w:rsidR="00774DB7">
          <w:rPr>
            <w:webHidden/>
          </w:rPr>
          <w:instrText xml:space="preserve"> PAGEREF _Toc58858714 \h </w:instrText>
        </w:r>
        <w:r w:rsidR="00774DB7">
          <w:rPr>
            <w:webHidden/>
          </w:rPr>
        </w:r>
        <w:r w:rsidR="00774DB7">
          <w:rPr>
            <w:webHidden/>
          </w:rPr>
          <w:fldChar w:fldCharType="separate"/>
        </w:r>
        <w:r w:rsidR="00644CB1">
          <w:rPr>
            <w:webHidden/>
          </w:rPr>
          <w:t>236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5" w:history="1">
        <w:r w:rsidR="00774DB7" w:rsidRPr="00C24443">
          <w:rPr>
            <w:rStyle w:val="Hyperlink"/>
            <w:rFonts w:ascii="Times New Roman" w:hAnsi="Times New Roman"/>
          </w:rPr>
          <w:t>6.1.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32.01 – Prudens értékelés: Valós értéken értékelt eszközök és kötelezettségek (PruVal 1)</w:t>
        </w:r>
        <w:r w:rsidR="00774DB7">
          <w:rPr>
            <w:webHidden/>
          </w:rPr>
          <w:tab/>
        </w:r>
        <w:r w:rsidR="00774DB7">
          <w:rPr>
            <w:webHidden/>
          </w:rPr>
          <w:fldChar w:fldCharType="begin"/>
        </w:r>
        <w:r w:rsidR="00774DB7">
          <w:rPr>
            <w:webHidden/>
          </w:rPr>
          <w:instrText xml:space="preserve"> PAGEREF _Toc58858715 \h </w:instrText>
        </w:r>
        <w:r w:rsidR="00774DB7">
          <w:rPr>
            <w:webHidden/>
          </w:rPr>
        </w:r>
        <w:r w:rsidR="00774DB7">
          <w:rPr>
            <w:webHidden/>
          </w:rPr>
          <w:fldChar w:fldCharType="separate"/>
        </w:r>
        <w:r w:rsidR="00644CB1">
          <w:rPr>
            <w:webHidden/>
          </w:rPr>
          <w:t>236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6" w:history="1">
        <w:r w:rsidR="00774DB7" w:rsidRPr="00C24443">
          <w:rPr>
            <w:rStyle w:val="Hyperlink"/>
            <w:rFonts w:ascii="Times New Roman" w:hAnsi="Times New Roman"/>
          </w:rPr>
          <w:t>6.1.1.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_Toc58858716 \h </w:instrText>
        </w:r>
        <w:r w:rsidR="00774DB7">
          <w:rPr>
            <w:webHidden/>
          </w:rPr>
        </w:r>
        <w:r w:rsidR="00774DB7">
          <w:rPr>
            <w:webHidden/>
          </w:rPr>
          <w:fldChar w:fldCharType="separate"/>
        </w:r>
        <w:r w:rsidR="00644CB1">
          <w:rPr>
            <w:webHidden/>
          </w:rPr>
          <w:t>236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7" w:history="1">
        <w:r w:rsidR="00774DB7" w:rsidRPr="00C24443">
          <w:rPr>
            <w:rStyle w:val="Hyperlink"/>
            <w:rFonts w:ascii="Times New Roman" w:hAnsi="Times New Roman"/>
          </w:rPr>
          <w:t>6.1.2.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_Toc58858717 \h </w:instrText>
        </w:r>
        <w:r w:rsidR="00774DB7">
          <w:rPr>
            <w:webHidden/>
          </w:rPr>
        </w:r>
        <w:r w:rsidR="00774DB7">
          <w:rPr>
            <w:webHidden/>
          </w:rPr>
          <w:fldChar w:fldCharType="separate"/>
        </w:r>
        <w:r w:rsidR="00644CB1">
          <w:rPr>
            <w:webHidden/>
          </w:rPr>
          <w:t>236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8" w:history="1">
        <w:r w:rsidR="00774DB7" w:rsidRPr="00C24443">
          <w:rPr>
            <w:rStyle w:val="Hyperlink"/>
            <w:rFonts w:ascii="Times New Roman" w:hAnsi="Times New Roman"/>
          </w:rPr>
          <w:t>6.2.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32.02 – Prudens értékelés: Alapvető módszer (PruVal 2)</w:t>
        </w:r>
        <w:r w:rsidR="00774DB7">
          <w:rPr>
            <w:webHidden/>
          </w:rPr>
          <w:tab/>
        </w:r>
        <w:r w:rsidR="00774DB7">
          <w:rPr>
            <w:webHidden/>
          </w:rPr>
          <w:fldChar w:fldCharType="begin"/>
        </w:r>
        <w:r w:rsidR="00774DB7">
          <w:rPr>
            <w:webHidden/>
          </w:rPr>
          <w:instrText xml:space="preserve"> PAGEREF _Toc58858718 \h </w:instrText>
        </w:r>
        <w:r w:rsidR="00774DB7">
          <w:rPr>
            <w:webHidden/>
          </w:rPr>
        </w:r>
        <w:r w:rsidR="00774DB7">
          <w:rPr>
            <w:webHidden/>
          </w:rPr>
          <w:fldChar w:fldCharType="separate"/>
        </w:r>
        <w:r w:rsidR="00644CB1">
          <w:rPr>
            <w:webHidden/>
          </w:rPr>
          <w:t>241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19" w:history="1">
        <w:r w:rsidR="00774DB7" w:rsidRPr="00C24443">
          <w:rPr>
            <w:rStyle w:val="Hyperlink"/>
            <w:rFonts w:ascii="Times New Roman" w:hAnsi="Times New Roman"/>
          </w:rPr>
          <w:t>6.2.1.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_Toc58858719 \h </w:instrText>
        </w:r>
        <w:r w:rsidR="00774DB7">
          <w:rPr>
            <w:webHidden/>
          </w:rPr>
        </w:r>
        <w:r w:rsidR="00774DB7">
          <w:rPr>
            <w:webHidden/>
          </w:rPr>
          <w:fldChar w:fldCharType="separate"/>
        </w:r>
        <w:r w:rsidR="00644CB1">
          <w:rPr>
            <w:webHidden/>
          </w:rPr>
          <w:t>241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0" w:history="1">
        <w:r w:rsidR="00774DB7" w:rsidRPr="00C24443">
          <w:rPr>
            <w:rStyle w:val="Hyperlink"/>
            <w:rFonts w:ascii="Times New Roman" w:hAnsi="Times New Roman"/>
          </w:rPr>
          <w:t>6.2.2.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_Toc58858720 \h </w:instrText>
        </w:r>
        <w:r w:rsidR="00774DB7">
          <w:rPr>
            <w:webHidden/>
          </w:rPr>
        </w:r>
        <w:r w:rsidR="00774DB7">
          <w:rPr>
            <w:webHidden/>
          </w:rPr>
          <w:fldChar w:fldCharType="separate"/>
        </w:r>
        <w:r w:rsidR="00644CB1">
          <w:rPr>
            <w:webHidden/>
          </w:rPr>
          <w:t>242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1" w:history="1">
        <w:r w:rsidR="00774DB7" w:rsidRPr="00C24443">
          <w:rPr>
            <w:rStyle w:val="Hyperlink"/>
            <w:rFonts w:ascii="Times New Roman" w:hAnsi="Times New Roman"/>
          </w:rPr>
          <w:t>6.3. C 32.03 – Prudens értékelés: Modellkockázat kiegészítő értékelési korrekciója (PruVal 3)</w:t>
        </w:r>
        <w:r w:rsidR="00774DB7">
          <w:rPr>
            <w:webHidden/>
          </w:rPr>
          <w:tab/>
        </w:r>
        <w:r w:rsidR="00774DB7">
          <w:rPr>
            <w:webHidden/>
          </w:rPr>
          <w:fldChar w:fldCharType="begin"/>
        </w:r>
        <w:r w:rsidR="00774DB7">
          <w:rPr>
            <w:webHidden/>
          </w:rPr>
          <w:instrText xml:space="preserve"> PAGEREF _Toc58858721 \h </w:instrText>
        </w:r>
        <w:r w:rsidR="00774DB7">
          <w:rPr>
            <w:webHidden/>
          </w:rPr>
        </w:r>
        <w:r w:rsidR="00774DB7">
          <w:rPr>
            <w:webHidden/>
          </w:rPr>
          <w:fldChar w:fldCharType="separate"/>
        </w:r>
        <w:r w:rsidR="00644CB1">
          <w:rPr>
            <w:webHidden/>
          </w:rPr>
          <w:t>253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2" w:history="1">
        <w:r w:rsidR="00774DB7" w:rsidRPr="00C24443">
          <w:rPr>
            <w:rStyle w:val="Hyperlink"/>
            <w:rFonts w:ascii="Times New Roman" w:hAnsi="Times New Roman"/>
          </w:rPr>
          <w:t>6.3.1.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_Toc58858722 \h </w:instrText>
        </w:r>
        <w:r w:rsidR="00774DB7">
          <w:rPr>
            <w:webHidden/>
          </w:rPr>
        </w:r>
        <w:r w:rsidR="00774DB7">
          <w:rPr>
            <w:webHidden/>
          </w:rPr>
          <w:fldChar w:fldCharType="separate"/>
        </w:r>
        <w:r w:rsidR="00644CB1">
          <w:rPr>
            <w:webHidden/>
          </w:rPr>
          <w:t>253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3" w:history="1">
        <w:r w:rsidR="00774DB7" w:rsidRPr="00C24443">
          <w:rPr>
            <w:rStyle w:val="Hyperlink"/>
            <w:rFonts w:ascii="Times New Roman" w:hAnsi="Times New Roman"/>
          </w:rPr>
          <w:t>6.3.2.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_Toc58858723 \h </w:instrText>
        </w:r>
        <w:r w:rsidR="00774DB7">
          <w:rPr>
            <w:webHidden/>
          </w:rPr>
        </w:r>
        <w:r w:rsidR="00774DB7">
          <w:rPr>
            <w:webHidden/>
          </w:rPr>
          <w:fldChar w:fldCharType="separate"/>
        </w:r>
        <w:r w:rsidR="00644CB1">
          <w:rPr>
            <w:webHidden/>
          </w:rPr>
          <w:t>253</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4" w:history="1">
        <w:r w:rsidR="00774DB7" w:rsidRPr="00C24443">
          <w:rPr>
            <w:rStyle w:val="Hyperlink"/>
            <w:rFonts w:ascii="Times New Roman" w:hAnsi="Times New Roman"/>
          </w:rPr>
          <w:t>6.4 C 32.04 – Prudens értékelés: koncentrált pozíciók kiegészítő értékelési korrekciója (PruVal 4)</w:t>
        </w:r>
        <w:r w:rsidR="00774DB7">
          <w:rPr>
            <w:webHidden/>
          </w:rPr>
          <w:tab/>
        </w:r>
        <w:r w:rsidR="00774DB7">
          <w:rPr>
            <w:webHidden/>
          </w:rPr>
          <w:fldChar w:fldCharType="begin"/>
        </w:r>
        <w:r w:rsidR="00774DB7">
          <w:rPr>
            <w:webHidden/>
          </w:rPr>
          <w:instrText xml:space="preserve"> PAGEREF _Toc58858724 \h </w:instrText>
        </w:r>
        <w:r w:rsidR="00774DB7">
          <w:rPr>
            <w:webHidden/>
          </w:rPr>
        </w:r>
        <w:r w:rsidR="00774DB7">
          <w:rPr>
            <w:webHidden/>
          </w:rPr>
          <w:fldChar w:fldCharType="separate"/>
        </w:r>
        <w:r w:rsidR="00644CB1">
          <w:rPr>
            <w:webHidden/>
          </w:rPr>
          <w:t>256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5" w:history="1">
        <w:r w:rsidR="00774DB7" w:rsidRPr="00C24443">
          <w:rPr>
            <w:rStyle w:val="Hyperlink"/>
            <w:rFonts w:ascii="Times New Roman" w:hAnsi="Times New Roman"/>
          </w:rPr>
          <w:t>6.4.1.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_Toc58858725 \h </w:instrText>
        </w:r>
        <w:r w:rsidR="00774DB7">
          <w:rPr>
            <w:webHidden/>
          </w:rPr>
        </w:r>
        <w:r w:rsidR="00774DB7">
          <w:rPr>
            <w:webHidden/>
          </w:rPr>
          <w:fldChar w:fldCharType="separate"/>
        </w:r>
        <w:r w:rsidR="00644CB1">
          <w:rPr>
            <w:webHidden/>
          </w:rPr>
          <w:t>256</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6" w:history="1">
        <w:r w:rsidR="00774DB7" w:rsidRPr="00C24443">
          <w:rPr>
            <w:rStyle w:val="Hyperlink"/>
            <w:rFonts w:ascii="Times New Roman" w:hAnsi="Times New Roman"/>
          </w:rPr>
          <w:t>6.4.2.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_Toc58858726 \h </w:instrText>
        </w:r>
        <w:r w:rsidR="00774DB7">
          <w:rPr>
            <w:webHidden/>
          </w:rPr>
        </w:r>
        <w:r w:rsidR="00774DB7">
          <w:rPr>
            <w:webHidden/>
          </w:rPr>
          <w:fldChar w:fldCharType="separate"/>
        </w:r>
        <w:r w:rsidR="00644CB1">
          <w:rPr>
            <w:webHidden/>
          </w:rPr>
          <w:t>257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7" w:history="1">
        <w:r w:rsidR="00774DB7" w:rsidRPr="00C24443">
          <w:rPr>
            <w:rStyle w:val="Hyperlink"/>
            <w:rFonts w:ascii="Times New Roman" w:hAnsi="Times New Roman"/>
          </w:rPr>
          <w:t>7.</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33.00 – Államháztartásokkal szembeni kitettségek (GOV)</w:t>
        </w:r>
        <w:r w:rsidR="00774DB7">
          <w:rPr>
            <w:webHidden/>
          </w:rPr>
          <w:tab/>
        </w:r>
        <w:r w:rsidR="00774DB7">
          <w:rPr>
            <w:webHidden/>
          </w:rPr>
          <w:fldChar w:fldCharType="begin"/>
        </w:r>
        <w:r w:rsidR="00774DB7">
          <w:rPr>
            <w:webHidden/>
          </w:rPr>
          <w:instrText xml:space="preserve"> PAGEREF _Toc58858727 \h </w:instrText>
        </w:r>
        <w:r w:rsidR="00774DB7">
          <w:rPr>
            <w:webHidden/>
          </w:rPr>
        </w:r>
        <w:r w:rsidR="00774DB7">
          <w:rPr>
            <w:webHidden/>
          </w:rPr>
          <w:fldChar w:fldCharType="separate"/>
        </w:r>
        <w:r w:rsidR="00644CB1">
          <w:rPr>
            <w:webHidden/>
          </w:rPr>
          <w:t>259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8" w:history="1">
        <w:r w:rsidR="00774DB7" w:rsidRPr="00C24443">
          <w:rPr>
            <w:rStyle w:val="Hyperlink"/>
            <w:rFonts w:ascii="Times New Roman" w:hAnsi="Times New Roman"/>
          </w:rPr>
          <w:t>7.1.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_Toc58858728 \h </w:instrText>
        </w:r>
        <w:r w:rsidR="00774DB7">
          <w:rPr>
            <w:webHidden/>
          </w:rPr>
        </w:r>
        <w:r w:rsidR="00774DB7">
          <w:rPr>
            <w:webHidden/>
          </w:rPr>
          <w:fldChar w:fldCharType="separate"/>
        </w:r>
        <w:r w:rsidR="00644CB1">
          <w:rPr>
            <w:webHidden/>
          </w:rPr>
          <w:t>259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29" w:history="1">
        <w:r w:rsidR="00774DB7" w:rsidRPr="00C24443">
          <w:rPr>
            <w:rStyle w:val="Hyperlink"/>
            <w:rFonts w:ascii="Times New Roman" w:hAnsi="Times New Roman"/>
          </w:rPr>
          <w:t>7.2.</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Az államháztartásokkal szembeni kitettségek tábla alkalmazási köre</w:t>
        </w:r>
        <w:r w:rsidR="00774DB7">
          <w:rPr>
            <w:webHidden/>
          </w:rPr>
          <w:tab/>
        </w:r>
        <w:r w:rsidR="00774DB7">
          <w:rPr>
            <w:webHidden/>
          </w:rPr>
          <w:fldChar w:fldCharType="begin"/>
        </w:r>
        <w:r w:rsidR="00774DB7">
          <w:rPr>
            <w:webHidden/>
          </w:rPr>
          <w:instrText xml:space="preserve"> PAGEREF _Toc58858729 \h </w:instrText>
        </w:r>
        <w:r w:rsidR="00774DB7">
          <w:rPr>
            <w:webHidden/>
          </w:rPr>
        </w:r>
        <w:r w:rsidR="00774DB7">
          <w:rPr>
            <w:webHidden/>
          </w:rPr>
          <w:fldChar w:fldCharType="separate"/>
        </w:r>
        <w:r w:rsidR="00644CB1">
          <w:rPr>
            <w:webHidden/>
          </w:rPr>
          <w:t>259</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30" w:history="1">
        <w:r w:rsidR="00774DB7" w:rsidRPr="00C24443">
          <w:rPr>
            <w:rStyle w:val="Hyperlink"/>
            <w:rFonts w:ascii="Times New Roman" w:hAnsi="Times New Roman"/>
          </w:rPr>
          <w:t>7.3.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_Toc58858730 \h </w:instrText>
        </w:r>
        <w:r w:rsidR="00774DB7">
          <w:rPr>
            <w:webHidden/>
          </w:rPr>
        </w:r>
        <w:r w:rsidR="00774DB7">
          <w:rPr>
            <w:webHidden/>
          </w:rPr>
          <w:fldChar w:fldCharType="separate"/>
        </w:r>
        <w:r w:rsidR="00644CB1">
          <w:rPr>
            <w:webHidden/>
          </w:rPr>
          <w:t>260</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31" w:history="1">
        <w:r w:rsidR="00774DB7" w:rsidRPr="00C24443">
          <w:rPr>
            <w:rStyle w:val="Hyperlink"/>
            <w:rFonts w:ascii="Times New Roman" w:hAnsi="Times New Roman"/>
          </w:rPr>
          <w:t>8.</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Nemteljesítő kitettségek veszteségfedezete (NPE LC)</w:t>
        </w:r>
        <w:r w:rsidR="00774DB7">
          <w:rPr>
            <w:webHidden/>
          </w:rPr>
          <w:tab/>
        </w:r>
        <w:r w:rsidR="00774DB7">
          <w:rPr>
            <w:webHidden/>
          </w:rPr>
          <w:fldChar w:fldCharType="begin"/>
        </w:r>
        <w:r w:rsidR="00774DB7">
          <w:rPr>
            <w:webHidden/>
          </w:rPr>
          <w:instrText xml:space="preserve"> PAGEREF _Toc58858731 \h </w:instrText>
        </w:r>
        <w:r w:rsidR="00774DB7">
          <w:rPr>
            <w:webHidden/>
          </w:rPr>
        </w:r>
        <w:r w:rsidR="00774DB7">
          <w:rPr>
            <w:webHidden/>
          </w:rPr>
          <w:fldChar w:fldCharType="separate"/>
        </w:r>
        <w:r w:rsidR="00644CB1">
          <w:rPr>
            <w:webHidden/>
          </w:rPr>
          <w:t>271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32" w:history="1">
        <w:r w:rsidR="00774DB7" w:rsidRPr="00C24443">
          <w:rPr>
            <w:rStyle w:val="Hyperlink"/>
            <w:rFonts w:ascii="Times New Roman" w:hAnsi="Times New Roman"/>
          </w:rPr>
          <w:t>8.1.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Általános megjegyzések</w:t>
        </w:r>
        <w:r w:rsidR="00774DB7">
          <w:rPr>
            <w:webHidden/>
          </w:rPr>
          <w:tab/>
        </w:r>
        <w:r w:rsidR="00774DB7">
          <w:rPr>
            <w:webHidden/>
          </w:rPr>
          <w:fldChar w:fldCharType="begin"/>
        </w:r>
        <w:r w:rsidR="00774DB7">
          <w:rPr>
            <w:webHidden/>
          </w:rPr>
          <w:instrText xml:space="preserve"> PAGEREF _Toc58858732 \h </w:instrText>
        </w:r>
        <w:r w:rsidR="00774DB7">
          <w:rPr>
            <w:webHidden/>
          </w:rPr>
        </w:r>
        <w:r w:rsidR="00774DB7">
          <w:rPr>
            <w:webHidden/>
          </w:rPr>
          <w:fldChar w:fldCharType="separate"/>
        </w:r>
        <w:r w:rsidR="00644CB1">
          <w:rPr>
            <w:webHidden/>
          </w:rPr>
          <w:t>271</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33" w:history="1">
        <w:r w:rsidR="00774DB7" w:rsidRPr="00C24443">
          <w:rPr>
            <w:rStyle w:val="Hyperlink"/>
            <w:rFonts w:ascii="Times New Roman" w:hAnsi="Times New Roman"/>
          </w:rPr>
          <w:t>8.2. C 35.01 – C 35.01– A NEMTELJESÍTŐ KITETTSÉGEKHEZ KAPCSOLÓDÓ LEVONÁSOK KISZÁMÍTÁSA (NPE LC1)</w:t>
        </w:r>
        <w:r w:rsidR="00774DB7">
          <w:rPr>
            <w:webHidden/>
          </w:rPr>
          <w:tab/>
        </w:r>
        <w:r w:rsidR="00774DB7">
          <w:rPr>
            <w:webHidden/>
          </w:rPr>
          <w:fldChar w:fldCharType="begin"/>
        </w:r>
        <w:r w:rsidR="00774DB7">
          <w:rPr>
            <w:webHidden/>
          </w:rPr>
          <w:instrText xml:space="preserve"> PAGEREF _Toc58858733 \h </w:instrText>
        </w:r>
        <w:r w:rsidR="00774DB7">
          <w:rPr>
            <w:webHidden/>
          </w:rPr>
        </w:r>
        <w:r w:rsidR="00774DB7">
          <w:rPr>
            <w:webHidden/>
          </w:rPr>
          <w:fldChar w:fldCharType="separate"/>
        </w:r>
        <w:r w:rsidR="00644CB1">
          <w:rPr>
            <w:webHidden/>
          </w:rPr>
          <w:t>272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34" w:history="1">
        <w:r w:rsidR="00774DB7" w:rsidRPr="00C24443">
          <w:rPr>
            <w:rStyle w:val="Hyperlink"/>
            <w:rFonts w:ascii="Times New Roman" w:hAnsi="Times New Roman"/>
          </w:rPr>
          <w:t>8.2.1.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_Toc58858734 \h </w:instrText>
        </w:r>
        <w:r w:rsidR="00774DB7">
          <w:rPr>
            <w:webHidden/>
          </w:rPr>
        </w:r>
        <w:r w:rsidR="00774DB7">
          <w:rPr>
            <w:webHidden/>
          </w:rPr>
          <w:fldChar w:fldCharType="separate"/>
        </w:r>
        <w:r w:rsidR="00644CB1">
          <w:rPr>
            <w:webHidden/>
          </w:rPr>
          <w:t>272</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35" w:history="1">
        <w:r w:rsidR="00774DB7" w:rsidRPr="00C24443">
          <w:rPr>
            <w:rStyle w:val="Hyperlink"/>
            <w:rFonts w:ascii="Times New Roman" w:hAnsi="Times New Roman"/>
          </w:rPr>
          <w:t>8.3.</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35.02 – A NEMTELJESÍTŐ KITETTSÉGEKRE VONATKOZÓ FEDEZETI MINIMUMKÖVETELMÉNYEK ÉS KITETTSÉGÉRTÉKEK, KIVÉVE A CRR 47c. CIKKE (6) BEKEZDÉSÉNEK HATÁLYA ALÁ TARTOZÓ ÁTSTRUKTURÁLT KITETTSÉGEKET (NPE LC2)</w:t>
        </w:r>
        <w:r w:rsidR="00774DB7">
          <w:rPr>
            <w:webHidden/>
          </w:rPr>
          <w:tab/>
        </w:r>
        <w:r w:rsidR="00774DB7">
          <w:rPr>
            <w:webHidden/>
          </w:rPr>
          <w:fldChar w:fldCharType="begin"/>
        </w:r>
        <w:r w:rsidR="00774DB7">
          <w:rPr>
            <w:webHidden/>
          </w:rPr>
          <w:instrText xml:space="preserve"> PAGEREF _Toc58858735 \h </w:instrText>
        </w:r>
        <w:r w:rsidR="00774DB7">
          <w:rPr>
            <w:webHidden/>
          </w:rPr>
        </w:r>
        <w:r w:rsidR="00774DB7">
          <w:rPr>
            <w:webHidden/>
          </w:rPr>
          <w:fldChar w:fldCharType="separate"/>
        </w:r>
        <w:r w:rsidR="00644CB1">
          <w:rPr>
            <w:webHidden/>
          </w:rPr>
          <w:t>275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36" w:history="1">
        <w:r w:rsidR="00774DB7" w:rsidRPr="00C24443">
          <w:rPr>
            <w:rStyle w:val="Hyperlink"/>
            <w:rFonts w:ascii="Times New Roman" w:hAnsi="Times New Roman"/>
          </w:rPr>
          <w:t>8.3.1.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_Toc58858736 \h </w:instrText>
        </w:r>
        <w:r w:rsidR="00774DB7">
          <w:rPr>
            <w:webHidden/>
          </w:rPr>
        </w:r>
        <w:r w:rsidR="00774DB7">
          <w:rPr>
            <w:webHidden/>
          </w:rPr>
          <w:fldChar w:fldCharType="separate"/>
        </w:r>
        <w:r w:rsidR="00644CB1">
          <w:rPr>
            <w:webHidden/>
          </w:rPr>
          <w:t>275</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37" w:history="1">
        <w:r w:rsidR="00774DB7" w:rsidRPr="00C24443">
          <w:rPr>
            <w:rStyle w:val="Hyperlink"/>
            <w:rFonts w:ascii="Times New Roman" w:hAnsi="Times New Roman"/>
          </w:rPr>
          <w:t>8.4.</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C 35.03 – A CRR 47c. CIKKE (6) BEKEZDÉSÉNEK HATÁLYA ALÁ TARTOZÓ ÁTSTRUKTURÁLT NEMTELJESÍTŐ KITETTSÉGEKRE VONATKOZÓ FEDEZETI MINIMUMKÖVETELMÉNYEK ÉS KITETTSÉGÉRTÉKEK (NPE LC3)</w:t>
        </w:r>
        <w:r w:rsidR="00774DB7">
          <w:rPr>
            <w:webHidden/>
          </w:rPr>
          <w:tab/>
        </w:r>
        <w:r w:rsidR="00774DB7">
          <w:rPr>
            <w:webHidden/>
          </w:rPr>
          <w:fldChar w:fldCharType="begin"/>
        </w:r>
        <w:r w:rsidR="00774DB7">
          <w:rPr>
            <w:webHidden/>
          </w:rPr>
          <w:instrText xml:space="preserve"> PAGEREF _Toc58858737 \h </w:instrText>
        </w:r>
        <w:r w:rsidR="00774DB7">
          <w:rPr>
            <w:webHidden/>
          </w:rPr>
        </w:r>
        <w:r w:rsidR="00774DB7">
          <w:rPr>
            <w:webHidden/>
          </w:rPr>
          <w:fldChar w:fldCharType="separate"/>
        </w:r>
        <w:r w:rsidR="00644CB1">
          <w:rPr>
            <w:webHidden/>
          </w:rPr>
          <w:t>277</w:t>
        </w:r>
        <w:r w:rsidR="00774DB7">
          <w:rPr>
            <w:webHidden/>
          </w:rPr>
          <w:fldChar w:fldCharType="end"/>
        </w:r>
      </w:hyperlink>
    </w:p>
    <w:p w:rsidR="00774DB7" w:rsidRDefault="00913E69">
      <w:pPr>
        <w:pStyle w:val="TOC2"/>
        <w:rPr>
          <w:rFonts w:asciiTheme="minorHAnsi" w:eastAsiaTheme="minorEastAsia" w:hAnsiTheme="minorHAnsi" w:cstheme="minorBidi"/>
          <w:b w:val="0"/>
          <w:smallCaps w:val="0"/>
          <w:sz w:val="22"/>
          <w:lang w:val="en-US"/>
        </w:rPr>
      </w:pPr>
      <w:hyperlink w:anchor="_Toc58858738" w:history="1">
        <w:r w:rsidR="00774DB7" w:rsidRPr="00C24443">
          <w:rPr>
            <w:rStyle w:val="Hyperlink"/>
            <w:rFonts w:ascii="Times New Roman" w:hAnsi="Times New Roman"/>
          </w:rPr>
          <w:t>8.4.1.</w:t>
        </w:r>
        <w:r w:rsidR="00774DB7">
          <w:rPr>
            <w:rFonts w:asciiTheme="minorHAnsi" w:eastAsiaTheme="minorEastAsia" w:hAnsiTheme="minorHAnsi" w:cstheme="minorBidi"/>
            <w:b w:val="0"/>
            <w:smallCaps w:val="0"/>
            <w:sz w:val="22"/>
            <w:lang w:val="en-US"/>
          </w:rPr>
          <w:tab/>
        </w:r>
        <w:r w:rsidR="00774DB7" w:rsidRPr="00C24443">
          <w:rPr>
            <w:rStyle w:val="Hyperlink"/>
            <w:rFonts w:ascii="Times New Roman" w:hAnsi="Times New Roman"/>
          </w:rPr>
          <w:t>A tábla egyes részeire vonatkozó útmutató</w:t>
        </w:r>
        <w:r w:rsidR="00774DB7">
          <w:rPr>
            <w:webHidden/>
          </w:rPr>
          <w:tab/>
        </w:r>
        <w:r w:rsidR="00774DB7">
          <w:rPr>
            <w:webHidden/>
          </w:rPr>
          <w:fldChar w:fldCharType="begin"/>
        </w:r>
        <w:r w:rsidR="00774DB7">
          <w:rPr>
            <w:webHidden/>
          </w:rPr>
          <w:instrText xml:space="preserve"> PAGEREF _Toc58858738 \h </w:instrText>
        </w:r>
        <w:r w:rsidR="00774DB7">
          <w:rPr>
            <w:webHidden/>
          </w:rPr>
        </w:r>
        <w:r w:rsidR="00774DB7">
          <w:rPr>
            <w:webHidden/>
          </w:rPr>
          <w:fldChar w:fldCharType="separate"/>
        </w:r>
        <w:r w:rsidR="00644CB1">
          <w:rPr>
            <w:webHidden/>
          </w:rPr>
          <w:t>277</w:t>
        </w:r>
        <w:r w:rsidR="00774DB7">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3" w:name="_Toc264038394"/>
      <w:bookmarkStart w:id="4" w:name="_Toc360188317"/>
      <w:bookmarkStart w:id="5" w:name="_Toc473560865"/>
      <w:bookmarkStart w:id="6" w:name="_Toc58858559"/>
      <w:r>
        <w:rPr>
          <w:rFonts w:ascii="Times New Roman" w:hAnsi="Times New Roman"/>
        </w:rPr>
        <w:t>I. RÉSZ:</w:t>
      </w:r>
      <w:bookmarkEnd w:id="3"/>
      <w:r>
        <w:rPr>
          <w:rFonts w:ascii="Times New Roman" w:hAnsi="Times New Roman"/>
        </w:rPr>
        <w:t xml:space="preserve"> ÁLTALÁNOS ÚTMUTATÓ</w:t>
      </w:r>
      <w:bookmarkEnd w:id="4"/>
      <w:bookmarkEnd w:id="5"/>
      <w:bookmarkEnd w:id="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58858560"/>
      <w:r>
        <w:rPr>
          <w:rFonts w:ascii="Times New Roman" w:hAnsi="Times New Roman"/>
          <w:sz w:val="24"/>
          <w:u w:val="none"/>
        </w:rPr>
        <w:t>1.</w:t>
      </w:r>
      <w:r w:rsidRPr="00774DB7">
        <w:rPr>
          <w:u w:val="none"/>
        </w:rPr>
        <w:tab/>
      </w:r>
      <w:r>
        <w:rPr>
          <w:rFonts w:ascii="Times New Roman" w:hAnsi="Times New Roman"/>
          <w:sz w:val="24"/>
          <w:u w:val="none"/>
        </w:rPr>
        <w:t>Felépítés és szabályok</w:t>
      </w:r>
      <w:bookmarkEnd w:id="7"/>
      <w:bookmarkEnd w:id="8"/>
      <w:bookmarkEnd w:id="9"/>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58858561"/>
      <w:bookmarkStart w:id="13" w:name="_Toc264038399"/>
      <w:bookmarkStart w:id="14" w:name="_Toc294018834"/>
      <w:r>
        <w:rPr>
          <w:rFonts w:ascii="Times New Roman" w:hAnsi="Times New Roman"/>
          <w:sz w:val="24"/>
          <w:u w:val="none"/>
        </w:rPr>
        <w:t>1.1.</w:t>
      </w:r>
      <w:r w:rsidRPr="00774DB7">
        <w:rPr>
          <w:u w:val="none"/>
        </w:rPr>
        <w:tab/>
      </w:r>
      <w:r>
        <w:rPr>
          <w:rFonts w:ascii="Times New Roman" w:hAnsi="Times New Roman"/>
          <w:sz w:val="24"/>
          <w:u w:val="none"/>
        </w:rPr>
        <w:t>Felépítés</w:t>
      </w:r>
      <w:bookmarkEnd w:id="10"/>
      <w:bookmarkEnd w:id="11"/>
      <w:bookmarkEnd w:id="12"/>
    </w:p>
    <w:p w:rsidR="002648B0" w:rsidRPr="00661595" w:rsidRDefault="0055388B" w:rsidP="00487A02">
      <w:pPr>
        <w:pStyle w:val="InstructionsText2"/>
        <w:numPr>
          <w:ilvl w:val="0"/>
          <w:numId w:val="0"/>
        </w:numPr>
        <w:ind w:left="1353" w:hanging="360"/>
      </w:pPr>
      <w:fldSimple w:instr=" seq paragraphs ">
        <w:r w:rsidR="00D11E4C">
          <w:rPr>
            <w:noProof/>
          </w:rPr>
          <w:t>1</w:t>
        </w:r>
      </w:fldSimple>
      <w:r w:rsidR="00D11E4C">
        <w:t>.</w:t>
      </w:r>
      <w:r w:rsidR="00D11E4C">
        <w:tab/>
        <w:t>Összességében a keretrendszer hat témát ölel fel:</w:t>
      </w:r>
    </w:p>
    <w:p w:rsidR="002648B0" w:rsidRPr="00661595" w:rsidRDefault="00125707" w:rsidP="00487A02">
      <w:pPr>
        <w:pStyle w:val="InstructionsText2"/>
        <w:numPr>
          <w:ilvl w:val="0"/>
          <w:numId w:val="0"/>
        </w:numPr>
        <w:ind w:left="1353" w:hanging="360"/>
      </w:pPr>
      <w:r>
        <w:t>a)</w:t>
      </w:r>
      <w:r>
        <w:tab/>
        <w:t>tőkemegfelelés, a szavatolótőke áttekintése; teljes kockázati kitettségérték; prudens értékelés; nemteljesítő kitettségek veszteségfedezete;</w:t>
      </w:r>
    </w:p>
    <w:p w:rsidR="00436204" w:rsidRPr="00661595" w:rsidRDefault="00125707" w:rsidP="00487A02">
      <w:pPr>
        <w:pStyle w:val="InstructionsText2"/>
        <w:numPr>
          <w:ilvl w:val="0"/>
          <w:numId w:val="0"/>
        </w:numPr>
        <w:ind w:left="1353" w:hanging="360"/>
      </w:pPr>
      <w:r>
        <w:t>b)</w:t>
      </w:r>
      <w:r>
        <w:tab/>
        <w:t>csoportszintű szavatolótőke-megfelelés, áttekintés a tőkemegfelelési követelményeknek az adatszolgáltató intézmény konszolidációs körébe bevont valamennyi szervezet általi teljesítéséről;</w:t>
      </w:r>
    </w:p>
    <w:p w:rsidR="002648B0" w:rsidRPr="00661595" w:rsidRDefault="00125707" w:rsidP="00487A02">
      <w:pPr>
        <w:pStyle w:val="InstructionsText2"/>
        <w:numPr>
          <w:ilvl w:val="0"/>
          <w:numId w:val="0"/>
        </w:numPr>
        <w:ind w:left="1353" w:hanging="360"/>
      </w:pPr>
      <w:r>
        <w:t>c)</w:t>
      </w:r>
      <w:r>
        <w:tab/>
        <w:t>hitelkockázat (partner-, felhígulási és elszámolási kockázat);</w:t>
      </w:r>
    </w:p>
    <w:p w:rsidR="002648B0" w:rsidRPr="00661595" w:rsidRDefault="00125707" w:rsidP="00487A02">
      <w:pPr>
        <w:pStyle w:val="InstructionsText2"/>
        <w:numPr>
          <w:ilvl w:val="0"/>
          <w:numId w:val="0"/>
        </w:numPr>
        <w:ind w:left="1353" w:hanging="360"/>
      </w:pPr>
      <w:r>
        <w:t>d)</w:t>
      </w:r>
      <w:r>
        <w:tab/>
        <w:t>piaci kockázat (kereskedési könyvi pozíciókockázat, devizaárfolyam-kockázat, árukockázat, CVA-kockázat);</w:t>
      </w:r>
    </w:p>
    <w:p w:rsidR="00C44C83" w:rsidRPr="00661595" w:rsidRDefault="00125707" w:rsidP="00487A02">
      <w:pPr>
        <w:pStyle w:val="InstructionsText2"/>
        <w:numPr>
          <w:ilvl w:val="0"/>
          <w:numId w:val="0"/>
        </w:numPr>
        <w:ind w:left="1353" w:hanging="360"/>
      </w:pPr>
      <w:r>
        <w:t>e)</w:t>
      </w:r>
      <w:r>
        <w:tab/>
        <w:t>működési kockázat;</w:t>
      </w:r>
    </w:p>
    <w:p w:rsidR="002648B0" w:rsidRPr="00661595" w:rsidRDefault="00C44C83" w:rsidP="00487A02">
      <w:pPr>
        <w:pStyle w:val="InstructionsText2"/>
        <w:numPr>
          <w:ilvl w:val="0"/>
          <w:numId w:val="0"/>
        </w:numPr>
        <w:ind w:left="1353" w:hanging="360"/>
      </w:pPr>
      <w:r>
        <w:t>f) államháztartásokkal szembeni kitettségek.</w:t>
      </w:r>
    </w:p>
    <w:p w:rsidR="002648B0" w:rsidRPr="00661595" w:rsidRDefault="0055388B" w:rsidP="00487A02">
      <w:pPr>
        <w:pStyle w:val="InstructionsText2"/>
        <w:numPr>
          <w:ilvl w:val="0"/>
          <w:numId w:val="0"/>
        </w:numPr>
        <w:ind w:left="1353" w:hanging="360"/>
      </w:pPr>
      <w:fldSimple w:instr=" seq paragraphs ">
        <w:r w:rsidR="00D11E4C">
          <w:rPr>
            <w:noProof/>
          </w:rPr>
          <w:t>2</w:t>
        </w:r>
      </w:fldSimple>
      <w:r w:rsidR="00D11E4C">
        <w:t>.</w:t>
      </w:r>
      <w:r w:rsidR="00D11E4C">
        <w:tab/>
        <w:t>Minden táblához biztosított a jogszabályi hivatkozás. Az egyes táblacsoportok felhasználásával történő adatközlés általános szempontjaival kapcsolatos további részletes információkat, a tábla egyes részeire vonatkozó útmutatót, valamint a validálási szabályokat e végrehajtási rendelet jelen része tartalmazza.</w:t>
      </w:r>
    </w:p>
    <w:p w:rsidR="005643EA" w:rsidRPr="00661595" w:rsidRDefault="0055388B" w:rsidP="00487A02">
      <w:pPr>
        <w:pStyle w:val="InstructionsText2"/>
        <w:numPr>
          <w:ilvl w:val="0"/>
          <w:numId w:val="0"/>
        </w:numPr>
        <w:ind w:left="1353" w:hanging="360"/>
      </w:pPr>
      <w:fldSimple w:instr=" seq paragraphs ">
        <w:r w:rsidR="00D11E4C">
          <w:rPr>
            <w:noProof/>
          </w:rPr>
          <w:t>3</w:t>
        </w:r>
      </w:fldSimple>
      <w:r w:rsidR="00D11E4C">
        <w:t>.</w:t>
      </w:r>
      <w:r w:rsidR="00D11E4C">
        <w:tab/>
        <w:t>Az intézményeknek kizárólag azokon a táblákon kell adatot szolgáltatniuk, amelyek a szavatolótőke-követelmények meghatározása során alkalmazott megközelítés szempontjából relevánsak.</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58858562"/>
      <w:r>
        <w:rPr>
          <w:rFonts w:ascii="Times New Roman" w:hAnsi="Times New Roman"/>
          <w:sz w:val="24"/>
          <w:u w:val="none"/>
        </w:rPr>
        <w:t>1.2.</w:t>
      </w:r>
      <w:r w:rsidRPr="00774DB7">
        <w:rPr>
          <w:u w:val="none"/>
        </w:rPr>
        <w:tab/>
      </w:r>
      <w:r>
        <w:rPr>
          <w:rFonts w:ascii="Times New Roman" w:hAnsi="Times New Roman"/>
          <w:sz w:val="24"/>
          <w:u w:val="none"/>
        </w:rPr>
        <w:t>Számozási szabályok</w:t>
      </w:r>
      <w:bookmarkEnd w:id="15"/>
      <w:bookmarkEnd w:id="16"/>
      <w:bookmarkEnd w:id="17"/>
    </w:p>
    <w:p w:rsidR="002648B0" w:rsidRPr="00661595" w:rsidRDefault="0055388B" w:rsidP="00487A02">
      <w:pPr>
        <w:pStyle w:val="InstructionsText2"/>
        <w:numPr>
          <w:ilvl w:val="0"/>
          <w:numId w:val="0"/>
        </w:numPr>
        <w:ind w:left="1353" w:hanging="360"/>
      </w:pPr>
      <w:fldSimple w:instr=" seq paragraphs ">
        <w:r w:rsidR="00D11E4C">
          <w:rPr>
            <w:noProof/>
          </w:rPr>
          <w:t>4</w:t>
        </w:r>
      </w:fldSimple>
      <w:r w:rsidR="00D11E4C">
        <w:t>.</w:t>
      </w:r>
      <w:r w:rsidR="00D11E4C">
        <w:tab/>
        <w:t>A táblák oszlopaira, soraira és celláira való hivatkozáskor a dokumentum az 5–8. pontban meghatározott jelölési szabályokat követi. A numerikus kódokat kimerítően használják a validálási szabályok.</w:t>
      </w:r>
    </w:p>
    <w:p w:rsidR="005643EA" w:rsidRPr="00661595" w:rsidRDefault="0055388B" w:rsidP="00487A02">
      <w:pPr>
        <w:pStyle w:val="InstructionsText2"/>
        <w:numPr>
          <w:ilvl w:val="0"/>
          <w:numId w:val="0"/>
        </w:numPr>
        <w:ind w:left="1353" w:hanging="360"/>
      </w:pPr>
      <w:fldSimple w:instr=" seq paragraphs ">
        <w:r w:rsidR="00D11E4C">
          <w:rPr>
            <w:noProof/>
          </w:rPr>
          <w:t>5</w:t>
        </w:r>
      </w:fldSimple>
      <w:r w:rsidR="00D11E4C">
        <w:t>.</w:t>
      </w:r>
      <w:r w:rsidR="00D11E4C">
        <w:tab/>
        <w:t>Az útmutató a következő általános jelölést követi: {Tábla; Sor; Oszlop}.</w:t>
      </w:r>
    </w:p>
    <w:p w:rsidR="002648B0" w:rsidRPr="00661595" w:rsidRDefault="0055388B" w:rsidP="00487A02">
      <w:pPr>
        <w:pStyle w:val="InstructionsText2"/>
        <w:numPr>
          <w:ilvl w:val="0"/>
          <w:numId w:val="0"/>
        </w:numPr>
        <w:ind w:left="1353" w:hanging="360"/>
      </w:pPr>
      <w:fldSimple w:instr=" seq paragraphs ">
        <w:r w:rsidR="00D11E4C">
          <w:rPr>
            <w:noProof/>
          </w:rPr>
          <w:t>6</w:t>
        </w:r>
      </w:fldSimple>
      <w:r w:rsidR="00D11E4C">
        <w:t>.</w:t>
      </w:r>
      <w:r w:rsidR="00D11E4C">
        <w:tab/>
        <w:t>Olyan táblán belüli validálás esetén, amelynél az adott táblából csak adatpontokat használunk, a jelölés nem hivatkozik a táblára: {Sor; Oszlop}.</w:t>
      </w:r>
    </w:p>
    <w:p w:rsidR="005643EA" w:rsidRPr="00661595" w:rsidRDefault="0055388B" w:rsidP="00487A02">
      <w:pPr>
        <w:pStyle w:val="InstructionsText2"/>
        <w:numPr>
          <w:ilvl w:val="0"/>
          <w:numId w:val="0"/>
        </w:numPr>
        <w:ind w:left="1353" w:hanging="360"/>
      </w:pPr>
      <w:fldSimple w:instr=" seq paragraphs ">
        <w:r w:rsidR="00D11E4C">
          <w:rPr>
            <w:noProof/>
          </w:rPr>
          <w:t>7</w:t>
        </w:r>
      </w:fldSimple>
      <w:r w:rsidR="00D11E4C">
        <w:t>.</w:t>
      </w:r>
      <w:r w:rsidR="00D11E4C">
        <w:tab/>
        <w:t>Az olyan táblák esetében, amelyek csak egy oszlopot tartalmaznak, a jelölés csak a sorokra hivatkozik. {Tábla; Sor}.</w:t>
      </w:r>
    </w:p>
    <w:p w:rsidR="002648B0" w:rsidRPr="00661595" w:rsidRDefault="0055388B" w:rsidP="00487A02">
      <w:pPr>
        <w:pStyle w:val="InstructionsText2"/>
        <w:numPr>
          <w:ilvl w:val="0"/>
          <w:numId w:val="0"/>
        </w:numPr>
        <w:ind w:left="1353" w:hanging="360"/>
      </w:pPr>
      <w:fldSimple w:instr=" seq paragraphs ">
        <w:r w:rsidR="00D11E4C">
          <w:rPr>
            <w:noProof/>
          </w:rPr>
          <w:t>8</w:t>
        </w:r>
      </w:fldSimple>
      <w:r w:rsidR="00D11E4C">
        <w:t>.</w:t>
      </w:r>
      <w:r w:rsidR="00D11E4C">
        <w:tab/>
        <w:t>Csillag jelöli, hogy a validálás a korábban meghatározott sorra vagy oszlopra megtörtént.</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58858563"/>
      <w:r>
        <w:rPr>
          <w:rFonts w:ascii="Times New Roman" w:hAnsi="Times New Roman"/>
          <w:sz w:val="24"/>
          <w:u w:val="none"/>
        </w:rPr>
        <w:lastRenderedPageBreak/>
        <w:t>1.3.</w:t>
      </w:r>
      <w:r w:rsidRPr="00774DB7">
        <w:rPr>
          <w:u w:val="none"/>
        </w:rPr>
        <w:tab/>
      </w:r>
      <w:r>
        <w:rPr>
          <w:rFonts w:ascii="Times New Roman" w:hAnsi="Times New Roman"/>
          <w:sz w:val="24"/>
          <w:u w:val="none"/>
        </w:rPr>
        <w:t>Előjelre vonatkozó szabályok</w:t>
      </w:r>
      <w:bookmarkEnd w:id="13"/>
      <w:bookmarkEnd w:id="14"/>
      <w:bookmarkEnd w:id="18"/>
      <w:bookmarkEnd w:id="19"/>
      <w:bookmarkEnd w:id="20"/>
    </w:p>
    <w:p w:rsidR="002648B0" w:rsidRPr="00661595" w:rsidRDefault="0055388B" w:rsidP="00487A02">
      <w:pPr>
        <w:pStyle w:val="InstructionsText2"/>
        <w:numPr>
          <w:ilvl w:val="0"/>
          <w:numId w:val="0"/>
        </w:numPr>
        <w:ind w:left="1353" w:hanging="360"/>
      </w:pPr>
      <w:fldSimple w:instr=" seq paragraphs ">
        <w:r w:rsidR="00D11E4C">
          <w:rPr>
            <w:noProof/>
          </w:rPr>
          <w:t>9</w:t>
        </w:r>
      </w:fldSimple>
      <w:r w:rsidR="00D11E4C">
        <w:t>.</w:t>
      </w:r>
      <w:r w:rsidR="00D11E4C">
        <w:tab/>
        <w:t>A szavatolótőkét vagy a tőkekövetelményeket növelő összegeket pozitív számként kell feltüntetni. Ugyanakkor a szavatolótőke teljes összegét vagy a tőkekövetelményeket csökkentő bármely összeg előjele negatív. Ha egy tétel megnevezése előtt mínuszjel (–) található, akkor az adott tételről nem szolgáltatható pozitív adat.</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1" w:name="_Toc58858564"/>
      <w:r>
        <w:rPr>
          <w:rFonts w:ascii="Times New Roman" w:hAnsi="Times New Roman"/>
          <w:sz w:val="24"/>
          <w:u w:val="none"/>
        </w:rPr>
        <w:t>1.4.</w:t>
      </w:r>
      <w:r w:rsidRPr="00774DB7">
        <w:rPr>
          <w:u w:val="none"/>
        </w:rPr>
        <w:tab/>
      </w:r>
      <w:r>
        <w:rPr>
          <w:rFonts w:ascii="Times New Roman" w:hAnsi="Times New Roman"/>
          <w:sz w:val="24"/>
          <w:u w:val="none"/>
        </w:rPr>
        <w:t>Rövidítések</w:t>
      </w:r>
      <w:bookmarkEnd w:id="21"/>
    </w:p>
    <w:p w:rsidR="00304CA5" w:rsidRPr="00661595" w:rsidRDefault="0055388B" w:rsidP="00487A02">
      <w:pPr>
        <w:pStyle w:val="InstructionsText2"/>
        <w:numPr>
          <w:ilvl w:val="0"/>
          <w:numId w:val="0"/>
        </w:numPr>
        <w:ind w:left="1353" w:hanging="360"/>
      </w:pPr>
      <w:fldSimple w:instr=" seq paragraphs ">
        <w:r w:rsidR="00D11E4C">
          <w:rPr>
            <w:noProof/>
          </w:rPr>
          <w:t>10</w:t>
        </w:r>
      </w:fldSimple>
      <w:r w:rsidR="00D11E4C">
        <w:t>. E melléklet alkalmazásában az 575/2013/EU európai parlamenti és tanácsi rendeletre</w:t>
      </w:r>
      <w:r w:rsidR="00D11E4C">
        <w:rPr>
          <w:vertAlign w:val="superscript"/>
        </w:rPr>
        <w:footnoteReference w:id="2"/>
      </w:r>
      <w:r w:rsidR="00D11E4C">
        <w:t xml:space="preserve"> „CRR”-ként, a 2013/36/EU európai parlamenti és tanácsi irányelvre</w:t>
      </w:r>
      <w:r w:rsidR="00D11E4C">
        <w:rPr>
          <w:vertAlign w:val="superscript"/>
        </w:rPr>
        <w:footnoteReference w:id="3"/>
      </w:r>
      <w:r w:rsidR="00D11E4C">
        <w:t xml:space="preserve"> „CRD”-ként, a 2013/34/EU európai parlamenti és tanácsi irányelvre</w:t>
      </w:r>
      <w:r w:rsidR="00D11E4C">
        <w:rPr>
          <w:vertAlign w:val="superscript"/>
        </w:rPr>
        <w:footnoteReference w:id="4"/>
      </w:r>
      <w:r w:rsidR="00D11E4C">
        <w:t xml:space="preserve"> „AD”-ként, a 86/635/EGK tanácsi irányelvre</w:t>
      </w:r>
      <w:r w:rsidR="00D11E4C">
        <w:rPr>
          <w:vertAlign w:val="superscript"/>
        </w:rPr>
        <w:footnoteReference w:id="5"/>
      </w:r>
      <w:r w:rsidR="00D11E4C">
        <w:t xml:space="preserve"> „BAD”-ként és a 2014/59/EU európai parlamenti és tanácsi irányelvre</w:t>
      </w:r>
      <w:r w:rsidR="00D11E4C">
        <w:rPr>
          <w:vertAlign w:val="superscript"/>
        </w:rPr>
        <w:footnoteReference w:id="6"/>
      </w:r>
      <w:r w:rsidR="00D11E4C">
        <w:t xml:space="preserve"> „BRRD”-ként történik hivatkozás.</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3" w:name="_Toc360188322"/>
      <w:bookmarkStart w:id="24" w:name="_Toc473560870"/>
      <w:bookmarkStart w:id="25" w:name="_Toc58858565"/>
      <w:r>
        <w:rPr>
          <w:rFonts w:ascii="Times New Roman" w:hAnsi="Times New Roman"/>
        </w:rPr>
        <w:t>II. RÉSZ: A TÁBLÁHOZ KAPCSOLÓDÓ ÚTMUTATÓ</w:t>
      </w:r>
      <w:bookmarkEnd w:id="23"/>
      <w:bookmarkEnd w:id="24"/>
      <w:bookmarkEnd w:id="2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6" w:name="_Toc473560871"/>
      <w:bookmarkStart w:id="27" w:name="_Toc58858566"/>
      <w:r>
        <w:rPr>
          <w:rFonts w:ascii="Times New Roman" w:hAnsi="Times New Roman"/>
          <w:sz w:val="24"/>
          <w:u w:val="none"/>
        </w:rPr>
        <w:t>1.</w:t>
      </w:r>
      <w:r w:rsidRPr="00774DB7">
        <w:rPr>
          <w:u w:val="none"/>
        </w:rPr>
        <w:tab/>
      </w:r>
      <w:bookmarkStart w:id="28" w:name="_Toc360188323"/>
      <w:r>
        <w:rPr>
          <w:rFonts w:ascii="Times New Roman" w:hAnsi="Times New Roman"/>
          <w:sz w:val="24"/>
          <w:u w:val="none"/>
        </w:rPr>
        <w:t>Tőkemegfelelési áttekintés</w:t>
      </w:r>
      <w:bookmarkEnd w:id="28"/>
      <w:r>
        <w:rPr>
          <w:rFonts w:ascii="Times New Roman" w:hAnsi="Times New Roman"/>
          <w:sz w:val="24"/>
          <w:u w:val="none"/>
        </w:rPr>
        <w:t xml:space="preserve"> (CA)</w:t>
      </w:r>
      <w:bookmarkEnd w:id="26"/>
      <w:bookmarkEnd w:id="27"/>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9" w:name="_Toc308175819"/>
      <w:bookmarkStart w:id="30" w:name="_Toc360188324"/>
      <w:bookmarkStart w:id="31" w:name="_Toc473560872"/>
      <w:bookmarkStart w:id="32" w:name="_Toc58858567"/>
      <w:r>
        <w:rPr>
          <w:rFonts w:ascii="Times New Roman" w:hAnsi="Times New Roman"/>
          <w:sz w:val="24"/>
          <w:u w:val="none"/>
        </w:rPr>
        <w:t>1.1.</w:t>
      </w:r>
      <w:r w:rsidRPr="00774DB7">
        <w:rPr>
          <w:u w:val="none"/>
        </w:rPr>
        <w:tab/>
      </w:r>
      <w:r>
        <w:rPr>
          <w:rFonts w:ascii="Times New Roman" w:hAnsi="Times New Roman"/>
          <w:sz w:val="24"/>
          <w:u w:val="none"/>
        </w:rPr>
        <w:t>Általános megjegyzések</w:t>
      </w:r>
      <w:bookmarkEnd w:id="29"/>
      <w:bookmarkEnd w:id="30"/>
      <w:bookmarkEnd w:id="31"/>
      <w:bookmarkEnd w:id="32"/>
    </w:p>
    <w:p w:rsidR="002648B0" w:rsidRPr="00661595" w:rsidRDefault="0055388B" w:rsidP="00487A02">
      <w:pPr>
        <w:pStyle w:val="InstructionsText2"/>
        <w:numPr>
          <w:ilvl w:val="0"/>
          <w:numId w:val="0"/>
        </w:numPr>
        <w:ind w:left="1353" w:hanging="360"/>
      </w:pPr>
      <w:fldSimple w:instr=" seq paragraphs ">
        <w:r w:rsidR="00D11E4C">
          <w:rPr>
            <w:noProof/>
          </w:rPr>
          <w:t>11</w:t>
        </w:r>
      </w:fldSimple>
      <w:r w:rsidR="00D11E4C">
        <w:t>.</w:t>
      </w:r>
      <w:r w:rsidR="00D11E4C">
        <w:tab/>
        <w:t xml:space="preserve">A CA táblacsoport az I. pillér szerinti mutatók számlálóiban szereplő tőketípusokra (szavatolótőke, alapvető tőke [T1], elsődleges alapvető tőke [CET1]) és nevezőjére (szavatolótőke-követelmény), valamint a CRR-ben és a CRD-ben található átmeneti rendelkezések alkalmazására vonatkozó információkat tartalmazza. A CA táblacsoport öt táblát foglal magában: </w:t>
      </w:r>
    </w:p>
    <w:p w:rsidR="005643EA" w:rsidRPr="00661595" w:rsidRDefault="00125707" w:rsidP="00487A02">
      <w:pPr>
        <w:pStyle w:val="InstructionsText2"/>
        <w:numPr>
          <w:ilvl w:val="0"/>
          <w:numId w:val="0"/>
        </w:numPr>
        <w:ind w:left="1353" w:hanging="360"/>
      </w:pPr>
      <w:r>
        <w:t>a)</w:t>
      </w:r>
      <w:r>
        <w:tab/>
        <w:t>A CA1 tábla az egyes intézmények szavatoló tőkéjének összegét tartalmazza, az összeg meghatározásához szükséges tételek szerinti bontásban. A szavatolótőke számított értéke magában foglalja a CRR és a CRD egyes tőkeelemekre vonatkozó átmeneti rendelkezései alkalmazásának összesített hatását is.</w:t>
      </w:r>
    </w:p>
    <w:p w:rsidR="005643EA" w:rsidRPr="00661595" w:rsidRDefault="00125707" w:rsidP="00487A02">
      <w:pPr>
        <w:pStyle w:val="InstructionsText2"/>
        <w:numPr>
          <w:ilvl w:val="0"/>
          <w:numId w:val="0"/>
        </w:numPr>
        <w:ind w:left="1353" w:hanging="360"/>
      </w:pPr>
      <w:r>
        <w:t>b)</w:t>
      </w:r>
      <w:r>
        <w:tab/>
        <w:t>A CA2 tábla a CRR 92. cikkének (3) bekezdése szerinti teljes kockázati kitettségértékeket foglalja össze.</w:t>
      </w:r>
    </w:p>
    <w:p w:rsidR="005643EA" w:rsidRPr="00661595" w:rsidRDefault="00125707" w:rsidP="00487A02">
      <w:pPr>
        <w:pStyle w:val="InstructionsText2"/>
        <w:numPr>
          <w:ilvl w:val="0"/>
          <w:numId w:val="0"/>
        </w:numPr>
        <w:ind w:left="1353" w:hanging="360"/>
      </w:pPr>
      <w:r>
        <w:t>c)</w:t>
      </w:r>
      <w:r>
        <w:tab/>
        <w:t>A CA3 tábla egyrészt azokat a mutatókat tartalmazza, amelyek minimális szintjét a CRR rögzíti, másrészt a II. pillérhez kapcsolódó mutatókat és egyéb kapcsolódó adatokat.</w:t>
      </w:r>
    </w:p>
    <w:p w:rsidR="005643EA" w:rsidRPr="00661595" w:rsidRDefault="00125707" w:rsidP="00487A02">
      <w:pPr>
        <w:pStyle w:val="InstructionsText2"/>
        <w:numPr>
          <w:ilvl w:val="0"/>
          <w:numId w:val="0"/>
        </w:numPr>
        <w:ind w:left="1353" w:hanging="360"/>
      </w:pPr>
      <w:r>
        <w:t>d)</w:t>
      </w:r>
      <w:r>
        <w:tab/>
        <w:t xml:space="preserve">A CA4 tábla többek között a CA1 elemeinek kiszámításához szükséges tájékoztató adatokat, valamint a CRD szerinti tőkepufferekkel kapcsolatos információkat tartalmazza. </w:t>
      </w:r>
    </w:p>
    <w:p w:rsidR="005643EA" w:rsidRPr="00661595" w:rsidRDefault="00125707" w:rsidP="00487A02">
      <w:pPr>
        <w:pStyle w:val="InstructionsText2"/>
        <w:numPr>
          <w:ilvl w:val="0"/>
          <w:numId w:val="0"/>
        </w:numPr>
        <w:ind w:left="1353" w:hanging="360"/>
      </w:pPr>
      <w:r>
        <w:t>e)</w:t>
      </w:r>
      <w:r>
        <w:tab/>
        <w:t>A CA5 tábla a CRR szavatolótőkét érintő átmeneti rendelkezései alkalmazásából eredő hatások kiszámításához szükséges adatokat tartalmazza. A CA5 tábla hatálya az említett átmeneti rendelkezések végső lejáratát követően megszűnik.</w:t>
      </w:r>
    </w:p>
    <w:p w:rsidR="00783881" w:rsidRPr="00661595" w:rsidRDefault="0055388B" w:rsidP="00487A02">
      <w:pPr>
        <w:pStyle w:val="InstructionsText2"/>
        <w:numPr>
          <w:ilvl w:val="0"/>
          <w:numId w:val="0"/>
        </w:numPr>
        <w:ind w:left="1353" w:hanging="360"/>
      </w:pPr>
      <w:fldSimple w:instr=" seq paragraphs ">
        <w:r w:rsidR="00D11E4C">
          <w:rPr>
            <w:noProof/>
          </w:rPr>
          <w:t>12</w:t>
        </w:r>
      </w:fldSimple>
      <w:r w:rsidR="00D11E4C">
        <w:t>.</w:t>
      </w:r>
      <w:r w:rsidR="00D11E4C">
        <w:tab/>
        <w:t>A táblákat valamennyi, a CRR szerint adatszolgáltatásra kötelezett intézménynek használnia kell, függetlenül az intézmény nemzeti jog szerint irányadó számvitelére, azonban a számláló egyes elemei kizárólag az IAS/IFRS típusú értékelési szabályokat alkalmazó intézményekre vonatkoznak. A nevezőben foglalt adatok kevés kivételtől eltekintve a teljes kockázati kitettségérték kiszámítására szolgáló, kockázati típusonkénti táblákban meghatározott végeredményekhez kapcsolódnak.</w:t>
      </w:r>
    </w:p>
    <w:p w:rsidR="005643EA" w:rsidRPr="00661595" w:rsidRDefault="0055388B" w:rsidP="00487A02">
      <w:pPr>
        <w:pStyle w:val="InstructionsText2"/>
        <w:numPr>
          <w:ilvl w:val="0"/>
          <w:numId w:val="0"/>
        </w:numPr>
        <w:ind w:left="1353" w:hanging="360"/>
      </w:pPr>
      <w:fldSimple w:instr=" seq paragraphs ">
        <w:r w:rsidR="00D11E4C">
          <w:rPr>
            <w:noProof/>
          </w:rPr>
          <w:t>13</w:t>
        </w:r>
      </w:fldSimple>
      <w:r w:rsidR="00D11E4C">
        <w:t>.</w:t>
      </w:r>
      <w:r w:rsidR="00D11E4C">
        <w:tab/>
        <w:t xml:space="preserve">A szavatolótőke teljes összege különböző típusú tőketípusokból áll: az alapvető tőkéből (T1), amely az elsődleges alapvető tőke (CET1) és a kiegészítő alapvető tőke (AT1) összege, valamint a járulékos tőkéből (T2). </w:t>
      </w:r>
    </w:p>
    <w:p w:rsidR="00783881" w:rsidRPr="00661595" w:rsidRDefault="0055388B" w:rsidP="00487A02">
      <w:pPr>
        <w:pStyle w:val="InstructionsText2"/>
        <w:numPr>
          <w:ilvl w:val="0"/>
          <w:numId w:val="0"/>
        </w:numPr>
        <w:ind w:left="1353" w:hanging="360"/>
      </w:pPr>
      <w:fldSimple w:instr=" seq paragraphs ">
        <w:r w:rsidR="00D11E4C">
          <w:rPr>
            <w:noProof/>
          </w:rPr>
          <w:t>14</w:t>
        </w:r>
      </w:fldSimple>
      <w:r w:rsidR="00D11E4C">
        <w:t>.</w:t>
      </w:r>
      <w:r w:rsidR="00D11E4C">
        <w:tab/>
        <w:t>A CA táblák a CRR és a CRD átmeneti rendelkezéseinek alkalmazását az alábbiak szerint kezelik:</w:t>
      </w:r>
    </w:p>
    <w:p w:rsidR="00783881" w:rsidRPr="00661595" w:rsidRDefault="00125707" w:rsidP="00487A02">
      <w:pPr>
        <w:pStyle w:val="InstructionsText2"/>
        <w:numPr>
          <w:ilvl w:val="0"/>
          <w:numId w:val="0"/>
        </w:numPr>
        <w:ind w:left="1353" w:hanging="360"/>
      </w:pPr>
      <w:r>
        <w:t>a)</w:t>
      </w:r>
      <w:r>
        <w:tab/>
        <w:t xml:space="preserve">A CA1 elemei általában bruttó módon, az átmeneti kiigazítások előtti értéken szerepelnek. Ez azt jelenti, hogy a CA1-elemek adatait – az átmeneti rendelkezések hatását összesítő elemek adatainak kivételével – a végleges rendelkezések </w:t>
      </w:r>
      <w:r>
        <w:lastRenderedPageBreak/>
        <w:t>alapján úgy kell kiszámítani, mintha nem lennének átmeneti rendelkezések. Mindegyik tőketípus (CET1, AT1 és T2) esetében három olyan különböző elem van, amely magában foglalja az átmeneti rendelkezések miatti kiigazításokat.</w:t>
      </w:r>
    </w:p>
    <w:p w:rsidR="00113EA5" w:rsidRPr="00661595" w:rsidRDefault="00125707" w:rsidP="00487A02">
      <w:pPr>
        <w:pStyle w:val="InstructionsText2"/>
        <w:numPr>
          <w:ilvl w:val="0"/>
          <w:numId w:val="0"/>
        </w:numPr>
        <w:ind w:left="1353" w:hanging="360"/>
      </w:pPr>
      <w:r>
        <w:t>b)</w:t>
      </w:r>
      <w:r>
        <w:tab/>
        <w:t>Az átmeneti rendelkezések módosíthatják az AT1 tőke és a T2 tőke hiányát is (az AT1 tőke vagy a T2 tőke azon hiányát, amely a CRR 36. cikke (1) bekezdésének j) pontjában, illetve 56. cikkének e) pontjában leírtak szerint az adott tőketípusokba tartozó tőkeelemek összegét meghaladó levonások többlete miatt keletkezik), és így azokat az elemeket, amelyek az említett átmeneti rendelkezések hatását közvetett módon esetleg tükröző hiányokat tartalmazzák.</w:t>
      </w:r>
    </w:p>
    <w:p w:rsidR="005643EA" w:rsidRPr="00661595" w:rsidRDefault="00125707" w:rsidP="00487A02">
      <w:pPr>
        <w:pStyle w:val="InstructionsText2"/>
        <w:numPr>
          <w:ilvl w:val="0"/>
          <w:numId w:val="0"/>
        </w:numPr>
        <w:ind w:left="1353" w:hanging="360"/>
      </w:pPr>
      <w:r>
        <w:t>c)</w:t>
      </w:r>
      <w:r>
        <w:tab/>
        <w:t xml:space="preserve">A CA5 tábla kizárólag a CRR átmeneti rendelkezéseinek alkalmazásából eredő hatásokkal kapcsolatos adatszolgáltatásra használható. </w:t>
      </w:r>
    </w:p>
    <w:p w:rsidR="00783881" w:rsidRPr="00661595" w:rsidRDefault="0055388B" w:rsidP="00487A02">
      <w:pPr>
        <w:pStyle w:val="InstructionsText2"/>
        <w:numPr>
          <w:ilvl w:val="0"/>
          <w:numId w:val="0"/>
        </w:numPr>
        <w:ind w:left="1353" w:hanging="360"/>
      </w:pPr>
      <w:fldSimple w:instr=" seq paragraphs ">
        <w:r w:rsidR="00D11E4C">
          <w:rPr>
            <w:noProof/>
          </w:rPr>
          <w:t>15</w:t>
        </w:r>
      </w:fldSimple>
      <w:r w:rsidR="00D11E4C">
        <w:t>.</w:t>
      </w:r>
      <w:r w:rsidR="00D11E4C">
        <w:tab/>
        <w:t xml:space="preserve">A II. pillér szerinti követelmények kezelése az EU-n belül eltérő lehet (a CRD 104a. cikkének (1) bekezdését át kell ültetni a tagállami szabályozásba). A CRR alapján teljesített tőkemegfelelési adatszolgáltatás kizárólag a II. pillérben a szolvenciamutatóra vagy az elérendő arányra vonatkozóan rögzített követelmények hatására terjedhet ki. </w:t>
      </w:r>
    </w:p>
    <w:p w:rsidR="005643EA" w:rsidRPr="00661595" w:rsidRDefault="00125707" w:rsidP="00487A02">
      <w:pPr>
        <w:pStyle w:val="InstructionsText2"/>
        <w:numPr>
          <w:ilvl w:val="0"/>
          <w:numId w:val="0"/>
        </w:numPr>
        <w:ind w:left="1353" w:hanging="360"/>
      </w:pPr>
      <w:r>
        <w:t>a)</w:t>
      </w:r>
      <w:r>
        <w:tab/>
        <w:t>A CA1, CA2 és CA5 tábla kizárólag az I. pillérrel kapcsolatos kérdésekre vonatkozó adatokat tartalmaz.</w:t>
      </w:r>
    </w:p>
    <w:p w:rsidR="005643EA" w:rsidRPr="00661595" w:rsidRDefault="00125707" w:rsidP="00487A02">
      <w:pPr>
        <w:pStyle w:val="InstructionsText2"/>
        <w:numPr>
          <w:ilvl w:val="0"/>
          <w:numId w:val="0"/>
        </w:numPr>
        <w:ind w:left="1353" w:hanging="360"/>
      </w:pPr>
      <w:r>
        <w:t>b)</w:t>
      </w:r>
      <w:r>
        <w:tab/>
        <w:t>A CA3 tábla a II. pillér szolvenciamutatóra vonatkozó egyéb követelményeinek összesített hatását tartalmazza. Elsősorban magukra a célmutatókra összpontosít. Nincs további kapcsolata a CA1, CA2 vagy CA5 táblákkal.</w:t>
      </w:r>
    </w:p>
    <w:p w:rsidR="005643EA" w:rsidRPr="00661595" w:rsidRDefault="00125707" w:rsidP="00487A02">
      <w:pPr>
        <w:pStyle w:val="InstructionsText2"/>
        <w:numPr>
          <w:ilvl w:val="0"/>
          <w:numId w:val="0"/>
        </w:numPr>
        <w:ind w:left="1353" w:hanging="360"/>
      </w:pPr>
      <w:r>
        <w:t>c)</w:t>
      </w:r>
      <w:r>
        <w:tab/>
        <w:t>A CA4 tábla egy cellát tartalmaz a II. pillérhez kapcsolódó kiegészítő szavatolótőke-követelményekre vonatkozóan. Az említett cella nem kapcsolódik validálási szabályokon keresztül a CA3 tábla tőkemegfelelési mutatóihoz, és a CRD 104a. cikke (1) bekezdésének felel meg, amely kifejezetten megemlíti a kiegészítő szavatolótőke-követelményeket mint a II. pillérre vonatkozó döntésekkel kapcsolatos lehetőséget.</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3" w:name="_Toc473560873"/>
      <w:bookmarkStart w:id="34" w:name="_Toc58858568"/>
      <w:bookmarkStart w:id="35" w:name="_Toc308175820"/>
      <w:bookmarkStart w:id="36" w:name="_Toc360188325"/>
      <w:r>
        <w:rPr>
          <w:rFonts w:ascii="Times New Roman" w:hAnsi="Times New Roman"/>
          <w:sz w:val="24"/>
          <w:u w:val="none"/>
        </w:rPr>
        <w:t>1.2.</w:t>
      </w:r>
      <w:r w:rsidRPr="00774DB7">
        <w:rPr>
          <w:u w:val="none"/>
        </w:rPr>
        <w:tab/>
      </w:r>
      <w:r>
        <w:rPr>
          <w:rFonts w:ascii="Times New Roman" w:hAnsi="Times New Roman"/>
          <w:sz w:val="24"/>
        </w:rPr>
        <w:t>C 01.00 – SZAVATOLÓTŐKE (CA1)</w:t>
      </w:r>
      <w:bookmarkEnd w:id="33"/>
      <w:bookmarkEnd w:id="34"/>
      <w:r>
        <w:rPr>
          <w:rFonts w:ascii="Times New Roman" w:hAnsi="Times New Roman"/>
          <w:sz w:val="24"/>
        </w:rPr>
        <w:t xml:space="preserve"> </w:t>
      </w:r>
      <w:bookmarkEnd w:id="35"/>
      <w:bookmarkEnd w:id="36"/>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7" w:name="_Toc310414968"/>
      <w:bookmarkStart w:id="38" w:name="_Toc360188326"/>
      <w:bookmarkStart w:id="39" w:name="_Toc473560874"/>
      <w:bookmarkStart w:id="40" w:name="_Toc58858569"/>
      <w:r>
        <w:rPr>
          <w:rFonts w:ascii="Times New Roman" w:hAnsi="Times New Roman"/>
          <w:sz w:val="24"/>
          <w:u w:val="none"/>
        </w:rPr>
        <w:t>1.2.1.</w:t>
      </w:r>
      <w:r w:rsidRPr="00774DB7">
        <w:rPr>
          <w:u w:val="none"/>
        </w:rPr>
        <w:tab/>
      </w:r>
      <w:bookmarkStart w:id="41" w:name="_Toc308175821"/>
      <w:r>
        <w:rPr>
          <w:rFonts w:ascii="Times New Roman" w:hAnsi="Times New Roman"/>
          <w:sz w:val="24"/>
        </w:rPr>
        <w:t xml:space="preserve">A tábla egyes részeire vonatkozó </w:t>
      </w:r>
      <w:bookmarkEnd w:id="37"/>
      <w:bookmarkEnd w:id="41"/>
      <w:r>
        <w:rPr>
          <w:rFonts w:ascii="Times New Roman" w:hAnsi="Times New Roman"/>
          <w:sz w:val="24"/>
        </w:rPr>
        <w:t>útmutató</w:t>
      </w:r>
      <w:bookmarkEnd w:id="38"/>
      <w:bookmarkEnd w:id="39"/>
      <w:bookmarkEnd w:id="40"/>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Sor</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Jogszabályi hivatkozások és útmutató</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Szavatolótőke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118. pontja, valamint 72. cikke</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Egy intézmény szavatolótőkéje az alapvető tőkéjének és a járulékos tőkéjének összegéből áll.</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Alapvető tőke (Tier 1 vagy T1 tőke)</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25. cikke</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Az alapvető tőke az elsődleges alapvető tőke és a kiegészítő alapvető tőke összege.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Elsődleges alapvető tőke (CET1)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50. cikke</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CET1 tőkeelemként figyelembe vehető tőkeinstrumentumok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cikke (1) bekezdésének a) és b) pontja, 27–30. cikke, 36. cikke (1) bekezdésének f) pontja, valamint 42. cikke</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Teljes egészében befizetett tőkeinstrumentumok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cikke (1) bekezdésének a) pontja, valamint 27–31. cikke</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Magában foglalja a kölcsönös biztosítók, szövetkezeti társaságok és hasonló intézmények tőkeinstrumentumait (a CRR 27. és 29. cikke).</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Nem foglalhatja magában az instrumentumokhoz kapcsolódó ázsiót.</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sürgősségi helyzetekben állami hatóságok által lejegyzett tőkeinstrumentumokat akkor tartalmazza, ha a CRR 31. cikkében foglalt minden feltétel teljesül.</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Ebből: sürgősségi helyzetekben állami hatóságok által lejegyzett tőkeinstrumentumok</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31. cikke</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sürgősségi helyzetekben állami hatóságok által lejegyzett tőkeinstrumentumok akkor vehetők figyelembe CET1 tőkeelemként, ha a CRR 31. cikkében foglalt minden feltétel teljesül.</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Tájékoztató adat: figyelembe nem vehető tőkeinstrumentumok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28. cikke (1) bekezdésének b), l) és m) pontja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kapcsolódó ázsiót.</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Névértéken felüli befizetés (ázsió)</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124. pontja, és 26. cikke (1) bekezdésének b) pontja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ázsió jelentése egyezik az alkalmazandó számviteli szabályozás szerinti jelentéssel.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ebben az elemben feltüntetendő érték a „Teljes egészében befizetett tőkeinstrumentumok”-hoz kapcsolódó rész.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Saját CET1 tőkeinstrumentumok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f) pontja, valamint 42. cikke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adatot szolgáltató intézmény vagy csoport saját CET1 tőkéje az adatszolgáltatás vonatkozási dátumának időpontjában. A CRR 42. cikkében említett kivételek figyelembevételével.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Ebben a sorban nem tüntethetők fel a figyelembe nem vehető tőkeinstrumentumként szerepeltetett részvények.</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1.1.1.1.4–1.1.1.1.4.3. tételek nem foglalják magukban a saját CET1 tőkeinstrumentumok megvásárlására vonatkozó tényleges vagy függő kötelezettségeket. A saját CET1 tőkeinstrumentumok megvásárlására vonatkozó tényleges vagy függő kötelezettségeket külön kell feltüntetni az 1.1.1.1.5. tételben.</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Közvetlen részesedések CET1 tőkeinstrumentumokban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f) pontja, valamint 42. cikke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1.1.1.1. tételnél megadott elsődleges alapvető tőkeinstrumentumok.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kereskedési könyvben nyilvántartott, a nettó hosszú pozíció alapján a CRR 42. cikkének a) pontja szerint számított részesedéseket.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Közvetett részesedések CET1 tőkeinstrumentumokban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114. pontja, 36. cikke (1) bekezdésének f) pontja, valamint 42. cikke</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Szintetikus részesedések CET1 tőkeinstrumentumokban</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4. cikke (1) bekezdésének 126. pontja, 36. cikke (1) bekezdésének f) pontja, valamint 42. cikke</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Saját CET1 tőkeinstrumentumok megvásárlására vonatkozó tényleges vagy függő kötelezettségek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f) pontja, valamint 42. cikke</w:t>
            </w:r>
          </w:p>
          <w:p w:rsidR="005643EA" w:rsidRPr="00661595" w:rsidRDefault="002648B0" w:rsidP="00487A02">
            <w:pPr>
              <w:pStyle w:val="InstructionsText"/>
              <w:rPr>
                <w:rStyle w:val="InstructionsTabelleberschrift"/>
                <w:rFonts w:ascii="Times New Roman" w:hAnsi="Times New Roman"/>
                <w:b w:val="0"/>
                <w:bCs w:val="0"/>
                <w:sz w:val="24"/>
                <w:u w:val="none"/>
              </w:rPr>
            </w:pPr>
            <w:r>
              <w:t xml:space="preserve">A </w:t>
            </w:r>
            <w:r>
              <w:rPr>
                <w:rStyle w:val="InstructionsTabelleberschrift"/>
                <w:b w:val="0"/>
                <w:u w:val="none"/>
              </w:rPr>
              <w:t>CRR 36. cikke (1) bekezdésének</w:t>
            </w:r>
            <w:r>
              <w:t xml:space="preserve"> </w:t>
            </w:r>
            <w:r>
              <w:rPr>
                <w:rStyle w:val="FormatvorlageInstructionsTabelleText"/>
              </w:rPr>
              <w:t>f) pontja</w:t>
            </w:r>
            <w:r>
              <w:t xml:space="preserve"> </w:t>
            </w:r>
            <w:r>
              <w:rPr>
                <w:rStyle w:val="InstructionsTabelleberschrift"/>
                <w:b w:val="0"/>
                <w:u w:val="none"/>
              </w:rPr>
              <w:t>szerint</w:t>
            </w:r>
            <w:r>
              <w:t xml:space="preserve"> le kell vonni „az olyan elsődleges alapvető tőkeinstrumentumokat […], amelyek megvásárlására az intézménynek tényleges vagy függő kötelezettsége van egy hatályos szerződéses kötelezettség értelmében”.</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Eredménytartalék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cikke (1) bekezdésének c) pontja, valamint 26. cikkének (2) bekezdése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eredménytartalék az előző évi eredménytartalékot és a figyelembe vehető évközi vagy év végi nyereséget vagy veszteséget foglalja magában.</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Előző évek eredménytartaléka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123. pontja, valamint 26. cikke (1) bekezdésének c) pontja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123. pontja szerint az eredménytartalék »az alkalmazandó számviteli szabályozás alapján az eredmény végső alkalmazásának következtében áthozott eredmény«.</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Figyelembe vehető nyereség/veszteség</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CRR 4. cikke (1) bekezdésének 121. pontja, 26. cikkének (2) bekezdése, valamint 36. cikke (1) bekezdésének a) pontja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CRR 26. cikkének (2) bekezdése bizonyos feltételek teljesülése esetén megengedi az évközi vagy év végi nyereségnek az eredménytartalékba történő beszámítását, ha azt az illetékes hatóságok előzetesen engedélyezik.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Ugyanakkor a veszteségeket a CRR 36. cikke (1) bekezdésének a) pontja szerint le kell vonni a CET1 tőkéből.</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Az anyavállalat tulajdonosainak tulajdonítható eredmény</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cikkének (2) bekezdése, valamint 36. cikke (1) bekezdésének a) pontja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számviteli eredménykimutatásban szereplő eredmény.</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Az évközi vagy év végi nyereség figyelembe nem vehető része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26. cikkének (2) bekezdése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szerepelhet adat akkor, ha az intézmény a referencia-időszakra veszteséget számolt el. Ennek az az oka, hogy a veszteségek teljes összegét le kell vonni a CET1 tőkéből.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Ha az intézmény nyereséget számol el, akkor a CRR 26. cikkének (2) bekezdése szerint figyelembe nem vehető részt (vagyis a nem auditált nyereséget és az előre látható terhet vagy osztalékot) kell feltüntetni.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Ügyelni kell arra, hogy nyereség esetén legalább az évközi osztalék összege levonandó.</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Halmozott egyéb átfogó jövedelem</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100. pontja, valamint 26. cikke (1) bekezdésének d) pontja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kiszámítás időpontjában előre látható adóterhek levonásával kapott, a prudenciális szűrők alkalmazása előtti összeg. A feltüntetendő értéket a 241/2014/EU felhatalmazáson alapuló bizottsági rendelet</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13. cikke (4) bekezdésének megfelelően </w:t>
            </w:r>
            <w:r>
              <w:rPr>
                <w:rStyle w:val="FormatvorlageInstructionsTabelleText"/>
                <w:rFonts w:ascii="Times New Roman" w:hAnsi="Times New Roman"/>
                <w:iCs/>
                <w:sz w:val="24"/>
              </w:rPr>
              <w:t>kell meghatározni</w:t>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Egyéb tartalékok</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117. pontja, valamint 26. cikke (1) bekezdésének e) pontja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feltüntetendő érték a kiszámítás időpontjában előre látható adóterhek levonásával kapott összeg.</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Általános banki kockázatok fedezetére képzett tartalékok</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112. pontja, valamint 26. cikke (1) bekezdésének f) pontja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BAD 38. cikkének meghatározása szerint az általános banki kockázatok fedezetére képzett tartalékok olyan összegek, »amelyeknek elkülönítéséről a hitelintézet a szóban forgó kockázatok fedezetének biztosítása érdekében dönt, amennyiben ezt a banki ügyletekhez kapcsolódó különleges kockázat megköveteli.«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 kiszámítás időpontjában előre látható adóterhek levonásával kapott összeg.</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Szerzett jogok alapján figyelembe vett CET1 tőkeinstrumentumok miatti átmeneti kiigazítások</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483. cikkének (1)–(3) bekezdése, valamint 484–487. cikke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CET1 tőkének minősített tőkeinstrumentumok összege. A feltüntetendő értéket közvetlenül a CA5 tábláról kell átvezetni.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CET1 tőkében megjelenített kisebbségi részesedés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120. pontja, valamint 84. cikke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összes kisebbségi részesedésének a konszolidált elsődleges alapvető tőkébe beszámított összege.</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Kisebbségi részesedések és megfelelőik miatti átmeneti kiigazítások</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479. és 480. cikke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kisebbségi részesedésekben az átmeneti rendelkezések miatt végrehajtott kiigazítások. A tételt közvetlenül a CA5 tábláról kell átvezetni.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Prudenciális szűrők miatt végrehajtott kiigazítások a CET1 tőkében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CRR 32–35. cikke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Értékpapírosított eszközökből származó növekedés a saját tőkében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32. cikkének (1) bekezdése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az intézmény saját tőkéjének az alkalmazandó számviteli szabályozás szerint az értékpapírosított eszközökből származó növekedése.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 a tétel magában foglalja például azt a jövőbeli kamatjövedelmet, amely az intézmény számára értékesítésből származó nyereséget eredményez, vagy az értékpapírosítás kezdeményezője esetében az értékpapírosított eszközökből származó jövőbeni jövedelem tőkésítéséből származó és az értékpapírosítás hitelminőségét javító nettó nyereséget.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Cash flow fedezeti ügyletek tartaléka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33. cikke (1) bekezdésének a) pontja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vagy negatív lehet. Pozitív akkor, ha a cash flow fedezeti ügyleteken veszteség keletkezik (vagyis ha az csökkenti a számviteli tőkét), és fordítva. Ennélfogva előjele ellentétes a számviteli kimutatásokban szereplő tételek előjelével.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összeg a kiszámítás időpontjában előre látható adóterhek levonásával kapott összeg.</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Valós értéken értékelt kötelezettségekben a saját hitelkockázat változásából származó halmozott nyereség vagy veszteség</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33. cikke (1) bekezdésének b) pontja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vagy negatív lehet. Pozitív akkor, ha a saját hitelkockázat változásaiból veszteség származik (vagyis ha az csökkenti a számviteli tőkét), és fordítva. Ennélfogva előjele ellentétes a számviteli kimutatásokban szereplő tételek előjelével.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tétel nem tartalmazhat nem auditált nyereséget.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Származtatott ügyletekből eredő kötelezettségekhez kapcsolódó, az intézmény saját hitelkockázatából adódó valósérték-növekedés és -csökkenés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33. cikke (1) bekezdésének c) pontja, valamint 33. cikkének (2) bekezdése</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pozitív vagy negatív lehet. Pozitív akkor, ha a saját hitelkockázat változásaiból veszteség származik, és fordítva. Ennélfogva előjele ellentétes a számviteli kimutatásokban szereplő tételek előjelével.</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tétel nem tartalmazhat nem auditált nyereséget.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Prudens értékelés követelményei miatti értékelési korrekció</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34. és 105. cikke</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kereskedési könyvben vagy a nem kereskedési könyvben nyilvántartott kitettségek valós értékének kiigazításai, amelyekre a CRR 105. cikkében a prudenciális értékelésre vonatkozóan előírt szigorúbb szabályok miatt kerül sor.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Cégérték (goodwill)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113. pontja, 36. cikke (1) bekezdésének b) pontja, valamint 37. cikke</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Immateriális javak között elszámolt cégérték</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113. pontja, valamint 36. cikke (1) bekezdésének b) pontja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cégérték jelentése egyezik az alkalmazandó számviteli szabályozás szerinti jelentéssel.</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azonos a mérlegben szerepeltetett összeggel.</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Jelentős részesedések értékelésébe beszámított cégérték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37. cikkének b) pontja, valamint 43. cikke</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Cégértékhez kapcsolódó halasztott adókötelezettségek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37. cikkének a) pontja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cégérték értékvesztést szenvedne el, vagy az alkalmazandó számviteli szabályozás szerint kivezetésre kerülne.</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A leányvállalatok cégértékére vonatkozó, a leányvállalatok konszolidálásából származó, harmadik személyeknek tulajdonítható számviteli átértékelés</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37. cikkének c) pontja</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leányvállalatok immateriális javaira vonatkozó azon számviteli átértékelés összege, amely a leányvállalatok konszolidálásából származik és a konszolidációba az első rész II. címének 2. fejezete szerint bevont vállalkozásoktól eltérő személyeknek tulajdonítható.</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Egyéb immateriális javak</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115. pontja, 36. cikke (1) bekezdésének b) pontja, valamint 37. cikkének a) és c) pontja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immateriális javak értéke az alkalmazandó számviteli szabályozás szerint immateriális javaknak minősülő eszközök értéke, amelyet a cégérték az alkalmazandó számviteli szabályozás szerint csökkent.</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Egyéb immateriális javak a halasztott adókötelezettségek levonása előtt</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115. pontja, valamint 36. cikke (1) bekezdésének b) pontja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immateriális javak értéke az alkalmazandó számviteli szabályozás szerint immateriális javaknak minősülő eszközök értéke, amelyet a cégérték az alkalmazandó számviteli szabályozás szerint csökkent.</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megegyezik a mérlegben szerepeltetett, a cégértéken kívüli immateriális javak értékével.</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Egyéb immateriális javakhoz kapcsolódó halasztott adókötelezettségek</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37. cikkének a) pontja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cégértéken kívüli immateriális javak értékvesztést szenvednének el, vagy az alkalmazandó számviteli szabályozás szerint kivezetésre kerülnének.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A leányvállalatok cégértéken kívüli immateriális javaira vonatkozó, a leányvállalatok konszolidálásából származó, harmadik személyeknek tulajdonítható számviteli átértékelés</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37. cikkének c) pontja</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A leányvállalatok cégértéken kívüli immateriális javaira vonatkozó azon számviteli átértékelés összege, amely a leányvállalatok konszolidálásából származik és a konszolidációba az első rész II. címének 2. fejezete szerint bevont vállalkozásoktól eltérő személyeknek tulajdonítható.</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Jövőbeli nyereségtől függően érvényesíthető, nem átmeneti különbözetből eredő halasztott adókövetelések kapcsolódó adókötelezettségek levonásával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c) pontja, valamint 38.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Hitelkockázati kiigazítások IRB módszerrel számított hiánya a várható veszteséghez viszonyítva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d) pontja, valamint 40., 158. és 159.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csökkenhet a jövőbeli nyereségtől függően érvényesíthető halasztott adókövetelések szintjének emelkedésével vagy egyéb kiegészítő adóhatással, amely akkor keletkezhet, ha a céltartalékok a várható veszteségek szintjére emelkednének (a CRR 40.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Meghatározott szolgáltatást nyújtó nyugdíjalapban lévő eszközök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109. pontja, 36. cikke (1) bekezdésének e) pontja, valamint 41.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Meghatározott szolgáltatást nyújtó nyugdíjalapban lévő eszközök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109. pontja, valamint 36. cikke (1) bekezdésének e)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meghatározott szolgáltatást nyújtó nyugdíjalapban lévő eszközök egy meghatározott szolgáltatást nyújtó nyugdíjalap vagy adott esetben konstrukció eszközei, az ugyanazon alap vagy konstrukció kötelezettségeinek összegével csökkentve.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megegyezik a mérlegben szerepeltetett összeggel, ha ott is külön tüntették fel.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Meghatározott szolgáltatást nyújtó nyugdíjalapban lévő eszközökhöz kapcsolódó halasztott adókötelezettségek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108. és 109. pontja, valamint 41. cikke (1) bekezdésének a)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Azon halasztott adókötelezettségek összege, amelyek megszűnnének, ha a meghatározott szolgáltatást nyújtó nyugdíjalapban lévő eszközök értékvesztést szenvednének el, vagy az alkalmazandó számviteli szabályozás szerint kivezetésre kerülnének.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Meghatározott szolgáltatást nyújtó nyugdíjalapban lévő eszközök, amelyeket az intézmény korlátlanul képes felhasználni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109. pontja, valamint 41. cikke (1) bekezdésének b)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Ennél a tételnél akkor adható meg összeg, ha az illetékes hatóság előzetesen engedélyezte a meghatározott szolgáltatást nyújtó nyugdíjalapban lévő eszközök összegének csökkentését.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ebben a sorban szereplő eszközökhöz a hitelkockázati követelményeknek megfelelő kockázati súlyt kell rendelni.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Kölcsönös részesedések CET1 tőkeinstrumentumokban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122. pontja, 36. cikke (1) bekezdésének g) pontja, valamint 44.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CET1 tőkeinstrumentumok állománya olyan kölcsönös részesedés esetében, amelynek célja az illetékes hatóság véleménye szerint az intézmény szavatoló tőkéjének mesterséges megemelése.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1. szintű szavatolótőke-elemeket.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AT1 tőkeelemek összegét meghaladó AT1 levonások többlete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j)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közvetlenül a CA1 tábla „AT1 tőkeelemek összegét meghaladó AT1 levonások többlete” tételéből kell átvezetni. Az összeget a CET1 tőkéből kell levonni.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A pénzügyi ágazaton kívüli befolyásoló részesedések, amelyekre alternatívaként 1 250 %-os kockázati súly alkalmazható</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36. pontja, 36. cikke (1) bekezdése k) pontjának i. alpontja, valamint 89–91.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befolyásoló részesedés olyan „közvetlen vagy közvetett részesedés egy vállalkozásban, amely a tőke vagy a szavazati jogok legalább 10 %-át képviseli, illetve amely lehetővé teszi számottevő befolyás gyakorlását annak a vállalkozásnak az irányítása felett”.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bekezdése k) pontjának i. alpontja szerint a befolyásoló részesedés (e tétel alapján) levonható a CET1 tőkéből, vagy arra 1 250 %-os kockázati súly alkalmazható.</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Értékpapírosítási pozíciók, amelyekre alternatívaként 1250 %-os kockázati súly alkalmazható</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CRR 244. cikke (1) bekezdésének b) pontja, 245. cikke (1) bekezdésének b) pontja, valamint 253. cikkének (1) bekezdése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olyan értékpapírosítási pozíciókat, amelyekre 1 250 %-os kockázati súly alkalmazható, vagy amelyek levonhatók a CET1 tőkéből (a CRR 36. cikke (1) bekezdése k) pontjának ii. alpontja), ebben a tételben kell feltüntetni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Nyitva szállítások, amelyekre alternatívaként 1,250 %-os kockázati súly alkalmazható</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bekezdése k) pontjának iii. alpontja, valamint 379. cikkének (3) bekezdése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nyitva szállításokra a második szerződés szerinti fizetést vagy szállítási szakaszt követő 5. munkanaptól az ügylet megszűntéig 1 250 %-os kockázati súlyt kell alkalmazni az elszámolási kockázatra vonatkozó szavatolótőke-követelményeknek megfelelően. Alternatívaként az ilyen szállítások levonhatók a CET1 tőkéből (a CRR 36. cikke (1) bekezdése k) pontjának iii. alpontja). Ez utóbbi esetben azokat ebben a tételben kell feltüntetni.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Egy kosárban lévő azon pozíciók, amelyekre az intézmény nem tudja az IRB-módszer alapján meghatározni a kockázati súlyt, és amelyekre így alternatívaként 1 250 %-os kockázati súly alkalmazható</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36. cikke (1) bekezdése k) pontjának iv. alpontja, valamint 153. cikkének (8) bekezdése</w:t>
            </w:r>
          </w:p>
          <w:p w:rsidR="0022315F" w:rsidRPr="00661595" w:rsidRDefault="0022315F" w:rsidP="00487A02">
            <w:pPr>
              <w:pStyle w:val="InstructionsText"/>
              <w:rPr>
                <w:rStyle w:val="InstructionsTabelleberschrift"/>
                <w:rFonts w:ascii="Times New Roman" w:hAnsi="Times New Roman"/>
                <w:b w:val="0"/>
                <w:sz w:val="24"/>
                <w:u w:val="none"/>
              </w:rPr>
            </w:pPr>
            <w:r>
              <w:t xml:space="preserve">A </w:t>
            </w:r>
            <w:r>
              <w:rPr>
                <w:rStyle w:val="FormatvorlageInstructionsTabelleText"/>
                <w:rFonts w:ascii="Times New Roman" w:hAnsi="Times New Roman"/>
                <w:sz w:val="24"/>
              </w:rPr>
              <w:t>CRR 36. cikke (1) bekezdése k) pontjának iv. alpontja szerint</w:t>
            </w:r>
            <w:r>
              <w:t xml:space="preserve"> </w:t>
            </w:r>
            <w:r>
              <w:rPr>
                <w:rStyle w:val="InstructionsTabelleberschrift"/>
                <w:rFonts w:ascii="Times New Roman" w:hAnsi="Times New Roman"/>
                <w:b w:val="0"/>
                <w:sz w:val="24"/>
                <w:u w:val="none"/>
              </w:rPr>
              <w:t>az egy kosárban lévő azon pozíciók, amelyekre az intézmény nem tudja az IRB-módszer alapján</w:t>
            </w:r>
            <w:r>
              <w:t xml:space="preserve"> meghatározni a kockázati súlyt, alternatív módon levonhatók (e tétel alapján) </w:t>
            </w:r>
            <w:r>
              <w:rPr>
                <w:rStyle w:val="FormatvorlageInstructionsTabelleText"/>
                <w:rFonts w:ascii="Times New Roman" w:hAnsi="Times New Roman"/>
                <w:sz w:val="24"/>
              </w:rPr>
              <w:t>a CET1 tőkéből, vagy azokra 1 250 %-os kockázati súly alkalmazható.</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Belső modelleken alapuló módszer hatálya alá tartozó részvényjellegű kitettségek, amelyekre alternatívaként 1 250 %-os kockázati súly alkalmazható</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36. cikke (1) bekezdése k) pontjának v. alpontja, valamint 155. cikkének (4) bekezdése</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36. cikke (1) bekezdése k) pontjának v. alpontja szerint</w:t>
            </w:r>
            <w:r>
              <w:t xml:space="preserve"> a </w:t>
            </w:r>
            <w:r>
              <w:rPr>
                <w:rStyle w:val="InstructionsTabelleberschrift"/>
                <w:rFonts w:ascii="Times New Roman" w:hAnsi="Times New Roman"/>
                <w:b w:val="0"/>
                <w:sz w:val="24"/>
                <w:u w:val="none"/>
              </w:rPr>
              <w:t>belső modelleken alapuló hatálya alá tartozó részvényjellegű kitettségek</w:t>
            </w:r>
            <w:r>
              <w:t xml:space="preserve"> </w:t>
            </w:r>
            <w:r>
              <w:rPr>
                <w:rStyle w:val="FormatvorlageInstructionsTabelleText"/>
                <w:rFonts w:ascii="Times New Roman" w:hAnsi="Times New Roman"/>
                <w:sz w:val="24"/>
              </w:rPr>
              <w:t>alternatívaként (e tétel alapján) levonhatók a CET1 tőkéből, vagy azokra 1 250 %-os kockázati súly alkalmazható.</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Pénzügyi ágazatbeli szervezetek által kibocsátott CET1 tőkeinstrumentumok, ha az intézmény nem rendelkezik jelentős részesedéssel az említett vállalkozásokban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36. cikke (1) bekezdésének h) pontja, 43–46. cikke, 49. cikkének (2) és (3) bekezdése, valamint 79.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instrumentumokban lévő intézményi részesedés, ha az intézmény nem rendelkezik a CET1 tőkéből levonandó jelentős részesedéssel.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Levonás helyett konszolidáció esetén a 49. cikk (2) és (3) bekezdésében leírt alternatívák alkalmazhatók.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Levonható, jövőbeli nyereségtől függően érvényesíthető, átmeneti különbözetből eredő halasztott adókövetelések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c) pontja; a CRR 38. cikke és 48. cikke (1) bekezdésének a)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átmeneti különbözetből eredő, jövőbeli nyereségtől függően érvényesíthető halasztott adókövetelések azon része (a kapcsolódó halasztott adókötelezettségeknek a CRR 38. cikke (5) bekezdésének b) pontja szerint a halasztott </w:t>
            </w:r>
            <w:r>
              <w:rPr>
                <w:rStyle w:val="FormatvorlageInstructionsTabelleText"/>
                <w:rFonts w:ascii="Times New Roman" w:hAnsi="Times New Roman"/>
                <w:sz w:val="24"/>
              </w:rPr>
              <w:lastRenderedPageBreak/>
              <w:t>adókötelezettségekre jutó, átmeneti különbözetből eredő része nélkül), amelyet a CRR 48. cikke (1) bekezdésének a) pontjában említett 10 %-os küszöb alkalmazásával le kell vonni.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Pénzügyi ágazatbeli szervezetek által kibocsátott CET1 tőkeinstrumentumok, ha az intézmény jelentős részesedéssel rendelkezik az említett vállalkozásokban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36. cikke (1) bekezdésének i) pontja, 43., 45., 47. cikke, 48. cikke (2) bekezdésének b) pontja, 49. cikkének (1), (2) és (3) bekezdése, valamint 79.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CET1 tőkeinstrumentumokban lévő intézményi részesedés, ha az intézmény a CET1 tőkéből a CRR 48. cikke (1) bekezdésének b) pontjában említett 10 %-os küszöb alkalmazásával levonandó jelentős részesedéssel rendelkezik.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Levonás helyett konszolidáció esetén a CRR 49. cikkének (1), (2) és (3) bekezdésében leírt alternatívák alkalmazhatók.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A 17,65 %-os küszöbértéket meghaladó összeg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 cikkének (2) bekezdése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Átmeneti különbözetből eredő, jövőbeli nyereségtől függően érvényesíthető halasztott adókövetelések, valamint a CRR 4. cikke (1) bekezdésének 27. pontjában meghatározott pénzügyi ágazatbeli szervezetek által kibocsátott CET1 tőkeinstrumentumokban lévő közvetlen, közvetett és szintetikus intézményi részesedés, ha az intézmény a CET1 tőkéből a CRR 48. cikkének (2) bekezdése szerinti 17,65 %-os küszöb alkalmazásával levonandó jelentős részesedéssel rendelkezik.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A 17,65 %-os küszöbértéket meghaladó, a pénzügyi ágazatbeli szervezetek által kibocsátott CET1 tőkeinstrumentumokhoz kapcsolódó összeg, ha az intézmény jelentős részesedéssel rendelkezik az említett vállalkozásokban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A 17,65 %-os küszöbértéket meghaladó, az átmeneti különbözetből adódó halasztott adókövetelésekhez kapcsolódó összeg</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Nemteljesítő kitettségek elégtelen fedezete</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CRR 36. cikke (1) bekezdésének m) pontja, valamint 47c.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Minimális értékű kötelezettségvállalások hiánya</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CRR 36. cikke (1) bekezdésének n) pontja, valamint 132c. cikkének (2) bekezdése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Egyéb előre látható adóterhek</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CRR 36. cikke (1) bekezdésének l) pontja</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Az elsődleges alapvető tőkeelemekhez kapcsolódó, a számítás időpontjában előre látható adóterhek, kivéve azokat az adóterheket, amelyeket az elsődle</w:t>
            </w:r>
            <w:r>
              <w:rPr>
                <w:rStyle w:val="FormatvorlageInstructionsTabelleText"/>
                <w:rFonts w:ascii="Times New Roman" w:hAnsi="Times New Roman"/>
                <w:sz w:val="24"/>
              </w:rPr>
              <w:lastRenderedPageBreak/>
              <w:t>ges alapvető tőkeelemeket bemutató bármely más sorban a szóban forgó elsődleges alapvető tőkeelem összegének csökkentése révén már figyelembe vettek.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CET1 tőke egyéb átmeneti kiigazításai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469–478., valamint 481.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levonásokban az átmeneti rendelkezések miatt végrehajtott kiigazítások. A feltüntetendő értéket közvetlenül a CA5 tábláról kell átvezetni.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Pótlólagos levonások a CET1 tőkéből a CRR 3. cikke alapján</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CET1 tőkeelemek vagy levonások – egyéb</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CET1 tőkeelem, vagy egy CET1 tőkeelemet érintő levonás nem szerepeltethető a 020–524. sorok egyikében sem.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Ez a sor nem használható a CRR-ben nem szabályozott tőkeelemeknek, illetve levonásoknak a szolvenciamutató kiszámításán belüli besorolásához (pl. olyan tagállami tőkeelemek vagy levonások besorolásához, amelyek a CRR hatályán kívül esnek).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AT1 TŐKE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61.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AT1 tőkeelemként figyelembe vehető tőkeinstrumentumok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51. cikkének a) pontja, 52–54. cikke, 56. cikkének a) pontja, valamint 57.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Teljes egészében befizetett, közvetlenül kibocsátott tőkeinstrumentumok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51. cikkének a) pontja, valamint 52., 53. és 54.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kapcsolódó ázsiót.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Tájékoztató adat: figyelembe nem vehető tőkeinstrumentumok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52. cikke (1) bekezdésének c), e) és (f)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kapcsolódó ázsiót.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Névértéken felüli befizetés (ázsió)</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CRR 51. cikkének b)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ázsió jelentése egyezik az alkalmazandó számviteli szabályozás szerinti jelentéssel.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 „Teljes egészében befizetett, közvetlenül kibocsátott tőkeinstrumentumok”-hoz kapcsolódó rész.</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Saját AT1 tőkeinstrumentumok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52. cikke (1) bekezdésének b) pontja, 56. cikkének a) pontja, valamint 57.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adatot szolgáltató intézmény vagy csoport saját AT1 tőkéje az adatszolgáltatás időpontjában. A CRR 57. cikkében említett kivételek figyelembevételével.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tőkeinstrumentumként szerepeltetett részvények.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1.1.2.1.4–1.1.2.1.4.3. tételek nem foglalják magukban a saját CET1 tőkeinstrumentumok megvásárlására vonatkozó tényleges vagy függő kötelezettségeket. A saját AT1 tőkeinstrumentumok megvásárlására vonatkozó tényleges vagy függő kötelezettségeket külön kell feltüntetni az 1.1.2.1.5. tételben.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Közvetlen részesedések AT1 tőkeinstrumentumokban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144. pontja, 52. cikke (1) bekezdésének b) pontja, 56. cikkének a) pontja, valamint 57.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1.1.2.1.1. tételnél megadott AT1 tőkeinstrumentumok.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Közvetett részesedések AT1 tőkeinstrumentumokban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52. cikke (1) bekezdése b) pontjának ii. alpontja, 56. cikkének a) pontja, valamint 57.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Szintetikus részesedések AT1 tőkeinstrumentumokban</w:t>
            </w:r>
          </w:p>
          <w:p w:rsidR="0022315F" w:rsidRPr="00661595" w:rsidRDefault="0022315F" w:rsidP="00487A02">
            <w:pPr>
              <w:pStyle w:val="InstructionsText"/>
              <w:rPr>
                <w:rStyle w:val="InstructionsTabelleberschrift"/>
                <w:rFonts w:ascii="Times New Roman" w:hAnsi="Times New Roman"/>
                <w:b w:val="0"/>
                <w:bCs w:val="0"/>
                <w:sz w:val="24"/>
                <w:u w:val="none"/>
              </w:rPr>
            </w:pPr>
            <w:r>
              <w:t>A CRR 4. cikke (1) bekezdésének 126. pontja, 52. cikke (1) bekezdésének b) pontja, 56. cikkének a) pontja, valamint 57.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Saját AT1 tőkeinstrumentumok megvásárlására vonatkozó tényleges vagy függő kötelezettségek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56. cikkének a) pontja, valamint 57. cikke</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CRR 56. cikkének a) pontja szerint</w:t>
            </w:r>
            <w:r>
              <w:t xml:space="preserve"> le kell vonni „az olyan saját kiegészítő alapvető tőkeinstrumentumokat …, amelyeket az intézmény hatályos szerződéses kötelezettségekből eredően köteles lehet megvásárolni”.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Szerzett jogok alapján figyelembe vett AT1 tőkeinstrumentumok miatti átmeneti kiigazítások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483. cikkének (4) és (5) bekezdése, 484–487. cikke, 489. és 491.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szerzett jogokkal kapcsolatos rendelkezések alapján átmenetileg AT1 tőkének minősített tőkeinstrumentumok összege. A feltüntetendő értéket közvetlenül a CA5 tábláról kell átvezetni.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Leányvállalatok által kibocsátott, AT1 tőkeként megjelenített instrumentumok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83., 85. és 86.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T1 tőkéjébe beszámítható összes tőkeelemnek a konszolidált AT1 tőke részét képező összege.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Tartalmazza a különleges célú gazdasági egység által kibocsátott, AT1 tőkébe beszámítható tőkeelemeket (a CRR 83.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Átmeneti kiigazítások a leányvállalatok által kibocsátott instrumentumok AT1 tőkeként való pótlólagos megjelenítése miatt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480.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T1 tőkébe beszámítható tőkeelemeknek a konszolidált AT1 tőke részét képező összegében az átmeneti rendelkezések miatt végrehajtott kiigazítások. A tételt közvetlenül a CA5 tábláról kell átvezetni.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Kölcsönös részesedések AT1 tőkeinstrumentumokban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122. pontja, 56. cikkének b) pontja, valamint 58.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AT1 tőkeinstrumentumok állománya olyan kölcsönös részesedés esetében, amelynek célja az illetékes hatóság véleménye szerint az intézmény szavatolótőkéjének mesterséges megemelése.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AT1 szavatolótőke-elemeket.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Pénzügyi ágazatbeli szervezetek által kibocsátott AT1 tőkeinstrumentumok, ha az intézmény nem rendelkezik jelentős részesedéssel az említett vállalkozásokban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56. cikkének c) pontja, a CRR 59., 60. és 79.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instrumentumokban lévő intézményi részesedés, ha az intézmény nem rendelkezik a AT1 tőkéből levonandó jelentős részesedéssel.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Pénzügyi ágazatbeli szervezetek által kibocsátott AT1 tőkeinstrumentumok, ha az intézmény jelentős részesedéssel rendelkezik az említett vállalkozásokban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valamint 56. cikkének d) pontja, 59. és 79.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CRR 4. cikke (1) bekezdésének 27. pontjában meghatározott pénzügyi ágazatbeli szervezetek által kibocsátott AT1 tőkeinstrumentumokban lévő intézményi részesedést, ha az intézmény az elsődleges jelentős részesedéssel rendelkezik, teljes összegben le kell vonni.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T2 tőkeelemek összegét meghaladó T2 levonások többlete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56. cikkének e)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közvetlenül a CA1 tábla „T2 tőkeelemek összegét meghaladó T2 levonások többlete” tételéből kell átvezetni (levonás az AT1 tőkében).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AT1 tőke egyéb átmeneti kiigazításai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472., 473a., 474., 475., 478. és 481.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AT1 tőkeelemek összegét meghaladó AT1 levonások többlete (levonás a CET1 tőkében)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36. cikke (1) bekezdésének j)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 tétel segítségével érhető el, hogy az 1.1.2.1–1.1.2.12. tételek összege egyetlen esetben se lehessen nullánál kisebb. Ha e tétel értéke pozitív, akkor az 1.1.1.16. tételben ezzel megegyező, ellenkező előjelű számot kell feltüntetni.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Pótlólagos levonások a AT1 tőkéből a CRR 3. cikke alapján</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AT1 tőkeelemek vagy levonások – egyéb</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AT1 tőkeelem, vagy egy AT1 tőkeelemet érintő levonás nem szerepeltethető az 530–744. sorok egyikében sem.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sor nem használható a CRR-ben nem szabályozott tőkeelemeknek, illetve levonásoknak a szolvenciamutató kiszámításán belüli besorolásához (pl. olyan tagállami tőkeelemek vagy levonások besorolásához, amelyek a CRR hatályán kívül esnek).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ALAPVETŐ TŐKE (TIER 2 VAGY T1 TŐKE)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71.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T2 tőkeelemként figyelembe vehető tőkeinstrumentumok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CRR 62. cikkének a) pontja, 63–65. cikke, 66. cikkének a) pontja, valamint 67.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Teljes egészében befizetett, közvetlenül kibocsátott tőkeinstrumentumok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62. cikkének a) pontja, valamint 63. és 65.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feltüntetendő érték nem foglalhatja magában az instrumentumokhoz kapcsolódó ázsiót..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Ezen tőkeinstrumentumok közé tartozhatnak a figyelembe vehető tőkeelemek és kötelezettségek, többek között alárendelt kölcsönök.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Tájékoztató adat: Figyelembe nem vehető tőkeinstrumentumok</w:t>
            </w:r>
            <w:r>
              <w:t xml:space="preserv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63. cikkének (c), (e) és (f) pontja, valamint 64.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nem foglalhatja magában az instrumentumokhoz kapcsolódó ázsiót..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Ezen tőkeinstrumentumok közé tartozhatnak a tőkeelemek és kötelezettségek, többek között alárendelt kölcsönök.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Névértéken felüli befizetés (ázsió)</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62. cikkének b) pontja, valamint 65.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Az ázsió jelentése egyezik az alkalmazandó számviteli szabályozás szerinti jelentéssel.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itt feltüntetendő érték a „Teljes egészében befizetett, közvetlenül kibocsátott tőkeinstrumentumok”-hoz kapcsolódó rész.</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Saját T2 tőkeinstrumentumok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63. cikke b) pontjának i. alpontja, 66. cikkének a) pontja, valamint 67.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adatot szolgáltató intézmény vagy csoport saját T2 tőkéje az adatszolgáltatás időpontjában. A CRR 67. cikkében említett kivételek figyelembevételével.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Ebben a sorban nem tüntethetők fel a figyelembe nem vehető tőkeinstrumentumként szerepeltetett részvények.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 magában foglalja a saját részvényekhez kapcsolódó ázsiót.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1.2.1.4–1.2.1.4.3. tételek nem foglalják magukban a saját T2 tőkeinstrumentumok megvásárlására vonatkozó tényleges vagy függő kötelezettségeket. Saját T2 tőkeinstrumentumok megvásárlására vonatkozó tényleges vagy függő kötelezettségeket külön kell feltüntetni az 1.2.1.5. tételben.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Közvetlen részesedések T2 tőkeinstrumentumokban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CRR 63. cikkének b) pontja, 66. cikkének a) pontja, valamint 67.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konszolidált csoportba tartozó intézmények tulajdonában lévő, az 1.2.1.1. tételnél megadott T2 tőkeinstrumentumok.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Közvetett részesedések T2 tőkeinstrumentumokban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114. pontja, 63. cikkének b) pontja, 66. cikkének a) pontja, valamint 67.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Szintetikus részesedések T2 tőkeinstrumentumokban</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4. cikke (1) bekezdésének 126. pontja, 63. cikkének b) pontja, 66. cikkének a) pontja, valamint 67.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Saját T2 tőkeinstrumentumok megvásárlására vonatkozó tényleges vagy függő kötelezettségek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66. cikkének a) pontja, valamint 67. cikke</w:t>
            </w:r>
          </w:p>
          <w:p w:rsidR="0022315F" w:rsidRPr="00661595" w:rsidRDefault="0022315F" w:rsidP="00487A02">
            <w:pPr>
              <w:pStyle w:val="InstructionsText"/>
              <w:rPr>
                <w:rStyle w:val="InstructionsTabelleberschrift"/>
                <w:rFonts w:ascii="Times New Roman" w:hAnsi="Times New Roman"/>
                <w:b w:val="0"/>
                <w:bCs w:val="0"/>
                <w:sz w:val="24"/>
                <w:u w:val="none"/>
              </w:rPr>
            </w:pPr>
            <w:r>
              <w:t xml:space="preserve">A </w:t>
            </w:r>
            <w:r>
              <w:rPr>
                <w:rStyle w:val="InstructionsTabelleberschrift"/>
                <w:rFonts w:ascii="Times New Roman" w:hAnsi="Times New Roman"/>
                <w:b w:val="0"/>
                <w:sz w:val="24"/>
                <w:u w:val="none"/>
              </w:rPr>
              <w:t>CRR 66. cikkének a) pontja szerint</w:t>
            </w:r>
            <w:r>
              <w:t xml:space="preserve"> le kell vonni „az olyan saját T2 tőkeinstrumentumokat …, amelyeket az intézmény hatályos szerződéses kötelezettségekből eredően köteles lehet megvásárolni”.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Szerzett jogok alapján figyelembe vett T2 tőkeinstrumentumok miatti átmeneti kiigazítások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483. cikkének (6) és (7) bekezdése, valamint 484., 486., 488., 490. és 491.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szerzett jogokkal kapcsolatos rendelkezések alapján átmenetileg T2 tőkének minősített tőkeinstrumentumok összege. A feltüntetendő értéket közvetlenül a CA5 tábláról kell átvezetni.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Leányvállalatok által kibocsátott, T2 tőkeként megjelenített instrumentumok</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83., 87. és 88.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leányvállalatok szavatolótőkéjébe beszámítható összes tőkeelemnek a konszolidált T2 tőke részét képező összege.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Tartalmazza a különleges célú gazdasági egység által kibocsátott, T2 tőkébe beszámítható tőkeelemeket (a CRR 83.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Átmeneti kiigazítások a leányvállalatok által kibocsátott instrumentumok T2 tőkeként való pótlólagos megjelenítése miatt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480.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szavatolótőkébe beszámítható tőkeelemeknek a konszolidált T2 tőke részét képező összegében az átmeneti rendelkezések miatt végrehajtott kiigazítások. A tételt közvetlenül a CA5 tábláról kell átvezetni.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Az IRB módszerrel számított céltartalékok többlete a figyelembe vehető várható veszteségekhez viszonyítva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62. cikkének d)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kockázattal súlyozott kitettség értékét IRB-módszerrel számító intézmények esetében ez a tétel a céltartalékok és a T2 tőkeként figyelembe vehető várható veszteségek összehasonlításából adódó pozitív összeget tartalmazza.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Általános hitelkockázati kiigazítások – sztenderd módszer (SA)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62. cikkének c)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kockázattal súlyozott kitettség értékét sztenderd módszerrel számító intézmények esetében ez a tétel az általános hitelkockázati kiigazításoknak a T2 tőkeként figyelembe vehető összegét tartalmazza.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Kölcsönös részesedések T2 tőkeinstrumentumokban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122. pontja, 66. cikkének b) pontja, valamint 68.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T2 tőkeinstrumentumok állománya olyan kölcsönös részesedés esetében, amelynek célja az illetékes hatóság véleménye szerint az intézmény szavatolótőkéjének mesterséges megemelése.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feltüntetendő értéket a bruttó hosszú pozíciók alapján kell kiszámítani, és annak tartalmaznia kell a biztosítói 2. és 3. szintű szavatolótőke-elemeket.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Pénzügyi ágazatbeli szervezetek által kibocsátott T2 tőkeinstrumentumok, ha az intézmény nem rendelkezik jelentős részesedéssel az említett vállalkozásokban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66. cikkének c) pontja, valamint 68–70. és 79.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(1)bekezdésének 27. pontjában meghatározott pénzügyi ágazatbeli szervezetek által kibocsátott instrumentumokban lévő intézményi részesedés, ha az intézmény nem rendelkezik a T2 tőkéből levonandó jelentős részesedéssel.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Pénzügyi ágazatbeli szervezetek által kibocsátott T2 tőkeinstrumentumok, ha az intézmény jelentős részesedéssel rendelkezik az említett vállalkozásokban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pontja, 66. cikkének d) pontja, 68., 69. és 79.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 cikke (1) bekezdésének 27. pontjában meghatározott pénzügyi ágazatbeli szervezetek által kibocsátott T2 tőkeinstrumentumokban lévő intézményi részesedést, ha az intézmény az elsődleges jelentős részesedéssel rendelkezik, teljes összegben le kell vonni.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A leírható, illetve átalakítható kötelezettségekből történő levonásoknak a leírható, illetve átalakítható kötelezettségeken felüli összege</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CRR 66. e)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T2 tőke egyéb átmeneti kiigazításai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472., 473a., 476., 477., 478. és 481. cikke.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T2 tőkeelemek összegét meghaladó T2 levonások összege (levonás a AT1 tőkében)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56. cikkének e) pontja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 tételnek köszönhetően az 1.2.1–1.2.13. tételek összege egyetlen esetben sem kisebb nullánál. Ha e tétel értéke pozitív, akkor az 1.1.2.8. tételben ezzel megegyező, ellenkező előjelű számot kell feltüntetni.</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Pótlólagos levonások a T2 tőkéből a CRR 3. cikke alapján</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 cikke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T2 tőkeelemek vagy levonások – egyéb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T2 tőkeelem, vagy egy T2 tőkeelemet érintő levonás nem szerepeltethető a 750–974. sorok egyikében sem.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sor nem használható a CRR-ben nem szabályozott tőkeelemeknek, illetve levonásoknak a szolvenciamutató kiszámításán belüli besorolásához (pl. olyan tagállami tőkeelemek vagy levonások besorolásához, amelyek a CRR hatályán kívül esnek).</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2" w:name="_Toc473560875"/>
      <w:bookmarkStart w:id="43" w:name="_Toc58858570"/>
      <w:bookmarkStart w:id="44" w:name="_Toc308175823"/>
      <w:bookmarkStart w:id="45" w:name="_Toc360188327"/>
      <w:r>
        <w:rPr>
          <w:rFonts w:ascii="Times New Roman" w:hAnsi="Times New Roman"/>
          <w:sz w:val="24"/>
          <w:u w:val="none"/>
        </w:rPr>
        <w:t>1.3.</w:t>
      </w:r>
      <w:r>
        <w:tab/>
      </w:r>
      <w:r>
        <w:rPr>
          <w:rFonts w:ascii="Times New Roman" w:hAnsi="Times New Roman"/>
          <w:sz w:val="24"/>
        </w:rPr>
        <w:t>C 02.00 – SZAVATOLÓTŐKE-KÖVETELMÉNY (CA2)</w:t>
      </w:r>
      <w:bookmarkEnd w:id="42"/>
      <w:bookmarkEnd w:id="43"/>
      <w:r>
        <w:rPr>
          <w:rFonts w:ascii="Times New Roman" w:hAnsi="Times New Roman"/>
          <w:sz w:val="24"/>
        </w:rPr>
        <w:t xml:space="preserve"> </w:t>
      </w:r>
      <w:bookmarkEnd w:id="44"/>
      <w:bookmarkEnd w:id="4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6" w:name="_Toc310414970"/>
      <w:bookmarkStart w:id="47" w:name="_Toc360188328"/>
      <w:bookmarkStart w:id="48" w:name="_Toc473560876"/>
      <w:bookmarkStart w:id="49" w:name="_Toc58858571"/>
      <w:r>
        <w:rPr>
          <w:rFonts w:ascii="Times New Roman" w:hAnsi="Times New Roman"/>
          <w:sz w:val="24"/>
          <w:u w:val="none"/>
        </w:rPr>
        <w:t>1.3.1.</w:t>
      </w:r>
      <w:r>
        <w:tab/>
      </w:r>
      <w:bookmarkStart w:id="50" w:name="_Toc308175824"/>
      <w:r>
        <w:rPr>
          <w:rFonts w:ascii="Times New Roman" w:hAnsi="Times New Roman"/>
          <w:sz w:val="24"/>
        </w:rPr>
        <w:t xml:space="preserve">A tábla egyes részeire vonatkozó </w:t>
      </w:r>
      <w:bookmarkEnd w:id="46"/>
      <w:bookmarkEnd w:id="50"/>
      <w:r>
        <w:rPr>
          <w:rFonts w:ascii="Times New Roman" w:hAnsi="Times New Roman"/>
          <w:sz w:val="24"/>
        </w:rPr>
        <w:t>útmutató</w:t>
      </w:r>
      <w:bookmarkEnd w:id="47"/>
      <w:bookmarkEnd w:id="48"/>
      <w:bookmarkEnd w:id="49"/>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Sor</w:t>
            </w:r>
          </w:p>
        </w:tc>
        <w:tc>
          <w:tcPr>
            <w:tcW w:w="7274" w:type="dxa"/>
            <w:shd w:val="clear" w:color="auto" w:fill="D9D9D9"/>
          </w:tcPr>
          <w:p w:rsidR="005643EA" w:rsidRPr="00661595" w:rsidRDefault="002648B0" w:rsidP="00487A02">
            <w:pPr>
              <w:pStyle w:val="InstructionsText"/>
            </w:pPr>
            <w:r>
              <w:t>Jogszabályi hivatkozások és útmutató</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TELJES KOCKÁZATI KITETTSÉGÉRTÉK</w:t>
            </w:r>
          </w:p>
          <w:p w:rsidR="002648B0" w:rsidRPr="00661595" w:rsidRDefault="002648B0" w:rsidP="00487A02">
            <w:pPr>
              <w:pStyle w:val="InstructionsText"/>
            </w:pPr>
            <w:r>
              <w:t>A CRR 92. cikkének (3) bekezdése, valamint 95., 96. és 98. cikke</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Ebből: befektetési vállalkozások a CRR 95. cikkének (2) bekezdése, valamint 98. cikke szerint</w:t>
            </w:r>
          </w:p>
          <w:p w:rsidR="005643EA" w:rsidRPr="00661595" w:rsidRDefault="002648B0" w:rsidP="00487A02">
            <w:pPr>
              <w:pStyle w:val="InstructionsText"/>
            </w:pPr>
            <w:r>
              <w:t xml:space="preserve">A CRR 95. cikkének </w:t>
            </w:r>
            <w:r>
              <w:rPr>
                <w:rStyle w:val="FormatvorlageInstructionsTabelleText"/>
                <w:rFonts w:ascii="Times New Roman" w:hAnsi="Times New Roman"/>
                <w:sz w:val="24"/>
              </w:rPr>
              <w:t>(2)</w:t>
            </w:r>
            <w:r>
              <w:t xml:space="preserve"> bekezdése, valamint 98. cikke szerinti befektetési vállalkozások</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Ebből: befektetési vállalkozások a CRR 96. cikkének (2) bekezdése, valamint 97. cikke szerint</w:t>
            </w:r>
          </w:p>
          <w:p w:rsidR="005643EA" w:rsidRPr="00661595" w:rsidRDefault="002648B0" w:rsidP="00487A02">
            <w:pPr>
              <w:pStyle w:val="InstructionsText"/>
            </w:pPr>
            <w:r>
              <w:t xml:space="preserve">A CRR 96. cikkének </w:t>
            </w:r>
            <w:r>
              <w:rPr>
                <w:rStyle w:val="FormatvorlageInstructionsTabelleText"/>
                <w:rFonts w:ascii="Times New Roman" w:hAnsi="Times New Roman"/>
                <w:sz w:val="24"/>
              </w:rPr>
              <w:t>(2)</w:t>
            </w:r>
            <w:r>
              <w:t xml:space="preserve"> bekezdése, valamint 97. cikke szerinti befektetési vállalkozások</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HITELKOCKÁZATRA, PARTNERKOCKÁZATRA ÉS FELHÍGULÁSI KOCKÁZATRA, VALAMINT NYITVA SZÁLLÍTÁSOKRA VONATKOZÓ, KOCKÁZATTAL SÚLYOZOTT KITETTSÉGÉRTÉKEK</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92. cikke (3) bekezdésének a) és f) pontja</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Sztenderd módszer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és SEC SA tábla az összesített kitettség szintjén.</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Ebből: kiegészítő szigorúbb prudenciális követelmények a CRR 124. cikke alapján</w:t>
            </w:r>
          </w:p>
          <w:p w:rsidR="00802958" w:rsidRPr="00661595" w:rsidRDefault="004852B9" w:rsidP="00487A02">
            <w:pPr>
              <w:pStyle w:val="InstructionsText"/>
              <w:rPr>
                <w:rStyle w:val="InstructionsTabelleberschrift"/>
                <w:rFonts w:ascii="Times New Roman" w:hAnsi="Times New Roman"/>
                <w:sz w:val="24"/>
              </w:rPr>
            </w:pPr>
            <w:r>
              <w:t>Az intézményeknek adatot kell szolgáltatniuk azokról a pótlólagos kockázati kitettségértékekről, amelyek a CRR 124. cikkének (2) és (5) bekezdésével összhangban az EBH-val folytatott konzultációt követően az intézmények számára közzétett, szigorúbb prudenciális követelményeknek való megfeleléshez szükségesek.</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Sztenderd módszer (SA) szerinti kitettségi osztályok értékpapírosítási pozíciók nélkül</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CR SA tábla az összesített kitettség szintjén. A sztenderd módszer szerinti kitettségi osztályok</w:t>
            </w:r>
            <w:r>
              <w:t xml:space="preserve"> </w:t>
            </w:r>
            <w:r>
              <w:rPr>
                <w:rStyle w:val="InstructionsTabelleberschrift"/>
                <w:rFonts w:ascii="Times New Roman" w:hAnsi="Times New Roman"/>
                <w:b w:val="0"/>
                <w:sz w:val="24"/>
                <w:u w:val="none"/>
              </w:rPr>
              <w:t>közé</w:t>
            </w:r>
            <w:r>
              <w:t xml:space="preserve"> </w:t>
            </w:r>
            <w:r>
              <w:rPr>
                <w:rStyle w:val="FormatvorlageInstructionsTabelleText"/>
                <w:rFonts w:ascii="Times New Roman" w:hAnsi="Times New Roman"/>
                <w:sz w:val="24"/>
              </w:rPr>
              <w:t>a CRR 112. cikkében felsoroltak tartoznak, az értékpapírosítási pozíciók kivételével.</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Központi kormányzatok vagy központi bankok</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Regionális kormányzatok vagy helyi hatóságok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Közszektorbeli intézmények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Multilaterális fejlesztési bankok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SA táblát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Nemzetközi szervezetek</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Intézmények</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Vállalkozások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Lakosság</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Ingatlanra bejegyzett zálogjoggal fedezett kitettségek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Nemteljesítő kitettségek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Lásd a CR SA táblát</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Kiemelkedően magas kockázatú tételek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Fedezett kötvények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Rövid távú hitelminősítéssel rendelkező intézményekkel és vállalkozásokkal szembeni követelések</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Kollektív befektetési formák (KBF)</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Részvényjellegű kitettségek</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Egyéb tételek</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Lásd a CR SA táblát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Belső minősítésen alapuló módszer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Ebből: kiegészítő szigorúbb prudenciális követelmények a CRR 164. cikke alapján</w:t>
            </w:r>
          </w:p>
          <w:p w:rsidR="00802958" w:rsidRPr="00661595" w:rsidRDefault="004852B9" w:rsidP="00487A02">
            <w:pPr>
              <w:pStyle w:val="InstructionsText"/>
              <w:rPr>
                <w:rStyle w:val="InstructionsTabelleberschrift"/>
                <w:rFonts w:ascii="Times New Roman" w:hAnsi="Times New Roman"/>
                <w:sz w:val="24"/>
              </w:rPr>
            </w:pPr>
            <w:r>
              <w:t>Az intézményeknek adatot kell szolgáltatniuk a szigorúbb prudenciális követelményeknek való megfeleléshez szükséges pótlólagos kockázati kitettségértékekről; e követelményekről – az EBH-val folytatott konzultációt követően – tájékoztatják az intézményeket a CRR 164. cikkének (5) és (7) bekezdésével összhangban.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Ebből: kiegészítő szigorúbb prudenciális követelmények a CRR 124. cikke alapján</w:t>
            </w:r>
          </w:p>
          <w:p w:rsidR="00802958" w:rsidRPr="00661595" w:rsidRDefault="004852B9" w:rsidP="00487A02">
            <w:pPr>
              <w:pStyle w:val="InstructionsText"/>
              <w:rPr>
                <w:rStyle w:val="InstructionsTabelleberschrift"/>
                <w:rFonts w:ascii="Times New Roman" w:hAnsi="Times New Roman"/>
                <w:sz w:val="24"/>
              </w:rPr>
            </w:pPr>
            <w:r>
              <w:t>Az intézményeknek adatot kell szolgáltatniuk azokról a pótlólagos kockázati kitettségértékekről, amelyek a CRR 124. cikkének (2) és (5) bekezdésével összhangban az EBH-val folytatott konzultációt követően az intézmények számára közzétett, szigorúbb prudenciális követelményeknek való megfeleléshez szükségesek, és amelyek kapcsolódnak a biztosíték figyelembe vehető piaci értékére vonatkozó, a CRR 125. cikke (2) bekezdésének d) pontjában és 126. cikke (2) bekezdésének d) pontjában meghatározott korlátokhoz.</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IRB-módszer a nemteljesítéskori veszteségrátára (LGD) vonatkozó saját becslés és hitel-egyenértékesítési tényező (CCF) mellőzésekor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CR IRB tábla az összesített kitettség szintjén (saját LGD-becslés vagy CCF mellőzésével)</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Központi kormányzatok és központi bankok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Intézmények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Vállalkozások – kkv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Vállalkozások – speciális hitelezés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IRB táblát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Vállalkozások – egyéb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IRB-módszer a nemteljesítéskori veszteségrátára (LGD) vonatkozó saját becslés és/vagy hitel-egyenértékesítési tényező (CCF) alkalmazásakor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CR IRB tábla az összesített kitettség szintjén (saját LGD-becslés és/vagy CCF alkalmazásával)</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Központi kormányzatok és központi bankok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Intézmények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Lásd a CR IRB táblát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Vállalkozások – kkv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Vállalkozások – speciális hitelezés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Vállalkozások – egyéb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Lakosság – ingatlannal fedezett (kkv)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Lakosság – ingatlannal fedezett (nem kkv)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Lakosság – a rulírozó állományba beszámítható</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Lakosság – egyéb kkv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Lakosság – egyéb nem kkv</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Részvényjellegű kitettségek (IRB)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EQU IRB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Egyéb, nem hitelkötelezettséget megtestesítő eszközök</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 feltüntetendő érték a CRR 156. cikke szerint kiszámított, kockázattal súlyozott kitettségérték.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Központi szerződő fél garanciaalapjába befizetett hozzájárulások kockázati kitettségértéke</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 CRR 307., 308. és 309. cikke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Értékpapírosítási pozíciók</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 CR SEC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ELSZÁMOLÁSI/TELJESÍTÉSI KOCKÁZAT TELJES KOCKÁZATI KITETTSÉGÉRTÉKE</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A CRR 92. cikke (3) bekezdése c) pontjának ii. alpontja, valamint 92. cikke (4) bekezdésének b) pontja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Nem kereskedési könyvi elszámolási/teljesítési kockázat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SETT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Kereskedési könyvi elszámolási/teljesítési kockázat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CR SETT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POZÍCIÓKOCKÁZAT, DEVIZAÁRFOLYAM-KOCKÁZAT ÉS ÁRUKOCKÁZAT TELJES KOCKÁZATI KITETTSÉGÉRTÉKE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CRR 92. cikke (3) bekezdése b) pontjának i. alpontja, c) pontjának i. és iii. alpontja, valamint 92. cikke (4) bekezdésének b) pontja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Pozíciókockázat, devizaárfolyam-kockázat és árukockázat sztenderd módszer (SA) szerinti kockázati kitettségértéke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Forgalmazott, hitelviszonyt megtestesítő értékpapírok</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tábla az összesített devizanemek szintjén.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Részvényjellegű kitettségek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tábla az összesített nemzeti piacok szintjén.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Egyedi módszer a kollektív befektetési formák pozíciókockázatára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CRR 348. cikkének (1) bekezdése, 350. cikke (3) bekezdésének c) pontja, valamint 364. cikke (2) bekezdésének a) pontja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kollektív befektetési formákban lévő pozíciók teljes kockázati kitettségértéke, ha a tőkekövetelmény kiszámítása a CRR 348. cikke (1) bekezdésének megfelelően azonnal, vagy a CRR 350. cikke (3) bekezdésének c) pontjában meghatározott korlátnak megfelelően történik. A CRR az ilyen pozíciókat nem rendeli kifejezetten sem kamatlábkockázathoz, sem részvénypiaci kockázathoz.</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 CRR 348. cikke (1) bekezdésének első mondata szerinti egyedi módszer alkalmazásakor a feltüntetendő érték a kérdéses KBF-kitettség nettó pozíciójának 32 %-a, szorozva 12,5-del.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lastRenderedPageBreak/>
              <w:t>A CRR 348. cikke (1) bekezdésének második mondata szerinti egyedi módszer alkalmazásakor a feltüntetendő érték a kérdéses KBF-kitettség nettó pozíciójának 32 %-a, valamint e nettó pozíció 40 %-a és az adott KBF-kitettséghez kapcsolódó devizaárfolyam-kockázatból eredő szavatolótőke-követelmény különbözete közül az alacsonyabb érték, szorozva 12,5-del.</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Tájékoztató adat: kizárólag forgalmazott, hitelviszonyt megtestesítő értékpapírokba befektetett kollektív befektetési formák</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Kollektív befektetési formákban lévő pozíciók teljes kockázati kitettségértéke, amennyiben a KBF eszközökbe való befektetése kizárólag a kamatlábkockázattól függ.</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kizárólag tulajdoni részesedést megtestesítő instrumentumokba vagy vegyes eszközökbe befektetett kollektív befektetési formák</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Kollektív befektetési formákban lévő pozíciók teljes kockázati kitettségértéke, amennyiben a KBF-et kizárólag részvénypiaci kockázattól függő instrumentumokba vagy vegyes instrumentumokba fektetik be vagy a KBF összetevői nem ismertek.</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Deviza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az MKR SA FX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Áru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az MKR SA COM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Pozíciókockázat, devizaárfolyam-kockázat és árukockázat belső modelleken alapuló módszer (IM) szerinti kockázati kitettségértéke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az MKR IM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MŰKÖDÉSI KOCKÁZAT (OpR) TELJES KOCKÁZATI KITETTSÉGÉRTÉKE</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CRR 92. cikke (3) bekezdésének e) pontja és 92. cikke (4) bekezdésének b) pontja</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A CRR 95. cikkének (2) bekezdése, 96. cikkének (2) bekezdése, valamint 98. cikke szerinti befektetési vállalkozások esetében a tétel értéke nulla.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Működési kockázatra vonatkozó alapmutató módszere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az OPR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Működési kockázatra vonatkozó sztenderd (TSA)/alternatív sztenderd módszer (ASA)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az OPR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Működési kockázatra vonatkozó fejlett mérési módszerek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az OPR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FIX MŰKÖDÉSI KÖLTSÉGEKBŐL EREDŐ PÓTLÓLAGOS KOCKÁZATI KITETTSÉGÉRTÉK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CRR 95. cikkének (2) bekezdése és 96. cikkének (2) bekezdése, 97. cikke, valamint 98. cikke (1) bekezdésének a) pontja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Kizárólag a CRR 95. cikkének (2) bekezdése, 96. cikkének (2) bekezdése, valamint 98. cikke szerinti befektetési vállalkozások esetében. Lásd még a CRR 97. cikkét.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CRR 96. cikke szerinti befektetési vállalkozásoknak a 97. cikkben meghatározott összeg 12,5-szeresét kell feltüntetniük.</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CRR 95. cikke szerinti befektetési vállalkozásoknak az alábbi összeget kell feltüntetniük:</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Ha</w:t>
            </w:r>
            <w:r>
              <w:t xml:space="preserve"> a </w:t>
            </w:r>
            <w:r>
              <w:rPr>
                <w:rStyle w:val="FormatvorlageInstructionsTabelleText"/>
                <w:rFonts w:ascii="Times New Roman" w:hAnsi="Times New Roman"/>
                <w:sz w:val="24"/>
              </w:rPr>
              <w:t>CRR 95. cikke (2) bekezdésének a) pontjában említett összeg meghaladja a CRR 95. cikke (2) bekezdésének b) pontjában említett összeget, akkor a feltüntetendő érték nulla.</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Ha</w:t>
            </w:r>
            <w:r>
              <w:t xml:space="preserve"> a </w:t>
            </w:r>
            <w:r>
              <w:rPr>
                <w:rStyle w:val="FormatvorlageInstructionsTabelleText"/>
                <w:rFonts w:ascii="Times New Roman" w:hAnsi="Times New Roman"/>
                <w:sz w:val="24"/>
              </w:rPr>
              <w:t xml:space="preserve">CRR 95. cikke (2) bekezdésének b) pontjában említett összeg meghaladja a CRR 95. cikke (2) bekezdésének a) pontjában említett összeget, akkor a feltüntetendő érték az első és a második összeg különbözete.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A HITELÉRTÉKELÉSI KORREKCIÓ TELJES KOCKÁZATI KITETTSÉGÉRTÉKE</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92. cikke (3) bekezdésének d) pontja</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Lásd a CVA táblát.</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Fejlett módszer</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hitelértékelési korrekciós kockázathoz kapcsolódó szavatolótőke-követelmény a CRR 383. cikke szerint.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CVA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Sztenderd módszer</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 hitelértékelési korrekciós kockázathoz kapcsolódó szavatolótőke-követelmény a CRR 384. cikke szerint.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Lásd a CVA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Eredeti kitettség szerinti módszer (OEM) alapján</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hitelértékelési korrekciós kockázathoz kapcsolódó szavatolótőke-követelmény a CRR 385. cikke szerint.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Lásd a CVA táblát.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KERESKEDÉSI KÖNYVBEN NYILVÁNTARTOTT NAGYKOCKÁZATOK TELJES KOCKÁZATI KITETTSÉGÉRTÉKE</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CRR 92. cikke (3) bekezdése b) pontjának ii. alpontja, valamint 395–401. cikke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EGYÉB KOCKÁZATI KITETTSÉGÉRTÉKEK</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A CRR 3., 458. és 459. cikke szerint, valamint az olyan kockázati kitettségértékek, amelyek az 1.1–1.7. tételek egyikébe sem sorolhatók.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intézményeknek az alábbi követelmények teljesítéséhez szükséges összegeket kell feltüntetniük:</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 Bizottság által előírt szigorúbb prudenciális követelmények, a CRR 458. és 459. cikkével összhangban;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3. cikkéből eredő pótlólagos kockázati kitettségérték;</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A tétel nem kapcsolódik részletes kockázati táblához.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Ebből: kiegészítő szigorúbb prudenciális követelmények a CRR 458. cikke alapján</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458. cikke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Ebből: nagykockázat-vállalással kapcsolatos követelmények</w:t>
            </w:r>
          </w:p>
          <w:p w:rsidR="00802958" w:rsidRPr="00661595" w:rsidRDefault="00802958" w:rsidP="00487A02">
            <w:pPr>
              <w:pStyle w:val="InstructionsText"/>
              <w:rPr>
                <w:rStyle w:val="InstructionsTabelleberschrift"/>
                <w:rFonts w:ascii="Times New Roman" w:hAnsi="Times New Roman"/>
                <w:sz w:val="24"/>
              </w:rPr>
            </w:pPr>
            <w:r>
              <w:t>A CRR 458. cikke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Ebből: a lakóingatlanok és kereskedelmi ingatlanok piacán jelentkező eszközbuborékok kezelését célzó kockázati súlyok módosításából eredő követelmények</w:t>
            </w:r>
          </w:p>
          <w:p w:rsidR="00802958" w:rsidRPr="00661595" w:rsidRDefault="00802958" w:rsidP="00487A02">
            <w:pPr>
              <w:pStyle w:val="InstructionsText"/>
              <w:rPr>
                <w:rStyle w:val="InstructionsTabelleberschrift"/>
                <w:rFonts w:ascii="Times New Roman" w:hAnsi="Times New Roman"/>
                <w:sz w:val="24"/>
              </w:rPr>
            </w:pPr>
            <w:r>
              <w:t>A CRR 458. cikke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Ebből: a pénzügyi szektoron belüli kitettségekből eredő követelmények</w:t>
            </w:r>
          </w:p>
          <w:p w:rsidR="00802958" w:rsidRPr="00661595" w:rsidRDefault="00802958" w:rsidP="00487A02">
            <w:pPr>
              <w:pStyle w:val="InstructionsText"/>
              <w:rPr>
                <w:rStyle w:val="InstructionsTabelleberschrift"/>
                <w:rFonts w:ascii="Times New Roman" w:hAnsi="Times New Roman"/>
                <w:sz w:val="24"/>
              </w:rPr>
            </w:pPr>
            <w:r>
              <w:t>A CRR 458. cikke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Ebből: kiegészítő szigorúbb prudenciális követelmények a CRR 459. cikke alapján</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CRR 459. cikke</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Ebből: a CRR 3. cikkéből eredő pótlólagos kockázati kitettségérték</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 cikke</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pótlólagos kockázati kitettségértéket kell feltüntetni. A feltüntetett pótlólagos kockázati kitettségérték csak a pótlólagos értéket foglalhatja magában (pl. ha 100 egységnyi kitettség kockázati súlya 20 % és az intézmény a CRR 3. cikke alapján 50 %-os kockázati súlyt alkalmaz, akkor a feltüntetendő érték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1" w:name="_Toc473560877"/>
      <w:bookmarkStart w:id="52" w:name="_Toc58858572"/>
      <w:bookmarkStart w:id="53" w:name="_Toc308175826"/>
      <w:bookmarkStart w:id="54" w:name="_Toc360188329"/>
      <w:r>
        <w:rPr>
          <w:rFonts w:ascii="Times New Roman" w:hAnsi="Times New Roman"/>
          <w:sz w:val="24"/>
          <w:u w:val="none"/>
        </w:rPr>
        <w:t>1.4</w:t>
      </w:r>
      <w:r w:rsidRPr="00774DB7">
        <w:rPr>
          <w:u w:val="none"/>
        </w:rPr>
        <w:tab/>
      </w:r>
      <w:r>
        <w:rPr>
          <w:rFonts w:ascii="Times New Roman" w:hAnsi="Times New Roman"/>
          <w:sz w:val="24"/>
          <w:u w:val="none"/>
        </w:rPr>
        <w:t>C 03.00 – TŐKEMEGFELELÉSI MUTATÓK ÉS TŐKESZINTEK (CA3)</w:t>
      </w:r>
      <w:bookmarkEnd w:id="51"/>
      <w:bookmarkEnd w:id="52"/>
      <w:r>
        <w:rPr>
          <w:rFonts w:ascii="Times New Roman" w:hAnsi="Times New Roman"/>
          <w:sz w:val="24"/>
          <w:u w:val="none"/>
        </w:rPr>
        <w:t xml:space="preserve"> </w:t>
      </w:r>
      <w:bookmarkEnd w:id="53"/>
      <w:bookmarkEnd w:id="5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5" w:name="_Toc310414972"/>
      <w:bookmarkStart w:id="56" w:name="_Toc360188330"/>
      <w:bookmarkStart w:id="57" w:name="_Toc473560878"/>
      <w:bookmarkStart w:id="58" w:name="_Toc58858573"/>
      <w:r>
        <w:rPr>
          <w:rFonts w:ascii="Times New Roman" w:hAnsi="Times New Roman"/>
          <w:sz w:val="24"/>
          <w:u w:val="none"/>
        </w:rPr>
        <w:t>1.4.1</w:t>
      </w:r>
      <w:r w:rsidRPr="00774DB7">
        <w:rPr>
          <w:u w:val="none"/>
        </w:rPr>
        <w:tab/>
      </w:r>
      <w:bookmarkStart w:id="59" w:name="_Toc308175827"/>
      <w:r>
        <w:rPr>
          <w:rFonts w:ascii="Times New Roman" w:hAnsi="Times New Roman"/>
          <w:sz w:val="24"/>
        </w:rPr>
        <w:t xml:space="preserve">A tábla egyes részeire vonatkozó </w:t>
      </w:r>
      <w:bookmarkEnd w:id="55"/>
      <w:bookmarkEnd w:id="59"/>
      <w:r>
        <w:rPr>
          <w:rFonts w:ascii="Times New Roman" w:hAnsi="Times New Roman"/>
          <w:sz w:val="24"/>
        </w:rPr>
        <w:t>útmutató</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Sorok</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CET1 tőkemegfelelési mutató</w:t>
            </w:r>
          </w:p>
          <w:p w:rsidR="005643EA" w:rsidRPr="00661595" w:rsidRDefault="00705025" w:rsidP="00487A02">
            <w:pPr>
              <w:pStyle w:val="InstructionsText"/>
            </w:pPr>
            <w:r>
              <w:t>A CRR 92. cikke (2) bekezdésének a) pontja</w:t>
            </w:r>
          </w:p>
          <w:p w:rsidR="005643EA" w:rsidRPr="00661595" w:rsidRDefault="002648B0" w:rsidP="00487A02">
            <w:pPr>
              <w:pStyle w:val="InstructionsText"/>
            </w:pPr>
            <w:r>
              <w:t>A CET1 tőkemegfelelési mutató az intézmény CET1 tőkéje, a teljes kockázati kitettségérték százalékaként kifejezve.</w:t>
            </w:r>
          </w:p>
        </w:tc>
      </w:tr>
      <w:tr w:rsidR="002648B0" w:rsidRPr="00661595" w:rsidTr="003E47C5">
        <w:tc>
          <w:tcPr>
            <w:tcW w:w="1163" w:type="dxa"/>
          </w:tcPr>
          <w:p w:rsidR="002648B0" w:rsidRPr="00661595" w:rsidRDefault="00B13F06" w:rsidP="00487A02">
            <w:pPr>
              <w:pStyle w:val="InstructionsText"/>
            </w:pPr>
            <w:r>
              <w:lastRenderedPageBreak/>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A CET1 tőke többlete (+)/hiánya (–)</w:t>
            </w:r>
          </w:p>
          <w:p w:rsidR="005643EA" w:rsidRPr="00661595" w:rsidRDefault="002648B0" w:rsidP="00487A02">
            <w:pPr>
              <w:pStyle w:val="InstructionsText"/>
            </w:pPr>
            <w:r>
              <w:t>A tétel abszolút értéken jeleníti meg a CET1 tőkének a CRR 92. cikke (1) bekezdésének a) pontjában rögzített követelményhez (4,5 %) viszonyított többletét vagy hiányát, vagyis nem veszi figyelembe a tőkepuffereket és a mutatóra vonatkozó átmeneti rendelkezéseket.</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T1 tőkemegfelelési mutató</w:t>
            </w:r>
          </w:p>
          <w:p w:rsidR="005643EA" w:rsidRPr="00661595" w:rsidRDefault="00705025" w:rsidP="00487A02">
            <w:pPr>
              <w:pStyle w:val="InstructionsText"/>
            </w:pPr>
            <w:r>
              <w:t>A CRR 92. cikke (2) bekezdésének b) pontja</w:t>
            </w:r>
          </w:p>
          <w:p w:rsidR="005643EA" w:rsidRPr="00661595" w:rsidRDefault="002648B0" w:rsidP="00487A02">
            <w:pPr>
              <w:pStyle w:val="InstructionsText"/>
            </w:pPr>
            <w:r>
              <w:t>A T1 tőkemegfelelési mutató az intézmény T1 tőkéje, a teljes kockázati kitettségérték százalékaként kifejezve.</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A T1 tőke többlete (+)/hiánya (–)</w:t>
            </w:r>
          </w:p>
          <w:p w:rsidR="005643EA" w:rsidRPr="00661595" w:rsidRDefault="002648B0" w:rsidP="00487A02">
            <w:pPr>
              <w:pStyle w:val="InstructionsText"/>
            </w:pPr>
            <w:r>
              <w:t>A tétel abszolút értéken jeleníti meg a T1 tőkének a CRR 92. cikke (1) bekezdésének b) pontjában rögzített követelményhez (6 %) viszonyított többletét vagy hiányát, vagyis nem veszi figyelembe a tőkepuffereket és a mutatóra vonatkozó átmeneti rendelkezéseket.</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Teljes tőkemegfelelési mutató</w:t>
            </w:r>
          </w:p>
          <w:p w:rsidR="005643EA" w:rsidRPr="00661595" w:rsidRDefault="00705025" w:rsidP="00487A02">
            <w:pPr>
              <w:pStyle w:val="InstructionsText"/>
            </w:pPr>
            <w:r>
              <w:t>A CRR 92. cikke (2) bekezdésének c) pontja</w:t>
            </w:r>
          </w:p>
          <w:p w:rsidR="005643EA" w:rsidRPr="00661595" w:rsidRDefault="002648B0" w:rsidP="00487A02">
            <w:pPr>
              <w:pStyle w:val="InstructionsText"/>
            </w:pPr>
            <w:r>
              <w:t>a teljes tőkemegfelelési mutató az intézmény szavatolótőkéje, a teljes kockázati kitettségérték százalékaként kifejezve.</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A teljes tőke többlete (+)/hiánya (–)</w:t>
            </w:r>
          </w:p>
          <w:p w:rsidR="005643EA" w:rsidRPr="00661595" w:rsidRDefault="002648B0" w:rsidP="00487A02">
            <w:pPr>
              <w:pStyle w:val="InstructionsText"/>
            </w:pPr>
            <w:r>
              <w:t>A tétel abszolút értéken jeleníti meg a szavatolótőkének a CRR 92. cikke (1) bekezdésének c) pontjában rögzített követelményhez (8 %) viszonyított többletét vagy hiányát, vagyis nem veszi figyelembe a tőkepuffereket és a mutatóra vonatkozó átmeneti rendelkezéseket.</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Teljes-SREP-tőkekövetelmény-mutató (TSCR-mutató)</w:t>
            </w:r>
          </w:p>
          <w:p w:rsidR="009C083D" w:rsidRPr="00661595" w:rsidRDefault="009C083D" w:rsidP="00487A02">
            <w:pPr>
              <w:pStyle w:val="InstructionsText"/>
            </w:pPr>
            <w:r>
              <w:t>Az i. és ii. összege a következők szerint:</w:t>
            </w:r>
          </w:p>
          <w:p w:rsidR="009C083D" w:rsidRPr="00661595" w:rsidRDefault="009C083D" w:rsidP="00487A02">
            <w:pPr>
              <w:pStyle w:val="InstructionsText"/>
              <w:numPr>
                <w:ilvl w:val="0"/>
                <w:numId w:val="20"/>
              </w:numPr>
            </w:pPr>
            <w:r>
              <w:t xml:space="preserve">a CRR 92. cikke (1) bekezdésének c) pontjában meghatározott teljes tőkemegfelelési mutató (8 %); </w:t>
            </w:r>
          </w:p>
          <w:p w:rsidR="009C083D" w:rsidRPr="00661595" w:rsidRDefault="009C083D" w:rsidP="00487A02">
            <w:pPr>
              <w:pStyle w:val="InstructionsText"/>
              <w:numPr>
                <w:ilvl w:val="0"/>
                <w:numId w:val="20"/>
              </w:numPr>
            </w:pPr>
            <w:r>
              <w:t>a CRD 104. cikke (1) bekezdésének a) pontjában említett kiegészítő szavatolótőke-követelmények (2. pillér szerinti követelmények – P2R), mutatóként meghatározva. Ezeket a felügyeleti felülvizsgálati és értékelési eljárásra vonatkozó egységes eljárásokról és módszerekről és a felügyeleti stressztesztekről szóló EBH-iránymutatásokban (EBA SREP GL) meghatározott kritériumokkal összhangban kell meghatározni.</w:t>
            </w:r>
          </w:p>
          <w:p w:rsidR="009C083D" w:rsidRPr="00661595" w:rsidRDefault="009C083D" w:rsidP="00487A02">
            <w:pPr>
              <w:pStyle w:val="InstructionsText"/>
            </w:pPr>
            <w:r>
              <w:t>Ebben a tételben a teljes-SREP-tőkekövetelmény-mutatót (TSCR) kell megjeleníteni, amint azt az illetékes hatóság az intézménnyel közölte. A TSCR fogalommeghatározása az EBA SREP GL 7.4. és 7.5. szakaszában található.</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Ha az illetékes hatóság nem közölt kiegészítő szavatolótőke-követelményeket, akkor csak az i. pontot kell jelenteni.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CET1 tőkekövetelmény-mutató </w:t>
            </w:r>
          </w:p>
          <w:p w:rsidR="009C083D" w:rsidRPr="00661595" w:rsidRDefault="009C083D" w:rsidP="00487A02">
            <w:pPr>
              <w:pStyle w:val="InstructionsText"/>
            </w:pPr>
            <w:r>
              <w:t>Az i. és ii. összege a következők szerint:</w:t>
            </w:r>
          </w:p>
          <w:p w:rsidR="009C083D" w:rsidRPr="00661595" w:rsidRDefault="009C083D" w:rsidP="00487A02">
            <w:pPr>
              <w:pStyle w:val="InstructionsText"/>
              <w:numPr>
                <w:ilvl w:val="0"/>
                <w:numId w:val="21"/>
              </w:numPr>
            </w:pPr>
            <w:r>
              <w:lastRenderedPageBreak/>
              <w:t>a CRR 92. cikke (1) bekezdésének a) pontjában meghatározott elsődleges alapvető tőkemegfelelési mutató (4,5 %);</w:t>
            </w:r>
          </w:p>
          <w:p w:rsidR="0002157C" w:rsidRPr="00661595" w:rsidRDefault="009C083D" w:rsidP="00487A02">
            <w:pPr>
              <w:pStyle w:val="InstructionsText"/>
              <w:numPr>
                <w:ilvl w:val="0"/>
                <w:numId w:val="21"/>
              </w:numPr>
              <w:rPr>
                <w:b/>
                <w:bCs/>
                <w:u w:val="single"/>
              </w:rPr>
            </w:pPr>
            <w:r>
              <w:t>a 0130 sor ii. pontjában említett P2R mutató azon része, amely az illetékes hatóság által előírtak szerint CET1 tőke formájában tartandó.</w:t>
            </w:r>
          </w:p>
          <w:p w:rsidR="009C083D" w:rsidRPr="00661595" w:rsidRDefault="00FF2818" w:rsidP="00487A02">
            <w:pPr>
              <w:pStyle w:val="InstructionsText"/>
              <w:rPr>
                <w:rStyle w:val="InstructionsTabelleberschrift"/>
                <w:rFonts w:ascii="Times New Roman" w:hAnsi="Times New Roman"/>
                <w:sz w:val="24"/>
              </w:rPr>
            </w:pPr>
            <w:r>
              <w:t>Ha az illetékes hatóság nem közölt CET1 tőke formájában fenntartandó kiegészítő szavatolótőke-követelményeket, akkor csak az i. pontot kell jelenteni.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lastRenderedPageBreak/>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T1 tőkekövetelmény-mutató</w:t>
            </w:r>
          </w:p>
          <w:p w:rsidR="009C083D" w:rsidRPr="00661595" w:rsidRDefault="009C083D" w:rsidP="00487A02">
            <w:pPr>
              <w:pStyle w:val="InstructionsText"/>
            </w:pPr>
            <w:r>
              <w:t>Az i. és ii. összege a következők szerint:</w:t>
            </w:r>
          </w:p>
          <w:p w:rsidR="009C083D" w:rsidRPr="00661595" w:rsidRDefault="009C083D" w:rsidP="00487A02">
            <w:pPr>
              <w:pStyle w:val="InstructionsText"/>
              <w:numPr>
                <w:ilvl w:val="0"/>
                <w:numId w:val="22"/>
              </w:numPr>
            </w:pPr>
            <w:r>
              <w:t>a CRR 92. cikke (1) bekezdésének b) pontjában meghatározott alapvető tőkemegfelelési mutató (6 %);</w:t>
            </w:r>
          </w:p>
          <w:p w:rsidR="009C083D" w:rsidRPr="00661595" w:rsidRDefault="009C083D" w:rsidP="00487A02">
            <w:pPr>
              <w:pStyle w:val="InstructionsText"/>
              <w:numPr>
                <w:ilvl w:val="0"/>
                <w:numId w:val="22"/>
              </w:numPr>
              <w:rPr>
                <w:bCs/>
                <w:u w:val="single"/>
              </w:rPr>
            </w:pPr>
            <w:r>
              <w:t>a 0130 sor ii. pontjában említett P2R mutató azon része, amely az illetékes hatóság által előírtak szerint alapvető tőke formájában tartandó.</w:t>
            </w:r>
          </w:p>
          <w:p w:rsidR="00DA6CB8" w:rsidRPr="00661595" w:rsidRDefault="00FF2818" w:rsidP="00487A02">
            <w:pPr>
              <w:pStyle w:val="InstructionsText"/>
              <w:rPr>
                <w:rStyle w:val="InstructionsTabelleberschrift"/>
                <w:rFonts w:ascii="Times New Roman" w:hAnsi="Times New Roman"/>
                <w:b w:val="0"/>
                <w:sz w:val="24"/>
              </w:rPr>
            </w:pPr>
            <w:r>
              <w:t>Ha az illetékes hatóság nem közölt T1 tőke formájában fenntartandó kiegészítő szavatolótőke-követelményeket, akkor csak az i. pontot kell jelenteni.</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Teljestőkekövetelmény-mutató (OCR-mutató)</w:t>
            </w:r>
          </w:p>
          <w:p w:rsidR="009C083D" w:rsidRPr="00661595" w:rsidRDefault="009C083D" w:rsidP="00487A02">
            <w:pPr>
              <w:pStyle w:val="InstructionsText"/>
            </w:pPr>
            <w:r>
              <w:t>Az i. és ii. összege a következők szerint:</w:t>
            </w:r>
          </w:p>
          <w:p w:rsidR="009C083D" w:rsidRPr="00661595" w:rsidRDefault="009C083D" w:rsidP="00487A02">
            <w:pPr>
              <w:pStyle w:val="InstructionsText"/>
              <w:numPr>
                <w:ilvl w:val="0"/>
                <w:numId w:val="23"/>
              </w:numPr>
            </w:pPr>
            <w:r>
              <w:t>a 0130. sorban említett TSCR mutató;</w:t>
            </w:r>
          </w:p>
          <w:p w:rsidR="009C083D" w:rsidRPr="00661595" w:rsidRDefault="009C083D" w:rsidP="00487A02">
            <w:pPr>
              <w:pStyle w:val="InstructionsText"/>
              <w:numPr>
                <w:ilvl w:val="0"/>
                <w:numId w:val="23"/>
              </w:numPr>
            </w:pPr>
            <w:r>
              <w:t>amennyiben jogilag alkalmazandó, a CRD 128. cikkének 6. pontjában említett kombinált pufferkövetelmény mutatója.</w:t>
            </w:r>
          </w:p>
          <w:p w:rsidR="005B54BB" w:rsidRPr="00661595" w:rsidRDefault="009C083D" w:rsidP="00487A02">
            <w:pPr>
              <w:pStyle w:val="InstructionsText"/>
            </w:pPr>
            <w:r>
              <w:t>Ebben a tételben az EBA SREP GL 7.5. szakaszában meghatározott teljestőkekövetelmény-mutatót (OCR) kell megjeleníteni.</w:t>
            </w:r>
          </w:p>
          <w:p w:rsidR="00645573" w:rsidRPr="00661595" w:rsidRDefault="00FF2818" w:rsidP="00487A02">
            <w:pPr>
              <w:pStyle w:val="InstructionsText"/>
              <w:rPr>
                <w:rStyle w:val="InstructionsTabelleberschrift"/>
                <w:rFonts w:ascii="Times New Roman" w:hAnsi="Times New Roman"/>
                <w:sz w:val="24"/>
              </w:rPr>
            </w:pPr>
            <w:r>
              <w:t>Ha nem alkalmazandó pufferkövetelmény, csak az i. pontot kell feltüntetni.</w:t>
            </w:r>
          </w:p>
        </w:tc>
      </w:tr>
      <w:tr w:rsidR="009C083D" w:rsidRPr="00661595" w:rsidTr="003E47C5">
        <w:tc>
          <w:tcPr>
            <w:tcW w:w="1163" w:type="dxa"/>
          </w:tcPr>
          <w:p w:rsidR="009C083D" w:rsidRPr="00661595" w:rsidRDefault="00B13F06" w:rsidP="00487A02">
            <w:pPr>
              <w:pStyle w:val="InstructionsText"/>
            </w:pPr>
            <w:r>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CET1 tőkekövetelmény-mutató </w:t>
            </w:r>
          </w:p>
          <w:p w:rsidR="009C083D" w:rsidRPr="00661595" w:rsidRDefault="009C083D" w:rsidP="00487A02">
            <w:pPr>
              <w:pStyle w:val="InstructionsText"/>
            </w:pPr>
            <w:r>
              <w:t>Az i. és ii. összege a következők szerint:</w:t>
            </w:r>
          </w:p>
          <w:p w:rsidR="009C083D" w:rsidRPr="00661595" w:rsidRDefault="009C083D" w:rsidP="00487A02">
            <w:pPr>
              <w:pStyle w:val="InstructionsText"/>
              <w:numPr>
                <w:ilvl w:val="0"/>
                <w:numId w:val="24"/>
              </w:numPr>
            </w:pPr>
            <w:r>
              <w:t>a 0140. sorban említett CET1 tőkéből képzendő TSCR mutató;</w:t>
            </w:r>
          </w:p>
          <w:p w:rsidR="009C083D" w:rsidRPr="00661595" w:rsidRDefault="009C083D" w:rsidP="00487A02">
            <w:pPr>
              <w:pStyle w:val="InstructionsText"/>
              <w:numPr>
                <w:ilvl w:val="0"/>
                <w:numId w:val="24"/>
              </w:numPr>
              <w:rPr>
                <w:bCs/>
                <w:u w:val="single"/>
              </w:rPr>
            </w:pPr>
            <w:r>
              <w:t>amennyiben jogilag alkalmazandó, a CRD 128. cikkének 6. pontjában említett kombinált pufferkövetelmény mutatója.</w:t>
            </w:r>
          </w:p>
          <w:p w:rsidR="00BA325A" w:rsidRPr="00661595" w:rsidRDefault="00FF2818" w:rsidP="00487A02">
            <w:pPr>
              <w:pStyle w:val="InstructionsText"/>
              <w:rPr>
                <w:rStyle w:val="InstructionsTabelleberschrift"/>
                <w:rFonts w:ascii="Times New Roman" w:hAnsi="Times New Roman"/>
                <w:b w:val="0"/>
                <w:sz w:val="24"/>
              </w:rPr>
            </w:pPr>
            <w:r>
              <w:t>Ha nem alkalmazandó pufferkövetelmény, csak az i. pontot kell feltüntetni.</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T1 tőkekövetelmény-mutató</w:t>
            </w:r>
          </w:p>
          <w:p w:rsidR="009C083D" w:rsidRPr="00661595" w:rsidRDefault="009C083D" w:rsidP="00487A02">
            <w:pPr>
              <w:pStyle w:val="InstructionsText"/>
            </w:pPr>
            <w:r>
              <w:t>Az i. és ii. összege a következők szerint:</w:t>
            </w:r>
          </w:p>
          <w:p w:rsidR="009C083D" w:rsidRPr="00661595" w:rsidRDefault="009C083D" w:rsidP="00487A02">
            <w:pPr>
              <w:pStyle w:val="InstructionsText"/>
              <w:numPr>
                <w:ilvl w:val="0"/>
                <w:numId w:val="25"/>
              </w:numPr>
            </w:pPr>
            <w:r>
              <w:t>a 0150. sorban említett alapvető tőkéből képzendő TSCR mutató;</w:t>
            </w:r>
          </w:p>
          <w:p w:rsidR="009C083D" w:rsidRPr="00661595" w:rsidRDefault="009C083D" w:rsidP="00487A02">
            <w:pPr>
              <w:pStyle w:val="InstructionsText"/>
              <w:numPr>
                <w:ilvl w:val="0"/>
                <w:numId w:val="25"/>
              </w:numPr>
              <w:rPr>
                <w:bCs/>
                <w:u w:val="single"/>
              </w:rPr>
            </w:pPr>
            <w:r>
              <w:t>amennyiben jogilag alkalmazandó, a CRD 128. cikkének 6. pontjában említett kombinált pufferkövetelmény mutatója.</w:t>
            </w:r>
          </w:p>
          <w:p w:rsidR="00BA325A" w:rsidRPr="00661595" w:rsidRDefault="00FF2818" w:rsidP="00487A02">
            <w:pPr>
              <w:pStyle w:val="InstructionsText"/>
              <w:rPr>
                <w:rStyle w:val="InstructionsTabelleberschrift"/>
                <w:rFonts w:ascii="Times New Roman" w:hAnsi="Times New Roman"/>
                <w:b w:val="0"/>
                <w:sz w:val="24"/>
              </w:rPr>
            </w:pPr>
            <w:r>
              <w:t>Ha nem alkalmazandó pufferkövetelmény, csak az i. pontot kell feltüntetni.</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OCR és 2. pillér szerinti tőke-iránymutatás (P2G) tőkekövetelmény-mutató</w:t>
            </w:r>
          </w:p>
          <w:p w:rsidR="009C083D" w:rsidRPr="00661595" w:rsidRDefault="009C083D" w:rsidP="00487A02">
            <w:pPr>
              <w:pStyle w:val="InstructionsText"/>
            </w:pPr>
            <w:r>
              <w:t>Az i. és ii. összege a következők szerint:</w:t>
            </w:r>
          </w:p>
          <w:p w:rsidR="009C083D" w:rsidRPr="00661595" w:rsidRDefault="009C083D" w:rsidP="00487A02">
            <w:pPr>
              <w:pStyle w:val="InstructionsText"/>
              <w:numPr>
                <w:ilvl w:val="0"/>
                <w:numId w:val="26"/>
              </w:numPr>
            </w:pPr>
            <w:r>
              <w:lastRenderedPageBreak/>
              <w:t>a 160. sorban említett OCR mutató;</w:t>
            </w:r>
          </w:p>
          <w:p w:rsidR="009C083D" w:rsidRPr="00661595" w:rsidRDefault="009C083D" w:rsidP="00487A02">
            <w:pPr>
              <w:pStyle w:val="InstructionsText"/>
              <w:numPr>
                <w:ilvl w:val="0"/>
                <w:numId w:val="26"/>
              </w:numPr>
              <w:rPr>
                <w:bCs/>
                <w:u w:val="single"/>
              </w:rPr>
            </w:pPr>
            <w:r>
              <w:t>adott esetben az illetékes hatóság által a kiegészítő szavatolótőkére vonatkozóan közölt, a CRD 104b. cikkének (3) bekezdésében említett iránymutatás (2. pillérre vonatkozó iránymutatás – P2G), mutatóként meghatározva. Ezeket az EBA SREP GL 7.7.1. szakasza szerint kell meghatározni. A P2G-t csak akkor kell feltüntetni, ha azt az illetékes hatóság közli az intézménnyel.</w:t>
            </w:r>
          </w:p>
          <w:p w:rsidR="0047693D" w:rsidRPr="00661595" w:rsidRDefault="00FF2818" w:rsidP="00487A02">
            <w:pPr>
              <w:pStyle w:val="InstructionsText"/>
              <w:rPr>
                <w:rStyle w:val="InstructionsTabelleberschrift"/>
                <w:rFonts w:ascii="Times New Roman" w:hAnsi="Times New Roman"/>
                <w:b w:val="0"/>
                <w:sz w:val="24"/>
              </w:rPr>
            </w:pPr>
            <w:r>
              <w:t xml:space="preserve">Ha az illetékes hatóság nem közölt ilyen iránymutatást, akkor csak az i. pontot kell jelenteni.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lastRenderedPageBreak/>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és P2G: CET1 tőkekövetelmény-mutató </w:t>
            </w:r>
          </w:p>
          <w:p w:rsidR="009C083D" w:rsidRPr="00661595" w:rsidRDefault="009C083D" w:rsidP="00487A02">
            <w:pPr>
              <w:pStyle w:val="InstructionsText"/>
            </w:pPr>
            <w:r>
              <w:t>Az i. és ii. összege a következők szerint:</w:t>
            </w:r>
          </w:p>
          <w:p w:rsidR="009C083D" w:rsidRPr="00661595" w:rsidRDefault="009C083D" w:rsidP="00487A02">
            <w:pPr>
              <w:pStyle w:val="InstructionsText"/>
              <w:numPr>
                <w:ilvl w:val="0"/>
                <w:numId w:val="27"/>
              </w:numPr>
            </w:pPr>
            <w:r>
              <w:t>a 0170. sorban említett CET1 tőkéből képzendő OCR mutató;</w:t>
            </w:r>
          </w:p>
          <w:p w:rsidR="009C083D" w:rsidRPr="00661595" w:rsidRDefault="009C083D" w:rsidP="00487A02">
            <w:pPr>
              <w:pStyle w:val="InstructionsText"/>
              <w:numPr>
                <w:ilvl w:val="0"/>
                <w:numId w:val="27"/>
              </w:numPr>
              <w:rPr>
                <w:bCs/>
                <w:u w:val="single"/>
              </w:rPr>
            </w:pPr>
            <w:r>
              <w:t>ahol alkalmazandó, a 0190. sor ii. pontjában említett P2G azon része, amely az illetékes hatóság által előírtak szerint CET1 tőke formájában tartandó. A P2G-t csak akkor kell feltüntetni, ha azt az illetékes hatóság közli az intézménnyel.</w:t>
            </w:r>
          </w:p>
          <w:p w:rsidR="0047693D" w:rsidRPr="00661595" w:rsidRDefault="00FF2818" w:rsidP="00487A02">
            <w:pPr>
              <w:pStyle w:val="InstructionsText"/>
              <w:rPr>
                <w:rStyle w:val="InstructionsTabelleberschrift"/>
                <w:rFonts w:ascii="Times New Roman" w:hAnsi="Times New Roman"/>
                <w:b w:val="0"/>
                <w:sz w:val="24"/>
              </w:rPr>
            </w:pPr>
            <w:r>
              <w:t>Ha az illetékes hatóság nem közölt ilyen iránymutatást, akkor csak az i. pontot kell jelenteni.</w:t>
            </w:r>
          </w:p>
        </w:tc>
      </w:tr>
      <w:tr w:rsidR="009C083D" w:rsidRPr="00661595" w:rsidTr="003E47C5">
        <w:tc>
          <w:tcPr>
            <w:tcW w:w="1163" w:type="dxa"/>
          </w:tcPr>
          <w:p w:rsidR="009C083D" w:rsidRPr="00661595" w:rsidRDefault="00B13F06" w:rsidP="00487A02">
            <w:pPr>
              <w:pStyle w:val="InstructionsText"/>
            </w:pPr>
            <w:r>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és P2G: T1 tőkekövetelmény-mutató </w:t>
            </w:r>
          </w:p>
          <w:p w:rsidR="009C083D" w:rsidRPr="00661595" w:rsidRDefault="009C083D" w:rsidP="00487A02">
            <w:pPr>
              <w:pStyle w:val="InstructionsText"/>
            </w:pPr>
            <w:r>
              <w:t>Az i. és ii. összege a következők szerint:</w:t>
            </w:r>
          </w:p>
          <w:p w:rsidR="009C083D" w:rsidRPr="00661595" w:rsidRDefault="009C083D" w:rsidP="00487A02">
            <w:pPr>
              <w:pStyle w:val="InstructionsText"/>
              <w:numPr>
                <w:ilvl w:val="0"/>
                <w:numId w:val="28"/>
              </w:numPr>
            </w:pPr>
            <w:r>
              <w:t>a 0180. sorban említett alapvető tőkéből képzendő OCR mutató;</w:t>
            </w:r>
          </w:p>
          <w:p w:rsidR="009C083D" w:rsidRPr="00661595" w:rsidRDefault="009C083D" w:rsidP="00487A02">
            <w:pPr>
              <w:pStyle w:val="InstructionsText"/>
              <w:numPr>
                <w:ilvl w:val="0"/>
                <w:numId w:val="28"/>
              </w:numPr>
            </w:pPr>
            <w:r>
              <w:t>ahol alkalmazandó, a 0190. sor ii. pontjában említett P2G azon része, amely az illetékes hatóság által előírtak szerint alapvető tőke formájában tartandó. A P2G-t csak akkor kell feltüntetni, ha azt az illetékes hatóság közli az intézménnyel.</w:t>
            </w:r>
          </w:p>
          <w:p w:rsidR="0047693D" w:rsidRPr="00661595" w:rsidRDefault="00FF2818" w:rsidP="00487A02">
            <w:pPr>
              <w:pStyle w:val="InstructionsText"/>
              <w:rPr>
                <w:rStyle w:val="InstructionsTabelleberschrift"/>
                <w:rFonts w:ascii="Times New Roman" w:hAnsi="Times New Roman"/>
                <w:b w:val="0"/>
                <w:bCs w:val="0"/>
                <w:sz w:val="24"/>
                <w:u w:val="none"/>
              </w:rPr>
            </w:pPr>
            <w:r>
              <w:t>Ha az illetékes hatóság nem közölt ilyen iránymutatást, akkor csak az i. pontot kell jelenteni.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CET1 tőke többlete (+)/hiánya (–), figyelembe véve a CRR 92. cikkében és a CRD 104a. cikkében foglalt követelményeket</w:t>
            </w:r>
          </w:p>
          <w:p w:rsidR="00477C45" w:rsidRPr="00661595" w:rsidRDefault="00477C45" w:rsidP="00487A02">
            <w:pPr>
              <w:pStyle w:val="InstructionsText"/>
            </w:pPr>
            <w:r>
              <w:t>Ez a tétel abszolút értékben mutatja a CET1 tőketöbblet vagy -hiány összegét a CRR 92. cikke (1) bekezdésének a) pontjában (4,5 %) és a CRD 104a. cikkében meghatározott követelményekhez kapcsolódóan, abban a mértékben, amelyben a CRD 104a. cikkében foglalt követelményt CET1 tőkével kell teljesíteni. Amennyiben az intézménynek a CRR 92. cikke (1) bekezdésének b) és/vagy c) pontjában és/vagy a CRD 104a. cikkében foglalt követelmények teljesítéséhez az utóbbi CET1 tőkével való teljesítéséhez szükséges mértéken túl kell CET1 tőkét felhasználnia, a jelentett többletnek vagy hiánynak ezt figyelembe kell vennie.</w:t>
            </w:r>
          </w:p>
          <w:p w:rsidR="00477C45" w:rsidRPr="00661595" w:rsidRDefault="00477C45" w:rsidP="00487A02">
            <w:pPr>
              <w:pStyle w:val="InstructionsText"/>
              <w:rPr>
                <w:rStyle w:val="InstructionsTabelleberschrift"/>
                <w:rFonts w:ascii="Times New Roman" w:hAnsi="Times New Roman"/>
                <w:sz w:val="24"/>
              </w:rPr>
            </w:pPr>
            <w:r>
              <w:t>Ez az összeg a kombinált pufferkövetelmény és az egyéb követelmények teljesítéséhez rendelkezésre álló CET1 tőkét tükrözi.</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bCs/>
              </w:rPr>
              <w:t>CET1 tőkemegfelelési mutató az IFRS 9 standardra vonatkozó átmeneti rendelkezések alkalmazása nélkül</w:t>
            </w:r>
          </w:p>
          <w:p w:rsidR="00845551" w:rsidRPr="00661595" w:rsidRDefault="00845551" w:rsidP="00845551">
            <w:pPr>
              <w:pStyle w:val="InstructionsText"/>
              <w:rPr>
                <w:rStyle w:val="InstructionsTabelleberschrift"/>
                <w:rFonts w:ascii="Times New Roman" w:hAnsi="Times New Roman"/>
                <w:sz w:val="24"/>
              </w:rPr>
            </w:pPr>
            <w:r>
              <w:lastRenderedPageBreak/>
              <w:t xml:space="preserve">A CRR 92. cikke (2) bekezdésének a) pontja, valamint </w:t>
            </w:r>
            <w:r>
              <w:rPr>
                <w:rStyle w:val="InstructionsTabelleberschrift"/>
                <w:rFonts w:ascii="Times New Roman" w:hAnsi="Times New Roman"/>
                <w:b w:val="0"/>
                <w:sz w:val="24"/>
              </w:rPr>
              <w:t>473a. cikkének (8) bekezdése</w:t>
            </w:r>
          </w:p>
        </w:tc>
      </w:tr>
      <w:tr w:rsidR="00845551" w:rsidRPr="00661595" w:rsidTr="003E47C5">
        <w:tc>
          <w:tcPr>
            <w:tcW w:w="1163" w:type="dxa"/>
          </w:tcPr>
          <w:p w:rsidR="00845551" w:rsidRPr="00661595" w:rsidRDefault="00845551" w:rsidP="00845551">
            <w:pPr>
              <w:pStyle w:val="InstructionsText"/>
            </w:pPr>
            <w:r>
              <w:lastRenderedPageBreak/>
              <w:t>0310</w:t>
            </w:r>
          </w:p>
        </w:tc>
        <w:tc>
          <w:tcPr>
            <w:tcW w:w="7620" w:type="dxa"/>
          </w:tcPr>
          <w:p w:rsidR="00845551" w:rsidRDefault="00845551" w:rsidP="00845551">
            <w:pPr>
              <w:pStyle w:val="InstructionsText"/>
            </w:pPr>
            <w:r>
              <w:rPr>
                <w:b/>
              </w:rPr>
              <w:t>T1 tőkemegfelelési mutató az IFRS 9 standardra vonatkozó átmeneti rendelkezések alkalmazása nélkül</w:t>
            </w:r>
          </w:p>
          <w:p w:rsidR="00845551" w:rsidRPr="00661595" w:rsidRDefault="00845551" w:rsidP="00845551">
            <w:pPr>
              <w:pStyle w:val="InstructionsText"/>
              <w:rPr>
                <w:rStyle w:val="InstructionsTabelleberschrift"/>
                <w:rFonts w:ascii="Times New Roman" w:hAnsi="Times New Roman"/>
                <w:sz w:val="24"/>
              </w:rPr>
            </w:pPr>
            <w:r>
              <w:t xml:space="preserve">A CRR 92. cikke (2) bekezdésének b) pontja, valamint </w:t>
            </w:r>
            <w:r>
              <w:rPr>
                <w:rStyle w:val="InstructionsTabelleberschrift"/>
                <w:rFonts w:ascii="Times New Roman" w:hAnsi="Times New Roman"/>
                <w:b w:val="0"/>
                <w:sz w:val="24"/>
              </w:rPr>
              <w:t>473a. cikkének (8) bekezdése</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bCs/>
              </w:rPr>
              <w:t>Teljes tőkemegfelelési mutató az IFRS 9 standardra vonatkozó átmeneti rendelkezések alkalmazása nélkül</w:t>
            </w:r>
          </w:p>
          <w:p w:rsidR="00845551" w:rsidRPr="00661595" w:rsidRDefault="00845551" w:rsidP="00845551">
            <w:pPr>
              <w:pStyle w:val="InstructionsText"/>
              <w:rPr>
                <w:rStyle w:val="InstructionsTabelleberschrift"/>
                <w:rFonts w:ascii="Times New Roman" w:hAnsi="Times New Roman"/>
                <w:sz w:val="24"/>
              </w:rPr>
            </w:pPr>
            <w:r>
              <w:t xml:space="preserve">A CRR 92. cikke (2) bekezdésének c) pontja, valamint </w:t>
            </w:r>
            <w:r>
              <w:rPr>
                <w:rStyle w:val="InstructionsTabelleberschrift"/>
                <w:rFonts w:ascii="Times New Roman" w:hAnsi="Times New Roman"/>
                <w:b w:val="0"/>
                <w:sz w:val="24"/>
              </w:rPr>
              <w:t>473a. cikkének (8) bekezdése</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0" w:name="_Toc473560879"/>
      <w:bookmarkStart w:id="61" w:name="_Toc58858574"/>
      <w:bookmarkStart w:id="62" w:name="_Toc308175830"/>
      <w:bookmarkStart w:id="63" w:name="_Toc360188331"/>
      <w:r>
        <w:rPr>
          <w:rFonts w:ascii="Times New Roman" w:hAnsi="Times New Roman"/>
          <w:sz w:val="24"/>
          <w:u w:val="none"/>
        </w:rPr>
        <w:t>1.5.</w:t>
      </w:r>
      <w:r w:rsidRPr="00774DB7">
        <w:rPr>
          <w:u w:val="none"/>
        </w:rPr>
        <w:tab/>
      </w:r>
      <w:r>
        <w:rPr>
          <w:rFonts w:ascii="Times New Roman" w:hAnsi="Times New Roman"/>
          <w:sz w:val="24"/>
        </w:rPr>
        <w:t>C 04.00 – TÁJÉKOZTATÓ ADATOK (CA4)</w:t>
      </w:r>
      <w:bookmarkEnd w:id="60"/>
      <w:bookmarkEnd w:id="61"/>
      <w:r>
        <w:rPr>
          <w:rFonts w:ascii="Times New Roman" w:hAnsi="Times New Roman"/>
          <w:sz w:val="24"/>
        </w:rPr>
        <w:t xml:space="preserve"> </w:t>
      </w:r>
      <w:bookmarkEnd w:id="62"/>
      <w:bookmarkEnd w:id="6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4" w:name="_Toc310414974"/>
      <w:bookmarkStart w:id="65" w:name="_Toc360188332"/>
      <w:bookmarkStart w:id="66" w:name="_Toc473560880"/>
      <w:bookmarkStart w:id="67" w:name="_Toc58858575"/>
      <w:r>
        <w:rPr>
          <w:rFonts w:ascii="Times New Roman" w:hAnsi="Times New Roman"/>
          <w:sz w:val="24"/>
          <w:u w:val="none"/>
        </w:rPr>
        <w:t>1.5.1.</w:t>
      </w:r>
      <w:r w:rsidRPr="00774DB7">
        <w:rPr>
          <w:u w:val="none"/>
        </w:rPr>
        <w:tab/>
      </w:r>
      <w:bookmarkStart w:id="68" w:name="_Toc308175831"/>
      <w:r>
        <w:rPr>
          <w:rFonts w:ascii="Times New Roman" w:hAnsi="Times New Roman"/>
          <w:sz w:val="24"/>
        </w:rPr>
        <w:t xml:space="preserve">A tábla egyes részeire vonatkozó </w:t>
      </w:r>
      <w:bookmarkEnd w:id="64"/>
      <w:bookmarkEnd w:id="68"/>
      <w:r>
        <w:rPr>
          <w:rFonts w:ascii="Times New Roman" w:hAnsi="Times New Roman"/>
          <w:sz w:val="24"/>
        </w:rPr>
        <w:t>útmutató</w:t>
      </w:r>
      <w:bookmarkEnd w:id="65"/>
      <w:bookmarkEnd w:id="66"/>
      <w:bookmarkEnd w:id="67"/>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Sorok</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Halasztott adókövetelések összesen</w:t>
            </w:r>
          </w:p>
          <w:p w:rsidR="005643EA" w:rsidRPr="00661595" w:rsidRDefault="002648B0" w:rsidP="00487A02">
            <w:pPr>
              <w:pStyle w:val="InstructionsText"/>
            </w:pPr>
            <w:r>
              <w:t>Az e tételben megadott érték megegyezik a legújabb ellenőrzött/hitelesített számviteli mérlegben szereplő összeggel.</w:t>
            </w:r>
          </w:p>
        </w:tc>
      </w:tr>
      <w:tr w:rsidR="002648B0" w:rsidRPr="00661595" w:rsidTr="00674BF5">
        <w:tc>
          <w:tcPr>
            <w:tcW w:w="1474" w:type="dxa"/>
          </w:tcPr>
          <w:p w:rsidR="002648B0" w:rsidRPr="00661595" w:rsidRDefault="00B13F06" w:rsidP="00487A02">
            <w:pPr>
              <w:pStyle w:val="InstructionsText"/>
            </w:pPr>
            <w:r>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Nem a jövőbeli nyereségtől függően érvényesíthető halasztott adókövetelések</w:t>
            </w:r>
          </w:p>
          <w:p w:rsidR="005643EA" w:rsidRPr="00661595" w:rsidRDefault="002648B0" w:rsidP="00487A02">
            <w:pPr>
              <w:pStyle w:val="InstructionsText"/>
            </w:pPr>
            <w:r>
              <w:t>A CRR 39. cikkének (2) bekezdése</w:t>
            </w:r>
          </w:p>
          <w:p w:rsidR="005643EA" w:rsidRPr="00661595" w:rsidRDefault="002648B0" w:rsidP="00487A02">
            <w:pPr>
              <w:pStyle w:val="InstructionsText"/>
            </w:pPr>
            <w:r>
              <w:t>A 2016. november 23. előtt keletkezett és nem a jövőbeli nyereségtől függően érvényesíthető halasztott adókövetelések, amelyekre kockázati súlyt kell alkalmazni.</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Jövőbeli nyereségtől függően érvényesíthető, nem átmeneti különbözetből eredő halasztott adókövetelések</w:t>
            </w:r>
          </w:p>
          <w:p w:rsidR="005643EA" w:rsidRPr="00661595" w:rsidRDefault="0014657C" w:rsidP="00487A02">
            <w:pPr>
              <w:pStyle w:val="InstructionsText"/>
            </w:pPr>
            <w:r>
              <w:t>A CRR 36. cikke (1) bekezdésének c) pontja, valamint 38. cikke</w:t>
            </w:r>
          </w:p>
          <w:p w:rsidR="005643EA" w:rsidRPr="00661595" w:rsidRDefault="002648B0" w:rsidP="00487A02">
            <w:pPr>
              <w:pStyle w:val="InstructionsText"/>
            </w:pPr>
            <w:r>
              <w:t>Jövőbeli nyereségtől függően érvényesíthető halasztott adókövetelések, amelyek nem átmeneti különbözetből erednek, így küszöbérték nem vonatkozik rájuk, vagyis a CET1 tőkéből teljes összegben levonandók.</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Jövőbeli nyereségtől függően érvényesíthető, átmeneti különbözetből eredő halasztott adókövetelések</w:t>
            </w:r>
          </w:p>
          <w:p w:rsidR="005643EA" w:rsidRPr="00661595" w:rsidRDefault="0014657C" w:rsidP="00487A02">
            <w:pPr>
              <w:pStyle w:val="InstructionsText"/>
            </w:pPr>
            <w:r>
              <w:t>A CRR 36. cikke (1) bekezdésének c) pontja, 38. cikke és 48. cikke (1) bekezdésének a) pontja</w:t>
            </w:r>
          </w:p>
          <w:p w:rsidR="005643EA" w:rsidRPr="00661595" w:rsidRDefault="002648B0" w:rsidP="00487A02">
            <w:pPr>
              <w:pStyle w:val="InstructionsText"/>
            </w:pPr>
            <w:r>
              <w:t>Jövőbeli nyereségtől függően érvényesíthető halasztott adókövetelések, amelyek átmeneti különbözetből erednek, így a CET1 tőkéből való levonásukkor a CRR 48. cikkében rögzített 10 %, illetve 17,65 %-os küszöböt kell alkalmazni.</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Halasztott adókötelezettségek összesen</w:t>
            </w:r>
          </w:p>
          <w:p w:rsidR="005643EA" w:rsidRPr="00661595" w:rsidRDefault="002648B0" w:rsidP="00487A02">
            <w:pPr>
              <w:pStyle w:val="InstructionsText"/>
            </w:pPr>
            <w:r>
              <w:lastRenderedPageBreak/>
              <w:t>Az e tételben megadott érték megegyezik a legutóbbi ellenőrzött/hitelesített számviteli mérlegben szereplő összeggel.</w:t>
            </w:r>
          </w:p>
        </w:tc>
      </w:tr>
      <w:tr w:rsidR="002648B0" w:rsidRPr="00661595" w:rsidTr="00674BF5">
        <w:tc>
          <w:tcPr>
            <w:tcW w:w="1474" w:type="dxa"/>
          </w:tcPr>
          <w:p w:rsidR="002648B0" w:rsidRPr="00661595" w:rsidRDefault="00B13F06" w:rsidP="00487A02">
            <w:pPr>
              <w:pStyle w:val="InstructionsText"/>
            </w:pPr>
            <w:r>
              <w:lastRenderedPageBreak/>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Jövőbeli nyereségtől függően érvényesíthető, halasztott adókövetelésekhez kapcsolódó, nem levonható halasztott adókötelezettségek</w:t>
            </w:r>
          </w:p>
          <w:p w:rsidR="005643EA" w:rsidRPr="00661595" w:rsidRDefault="00167619" w:rsidP="00487A02">
            <w:pPr>
              <w:pStyle w:val="InstructionsText"/>
            </w:pPr>
            <w:r>
              <w:t>A CRR 38. cikkének (3) és (4) bekezdése</w:t>
            </w:r>
          </w:p>
          <w:p w:rsidR="005643EA" w:rsidRPr="00661595" w:rsidRDefault="002648B0" w:rsidP="00487A02">
            <w:pPr>
              <w:pStyle w:val="InstructionsText"/>
            </w:pPr>
            <w:r>
              <w:t>Azok a halasztott adókötelezettségek, amelyek esetében a CRR 38. cikkének (3) és (4) bekezdésében foglalt feltételek nem teljesülnek. Így a tétel magában foglalja az olyan halasztott adókötelezettségeket, amelyek csökkentik a levonandó cégérték, egyéb immateriális javak vagy meghatározott szolgáltatást nyújtó nyugdíjalapban lévő eszközöknek az 1.1.1.10.3., 1.1.1.11.2., illetve 1.1.1.14.2. CA1-tételben megadott összegét.</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Jövőbeli nyereségtől függően érvényesíthető, halasztott adókövetelésekhez kapcsolódó, levonható halasztott adókötelezettségek</w:t>
            </w:r>
          </w:p>
          <w:p w:rsidR="005643EA" w:rsidRPr="00661595" w:rsidRDefault="002648B0" w:rsidP="00487A02">
            <w:pPr>
              <w:pStyle w:val="InstructionsText"/>
            </w:pPr>
            <w:r>
              <w:t>A CRR 38. cikke</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Nem átmeneti különbözetből eredő, jövőbeli nyereségtől függően érvényesíthető, halasztott adókövetelésekhez kapcsolódó, levonható halasztott adókötelezettségek</w:t>
            </w:r>
          </w:p>
          <w:p w:rsidR="005643EA" w:rsidRPr="00661595" w:rsidRDefault="00167619" w:rsidP="00487A02">
            <w:pPr>
              <w:pStyle w:val="InstructionsText"/>
            </w:pPr>
            <w:r>
              <w:t>A CRR 38. cikkének (3), (4) és (5) bekezdése</w:t>
            </w:r>
          </w:p>
          <w:p w:rsidR="005643EA" w:rsidRPr="00661595" w:rsidRDefault="002648B0" w:rsidP="00487A02">
            <w:pPr>
              <w:pStyle w:val="InstructionsText"/>
            </w:pPr>
            <w:r>
              <w:t xml:space="preserve">Azon halasztott adókötelezettségek, amelyek a CRR 38. cikkének (3) és (4) bekezdése </w:t>
            </w:r>
            <w:r>
              <w:rPr>
                <w:rStyle w:val="FormatvorlageInstructionsTabelleText"/>
                <w:rFonts w:ascii="Times New Roman" w:hAnsi="Times New Roman"/>
                <w:sz w:val="24"/>
              </w:rPr>
              <w:t>szerint</w:t>
            </w:r>
            <w:r>
              <w:t xml:space="preserve"> csökkenthetik az átmeneti különbözetből eredő, jövőbeli nyereségtől függően érvényesíthető halasztott adókövetelések összegét, és a CRR 38. cikkének (5) bekezdése értelmében nem tartoznak az átmeneti különbözetből eredő, jövőbeli nyereségtől függően érvényesíthető halasztott adókövetelésekhez.</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Átmeneti különbözetből eredő, jövőbeli nyereségtől függően érvényesíthető, halasztott adókövetelésekhez kapcsolódó, levonható halasztott adókötelezettségek</w:t>
            </w:r>
          </w:p>
          <w:p w:rsidR="005643EA" w:rsidRPr="00661595" w:rsidRDefault="00167619" w:rsidP="00487A02">
            <w:pPr>
              <w:pStyle w:val="InstructionsText"/>
            </w:pPr>
            <w:r>
              <w:t>A CRR 38. cikkének (3), (4) és (5) bekezdése</w:t>
            </w:r>
          </w:p>
          <w:p w:rsidR="005643EA" w:rsidRPr="00661595" w:rsidRDefault="002648B0" w:rsidP="00487A02">
            <w:pPr>
              <w:pStyle w:val="InstructionsText"/>
            </w:pPr>
            <w:r>
              <w:t xml:space="preserve">Azon halasztott adókötelezettségek, amelyek a CRR 38. cikkének (3) és (4) bekezdése </w:t>
            </w:r>
            <w:r>
              <w:rPr>
                <w:rStyle w:val="FormatvorlageInstructionsTabelleText"/>
                <w:rFonts w:ascii="Times New Roman" w:hAnsi="Times New Roman"/>
                <w:sz w:val="24"/>
              </w:rPr>
              <w:t>szerint</w:t>
            </w:r>
            <w:r>
              <w:t xml:space="preserve"> csökkenthetik az átmeneti különbözetből eredő, jövőbeli nyereségtől függően érvényesíthető halasztott adókövetelések összegét, és a CRR 38. cikkének (5) bekezdése értelmében az átmeneti különbözetből eredő, jövőbeli nyereségtől függően érvényesíthető halasztott adókövetelésekhez tartoznak.</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Adótúlfizetések és negatív adóalaphoz kapcsolódó visszakönyvelések</w:t>
            </w:r>
          </w:p>
          <w:p w:rsidR="00550113" w:rsidRPr="00661595" w:rsidRDefault="00201704" w:rsidP="00487A02">
            <w:pPr>
              <w:pStyle w:val="InstructionsText"/>
            </w:pPr>
            <w:r>
              <w:t>A CRR 39. cikkének (1) bekezdése</w:t>
            </w:r>
          </w:p>
          <w:p w:rsidR="00550113" w:rsidRPr="00661595" w:rsidRDefault="00550113" w:rsidP="00487A02">
            <w:pPr>
              <w:pStyle w:val="InstructionsText"/>
              <w:rPr>
                <w:rStyle w:val="InstructionsTabelleberschrift"/>
                <w:rFonts w:ascii="Times New Roman" w:hAnsi="Times New Roman"/>
                <w:b w:val="0"/>
                <w:bCs w:val="0"/>
                <w:sz w:val="24"/>
                <w:u w:val="none"/>
              </w:rPr>
            </w:pPr>
            <w:r>
              <w:t>Az adótúlfizetések és negatív adóalaphoz kapcsolódó visszakönyvelések azon összege, amelyet a CRR 39. cikke (1) bekezdésének megfelelően nem vonnak le a szavatolótőkéből; a feltüntetett összeg a kockázati súlyok alkalmazása előtti összeg.</w:t>
            </w:r>
          </w:p>
        </w:tc>
      </w:tr>
      <w:tr w:rsidR="00DF65DF" w:rsidRPr="00661595" w:rsidTr="00674BF5">
        <w:tc>
          <w:tcPr>
            <w:tcW w:w="1474" w:type="dxa"/>
          </w:tcPr>
          <w:p w:rsidR="00DF65DF" w:rsidRPr="00661595" w:rsidRDefault="00B13F06" w:rsidP="00487A02">
            <w:pPr>
              <w:pStyle w:val="InstructionsText"/>
            </w:pPr>
            <w:r>
              <w:lastRenderedPageBreak/>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250 %-os kockázati súlyú halasztott adókövetelések</w:t>
            </w:r>
          </w:p>
          <w:p w:rsidR="00DF65DF" w:rsidRPr="00661595" w:rsidRDefault="00201704" w:rsidP="00487A02">
            <w:pPr>
              <w:pStyle w:val="InstructionsText"/>
            </w:pPr>
            <w:r>
              <w:t>A CRR 48. cikkének (4) bekezdése</w:t>
            </w:r>
          </w:p>
          <w:p w:rsidR="00DF65DF" w:rsidRPr="00661595" w:rsidRDefault="00DF65DF" w:rsidP="000D04B6">
            <w:pPr>
              <w:pStyle w:val="InstructionsText"/>
              <w:rPr>
                <w:rStyle w:val="InstructionsTabelleberschrift"/>
                <w:rFonts w:ascii="Times New Roman" w:hAnsi="Times New Roman"/>
                <w:b w:val="0"/>
                <w:bCs w:val="0"/>
                <w:sz w:val="24"/>
                <w:u w:val="none"/>
              </w:rPr>
            </w:pPr>
            <w:r>
              <w:t>Jövőbeli nyereségtől függően érvényesíthető és átmeneti különbözetből eredő azon halasztott adókövetelések összege, amelyeket a CRR 48. cikke (1) bekezdésének megfelelően nem vonnak le, de amelyekre a CRR 48. cikkének (4) bekezdése értelmében 250 %-os kockázati súly alkalmazható, figyelembe véve a CRR 470. cikkének, 473a. cikke (7) bekezdése a) pontjának és 478. cikke (2) bekezdésének a hatását. A feltüntetett összeg a halasztott adókövetelések kockázati súlyok alkalmazása előtti összege.</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0 %-os kockázati súlyú halasztott adókövetelések</w:t>
            </w:r>
          </w:p>
          <w:p w:rsidR="00DF65DF" w:rsidRPr="00661595" w:rsidRDefault="0014657C" w:rsidP="00487A02">
            <w:pPr>
              <w:pStyle w:val="InstructionsText"/>
            </w:pPr>
            <w:r>
              <w:t>A CRR 469. cikke (1) bekezdésének d) pontja, 470. cikke, 472. cikkének (5) bekezdése, valamint 478. cikke</w:t>
            </w:r>
          </w:p>
          <w:p w:rsidR="00DF65DF" w:rsidRPr="00661595" w:rsidRDefault="00DF65DF" w:rsidP="00487A02">
            <w:pPr>
              <w:pStyle w:val="InstructionsText"/>
              <w:rPr>
                <w:rStyle w:val="InstructionsTabelleberschrift"/>
                <w:rFonts w:ascii="Times New Roman" w:hAnsi="Times New Roman"/>
                <w:b w:val="0"/>
                <w:bCs w:val="0"/>
                <w:sz w:val="24"/>
                <w:u w:val="none"/>
              </w:rPr>
            </w:pPr>
            <w:r>
              <w:t>Jövőbeli nyereségtől függően érvényesíthető és átmeneti különbözetből eredő azon halasztott adókövetelések összege, amelyeket a CRR 469. cikke (1) bekezdése d) pontjának, 470. cikkének, 473a. cikke (7) bekezdése a) pontjának és 478. cikke (2) bekezdésének. cikkének megfelelően nem vonnak le, de amelyekre a CRR 472. cikkének (5) bekezdése értelmében 0 %-os kockázati súly alkalmazható. A feltüntetett összeg a halasztott adókövetelések kockázati súlyok alkalmazása előtti összege.</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Kivétel az immateriális javaknak az elsődleges alapvető tőkéből történő levonása alól</w:t>
            </w:r>
          </w:p>
          <w:p w:rsidR="00674BF5" w:rsidRPr="00661595" w:rsidRDefault="004F1DDB" w:rsidP="00487A02">
            <w:pPr>
              <w:pStyle w:val="InstructionsText"/>
            </w:pPr>
            <w:r>
              <w:t>A CRR 36. cikke (1) bekezdésének b) pontja</w:t>
            </w:r>
          </w:p>
          <w:p w:rsidR="00674BF5" w:rsidRPr="00661595" w:rsidRDefault="00674BF5" w:rsidP="00487A02">
            <w:pPr>
              <w:pStyle w:val="InstructionsText"/>
              <w:rPr>
                <w:rStyle w:val="InstructionsTabelleberschrift"/>
                <w:rFonts w:ascii="Times New Roman" w:hAnsi="Times New Roman"/>
                <w:sz w:val="24"/>
              </w:rPr>
            </w:pPr>
            <w:r>
              <w:t>Az intézményeknek a levonás alól mentesülő, prudensen értékelt szoftvereszközök értékét kell feltüntetniük.</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Az alkalmazandó számviteli szabályozás szerint saját tőkének minősülő AT1 tőkeinstrumentumok és a kapcsolódó ázsió</w:t>
            </w:r>
          </w:p>
          <w:p w:rsidR="00674BF5" w:rsidRPr="00661595" w:rsidRDefault="00674BF5" w:rsidP="00487A02">
            <w:pPr>
              <w:pStyle w:val="InstructionsText"/>
              <w:rPr>
                <w:rStyle w:val="InstructionsTabelleberschrift"/>
                <w:rFonts w:ascii="Times New Roman" w:hAnsi="Times New Roman"/>
                <w:sz w:val="24"/>
              </w:rPr>
            </w:pPr>
            <w:r>
              <w:t>Az alkalmazandó számviteli szabályozás szerint saját tőkeként besorolt AT1 tőkeinstrumentumok összege, beleértve a kapcsolódó ázsiókat is.</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Az alkalmazandó számviteli szabályozás szerint kötelezettségnek minősülő AT1 tőkeinstrumentumok és kapcsolódó ázsió</w:t>
            </w:r>
          </w:p>
          <w:p w:rsidR="00674BF5" w:rsidRPr="00661595" w:rsidRDefault="00674BF5" w:rsidP="00487A02">
            <w:pPr>
              <w:pStyle w:val="InstructionsText"/>
              <w:rPr>
                <w:rStyle w:val="InstructionsTabelleberschrift"/>
                <w:rFonts w:ascii="Times New Roman" w:hAnsi="Times New Roman"/>
                <w:sz w:val="24"/>
              </w:rPr>
            </w:pPr>
            <w:r>
              <w:t>Az alkalmazandó számviteli szabályozás szerint kötelezettségként besorolt AT1 tőkeinstrumentumok összege, beleértve a kapcsolódó ázsiókat is.</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Hitelkockázati kiigazítások és a kiegészítő értékelési korrekciók, valamint az egyéb szavatolótőke-csökkentések IRB módszerrel számított többlete (+) vagy hiánya (–) a várható veszteséghez viszonyítva, teljesítő kitettségek esetén</w:t>
            </w:r>
          </w:p>
          <w:p w:rsidR="00674BF5" w:rsidRPr="00661595" w:rsidRDefault="00674BF5" w:rsidP="00487A02">
            <w:pPr>
              <w:pStyle w:val="InstructionsText"/>
            </w:pPr>
            <w:r>
              <w:t>A CRR 36. cikke (1) bekezdésének d) pontja, valamint 62. cikkének d) pontja, 158. és 159. cikke</w:t>
            </w:r>
          </w:p>
          <w:p w:rsidR="00674BF5" w:rsidRPr="00661595" w:rsidRDefault="00674BF5" w:rsidP="00487A02">
            <w:pPr>
              <w:pStyle w:val="InstructionsText"/>
            </w:pPr>
            <w:r>
              <w:t>A tételt kizárólag az IRB-módszert alkalmazó intézményeknek kell megadniuk.</w:t>
            </w:r>
          </w:p>
        </w:tc>
      </w:tr>
      <w:tr w:rsidR="00674BF5" w:rsidRPr="00661595" w:rsidTr="00674BF5">
        <w:tc>
          <w:tcPr>
            <w:tcW w:w="1474" w:type="dxa"/>
          </w:tcPr>
          <w:p w:rsidR="00674BF5" w:rsidRPr="00661595" w:rsidRDefault="004F1DDB" w:rsidP="00487A02">
            <w:pPr>
              <w:pStyle w:val="InstructionsText"/>
            </w:pPr>
            <w:r>
              <w:lastRenderedPageBreak/>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A hitelkockázati kiigazítások és a kiegészítő értékelési korrekciók, valamint az egyéb szavatolótőke-csökkentések teljes, a várható veszteség kiszámításakor figyelembe vehető összege</w:t>
            </w:r>
          </w:p>
          <w:p w:rsidR="00674BF5" w:rsidRPr="00661595" w:rsidRDefault="00674BF5" w:rsidP="00487A02">
            <w:pPr>
              <w:pStyle w:val="InstructionsText"/>
            </w:pPr>
            <w:r>
              <w:t>A CRR 159. cikke</w:t>
            </w:r>
          </w:p>
          <w:p w:rsidR="00674BF5" w:rsidRPr="00661595" w:rsidRDefault="00674BF5" w:rsidP="00487A02">
            <w:pPr>
              <w:pStyle w:val="InstructionsText"/>
            </w:pPr>
            <w:r>
              <w:t>A tételt kizárólag az IRB-módszert alkalmazó intézményeknek kell megadniuk.</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Általános hitelkockázati kiigazítások</w:t>
            </w:r>
          </w:p>
          <w:p w:rsidR="00674BF5" w:rsidRPr="00661595" w:rsidRDefault="00674BF5" w:rsidP="00487A02">
            <w:pPr>
              <w:pStyle w:val="InstructionsText"/>
            </w:pPr>
            <w:r>
              <w:t>A CRR 159. cikke</w:t>
            </w:r>
          </w:p>
          <w:p w:rsidR="00674BF5" w:rsidRPr="00661595" w:rsidRDefault="00674BF5" w:rsidP="00487A02">
            <w:pPr>
              <w:pStyle w:val="InstructionsText"/>
            </w:pPr>
            <w:r>
              <w:t>A tételt kizárólag az IRB-módszert alkalmazó intézményeknek kell megadniuk.</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Egyedi hitelkockázati kiigazítások</w:t>
            </w:r>
          </w:p>
          <w:p w:rsidR="00674BF5" w:rsidRPr="00661595" w:rsidRDefault="00674BF5" w:rsidP="00487A02">
            <w:pPr>
              <w:pStyle w:val="InstructionsText"/>
            </w:pPr>
            <w:r>
              <w:t>A CRR 159. cikke</w:t>
            </w:r>
          </w:p>
          <w:p w:rsidR="00674BF5" w:rsidRPr="00661595" w:rsidRDefault="00674BF5" w:rsidP="00487A02">
            <w:pPr>
              <w:pStyle w:val="InstructionsText"/>
            </w:pPr>
            <w:r>
              <w:t>A tételt kizárólag az IRB-módszert alkalmazó intézményeknek kell megadniuk.</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Kiegészítő értékelési korrekciók és egyéb szavatolótőke-csökkentések</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34., 110. és 159. cikke</w:t>
            </w:r>
          </w:p>
          <w:p w:rsidR="00674BF5" w:rsidRPr="00661595" w:rsidRDefault="00674BF5" w:rsidP="00487A02">
            <w:pPr>
              <w:pStyle w:val="InstructionsText"/>
              <w:rPr>
                <w:rStyle w:val="InstructionsTabelleberschrift"/>
                <w:rFonts w:ascii="Times New Roman" w:hAnsi="Times New Roman"/>
                <w:b w:val="0"/>
                <w:bCs w:val="0"/>
                <w:sz w:val="24"/>
                <w:u w:val="none"/>
              </w:rPr>
            </w:pPr>
            <w:r>
              <w:t>A tételt kizárólag az IRB-módszert alkalmazó intézményeknek kell megadniuk.</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Figyelembe vehető várható veszteségek összesen </w:t>
            </w:r>
          </w:p>
          <w:p w:rsidR="00674BF5" w:rsidRPr="00661595" w:rsidRDefault="00674BF5" w:rsidP="00487A02">
            <w:pPr>
              <w:pStyle w:val="InstructionsText"/>
            </w:pPr>
            <w:r>
              <w:t>A CRR 158. cikkének (5), (6) és (10) bekezdése, valamint 159. cikke</w:t>
            </w:r>
          </w:p>
          <w:p w:rsidR="00674BF5" w:rsidRPr="00661595" w:rsidRDefault="00674BF5" w:rsidP="00487A02">
            <w:pPr>
              <w:pStyle w:val="InstructionsText"/>
            </w:pPr>
            <w:r>
              <w:t>A tételt kizárólag az IRB-módszert alkalmazó intézményeknek kell megadniuk. Kizárólag a teljesítő kitettségekhez kapcsolódó várható veszteségek adhatók meg.</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Az egyedi hitelkockázati kiigazítások IRB-módszerrel számított többlete (+) vagy hiánya (–) a várható veszteséghez viszonyítva, nemteljesítő kitettségek esetén</w:t>
            </w:r>
          </w:p>
          <w:p w:rsidR="00674BF5" w:rsidRPr="00661595" w:rsidRDefault="00674BF5" w:rsidP="00487A02">
            <w:pPr>
              <w:pStyle w:val="InstructionsText"/>
            </w:pPr>
            <w:r>
              <w:t>A CRR 36. cikke (1) bekezdésének d) pontja, valamint 62. cikkének d) pontja, 158. és 159. cikke</w:t>
            </w:r>
          </w:p>
          <w:p w:rsidR="00674BF5" w:rsidRPr="00661595" w:rsidRDefault="00674BF5" w:rsidP="00487A02">
            <w:pPr>
              <w:pStyle w:val="InstructionsText"/>
              <w:rPr>
                <w:rStyle w:val="InstructionsTabelleberschrift"/>
                <w:rFonts w:ascii="Times New Roman" w:hAnsi="Times New Roman"/>
                <w:b w:val="0"/>
                <w:bCs w:val="0"/>
                <w:sz w:val="24"/>
                <w:u w:val="none"/>
              </w:rPr>
            </w:pPr>
            <w:r>
              <w:t>A tételt kizárólag az IRB-módszert alkalmazó intézményeknek kell megadniuk.</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Hasonló módon kezelt egyedi hitelkockázati kiigazítások és pozíciók</w:t>
            </w:r>
          </w:p>
          <w:p w:rsidR="00674BF5" w:rsidRPr="00661595" w:rsidRDefault="00674BF5" w:rsidP="00487A02">
            <w:pPr>
              <w:pStyle w:val="InstructionsText"/>
            </w:pPr>
            <w:r>
              <w:t>A CRR 159. cikke</w:t>
            </w:r>
          </w:p>
          <w:p w:rsidR="00674BF5" w:rsidRPr="00661595" w:rsidRDefault="00674BF5" w:rsidP="00487A02">
            <w:pPr>
              <w:pStyle w:val="InstructionsText"/>
              <w:rPr>
                <w:rStyle w:val="InstructionsTabelleberschrift"/>
                <w:rFonts w:ascii="Times New Roman" w:hAnsi="Times New Roman"/>
                <w:b w:val="0"/>
                <w:bCs w:val="0"/>
                <w:sz w:val="24"/>
                <w:u w:val="none"/>
              </w:rPr>
            </w:pPr>
            <w:r>
              <w:t>A tételt kizárólag az IRB-módszert alkalmazó intézményeknek kell megadniuk.</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Figyelembe vehető várható veszteségek összesen</w:t>
            </w:r>
          </w:p>
          <w:p w:rsidR="00674BF5" w:rsidRPr="00661595" w:rsidRDefault="00674BF5" w:rsidP="00487A02">
            <w:pPr>
              <w:pStyle w:val="InstructionsText"/>
              <w:rPr>
                <w:rStyle w:val="InstructionsTabelleberschrift"/>
                <w:rFonts w:ascii="Times New Roman" w:hAnsi="Times New Roman"/>
                <w:sz w:val="24"/>
              </w:rPr>
            </w:pPr>
            <w:r>
              <w:t>A CRR 158. cikkének (5), (6) és (10) bekezdése, valamint 159. cikke</w:t>
            </w:r>
          </w:p>
          <w:p w:rsidR="00674BF5" w:rsidRPr="00661595" w:rsidRDefault="00674BF5" w:rsidP="00487A02">
            <w:pPr>
              <w:pStyle w:val="InstructionsText"/>
              <w:rPr>
                <w:rStyle w:val="InstructionsTabelleberschrift"/>
                <w:rFonts w:ascii="Times New Roman" w:hAnsi="Times New Roman"/>
                <w:b w:val="0"/>
                <w:bCs w:val="0"/>
                <w:sz w:val="24"/>
                <w:u w:val="none"/>
              </w:rPr>
            </w:pPr>
            <w:r>
              <w:lastRenderedPageBreak/>
              <w:t>A tételt kizárólag az IRB-módszert alkalmazó intézményeknek kell megadniuk. Kizárólag a nemteljesítő kitettségekhez kapcsolódó várható veszteségek adhatók meg.</w:t>
            </w:r>
          </w:p>
        </w:tc>
      </w:tr>
      <w:tr w:rsidR="00674BF5" w:rsidRPr="00661595" w:rsidTr="00674BF5">
        <w:tc>
          <w:tcPr>
            <w:tcW w:w="1474" w:type="dxa"/>
          </w:tcPr>
          <w:p w:rsidR="00674BF5" w:rsidRPr="00661595" w:rsidRDefault="004F1DDB" w:rsidP="00487A02">
            <w:pPr>
              <w:pStyle w:val="InstructionsText"/>
            </w:pPr>
            <w:r>
              <w:lastRenderedPageBreak/>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Kockázattal súlyozott kitettségérték a T2 tőkeként figyelembe vehető céltartaléktöbblet felső határának kiszámításához</w:t>
            </w:r>
          </w:p>
          <w:p w:rsidR="00674BF5" w:rsidRPr="00661595" w:rsidRDefault="00674BF5" w:rsidP="00487A02">
            <w:pPr>
              <w:pStyle w:val="InstructionsText"/>
            </w:pPr>
            <w:r>
              <w:t>A CRR 62. cikkének d) pontja</w:t>
            </w:r>
          </w:p>
          <w:p w:rsidR="00674BF5" w:rsidRPr="00661595" w:rsidRDefault="00674BF5" w:rsidP="00487A02">
            <w:pPr>
              <w:pStyle w:val="InstructionsText"/>
            </w:pPr>
            <w:r>
              <w:t xml:space="preserve">Az IRB-módszert alkalmazó intézmények esetében a céltartalékoknak a várható veszteségek feletti összege az IRB-módszerrel kiszámított kockázattal súlyozott kitettségértékek legfeljebb 0,6 %-áig számíthatók be a T2 tőkébe a CRR 62. cikke d) pontjának </w:t>
            </w:r>
            <w:r>
              <w:rPr>
                <w:rStyle w:val="FormatvorlageInstructionsTabelleText"/>
                <w:rFonts w:ascii="Times New Roman" w:hAnsi="Times New Roman"/>
                <w:sz w:val="24"/>
              </w:rPr>
              <w:t>megfelelően</w:t>
            </w:r>
            <w:r>
              <w:t>.</w:t>
            </w:r>
          </w:p>
          <w:p w:rsidR="00674BF5" w:rsidRPr="00661595" w:rsidRDefault="00674BF5" w:rsidP="00487A02">
            <w:pPr>
              <w:pStyle w:val="InstructionsText"/>
            </w:pPr>
            <w:r>
              <w:t>Az ebben a tételben feltüntetendő érték a kockázattal súlyozott kitettségérték (a 0,6 %-os szorzó alkalmazása nélkül), amelyen a felső határ számítása alapul.</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A T2 tőkébe beszámítható bruttó céltartalékok összesen</w:t>
            </w:r>
          </w:p>
          <w:p w:rsidR="00674BF5" w:rsidRPr="00661595" w:rsidRDefault="00674BF5" w:rsidP="00487A02">
            <w:pPr>
              <w:pStyle w:val="InstructionsText"/>
            </w:pPr>
            <w:r>
              <w:t>A CRR 62. cikkének c) pontja</w:t>
            </w:r>
          </w:p>
          <w:p w:rsidR="00674BF5" w:rsidRPr="00661595" w:rsidRDefault="00674BF5" w:rsidP="00487A02">
            <w:pPr>
              <w:pStyle w:val="InstructionsText"/>
            </w:pPr>
            <w:r>
              <w:t>A tétel azokat az általános hitelkockázati kiigazításokat foglalja magában, amelyeknek a felső határ alatti része beszámítható a T2 tőkébe.</w:t>
            </w:r>
          </w:p>
          <w:p w:rsidR="00674BF5" w:rsidRPr="00661595" w:rsidRDefault="00674BF5" w:rsidP="00487A02">
            <w:pPr>
              <w:pStyle w:val="InstructionsText"/>
            </w:pPr>
            <w:r>
              <w:t>A feltüntetendő értéknek tartalmaznia kell az adóhatásokat is.</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Kockázattal súlyozott kitettségérték a T2 tőkeként figyelembe vehető céltartalék felső határának kiszámításához</w:t>
            </w:r>
          </w:p>
          <w:p w:rsidR="00674BF5" w:rsidRPr="00661595" w:rsidRDefault="00674BF5" w:rsidP="00487A02">
            <w:pPr>
              <w:pStyle w:val="InstructionsText"/>
            </w:pPr>
            <w:r>
              <w:t>A CRR 62. cikkének c) pontja</w:t>
            </w:r>
          </w:p>
          <w:p w:rsidR="00674BF5" w:rsidRPr="00661595" w:rsidRDefault="00674BF5" w:rsidP="00487A02">
            <w:pPr>
              <w:pStyle w:val="InstructionsText"/>
            </w:pPr>
            <w:r>
              <w:t>A CRR 62. cikkének c) pontja alapján a hitelkockázati kiigazítások a kockázattal súlyozott kitettségértékek legfeljebb 1,25 %-áig számíthatók be a T2 tőkébe.</w:t>
            </w:r>
          </w:p>
          <w:p w:rsidR="00674BF5" w:rsidRPr="00661595" w:rsidRDefault="00674BF5" w:rsidP="00487A02">
            <w:pPr>
              <w:pStyle w:val="InstructionsText"/>
            </w:pPr>
            <w:r>
              <w:t>Az ebben a tételben feltüntetendő érték a kockázattal súlyozott kitettségérték (a 1,25 %-os szorzó alkalmazása nélkül), amelyen a felső határ számítása alapul.</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Pénzügyi ágazatbeli szervezetekben lévő részesedések nem levonható részének küszöbértéke, ha az intézmény nem rendelkezik jelentős részesedéssel az említett vállalkozásokban</w:t>
            </w:r>
          </w:p>
          <w:p w:rsidR="00674BF5" w:rsidRPr="00661595" w:rsidRDefault="00674BF5" w:rsidP="00487A02">
            <w:pPr>
              <w:pStyle w:val="InstructionsText"/>
            </w:pPr>
            <w:r>
              <w:t>A CRR 46. cikke (1) bekezdésének a) pontja</w:t>
            </w:r>
          </w:p>
          <w:p w:rsidR="00674BF5" w:rsidRPr="00661595" w:rsidRDefault="00674BF5" w:rsidP="00487A02">
            <w:pPr>
              <w:pStyle w:val="InstructionsText"/>
            </w:pPr>
            <w:r>
              <w:t>A tétel azt a küszöbértéket tartalmazza, amely alatt a pénzügyi ágazatbeli szervezetekben lévő részesedések levonására nem kerül sor, ha az intézmény nem rendelkezik jelentős részesedéssel az említett vállalkozásokban. Az érték a küszöb számításánál alapul vett értékek összege, szorozva 10 %-kal.</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A CET1 tőkére vonatkozóan rögzített 10 %-os küszöb </w:t>
            </w:r>
          </w:p>
          <w:p w:rsidR="00674BF5" w:rsidRPr="00661595" w:rsidRDefault="00674BF5" w:rsidP="00487A02">
            <w:pPr>
              <w:pStyle w:val="InstructionsText"/>
            </w:pPr>
            <w:r>
              <w:t>A CRR 48. cikke (1) bekezdésének a) és b) pontja</w:t>
            </w:r>
          </w:p>
          <w:p w:rsidR="00674BF5" w:rsidRPr="00661595" w:rsidRDefault="00674BF5" w:rsidP="00487A02">
            <w:pPr>
              <w:pStyle w:val="InstructionsText"/>
            </w:pPr>
            <w:r>
              <w:t>A tétel a pénzügyi ágazatbeli szervezetekben lévő jelentős intézményi részesedésekre, valamint a jövőbeni nyereségtől függően érvényesíthető és átmeneti különbözetekből eredő halasztott adókövetelésekre vonatkozó 10 %-os küszöböt tartalmazza.</w:t>
            </w:r>
          </w:p>
          <w:p w:rsidR="00674BF5" w:rsidRPr="00661595" w:rsidRDefault="00674BF5" w:rsidP="00487A02">
            <w:pPr>
              <w:pStyle w:val="InstructionsText"/>
            </w:pPr>
            <w:r>
              <w:lastRenderedPageBreak/>
              <w:t>Az érték a küszöb számításánál alapul vett értékek összege, szorozva 10 %-kal.</w:t>
            </w:r>
          </w:p>
        </w:tc>
      </w:tr>
      <w:tr w:rsidR="00674BF5" w:rsidRPr="00661595" w:rsidTr="00674BF5">
        <w:tc>
          <w:tcPr>
            <w:tcW w:w="1474" w:type="dxa"/>
          </w:tcPr>
          <w:p w:rsidR="00674BF5" w:rsidRPr="00661595" w:rsidRDefault="004F1DDB" w:rsidP="00487A02">
            <w:pPr>
              <w:pStyle w:val="InstructionsText"/>
            </w:pPr>
            <w:r>
              <w:lastRenderedPageBreak/>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A CET1 tőkére vonatkozóan rögzített 17,65 %-os küszöb </w:t>
            </w:r>
          </w:p>
          <w:p w:rsidR="00674BF5" w:rsidRPr="00661595" w:rsidRDefault="00674BF5" w:rsidP="00487A02">
            <w:pPr>
              <w:pStyle w:val="InstructionsText"/>
            </w:pPr>
            <w:r>
              <w:t>A CRR 48. cikkének (1) bekezdése</w:t>
            </w:r>
          </w:p>
          <w:p w:rsidR="00674BF5" w:rsidRPr="00661595" w:rsidRDefault="00674BF5" w:rsidP="00487A02">
            <w:pPr>
              <w:pStyle w:val="InstructionsText"/>
            </w:pPr>
            <w:r>
              <w:t>A tétel a pénzügyi ágazatbeli szervezetekben lévő jelentős intézményi részesedésekre, valamint a jövőbeni nyereségtől függően érvényesíthető és átmeneti különbözetekből eredő halasztott adókövetelésekre vonatkozó 17,65 %-os küszöböt tartalmazza, amelyet a 10 %-os küszöb után kell alkalmazni.</w:t>
            </w:r>
          </w:p>
          <w:p w:rsidR="00674BF5" w:rsidRPr="00661595" w:rsidRDefault="00674BF5" w:rsidP="00487A02">
            <w:pPr>
              <w:pStyle w:val="InstructionsText"/>
            </w:pPr>
            <w:r>
              <w:t>A küszöböt úgy kell kiszámítani, hogy a két megjelenített tétel összege nem haladja meg az összes levonás után, az átmeneti rendelkezésekből eredő kiigazítások nélkül számított végső elsődleges alapvető tőke, azaz CET1 tőke 15 %-át.</w:t>
            </w:r>
          </w:p>
        </w:tc>
      </w:tr>
      <w:tr w:rsidR="00674BF5" w:rsidRPr="00661595" w:rsidTr="00674BF5">
        <w:tc>
          <w:tcPr>
            <w:tcW w:w="1474" w:type="dxa"/>
          </w:tcPr>
          <w:p w:rsidR="00674BF5" w:rsidRPr="00661595" w:rsidRDefault="004F1DDB" w:rsidP="00487A02">
            <w:pPr>
              <w:pStyle w:val="InstructionsText"/>
            </w:pPr>
            <w:r>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Pénzügyi ágazaton kívüli befolyásoló részesedés szempontjából figyelembe vehető szavatolótőke</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CRR 4. cikke (1) bekezdése 71. pontjának a) alpontja</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Pénzügyi ágazatbeli szervezetek CET1 tőkéjében lévő részesedések, ha az intézmény nem rendelkezik jelentős részesedéssel az említett vállalkozásokban, a rövid pozíciók levonásával</w:t>
            </w:r>
          </w:p>
          <w:p w:rsidR="00674BF5" w:rsidRPr="00661595" w:rsidRDefault="00674BF5" w:rsidP="00487A02">
            <w:pPr>
              <w:pStyle w:val="InstructionsText"/>
            </w:pPr>
            <w:r>
              <w:t>A CRR 44., 45., 46. és 49. cikke</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Pénzügyi ágazatbeli szervezetek CET1 tőkéjében lévő közvetlen részesedések, ha az intézmény nem rendelkezik jelentős részesedéssel az említett vállalkozásokban</w:t>
            </w:r>
          </w:p>
          <w:p w:rsidR="00674BF5" w:rsidRPr="00661595" w:rsidRDefault="00674BF5" w:rsidP="00487A02">
            <w:pPr>
              <w:pStyle w:val="InstructionsText"/>
            </w:pPr>
            <w:r>
              <w:t>A CRR 44., 45., 46. és 49. cikke</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Pénzügyi ágazatbeli szervezetek CET1 tőkéjében lévő bruttó közvetlen részesedések, ha az intézmény nem rendelkezik jelentős részesedéssel az említett vállalkozásokban</w:t>
            </w:r>
          </w:p>
          <w:p w:rsidR="00674BF5" w:rsidRPr="00661595" w:rsidRDefault="00674BF5" w:rsidP="00487A02">
            <w:pPr>
              <w:pStyle w:val="InstructionsText"/>
            </w:pPr>
            <w:r>
              <w:t>A CRR 44., 46. és 49. cikke</w:t>
            </w:r>
          </w:p>
          <w:p w:rsidR="00674BF5" w:rsidRPr="00661595" w:rsidRDefault="00674BF5" w:rsidP="00487A02">
            <w:pPr>
              <w:pStyle w:val="InstructionsText"/>
            </w:pPr>
            <w:r>
              <w:t>Pénzügyi ágazatbeli szervezetek elsődleges alapvető tőkéjében lévő közvetlen részesedések, ha az intézmény nem rendelkezik jelentős részesedéssel az említett vállalkozásokban, az alábbiak kivételével:</w:t>
            </w:r>
          </w:p>
          <w:p w:rsidR="00674BF5" w:rsidRPr="00661595" w:rsidRDefault="00674BF5" w:rsidP="00487A02">
            <w:pPr>
              <w:pStyle w:val="InstructionsText"/>
            </w:pPr>
            <w:r>
              <w:t>a)</w:t>
            </w:r>
            <w:r>
              <w:tab/>
              <w:t xml:space="preserve">az öt munkanapig vagy annál rövidebb ideig tartott, jegyzési garanciavállalásból eredő pozíciók; </w:t>
            </w:r>
          </w:p>
          <w:p w:rsidR="00674BF5" w:rsidRPr="00661595" w:rsidRDefault="00674BF5" w:rsidP="00487A02">
            <w:pPr>
              <w:pStyle w:val="InstructionsText"/>
            </w:pPr>
            <w:r>
              <w:t>b)</w:t>
            </w:r>
            <w:r>
              <w:tab/>
              <w:t xml:space="preserve">olyan befektetéshez kapcsolódó összegek, amelyekre a 49. cikkben felsorolt alternatívák valamelyikét alkalmazzák; továbbá </w:t>
            </w:r>
          </w:p>
          <w:p w:rsidR="00674BF5" w:rsidRPr="00661595" w:rsidRDefault="00674BF5" w:rsidP="00487A02">
            <w:pPr>
              <w:pStyle w:val="InstructionsText"/>
            </w:pPr>
            <w:r>
              <w:t>c)</w:t>
            </w:r>
            <w:r>
              <w:tab/>
              <w:t>a CRR 36. cikke (1) bekezdésének g) pontja alapján kölcsönös részesedésként kezelt részesedések</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A fent figyelembe vett bruttó közvetlen részesedésekkel kapcsolatban megengedett kiegyenlítő rövid pozíciók</w:t>
            </w:r>
          </w:p>
          <w:p w:rsidR="00674BF5" w:rsidRPr="00661595" w:rsidRDefault="00674BF5" w:rsidP="00487A02">
            <w:pPr>
              <w:pStyle w:val="InstructionsText"/>
            </w:pPr>
            <w:r>
              <w:t>A CRR 45. cikke</w:t>
            </w:r>
          </w:p>
          <w:p w:rsidR="00674BF5" w:rsidRPr="00661595" w:rsidRDefault="002D31E5" w:rsidP="00487A02">
            <w:pPr>
              <w:pStyle w:val="InstructionsText"/>
            </w:pPr>
            <w:r>
              <w:t xml:space="preserve">A CRR 45. cikkének a) pontja megengedi az azonos alapul szolgáló kitettségen belüli kiegyenlítő rövid pozíciókat akkor, ha a rövid pozíció </w:t>
            </w:r>
            <w:r>
              <w:lastRenderedPageBreak/>
              <w:t>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lastRenderedPageBreak/>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Pénzügyi ágazatbeli szervezetek CET1 tőkéjében lévő közvetett részesedések, ha az intézmény nem rendelkezik jelentős részesedéssel az említett vállalkozásokban</w:t>
            </w:r>
          </w:p>
          <w:p w:rsidR="00674BF5" w:rsidRPr="00661595" w:rsidRDefault="00674BF5" w:rsidP="00487A02">
            <w:pPr>
              <w:pStyle w:val="InstructionsText"/>
            </w:pPr>
            <w:r>
              <w:t>A CRR 4. cikke (1) bekezdésének 114. pontja, valamint 44. és 45. cikke</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Pénzügyi ágazatbeli szervezetek CET1 tőkéjében lévő bruttó közvetett részesedések, ha az intézmény nem rendelkezik jelentős részesedéssel az említett vállalkozásokban</w:t>
            </w:r>
          </w:p>
          <w:p w:rsidR="00674BF5" w:rsidRPr="00661595" w:rsidRDefault="00674BF5" w:rsidP="00487A02">
            <w:pPr>
              <w:pStyle w:val="InstructionsText"/>
            </w:pPr>
            <w:r>
              <w:t>A CRR 4. cikke (1) bekezdésének 114. pontja, valamint 44. és 45. cikke</w:t>
            </w:r>
          </w:p>
          <w:p w:rsidR="00674BF5" w:rsidRPr="00661595"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rsidR="00674BF5" w:rsidRPr="00661595" w:rsidRDefault="00674BF5" w:rsidP="00487A02">
            <w:pPr>
              <w:pStyle w:val="InstructionsText"/>
            </w:pPr>
            <w:r>
              <w:t>A CRR 36. cikke (1) bekezdésének g) pontja alapján kölcsönös részesedésként kezelt részesedések nem számíthatók be.</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A fent figyelembe vett bruttó közvetett részesedésekkel kapcsolatban megengedett kiegyenlítő rövid pozíciók</w:t>
            </w:r>
          </w:p>
          <w:p w:rsidR="00674BF5" w:rsidRPr="00661595" w:rsidRDefault="00674BF5" w:rsidP="00487A02">
            <w:pPr>
              <w:pStyle w:val="InstructionsText"/>
            </w:pPr>
            <w:r>
              <w:t>A CRR 4. cikke (1) bekezdésének 114. pontja, valamint 45. cikke</w:t>
            </w:r>
          </w:p>
          <w:p w:rsidR="00674BF5" w:rsidRPr="00661595" w:rsidRDefault="00674BF5" w:rsidP="00487A02">
            <w:pPr>
              <w:pStyle w:val="InstructionsText"/>
            </w:pPr>
            <w:r>
              <w:t>A CRR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Pénzügyi ágazatbeli szervezetek CET1 tőkéjében lévő szintetikus részesedések, ha az intézmény nem rendelkezik jelentős részesedéssel az említett vállalkozásokban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 cikke (1) bekezdésének 126. pontja, valamint 44. és 45. cikke</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Pénzügyi ágazatbeli szervezetek CET1 tőkéjében lévő bruttó szintetikus részesedések, ha az intézmény nem rendelkezik jelentős részesedéssel az említett vállalkozásokban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 cikke (1) bekezdésének 126. pontja, valamint 44. és 45. cikke</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A fent figyelembe vett bruttó szintetikus részesedésekkel kapcsolatban megengedett kiegyenlítő rövid pozíciók</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 cikke (1) bekezdésének 126. pontja, valamint 45. cikke</w:t>
            </w:r>
          </w:p>
          <w:p w:rsidR="002D31E5" w:rsidRPr="00661595" w:rsidRDefault="000D04B6" w:rsidP="00712F56">
            <w:pPr>
              <w:pStyle w:val="InstructionsText"/>
              <w:rPr>
                <w:rStyle w:val="InstructionsTabelleberschrift"/>
                <w:rFonts w:ascii="Times New Roman" w:hAnsi="Times New Roman"/>
                <w:b w:val="0"/>
                <w:sz w:val="24"/>
                <w:u w:val="none"/>
              </w:rPr>
            </w:pPr>
            <w:r>
              <w:t>A CRR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lastRenderedPageBreak/>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Pénzügyi ágazatbeli szervezetek AT1 tőkéjében lévő részesedések, ha az intézmény nem rendelkezik jelentős részesedéssel az említett vállalkozásokban, a rövid pozíciók levonásával</w:t>
            </w:r>
          </w:p>
          <w:p w:rsidR="00674BF5" w:rsidRPr="00661595" w:rsidRDefault="00674BF5" w:rsidP="00487A02">
            <w:pPr>
              <w:pStyle w:val="InstructionsText"/>
            </w:pPr>
            <w:r>
              <w:t>A CRR 58., 59. és 60. cikke</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Pénzügyi ágazatbeli szervezetek AT1 tőkéjében lévő közvetlen részesedések, ha az intézmény nem rendelkezik jelentős részesedéssel az említett vállalkozásokban</w:t>
            </w:r>
          </w:p>
          <w:p w:rsidR="00674BF5" w:rsidRPr="00661595" w:rsidRDefault="00674BF5" w:rsidP="00487A02">
            <w:pPr>
              <w:pStyle w:val="InstructionsText"/>
            </w:pPr>
            <w:r>
              <w:t>A CRR 58. és 59. cikke, valamint 60. cikkének (2) bekezdése</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Pénzügyi ágazatbeli szervezetek AT1 tőkéjében lévő bruttó közvetlen részesedések, ha az intézmény nem rendelkezik jelentős részesedéssel az említett vállalkozásokban</w:t>
            </w:r>
          </w:p>
          <w:p w:rsidR="00674BF5" w:rsidRPr="00661595" w:rsidRDefault="00674BF5" w:rsidP="00487A02">
            <w:pPr>
              <w:pStyle w:val="InstructionsText"/>
            </w:pPr>
            <w:r>
              <w:t>A CRR 58. cikke, valamint 60. cikkének (2) bekezdése</w:t>
            </w:r>
          </w:p>
          <w:p w:rsidR="00674BF5" w:rsidRPr="00661595" w:rsidRDefault="00674BF5" w:rsidP="00487A02">
            <w:pPr>
              <w:pStyle w:val="InstructionsText"/>
            </w:pPr>
            <w:r>
              <w:t>Pénzügyi ágazatbeli szervezetek AT1 tőkéjében lévő közvetlen részesedések, ha az intézmény nem rendelkezik jelentős részesedéssel az említett vállalkozásokban, az alábbiak kivételével:</w:t>
            </w:r>
          </w:p>
          <w:p w:rsidR="00674BF5" w:rsidRPr="00661595" w:rsidRDefault="00674BF5" w:rsidP="00487A02">
            <w:pPr>
              <w:pStyle w:val="InstructionsText"/>
            </w:pPr>
            <w:r>
              <w:t>a)</w:t>
            </w:r>
            <w:r>
              <w:tab/>
              <w:t xml:space="preserve">az öt munkanapig vagy annál rövidebb ideig tartott, jegyzési garanciavállalásból eredő pozíciók; továbbá </w:t>
            </w:r>
          </w:p>
          <w:p w:rsidR="00674BF5" w:rsidRPr="00661595" w:rsidRDefault="00674BF5" w:rsidP="00487A02">
            <w:pPr>
              <w:pStyle w:val="InstructionsText"/>
            </w:pPr>
            <w:r>
              <w:t>b)</w:t>
            </w:r>
            <w:r>
              <w:tab/>
              <w:t>a CRR 56. cikkének b) pontja alapján kölcsönös részesedésként kezelt részesedések.</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A fent figyelembe vett bruttó közvetlen részesedésekkel kapcsolatban megengedett kiegyenlítő rövid pozíciók</w:t>
            </w:r>
          </w:p>
          <w:p w:rsidR="00674BF5" w:rsidRPr="00661595" w:rsidRDefault="00674BF5" w:rsidP="00487A02">
            <w:pPr>
              <w:pStyle w:val="InstructionsText"/>
            </w:pPr>
            <w:r>
              <w:t>A CRR 59. cikke</w:t>
            </w:r>
          </w:p>
          <w:p w:rsidR="00674BF5" w:rsidRPr="00661595" w:rsidRDefault="00674BF5" w:rsidP="00487A02">
            <w:pPr>
              <w:pStyle w:val="InstructionsText"/>
            </w:pPr>
            <w:r>
              <w:t>A CRR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Pénzügyi ágazatbeli szervezetek AT1 tőkéjében lévő közvetett részesedések, ha az intézmény nem rendelkezik jelentős részesedéssel az említett vállalkozásokban</w:t>
            </w:r>
          </w:p>
          <w:p w:rsidR="00674BF5" w:rsidRPr="00661595" w:rsidRDefault="00674BF5" w:rsidP="00487A02">
            <w:pPr>
              <w:pStyle w:val="InstructionsText"/>
            </w:pPr>
            <w:r>
              <w:t>A CRR 4. cikke (1) bekezdésének 114. pontja, valamint 58. és 59. cikke</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Pénzügyi ágazatbeli szervezetek AT1 tőkéjében lévő bruttó közvetett részesedések, ha az intézmény nem rendelkezik jelentős részesedéssel az említett vállalkozásokban</w:t>
            </w:r>
          </w:p>
          <w:p w:rsidR="00674BF5" w:rsidRPr="00661595" w:rsidRDefault="00674BF5" w:rsidP="00487A02">
            <w:pPr>
              <w:pStyle w:val="InstructionsText"/>
            </w:pPr>
            <w:r>
              <w:t>A CRR 4. cikke (1) bekezdésének 114. pontja, valamint 58. és 59. cikke</w:t>
            </w:r>
          </w:p>
          <w:p w:rsidR="00674BF5" w:rsidRPr="00661595"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rsidR="00674BF5" w:rsidRPr="00661595" w:rsidRDefault="00674BF5" w:rsidP="00487A02">
            <w:pPr>
              <w:pStyle w:val="InstructionsText"/>
            </w:pPr>
            <w:r>
              <w:t>A CRR 56. cikkének b) pontja alapján kölcsönös részesedésként kezelt részesedések nem számíthatók be.</w:t>
            </w:r>
          </w:p>
        </w:tc>
      </w:tr>
      <w:tr w:rsidR="00674BF5" w:rsidRPr="00661595" w:rsidTr="00674BF5">
        <w:tc>
          <w:tcPr>
            <w:tcW w:w="1474" w:type="dxa"/>
          </w:tcPr>
          <w:p w:rsidR="00674BF5" w:rsidRPr="00661595" w:rsidRDefault="00754ADC" w:rsidP="00487A02">
            <w:pPr>
              <w:pStyle w:val="InstructionsText"/>
            </w:pPr>
            <w:r>
              <w:lastRenderedPageBreak/>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A fent figyelembe vett bruttó közvetett részesedésekkel kapcsolatban megengedett kiegyenlítő rövid pozíciók</w:t>
            </w:r>
          </w:p>
          <w:p w:rsidR="00674BF5" w:rsidRPr="00661595" w:rsidRDefault="00674BF5" w:rsidP="00487A02">
            <w:pPr>
              <w:pStyle w:val="InstructionsText"/>
            </w:pPr>
            <w:r>
              <w:t>A CRR 4. cikke (1) bekezdésének 114. pontja, valamint 59. cikke</w:t>
            </w:r>
          </w:p>
          <w:p w:rsidR="00674BF5" w:rsidRPr="00661595" w:rsidRDefault="00674BF5" w:rsidP="00487A02">
            <w:pPr>
              <w:pStyle w:val="InstructionsText"/>
            </w:pPr>
            <w:r>
              <w:t>A CRR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Pénzügyi ágazatbeli szervezetek AT1 tőkéjében lévő szintetikus részesedések, ha az intézmény nem rendelkezik jelentős részesedéssel az említett vállalkozásokban</w:t>
            </w:r>
          </w:p>
          <w:p w:rsidR="00674BF5" w:rsidRPr="00661595" w:rsidRDefault="00674BF5" w:rsidP="00487A02">
            <w:pPr>
              <w:pStyle w:val="InstructionsText"/>
              <w:rPr>
                <w:rStyle w:val="InstructionsTabelleberschrift"/>
                <w:rFonts w:ascii="Times New Roman" w:hAnsi="Times New Roman"/>
                <w:b w:val="0"/>
                <w:bCs w:val="0"/>
                <w:sz w:val="24"/>
                <w:u w:val="none"/>
              </w:rPr>
            </w:pPr>
            <w:r>
              <w:t>A CRR 4. cikke (1) bekezdésének 126. pontja, valamint 58. és 59. cikke</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Pénzügyi ágazatbeli szervezetek AT1 tőkéjében lévő bruttó szintetikus részesedések, ha az intézmény nem rendelkezik jelentős részesedéssel az említett vállalkozásokban</w:t>
            </w:r>
          </w:p>
          <w:p w:rsidR="00674BF5" w:rsidRPr="00661595" w:rsidRDefault="00674BF5" w:rsidP="00487A02">
            <w:pPr>
              <w:pStyle w:val="InstructionsText"/>
              <w:rPr>
                <w:rStyle w:val="InstructionsTabelleberschrift"/>
                <w:rFonts w:ascii="Times New Roman" w:hAnsi="Times New Roman"/>
                <w:b w:val="0"/>
                <w:bCs w:val="0"/>
                <w:sz w:val="24"/>
                <w:u w:val="none"/>
              </w:rPr>
            </w:pPr>
            <w:r>
              <w:t>A CRR 4. cikke (1) bekezdésének 126. pontja, valamint 58. és 59. cikke</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A fent figyelembe vett bruttó szintetikus részesedésekkel kapcsolatban megengedett kiegyenlítő rövid pozíciók</w:t>
            </w:r>
          </w:p>
          <w:p w:rsidR="00674BF5" w:rsidRPr="00661595" w:rsidRDefault="00674BF5" w:rsidP="00487A02">
            <w:pPr>
              <w:pStyle w:val="InstructionsText"/>
            </w:pPr>
            <w:r>
              <w:t>A CRR 4. cikke (1) bekezdésének 126. pontja, valamint 59. cikke</w:t>
            </w:r>
          </w:p>
          <w:p w:rsidR="002D31E5" w:rsidRPr="00661595" w:rsidRDefault="000D04B6" w:rsidP="000D04B6">
            <w:pPr>
              <w:pStyle w:val="InstructionsText"/>
              <w:rPr>
                <w:rStyle w:val="InstructionsTabelleberschrift"/>
                <w:rFonts w:ascii="Times New Roman" w:hAnsi="Times New Roman"/>
                <w:b w:val="0"/>
                <w:bCs w:val="0"/>
                <w:sz w:val="24"/>
                <w:u w:val="none"/>
              </w:rPr>
            </w:pPr>
            <w:r>
              <w:t>A CRR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Pénzügyi ágazatbeli szervezetek T2 tőkéjében lévő részesedések, ha az intézmény nem rendelkezik jelentős részesedéssel az említett vállalkozásokban, a rövid pozíciók levonásával</w:t>
            </w:r>
          </w:p>
          <w:p w:rsidR="00674BF5" w:rsidRPr="00661595" w:rsidRDefault="00674BF5" w:rsidP="00487A02">
            <w:pPr>
              <w:pStyle w:val="InstructionsText"/>
            </w:pPr>
            <w:r>
              <w:t>A CRR 68., 69. és 70. cikke</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Pénzügyi ágazatbeli szervezetek T2 tőkéjében lévő közvetlen részesedések, ha az intézmény nem rendelkezik jelentős részesedéssel az említett vállalkozásokban</w:t>
            </w:r>
          </w:p>
          <w:p w:rsidR="00674BF5" w:rsidRPr="00661595" w:rsidRDefault="00674BF5" w:rsidP="00487A02">
            <w:pPr>
              <w:pStyle w:val="InstructionsText"/>
            </w:pPr>
            <w:r>
              <w:t>A CRR 68. és 69. cikke, valamint 70. cikkének (2) bekezdése</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Pénzügyi ágazatbeli szervezetek T2 tőkéjében lévő bruttó közvetlen részesedések, ha az intézmény nem rendelkezik jelentős részesedéssel az említett vállalkozásokban</w:t>
            </w:r>
          </w:p>
          <w:p w:rsidR="00674BF5" w:rsidRPr="00661595" w:rsidRDefault="00674BF5" w:rsidP="00487A02">
            <w:pPr>
              <w:pStyle w:val="InstructionsText"/>
            </w:pPr>
            <w:r>
              <w:t>A CRR 68. cikke, valamint 70. cikkének (2) bekezdése</w:t>
            </w:r>
          </w:p>
          <w:p w:rsidR="00674BF5" w:rsidRPr="00661595" w:rsidRDefault="00674BF5" w:rsidP="00487A02">
            <w:pPr>
              <w:pStyle w:val="InstructionsText"/>
            </w:pPr>
            <w:r>
              <w:t>Pénzügyi ágazatbeli szervezetek T2 tőkéjében lévő közvetlen részesedések, ha az intézmény nem rendelkezik jelentős részesedéssel az említett vállalkozásokban, az alábbiak kivételével:</w:t>
            </w:r>
          </w:p>
          <w:p w:rsidR="00674BF5" w:rsidRPr="00661595" w:rsidRDefault="00674BF5" w:rsidP="00487A02">
            <w:pPr>
              <w:pStyle w:val="InstructionsText"/>
            </w:pPr>
            <w:r>
              <w:t>a)</w:t>
            </w:r>
            <w:r>
              <w:tab/>
              <w:t xml:space="preserve">az öt munkanapig vagy annál rövidebb ideig tartott, jegyzési garanciavállalásból eredő pozíciók; továbbá </w:t>
            </w:r>
          </w:p>
          <w:p w:rsidR="00674BF5" w:rsidRPr="00661595" w:rsidRDefault="00674BF5" w:rsidP="00487A02">
            <w:pPr>
              <w:pStyle w:val="InstructionsText"/>
            </w:pPr>
            <w:r>
              <w:t>b)</w:t>
            </w:r>
            <w:r>
              <w:tab/>
              <w:t>a CRR 66. cikkének b) pontja alapján kölcsönös részesedésként kezelt részesedések.</w:t>
            </w:r>
          </w:p>
        </w:tc>
      </w:tr>
      <w:tr w:rsidR="00674BF5" w:rsidRPr="00661595" w:rsidTr="00674BF5">
        <w:tc>
          <w:tcPr>
            <w:tcW w:w="1474" w:type="dxa"/>
          </w:tcPr>
          <w:p w:rsidR="00674BF5" w:rsidRPr="00661595" w:rsidRDefault="00754ADC" w:rsidP="00487A02">
            <w:pPr>
              <w:pStyle w:val="InstructionsText"/>
            </w:pPr>
            <w:r>
              <w:lastRenderedPageBreak/>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A fent figyelembe vett bruttó közvetlen részesedésekkel kapcsolatban megengedett kiegyenlítő rövid pozíciók</w:t>
            </w:r>
          </w:p>
          <w:p w:rsidR="00674BF5" w:rsidRPr="00661595" w:rsidRDefault="00674BF5" w:rsidP="00487A02">
            <w:pPr>
              <w:pStyle w:val="InstructionsText"/>
            </w:pPr>
            <w:r>
              <w:t>A CRR 69. cikke</w:t>
            </w:r>
          </w:p>
          <w:p w:rsidR="00674BF5" w:rsidRPr="00661595" w:rsidRDefault="00674BF5" w:rsidP="00487A02">
            <w:pPr>
              <w:pStyle w:val="InstructionsText"/>
            </w:pPr>
            <w:r>
              <w:t>A CRR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Pénzügyi ágazatbeli szervezetek T2 tőkéjében lévő közvetett részesedések, ha az intézmény nem rendelkezik jelentős részesedéssel az említett vállalkozásokban</w:t>
            </w:r>
          </w:p>
          <w:p w:rsidR="00674BF5" w:rsidRPr="00661595" w:rsidRDefault="00674BF5" w:rsidP="00487A02">
            <w:pPr>
              <w:pStyle w:val="InstructionsText"/>
            </w:pPr>
            <w:r>
              <w:t>A CRR 4. cikke (1) bekezdésének 114. pontja, valamint 68. és 69. cikke</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Pénzügyi ágazatbeli szervezetek T2 tőkéjében lévő bruttó közvetett részesedések, ha az intézmény nem rendelkezik jelentős részesedéssel az említett vállalkozásokban</w:t>
            </w:r>
          </w:p>
          <w:p w:rsidR="00674BF5" w:rsidRPr="00661595" w:rsidRDefault="00674BF5" w:rsidP="00487A02">
            <w:pPr>
              <w:pStyle w:val="InstructionsText"/>
            </w:pPr>
            <w:r>
              <w:t>A CRR 4. cikke (1) bekezdésének 114. pontja, valamint 68. és 69. cikke</w:t>
            </w:r>
          </w:p>
          <w:p w:rsidR="00674BF5" w:rsidRPr="00661595"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rsidR="00674BF5" w:rsidRPr="00661595" w:rsidRDefault="00674BF5" w:rsidP="00487A02">
            <w:pPr>
              <w:pStyle w:val="InstructionsText"/>
            </w:pPr>
            <w:r>
              <w:t>A CRR 66. cikkének b) pontja alapján kölcsönös részesedésként kezelt részesedések nem számíthatók be.</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A fent figyelembe vett bruttó közvetett részesedésekkel kapcsolatban megengedett kiegyenlítő rövid pozíciók</w:t>
            </w:r>
          </w:p>
          <w:p w:rsidR="00674BF5" w:rsidRPr="00661595" w:rsidRDefault="00674BF5" w:rsidP="00487A02">
            <w:pPr>
              <w:pStyle w:val="InstructionsText"/>
            </w:pPr>
            <w:r>
              <w:t>A CRR 4. cikke (1) bekezdésének 114. pontja, valamint 69. cikke</w:t>
            </w:r>
          </w:p>
          <w:p w:rsidR="00674BF5" w:rsidRPr="00661595" w:rsidRDefault="00674BF5" w:rsidP="00487A02">
            <w:pPr>
              <w:pStyle w:val="InstructionsText"/>
            </w:pPr>
            <w:r>
              <w:t>A CRR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Pénzügyi ágazatbeli szervezetek T2 tőkéjében lévő szintetikus részesedések, ha az intézmény nem rendelkezik jelentős részesedéssel az említett vállalkozásokban</w:t>
            </w:r>
          </w:p>
          <w:p w:rsidR="00674BF5" w:rsidRPr="00661595" w:rsidRDefault="00674BF5" w:rsidP="00487A02">
            <w:pPr>
              <w:pStyle w:val="InstructionsText"/>
              <w:rPr>
                <w:rStyle w:val="InstructionsTabelleberschrift"/>
                <w:rFonts w:ascii="Times New Roman" w:hAnsi="Times New Roman"/>
                <w:sz w:val="24"/>
              </w:rPr>
            </w:pPr>
            <w:r>
              <w:t>A CRR 4. cikke (1) bekezdésének 126. pontja, valamint 68. és 69. cikke</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Pénzügyi ágazatbeli szervezetek T2 tőkéjében lévő bruttó szintetikus részesedések, ha az intézmény nem rendelkezik jelentős részesedéssel az említett vállalkozásokban</w:t>
            </w:r>
          </w:p>
          <w:p w:rsidR="00674BF5" w:rsidRPr="00661595" w:rsidRDefault="00674BF5" w:rsidP="00487A02">
            <w:pPr>
              <w:pStyle w:val="InstructionsText"/>
              <w:rPr>
                <w:rStyle w:val="InstructionsTabelleberschrift"/>
                <w:rFonts w:ascii="Times New Roman" w:hAnsi="Times New Roman"/>
                <w:b w:val="0"/>
                <w:bCs w:val="0"/>
                <w:sz w:val="24"/>
                <w:u w:val="none"/>
              </w:rPr>
            </w:pPr>
            <w:r>
              <w:t>A CRR 4. cikke (1) bekezdésének 126. pontja, valamint 68. és 69. cikke</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A fent figyelembe vett bruttó szintetikus részesedésekkel kapcsolatban megengedett kiegyenlítő rövid pozíciók</w:t>
            </w:r>
          </w:p>
          <w:p w:rsidR="00674BF5" w:rsidRPr="00661595" w:rsidRDefault="00674BF5" w:rsidP="00487A02">
            <w:pPr>
              <w:pStyle w:val="InstructionsText"/>
            </w:pPr>
            <w:r>
              <w:t>A CRR 4. cikke (1) bekezdésének 126. pontja, valamint 69. cikke</w:t>
            </w:r>
          </w:p>
          <w:p w:rsidR="002D31E5" w:rsidRPr="00661595" w:rsidRDefault="000D04B6" w:rsidP="000D04B6">
            <w:pPr>
              <w:pStyle w:val="InstructionsText"/>
              <w:rPr>
                <w:rStyle w:val="InstructionsTabelleberschrift"/>
                <w:rFonts w:ascii="Times New Roman" w:hAnsi="Times New Roman"/>
                <w:b w:val="0"/>
                <w:bCs w:val="0"/>
                <w:sz w:val="24"/>
                <w:u w:val="none"/>
              </w:rPr>
            </w:pPr>
            <w:r>
              <w:lastRenderedPageBreak/>
              <w:t>A CRR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lastRenderedPageBreak/>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Pénzügyi ágazatbeli szervezetek CET1 tőkéjében lévő részesedések, ha az intézmény jelentős részesedéssel rendelkezik az említett vállalkozásokban, a rövid pozíciók levonásával</w:t>
            </w:r>
          </w:p>
          <w:p w:rsidR="00674BF5" w:rsidRPr="00661595" w:rsidRDefault="00674BF5" w:rsidP="00487A02">
            <w:pPr>
              <w:pStyle w:val="InstructionsText"/>
            </w:pPr>
            <w:r>
              <w:t>A CRR 44., 45., 47. és 49. cikke</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Pénzügyi ágazatbeli szervezetek CET1 tőkéjében lévő közvetlen részesedések, ha az intézmény jelentős részesedéssel rendelkezik az említett vállalkozásokban</w:t>
            </w:r>
          </w:p>
          <w:p w:rsidR="00674BF5" w:rsidRPr="00661595" w:rsidRDefault="00674BF5" w:rsidP="00487A02">
            <w:pPr>
              <w:pStyle w:val="InstructionsText"/>
            </w:pPr>
            <w:r>
              <w:t>A CRR 44., 45., 47. és 49. cikke</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Pénzügyi ágazatbeli szervezetek CET1 tőkéjében lévő bruttó közvetlen részesedések, ha az intézmény jelentős részesedéssel rendelkezik az említett vállalkozásokban</w:t>
            </w:r>
          </w:p>
          <w:p w:rsidR="00674BF5" w:rsidRPr="00661595" w:rsidRDefault="00674BF5" w:rsidP="00487A02">
            <w:pPr>
              <w:pStyle w:val="InstructionsText"/>
            </w:pPr>
            <w:r>
              <w:t>A CRR 44., 45., 47. és 49. cikke</w:t>
            </w:r>
          </w:p>
          <w:p w:rsidR="00674BF5" w:rsidRPr="00661595" w:rsidRDefault="00674BF5" w:rsidP="00487A02">
            <w:pPr>
              <w:pStyle w:val="InstructionsText"/>
            </w:pPr>
            <w:r>
              <w:t>Pénzügyi ágazatbeli szervezetek CET1 tőkéjében lévő közvetlen részesedések, ha az intézmény jelentős részesedéssel rendelkezik az említett vállalkozásokban, az alábbiak kivételével:</w:t>
            </w:r>
          </w:p>
          <w:p w:rsidR="00674BF5" w:rsidRPr="00661595" w:rsidRDefault="00674BF5" w:rsidP="00487A02">
            <w:pPr>
              <w:pStyle w:val="InstructionsText"/>
            </w:pPr>
            <w:r>
              <w:t>a)</w:t>
            </w:r>
            <w:r>
              <w:tab/>
              <w:t xml:space="preserve">az öt munkanapig vagy annál rövidebb ideig tartott, jegyzési garanciavállalásból eredő pozíciók; </w:t>
            </w:r>
          </w:p>
          <w:p w:rsidR="00674BF5" w:rsidRPr="00661595" w:rsidRDefault="00674BF5" w:rsidP="00487A02">
            <w:pPr>
              <w:pStyle w:val="InstructionsText"/>
            </w:pPr>
            <w:r>
              <w:t>b)</w:t>
            </w:r>
            <w:r>
              <w:tab/>
              <w:t xml:space="preserve">olyan befektetéshez kapcsolódó összegek, amelyekre a 49. cikkben felsorolt alternatívák valamelyikét alkalmazzák; továbbá </w:t>
            </w:r>
          </w:p>
          <w:p w:rsidR="00674BF5" w:rsidRPr="00661595" w:rsidRDefault="00674BF5" w:rsidP="00487A02">
            <w:pPr>
              <w:pStyle w:val="InstructionsText"/>
            </w:pPr>
            <w:r>
              <w:t>c)</w:t>
            </w:r>
            <w:r>
              <w:tab/>
              <w:t>a CRR 36. cikke (1) bekezdésének g) pontja alapján kölcsönös részesedésként kezelt részesedések</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A fent figyelembe vett bruttó közvetlen részesedésekkel kapcsolatban megengedett kiegyenlítő rövid pozíciók</w:t>
            </w:r>
          </w:p>
          <w:p w:rsidR="00674BF5" w:rsidRPr="00661595" w:rsidRDefault="00674BF5" w:rsidP="00487A02">
            <w:pPr>
              <w:pStyle w:val="InstructionsText"/>
            </w:pPr>
            <w:r>
              <w:t>A CRR 45. cikke</w:t>
            </w:r>
          </w:p>
          <w:p w:rsidR="00674BF5" w:rsidRPr="00661595" w:rsidRDefault="00674BF5" w:rsidP="00487A02">
            <w:pPr>
              <w:pStyle w:val="InstructionsText"/>
            </w:pPr>
            <w:r>
              <w:t>A CRR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Pénzügyi ágazatbeli szervezetek CET1 tőkéjében lévő közvetett részesedések, ha az intézmény jelentős részesedéssel rendelkezik az említett vállalkozásokban</w:t>
            </w:r>
          </w:p>
          <w:p w:rsidR="00674BF5" w:rsidRPr="00661595" w:rsidRDefault="00674BF5" w:rsidP="00487A02">
            <w:pPr>
              <w:pStyle w:val="InstructionsText"/>
            </w:pPr>
            <w:r>
              <w:t>A CRR 4. cikke (1) bekezdésének 114. pontja, valamint 44. és 45. cikke</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Pénzügyi ágazatbeli szervezetek CET1 tőkéjében lévő bruttó közvetett részesedések, ha az intézmény jelentős részesedéssel rendelkezik az említett vállalkozásokban</w:t>
            </w:r>
          </w:p>
          <w:p w:rsidR="00674BF5" w:rsidRPr="00661595" w:rsidRDefault="00674BF5" w:rsidP="00487A02">
            <w:pPr>
              <w:pStyle w:val="InstructionsText"/>
            </w:pPr>
            <w:r>
              <w:t>A CRR 4. cikke (1) bekezdésének 114. pontja, valamint 44. és 45. cikke</w:t>
            </w:r>
          </w:p>
          <w:p w:rsidR="00674BF5" w:rsidRPr="00661595" w:rsidRDefault="00674BF5" w:rsidP="00487A02">
            <w:pPr>
              <w:pStyle w:val="InstructionsText"/>
            </w:pPr>
            <w:r>
              <w:lastRenderedPageBreak/>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rsidR="00674BF5" w:rsidRPr="00661595" w:rsidRDefault="00674BF5" w:rsidP="00487A02">
            <w:pPr>
              <w:pStyle w:val="InstructionsText"/>
            </w:pPr>
            <w:r>
              <w:t>A CRR 36. cikke (1) bekezdésének g) pontja alapján kölcsönös részesedésként kezelt részesedések nem számíthatók be.</w:t>
            </w:r>
          </w:p>
        </w:tc>
      </w:tr>
      <w:tr w:rsidR="00674BF5" w:rsidRPr="00661595" w:rsidTr="00674BF5">
        <w:tc>
          <w:tcPr>
            <w:tcW w:w="1474" w:type="dxa"/>
          </w:tcPr>
          <w:p w:rsidR="00674BF5" w:rsidRPr="00661595" w:rsidRDefault="00754ADC" w:rsidP="00487A02">
            <w:pPr>
              <w:pStyle w:val="InstructionsText"/>
            </w:pPr>
            <w:r>
              <w:lastRenderedPageBreak/>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A fent figyelembe vett bruttó közvetett részesedésekkel kapcsolatban megengedett kiegyenlítő rövid pozíciók</w:t>
            </w:r>
          </w:p>
          <w:p w:rsidR="00674BF5" w:rsidRPr="00661595" w:rsidRDefault="00674BF5" w:rsidP="00487A02">
            <w:pPr>
              <w:pStyle w:val="InstructionsText"/>
            </w:pPr>
            <w:r>
              <w:t>A CRR 4. cikke (1) bekezdésének 114. pontja, valamint 45. cikke</w:t>
            </w:r>
          </w:p>
          <w:p w:rsidR="00674BF5" w:rsidRPr="00661595" w:rsidRDefault="00674BF5" w:rsidP="00487A02">
            <w:pPr>
              <w:pStyle w:val="InstructionsText"/>
            </w:pPr>
            <w:r>
              <w:t>A CRR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Pénzügyi ágazatbeli szervezetek CET1 tőkéjében lévő szintetikus részesedések, ha az intézmény jelentős részesedéssel rendelkezik az említett vállalkozásokban</w:t>
            </w:r>
          </w:p>
          <w:p w:rsidR="00674BF5" w:rsidRPr="00661595" w:rsidRDefault="00674BF5" w:rsidP="00487A02">
            <w:pPr>
              <w:pStyle w:val="InstructionsText"/>
            </w:pPr>
            <w:r>
              <w:t>A CRR 4. cikke (1) bekezdésének 126. pontja, valamint 44. és 45. cikke</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Pénzügyi ágazatbeli szervezetek CET1 tőkéjében lévő bruttó szintetikus részesedések, ha az intézmény jelentős részesedéssel rendelkezik az említett vállalkozásokban</w:t>
            </w:r>
          </w:p>
          <w:p w:rsidR="00674BF5" w:rsidRPr="00661595" w:rsidRDefault="00674BF5" w:rsidP="00487A02">
            <w:pPr>
              <w:pStyle w:val="InstructionsText"/>
            </w:pPr>
            <w:r>
              <w:t>A CRR 4. cikke (1) bekezdésének 126. pontja, valamint 44. és 45. cikke</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A fent figyelembe vett bruttó szintetikus részesedésekkel kapcsolatban megengedett kiegyenlítő rövid pozíciók</w:t>
            </w:r>
          </w:p>
          <w:p w:rsidR="00674BF5" w:rsidRPr="00661595" w:rsidRDefault="00674BF5" w:rsidP="00487A02">
            <w:pPr>
              <w:pStyle w:val="InstructionsText"/>
            </w:pPr>
            <w:r>
              <w:t>A CRR 4. cikke (1) bekezdésének 126. pontja, valamint 45. cikke</w:t>
            </w:r>
          </w:p>
          <w:p w:rsidR="002D31E5" w:rsidRPr="00661595" w:rsidRDefault="000D04B6" w:rsidP="000D04B6">
            <w:pPr>
              <w:pStyle w:val="InstructionsText"/>
            </w:pPr>
            <w:r>
              <w:t>A CRR 45.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Pénzügyi ágazatbeli szervezetek elsődleges alapvető tőkéjében lévő részesedések, ha az intézmény jelentős részesedéssel rendelkezik az említett vállalkozásokban – 250 %-os kockázati súly alkalmazandó</w:t>
            </w:r>
          </w:p>
          <w:p w:rsidR="00916197" w:rsidRPr="00661595" w:rsidRDefault="00916197" w:rsidP="00487A02">
            <w:pPr>
              <w:pStyle w:val="InstructionsText"/>
            </w:pPr>
            <w:r>
              <w:t>A CRR 48. cikkének (4) bekezdése</w:t>
            </w:r>
          </w:p>
          <w:p w:rsidR="00916197" w:rsidRPr="00661595" w:rsidRDefault="00916197" w:rsidP="00487A02">
            <w:pPr>
              <w:pStyle w:val="InstructionsText"/>
            </w:pPr>
            <w:r>
              <w:t>Pénzügyi ágazatbeli szervezetek CET1 tőkéjében lévő jelentős részesedések azon összege, amely a CRR 48. cikkének (1) bekezdése alapján nem kerül levonásra, de amelyre a CRR 48. cikkének (4) bekezdése szerint 250 %-os kockázati súly alkalmazandó.</w:t>
            </w:r>
          </w:p>
          <w:p w:rsidR="00916197" w:rsidRPr="00661595" w:rsidRDefault="00916197" w:rsidP="00487A02">
            <w:pPr>
              <w:pStyle w:val="InstructionsText"/>
              <w:rPr>
                <w:rStyle w:val="InstructionsTabelleberschrift"/>
                <w:rFonts w:ascii="Times New Roman" w:hAnsi="Times New Roman"/>
                <w:sz w:val="24"/>
              </w:rPr>
            </w:pPr>
            <w:r>
              <w:t>A feltüntetett összeg a jelentős részesedések kockázati súlyok alkalmazása előtti összege.</w:t>
            </w:r>
          </w:p>
        </w:tc>
      </w:tr>
      <w:tr w:rsidR="00674BF5" w:rsidRPr="00661595" w:rsidTr="00674BF5">
        <w:tc>
          <w:tcPr>
            <w:tcW w:w="1474" w:type="dxa"/>
          </w:tcPr>
          <w:p w:rsidR="00674BF5" w:rsidRPr="00661595" w:rsidRDefault="00754ADC" w:rsidP="00487A02">
            <w:pPr>
              <w:pStyle w:val="InstructionsText"/>
            </w:pPr>
            <w:r>
              <w:lastRenderedPageBreak/>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Pénzügyi ágazatbeli szervezetek AT1 tőkéjében lévő részesedések, ha az intézmény jelentős részesedéssel rendelkezik az említett vállalkozásokban, a rövid pozíciók levonásával</w:t>
            </w:r>
          </w:p>
          <w:p w:rsidR="00674BF5" w:rsidRPr="00661595" w:rsidRDefault="00674BF5" w:rsidP="00487A02">
            <w:pPr>
              <w:pStyle w:val="InstructionsText"/>
            </w:pPr>
            <w:r>
              <w:t>A CRR 58. és 59. cikke</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Pénzügyi ágazatbeli szervezetek AT1 tőkéjében lévő közvetlen részesedések, ha az intézmény jelentős részesedéssel rendelkezik az említett vállalkozásokban</w:t>
            </w:r>
          </w:p>
          <w:p w:rsidR="00674BF5" w:rsidRPr="00661595" w:rsidRDefault="00674BF5" w:rsidP="00487A02">
            <w:pPr>
              <w:pStyle w:val="InstructionsText"/>
            </w:pPr>
            <w:r>
              <w:t>A CRR 58. és 59. cikke</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Pénzügyi ágazatbeli szervezetek AT1 tőkéjében lévő bruttó közvetlen részesedések, ha az intézmény jelentős részesedéssel rendelkezik az említett vállalkozásokban</w:t>
            </w:r>
          </w:p>
          <w:p w:rsidR="00674BF5" w:rsidRPr="00661595" w:rsidRDefault="00674BF5" w:rsidP="00487A02">
            <w:pPr>
              <w:pStyle w:val="InstructionsText"/>
            </w:pPr>
            <w:r>
              <w:t>A CRR 58. cikke</w:t>
            </w:r>
          </w:p>
          <w:p w:rsidR="00674BF5" w:rsidRPr="00661595" w:rsidRDefault="00674BF5" w:rsidP="00487A02">
            <w:pPr>
              <w:pStyle w:val="InstructionsText"/>
            </w:pPr>
            <w:r>
              <w:t>Pénzügyi ágazatbeli szervezetek AT1 tőkéjében lévő közvetlen részesedések, ha az intézmény jelentős részesedéssel rendelkezik az említett vállalkozásokban, az alábbiak kivételével:</w:t>
            </w:r>
          </w:p>
          <w:p w:rsidR="00674BF5" w:rsidRPr="00661595" w:rsidRDefault="00674BF5" w:rsidP="00487A02">
            <w:pPr>
              <w:pStyle w:val="InstructionsText"/>
            </w:pPr>
            <w:r>
              <w:t>a)</w:t>
            </w:r>
            <w:r>
              <w:tab/>
              <w:t>az öt munkanapig vagy annál rövidebb ideig tartott, jegyzési garanciavállalásból eredő pozíciók (a CRR 56. cikkének d) pontja); továbbá</w:t>
            </w:r>
          </w:p>
          <w:p w:rsidR="00674BF5" w:rsidRPr="00661595" w:rsidRDefault="00674BF5" w:rsidP="00487A02">
            <w:pPr>
              <w:pStyle w:val="InstructionsText"/>
            </w:pPr>
            <w:r>
              <w:t>b)</w:t>
            </w:r>
            <w:r>
              <w:tab/>
              <w:t>a CRR 56. cikkének b) pontja alapján kölcsönös részesedésként kezelt részesedések.</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A fent figyelembe vett bruttó közvetlen részesedésekkel kapcsolatban megengedett kiegyenlítő rövid pozíciók</w:t>
            </w:r>
          </w:p>
          <w:p w:rsidR="00674BF5" w:rsidRPr="00661595" w:rsidRDefault="00674BF5" w:rsidP="00487A02">
            <w:pPr>
              <w:pStyle w:val="InstructionsText"/>
            </w:pPr>
            <w:r>
              <w:t>A CRR 59. cikke</w:t>
            </w:r>
          </w:p>
          <w:p w:rsidR="00674BF5" w:rsidRPr="00661595" w:rsidRDefault="00674BF5" w:rsidP="00487A02">
            <w:pPr>
              <w:pStyle w:val="InstructionsText"/>
            </w:pPr>
            <w:r>
              <w:t>A CRR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Pénzügyi ágazatbeli szervezetek AT1 tőkéjében lévő közvetett részesedések, ha az intézmény jelentős részesedéssel rendelkezik az említett vállalkozásokban</w:t>
            </w:r>
          </w:p>
          <w:p w:rsidR="00674BF5" w:rsidRPr="00661595" w:rsidRDefault="00674BF5" w:rsidP="00487A02">
            <w:pPr>
              <w:pStyle w:val="InstructionsText"/>
            </w:pPr>
            <w:r>
              <w:t>A CRR 4. cikke (1) bekezdésének 114. pontja, valamint 58. és 59. cikke</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Pénzügyi ágazatbeli szervezetek AT1 tőkéjében lévő bruttó közvetett részesedések, ha az intézmény jelentős részesedéssel rendelkezik az említett vállalkozásokban</w:t>
            </w:r>
          </w:p>
          <w:p w:rsidR="00674BF5" w:rsidRPr="00661595" w:rsidRDefault="00674BF5" w:rsidP="00487A02">
            <w:pPr>
              <w:pStyle w:val="InstructionsText"/>
            </w:pPr>
            <w:r>
              <w:t>A CRR 4. cikke (1) bekezdésének 114. pontja, valamint 58. és 59. cikke</w:t>
            </w:r>
          </w:p>
          <w:p w:rsidR="00674BF5" w:rsidRPr="00661595"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rsidR="00674BF5" w:rsidRPr="00661595" w:rsidRDefault="00674BF5" w:rsidP="00487A02">
            <w:pPr>
              <w:pStyle w:val="InstructionsText"/>
            </w:pPr>
            <w:r>
              <w:lastRenderedPageBreak/>
              <w:t>A CRR 56. cikkének b) pontja alapján kölcsönös részesedésként kezelt részesedések nem számíthatók be.</w:t>
            </w:r>
          </w:p>
        </w:tc>
      </w:tr>
      <w:tr w:rsidR="00674BF5" w:rsidRPr="00661595" w:rsidTr="00674BF5">
        <w:tc>
          <w:tcPr>
            <w:tcW w:w="1474" w:type="dxa"/>
          </w:tcPr>
          <w:p w:rsidR="00674BF5" w:rsidRPr="00661595" w:rsidRDefault="00754ADC" w:rsidP="00487A02">
            <w:pPr>
              <w:pStyle w:val="InstructionsText"/>
            </w:pPr>
            <w:r>
              <w:lastRenderedPageBreak/>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A fent figyelembe vett bruttó közvetett részesedésekkel kapcsolatban megengedett kiegyenlítő rövid pozíciók</w:t>
            </w:r>
          </w:p>
          <w:p w:rsidR="00674BF5" w:rsidRPr="00661595" w:rsidRDefault="00674BF5" w:rsidP="00487A02">
            <w:pPr>
              <w:pStyle w:val="InstructionsText"/>
            </w:pPr>
            <w:r>
              <w:t>A CRR 4. cikke (1) bekezdésének 114. pontja, valamint 59. cikke</w:t>
            </w:r>
          </w:p>
          <w:p w:rsidR="00674BF5" w:rsidRPr="00661595" w:rsidRDefault="00674BF5" w:rsidP="00487A02">
            <w:pPr>
              <w:pStyle w:val="InstructionsText"/>
            </w:pPr>
            <w:r>
              <w:t>A CRR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Pénzügyi ágazatbeli szervezetek AT1 tőkéjében lévő szintetikus részesedések, ha az intézmény jelentős részesedéssel rendelkezik az említett vállalkozásokban</w:t>
            </w:r>
          </w:p>
          <w:p w:rsidR="00674BF5" w:rsidRPr="00661595" w:rsidRDefault="00674BF5" w:rsidP="00487A02">
            <w:pPr>
              <w:pStyle w:val="InstructionsText"/>
              <w:rPr>
                <w:rStyle w:val="InstructionsTabelleberschrift"/>
                <w:rFonts w:ascii="Times New Roman" w:hAnsi="Times New Roman"/>
                <w:b w:val="0"/>
                <w:bCs w:val="0"/>
                <w:sz w:val="24"/>
                <w:u w:val="none"/>
              </w:rPr>
            </w:pPr>
            <w:r>
              <w:t>A CRR 4. cikke (1) bekezdésének 126. pontja, valamint 58. és 59. cikke</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Pénzügyi ágazatbeli szervezetek AT1 tőkéjében lévő bruttó szintetikus részesedések, ha az intézmény jelentős részesedéssel rendelkezik az említett vállalkozásokban</w:t>
            </w:r>
          </w:p>
          <w:p w:rsidR="00674BF5" w:rsidRPr="00661595" w:rsidRDefault="00674BF5" w:rsidP="00487A02">
            <w:pPr>
              <w:pStyle w:val="InstructionsText"/>
              <w:rPr>
                <w:rStyle w:val="InstructionsTabelleberschrift"/>
                <w:rFonts w:ascii="Times New Roman" w:hAnsi="Times New Roman"/>
                <w:b w:val="0"/>
                <w:bCs w:val="0"/>
                <w:sz w:val="24"/>
                <w:u w:val="none"/>
              </w:rPr>
            </w:pPr>
            <w:r>
              <w:t>A CRR 4. cikke (1) bekezdésének 126. pontja, valamint 58. és 59. cikke</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A fent figyelembe vett bruttó szintetikus részesedésekkel kapcsolatban megengedett kiegyenlítő rövid pozíciók</w:t>
            </w:r>
          </w:p>
          <w:p w:rsidR="00674BF5" w:rsidRPr="00661595" w:rsidRDefault="00674BF5" w:rsidP="00487A02">
            <w:pPr>
              <w:pStyle w:val="InstructionsText"/>
            </w:pPr>
            <w:r>
              <w:t>A CRR 4. cikke (1) bekezdésének 126. pontja, valamint 59. cikke</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59.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Pénzügyi ágazatbeli szervezetek T2 tőkéjében lévő részesedések, ha az intézmény jelentős részesedéssel rendelkezik az említett vállalkozásokban, a rövid pozíciók levonásával</w:t>
            </w:r>
          </w:p>
          <w:p w:rsidR="00674BF5" w:rsidRPr="00661595" w:rsidRDefault="00674BF5" w:rsidP="00487A02">
            <w:pPr>
              <w:pStyle w:val="InstructionsText"/>
            </w:pPr>
            <w:r>
              <w:t>A CRR 68. és 69. cikke</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Pénzügyi ágazatbeli szervezetek T2 tőkéjében lévő közvetlen részesedések, ha az intézmény jelentős részesedéssel rendelkezik az említett vállalkozásokban</w:t>
            </w:r>
          </w:p>
          <w:p w:rsidR="00674BF5" w:rsidRPr="00661595" w:rsidRDefault="00674BF5" w:rsidP="00487A02">
            <w:pPr>
              <w:pStyle w:val="InstructionsText"/>
            </w:pPr>
            <w:r>
              <w:t>A CRR 68. és 69. cikke</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Pénzügyi ágazatbeli szervezetek T2 tőkéjében lévő bruttó közvetlen részesedések, ha az intézmény jelentős részesedéssel rendelkezik az említett vállalkozásokban</w:t>
            </w:r>
          </w:p>
          <w:p w:rsidR="00674BF5" w:rsidRPr="00661595" w:rsidRDefault="00674BF5" w:rsidP="00487A02">
            <w:pPr>
              <w:pStyle w:val="InstructionsText"/>
            </w:pPr>
            <w:r>
              <w:t>A CRR 68. cikke</w:t>
            </w:r>
          </w:p>
          <w:p w:rsidR="00674BF5" w:rsidRPr="00661595" w:rsidRDefault="00674BF5" w:rsidP="00487A02">
            <w:pPr>
              <w:pStyle w:val="InstructionsText"/>
            </w:pPr>
            <w:r>
              <w:t>Pénzügyi ágazatbeli szervezetek T2 tőkéjében lévő közvetlen részesedések, ha az intézmény jelentős részesedéssel rendelkezik az említett vállalkozásokban, az alábbiak kivételével:</w:t>
            </w:r>
          </w:p>
          <w:p w:rsidR="00674BF5" w:rsidRPr="00661595" w:rsidRDefault="00674BF5" w:rsidP="00487A02">
            <w:pPr>
              <w:pStyle w:val="InstructionsText"/>
            </w:pPr>
            <w:r>
              <w:t>a)</w:t>
            </w:r>
            <w:r>
              <w:tab/>
              <w:t xml:space="preserve">az öt munkanapig vagy annál rövidebb ideig tartott, jegyzési garanciavállalásból eredő pozíciók (a CRR 66. cikkének d) pontja); továbbá </w:t>
            </w:r>
          </w:p>
          <w:p w:rsidR="00674BF5" w:rsidRPr="00661595" w:rsidRDefault="00674BF5" w:rsidP="00487A02">
            <w:pPr>
              <w:pStyle w:val="InstructionsText"/>
            </w:pPr>
            <w:r>
              <w:lastRenderedPageBreak/>
              <w:t>b)</w:t>
            </w:r>
            <w:r>
              <w:tab/>
              <w:t>a CRR 66. cikkének b) pontja alapján kölcsönös részesedésként kezelt részesedések.</w:t>
            </w:r>
          </w:p>
        </w:tc>
      </w:tr>
      <w:tr w:rsidR="00674BF5" w:rsidRPr="00661595" w:rsidTr="00674BF5">
        <w:tc>
          <w:tcPr>
            <w:tcW w:w="1474" w:type="dxa"/>
          </w:tcPr>
          <w:p w:rsidR="00674BF5" w:rsidRPr="00661595" w:rsidRDefault="00754ADC" w:rsidP="00487A02">
            <w:pPr>
              <w:pStyle w:val="InstructionsText"/>
            </w:pPr>
            <w:r>
              <w:lastRenderedPageBreak/>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A fent figyelembe vett bruttó közvetlen részesedésekkel kapcsolatban megengedett kiegyenlítő rövid pozíciók</w:t>
            </w:r>
          </w:p>
          <w:p w:rsidR="00674BF5" w:rsidRPr="00661595" w:rsidRDefault="00674BF5" w:rsidP="00487A02">
            <w:pPr>
              <w:pStyle w:val="InstructionsText"/>
            </w:pPr>
            <w:r>
              <w:t>A CRR 69. cikke</w:t>
            </w:r>
          </w:p>
          <w:p w:rsidR="00674BF5" w:rsidRPr="00661595" w:rsidRDefault="00674BF5" w:rsidP="00487A02">
            <w:pPr>
              <w:pStyle w:val="InstructionsText"/>
            </w:pPr>
            <w:r>
              <w:t>A CRR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Pénzügyi ágazatbeli szervezetek T2 tőkéjében lévő közvetett részesedések, ha az intézmény jelentős részesedéssel rendelkezik az említett vállalkozásokban</w:t>
            </w:r>
          </w:p>
          <w:p w:rsidR="00674BF5" w:rsidRPr="00661595" w:rsidRDefault="00674BF5" w:rsidP="00487A02">
            <w:pPr>
              <w:pStyle w:val="InstructionsText"/>
            </w:pPr>
            <w:r>
              <w:t>A CRR 4. cikke (1) bekezdésének 114. pontja, valamint 68. és 69. cikke</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Pénzügyi ágazatbeli szervezetek T2 tőkéjében lévő bruttó közvetett részesedések, ha az intézmény jelentős részesedéssel rendelkezik az említett vállalkozásokban</w:t>
            </w:r>
          </w:p>
          <w:p w:rsidR="00674BF5" w:rsidRPr="00661595" w:rsidRDefault="00674BF5" w:rsidP="00487A02">
            <w:pPr>
              <w:pStyle w:val="InstructionsText"/>
            </w:pPr>
            <w:r>
              <w:t>A CRR 4. cikke (1) bekezdésének 114. pontja, valamint 68. és 69. cikke</w:t>
            </w:r>
          </w:p>
          <w:p w:rsidR="00674BF5" w:rsidRPr="00661595" w:rsidRDefault="00674BF5" w:rsidP="00487A02">
            <w:pPr>
              <w:pStyle w:val="InstructionsText"/>
            </w:pPr>
            <w:r>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rsidR="00674BF5" w:rsidRPr="00661595" w:rsidRDefault="00674BF5" w:rsidP="00487A02">
            <w:pPr>
              <w:pStyle w:val="InstructionsText"/>
            </w:pPr>
            <w:r>
              <w:t>A CRR 66. cikkének b) pontja alapján kölcsönös részesedésként kezelt részesedések nem számíthatók be.</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A fent figyelembe vett bruttó közvetett részesedésekkel kapcsolatban megengedett kiegyenlítő rövid pozíciók</w:t>
            </w:r>
          </w:p>
          <w:p w:rsidR="00674BF5" w:rsidRPr="00661595" w:rsidRDefault="00674BF5" w:rsidP="00487A02">
            <w:pPr>
              <w:pStyle w:val="InstructionsText"/>
            </w:pPr>
            <w:r>
              <w:t>A CRR 4. cikke (1) bekezdésének 114. pontja, valamint 69. cikke</w:t>
            </w:r>
          </w:p>
          <w:p w:rsidR="00674BF5" w:rsidRPr="00661595" w:rsidRDefault="00674BF5" w:rsidP="00487A02">
            <w:pPr>
              <w:pStyle w:val="InstructionsText"/>
            </w:pPr>
            <w:r>
              <w:t>A CRR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Pénzügyi ágazatbeli szervezetek T2 tőkéjében lévő szintetikus részesedések, ha az intézmény jelentős részesedéssel rendelkezik az említett vállalkozásokban</w:t>
            </w:r>
          </w:p>
          <w:p w:rsidR="00674BF5" w:rsidRPr="00661595" w:rsidRDefault="00674BF5" w:rsidP="00487A02">
            <w:pPr>
              <w:pStyle w:val="InstructionsText"/>
              <w:rPr>
                <w:rStyle w:val="InstructionsTabelleberschrift"/>
                <w:rFonts w:ascii="Times New Roman" w:hAnsi="Times New Roman"/>
                <w:b w:val="0"/>
                <w:bCs w:val="0"/>
                <w:sz w:val="24"/>
                <w:u w:val="none"/>
              </w:rPr>
            </w:pPr>
            <w:r>
              <w:t>A CRR 4. cikke (1) bekezdésének 126. pontja, valamint 68. és 69. cikke</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Pénzügyi ágazatbeli szervezetek T2 tőkéjében lévő bruttó szintetikus részesedések, ha az intézmény jelentős részesedéssel rendelkezik az említett vállalkozásokban</w:t>
            </w:r>
          </w:p>
          <w:p w:rsidR="00674BF5" w:rsidRPr="00661595" w:rsidRDefault="00674BF5" w:rsidP="00487A02">
            <w:pPr>
              <w:pStyle w:val="InstructionsText"/>
              <w:rPr>
                <w:rStyle w:val="InstructionsTabelleberschrift"/>
                <w:rFonts w:ascii="Times New Roman" w:hAnsi="Times New Roman"/>
                <w:b w:val="0"/>
                <w:bCs w:val="0"/>
                <w:sz w:val="24"/>
                <w:u w:val="none"/>
              </w:rPr>
            </w:pPr>
            <w:r>
              <w:t>A CRR 4. cikke (1) bekezdésének 126. pontja, valamint 68. és 69. cikke</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A fent figyelembe vett bruttó szintetikus részesedésekkel kapcsolatban megengedett kiegyenlítő rövid pozíciók</w:t>
            </w:r>
          </w:p>
          <w:p w:rsidR="00674BF5" w:rsidRPr="00661595" w:rsidRDefault="00674BF5" w:rsidP="00487A02">
            <w:pPr>
              <w:pStyle w:val="InstructionsText"/>
            </w:pPr>
            <w:r>
              <w:lastRenderedPageBreak/>
              <w:t>A CRR 4. cikke (1) bekezdésének 126. pontja, valamint 69. cikke</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69. cikkének a) pontja megengedi az azonos alapul szolgáló kitettségen belüli kiegyenlítő rövid pozíciókat akkor, ha a rövid pozíció lejárata azonos a hosszú pozíció lejáratával vagy annál későbbi, vagy a rövid pozíció hátralévő futamideje legalább egy év.</w:t>
            </w:r>
          </w:p>
        </w:tc>
      </w:tr>
      <w:tr w:rsidR="00674BF5" w:rsidRPr="00661595" w:rsidTr="00674BF5">
        <w:tc>
          <w:tcPr>
            <w:tcW w:w="1474" w:type="dxa"/>
          </w:tcPr>
          <w:p w:rsidR="00674BF5" w:rsidRPr="00661595" w:rsidRDefault="00754ADC" w:rsidP="00487A02">
            <w:pPr>
              <w:pStyle w:val="InstructionsText"/>
            </w:pPr>
            <w:r>
              <w:lastRenderedPageBreak/>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Pénzügyi ágazatbeli szervezetek CET1 tőkéjében meglévő olyan részesedések kockázattal súlyozott kitettségei, amelyeket az intézmény CET1 tőkéjéből nem vonnak le</w:t>
            </w:r>
          </w:p>
          <w:p w:rsidR="00674BF5" w:rsidRPr="00661595" w:rsidRDefault="00674BF5" w:rsidP="00487A02">
            <w:pPr>
              <w:pStyle w:val="InstructionsText"/>
            </w:pPr>
            <w:r>
              <w:t>A CRR 46. cikkének (4) bekezdése, 48. cikkének (4) bekezdése és 49. cikkének (4) bekezdése</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Pénzügyi ágazatbeli szervezetek AT1 tőkéjében meglévő olyan részesedések kockázattal súlyozott kitettségei, amelyeket az intézmény AT1 tőkéjéből nem vonnak le</w:t>
            </w:r>
          </w:p>
          <w:p w:rsidR="00674BF5" w:rsidRPr="00661595" w:rsidRDefault="00674BF5" w:rsidP="00487A02">
            <w:pPr>
              <w:pStyle w:val="InstructionsText"/>
            </w:pPr>
            <w:r>
              <w:t>A CRR 60. cikkének (4) bekezdése</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Pénzügyi ágazatbeli szervezetek T2 tőkéjében meglévő olyan részesedések kockázattal súlyozott kitettségei, amelyeket az intézmény T2 tőkéjéből nem vonnak le</w:t>
            </w:r>
          </w:p>
          <w:p w:rsidR="00674BF5" w:rsidRPr="00661595" w:rsidRDefault="00674BF5" w:rsidP="00487A02">
            <w:pPr>
              <w:pStyle w:val="InstructionsText"/>
            </w:pPr>
            <w:r>
              <w:t>A CRR 70. cikkének (4) bekezdése</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Pénzügyi ágazatbeli szervezetek által kibocsátott CET1 tőkeinstrumentumokban lévő részesedések, ha az intézmény nem rendelkezik átmenetileg mentesülő jelentős részesedéssel az említett vállalkozásokban</w:t>
            </w:r>
          </w:p>
          <w:p w:rsidR="00674BF5" w:rsidRPr="00661595" w:rsidRDefault="00674BF5" w:rsidP="00487A02">
            <w:pPr>
              <w:pStyle w:val="InstructionsText"/>
            </w:pPr>
            <w:r>
              <w:t>A CRR 79. cikke</w:t>
            </w:r>
          </w:p>
          <w:p w:rsidR="00674BF5" w:rsidRPr="00661595" w:rsidRDefault="00674BF5" w:rsidP="00487A02">
            <w:pPr>
              <w:pStyle w:val="InstructionsText"/>
            </w:pPr>
            <w:r>
              <w:t>Egy illetékes hatóság átmenetileg eltekinthet a CET1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rsidR="00674BF5" w:rsidRPr="00661595" w:rsidRDefault="00674BF5" w:rsidP="00487A02">
            <w:pPr>
              <w:pStyle w:val="InstructionsText"/>
            </w:pPr>
            <w:r>
              <w:t>Ügyelni kell arra, hogy az ilyen instrumentumokat a 12.1. tételben is szerepeltetni kell.</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Pénzügyi ágazatbeli szervezetek által kibocsátott CET1 tőkeinstrumentumokban lévő részesedések, ha az intézmény átmenetileg mentesülő jelentős részesedéssel rendelkezik az említett vállalkozásokban</w:t>
            </w:r>
          </w:p>
          <w:p w:rsidR="00674BF5" w:rsidRPr="00661595" w:rsidRDefault="00674BF5" w:rsidP="00487A02">
            <w:pPr>
              <w:pStyle w:val="InstructionsText"/>
            </w:pPr>
            <w:r>
              <w:t>A CRR 79. cikke</w:t>
            </w:r>
          </w:p>
          <w:p w:rsidR="00674BF5" w:rsidRPr="00661595" w:rsidRDefault="00674BF5" w:rsidP="00487A02">
            <w:pPr>
              <w:pStyle w:val="InstructionsText"/>
            </w:pPr>
            <w:r>
              <w:t>Egy illetékes hatóság eltekinthet a CET1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rsidR="00674BF5" w:rsidRPr="00661595" w:rsidRDefault="00674BF5" w:rsidP="00487A02">
            <w:pPr>
              <w:pStyle w:val="InstructionsText"/>
            </w:pPr>
            <w:r>
              <w:lastRenderedPageBreak/>
              <w:t>Ügyelni kell arra, hogy az ilyen instrumentumokat a 15.1. tételben is szerepeltetni kell.</w:t>
            </w:r>
          </w:p>
        </w:tc>
      </w:tr>
      <w:tr w:rsidR="00674BF5" w:rsidRPr="00661595" w:rsidTr="00674BF5">
        <w:tc>
          <w:tcPr>
            <w:tcW w:w="1474" w:type="dxa"/>
          </w:tcPr>
          <w:p w:rsidR="00674BF5" w:rsidRPr="00661595" w:rsidRDefault="00754ADC" w:rsidP="00487A02">
            <w:pPr>
              <w:pStyle w:val="InstructionsText"/>
            </w:pPr>
            <w:r>
              <w:lastRenderedPageBreak/>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Pénzügyi ágazatbeli szervezetek által kibocsátott AT1 tőkeinstrumentumokban lévő részesedések, ha az intézmény nem rendelkezik átmenetileg mentesülő jelentős részesedéssel az említett vállalkozásokban</w:t>
            </w:r>
          </w:p>
          <w:p w:rsidR="00674BF5" w:rsidRPr="00661595" w:rsidRDefault="00674BF5" w:rsidP="00487A02">
            <w:pPr>
              <w:pStyle w:val="InstructionsText"/>
            </w:pPr>
            <w:r>
              <w:t>A CRR 79. cikke</w:t>
            </w:r>
          </w:p>
          <w:p w:rsidR="00674BF5" w:rsidRPr="00661595" w:rsidRDefault="00674BF5" w:rsidP="00487A02">
            <w:pPr>
              <w:pStyle w:val="InstructionsText"/>
            </w:pPr>
            <w:r>
              <w:t>Egy illetékes hatóság átmenetileg eltekinthet az AT1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rsidR="00674BF5" w:rsidRPr="00661595" w:rsidRDefault="00674BF5" w:rsidP="00487A02">
            <w:pPr>
              <w:pStyle w:val="InstructionsText"/>
            </w:pPr>
            <w:r>
              <w:t>Ügyelni kell arra, hogy az ilyen instrumentumokat a 13.1. tételben is szerepeltetni kell.</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Pénzügyi ágazatbeli szervezetek által kibocsátott AT1 tőkeinstrumentumokban lévő részesedések, ha az intézmény átmenetileg mentesülő jelentős részesedéssel rendelkezik az említett vállalkozásokban</w:t>
            </w:r>
          </w:p>
          <w:p w:rsidR="00674BF5" w:rsidRPr="00661595" w:rsidRDefault="00674BF5" w:rsidP="00487A02">
            <w:pPr>
              <w:pStyle w:val="InstructionsText"/>
            </w:pPr>
            <w:r>
              <w:t>A CRR 79. cikke</w:t>
            </w:r>
          </w:p>
          <w:p w:rsidR="00674BF5" w:rsidRPr="00661595" w:rsidRDefault="00674BF5" w:rsidP="00487A02">
            <w:pPr>
              <w:pStyle w:val="InstructionsText"/>
            </w:pPr>
            <w:r>
              <w:t>Egy illetékes hatóság átmenetileg eltekinthet az AT1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rsidR="00674BF5" w:rsidRPr="00661595" w:rsidRDefault="00674BF5" w:rsidP="00487A02">
            <w:pPr>
              <w:pStyle w:val="InstructionsText"/>
            </w:pPr>
            <w:r>
              <w:t>Ügyelni kell arra, hogy az ilyen instrumentumokat a 16.1. tételben is szerepeltetni kell.</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Pénzügyi ágazatbeli szervezetek által kibocsátott T2 tőkeinstrumentumokban lévő részesedések, ha az intézmény nem rendelkezik átmenetileg mentesülő jelentős részesedéssel az említett vállalkozásokban</w:t>
            </w:r>
          </w:p>
          <w:p w:rsidR="00674BF5" w:rsidRPr="00661595" w:rsidRDefault="00674BF5" w:rsidP="00487A02">
            <w:pPr>
              <w:pStyle w:val="InstructionsText"/>
            </w:pPr>
            <w:r>
              <w:t>A CRR 79. cikke</w:t>
            </w:r>
          </w:p>
          <w:p w:rsidR="00674BF5" w:rsidRPr="00661595" w:rsidRDefault="00674BF5" w:rsidP="00487A02">
            <w:pPr>
              <w:pStyle w:val="InstructionsText"/>
            </w:pPr>
            <w:r>
              <w:t>Egy illetékes hatóság eltekinthet a T2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rsidR="00674BF5" w:rsidRPr="00661595" w:rsidRDefault="00674BF5" w:rsidP="00487A02">
            <w:pPr>
              <w:pStyle w:val="InstructionsText"/>
            </w:pPr>
            <w:r>
              <w:t>Ügyelni kell arra, hogy az ilyen instrumentumokat a 14.1. tételben is szerepeltetni kell.</w:t>
            </w:r>
          </w:p>
        </w:tc>
      </w:tr>
      <w:tr w:rsidR="00674BF5" w:rsidRPr="00661595" w:rsidTr="00674BF5">
        <w:tc>
          <w:tcPr>
            <w:tcW w:w="1474" w:type="dxa"/>
          </w:tcPr>
          <w:p w:rsidR="00674BF5" w:rsidRPr="00661595" w:rsidRDefault="00754ADC" w:rsidP="00487A02">
            <w:pPr>
              <w:pStyle w:val="InstructionsText"/>
            </w:pPr>
            <w:r>
              <w:lastRenderedPageBreak/>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Pénzügyi ágazatbeli szervezetek által kibocsátott T2 tőkeinstrumentumokban lévő részesedések, ha az intézmény átmenetileg mentesülő jelentős részesedéssel rendelkezik az említett vállalkozásokban</w:t>
            </w:r>
          </w:p>
          <w:p w:rsidR="00674BF5" w:rsidRPr="00661595" w:rsidRDefault="00674BF5" w:rsidP="00487A02">
            <w:pPr>
              <w:pStyle w:val="InstructionsText"/>
            </w:pPr>
            <w:r>
              <w:t>A CRR 79. cikke</w:t>
            </w:r>
          </w:p>
          <w:p w:rsidR="00674BF5" w:rsidRPr="00661595" w:rsidRDefault="00674BF5" w:rsidP="00487A02">
            <w:pPr>
              <w:pStyle w:val="InstructionsText"/>
            </w:pPr>
            <w:r>
              <w:t>Egy illetékes hatóság eltekinthet a T2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rsidR="00674BF5" w:rsidRPr="00661595" w:rsidRDefault="00674BF5" w:rsidP="00487A02">
            <w:pPr>
              <w:pStyle w:val="InstructionsText"/>
            </w:pPr>
            <w:r>
              <w:t>Ügyelni kell arra, hogy az ilyen instrumentumokat a 17.1. tételben is szerepeltetni kell.</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Kombinált pufferkövetelmény</w:t>
            </w:r>
          </w:p>
          <w:p w:rsidR="00674BF5" w:rsidRPr="00661595" w:rsidRDefault="00674BF5" w:rsidP="00487A02">
            <w:pPr>
              <w:pStyle w:val="InstructionsText"/>
            </w:pPr>
            <w:r>
              <w:t>A CRD 128. cikkének 6. pontja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Tőkefenntartási puffer</w:t>
            </w:r>
          </w:p>
          <w:p w:rsidR="00674BF5" w:rsidRPr="00661595" w:rsidRDefault="00674BF5" w:rsidP="00487A02">
            <w:pPr>
              <w:pStyle w:val="InstructionsText"/>
            </w:pPr>
            <w:r>
              <w:t xml:space="preserve">A CRD 128. cikkének 1. pontja és 129. cikke </w:t>
            </w:r>
          </w:p>
          <w:p w:rsidR="00674BF5" w:rsidRPr="00661595" w:rsidRDefault="00674BF5" w:rsidP="00487A02">
            <w:pPr>
              <w:pStyle w:val="InstructionsText"/>
            </w:pPr>
            <w:r>
              <w:t>A CRD 129. cikkének (1) bekezdése szerint a tőkefenntartási puffer CET1 tőkén felüli CET1 tőkeelemekből áll. Mivel a tőkefenntartási puffer 2,5 %-os mértéke állandó, ebben a sorban összeget kell feltüntetni.</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A tagállamok szintjén azonosított makroprudenciális vagy rendszerkockázatokra képzett tőkefenntartási puffer </w:t>
            </w:r>
          </w:p>
          <w:p w:rsidR="00674BF5" w:rsidRPr="00661595" w:rsidRDefault="00674BF5" w:rsidP="00487A02">
            <w:pPr>
              <w:pStyle w:val="InstructionsText"/>
            </w:pPr>
            <w:r>
              <w:t>A CRR 458. cikke (2) bekezdése d) pontjának iv. alpontja</w:t>
            </w:r>
          </w:p>
          <w:p w:rsidR="00674BF5" w:rsidRPr="00661595" w:rsidRDefault="00674BF5" w:rsidP="00487A02">
            <w:pPr>
              <w:pStyle w:val="InstructionsText"/>
            </w:pPr>
            <w:r>
              <w:t>Ebben a sorban a tagállamok szintjén azonosított makroprudenciális vagy rendszerkockázatokra képzett fenntartási puffer értékét kell feltüntetni, amely a CRR 458. cikkével összhangban a tőkefenntartási pufferen felül kérhető.</w:t>
            </w:r>
          </w:p>
          <w:p w:rsidR="00674BF5" w:rsidRPr="00661595" w:rsidRDefault="00674BF5" w:rsidP="00487A02">
            <w:pPr>
              <w:pStyle w:val="InstructionsText"/>
            </w:pPr>
            <w:r>
              <w:t>A feltüntetett összeg a vonatkozó tőkepuffer-követelményeknek az adatszolgáltatás időpontjában való teljesítéséhez szükséges szavatolótőke összege.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Intézményspecifikus anticiklikus tőkepuffer </w:t>
            </w:r>
          </w:p>
          <w:p w:rsidR="00674BF5" w:rsidRPr="00661595" w:rsidRDefault="00674BF5" w:rsidP="00487A02">
            <w:pPr>
              <w:pStyle w:val="InstructionsText"/>
            </w:pPr>
            <w:r>
              <w:t xml:space="preserve">A CRD 128. cikkének 2. pontja, valamint 130. és 135–140. cikke </w:t>
            </w:r>
          </w:p>
          <w:p w:rsidR="00674BF5" w:rsidRPr="00661595" w:rsidRDefault="00674BF5" w:rsidP="00487A02">
            <w:pPr>
              <w:pStyle w:val="InstructionsText"/>
            </w:pPr>
            <w:r>
              <w:t>A feltüntetett összeg a vonatkozó tőkepuffer-követelményeknek az adatszolgáltatás időpontjában való teljesítéséhez szükséges szavatolótőke összege.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Rendszerkockázati tőkepuffer </w:t>
            </w:r>
          </w:p>
          <w:p w:rsidR="00674BF5" w:rsidRPr="00661595" w:rsidRDefault="00674BF5" w:rsidP="00487A02">
            <w:pPr>
              <w:pStyle w:val="InstructionsText"/>
            </w:pPr>
            <w:r>
              <w:t xml:space="preserve">A CRD 128. cikkének 5. pontja, valamint 133. és 134. cikke </w:t>
            </w:r>
          </w:p>
          <w:p w:rsidR="00674BF5" w:rsidRPr="00661595" w:rsidRDefault="00674BF5" w:rsidP="00487A02">
            <w:pPr>
              <w:pStyle w:val="InstructionsText"/>
            </w:pPr>
            <w:r>
              <w:t>A feltüntetett összeg a vonatkozó tőkepuffer-követelményeknek az adatszolgáltatás időpontjában való teljesítéséhez szükséges szavatolótőke összege.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intézményekre vonatkozó tőkepuffer</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CRD 128. cikkének 3. pontja és 131. cikke</w:t>
            </w:r>
          </w:p>
          <w:p w:rsidR="00674BF5" w:rsidRPr="00661595" w:rsidRDefault="00674BF5" w:rsidP="00487A02">
            <w:pPr>
              <w:pStyle w:val="InstructionsText"/>
              <w:rPr>
                <w:rStyle w:val="InstructionsTabelleberschrift"/>
                <w:rFonts w:ascii="Times New Roman" w:hAnsi="Times New Roman"/>
                <w:b w:val="0"/>
                <w:bCs w:val="0"/>
                <w:sz w:val="24"/>
                <w:u w:val="none"/>
              </w:rPr>
            </w:pPr>
            <w:r>
              <w:t>A feltüntetett összeg a vonatkozó tőkepuffer-követelményeknek az adatszolgáltatás időpontjában való teljesítéséhez szükséges szavatolótőke összege.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Egyéb rendszerszinten jelentős intézményekre vonatkozó tőkepuffer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CRD 128. cikkének 4. pontja és 131. cikke</w:t>
            </w:r>
          </w:p>
          <w:p w:rsidR="00674BF5" w:rsidRPr="00661595" w:rsidRDefault="00674BF5" w:rsidP="00487A02">
            <w:pPr>
              <w:pStyle w:val="InstructionsText"/>
              <w:rPr>
                <w:rStyle w:val="InstructionsTabelleberschrift"/>
                <w:rFonts w:ascii="Times New Roman" w:hAnsi="Times New Roman"/>
                <w:b w:val="0"/>
                <w:bCs w:val="0"/>
                <w:sz w:val="24"/>
                <w:u w:val="none"/>
              </w:rPr>
            </w:pPr>
            <w:r>
              <w:t>A feltüntetett összeg a vonatkozó tőkepuffer-követelményeknek az adatszolgáltatás időpontjában való teljesítéséhez szükséges szavatolótőke összege.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A II. pillérből eredő kiigazításokhoz kapcsolódó szavatolótőke-követelmények</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CRD 104a. cikkének (1) bekezdése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Ha az illetékes hatóság döntése szerint egy intézménynek a II. pillérrel összefüggő okból kiegészítő szavatolótőke-követelményt kell számítania, akkor a kiegészítő szavatolótőke-követelményt ebben a sorban kell megadni.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Induló tőke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CRD 12. és 28–31. cikke, valamint a CRR 93. cikke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Fix működési költségeken alapuló szavatolótőke-követelmény</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96. cikke (2) bekezdésének b) pontja, 97. cikke, valamint 98. cikke (1) bekezdésének a) pontja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Nem hazai eredeti kitettségek</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GB táblán történő adatszolgáltatásra vonatkozó küszöbértéknek az e végrehajtási rendelet</w:t>
            </w:r>
            <w:r>
              <w:t xml:space="preserve"> </w:t>
            </w:r>
            <w:r>
              <w:rPr>
                <w:rStyle w:val="InstructionsTabelleberschrift"/>
                <w:rFonts w:ascii="Times New Roman" w:hAnsi="Times New Roman"/>
                <w:b w:val="0"/>
                <w:sz w:val="24"/>
                <w:u w:val="none"/>
              </w:rPr>
              <w:t xml:space="preserve">5. cikkének (5) bekezdése szerinti kiszámításához szükséges információk. A küszöbértéket a hitel-egyenértékesítési tényezők előtti eredeti kitettség alapján kell kiszámítani.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kitettségek hazainak tekintendők, ha azok az intézmény helye szerinti tagállamban lévő partnerekkel szembeni kitettségek.</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Teljes eredeti kitettség</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GB táblán történő adatszolgáltatásra vonatkozó küszöbértéknek az e végrehajtási rendelet</w:t>
            </w:r>
            <w:r>
              <w:t xml:space="preserve"> 5. cikkének (5) bekezdése szerinti kiszámításához szükséges információk.</w:t>
            </w:r>
            <w:r>
              <w:rPr>
                <w:rStyle w:val="InstructionsTabelleberschrift"/>
                <w:rFonts w:ascii="Times New Roman" w:hAnsi="Times New Roman"/>
                <w:b w:val="0"/>
                <w:sz w:val="24"/>
                <w:u w:val="none"/>
              </w:rPr>
              <w:t xml:space="preserve"> A küszöbértéket a hitel-egyenértékesítési tényezők előtti eredeti kitettség alapján kell kiszámítani.</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kitettségek hazainak tekintendők, ha azok az intézmény helye szerinti tagállamban lévő partnerekkel szembeni kitettségek.</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9" w:name="_Toc473560881"/>
      <w:bookmarkStart w:id="70" w:name="_Toc58858576"/>
      <w:bookmarkStart w:id="71" w:name="_Toc308175834"/>
      <w:r>
        <w:rPr>
          <w:rFonts w:ascii="Times New Roman" w:hAnsi="Times New Roman"/>
          <w:sz w:val="24"/>
        </w:rPr>
        <w:lastRenderedPageBreak/>
        <w:t>1.6</w:t>
      </w:r>
      <w:r>
        <w:tab/>
      </w:r>
      <w:r>
        <w:rPr>
          <w:rFonts w:ascii="Times New Roman" w:hAnsi="Times New Roman"/>
          <w:sz w:val="24"/>
        </w:rPr>
        <w:t xml:space="preserve">ÁTMENETI RENDELKEZÉSEK ÉS SZERZETT JOGOK ALAPJÁN FIGYELEMBE VETT TŐKEINSTRUMENTUMOK: </w:t>
      </w:r>
      <w:bookmarkStart w:id="72" w:name="_Toc360188333"/>
      <w:r>
        <w:rPr>
          <w:rFonts w:ascii="Times New Roman" w:hAnsi="Times New Roman"/>
          <w:sz w:val="24"/>
        </w:rPr>
        <w:t>ÁLLAMI TÁMOGATÁSNAK NEM MINŐSÜLŐ INSTRUMENTUMOK (CA5)</w:t>
      </w:r>
      <w:bookmarkEnd w:id="69"/>
      <w:bookmarkEnd w:id="70"/>
      <w:bookmarkEnd w:id="72"/>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3" w:name="_Toc308175835"/>
      <w:bookmarkStart w:id="74" w:name="_Toc360188334"/>
      <w:bookmarkStart w:id="75" w:name="_Toc473560882"/>
      <w:bookmarkStart w:id="76" w:name="_Toc58858577"/>
      <w:bookmarkEnd w:id="71"/>
      <w:r>
        <w:rPr>
          <w:rFonts w:ascii="Times New Roman" w:hAnsi="Times New Roman"/>
          <w:sz w:val="24"/>
        </w:rPr>
        <w:t>1.6.1</w:t>
      </w:r>
      <w:r>
        <w:tab/>
      </w:r>
      <w:r>
        <w:rPr>
          <w:rFonts w:ascii="Times New Roman" w:hAnsi="Times New Roman"/>
          <w:sz w:val="24"/>
        </w:rPr>
        <w:t>Általános megjegyzések</w:t>
      </w:r>
      <w:bookmarkEnd w:id="73"/>
      <w:bookmarkEnd w:id="74"/>
      <w:bookmarkEnd w:id="75"/>
      <w:bookmarkEnd w:id="76"/>
    </w:p>
    <w:p w:rsidR="00783881" w:rsidRPr="00661595" w:rsidRDefault="0055388B" w:rsidP="00487A02">
      <w:pPr>
        <w:pStyle w:val="InstructionsText2"/>
        <w:numPr>
          <w:ilvl w:val="0"/>
          <w:numId w:val="0"/>
        </w:numPr>
        <w:ind w:left="1353" w:hanging="360"/>
      </w:pPr>
      <w:fldSimple w:instr=" seq paragraphs ">
        <w:r w:rsidR="00D11E4C">
          <w:rPr>
            <w:noProof/>
          </w:rPr>
          <w:t>16</w:t>
        </w:r>
      </w:fldSimple>
      <w:r w:rsidR="00D11E4C">
        <w:t>.</w:t>
      </w:r>
      <w:r w:rsidR="00D11E4C">
        <w:tab/>
        <w:t xml:space="preserve">A CA5 táblák, a CRR 465–491., 494a. és 494b. cikkében foglalt átmeneti rendelkezések hatálya alá eső szavatolótőke-elemek és levonások számítását foglalják össze. </w:t>
      </w:r>
    </w:p>
    <w:p w:rsidR="00496C53" w:rsidRPr="00661595" w:rsidRDefault="0055388B" w:rsidP="00487A02">
      <w:pPr>
        <w:pStyle w:val="InstructionsText2"/>
        <w:numPr>
          <w:ilvl w:val="0"/>
          <w:numId w:val="0"/>
        </w:numPr>
        <w:ind w:left="1353" w:hanging="360"/>
      </w:pPr>
      <w:fldSimple w:instr=" seq paragraphs ">
        <w:r w:rsidR="00D11E4C">
          <w:rPr>
            <w:noProof/>
          </w:rPr>
          <w:t>17</w:t>
        </w:r>
      </w:fldSimple>
      <w:r w:rsidR="00D11E4C">
        <w:t>.</w:t>
      </w:r>
      <w:r w:rsidR="00D11E4C">
        <w:tab/>
        <w:t>A CA5 az alábbi szerkezetet követi:</w:t>
      </w:r>
    </w:p>
    <w:p w:rsidR="002648B0" w:rsidRPr="00661595" w:rsidRDefault="00125707" w:rsidP="00487A02">
      <w:pPr>
        <w:pStyle w:val="InstructionsText2"/>
        <w:numPr>
          <w:ilvl w:val="0"/>
          <w:numId w:val="0"/>
        </w:numPr>
        <w:ind w:left="1353" w:hanging="360"/>
      </w:pPr>
      <w:r>
        <w:t>a)</w:t>
      </w:r>
      <w:r>
        <w:tab/>
        <w:t>A CA5.1. tábla azokat a kiigazításokat foglalja össze, amelyeket a CA1 táblán (a végleges rendelkezésekkel összhangban) megadott szavatolótőke-elemeket érintően az átmeneti rendelkezések alkalmazása miatt kell végrehajtani. E tábla elemei a CA1 táblán szereplő különböző tőkeelemek „kiigazításaként” jelennek meg annak érdekében, hogy tükrözzék az átmeneti rendelkezések hatását a szavatolótőke elemeire.</w:t>
      </w:r>
    </w:p>
    <w:p w:rsidR="002648B0" w:rsidRPr="00661595" w:rsidRDefault="00125707" w:rsidP="00487A02">
      <w:pPr>
        <w:pStyle w:val="InstructionsText2"/>
        <w:numPr>
          <w:ilvl w:val="0"/>
          <w:numId w:val="0"/>
        </w:numPr>
        <w:ind w:left="1353" w:hanging="360"/>
      </w:pPr>
      <w:r>
        <w:t>b)</w:t>
      </w:r>
      <w:r>
        <w:tab/>
        <w:t xml:space="preserve">Az 5.2. tábla a szerzett jogok alapján figyelembe vett, állami támogatásnak nem minősülő instrumentumok kiszámítását mutatja be részletesen. </w:t>
      </w:r>
    </w:p>
    <w:bookmarkStart w:id="77"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Az intézményeknek az első négy oszlopban a CET1 tőke, az AT1 tőke és a T2 tőke kiigazításait, valamint a teljes kockázati kitettségértéket kell megadni. Az intézményeknek ezenkívül meg kell adniuk az átmeneti rendelkezés szerint alkalmazandó százalékos arányt (0050. oszlop), valamint az átmeneti rendelkezések alkalmazása nélkül figyelembe vehető összeget (0060. oszlop).</w:t>
      </w:r>
    </w:p>
    <w:p w:rsidR="005643EA" w:rsidRPr="00661595" w:rsidRDefault="0055388B" w:rsidP="00487A02">
      <w:pPr>
        <w:pStyle w:val="InstructionsText2"/>
        <w:numPr>
          <w:ilvl w:val="0"/>
          <w:numId w:val="0"/>
        </w:numPr>
        <w:ind w:left="1353" w:hanging="360"/>
      </w:pPr>
      <w:fldSimple w:instr=" seq paragraphs ">
        <w:r w:rsidR="00D11E4C">
          <w:rPr>
            <w:noProof/>
          </w:rPr>
          <w:t>19</w:t>
        </w:r>
      </w:fldSimple>
      <w:r w:rsidR="00D11E4C">
        <w:t>.</w:t>
      </w:r>
      <w:r w:rsidR="00D11E4C">
        <w:tab/>
        <w:t>Az intézmények a CA5. táblán kizárólag abban az időszakban szolgáltatnak adatot a tőkeelemekről, amelynek során a CRR tizedik részében meghatározott átmeneti rendelkezéseket alkalmazni kell.</w:t>
      </w:r>
    </w:p>
    <w:p w:rsidR="005643EA" w:rsidRPr="00661595" w:rsidRDefault="0055388B" w:rsidP="00487A02">
      <w:pPr>
        <w:pStyle w:val="InstructionsText2"/>
        <w:numPr>
          <w:ilvl w:val="0"/>
          <w:numId w:val="0"/>
        </w:numPr>
        <w:ind w:left="1353" w:hanging="360"/>
      </w:pPr>
      <w:fldSimple w:instr=" seq paragraphs ">
        <w:r w:rsidR="00D11E4C">
          <w:rPr>
            <w:noProof/>
          </w:rPr>
          <w:t>20</w:t>
        </w:r>
      </w:fldSimple>
      <w:r w:rsidR="00D11E4C">
        <w:t>.</w:t>
      </w:r>
      <w:r w:rsidR="00D11E4C">
        <w:tab/>
        <w:t>Egyes átmeneti rendelkezések a T1 tőkét érintő levonást írnak elő. Ilyenkor a T1 tőkét érintő levonásnak vagy levonásoknak az AT1 tőkén felüli maradványösszegét a CET1 tőkéből kell levonni.</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8" w:name="_Toc473560883"/>
      <w:bookmarkStart w:id="79" w:name="_Toc58858578"/>
      <w:bookmarkStart w:id="80" w:name="_Toc360188335"/>
      <w:bookmarkStart w:id="81" w:name="_Toc308175836"/>
      <w:bookmarkEnd w:id="77"/>
      <w:r>
        <w:rPr>
          <w:rFonts w:ascii="Times New Roman" w:hAnsi="Times New Roman"/>
          <w:sz w:val="24"/>
        </w:rPr>
        <w:t>1.6.2.</w:t>
      </w:r>
      <w:r>
        <w:tab/>
      </w:r>
      <w:r>
        <w:rPr>
          <w:rFonts w:ascii="Times New Roman" w:hAnsi="Times New Roman"/>
          <w:sz w:val="24"/>
        </w:rPr>
        <w:t>C 05.01 – ÁTMENETI RENDELKEZÉSEK (CA5.1)</w:t>
      </w:r>
      <w:bookmarkEnd w:id="78"/>
      <w:bookmarkEnd w:id="79"/>
      <w:r>
        <w:rPr>
          <w:rFonts w:ascii="Times New Roman" w:hAnsi="Times New Roman"/>
          <w:sz w:val="24"/>
        </w:rPr>
        <w:t xml:space="preserve"> </w:t>
      </w:r>
      <w:bookmarkEnd w:id="80"/>
      <w:bookmarkEnd w:id="81"/>
    </w:p>
    <w:p w:rsidR="002648B0" w:rsidRPr="00661595" w:rsidRDefault="0055388B" w:rsidP="00487A02">
      <w:pPr>
        <w:pStyle w:val="InstructionsText2"/>
        <w:numPr>
          <w:ilvl w:val="0"/>
          <w:numId w:val="0"/>
        </w:numPr>
        <w:ind w:left="1353" w:hanging="360"/>
      </w:pPr>
      <w:fldSimple w:instr=" seq paragraphs ">
        <w:r w:rsidR="00D11E4C">
          <w:rPr>
            <w:noProof/>
          </w:rPr>
          <w:t>21</w:t>
        </w:r>
      </w:fldSimple>
      <w:r w:rsidR="00D11E4C">
        <w:t>.</w:t>
      </w:r>
      <w:r w:rsidR="00D11E4C">
        <w:tab/>
        <w:t xml:space="preserve">Az intézményeknek a CA5.1 táblában a CRR 465–491., 494a. és 494b. cikkében előírt átmeneti rendelkezéseknek a szavatolótőke-elemeket érintő alkalmazásáról kell adatot szolgáltatniuk, a CRR második részének II. címében foglalt végleges rendelkezések alkalmazásához képest. </w:t>
      </w:r>
    </w:p>
    <w:p w:rsidR="00783881" w:rsidRPr="00661595" w:rsidRDefault="0055388B" w:rsidP="00487A02">
      <w:pPr>
        <w:pStyle w:val="InstructionsText2"/>
        <w:numPr>
          <w:ilvl w:val="0"/>
          <w:numId w:val="0"/>
        </w:numPr>
        <w:ind w:left="1353" w:hanging="360"/>
      </w:pPr>
      <w:fldSimple w:instr=" seq paragraphs ">
        <w:r w:rsidR="00D11E4C">
          <w:rPr>
            <w:noProof/>
          </w:rPr>
          <w:t>22</w:t>
        </w:r>
      </w:fldSimple>
      <w:r w:rsidR="00D11E4C">
        <w:t>.</w:t>
      </w:r>
      <w:r w:rsidR="00D11E4C">
        <w:tab/>
        <w:t>Az intézmények a 0060–0065. sorban az átmeneti rendelkezések értelmében a szerzett jogok alapján figyelembe vett instrumentumokról szolgáltatnak adatot. A CA5.1 tábla 0060. sorában feltüntetendő adatoknak a CRR 2019. június 26-ig alkalmazandó változatában foglalt átmeneti rendelkezéseket kell tükrözniük, és a CA5.2 tábla megfelelő szakaszaiból származtathatók. A 0061–0065. sor a CRR 494a. és 494b. cikkében foglalt átmeneti rendelkezések hatását mutatja be.</w:t>
      </w:r>
    </w:p>
    <w:p w:rsidR="00496C53" w:rsidRPr="00661595" w:rsidRDefault="0055388B" w:rsidP="00487A02">
      <w:pPr>
        <w:pStyle w:val="InstructionsText2"/>
        <w:numPr>
          <w:ilvl w:val="0"/>
          <w:numId w:val="0"/>
        </w:numPr>
        <w:ind w:left="1353" w:hanging="360"/>
      </w:pPr>
      <w:fldSimple w:instr=" seq paragraphs ">
        <w:r w:rsidR="00D11E4C">
          <w:rPr>
            <w:noProof/>
          </w:rPr>
          <w:t>23</w:t>
        </w:r>
      </w:fldSimple>
      <w:r w:rsidR="00D11E4C">
        <w:t>.</w:t>
      </w:r>
      <w:r w:rsidR="00D11E4C">
        <w:tab/>
        <w:t>Az intézmények a 0070–0092. sorban a kisebbségi részesedésekre, valamint a leányvállalatok által kibocsátott AT1 és T2 tőkeinstrumentumokra vonatkozó átmeneti rendelkezésekről szolgáltatnak adatot a CRR 479. és 480. cikke szerint.</w:t>
      </w:r>
    </w:p>
    <w:p w:rsidR="00783881" w:rsidRPr="00661595" w:rsidRDefault="0055388B" w:rsidP="00487A02">
      <w:pPr>
        <w:pStyle w:val="InstructionsText2"/>
        <w:numPr>
          <w:ilvl w:val="0"/>
          <w:numId w:val="0"/>
        </w:numPr>
        <w:ind w:left="1353" w:hanging="360"/>
      </w:pPr>
      <w:fldSimple w:instr=" seq paragraphs ">
        <w:r w:rsidR="00D11E4C">
          <w:rPr>
            <w:noProof/>
          </w:rPr>
          <w:t>24</w:t>
        </w:r>
      </w:fldSimple>
      <w:r w:rsidR="00D11E4C">
        <w:t>.</w:t>
      </w:r>
      <w:r w:rsidR="00D11E4C">
        <w:tab/>
        <w:t>A 0100. sortól kezdődően az intézmények az átmeneti rendelkezéseknek a nem realizált nyereségre és veszteségre, a levonásokra, valamint a további szűrőkre és levonásokra gyakorolt hatásáról, illetve az IFRS 9-hez kapcsolódó átmeneti intézkedések miatti kiigazításokról szolgáltatnak adatot.</w:t>
      </w:r>
    </w:p>
    <w:p w:rsidR="005643EA" w:rsidRPr="00661595" w:rsidRDefault="0055388B" w:rsidP="00487A02">
      <w:pPr>
        <w:pStyle w:val="InstructionsText2"/>
        <w:numPr>
          <w:ilvl w:val="0"/>
          <w:numId w:val="0"/>
        </w:numPr>
        <w:ind w:left="1353" w:hanging="360"/>
      </w:pPr>
      <w:fldSimple w:instr=" seq paragraphs ">
        <w:r w:rsidR="00D11E4C">
          <w:rPr>
            <w:noProof/>
          </w:rPr>
          <w:t>25</w:t>
        </w:r>
      </w:fldSimple>
      <w:r w:rsidR="00D11E4C">
        <w:t>.</w:t>
      </w:r>
      <w:r w:rsidR="00D11E4C">
        <w:tab/>
        <w:t xml:space="preserve">Egyes esetekben a CET1 tőke, az AT1 tőke vagy a T2 tőke átmeneti levonásai meghaladják az adott intézmény CET1 tőkéjét, AT1 tőkéjét vagy T2 tőkéjét. Ezt a hatást – ha átmeneti rendelkezések eredménye – a CA1 tábla megfelelő celláiban kell kimutatni. Következésképpen a CA5. tábla oszlopaiban megadott kiigazítások nem foglalhatnak magukban áttételes hatásokat akkor, ha a rendelkezésre álló tőke mennyisége nem elégséges.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2" w:name="_Toc360188336"/>
      <w:bookmarkStart w:id="83" w:name="_Toc473560884"/>
      <w:bookmarkStart w:id="84" w:name="_Toc58858579"/>
      <w:r>
        <w:rPr>
          <w:rFonts w:ascii="Times New Roman" w:hAnsi="Times New Roman"/>
          <w:sz w:val="24"/>
        </w:rPr>
        <w:t>1.6.2.1</w:t>
      </w:r>
      <w:r>
        <w:tab/>
      </w:r>
      <w:r>
        <w:rPr>
          <w:rFonts w:ascii="Times New Roman" w:hAnsi="Times New Roman"/>
          <w:sz w:val="24"/>
        </w:rPr>
        <w:t>A tábla egyes részeire vonatkozó útmutató</w:t>
      </w:r>
      <w:bookmarkEnd w:id="82"/>
      <w:bookmarkEnd w:id="83"/>
      <w:bookmarkEnd w:id="84"/>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Oszlop</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CET1 tőke kiigazításai</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Az AT1 tőke kiigazításai</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T2 tőke kiigazításai</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kockázattal súlyozott eszközértékekben figyelembe vett kiigazítások</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0040-es oszlop tartalmazza azokat a megfelelő összegeket, amelyekkel a CRR 92. cikkének (3) bekezdése szerinti teljes kockázati kitettségértéket az átmeneti rendelkezések miatt kiigazítják. A feltüntetett összegeknél figyelembe kell venni a harmadik rész II. címének 2. vagy 3. fejezetében, vagy a harmadik rész IV. címében foglalt rendelkezések alkalmazását, a CRR 92. cikkének (4) bekezdésével összhangban. Ez azt jelenti, hogy a harmadik rész II. címének 2. vagy 3. fejezete szerinti átmeneti összegeket kockázattal súlyozott kitettségértékként kell feltüntetni, míg a harmadik rész IV. címének hatálya alá tartozó átmeneti összegek a 12,5-del megszorzott szavatolótőke-követelményt jelentik.</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Míg a 0010–0030. oszlop közvetlenül kapcsolódik a CA1 táblához, a teljes kockázati kitettségérték kiigazításai nem kapcsolódnak közvetlenül a megfelelő hitelkockázati táblákhoz. A teljes kockázati kitettségértékre vonatkozó átmeneti rendelkezésekből eredő kiigazításokat – ha vannak ilyenek – közvetlenül a CR SA, CR IRB, CR EQU IRB, MKR SA TDI, MKR SA EQU illetve MKR IM tartalmazza. Ezenkívül e hatásokat a CA5.1 tábla 0040. oszlopában is fel kell tüntetni. Ebből adódóan az ilyen értékek kizárólag tájékoztató adatok.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Alkalmazandó százalékos arány</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Figyelembe vehető összeg az átmeneti rendelkezések nélkül</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Ez az oszlop az egyes instrumentumoknak az átmeneti rendelkezések alkalmazása előtti értékét, vagyis a kiigazítások kiszámításához használandó alapösszeget tartalmazza.</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Sorok</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Kiigazítások összesen</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Ez a sor az átmeneti kiigazítások általános hatását mutatja az egyes tőketípusokon belül, valamint az említett kiigazításokból eredő, kockázattal súlyozott összegeket.</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Szerzett jogok alapján figyelembe vett tőkeinstrumentumok</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 CRR 483–491. cikke</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Ez a sor az ideiglenesen a szerzett jogokkal kapcsolatos rendelkezések hatálya alá tartozó instrumentumok általános hatását mutatja az egyes tőketípusokon belül.</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Állami támogatásnak nem minősülő instrumentumok</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A feltüntetendő értékeket a CA5.2. tábla 060-as oszlopából kell átvezetni.</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Különleges célú gazdasági egységeken keresztül kibocsátott instrumentumok</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CRR 494a. cikke</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2019. június 27. előtt kibocsátott instrumentumok, amelyek nem felelnek meg a bankok helyreállításáról és szanálásáról szóló irányelv 59. cikke szerinti leírási és átalakítási hatáskörökkel kapcsolatos elismerhetőségi kritériumoknak, vagy beszámítási vagy nettósítási megállapodások hatálya alá tartoznak</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494b. cikke</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 CRR 494b. cikkének hatálya alá tartozó azon instrumentumok összegét kell megadniuk, amelyek nem felelnek meg a CRR 52. cikke (1) bekezdésének p), q) és r) pontjában vagy adott esetben a CRR 63. cikkének n), o) és p) pontjában meghatározott egy vagy több elismerhetőségi kritériumnak.</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CRR 494b. cikkének (2) bekezdése szerint elismert T2 tőkeinstrumentumok esetében be kell tartani a CRR 64. cikkének amortizációra vonatkozó rendelkezéseit.</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ebből: Instrumentumok, amelyekre nem vonatkozik jogilag vagy szerződésesen kötelező leírás vagy átalakítás a bankok helyreállításáról és szanálásáról szóló irányelv 59. cikke szerinti hatáskörök gyakorlásakor</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494b. cikke, 52. cikke (1) bekezdésének p) pontja és 63. cikkének n) pontja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intézményeknek a CRR 494b. cikkének hatálya alá tartozó azon instrumentumok összegét kell megadniuk, amelyek nem felelnek meg a CRR 52. </w:t>
            </w:r>
            <w:r>
              <w:rPr>
                <w:rStyle w:val="InstructionsTabelleberschrift"/>
                <w:rFonts w:ascii="Times New Roman" w:hAnsi="Times New Roman"/>
                <w:b w:val="0"/>
                <w:sz w:val="24"/>
                <w:u w:val="none"/>
              </w:rPr>
              <w:lastRenderedPageBreak/>
              <w:t>cikke (1) bekezdésének p) pontjában vagy adott esetben a CRR 63. cikkének n) pontjában meghatározott elismerhetőségi kritériumnak.</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Ide tartoznak azok az instrumentumok is, amelyek emellett nem felelnek meg a CRR 52. cikke (1) bekezdésének q) vagy r) pontjában, illetve adott esetben a CRR 63. cikkének o) vagy p) pontjában meghatározott elismerhetőségi kritériumoknak.</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ebből: Harmadik ország joga által szabályozott instrumentumok, a bankok helyreállításáról és szanálásáról szóló irányelv 59. cikke szerinti hatáskörök tényleges és végrehajtható gyakorlásának lehetősége nélkül</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494b. cikke, 52. cikke (1) bekezdésének q) pontja és 63. cikkének o) pontja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 CRR 494b. cikkének hatálya alá tartozó azon instrumentumok összegét kell megadniuk, amelyek nem felelnek meg a CRR 52. cikke (1) bekezdésének q) pontjában vagy adott esetben a CRR 63. cikkének o) pontjában meghatározott elismerhetőségi kritériumnak.</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Idetartoznak azok az instrumentumok is, amelyek emellett nem felelnek meg a CRR 52. cikke (1) bekezdésének p) vagy r) pontjában, illetve adott esetben a CRR 63. cikkének n) vagy p) pontjában meghatározott elismerhetőségi kritériumoknak.</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ebből: Beszámítási vagy nettósítási megállapodások hatálya alá tartozó instrumentumok</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494b. cikke, 52. cikke (1) bekezdésének r) pontja és 63. cikkének p) pontja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 CRR 494b. cikkének hatálya alá tartozó azon instrumentumok összegét kell megadniuk, amelyek nem felelnek meg a CRR 52. cikke (1) bekezdésének r) pontjában vagy adott esetben a CRR 63. cikkének p) pontjában meghatározott elismerhetőségi kritériumnak.</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Idetartoznak azok az instrumentumok is, amelyek emellett nem felelnek meg a CRR 52. cikke (1) bekezdésének p) vagy q) pontjában, illetve adott esetben a CRR 63. cikkének n) vagy o) pontjában meghatározott elismerhetőségi kritériumoknak.</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Kisebbségi részesedések és azok megfelelői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 CRR 479. és 480. cikke</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Ez a sor az átmeneti rendelkezések hatásait mutatja a CET1 tőkeként figyelembe vehető kisebbségi részesedésekben; a konszolidált AT1 tőke részét képező, a T1 tőkébe beszámítható instrumentumokban; valamint a konszolidált T2 tőkeként figyelembe vehető, a szavatolótőkébe beszámítható tőkeelemekben.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Kisebbségi részesedésnek nem minősülő tőkeinstrumentumok és egyéb tőkeelemek</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 CRR 479. cikke</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 xml:space="preserve">A sor 060-as oszlopában feltüntetendő érték a korábbi szabályozás szerint konszolidált tartaléknak minősülő összeg.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A kisebbségi részesedések átmeneti figyelembevétele a konszolidált szavatolótőkében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CRR 84. és 480. cikke</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 sor 0060-as oszlopában feltüntetendő érték a figyelembe vehető összeg az átmeneti rendelkezések nélkül.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Az AT1 tőkébe beszámítható elemek átmeneti figyelembevétele a konszolidált szavatolótőkében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CRR 85. és 480. cikke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sor 0060-as oszlopában feltüntetendő érték a figyelembe vehető összeg az átmeneti rendelkezések nélkül.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A T2 tőkébe beszámítható elemek átmeneti figyelembevétele a konszolidált szavatolótőkében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CRR 87. és 480. cikke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sor 0060-as oszlopában feltüntetendő érték a figyelembe vehető összeg az átmeneti rendelkezések nélkül.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Egyéb átmeneti kiigazítások</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 CRR 468–478., valamint 481. cikke</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Ez a sor az átmeneti kiigazítások általános hatását mutatja az egyes tőketípusokon belüli levonásokban, a nem realizált nyereségben és veszteségben, valamint a további szűrőkben és levonásokban, továbbá a megadott kiigazításokból eredő, kockázattal súlyozott összegeket.</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Központi kormányzatokkal, regionális kormányzatokkal, helyi hatóságokkal és közszektorbeli intézményekkel szembeni egyes hitelviszonyt megtestesítő kitettségekből származó nem realizált nyereség és veszteség</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A CRR 468. cikke</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ebből: „A” összeg</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 CRR 468. cikkének (1) bekezdésében említett képletnek megfelelően kiszámított „A” összeg.</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Levonások</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 CRR 36. cikkének (1) bekezdése, valamint 469–478. cikke</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Ez a sor a levonásokra vonatkozó átmeneti rendelkezések általános hatását mutatja.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Jövőbeli nyereségtől függően érvényesíthető, nem átmeneti különbözetből eredő halasztott adókövetelések</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CRR 36. cikke (1) bekezdésének c) pontja, 469. cikkének (1) bekezdése, 472. cikkének (5) bekezdése, valamint 478. cikke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 halasztott adókövetelések levonandó összegének meghatározásakor az intézményeknek figyelembe kell venniük a CRR 38. cikkének azon rendelkezéseit, amelyek a halasztott adóköveteléseknek a halasztott adókötelezettségekkel való csökkentésére vonatkoznak.</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sor 0060. oszlopában feltüntetendő érték: a CRR 469. cikkének (1) bekezdése szerinti teljes érték.</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 jövőbeni nyereségtől függően érvényesíthető és átmeneti különbözetekből eredő halasztott adókövetelések, valamint a pénzügyi ágazatbeli szervezetek által kibocsátott CET1 tőkeinstrumentumok, ha az intézmény jelentős részesedéssel rendelkezik az említett vállalkozásokban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CRR 470. cikkének (2) és (3) bekezdése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sor 0060. oszlopában feltüntetendő érték: A CRR 470. cikkének (1) bekezdése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Jövőbeli nyereségtől függően érvényesíthető és átmeneti különbözetből eredő halasztott adókövetelések</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A CRR 469. cikke (1) bekezdésének c) pontja, 472. cikkének (5) bekezdése, valamint 478. cikke</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A jövőbeli nyereségtől függően érvényesíthető és átmeneti különbözetből eredő halasztott adókövetelések azon része, amely meghaladja a CRR 470. cikke (2) bekezdésének a) pontjában foglalt 10 %-os küszöböt.</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Mentesség a biztosítókban lévő tulajdoni részesedésnek a CET1 tőkeelemekből történő levonása alól</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471. cikke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További szűrők és levonások</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 CRR 481. cikke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Ez a sor a további szűrőkre és levonásokra vonatkozó átmeneti rendelkezések általános hatását mutatja.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 CRR 481. cikkével összhangban az intézmények az 1.3.3. tételben adatot szolgáltatnak a 2006/48/EK irányelv 57. és 66. cikkét, valamint a 2006/49/EK irányelv 13. és 16. cikkét átültető nemzeti intézkedések által előírt, a CRR második része szerint azonban elő nem írt szűrőkről és levonásokról.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Az IFRS 9-hez kapcsolódó átmeneti intézkedések miatti kiigazítások</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473 a. cikke</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 az IFRS 9 miatti átmeneti intézkedésekkel összefüggésben szolgáltatnak adatokat az alkalmazandó jogszabályi rendelkezéseknek megfelelően.</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 statikus komponens várható hitelezési veszteségre gyakorolt hatása</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473a. cikkének (1) bekezdésében említett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és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összege</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Az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esetében a feltüntetett IRB-érték a várható veszteségekkel csökkentett összeg a CRR 473a. cikke (5) bekezdésének a) pontjában előírtak szerint.</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 dinamikus komponens várható hitelezési veszteségre gyakorolt hatása a 2018. január 1. és 2019. december 31. közötti időszakban</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 CRR 473a. cikkének (1) bekezdésében említett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és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as összege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 A dinamikus komponens várható hitelezési veszteségre gyakorolt hatása a 2020. január 1-jén kezdődő időszakra</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473a. cikkének (1) bekezdésében említett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és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összege</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esetében a feltüntetett érték a várható veszteségekkel csökkentett összeg a CRR 473a. cikke (5) bekezdésének a) és b) pontjában előírtak szerint.</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5" w:name="_Toc361666252"/>
      <w:bookmarkStart w:id="86" w:name="_Toc308175839"/>
      <w:bookmarkStart w:id="87" w:name="_Toc473560885"/>
      <w:bookmarkStart w:id="88" w:name="_Toc58858580"/>
      <w:bookmarkStart w:id="89" w:name="_Toc360188337"/>
      <w:bookmarkEnd w:id="85"/>
      <w:r>
        <w:rPr>
          <w:rFonts w:ascii="Times New Roman" w:hAnsi="Times New Roman"/>
          <w:sz w:val="24"/>
          <w:u w:val="none"/>
        </w:rPr>
        <w:t>1.6.3</w:t>
      </w:r>
      <w:r>
        <w:tab/>
      </w:r>
      <w:r>
        <w:rPr>
          <w:rFonts w:ascii="Times New Roman" w:hAnsi="Times New Roman"/>
          <w:sz w:val="24"/>
        </w:rPr>
        <w:t>C 05.02 – SZERZETT JOGOK ALAPJÁN FIGYELEMBE VETT TŐKEINSTRUMENTUMOK: ÁLLAMI TÁMOGATÁSNAK NEM MINŐSÜLŐ INSTRUMENTUMOK (CA5.2)</w:t>
      </w:r>
      <w:bookmarkEnd w:id="86"/>
      <w:bookmarkEnd w:id="87"/>
      <w:bookmarkEnd w:id="88"/>
      <w:r>
        <w:rPr>
          <w:rFonts w:ascii="Times New Roman" w:hAnsi="Times New Roman"/>
          <w:sz w:val="24"/>
          <w:u w:val="none"/>
        </w:rPr>
        <w:t xml:space="preserve"> </w:t>
      </w:r>
      <w:bookmarkEnd w:id="89"/>
    </w:p>
    <w:p w:rsidR="00783881" w:rsidRPr="00661595" w:rsidRDefault="0055388B" w:rsidP="00487A02">
      <w:pPr>
        <w:pStyle w:val="InstructionsText2"/>
        <w:numPr>
          <w:ilvl w:val="0"/>
          <w:numId w:val="0"/>
        </w:numPr>
        <w:ind w:left="1353" w:hanging="360"/>
      </w:pPr>
      <w:fldSimple w:instr=" seq paragraphs ">
        <w:r w:rsidR="00D11E4C">
          <w:rPr>
            <w:noProof/>
          </w:rPr>
          <w:t>26</w:t>
        </w:r>
      </w:fldSimple>
      <w:r w:rsidR="00D11E4C">
        <w:t>.</w:t>
      </w:r>
      <w:r w:rsidR="00D11E4C">
        <w:tab/>
        <w:t>Az intézmények a szerzett jogok alapján figyelembe vett, állami támogatásnak nem minősülő instrumentumokra vonatkozó átmeneti rendelkezésekkel összefüggésben szolgáltatnak adatokat (a CRR 484–491. cikke).</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90" w:name="_Toc360188338"/>
      <w:bookmarkStart w:id="91" w:name="_Toc473560886"/>
      <w:bookmarkStart w:id="92" w:name="_Toc58858581"/>
      <w:r>
        <w:rPr>
          <w:rFonts w:ascii="Times New Roman" w:hAnsi="Times New Roman"/>
          <w:sz w:val="24"/>
          <w:u w:val="none"/>
        </w:rPr>
        <w:t>1.6.3.1</w:t>
      </w:r>
      <w:r>
        <w:tab/>
      </w:r>
      <w:r>
        <w:rPr>
          <w:rFonts w:ascii="Times New Roman" w:hAnsi="Times New Roman"/>
          <w:sz w:val="24"/>
        </w:rPr>
        <w:t>A tábla egyes részeire vonatkozó útmutató</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Oszlop</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Az instrumentumok kapcsolódó ázsióval növelt értéke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 CRR 484. cikkének (3), (4) és (5) bekezdése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Az egyes sorokban figyelembe vehető instrumentumok a kapcsolódó ázsióval együtt.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 korlátszámítás alapja</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 CRR 486. cikkének (2), (3) és (4) bekezdése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Alkalmazandó százalékos arány</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CRR 486. cikkének (5) bekezdése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Korlát</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A CRR 486. cikkének (2)–(5) bekezdése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A szerzett jogok figyelembevételének korlátját meghaladó összeg</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 CRR 486. cikkének (2)–(5) bekezdése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 szerzett jogok alapján figyelembe vett teljes összeg</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értékek megegyeznek a CA5.1. tábla 060-as sorának megfelelő oszlopaiban megadott összegekkel.</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Sor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A 2006/48/EK irányelv 57. cikkének a) pontja értelmében figyelembe vett instrumentumok</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CRR 484. cikkének (3) bekezdése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A 2006/48/EK irányelv 57. cikkének ca) pontja, valamint 154. cikkének (8) és (9) bekezdése értelmében figyelembe vett instrumentumok, a CRR 489. cikkében rögzített korlát alkalmazásával</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CRR 484. cikkének (4) bekezdése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Visszavásárlásra nem ösztönző, visszahívási opciót nem tartalmazó instrumentumok összesen</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 CRR 484. cikkének (4) bekezdése és 489. cikke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Visszavásárlásra ösztönző, visszahívási opciót tartalmazó, de a szerzett jogok alapján figyelembe vett instrumentumok</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 CRR 489. cikke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Az adatszolgáltatás időpontja után érvényesíthető visszahívási opcióval rendelkező, a CRR 52. cikkében foglalt feltételeket a tényleges lejáratot követően teljesítő instrumentumok</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A CRR 489. cikkének (3) bekezdése, valamint 491. cikkének a) pontja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Az adatszolgáltatás időpontja után érvényesíthető visszahívási opcióval rendelkező, a CRR 52. cikkében foglalt feltételeket a tényleges lejáratot követően nem teljesítő instrumentumok</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 CRR 489. cikkének (5) bekezdése, valamint 491. cikkének a) pontja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2011. július 20-ig érvényesíthető visszahívási opcióval rendelkező, a CRR 52. cikkében foglalt feltételeket a tényleges lejáratot követően nem teljesítő instrumentumok</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 CRR 489. cikkének (6) bekezdése, valamint 491. cikkének c) pontja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A szerzett jogok alapján figyelembe vett CET1 tőkeinstrumentumok korlátját meghaladó érték</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CRR 487. cikkének (1) bekezdése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szerzett jogok alapján figyelembe vett CET1 tőkeinstrumentumok korlátját meghaladó érték olyan eszközként kezelhető, amely az AT1 tőkén belül a szerzett jogok alapján figyelembe vehető.</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A 2006/48/EK irányelv 57. cikkének e), f), g) vagy h) pontja értelmében figyelembe vett tételek, a 490. cikkben rögzített korlát alkalmazásával</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 CRR 484. cikkének (5) bekezdése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Visszavásárlásra nem ösztönző tételek összesen</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CRR 490. cikke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Visszavásárlásra ösztönző, a szerzett jogok alapján figyelembe vett tételek</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CRR 490. cikke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Az adatszolgáltatás időpontja után érvényesíthető visszahívási opcióval rendelkező, a CRR 63. cikkében foglalt feltételeket a tényleges lejáratot követően teljesítő tételek</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CRR 490. cikkének (3) bekezdése, valamint 491. cikkének a) pontja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Az adatszolgáltatás időpontja után érvényesíthető visszahívási opcióval rendelkező, a CRR 63. cikkében foglalt feltételeket a tényleges lejáratot követően nem teljesítő tételek</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 CRR 490. cikkének (5) bekezdése, valamint 491. cikkének a) pontja</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2011. július 20-ig érvényesíthető visszahívási opcióval rendelkező, a CRR 63. cikkében foglalt feltételeket a tényleges lejáratot követően nem teljesítő tételek</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 CRR 490. cikkének (6) bekezdése, valamint 491. cikkének c) pontja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feltüntetendő érték magában foglalja a kapcsolódó ázsiót.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A szerzett jogok alapján figyelembe vett AT1 tőkeinstrumentumok korlátját meghaladó érték</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 CRR 487. cikkének (2) bekezdése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 szerzett jogok alapján figyelembe vett AT1 tőkeinstrumentumok korlátját meghaladó érték olyan eszközként kezelhető, amely az T2 tőkén belül a szerzett jogok alapján figyelembe vehető.</w:t>
            </w:r>
          </w:p>
        </w:tc>
      </w:tr>
    </w:tbl>
    <w:p w:rsidR="00464F34" w:rsidRPr="00661595" w:rsidRDefault="00464F34" w:rsidP="000911FE">
      <w:pPr>
        <w:pStyle w:val="body"/>
        <w:rPr>
          <w:u w:val="single"/>
        </w:rPr>
      </w:pPr>
      <w:bookmarkStart w:id="93" w:name="_Toc239157372"/>
      <w:bookmarkStart w:id="94" w:name="_Toc295829844"/>
      <w:bookmarkStart w:id="95"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6" w:name="_Toc473560887"/>
      <w:bookmarkStart w:id="97" w:name="_Toc58858582"/>
      <w:bookmarkEnd w:id="93"/>
      <w:bookmarkEnd w:id="94"/>
      <w:bookmarkEnd w:id="95"/>
      <w:r>
        <w:rPr>
          <w:rFonts w:ascii="Times New Roman" w:hAnsi="Times New Roman"/>
          <w:sz w:val="24"/>
          <w:u w:val="none"/>
        </w:rPr>
        <w:t>2.</w:t>
      </w:r>
      <w:r w:rsidRPr="00774DB7">
        <w:rPr>
          <w:u w:val="none"/>
        </w:rPr>
        <w:tab/>
      </w:r>
      <w:r>
        <w:rPr>
          <w:rFonts w:ascii="Times New Roman" w:hAnsi="Times New Roman"/>
          <w:sz w:val="24"/>
        </w:rPr>
        <w:t xml:space="preserve">CSOPORTSZINTŰ SZAVATOLÓTŐKE-MEGFELELÉS: </w:t>
      </w:r>
      <w:bookmarkStart w:id="98" w:name="_Toc360188339"/>
      <w:r>
        <w:rPr>
          <w:rFonts w:ascii="Times New Roman" w:hAnsi="Times New Roman"/>
          <w:sz w:val="24"/>
        </w:rPr>
        <w:t>INFORMÁCIÓK A CSOPORTBA TARTOZÓ SZERVEZETEKRŐL (GS)</w:t>
      </w:r>
      <w:bookmarkEnd w:id="96"/>
      <w:bookmarkEnd w:id="97"/>
      <w:bookmarkEnd w:id="9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9" w:name="_Toc264038416"/>
      <w:bookmarkStart w:id="100" w:name="_Toc295829845"/>
      <w:bookmarkStart w:id="101" w:name="_Toc310415011"/>
      <w:bookmarkStart w:id="102" w:name="_Toc330394186"/>
      <w:bookmarkStart w:id="103" w:name="_Toc360188340"/>
      <w:bookmarkStart w:id="104" w:name="_Toc473560888"/>
      <w:bookmarkStart w:id="105" w:name="_Toc58858583"/>
      <w:r>
        <w:rPr>
          <w:rFonts w:ascii="Times New Roman" w:hAnsi="Times New Roman"/>
          <w:sz w:val="24"/>
          <w:u w:val="none"/>
        </w:rPr>
        <w:t>2.1.</w:t>
      </w:r>
      <w:r w:rsidRPr="00774DB7">
        <w:rPr>
          <w:u w:val="none"/>
        </w:rPr>
        <w:tab/>
      </w:r>
      <w:r>
        <w:rPr>
          <w:rFonts w:ascii="Times New Roman" w:hAnsi="Times New Roman"/>
          <w:sz w:val="24"/>
        </w:rPr>
        <w:t>Általános megjegyzések</w:t>
      </w:r>
      <w:bookmarkEnd w:id="99"/>
      <w:bookmarkEnd w:id="100"/>
      <w:bookmarkEnd w:id="101"/>
      <w:bookmarkEnd w:id="102"/>
      <w:bookmarkEnd w:id="103"/>
      <w:bookmarkEnd w:id="104"/>
      <w:bookmarkEnd w:id="105"/>
    </w:p>
    <w:p w:rsidR="00464F34" w:rsidRPr="00661595" w:rsidRDefault="0055388B" w:rsidP="00487A02">
      <w:pPr>
        <w:pStyle w:val="InstructionsText2"/>
        <w:numPr>
          <w:ilvl w:val="0"/>
          <w:numId w:val="0"/>
        </w:numPr>
        <w:ind w:left="1353" w:hanging="360"/>
      </w:pPr>
      <w:fldSimple w:instr=" seq paragraphs ">
        <w:r w:rsidR="00D11E4C">
          <w:rPr>
            <w:noProof/>
          </w:rPr>
          <w:t>27</w:t>
        </w:r>
      </w:fldSimple>
      <w:r w:rsidR="00D11E4C">
        <w:t>.</w:t>
      </w:r>
      <w:r w:rsidR="00D11E4C">
        <w:tab/>
        <w:t>A C 06.01-es és C 06.02-es táblán a szavatolótőke-követelmények konszolidált alapon történő számítása esetén kell adatot szolgáltatni. A C 06.02-es tábla négy részből áll, amelyek célja különböző információk gyűjtése a konszolidációs körbe bevont valamennyi szervezetről, ezen belül az adatot szolgáltató intézményről:</w:t>
      </w:r>
    </w:p>
    <w:p w:rsidR="00C93697" w:rsidRPr="00661595" w:rsidRDefault="00125707" w:rsidP="00487A02">
      <w:pPr>
        <w:pStyle w:val="InstructionsText2"/>
        <w:numPr>
          <w:ilvl w:val="0"/>
          <w:numId w:val="0"/>
        </w:numPr>
        <w:ind w:left="1353" w:hanging="360"/>
      </w:pPr>
      <w:r>
        <w:lastRenderedPageBreak/>
        <w:t>a)</w:t>
      </w:r>
      <w:r>
        <w:tab/>
        <w:t>a konszolidáció körébe bevont szervezetek;</w:t>
      </w:r>
    </w:p>
    <w:p w:rsidR="00C93697" w:rsidRPr="00661595" w:rsidRDefault="00125707" w:rsidP="00487A02">
      <w:pPr>
        <w:pStyle w:val="InstructionsText2"/>
        <w:numPr>
          <w:ilvl w:val="0"/>
          <w:numId w:val="0"/>
        </w:numPr>
        <w:ind w:left="1353" w:hanging="360"/>
      </w:pPr>
      <w:r>
        <w:t>b)</w:t>
      </w:r>
      <w:r>
        <w:tab/>
        <w:t>részletes információk a csoportszintű szavatolótőke-megfelelésről;</w:t>
      </w:r>
    </w:p>
    <w:p w:rsidR="00C93697" w:rsidRPr="00661595" w:rsidRDefault="00125707" w:rsidP="00487A02">
      <w:pPr>
        <w:pStyle w:val="InstructionsText2"/>
        <w:numPr>
          <w:ilvl w:val="0"/>
          <w:numId w:val="0"/>
        </w:numPr>
        <w:ind w:left="1353" w:hanging="360"/>
      </w:pPr>
      <w:r>
        <w:t>c)</w:t>
      </w:r>
      <w:r>
        <w:tab/>
        <w:t>az egyes szervezeteknek a csoportszintű szavatolótőke-megfeleléshez való hozzájárulásával kapcsolatos információk;</w:t>
      </w:r>
    </w:p>
    <w:p w:rsidR="00C93697" w:rsidRPr="00661595" w:rsidRDefault="00125707" w:rsidP="00487A02">
      <w:pPr>
        <w:pStyle w:val="InstructionsText2"/>
        <w:numPr>
          <w:ilvl w:val="0"/>
          <w:numId w:val="0"/>
        </w:numPr>
        <w:ind w:left="1353" w:hanging="360"/>
      </w:pPr>
      <w:r>
        <w:t>d)</w:t>
      </w:r>
      <w:r>
        <w:tab/>
        <w:t>a tőkepufferekkel kapcsolatos információk.</w:t>
      </w:r>
    </w:p>
    <w:p w:rsidR="00464F34" w:rsidRPr="00661595" w:rsidRDefault="0055388B" w:rsidP="00487A02">
      <w:pPr>
        <w:pStyle w:val="InstructionsText2"/>
        <w:numPr>
          <w:ilvl w:val="0"/>
          <w:numId w:val="0"/>
        </w:numPr>
        <w:ind w:left="1353" w:hanging="360"/>
      </w:pPr>
      <w:fldSimple w:instr=" seq paragraphs ">
        <w:r w:rsidR="00D11E4C">
          <w:rPr>
            <w:noProof/>
          </w:rPr>
          <w:t>28</w:t>
        </w:r>
      </w:fldSimple>
      <w:r w:rsidR="00D11E4C">
        <w:t>.</w:t>
      </w:r>
      <w:r w:rsidR="00D11E4C">
        <w:tab/>
        <w:t>A CRR 7. cikke alapján mentesülő intézmények kizárólag a 0010–0060-as és 0250–0400-as oszlopban szolgáltatnak adatot.</w:t>
      </w:r>
    </w:p>
    <w:p w:rsidR="004C0508" w:rsidRPr="00661595" w:rsidRDefault="0055388B" w:rsidP="00487A02">
      <w:pPr>
        <w:pStyle w:val="InstructionsText2"/>
        <w:numPr>
          <w:ilvl w:val="0"/>
          <w:numId w:val="0"/>
        </w:numPr>
        <w:ind w:left="1353" w:hanging="360"/>
      </w:pPr>
      <w:fldSimple w:instr=" seq paragraphs ">
        <w:r w:rsidR="00D11E4C">
          <w:rPr>
            <w:noProof/>
          </w:rPr>
          <w:t>29</w:t>
        </w:r>
      </w:fldSimple>
      <w:r w:rsidR="00D11E4C">
        <w:t>.</w:t>
      </w:r>
      <w:r w:rsidR="00D11E4C">
        <w:tab/>
        <w:t>A feltüntetett adatoknak figyelembe kell venniük a CRR összes olyan átmeneti rendelkezését, amely az adott adatszolgáltatási időpontban alkalmazandó volt.</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6" w:name="_Toc360188341"/>
      <w:bookmarkStart w:id="107" w:name="_Toc473560889"/>
      <w:bookmarkStart w:id="108" w:name="_Toc58858584"/>
      <w:r>
        <w:rPr>
          <w:rFonts w:ascii="Times New Roman" w:hAnsi="Times New Roman"/>
          <w:sz w:val="24"/>
          <w:u w:val="none"/>
        </w:rPr>
        <w:t>2.2.</w:t>
      </w:r>
      <w:r w:rsidRPr="00774DB7">
        <w:rPr>
          <w:u w:val="none"/>
        </w:rPr>
        <w:tab/>
      </w:r>
      <w:r>
        <w:rPr>
          <w:rFonts w:ascii="Times New Roman" w:hAnsi="Times New Roman"/>
          <w:sz w:val="24"/>
        </w:rPr>
        <w:t>Részletes információk a csoportszintű szavatolótőke-megfelelésről</w:t>
      </w:r>
      <w:bookmarkEnd w:id="106"/>
      <w:bookmarkEnd w:id="107"/>
      <w:bookmarkEnd w:id="108"/>
    </w:p>
    <w:p w:rsidR="00464F34" w:rsidRPr="00661595" w:rsidRDefault="0055388B" w:rsidP="00487A02">
      <w:pPr>
        <w:pStyle w:val="InstructionsText2"/>
        <w:numPr>
          <w:ilvl w:val="0"/>
          <w:numId w:val="0"/>
        </w:numPr>
        <w:ind w:left="1353" w:hanging="360"/>
      </w:pPr>
      <w:fldSimple w:instr=" seq paragraphs ">
        <w:r w:rsidR="00D11E4C">
          <w:rPr>
            <w:noProof/>
          </w:rPr>
          <w:t>30</w:t>
        </w:r>
      </w:fldSimple>
      <w:r w:rsidR="00D11E4C">
        <w:t>.</w:t>
      </w:r>
      <w:r w:rsidR="00D11E4C">
        <w:tab/>
        <w:t xml:space="preserve">A C 06.02 tábla második része (részletes információk a csoportszintű szavatolótőke-megfelelésről, 0070–0210-es oszlop) célja információk gyűjtése azon hitel- és egyéb szabályozott pénzügyi vállalkozásokról, amelyek egyedi alapon ténylegesen konkrét tőkemegfelelési követelmények hatálya alá tartoznak. Az adatszolgáltatás körébe tartozó valamennyi szervezetre vonatkozóan rögzíti az egyes kockázati kategóriák szavatolótőke-követelményeit, valamint a tőkemegfelelés megállapításához szükséges szavatolótőke mértékét. </w:t>
      </w:r>
    </w:p>
    <w:p w:rsidR="00464F34" w:rsidRPr="00661595" w:rsidRDefault="0055388B" w:rsidP="00487A02">
      <w:pPr>
        <w:pStyle w:val="InstructionsText2"/>
        <w:numPr>
          <w:ilvl w:val="0"/>
          <w:numId w:val="0"/>
        </w:numPr>
        <w:ind w:left="1353" w:hanging="360"/>
      </w:pPr>
      <w:fldSimple w:instr=" seq paragraphs ">
        <w:r w:rsidR="00D11E4C">
          <w:rPr>
            <w:noProof/>
          </w:rPr>
          <w:t>31</w:t>
        </w:r>
      </w:fldSimple>
      <w:r w:rsidR="00D11E4C">
        <w:t>.</w:t>
      </w:r>
      <w:r w:rsidR="00D11E4C">
        <w:tab/>
        <w:t>A részesedések arányos konszolidálása esetében a szavatolótőke-követelményekkel és a szavatolótőkével kapcsolatos adatok az adott arányos összegeknek felelnek meg.</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9" w:name="_Toc360188342"/>
      <w:bookmarkStart w:id="110" w:name="_Toc473560890"/>
      <w:bookmarkStart w:id="111" w:name="_Toc58858585"/>
      <w:r>
        <w:rPr>
          <w:rFonts w:ascii="Times New Roman" w:hAnsi="Times New Roman"/>
          <w:sz w:val="24"/>
          <w:u w:val="none"/>
        </w:rPr>
        <w:t>2.3.</w:t>
      </w:r>
      <w:r w:rsidRPr="00774DB7">
        <w:rPr>
          <w:u w:val="none"/>
        </w:rPr>
        <w:tab/>
      </w:r>
      <w:r>
        <w:rPr>
          <w:rFonts w:ascii="Times New Roman" w:hAnsi="Times New Roman"/>
          <w:sz w:val="24"/>
        </w:rPr>
        <w:t>Az egyes szervezeteknek a csoportszintű szavatolótőke-megfeleléshez való hozzájárulásával kapcsolatos információk</w:t>
      </w:r>
      <w:bookmarkEnd w:id="109"/>
      <w:bookmarkEnd w:id="110"/>
      <w:bookmarkEnd w:id="111"/>
    </w:p>
    <w:p w:rsidR="00464F34" w:rsidRPr="00661595" w:rsidRDefault="0055388B" w:rsidP="00487A02">
      <w:pPr>
        <w:pStyle w:val="InstructionsText2"/>
        <w:numPr>
          <w:ilvl w:val="0"/>
          <w:numId w:val="0"/>
        </w:numPr>
        <w:ind w:left="1353" w:hanging="360"/>
      </w:pPr>
      <w:fldSimple w:instr=" seq paragraphs ">
        <w:r w:rsidR="00D11E4C">
          <w:rPr>
            <w:noProof/>
          </w:rPr>
          <w:t>32</w:t>
        </w:r>
      </w:fldSimple>
      <w:r w:rsidR="00D11E4C">
        <w:t>.</w:t>
      </w:r>
      <w:r w:rsidR="00D11E4C">
        <w:tab/>
        <w:t xml:space="preserve">A C 06.02 tábla harmadik része és a C 06.01 tábla (a CRR szerinti konszolidációs körbe vont egyes szervezeteknek – ezen belül azoknak, amelyekre egyedi alapon nem vonatkoznak konkrét tőkemegfelelési követelmények – a csoportszintű szavatolótőke-megfeleléshez való hozzájárulásával kapcsolatos információk, 0250–0400. oszlop) meghatározza, hogy a csoporton belül mely szervezetek generálják a kockázatokat és vonnak be szavatolótőkét a piacról, amelyhez a könnyen hozzáférhető vagy könnyen újrafeldolgozható adatokat használja fel a tőkemegfelelési mutató egyedi vagy szubkonszolidált alapon történő rekonstruálása nélkül. A szervezet szintjén a kockázatra és a szavatolótőkére vonatkozó adatok egyaránt a csoportszintű adatokhoz járulnak hozzá, és nem egyedi alapon számított szolvenciamutató részei, így egymással nem hasonlíthatók össze. </w:t>
      </w:r>
    </w:p>
    <w:p w:rsidR="00464F34" w:rsidRPr="00661595" w:rsidRDefault="0055388B" w:rsidP="00487A02">
      <w:pPr>
        <w:pStyle w:val="InstructionsText2"/>
        <w:numPr>
          <w:ilvl w:val="0"/>
          <w:numId w:val="0"/>
        </w:numPr>
        <w:ind w:left="1353" w:hanging="360"/>
      </w:pPr>
      <w:fldSimple w:instr=" seq paragraphs ">
        <w:r w:rsidR="00D11E4C">
          <w:rPr>
            <w:noProof/>
          </w:rPr>
          <w:t>33</w:t>
        </w:r>
      </w:fldSimple>
      <w:r w:rsidR="00D11E4C">
        <w:t>.</w:t>
      </w:r>
      <w:r w:rsidR="00D11E4C">
        <w:tab/>
        <w:t>A harmadik rész ezenkívül magában foglalja a konszolidált szavatolótőkében figyelembe vehető, a kisebbségi részesedésekbe, AT1 tőkébe és T2 tőkébe beszámítható elemek összegét is.</w:t>
      </w:r>
    </w:p>
    <w:p w:rsidR="00464F34" w:rsidRPr="00661595" w:rsidRDefault="0055388B" w:rsidP="00487A02">
      <w:pPr>
        <w:pStyle w:val="InstructionsText2"/>
        <w:numPr>
          <w:ilvl w:val="0"/>
          <w:numId w:val="0"/>
        </w:numPr>
        <w:ind w:left="1353" w:hanging="360"/>
      </w:pPr>
      <w:fldSimple w:instr=" seq paragraphs ">
        <w:r w:rsidR="00D11E4C">
          <w:rPr>
            <w:noProof/>
          </w:rPr>
          <w:t>34</w:t>
        </w:r>
      </w:fldSimple>
      <w:r w:rsidR="00D11E4C">
        <w:t>.</w:t>
      </w:r>
      <w:r w:rsidR="00D11E4C">
        <w:tab/>
        <w:t>Mivel a tábla harmadik része „hozzájárulásokat” említ, az itt feltüntetendő adatok adott esetben elmaradnak a csoportszintű szavatolótőke-megfeleléssel kapcsolatos részletes információkat tartalmazó oszlopokban megadott adatoktól.</w:t>
      </w:r>
    </w:p>
    <w:p w:rsidR="00464F34" w:rsidRPr="00661595" w:rsidRDefault="0055388B" w:rsidP="00487A02">
      <w:pPr>
        <w:pStyle w:val="InstructionsText2"/>
        <w:numPr>
          <w:ilvl w:val="0"/>
          <w:numId w:val="0"/>
        </w:numPr>
        <w:ind w:left="1353" w:hanging="360"/>
      </w:pPr>
      <w:fldSimple w:instr=" seq paragraphs ">
        <w:r w:rsidR="00D11E4C">
          <w:rPr>
            <w:noProof/>
          </w:rPr>
          <w:t>35</w:t>
        </w:r>
      </w:fldSimple>
      <w:r w:rsidR="00D11E4C">
        <w:t>.</w:t>
      </w:r>
      <w:r w:rsidR="00D11E4C">
        <w:tab/>
        <w:t>A követendő alapelv szerint mind a kockázatok, mind a szavatolótőke szempontjából egységes módon kell kiküszöbölni az azonos csoporton belüli kölcsönös kitettségeket annak érdekében, hogy a csoport konszolidált CA táblában magadott értékek fedezete az egyes szervezetek csoportszintű szavatolótőke-megfelelésre vonatkozó táblában feltüntetett értékek hozzáadásával biztosítható legyen. Azokban az esetekben, amikor az 1 %-os küszöb túllépésére nem kerül sor, a CA táblához nem alkalmazható közvetlen kapcsolat.</w:t>
      </w:r>
    </w:p>
    <w:p w:rsidR="00464F34" w:rsidRPr="00661595" w:rsidRDefault="0055388B" w:rsidP="00487A02">
      <w:pPr>
        <w:pStyle w:val="InstructionsText2"/>
        <w:numPr>
          <w:ilvl w:val="0"/>
          <w:numId w:val="0"/>
        </w:numPr>
        <w:ind w:left="1353" w:hanging="360"/>
      </w:pPr>
      <w:fldSimple w:instr=" seq paragraphs ">
        <w:r w:rsidR="00D11E4C">
          <w:rPr>
            <w:noProof/>
          </w:rPr>
          <w:t>36</w:t>
        </w:r>
      </w:fldSimple>
      <w:r w:rsidR="00D11E4C">
        <w:t>.</w:t>
      </w:r>
      <w:r w:rsidR="00D11E4C">
        <w:tab/>
        <w:t>Az intézményeknek meg kell határozniuk a szervezetek közötti legcélszerűbb felosztási módszert a piaci kockázatot és működési kockázatot érintő esetleges diverzifikációs hatások figyelembevétele céljából.</w:t>
      </w:r>
    </w:p>
    <w:p w:rsidR="00464F34" w:rsidRPr="00661595" w:rsidRDefault="0055388B" w:rsidP="00487A02">
      <w:pPr>
        <w:pStyle w:val="InstructionsText2"/>
        <w:numPr>
          <w:ilvl w:val="0"/>
          <w:numId w:val="0"/>
        </w:numPr>
        <w:ind w:left="1353" w:hanging="360"/>
      </w:pPr>
      <w:fldSimple w:instr=" seq paragraphs ">
        <w:r w:rsidR="00D11E4C">
          <w:rPr>
            <w:noProof/>
          </w:rPr>
          <w:t>37</w:t>
        </w:r>
      </w:fldSimple>
      <w:r w:rsidR="00D11E4C">
        <w:t>.</w:t>
      </w:r>
      <w:r w:rsidR="00D11E4C">
        <w:tab/>
        <w:t xml:space="preserve">Egy konszolidált csoport magában foglalhat egy másik konszolidált csoportot. Ez azt jelenti, hogy a részcsoportba tartozó szervezetekről külön-külön kell adatot szolgáltatni a teljes csoport GS tábláján, még akkor is, ha a részcsoportra magára is vonatkoznak adatszolgáltatási követelmények. Az a részcsoport, amelyre adatszolgáltatási követelmények vonatkoznak, szintén benyújtja a GS táblát a csoportot alkotó minden egyes szervezetre vonatkozóan külön-külön, annak ellenére, hogy ezeket az adatokat tartalmazza a magasabb szinten konszolidált csoportra vonatkozó GS tábla. </w:t>
      </w:r>
    </w:p>
    <w:p w:rsidR="00464F34" w:rsidRPr="00661595" w:rsidRDefault="0055388B" w:rsidP="00487A02">
      <w:pPr>
        <w:pStyle w:val="InstructionsText2"/>
        <w:numPr>
          <w:ilvl w:val="0"/>
          <w:numId w:val="0"/>
        </w:numPr>
        <w:ind w:left="1353" w:hanging="360"/>
      </w:pPr>
      <w:fldSimple w:instr=" seq paragraphs ">
        <w:r w:rsidR="00D11E4C">
          <w:rPr>
            <w:noProof/>
          </w:rPr>
          <w:t>38</w:t>
        </w:r>
      </w:fldSimple>
      <w:r w:rsidR="00D11E4C">
        <w:t>.</w:t>
      </w:r>
      <w:r w:rsidR="00D11E4C">
        <w:tab/>
        <w:t>Az intézmény egy szervezetnek a teljes kockázati kitettségértékhez való hozzájárulásáról adatot szolgáltat akkor, ha szervezet teljes kockázati kitettségértéke meghaladja a csoport teljes kockázati kitettségértékének 1 %-át, vagy ha a szervezet teljes szavatoló tőkéje meghaladja a csoport teljes szavatoló tőkéjének 1 %-át. Ez a küszöbérték nem alkalmazandó olyan leányvállalatok vagy alcsoportok esetében, amelyek kisebbségi részesedés vagy a szavatolótőke részét képező, az AT1 tőkébe vagy T2 tőkébe beszámítható instrumentumok formájában szavatolótőkét bocsátanak a csoport rendelkezésére.</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1"/>
      <w:bookmarkStart w:id="113" w:name="_Toc58858586"/>
      <w:r>
        <w:rPr>
          <w:rFonts w:ascii="Times New Roman" w:hAnsi="Times New Roman"/>
          <w:sz w:val="24"/>
          <w:u w:val="none"/>
        </w:rPr>
        <w:t>2.4.</w:t>
      </w:r>
      <w:r w:rsidRPr="00774DB7">
        <w:rPr>
          <w:u w:val="none"/>
        </w:rPr>
        <w:tab/>
      </w:r>
      <w:r>
        <w:rPr>
          <w:rFonts w:ascii="Times New Roman" w:hAnsi="Times New Roman"/>
          <w:sz w:val="24"/>
        </w:rPr>
        <w:t>C 06.01 – CSOPORTSZINTŰ SZAVATOLÓTŐKE-MEGFELELÉS: INFORMÁCIÓK A CSOPORTBA TARTOZÓ SZERVEZETEKRŐL – ÖSSZESEN (GS Total)</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Oszlop</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Útmutató</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A KONSZOLIDÁCIÓ KÖRÉBE BEVONT SZERVEZETEK</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Lásd a 06.02-es táblához tartozó útmutatót.</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TŐKEPUFFEREK</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Lásd a 06.02-es táblához tartozó útmutatót.</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Sor</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Útmutató</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ÖSSZESEN</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Ebben a sorban a C 06.02-es tábla soraiban feltüntetett értékek összegét kell szerepeltetni.</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4" w:name="_Toc473560892"/>
      <w:bookmarkStart w:id="115" w:name="_Toc58858587"/>
      <w:r>
        <w:rPr>
          <w:rFonts w:ascii="Times New Roman" w:hAnsi="Times New Roman"/>
          <w:sz w:val="24"/>
          <w:u w:val="none"/>
        </w:rPr>
        <w:lastRenderedPageBreak/>
        <w:t>2.5.</w:t>
      </w:r>
      <w:r w:rsidRPr="00774DB7">
        <w:rPr>
          <w:u w:val="none"/>
        </w:rPr>
        <w:tab/>
      </w:r>
      <w:r>
        <w:rPr>
          <w:rFonts w:ascii="Times New Roman" w:hAnsi="Times New Roman"/>
          <w:sz w:val="24"/>
        </w:rPr>
        <w:t>C 06.02 – CSOPORTSZINTŰ SZAVATOLÓTŐKE-MEGFELELÉS: INFORMÁCIÓK A CSOPORTBA TARTOZÓ SZERVEZETEKRŐL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Oszlop</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Útmutató</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 KONSZOLIDÁCIÓ KÖRÉBE BEVONT SZERVEZETEK</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E tábla célja, hogy a CRR első része II. címének 2. fejezete szerinti konszolidációba bevont valamennyi szervezetről egyedileg gyűjtsön információkat.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NÉV</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A konszolidáció körébe bevont szervezet neve.</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KÓD</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 sorazonosító részét képező kódnak minden egyes jelentett szervezet esetében egyedinek kell lennie. Intézmények és biztosítók esetében a kód a LEI-kód. Más szervezetek esetében a kód a LEI-kód, vagy ha nem áll rendelkezésre, valamely nemzeti kód. A kódnak egyedinek kell lennie, és azt következetesen kell használni a táblákban és az egymást követő adatszolgáltatási időszakokban. A kódnak mindig valamely értéket kell tartalmaznia.</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A KÓD TÍPUSA</w:t>
            </w:r>
          </w:p>
          <w:p w:rsidR="00464F34" w:rsidRPr="00661595" w:rsidRDefault="00BF0637" w:rsidP="00DD2C1E">
            <w:pPr>
              <w:rPr>
                <w:rStyle w:val="InstructionsTabelleberschrift"/>
                <w:rFonts w:ascii="Times New Roman" w:hAnsi="Times New Roman"/>
                <w:sz w:val="24"/>
              </w:rPr>
            </w:pPr>
            <w:r>
              <w:rPr>
                <w:rStyle w:val="FormatvorlageInstructionsTabelleText"/>
                <w:rFonts w:ascii="Times New Roman" w:hAnsi="Times New Roman"/>
                <w:sz w:val="24"/>
              </w:rPr>
              <w:t>Az intézményeknek a 0021. oszlopban feltüntetett kódtípust „LEI-kód”-ként vagy „Nem-LEI-kód”-ként kell megadniuk. A kód típusát mindig jelenteni kell.</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NEMZETI KÓD</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Az intézmények akkor is megadhatják a nemzeti kódot, amikor a „Kód” oszlopban a LEI-kódot tüntetik fel azonosítóként.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INTÉZMÉNY VAGY ANNAK MEGFELELŐ (IGEN / NEM)</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Az IGEN értéket kell megadni akkor, ha a szervezetre a CRR és a CRD szerinti szavatolótőke-követelmények, vagy legalább a Bázel-szabályokkal egyenértékű rendelkezések vonatkoznak.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Egyéb esetben a NEM értéket kell megadni.</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Kisebbségi részesedések:</w:t>
            </w:r>
          </w:p>
          <w:p w:rsidR="00BF0637" w:rsidRPr="00661595" w:rsidRDefault="00BF0637" w:rsidP="00BF0637">
            <w:pPr>
              <w:rPr>
                <w:rStyle w:val="InstructionsTabelleText"/>
                <w:rFonts w:ascii="Times New Roman" w:hAnsi="Times New Roman"/>
                <w:sz w:val="24"/>
              </w:rPr>
            </w:pPr>
            <w:r>
              <w:rPr>
                <w:rFonts w:ascii="Times New Roman" w:hAnsi="Times New Roman"/>
                <w:sz w:val="24"/>
              </w:rPr>
              <w:t>A CRR 81. cikke (1) bekezdése a) pontjának ii. alpontja, valamint 82. cikke (1) bekezdése a) pontjának ii. alpontja</w:t>
            </w:r>
          </w:p>
          <w:p w:rsidR="00BF0637" w:rsidRPr="00661595" w:rsidRDefault="00BF0637" w:rsidP="00BF0637">
            <w:pPr>
              <w:rPr>
                <w:rStyle w:val="InstructionsTabelleText"/>
                <w:rFonts w:ascii="Times New Roman" w:hAnsi="Times New Roman"/>
                <w:sz w:val="24"/>
              </w:rPr>
            </w:pPr>
            <w:r>
              <w:rPr>
                <w:rFonts w:ascii="Times New Roman" w:hAnsi="Times New Roman"/>
                <w:sz w:val="24"/>
              </w:rPr>
              <w:t>A kisebbségi részesedések, valamint a leányvállalatok által kibocsátott AT1 tőke és T2 tőkeinstrumentumok szempontjából az olyan leányvállalatok instrumentumai vehetők figyelembe, amelyek az alkalmazandó nemzeti jognál fogva a CRR követelményeinek hatálya alá tartozó intézmények vagy vállalkozások.</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SZERVEZET TÍPUSA</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A szervezet típusát a következő kategóriák alapján kell feltüntetni:</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hitelintézet</w:t>
            </w:r>
          </w:p>
          <w:p w:rsidR="00BF0637" w:rsidRPr="00661595" w:rsidRDefault="00BF0637" w:rsidP="00BF0637">
            <w:pPr>
              <w:tabs>
                <w:tab w:val="left" w:pos="372"/>
              </w:tabs>
              <w:rPr>
                <w:rStyle w:val="InstructionsTabelleText"/>
                <w:rFonts w:ascii="Times New Roman" w:hAnsi="Times New Roman"/>
                <w:sz w:val="24"/>
              </w:rPr>
            </w:pPr>
            <w:r>
              <w:lastRenderedPageBreak/>
              <w:tab/>
            </w:r>
            <w:r>
              <w:rPr>
                <w:rStyle w:val="InstructionsTabelleText"/>
                <w:rFonts w:ascii="Times New Roman" w:hAnsi="Times New Roman"/>
                <w:sz w:val="24"/>
              </w:rPr>
              <w:t>A CRR 4. cikke (1) bekezdésének 1. pontja;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befektetési vállalkozás</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 CRR 4. cikke (1) bekezdésének 2. pontja;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pénzügyi intézmény (egyéb)</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 CRR 4. cikke (1) bekezdésének 20., 21. és 26. pontja;</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A CRR 4. cikke (1) bekezdésének 26. pontja szerinti pénzügyi vállalkozások, amelyek a d), f) vagy g) kategória egyikébe sem tartoznak;</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(vegyes) pénzügyi holdingtársaság</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 CRR 4. cikke (1) bekezdésének 20. és 21. pontja;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kiegészítő szolgáltatásokat nyújtó (járulékos) vállalkozás</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 CRR 4. cikke (1) bekezdésének 18. pontja;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bCs/>
                <w:sz w:val="24"/>
              </w:rPr>
              <w:t>különleges célú gazdasági egység</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 CRR 4. cikke (1) bekezdésének 66. pontja;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fedezettkötvény-társaság</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Fedezett kötvények kibocsátása vagy fedezett kötvény fedezetéül szolgáló biztosíték tartása céljából létrehozott szervezet, ha a fenti a), b) vagy d)–f) kategóriák egyikébe sem tartozik;</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egyéb típusú szervezet</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a)–g) pontban említettektől eltérő szervezet.</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valamely szervezet nem tartozik a CRR és a CRD hatálya alá, de a bázeli előírásokkal legalább egyenértékű előírások hatálya alá tartozik, a vonatkozó kategóriát a legnagyobb gondosság elve alapján kell meghatározni.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AZ ADATOK TERJEDELME: </w:t>
            </w:r>
            <w:r>
              <w:rPr>
                <w:rFonts w:ascii="Times New Roman" w:hAnsi="Times New Roman"/>
                <w:b/>
                <w:caps/>
                <w:sz w:val="24"/>
                <w:u w:val="single"/>
              </w:rPr>
              <w:t>egyedi alapon teljeskörűen konszolidált (SF) vagy egyedi alapon részlegesen konszolidált (SP)</w:t>
            </w:r>
          </w:p>
          <w:p w:rsidR="00BF0637" w:rsidRPr="00661595" w:rsidRDefault="00BF0637" w:rsidP="00BF0637">
            <w:pPr>
              <w:rPr>
                <w:rStyle w:val="Heading1Char"/>
                <w:rFonts w:ascii="Times New Roman" w:hAnsi="Times New Roman"/>
                <w:sz w:val="24"/>
                <w:szCs w:val="24"/>
              </w:rPr>
            </w:pPr>
            <w:r>
              <w:rPr>
                <w:rFonts w:ascii="Times New Roman" w:hAnsi="Times New Roman"/>
                <w:sz w:val="24"/>
              </w:rPr>
              <w:t xml:space="preserve">Az </w:t>
            </w:r>
            <w:r>
              <w:rPr>
                <w:rStyle w:val="InstructionsTabelleText"/>
                <w:rFonts w:ascii="Times New Roman" w:hAnsi="Times New Roman"/>
                <w:sz w:val="24"/>
              </w:rPr>
              <w:t>SF</w:t>
            </w:r>
            <w:r>
              <w:rPr>
                <w:rFonts w:ascii="Times New Roman" w:hAnsi="Times New Roman"/>
                <w:sz w:val="24"/>
              </w:rPr>
              <w:t xml:space="preserve"> értéket teljeskörűen konszolidált egyedi leányvállalatok esetében kell megadni.</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Fonts w:ascii="Times New Roman" w:hAnsi="Times New Roman"/>
                <w:sz w:val="24"/>
              </w:rPr>
              <w:t xml:space="preserve">Az </w:t>
            </w:r>
            <w:r>
              <w:rPr>
                <w:rStyle w:val="InstructionsTabelleText"/>
                <w:rFonts w:ascii="Times New Roman" w:hAnsi="Times New Roman"/>
                <w:sz w:val="24"/>
              </w:rPr>
              <w:t>SP</w:t>
            </w:r>
            <w:r>
              <w:rPr>
                <w:rFonts w:ascii="Times New Roman" w:hAnsi="Times New Roman"/>
                <w:sz w:val="24"/>
              </w:rPr>
              <w:t xml:space="preserve"> értéket részlegesen konszolidált egyedi leányvállalatok esetében kell megadni.</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ORSZÁGKÓD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Az intézményeknek a kétbetűs országkódot az ISO 3166-2 szabvány szerint kell megadniuk.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RÉSZESEDÉS ARÁNYA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Az anyavállalat által a leányvállalatokban birtokolt tényleges tőkerészesedés. Közvetlen leányvállalat teljes körű konszolidálása esetében a tényleges részesedés pl. 70 %. A CRR 4. cikke (1) bekezdése 16. pontjának megfelelően egy leányvállalatban birtokolt, feltüntetendő részesedés az érintett leányvállalatok közötti részesedések szorzataként adódik.</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SZAVATOLÓTŐKE-KÖVETELMÉNY HATÁLYA ALÁ TARTOZÓ SZERVEZETEKKEL KAPCSOLATOS INFORMÁCIÓK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A részletes információkat tartalmazó rész (0070–0240-es oszlop) kizárólag az olyan szervezetekről és alcsoportokról gyűjt információkat, amelyekre – mivel a CRR első része II. címének 2. fejezete szerinti konszolidáció körébe tartoznak</w:t>
            </w:r>
            <w:r>
              <w:rPr>
                <w:rFonts w:ascii="Times New Roman" w:hAnsi="Times New Roman"/>
                <w:sz w:val="24"/>
              </w:rPr>
              <w:t xml:space="preserve"> – a </w:t>
            </w:r>
            <w:r>
              <w:rPr>
                <w:rStyle w:val="InstructionsTabelleText"/>
                <w:rFonts w:ascii="Times New Roman" w:hAnsi="Times New Roman"/>
                <w:sz w:val="24"/>
              </w:rPr>
              <w:t xml:space="preserve">CRR-ben meghatározott tőkemegfelelési követelmények, vagy legalább a bázeli szabályokkal egyenértékű rendelkezések ténylegesen vonatkoznak (vagyis amelyeknél a 0030-as oszlop értéke „igen”). </w:t>
            </w:r>
          </w:p>
          <w:p w:rsidR="00BF0637" w:rsidRPr="00661595" w:rsidRDefault="00BF0637" w:rsidP="00BF0637">
            <w:pPr>
              <w:rPr>
                <w:rFonts w:ascii="Times New Roman" w:hAnsi="Times New Roman"/>
                <w:sz w:val="24"/>
              </w:rPr>
            </w:pPr>
            <w:r>
              <w:rPr>
                <w:rFonts w:ascii="Times New Roman" w:hAnsi="Times New Roman"/>
                <w:sz w:val="24"/>
              </w:rPr>
              <w:t xml:space="preserve">Egy konszolidált csoporton belüli valamennyi olyan egyedi intézményről, amelyre szavatolótőke-követelmények vonatkoznak, az intézmény helyétől függetlenül információt kell adni. </w:t>
            </w:r>
          </w:p>
          <w:p w:rsidR="00BF0637" w:rsidRPr="00661595" w:rsidRDefault="00BF0637" w:rsidP="00BF0637">
            <w:pPr>
              <w:rPr>
                <w:rFonts w:ascii="Times New Roman" w:hAnsi="Times New Roman"/>
                <w:sz w:val="24"/>
              </w:rPr>
            </w:pPr>
            <w:r>
              <w:rPr>
                <w:rFonts w:ascii="Times New Roman" w:hAnsi="Times New Roman"/>
                <w:sz w:val="24"/>
              </w:rPr>
              <w:t>Az ebben a részben megadott adatoknak tükrözniük kell az intézmény tevékenységének helye szerinti tőkemegfelelési szabályokat (ezért ehhez a táblához nem szükséges egyedi alapon az anyaintézmény szabályai szerinti kettős számítást végezni). A CRR-től eltérő helyi tőkemegfelelési szabályok esetén hasonló felosztás hiányában az információkat akkor kell megadni, ha a megfelelő tagoltságú adatok rendelkezésre állnak. Ez a rész tehát olyan konkrét adatokat tartalmazó tábla, amely a csoport egyedi intézményei által elvégzendő számításokat összegzi, figyelembe véve azt, hogy az intézmények közül egyesekre eltérő tőkemegfelelési szabályok vonatkozhatnak.</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Adatszolgáltatás a befektetési vállalkozások fix működési költségeiről:</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A befektetési vállalkozásoknak meg kell adniuk a tőkemegfelelési mutató CRR 95., 96., 97. és 98. cikke szerinti számításában figyelembe vett fix működési költségekkel kapcsolatos szavatolótőke-követelményeket.</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A teljes kockázati kitettségértéknek a fix működési költségekhez kapcsolódó részét e tábla 0100. oszlopában kell megadni.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TELJES KOCKÁZATI KITETTSÉGÉRTÉK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 0080–0110. oszlopok összegét kell megadni.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HITELKOCKÁZAT; PARTNERKOCKÁZAT; FELHÍGULÁSI KOCKÁZAT, NYITVA SZÁLLÍTÁSOK, ELSZÁMOLÁSI/TELJESÍTÉSI KOCKÁZAT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Az ebben az oszlopban feltüntetendő érték a CA2 tábla 0040. sorában (HITELKOCKÁZATRA, PARTNERKOCKÁZATRA ÉS FELHÍGULÁSI KOCKÁZATRA, VALAMINT NYITVA SZÁLLÍTÁSOKRA VONATKOZÓ, KOCKÁZATTAL SÚLYOZOTT KITETTSÉGÉRTÉKEK)</w:t>
            </w:r>
            <w:r>
              <w:rPr>
                <w:rFonts w:ascii="Times New Roman" w:hAnsi="Times New Roman"/>
                <w:sz w:val="24"/>
              </w:rPr>
              <w:t xml:space="preserve"> </w:t>
            </w:r>
            <w:r>
              <w:rPr>
                <w:rStyle w:val="InstructionsTabelleberschrift"/>
                <w:rFonts w:ascii="Times New Roman" w:hAnsi="Times New Roman"/>
                <w:b w:val="0"/>
                <w:sz w:val="24"/>
                <w:u w:val="none"/>
              </w:rPr>
              <w:t>feltüntetendő</w:t>
            </w:r>
            <w:r>
              <w:rPr>
                <w:rFonts w:ascii="Times New Roman" w:hAnsi="Times New Roman"/>
                <w:sz w:val="24"/>
              </w:rPr>
              <w:t xml:space="preserve"> </w:t>
            </w:r>
            <w:r>
              <w:rPr>
                <w:rStyle w:val="InstructionsTabelleText"/>
                <w:rFonts w:ascii="Times New Roman" w:hAnsi="Times New Roman"/>
                <w:sz w:val="24"/>
              </w:rPr>
              <w:t>értékekkel megegyező vagy egyenértékű kockázattal súlyozott kitettségértékeknek, valamint a 0490. sorában (AZ ELSZÁMOLÁSI/TELJESÍTÉSI KOCKÁZAT TELJES KOCKÁZATI KITETTSÉGÉRTÉKE) feltüntetendő értékekkel megegyező vagy egyenértékű szavatolótőkekövetelmény-összegeknek az összege.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POZÍCIÓKOCKÁZAT, DEVIZAÁRFOLYAM-KOCKÁZAT ÉS ÁRUKOCKÁZAT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Az ebben az oszlopban feltüntetendő érték a CA2-es tábla 0520-as sorában (A POZÍCIÓKOCKÁZAT, DEVIZAÁRFOLYAM-KOCKÁZAT ÉS ÁRUKOCKÁZAT TELJES KOCKÁZATI KITETTSÉGÉRTÉKE) megadott összeggel megegyező vagy egyenértékű tőkekövetelmény-összeg.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MŰKÖDÉSI KOCKÁZAT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Az ebben az oszlopban feltüntetendő érték a CA2-es tábla 0590-es sorában (MŰKÖDÉSI KOCKÁZAT (OpR) TELJES KOCKÁZATI KITETTSÉGÉRTÉKE) megadott összeggel megegyező vagy egyenértékű kitettségérték.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Ebben az oszlopban kell megadni a fix működési költségeket, ezen belül a CA2-es tábla 0630-as sorának értékét (FIX MŰKÖDÉSI KÖLTSÉGEKBŐL EREDŐ PÓTLÓLAGOS KOCKÁZATI KITETTSÉGÉRTÉK).</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EGYÉB KOCKÁZATI KITETTSÉGÉRTÉKEK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Az ebben az oszlopban feltüntetendő érték az előzőekben külön nem említett kitettségértékeket foglalja magában. A CA2-es tábla 0640-es, 0680-as és 0690-es sorában megadott értékek összege.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RÉSZLETES INFORMÁCIÓK A CSOPORTSZINTŰ SZAVATOLÓTŐKE-MEGFELELÉSRŐL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Az alábbi oszlopokban feltüntetett információk tükrözik azon tagállam helyi tőkemegfelelési szabályait, ahol a szervezet vagy alcsoport tevékenységi helye van.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SZAVATOLÓTŐKE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Az ebben az oszlopban feltüntetendő érték a CA1-es tábla 0010-es sorában (SZAVATOLÓTŐKE) megadott összeggel megegyező vagy egyenértékű szavatolótőke-összeg.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EBBŐL: A SZAVATOLÓTŐKÉBE BESZÁMÍTHATÓ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 CRR 82. cikke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Az oszlop csak az egyedi adatszolgáltatás hatálya alá tartozó, teljes mértékben konszolidált intézményi leányvállalatok adatait tartalmazza.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fenti leányvállalatok esetében befolyásoló részesedésnek minősülnek a vállalkozásokon kívüli és a CRR szerinti konszolidáció körébe bevont személyek tulajdonában álló instrumentumok, valamint az ezekhez kapcsolódó eredménytartalékok, ázsió és egyéb tartalékok.</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KAPCSOLÓDÓ SZAVATOLÓTŐKE-INSTRUMENTUMOK, KAPCSOLÓDÓ EREDMÉNYTARTALÉKOK, NÉVÉRTÉKEN FELÜLI BEFIZETÉSEK ÉS EGYÉB TARTALÉKOK</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87. cikke (1) bekezdésének b) pontja</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T1 TŐKE ÖSSZESEN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 CRR 25. cikke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A T1 TŐKÉBE BESZÁMÍTHATÓ</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82. cikke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Az oszlop csak az egyedi adatszolgáltatás hatálya alá tartozó, teljes mértékben konszolidált intézményi leányvállalatok adatait tartalmazza.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A fenti leányvállalatok esetében befolyásoló részesedésnek minősülnek a CRR szerinti konszolidáció körébe bevont vállalkozásokon kívüli személyek tulajdonában álló instrumentumok, valamint az ezekhez kapcsolódó eredménytartalékok és ázsió.</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KAPCSOLÓDÓ T1 INSTRUMENTUMOK, KAPCSOLÓDÓ EREDMÉNYTARTALÉKOK ÉS NÉVÉRTÉKEN FELÜLI BEFIZETÉSEK</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A CRR 85. cikke (1) bekezdésének b) pontja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CET1 TŐKE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 CRR 50. cikke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KISEBBSÉGI RÉSZESEDÉSEK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81. cikke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Az oszlop kizárólag a teljeskörűen konszolidált intézményi leányvállalatok adatait tartalmazza, a CRR 84. cikkének (3) bekezdésében említett leányvállalatok kivételével. A CRR 84. cikkében előírt valamennyi számítás szempontjából az egyes leányvállalatokat adott esetben a 84. cikk (2) bekezdésének megfelelően szubkonszolidált alapon, egyéb esetekben egyedi alapon kell figyelembe venni.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fenti leányvállalatok esetében befolyásoló kisebbségi részesedésnek minősülnek a CRR szerinti konszolidáció körébe bevont vállalkozásokon kívüli személyek tulajdonában álló CET1 tőkeinstrumentumok, valamint az ezekhez kapcsolódó eredménytartalékok és ázsió.</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KAPCSOLÓDÓ SZAVATOLÓTŐKE-INSTRUMENTUMOK, KAPCSOLÓDÓ EREDMÉNYTARTALÉKOK, NÉVÉRTÉKEN FELÜLI BEFIZETÉSEK ÉS EGYÉB TARTALÉKOK</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84. cikke (1) bekezdésének b) pontja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AT1 TŐKE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 CRR 61. cikke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AZ AT1 TŐKÉBE BESZÁMÍTHATÓ</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82. és 83. cikke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Az oszlop kizárólag a teljeskörűen konszolidált intézményi leányvállalatok adatait tartalmazza, a CRR 85. cikkének (2) bekezdésében említett leányvállalatok kivételével. A CRR 85. cikkében előírt valamennyi számítás szempontjából az egyes leányvállalatokat adott esetben a 85. cikk (2) bekezdésének megfelelően szubkonszolidált alapon, egyéb esetekben egyedi alapon kell figyelembe venni.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fenti leányvállalatok esetében kisebbségi részesedésnek minősülnek a CRR szerinti konszolidáció körébe bevont vállalkozásokon kívüli személyek tulajdonában álló AT1 tőkeinstrumentumok, valamint az ezekhez kapcsolódó eredménytartalékok és ázsió.</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A feltüntetendő érték magában foglalja az átmeneti rendelkezések hatásait. Az adatszolgáltatás időpontjában figyelembe vehető összeg.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ALAPVETŐ TŐKE (TIER 2 VAGY T1 TŐKE)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A CRR 71. cikke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A T2 TŐKÉBE BESZÁMÍTHATÓ</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82. és 83. cikke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Az oszlop csak a teljes mértékben konszolidált intézményi leányvállalatok adatait tartalmazza, a CRR 87. cikkének (2) bekezdésében említett leányvállalatok kivételével. A CRR 87. cikkében előírt valamennyi számítás szempontjából az egyes leányvállalatokat a CRR 87. cikke (2) bekezdésének alkalmazásakor szubkonszolidált alapon, egyéb esetekben egyedi alapon kell figyelembe venni.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fenti leányvállalatok esetében kisebbségi részesedésnek minősülnek a CRR szerinti konszolidáció körébe bevont vállalkozásokon kívüli személyek tulajdonában álló T2 tőkeinstrumentumok, valamint az ezekhez kapcsolódó eredménytartalékok és ázsió.</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A feltüntetendő érték magában foglalja az átmeneti rendelkezések hatásait. Az adatszolgáltatási vonatkozási időpontban figyelembe vehető összeg.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AZ EGYES SZERVEZETEKNEK A CSOPORTSZINTŰ SZAVATOLÓTŐKE-MEGFELELÉSHEZ VALÓ HOZZÁJÁRULÁSÁVAL KAPCSOLATOS INFORMÁCIÓK</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KOCKÁZATI HOZZÁJÁRULÁS</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Az alábbi oszlopokban feltüntetett információkat az adatot szolgáltató intézményre vonatkozó tőkemegfelelési szabályok alapján kell megadni.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TELJES KOCKÁZATI KITETTSÉGÉRTÉK</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 0260–0290. oszlopok összegét kell megadni.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HITELKOCKÁZAT; PARTNERKOCKÁZAT; FELHÍGULÁSI KOCKÁZAT, NYITVA SZÁLLÍTÁSOK, ELSZÁMOLÁSI/TELJESÍTÉSI KOCKÁZAT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feltüntetendő érték a kockázattal súlyozott hitelkockázati kitettségérték, valamint az elszámolási/teljesítési kockázatra vonatkozó, CRR szerinti szavatolótőke-követelmények összege, a más szervezetekkel bonyolított ügyletekhez kapcsolódó, a csoportszintű konszolidált szolvenciamutató kiszámításakor figyelembe vett összegek nélkül.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POZÍCIÓKOCKÁZAT, DEVIZAÁRFOLYAM-KOCKÁZAT ÉS ÁRUKOCKÁZAT</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A piaci kockázatra vonatkozó kockázati kitettségértékeket az egyes szervezetek szintjén a CRR szerint kell kiszámítani. A szervezeteknek a pozíciókockázat, devizaárfolyam-kockázat és árukockázat csoportszintű teljes kockázati kitettségértékéhez való hozzájárulásukat kell megadniuk. Az itt feltüntetendő érték megegyezik a konszolidált jelentés 0520-as sorában (A POZÍCIÓKOCKÁZAT, DEVIZAÁRFOLYAM-KOCKÁZAT ÉS ÁRUKOCKÁZAT TELJES KOCKÁZATI KITETTSÉGÉRTÉKE) megadott összeggel.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MŰKÖDÉSI KOCKÁZAT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Fejlett mérési módszerek (AMA) alkalmazásakor a működési kockázatra vonatkozóan megadott kockázati kitettségértékeknek magukban kell foglalniuk a diverzifikáció hatásait is.</w:t>
            </w:r>
          </w:p>
          <w:p w:rsidR="00BF0637" w:rsidRPr="00661595" w:rsidRDefault="00BF0637" w:rsidP="00BF0637">
            <w:pPr>
              <w:rPr>
                <w:rStyle w:val="InstructionsTabelleText"/>
                <w:rFonts w:ascii="Times New Roman" w:hAnsi="Times New Roman"/>
                <w:sz w:val="24"/>
              </w:rPr>
            </w:pPr>
            <w:r>
              <w:rPr>
                <w:rFonts w:ascii="Times New Roman" w:hAnsi="Times New Roman"/>
                <w:sz w:val="24"/>
              </w:rPr>
              <w:t xml:space="preserve">A </w:t>
            </w:r>
            <w:r>
              <w:rPr>
                <w:rFonts w:ascii="Times New Roman" w:hAnsi="Times New Roman"/>
                <w:caps/>
                <w:sz w:val="24"/>
              </w:rPr>
              <w:t>f</w:t>
            </w:r>
            <w:r>
              <w:rPr>
                <w:rFonts w:ascii="Times New Roman" w:hAnsi="Times New Roman"/>
                <w:sz w:val="24"/>
              </w:rPr>
              <w:t>ix működési költségeket ebben az oszlopban kell feltüntetni.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EGYÉB KOCKÁZATI KITETTSÉGÉRTÉKEK</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Az ebben az oszlopban feltüntetendő érték a fentiekben felsoroltaktól eltérő kockázatokhoz kapcsolódó kitettségértékeket foglalja magában.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HOZZÁJÁRULÁS A SZAVATOLÓTŐKÉHEZ</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A tábla e része nem írja elő az intézmények számára, hogy az egyes szervezetek szintjén teljeskörűen kiszámítsák a tőkemegfelelési mutatót.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A 0300–0350. oszlopot azon konszolidált szervezetek esetében kell kitölteni, amelyek a szavatolótőkéhez kisebbségi részesedéssel, a T1 tőkébe beszámítható vagy a szavatolótőkébe beszámítható tőkével járulnak hozzá. A II. rész 2.3. fejezetének utolsó bekezdésében említett küszöbérték függvényében a 0360–0400. oszlopot minden olyan konszolidált szervezetre vonatkozóan ki kell tölteni, amely hozzájárul a konszolidált szavatolótőkéhez.</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Egy szervezet számára az adatszolgáltató intézmény körébe vont egyéb szervezetek által biztosított szavatolótőke nem vehető figyelembe; az oszlopban kizárólag a csoport szavatolótőkéjéhez való nettó hozzájárulás, főként a harmadik felektől és a felhalmozott tartalékokból származó szavatolótőke adható meg.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Az alábbi oszlopokban feltüntetett információkat az adatot szolgáltató intézményre vonatkozó tőkemegfelelési szabályok alapján kell megadni.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KONSZOLIDÁLT SZAVATOLÓTŐKE RÉSZÉT KÉPEZŐ, A SZAVATOLÓTŐKÉBE BESZÁMÍTHATÓ TŐKE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 „KONSZOLIDÁLT SZAVATOLÓTŐKE RÉSZÉT KÉPEZŐ, A SZAVATOLÓTŐKÉBE BESZÁMÍTHATÓ TŐKE” alatt feltüntetendő érték a CRR második részének II. címéből származó összeg, a csoport más szervezetei által rendelkezésre bocsátott források nélkül.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KONSZOLIDÁLT SZAVATOLÓTŐKE RÉSZÉT KÉPEZŐ, A SZAVATOLÓTŐKÉBE BESZÁMÍTHATÓ TŐKE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87. cikke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KONSZOLIDÁLT T1 TŐKE RÉSZÉT KÉPEZŐ, A T1 TŐKÉBE BESZÁMÍTHATÓ INSTRUMENTUMOK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85. cikke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A KONSZOLIDÁLT CET1 TŐKE RÉSZÉT KÉPEZŐ KISEBBSÉGI RÉSZESEDÉSEK</w:t>
            </w:r>
            <w:r>
              <w:t xml:space="preserve"> </w:t>
            </w:r>
            <w:r>
              <w:br/>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84. cikke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A feltüntetendő érték a leányvállalat kisebbségi részesedésének CRR szerint a konszolidált CET1 tőkébe beszámított összege.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lastRenderedPageBreak/>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A KONSZOLIDÁLT AT1 TŐKE RÉSZÉT KÉPEZŐ, A T1 TŐKÉBE BESZÁMÍTHATÓ INSTRUMENTUMOK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86. cikke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 feltüntetendő érték a leányvállalat T1 tőkébe beszámítható tőkéjének, a CRR szerint a konszolidált AT1 tőkébe beszámított összege.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KONSZOLIDÁLT T2 TŐKE RÉSZÉT KÉPEZŐ, A SZAVATOLÓTŐKÉBE BESZÁMÍTHATÓ INSTRUMENTUMOK</w:t>
            </w:r>
            <w:r>
              <w:t xml:space="preserve"> </w:t>
            </w:r>
            <w:r>
              <w:br/>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88. cikke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 feltüntetendő érték a leányvállalat szavatolótőkébe beszámítható tőkéjének, a CRR szerint a konszolidált T2 tőkébe beszámított összege.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TÁJÉKOZTATÓ ADAT: (–) CÉGÉRTÉK / (+) NEGATÍV CÉGÉRTÉK</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KONSZOLIDÁLT SZAVATOLÓTŐKE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CRR 18. cikke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„KONSZOLIDÁLT SZAVATOLÓTŐKE” alatt feltüntetendő érték a mérlegből származó összeg, a csoport más szervezetei által rendelkezésre bocsátott források nélkül.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KONSZOLIDÁLT SZAVATOLÓTŐKE</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CET1 TŐKE</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AT1 TŐKE</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EBBŐL: HOZZÁJÁRULÁS A KONSZOLIDÁLT EREDMÉNYHEZ</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Itt az egyes szervezeteknek a konszolidált eredményhez való hozzájárulását (nyereség vagy (–) veszteség) kell feltüntetni. Ez magában foglalja a kisebbségi részesedéseknek tulajdonítható eredményt is.</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EBBŐL: (–) CÉGÉRTÉK / (+) NEGATÍV CÉGÉRTÉK</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Itt az adatszolgáltató intézménynek a leányvállalatban meglévő cégértékét vagy negatív cégértékét kell feltüntetni.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TŐKEPUFFEREK</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GS táblában a tőkepufferekkel kapcsolatos adatszolgáltatás szerkezete a CA4-es tábla általános felépítését követi, és azzal azonos adatszolgáltatási fogalmakat alkalmaz. A GS táblában a tőkepufferekkel kapcsolatos adatszolgáltatás során a megfelelő összegeket a csoport konszolidált helyzetére vonatkozó pufferkövetelmény meghatározására alkalmazandó rendelkezéseknek megfelelően kell feltüntetni. Ezért a tőkepufferek feltüntetett összegei az egyes szervezeteknek a csoportszintű tőkepufferekhez való hozzájárulását jelentik. A feltüntetett összegek a CRD-t átültető nemzeti intézkedéseken és a CRR-n alapulnak, beleértve minden azokban foglalt átmeneti rendelkezést is.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KOMBINÁLT PUFFERKÖVETELMÉNY</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A CRD 128. cikkének 6. pontja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TŐKEFENNTARTÁSI PUFFER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CRD 128. cikkének 1. pontja és 129. cikke</w:t>
            </w:r>
          </w:p>
          <w:p w:rsidR="00BF0637" w:rsidRPr="00661595" w:rsidRDefault="00BF0637" w:rsidP="00487A02">
            <w:pPr>
              <w:pStyle w:val="InstructionsText"/>
              <w:rPr>
                <w:rStyle w:val="InstructionsTabelleText"/>
                <w:rFonts w:ascii="Times New Roman" w:hAnsi="Times New Roman"/>
                <w:sz w:val="24"/>
              </w:rPr>
            </w:pPr>
            <w:r>
              <w:t>A CRD 129. cikkének (1) bekezdése szerint a tőkefenntartási puffer CET1 tőkén felüli CET1 tőkeelemekből áll. Mivel a tőkefenntartási puffer 2,5 %-os mértéke állandó, ebben a cellában összeget kell feltüntetni.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INTÉZMÉNYSPECIFIKUS ANTICIKLIKUS TŐKEPUFFER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 CRD 128. cikkének 2. pontja, valamint 130. és 135–140. cikke</w:t>
            </w:r>
          </w:p>
          <w:p w:rsidR="00BF0637" w:rsidRPr="00661595" w:rsidRDefault="001B43BD" w:rsidP="00487A02">
            <w:pPr>
              <w:pStyle w:val="InstructionsText"/>
              <w:rPr>
                <w:rStyle w:val="InstructionsTabelleText"/>
                <w:rFonts w:ascii="Times New Roman" w:hAnsi="Times New Roman"/>
                <w:sz w:val="24"/>
              </w:rPr>
            </w:pPr>
            <w:r>
              <w:t>Ebben a cellában az anticiklikus puffer konkrét összegét kell megadni.</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 TAGÁLLAMOK SZINTJÉN AZONOSÍTOTT MAKROPRUDENCIÁLIS VAGY RENDSZERKOCKÁZATOKRA KÉPZETT FENNTARTÁSI PUFFER</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458. cikke (2) bekezdése d) pontjának iv. alpontja</w:t>
            </w:r>
          </w:p>
          <w:p w:rsidR="00BF0637" w:rsidRPr="00661595" w:rsidRDefault="001B43BD" w:rsidP="00487A02">
            <w:pPr>
              <w:pStyle w:val="InstructionsText"/>
              <w:rPr>
                <w:rStyle w:val="InstructionsTabelleberschrift"/>
                <w:rFonts w:ascii="Times New Roman" w:hAnsi="Times New Roman"/>
                <w:sz w:val="24"/>
              </w:rPr>
            </w:pPr>
            <w:r>
              <w:t>Ebben a cellában a tagállamok szintjén azonosított makroprudenciális vagy rendszerkockázatokra képzett fenntartási puffer értékét kell feltüntetni, amely a CRR 458. cikkével összhangban a tőkefenntartási pufferen felül kérhető.</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RENDSZERKOCKÁZATI TŐKEPUFFER</w:t>
            </w:r>
          </w:p>
          <w:p w:rsidR="00BF0637" w:rsidRPr="00661595" w:rsidRDefault="00BF0637" w:rsidP="00487A02">
            <w:pPr>
              <w:pStyle w:val="InstructionsText"/>
            </w:pPr>
            <w:r>
              <w:t xml:space="preserve">A CRD 128. cikkének 5. pontja, valamint 133. és 134. cikke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Ebben a cellában a rendszerkockázati tőkepuffer összegét kell feltüntetni.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INTÉZMÉNYEKRE VONATKOZÓ TŐKEPUFFER</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CRD 128. cikkének 3. pontja és 131. cikke</w:t>
            </w:r>
          </w:p>
          <w:p w:rsidR="00BF0637" w:rsidRPr="00661595" w:rsidRDefault="001B43BD" w:rsidP="00487A02">
            <w:pPr>
              <w:pStyle w:val="InstructionsText"/>
              <w:rPr>
                <w:rStyle w:val="InstructionsTabelleberschrift"/>
                <w:rFonts w:ascii="Times New Roman" w:hAnsi="Times New Roman"/>
                <w:sz w:val="24"/>
              </w:rPr>
            </w:pPr>
            <w:r>
              <w:t>Ebben a cellában a globálisan rendszerszinten jelentős intézményekre vonatkozó tőkepuffer összegét kell megadni.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EGYÉB RENDSZERSZINTEN JELENTŐS INTÉZMÉNYEKRE VONATKOZÓ TŐKEPUFFER</w:t>
            </w:r>
            <w:r>
              <w:tab/>
            </w:r>
          </w:p>
          <w:p w:rsidR="00BF0637" w:rsidRPr="00661595" w:rsidRDefault="00BF0637" w:rsidP="00487A02">
            <w:pPr>
              <w:pStyle w:val="InstructionsText"/>
            </w:pPr>
            <w:r>
              <w:t>A CRD 128. cikkének 4. pontja és 131. cikke</w:t>
            </w:r>
          </w:p>
          <w:p w:rsidR="00BF0637" w:rsidRPr="00661595" w:rsidRDefault="001B43BD" w:rsidP="00487A02">
            <w:pPr>
              <w:pStyle w:val="InstructionsText"/>
              <w:rPr>
                <w:rStyle w:val="InstructionsTabelleberschrift"/>
                <w:rFonts w:ascii="Times New Roman" w:hAnsi="Times New Roman"/>
                <w:sz w:val="24"/>
              </w:rPr>
            </w:pPr>
            <w:r>
              <w:t>Ebben a cellában az egyéb rendszerszinten jelentős intézményekre vonatkozó tőkepuffer összegét kell megadni.</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6" w:name="_Toc310415013"/>
      <w:bookmarkStart w:id="117" w:name="_Toc360188344"/>
      <w:bookmarkStart w:id="118" w:name="_Toc473560893"/>
      <w:bookmarkStart w:id="119" w:name="_Toc58858588"/>
      <w:r>
        <w:rPr>
          <w:rFonts w:ascii="Times New Roman" w:hAnsi="Times New Roman"/>
          <w:sz w:val="24"/>
          <w:u w:val="none"/>
        </w:rPr>
        <w:lastRenderedPageBreak/>
        <w:t>3.</w:t>
      </w:r>
      <w:r w:rsidRPr="00774DB7">
        <w:rPr>
          <w:u w:val="none"/>
        </w:rPr>
        <w:tab/>
      </w:r>
      <w:r>
        <w:rPr>
          <w:rFonts w:ascii="Times New Roman" w:hAnsi="Times New Roman"/>
          <w:sz w:val="24"/>
        </w:rPr>
        <w:t>Hitelkockázati táblacsoport</w:t>
      </w:r>
      <w:bookmarkEnd w:id="116"/>
      <w:bookmarkEnd w:id="117"/>
      <w:bookmarkEnd w:id="118"/>
      <w:bookmarkEnd w:id="119"/>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0" w:name="_Toc360188345"/>
      <w:bookmarkStart w:id="121" w:name="_Toc473560894"/>
      <w:bookmarkStart w:id="122" w:name="_Toc58858589"/>
      <w:bookmarkStart w:id="123" w:name="_Toc262568022"/>
      <w:bookmarkStart w:id="124" w:name="_Toc295829848"/>
      <w:bookmarkStart w:id="125" w:name="_Toc310415014"/>
      <w:r>
        <w:rPr>
          <w:rFonts w:ascii="Times New Roman" w:hAnsi="Times New Roman"/>
          <w:sz w:val="24"/>
          <w:u w:val="none"/>
        </w:rPr>
        <w:t>3.1.</w:t>
      </w:r>
      <w:r w:rsidRPr="00774DB7">
        <w:rPr>
          <w:u w:val="none"/>
        </w:rPr>
        <w:tab/>
      </w:r>
      <w:r>
        <w:rPr>
          <w:rFonts w:ascii="Times New Roman" w:hAnsi="Times New Roman"/>
          <w:sz w:val="24"/>
        </w:rPr>
        <w:t>Általános megjegyzések</w:t>
      </w:r>
      <w:bookmarkEnd w:id="120"/>
      <w:bookmarkEnd w:id="121"/>
      <w:bookmarkEnd w:id="122"/>
      <w:r>
        <w:rPr>
          <w:rFonts w:ascii="Times New Roman" w:hAnsi="Times New Roman"/>
          <w:sz w:val="24"/>
        </w:rPr>
        <w:t xml:space="preserve"> </w:t>
      </w:r>
      <w:bookmarkEnd w:id="123"/>
      <w:bookmarkEnd w:id="124"/>
      <w:bookmarkEnd w:id="125"/>
    </w:p>
    <w:p w:rsidR="00464F34" w:rsidRPr="00661595" w:rsidRDefault="0055388B" w:rsidP="00487A02">
      <w:pPr>
        <w:pStyle w:val="InstructionsText2"/>
        <w:numPr>
          <w:ilvl w:val="0"/>
          <w:numId w:val="0"/>
        </w:numPr>
        <w:ind w:left="1353" w:hanging="360"/>
      </w:pPr>
      <w:fldSimple w:instr=" seq paragraphs ">
        <w:r w:rsidR="00D11E4C">
          <w:rPr>
            <w:noProof/>
          </w:rPr>
          <w:t>39</w:t>
        </w:r>
      </w:fldSimple>
      <w:r w:rsidR="00D11E4C">
        <w:t>.</w:t>
      </w:r>
      <w:r w:rsidR="00D11E4C">
        <w:tab/>
        <w:t xml:space="preserve">A hitelkockázat kiszámításakor alkalmazott sztenderd módszerhez és IRB módszerhez külön táblacsoport tartozik. Emellett az ezen végrehajtási rendelet 5. cikkének (5) bekezdésében rögzített küszöbérték túllépése esetén a hitelkockázattal érintett pozíciók földrajzi bontásához külön táblákon kell adatot szolgáltatni.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6" w:name="_Toc262568023"/>
      <w:bookmarkStart w:id="127" w:name="_Toc295829849"/>
      <w:bookmarkStart w:id="128" w:name="_Toc310415015"/>
      <w:bookmarkStart w:id="129" w:name="_Toc360188346"/>
      <w:bookmarkStart w:id="130" w:name="_Toc473560895"/>
      <w:bookmarkStart w:id="131" w:name="_Toc58858590"/>
      <w:r>
        <w:rPr>
          <w:rFonts w:ascii="Times New Roman" w:hAnsi="Times New Roman"/>
          <w:sz w:val="24"/>
          <w:u w:val="none"/>
        </w:rPr>
        <w:t>3.1.1.</w:t>
      </w:r>
      <w:r w:rsidRPr="00774DB7">
        <w:rPr>
          <w:u w:val="none"/>
        </w:rPr>
        <w:tab/>
      </w:r>
      <w:r>
        <w:rPr>
          <w:rFonts w:ascii="Times New Roman" w:hAnsi="Times New Roman"/>
          <w:sz w:val="24"/>
        </w:rPr>
        <w:t>Helyettesítési hatással járó hitelkockázat-mérséklési technikák</w:t>
      </w:r>
      <w:bookmarkEnd w:id="126"/>
      <w:bookmarkEnd w:id="127"/>
      <w:bookmarkEnd w:id="128"/>
      <w:bookmarkEnd w:id="129"/>
      <w:bookmarkEnd w:id="130"/>
      <w:bookmarkEnd w:id="131"/>
    </w:p>
    <w:p w:rsidR="00464F34" w:rsidRPr="00661595" w:rsidRDefault="0055388B" w:rsidP="00487A02">
      <w:pPr>
        <w:pStyle w:val="InstructionsText2"/>
        <w:numPr>
          <w:ilvl w:val="0"/>
          <w:numId w:val="0"/>
        </w:numPr>
        <w:ind w:left="1353" w:hanging="360"/>
      </w:pPr>
      <w:fldSimple w:instr=" seq paragraphs ">
        <w:r w:rsidR="00D11E4C">
          <w:rPr>
            <w:noProof/>
          </w:rPr>
          <w:t>40</w:t>
        </w:r>
      </w:fldSimple>
      <w:r w:rsidR="00D11E4C">
        <w:t>.</w:t>
      </w:r>
      <w:r w:rsidR="00D11E4C">
        <w:tab/>
        <w:t>Az azonos kitettségi osztályba tartozó kötelezettekkel (közvetlen partnerekkel) és garantőrökkel szembeni kitettségek adatszolgáltatásának tartalmaznia kell az adott kitettségi osztályt érintő be- és kiáramlásokat egyaránt.</w:t>
      </w:r>
    </w:p>
    <w:p w:rsidR="00464F34" w:rsidRPr="00661595" w:rsidRDefault="0055388B" w:rsidP="00487A02">
      <w:pPr>
        <w:pStyle w:val="InstructionsText2"/>
        <w:numPr>
          <w:ilvl w:val="0"/>
          <w:numId w:val="0"/>
        </w:numPr>
        <w:ind w:left="1353" w:hanging="360"/>
      </w:pPr>
      <w:fldSimple w:instr=" seq paragraphs ">
        <w:r w:rsidR="00D11E4C">
          <w:rPr>
            <w:noProof/>
          </w:rPr>
          <w:t>41</w:t>
        </w:r>
      </w:fldSimple>
      <w:r w:rsidR="00D11E4C">
        <w:t>.</w:t>
      </w:r>
      <w:r w:rsidR="00D11E4C">
        <w:tab/>
        <w:t>Az előre nem rendelkezésre bocsátott hitelkockázati fedezet miatt a kitettség típusa nem változik.</w:t>
      </w:r>
    </w:p>
    <w:p w:rsidR="00464F34" w:rsidRPr="00661595" w:rsidRDefault="0055388B" w:rsidP="00487A02">
      <w:pPr>
        <w:pStyle w:val="InstructionsText2"/>
        <w:numPr>
          <w:ilvl w:val="0"/>
          <w:numId w:val="0"/>
        </w:numPr>
        <w:ind w:left="1353" w:hanging="360"/>
      </w:pPr>
      <w:fldSimple w:instr=" seq paragraphs ">
        <w:r w:rsidR="00D11E4C">
          <w:rPr>
            <w:noProof/>
          </w:rPr>
          <w:t>42</w:t>
        </w:r>
      </w:fldSimple>
      <w:r w:rsidR="00D11E4C">
        <w:t>.</w:t>
      </w:r>
      <w:r w:rsidR="00D11E4C">
        <w:tab/>
        <w:t>Az előre nem rendelkezésre bocsátott hitelkockázati fedezettel rendelkező kitettség esetében a fedezett részt kiáramlásként kell figyelembe venni pl. a kötelezett kitettségi osztályában, és beáramlásként a garantőr kitettségi osztályában. A kitettség típusa azonban a kitettségi osztály változása következtében nem módosul.</w:t>
      </w:r>
    </w:p>
    <w:p w:rsidR="00464F34" w:rsidRPr="00661595" w:rsidRDefault="0055388B" w:rsidP="00487A02">
      <w:pPr>
        <w:pStyle w:val="InstructionsText2"/>
        <w:numPr>
          <w:ilvl w:val="0"/>
          <w:numId w:val="0"/>
        </w:numPr>
        <w:ind w:left="1353" w:hanging="360"/>
      </w:pPr>
      <w:fldSimple w:instr=" seq paragraphs ">
        <w:r w:rsidR="00D11E4C">
          <w:rPr>
            <w:noProof/>
          </w:rPr>
          <w:t>43</w:t>
        </w:r>
      </w:fldSimple>
      <w:r w:rsidR="00D11E4C">
        <w:t>.</w:t>
      </w:r>
      <w:r w:rsidR="00D11E4C">
        <w:tab/>
        <w:t xml:space="preserve">A COREP adatszolgáltatási rendszerben megjelenő helyettesítési hatás a kitettség fedezett részére ténylegesen alkalmazandó kockázati súlyozást tükrözi. Így a kitettségek fedezett részének kockázati súlyozása a sztenderd módszer szerint történik, és arról a CR SA táblán kell adatot szolgáltatni.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2" w:name="_Toc262568024"/>
      <w:bookmarkStart w:id="133" w:name="_Toc295829850"/>
      <w:bookmarkStart w:id="134" w:name="_Toc310415016"/>
      <w:bookmarkStart w:id="135" w:name="_Toc360188347"/>
      <w:bookmarkStart w:id="136" w:name="_Toc473560896"/>
      <w:bookmarkStart w:id="137" w:name="_Toc58858591"/>
      <w:r>
        <w:rPr>
          <w:rFonts w:ascii="Times New Roman" w:hAnsi="Times New Roman"/>
          <w:sz w:val="24"/>
          <w:u w:val="none"/>
        </w:rPr>
        <w:t>3.1.2.</w:t>
      </w:r>
      <w:r w:rsidRPr="00774DB7">
        <w:rPr>
          <w:u w:val="none"/>
        </w:rPr>
        <w:tab/>
      </w:r>
      <w:r>
        <w:rPr>
          <w:rFonts w:ascii="Times New Roman" w:hAnsi="Times New Roman"/>
          <w:sz w:val="24"/>
        </w:rPr>
        <w:t>A partnerkockázattal kapcsolatos adatszolgáltatás</w:t>
      </w:r>
      <w:bookmarkEnd w:id="132"/>
      <w:bookmarkEnd w:id="133"/>
      <w:bookmarkEnd w:id="134"/>
      <w:bookmarkEnd w:id="135"/>
      <w:bookmarkEnd w:id="136"/>
      <w:bookmarkEnd w:id="137"/>
    </w:p>
    <w:p w:rsidR="00464F34" w:rsidRPr="00661595" w:rsidRDefault="0055388B" w:rsidP="00487A02">
      <w:pPr>
        <w:pStyle w:val="InstructionsText2"/>
        <w:numPr>
          <w:ilvl w:val="0"/>
          <w:numId w:val="0"/>
        </w:numPr>
        <w:ind w:left="1353" w:hanging="360"/>
      </w:pPr>
      <w:fldSimple w:instr=" seq paragraphs ">
        <w:r w:rsidR="00D11E4C">
          <w:rPr>
            <w:noProof/>
          </w:rPr>
          <w:t>44</w:t>
        </w:r>
      </w:fldSimple>
      <w:r w:rsidR="00D11E4C">
        <w:t>.</w:t>
      </w:r>
      <w:r w:rsidR="00D11E4C">
        <w:tab/>
        <w:t xml:space="preserve">A partnerkockázati pozíciókból eredő kitettségeket a CR SA vagy CR IRB táblákon kell feltüntetni attól függetlenül, hogy azokat a banki könyvben vagy a kereskedési könyvben tartják nyilván.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8" w:name="_Toc295829851"/>
      <w:bookmarkStart w:id="139" w:name="_Toc310415017"/>
      <w:bookmarkStart w:id="140" w:name="_Toc360188348"/>
      <w:bookmarkStart w:id="141" w:name="_Toc473560897"/>
      <w:bookmarkStart w:id="142" w:name="_Toc58858592"/>
      <w:r>
        <w:rPr>
          <w:rFonts w:ascii="Times New Roman" w:hAnsi="Times New Roman"/>
          <w:sz w:val="24"/>
          <w:u w:val="none"/>
        </w:rPr>
        <w:t>3.2.</w:t>
      </w:r>
      <w:r w:rsidRPr="00774DB7">
        <w:rPr>
          <w:u w:val="none"/>
        </w:rPr>
        <w:tab/>
      </w:r>
      <w:r>
        <w:rPr>
          <w:rFonts w:ascii="Times New Roman" w:hAnsi="Times New Roman"/>
          <w:sz w:val="24"/>
        </w:rPr>
        <w:t xml:space="preserve">C 07.00 – Hitelkockázat, partnerkockázat és nyitva szállítások: </w:t>
      </w:r>
      <w:bookmarkStart w:id="143" w:name="_Toc292456202"/>
      <w:r>
        <w:rPr>
          <w:rFonts w:ascii="Times New Roman" w:hAnsi="Times New Roman"/>
          <w:sz w:val="24"/>
        </w:rPr>
        <w:t>a sztenderd módszer szerinti tőkekövetelmény (CR SA)</w:t>
      </w:r>
      <w:bookmarkEnd w:id="138"/>
      <w:bookmarkEnd w:id="139"/>
      <w:bookmarkEnd w:id="140"/>
      <w:bookmarkEnd w:id="141"/>
      <w:bookmarkEnd w:id="142"/>
      <w:bookmarkEnd w:id="143"/>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58858593"/>
      <w:r>
        <w:rPr>
          <w:rFonts w:ascii="Times New Roman" w:hAnsi="Times New Roman"/>
          <w:sz w:val="24"/>
          <w:u w:val="none"/>
        </w:rPr>
        <w:t>3.2.1.</w:t>
      </w:r>
      <w:r w:rsidRPr="00774DB7">
        <w:rPr>
          <w:u w:val="none"/>
        </w:rPr>
        <w:tab/>
      </w:r>
      <w:r>
        <w:rPr>
          <w:rFonts w:ascii="Times New Roman" w:hAnsi="Times New Roman"/>
          <w:sz w:val="24"/>
        </w:rPr>
        <w:t>Általános megjegyzések</w:t>
      </w:r>
      <w:bookmarkEnd w:id="144"/>
      <w:bookmarkEnd w:id="145"/>
      <w:bookmarkEnd w:id="146"/>
      <w:bookmarkEnd w:id="147"/>
      <w:bookmarkEnd w:id="148"/>
      <w:bookmarkEnd w:id="149"/>
      <w:bookmarkEnd w:id="150"/>
      <w:bookmarkEnd w:id="151"/>
    </w:p>
    <w:p w:rsidR="00464F34" w:rsidRPr="00661595" w:rsidRDefault="0055388B" w:rsidP="00487A02">
      <w:pPr>
        <w:pStyle w:val="InstructionsText2"/>
        <w:numPr>
          <w:ilvl w:val="0"/>
          <w:numId w:val="0"/>
        </w:numPr>
        <w:ind w:left="1353" w:hanging="360"/>
      </w:pPr>
      <w:fldSimple w:instr=" seq paragraphs ">
        <w:r w:rsidR="00D11E4C">
          <w:rPr>
            <w:noProof/>
          </w:rPr>
          <w:t>45</w:t>
        </w:r>
      </w:fldSimple>
      <w:r w:rsidR="00D11E4C">
        <w:t>.</w:t>
      </w:r>
      <w:r w:rsidR="00D11E4C">
        <w:tab/>
        <w:t>A CR SA táblák a hitelkockázat szavatolótőke-követelményének sztenderd módszer szerinti kiszámításához szükséges információkat tartalmazzák. Különösen az alábbiakról tartalmaznak részletes információkat:</w:t>
      </w:r>
    </w:p>
    <w:p w:rsidR="00464F34" w:rsidRPr="00661595" w:rsidRDefault="00125707" w:rsidP="00487A02">
      <w:pPr>
        <w:pStyle w:val="InstructionsText2"/>
        <w:numPr>
          <w:ilvl w:val="0"/>
          <w:numId w:val="0"/>
        </w:numPr>
        <w:ind w:left="1353" w:hanging="360"/>
      </w:pPr>
      <w:r>
        <w:t>a)</w:t>
      </w:r>
      <w:r>
        <w:tab/>
        <w:t>a kitettségértékek különböző kitettségtípusok, kockázati súlyok és kitettségi osztályok szerinti megoszlása;</w:t>
      </w:r>
    </w:p>
    <w:p w:rsidR="00464F34" w:rsidRPr="00661595" w:rsidRDefault="00125707" w:rsidP="00487A02">
      <w:pPr>
        <w:pStyle w:val="InstructionsText2"/>
        <w:numPr>
          <w:ilvl w:val="0"/>
          <w:numId w:val="0"/>
        </w:numPr>
        <w:ind w:left="1353" w:hanging="360"/>
      </w:pPr>
      <w:r>
        <w:t>b)</w:t>
      </w:r>
      <w:r>
        <w:tab/>
        <w:t xml:space="preserve">a kockázatok mérséklésére alkalmazott hitelkockázat-mérséklési technikák mértéke és típusa.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58858594"/>
      <w:r>
        <w:rPr>
          <w:rFonts w:ascii="Times New Roman" w:hAnsi="Times New Roman"/>
          <w:sz w:val="24"/>
          <w:u w:val="none"/>
        </w:rPr>
        <w:lastRenderedPageBreak/>
        <w:t>3.2.2.</w:t>
      </w:r>
      <w:r w:rsidRPr="00774DB7">
        <w:rPr>
          <w:u w:val="none"/>
        </w:rPr>
        <w:tab/>
      </w:r>
      <w:r>
        <w:rPr>
          <w:rFonts w:ascii="Times New Roman" w:hAnsi="Times New Roman"/>
          <w:sz w:val="24"/>
        </w:rPr>
        <w:t>A CR SA tábla alkalmazási köre</w:t>
      </w:r>
      <w:bookmarkEnd w:id="152"/>
      <w:bookmarkEnd w:id="153"/>
      <w:bookmarkEnd w:id="154"/>
      <w:bookmarkEnd w:id="155"/>
      <w:bookmarkEnd w:id="156"/>
      <w:bookmarkEnd w:id="157"/>
      <w:bookmarkEnd w:id="158"/>
      <w:bookmarkEnd w:id="159"/>
    </w:p>
    <w:p w:rsidR="00464F34" w:rsidRPr="00661595" w:rsidRDefault="0055388B" w:rsidP="00487A02">
      <w:pPr>
        <w:pStyle w:val="InstructionsText2"/>
        <w:numPr>
          <w:ilvl w:val="0"/>
          <w:numId w:val="0"/>
        </w:numPr>
        <w:ind w:left="1353" w:hanging="360"/>
      </w:pPr>
      <w:fldSimple w:instr=" seq paragraphs ">
        <w:r w:rsidR="00D11E4C">
          <w:rPr>
            <w:noProof/>
          </w:rPr>
          <w:t>46</w:t>
        </w:r>
      </w:fldSimple>
      <w:r w:rsidR="00D11E4C">
        <w:t>.</w:t>
      </w:r>
      <w:r w:rsidR="00D11E4C">
        <w:tab/>
        <w:t>A CRR 112. cikke szerint minden SA kitettséget a 16 SA kitettségi osztály valamelyikébe kell sorolni a szavatolótőke-követelmény kiszámításához.</w:t>
      </w:r>
    </w:p>
    <w:p w:rsidR="00464F34" w:rsidRPr="00661595" w:rsidRDefault="0055388B" w:rsidP="00487A02">
      <w:pPr>
        <w:pStyle w:val="InstructionsText2"/>
        <w:numPr>
          <w:ilvl w:val="0"/>
          <w:numId w:val="0"/>
        </w:numPr>
        <w:ind w:left="1353" w:hanging="360"/>
      </w:pPr>
      <w:fldSimple w:instr=" seq paragraphs ">
        <w:r w:rsidR="00D11E4C">
          <w:rPr>
            <w:noProof/>
          </w:rPr>
          <w:t>47</w:t>
        </w:r>
      </w:fldSimple>
      <w:r w:rsidR="00D11E4C">
        <w:t>.</w:t>
      </w:r>
      <w:r w:rsidR="00D11E4C">
        <w:tab/>
        <w:t xml:space="preserve">A CR SA táblán feltüntetett adatokra a kitettségi osztályok összegzésében, valamint a sztenderd módszer szerint meghatározott egyes kitettségi osztályokban van szükség. Az összesített adatokat és az egyes kitettségi osztályokban szereplő információkat külön dimenzióban kell megadni. </w:t>
      </w:r>
    </w:p>
    <w:p w:rsidR="00464F34" w:rsidRPr="00661595" w:rsidRDefault="0055388B" w:rsidP="00487A02">
      <w:pPr>
        <w:pStyle w:val="InstructionsText2"/>
        <w:numPr>
          <w:ilvl w:val="0"/>
          <w:numId w:val="0"/>
        </w:numPr>
        <w:ind w:left="1353" w:hanging="360"/>
      </w:pPr>
      <w:fldSimple w:instr=" seq paragraphs ">
        <w:r w:rsidR="00D11E4C">
          <w:rPr>
            <w:noProof/>
          </w:rPr>
          <w:t>48</w:t>
        </w:r>
      </w:fldSimple>
      <w:r w:rsidR="00D11E4C">
        <w:t>.</w:t>
      </w:r>
      <w:r w:rsidR="00D11E4C">
        <w:tab/>
        <w:t>Az alábbi pozíciók azonban nem tartoznak a CR SA alkalmazási körébe:</w:t>
      </w:r>
    </w:p>
    <w:p w:rsidR="00464F34" w:rsidRPr="00661595" w:rsidRDefault="00125707" w:rsidP="00487A02">
      <w:pPr>
        <w:pStyle w:val="InstructionsText2"/>
        <w:numPr>
          <w:ilvl w:val="0"/>
          <w:numId w:val="0"/>
        </w:numPr>
        <w:ind w:left="1353" w:hanging="360"/>
      </w:pPr>
      <w:r>
        <w:t>a)</w:t>
      </w:r>
      <w:r>
        <w:tab/>
        <w:t>a CRR 112. cikkének m) pontjában említett „értékpapírosítási pozíciókat megtestesítő tételek” kitettségi osztályba sorolt kitettségek, amelyekről a CR SEC táblákon kell adatot szolgáltatni;</w:t>
      </w:r>
    </w:p>
    <w:p w:rsidR="00464F34" w:rsidRPr="00661595" w:rsidRDefault="00125707" w:rsidP="00487A02">
      <w:pPr>
        <w:pStyle w:val="InstructionsText2"/>
        <w:numPr>
          <w:ilvl w:val="0"/>
          <w:numId w:val="0"/>
        </w:numPr>
        <w:ind w:left="1353" w:hanging="360"/>
      </w:pPr>
      <w:r>
        <w:t>b)</w:t>
      </w:r>
      <w:r>
        <w:tab/>
        <w:t>a szavatolótőkéből levont kitettségek.</w:t>
      </w:r>
    </w:p>
    <w:p w:rsidR="00464F34" w:rsidRPr="00661595" w:rsidRDefault="0055388B" w:rsidP="00487A02">
      <w:pPr>
        <w:pStyle w:val="InstructionsText2"/>
        <w:numPr>
          <w:ilvl w:val="0"/>
          <w:numId w:val="0"/>
        </w:numPr>
        <w:ind w:left="1353" w:hanging="360"/>
      </w:pPr>
      <w:fldSimple w:instr=" seq paragraphs ">
        <w:r w:rsidR="00D11E4C">
          <w:rPr>
            <w:noProof/>
          </w:rPr>
          <w:t>49</w:t>
        </w:r>
      </w:fldSimple>
      <w:r w:rsidR="00D11E4C">
        <w:t>.</w:t>
      </w:r>
      <w:r w:rsidR="00D11E4C">
        <w:tab/>
        <w:t>A CR SA tábla alkalmazási köre az alábbi szavatolótőke-követelményekre terjed ki:</w:t>
      </w:r>
    </w:p>
    <w:p w:rsidR="00464F34" w:rsidRPr="00661595" w:rsidRDefault="00125707" w:rsidP="00487A02">
      <w:pPr>
        <w:pStyle w:val="InstructionsText2"/>
        <w:numPr>
          <w:ilvl w:val="0"/>
          <w:numId w:val="0"/>
        </w:numPr>
        <w:ind w:left="1353" w:hanging="360"/>
      </w:pPr>
      <w:r>
        <w:t>a)</w:t>
      </w:r>
      <w:r>
        <w:tab/>
        <w:t>a banki könyvben nyilvántartott, a CRR harmadik része II. címének 2. fejezete (Sztenderd módszer) szerinti hitelkockázat, ezen belül a banki könyvben nyilvántartott, a CRR harmadik része II. címének 4. és 6. fejezete (Partnerkockázat) szerinti partnerkockázat;</w:t>
      </w:r>
    </w:p>
    <w:p w:rsidR="00464F34" w:rsidRPr="00661595" w:rsidRDefault="00125707" w:rsidP="00487A02">
      <w:pPr>
        <w:pStyle w:val="InstructionsText2"/>
        <w:numPr>
          <w:ilvl w:val="0"/>
          <w:numId w:val="0"/>
        </w:numPr>
        <w:ind w:left="1353" w:hanging="360"/>
      </w:pPr>
      <w:r>
        <w:t>b)</w:t>
      </w:r>
      <w:r>
        <w:tab/>
        <w:t>a kereskedési könyvben nyilvántartott, a CRR harmadik része II. címének 4. és 6. fejezete (Partnerkockázat) szerinti partnerkockázat;</w:t>
      </w:r>
    </w:p>
    <w:p w:rsidR="00464F34" w:rsidRPr="00661595" w:rsidRDefault="00125707" w:rsidP="00487A02">
      <w:pPr>
        <w:pStyle w:val="InstructionsText2"/>
        <w:numPr>
          <w:ilvl w:val="0"/>
          <w:numId w:val="0"/>
        </w:numPr>
        <w:ind w:left="1353" w:hanging="360"/>
      </w:pPr>
      <w:r>
        <w:t>c)</w:t>
      </w:r>
      <w:r>
        <w:tab/>
        <w:t>a CRR 379. cikke szerinti nyitva szállításokból eredő elszámolási kockázat az üzleti tevékenységek teljes körére vonatkozóan.</w:t>
      </w:r>
    </w:p>
    <w:p w:rsidR="00464F34" w:rsidRPr="00661595" w:rsidRDefault="0055388B" w:rsidP="00487A02">
      <w:pPr>
        <w:pStyle w:val="InstructionsText2"/>
        <w:numPr>
          <w:ilvl w:val="0"/>
          <w:numId w:val="0"/>
        </w:numPr>
        <w:ind w:left="1353" w:hanging="360"/>
      </w:pPr>
      <w:fldSimple w:instr=" seq paragraphs ">
        <w:r w:rsidR="00D11E4C">
          <w:rPr>
            <w:noProof/>
          </w:rPr>
          <w:t>50</w:t>
        </w:r>
      </w:fldSimple>
      <w:r w:rsidR="00D11E4C">
        <w:t>.</w:t>
      </w:r>
      <w:r w:rsidR="00D11E4C">
        <w:tab/>
        <w:t>A tábla alkalmazási köre minden olyan kitettségre kiterjed, amelynek szavatolótőke-követelményét a CRR harmadik része II. címének 2., valamint 4. és 6. fejezete szerint kell kiszámítani. A CRR 94. cikkének (1) bekezdését alkalmazó intézményeknek a CRR 92. cikke (3) bekezdésének b) pontjában említett kereskedési könyvi pozícióikról is ezen a táblán kell adatot szolgáltatniuk akkor, ha az azokra vonatkozó szavatolótőke-követelményeket a CRR harmadik része II. címének 2. fejezete (a CRR harmadik része II. címének 2. és 6. fejezete és V. címe) alapján számítják ki. Ebből adódóan a tábla nem csupán a kitettség típusáról nyújt részletes tájékoztatást (pl. mérlegen belüli/kívüli tételek), hanem a kockázati súlyoknak az adott kitettségi osztályon belüli eloszlásáról is.</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Ezenkívül a CR SA táblában a 0290–0320. sorok további tájékoztató adatokat tartalmaznak az ingatlanra bejegyzett zálogjoggal fedezett kitettségekről, valamint a nemteljesítő kitettségekről. </w:t>
      </w:r>
    </w:p>
    <w:p w:rsidR="00464F34" w:rsidRPr="00661595" w:rsidRDefault="0055388B" w:rsidP="00487A02">
      <w:pPr>
        <w:pStyle w:val="InstructionsText2"/>
        <w:numPr>
          <w:ilvl w:val="0"/>
          <w:numId w:val="0"/>
        </w:numPr>
        <w:ind w:left="1353" w:hanging="360"/>
      </w:pPr>
      <w:fldSimple w:instr=" seq paragraphs ">
        <w:r w:rsidR="00D11E4C">
          <w:rPr>
            <w:noProof/>
          </w:rPr>
          <w:t>52</w:t>
        </w:r>
      </w:fldSimple>
      <w:r w:rsidR="00D11E4C">
        <w:t>.</w:t>
      </w:r>
      <w:r w:rsidR="00D11E4C">
        <w:tab/>
        <w:t xml:space="preserve">Ezeket a tájékoztató adatokat kizárólag az alábbi kitettségi osztályokra vonatkozóan kell megadni: </w:t>
      </w:r>
    </w:p>
    <w:p w:rsidR="00464F34" w:rsidRPr="00661595" w:rsidRDefault="00125707" w:rsidP="00487A02">
      <w:pPr>
        <w:pStyle w:val="InstructionsText2"/>
        <w:numPr>
          <w:ilvl w:val="0"/>
          <w:numId w:val="0"/>
        </w:numPr>
        <w:ind w:left="1353" w:hanging="360"/>
      </w:pPr>
      <w:r>
        <w:t>a)</w:t>
      </w:r>
      <w:r>
        <w:tab/>
        <w:t>központi kormányzatok vagy központi bankok (a CRR 112. cikkének a) pontja);</w:t>
      </w:r>
    </w:p>
    <w:p w:rsidR="00464F34" w:rsidRPr="00661595" w:rsidRDefault="00125707" w:rsidP="00487A02">
      <w:pPr>
        <w:pStyle w:val="InstructionsText2"/>
        <w:numPr>
          <w:ilvl w:val="0"/>
          <w:numId w:val="0"/>
        </w:numPr>
        <w:ind w:left="1353" w:hanging="360"/>
      </w:pPr>
      <w:r>
        <w:lastRenderedPageBreak/>
        <w:t>b)</w:t>
      </w:r>
      <w:r>
        <w:tab/>
        <w:t>regionális kormányzatok vagy helyi hatóságok (a CRR 112. cikkének b) pontja);</w:t>
      </w:r>
    </w:p>
    <w:p w:rsidR="00464F34" w:rsidRPr="00661595" w:rsidRDefault="00125707" w:rsidP="00487A02">
      <w:pPr>
        <w:pStyle w:val="InstructionsText2"/>
        <w:numPr>
          <w:ilvl w:val="0"/>
          <w:numId w:val="0"/>
        </w:numPr>
        <w:ind w:left="1353" w:hanging="360"/>
      </w:pPr>
      <w:r>
        <w:t>c)</w:t>
      </w:r>
      <w:r>
        <w:tab/>
        <w:t>közszektorbeli intézmények (a CRR 112. cikkének c) pontja);</w:t>
      </w:r>
    </w:p>
    <w:p w:rsidR="00464F34" w:rsidRPr="00661595" w:rsidRDefault="00125707" w:rsidP="00487A02">
      <w:pPr>
        <w:pStyle w:val="InstructionsText2"/>
        <w:numPr>
          <w:ilvl w:val="0"/>
          <w:numId w:val="0"/>
        </w:numPr>
        <w:ind w:left="1353" w:hanging="360"/>
      </w:pPr>
      <w:r>
        <w:t>d)</w:t>
      </w:r>
      <w:r>
        <w:tab/>
        <w:t>intézmények (a CRR 112. cikkének f) pontja);</w:t>
      </w:r>
    </w:p>
    <w:p w:rsidR="00464F34" w:rsidRPr="00661595" w:rsidRDefault="00125707" w:rsidP="00487A02">
      <w:pPr>
        <w:pStyle w:val="InstructionsText2"/>
        <w:numPr>
          <w:ilvl w:val="0"/>
          <w:numId w:val="0"/>
        </w:numPr>
        <w:ind w:left="1353" w:hanging="360"/>
      </w:pPr>
      <w:r>
        <w:t>e)</w:t>
      </w:r>
      <w:r>
        <w:tab/>
        <w:t>vállalkozások (a CRR 112. cikkének g) pontja);</w:t>
      </w:r>
    </w:p>
    <w:p w:rsidR="00464F34" w:rsidRPr="00661595" w:rsidRDefault="00125707" w:rsidP="00487A02">
      <w:pPr>
        <w:pStyle w:val="InstructionsText2"/>
        <w:numPr>
          <w:ilvl w:val="0"/>
          <w:numId w:val="0"/>
        </w:numPr>
        <w:ind w:left="1353" w:hanging="360"/>
      </w:pPr>
      <w:r>
        <w:t>f)</w:t>
      </w:r>
      <w:r>
        <w:tab/>
        <w:t>lakosság (a CRR 112. cikkének h) pontja).</w:t>
      </w:r>
    </w:p>
    <w:p w:rsidR="00464F34" w:rsidRPr="00661595" w:rsidRDefault="0055388B" w:rsidP="00487A02">
      <w:pPr>
        <w:pStyle w:val="InstructionsText2"/>
        <w:numPr>
          <w:ilvl w:val="0"/>
          <w:numId w:val="0"/>
        </w:numPr>
        <w:ind w:left="1353" w:hanging="360"/>
      </w:pPr>
      <w:fldSimple w:instr=" seq paragraphs ">
        <w:r w:rsidR="00D11E4C">
          <w:rPr>
            <w:noProof/>
          </w:rPr>
          <w:t>53</w:t>
        </w:r>
      </w:fldSimple>
      <w:r w:rsidR="00D11E4C">
        <w:t>.</w:t>
      </w:r>
      <w:r w:rsidR="00D11E4C">
        <w:tab/>
        <w:t xml:space="preserve">A tájékoztató adatok megadása sem a CRR 112. cikkének a)–c) és f)–h) pontjában említett kitettségi osztályok, sem pedig a CR SA táblán feltüntetett, a CRR 112. cikkének i) és j) pontjában említett kitettségi osztályok kockázattal súlyozott kitettségértékének kiszámítását nem érinti. </w:t>
      </w:r>
    </w:p>
    <w:p w:rsidR="00464F34" w:rsidRPr="00661595" w:rsidRDefault="0055388B" w:rsidP="00487A02">
      <w:pPr>
        <w:pStyle w:val="InstructionsText2"/>
        <w:numPr>
          <w:ilvl w:val="0"/>
          <w:numId w:val="0"/>
        </w:numPr>
        <w:ind w:left="1353" w:hanging="360"/>
      </w:pPr>
      <w:fldSimple w:instr=" seq paragraphs ">
        <w:r w:rsidR="00D11E4C">
          <w:rPr>
            <w:noProof/>
          </w:rPr>
          <w:t>54</w:t>
        </w:r>
      </w:fldSimple>
      <w:r w:rsidR="00D11E4C">
        <w:t>.</w:t>
      </w:r>
      <w:r w:rsidR="00D11E4C">
        <w:tab/>
        <w:t>A tájékoztató sorok kiegészítő információkat nyújtanak a „nemteljesítő” és „ingatlanra bejegyzett zálogjoggal fedezett” kitettségi osztályok kötelezetti struktúrájáról. E sorokban azokat a kitettségeket kell megadni, amelyeknél a kötelezetteket a CR SA tábla „központi kormányzatok vagy központi bankok”, „regionális kormányzatok vagy helyi hatóságok”, „közszektorbeli intézmények”, „intézmények”, „vállalkozások” és „lakosság” kitettségi osztályaiba kellene sorolni akkor, ha a kitettségek nem a „nemteljesítő” vagy „ingatlanra bejegyzett zálogjoggal fedezett” kitettségi osztályba tartoznának. Mindazonáltal a megadott számadatoknak meg kell egyezniük a „nemteljesítő” és „ingatlanra bejegyzett zálogjoggal fedezett” kitettségi osztályok kockázattal súlyozott kitettségértékeinek számításához használt adatokkal.</w:t>
      </w:r>
    </w:p>
    <w:p w:rsidR="00464F34" w:rsidRPr="00661595" w:rsidRDefault="0055388B" w:rsidP="00487A02">
      <w:pPr>
        <w:pStyle w:val="InstructionsText2"/>
        <w:numPr>
          <w:ilvl w:val="0"/>
          <w:numId w:val="0"/>
        </w:numPr>
        <w:ind w:left="1353" w:hanging="360"/>
      </w:pPr>
      <w:fldSimple w:instr=" seq paragraphs ">
        <w:r w:rsidR="00D11E4C">
          <w:rPr>
            <w:noProof/>
          </w:rPr>
          <w:t>55</w:t>
        </w:r>
      </w:fldSimple>
      <w:r w:rsidR="00D11E4C">
        <w:t>.</w:t>
      </w:r>
      <w:r w:rsidR="00D11E4C">
        <w:tab/>
        <w:t>Pl. egy olyan kitettség esetében, amelynek kitettségértékeit a CRR 127. cikke alapján számítják ki 20 % alatti értékelési korrekció mellett, ezt az információt a CR SA 0320. sorában az összesített adatok között, valamint a „nemteljesítő” kitettségi osztályban kell feltüntetni. Ha ugyanez a kitettség a nemteljesítést megelőzően intézménnyel szembeni kitettség volt, akkor ezt az információt az „intézmények” kitettségi osztály 0320. sorában is fel kell tüntetni.</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4" w:name="_Toc262568030"/>
      <w:bookmarkStart w:id="185" w:name="_Toc264038428"/>
      <w:bookmarkStart w:id="186" w:name="_Toc292456207"/>
      <w:bookmarkStart w:id="187" w:name="_Toc295829858"/>
      <w:bookmarkStart w:id="188" w:name="_Toc58858595"/>
      <w:r>
        <w:rPr>
          <w:rFonts w:ascii="Times New Roman" w:hAnsi="Times New Roman"/>
          <w:sz w:val="24"/>
          <w:u w:val="none"/>
        </w:rPr>
        <w:t>3.2.3.</w:t>
      </w:r>
      <w:r w:rsidRPr="00F836CA">
        <w:rPr>
          <w:u w:val="none"/>
        </w:rPr>
        <w:tab/>
      </w:r>
      <w:r>
        <w:rPr>
          <w:rFonts w:ascii="Times New Roman" w:hAnsi="Times New Roman"/>
          <w:sz w:val="24"/>
        </w:rPr>
        <w:t xml:space="preserve"> </w:t>
      </w:r>
      <w:bookmarkStart w:id="189" w:name="_Toc310415022"/>
      <w:bookmarkStart w:id="190" w:name="_Toc360188351"/>
      <w:bookmarkStart w:id="191" w:name="_Toc473560900"/>
      <w:r>
        <w:rPr>
          <w:rFonts w:ascii="Times New Roman" w:hAnsi="Times New Roman"/>
          <w:sz w:val="24"/>
        </w:rPr>
        <w:t>A kitettségek kitettségi osztályba sorolása a sztenderd módszerrel</w:t>
      </w:r>
      <w:bookmarkEnd w:id="184"/>
      <w:bookmarkEnd w:id="185"/>
      <w:bookmarkEnd w:id="186"/>
      <w:bookmarkEnd w:id="187"/>
      <w:bookmarkEnd w:id="188"/>
      <w:bookmarkEnd w:id="189"/>
      <w:bookmarkEnd w:id="190"/>
      <w:bookmarkEnd w:id="191"/>
    </w:p>
    <w:p w:rsidR="00464F34" w:rsidRPr="00661595" w:rsidRDefault="0055388B" w:rsidP="00487A02">
      <w:pPr>
        <w:pStyle w:val="InstructionsText2"/>
        <w:numPr>
          <w:ilvl w:val="0"/>
          <w:numId w:val="0"/>
        </w:numPr>
        <w:ind w:left="1353" w:hanging="360"/>
      </w:pPr>
      <w:fldSimple w:instr=" seq paragraphs ">
        <w:r w:rsidR="00D11E4C">
          <w:rPr>
            <w:noProof/>
          </w:rPr>
          <w:t>56</w:t>
        </w:r>
      </w:fldSimple>
      <w:r w:rsidR="00D11E4C">
        <w:t>.</w:t>
      </w:r>
      <w:r w:rsidR="00D11E4C">
        <w:tab/>
        <w:t xml:space="preserve">A kitettségeknek a CRR 112. cikkében említett különböző kitettségi osztályokba történő következetes besorolása érdekében az alábbi lépcsőzetes módszert kell alkalmazni: </w:t>
      </w:r>
    </w:p>
    <w:p w:rsidR="00464F34" w:rsidRPr="00661595" w:rsidRDefault="00125707" w:rsidP="00487A02">
      <w:pPr>
        <w:pStyle w:val="InstructionsText2"/>
        <w:numPr>
          <w:ilvl w:val="0"/>
          <w:numId w:val="0"/>
        </w:numPr>
        <w:ind w:left="1353" w:hanging="360"/>
      </w:pPr>
      <w:r>
        <w:t>a)</w:t>
      </w:r>
      <w:r>
        <w:tab/>
        <w:t>első lépésben a hitel-egyenértékesítési tényezők előtti eredeti kitettséget a CRR 112. cikkében említettek közül a megfelelő (eredeti) kitettségi osztályba kell sorolni attól függetlenül, hogy az egyes kitettségek a besorolásuk szerinti kitettségi osztályban milyen kockázati súlyt kapnak;</w:t>
      </w:r>
    </w:p>
    <w:p w:rsidR="00464F34" w:rsidRPr="00661595" w:rsidRDefault="00125707" w:rsidP="00487A02">
      <w:pPr>
        <w:pStyle w:val="InstructionsText2"/>
        <w:numPr>
          <w:ilvl w:val="0"/>
          <w:numId w:val="0"/>
        </w:numPr>
        <w:ind w:left="1353" w:hanging="360"/>
      </w:pPr>
      <w:r>
        <w:t>b)</w:t>
      </w:r>
      <w:r>
        <w:tab/>
        <w:t>második lépésben a kitettségek a rájuk helyettesítési hatást kifejtő hitelkockázat-mérséklési (CRM) technikák (garanciák, hitelderivatívák, a pénzügyi biztosítékok egyszerű módszere) be- és kiáramlás formájában történő alkalmazásából eredően átsorolhatók más kitettségi osztályokba.</w:t>
      </w:r>
    </w:p>
    <w:p w:rsidR="00464F34" w:rsidRPr="00661595" w:rsidRDefault="0055388B" w:rsidP="00487A02">
      <w:pPr>
        <w:pStyle w:val="InstructionsText2"/>
        <w:numPr>
          <w:ilvl w:val="0"/>
          <w:numId w:val="0"/>
        </w:numPr>
        <w:ind w:left="1353" w:hanging="360"/>
      </w:pPr>
      <w:fldSimple w:instr=" seq paragraphs ">
        <w:r w:rsidR="00D11E4C">
          <w:rPr>
            <w:noProof/>
          </w:rPr>
          <w:t>57</w:t>
        </w:r>
      </w:fldSimple>
      <w:r w:rsidR="00D11E4C">
        <w:t>.</w:t>
      </w:r>
      <w:r w:rsidR="00D11E4C">
        <w:tab/>
        <w:t xml:space="preserve">A hitel-egyenértékesítési tényezők előtti eredeti kitettségnek a különböző kitettségi osztályokba sorolására (első lépés) – függetlenül a kitettségre helyettesítési </w:t>
      </w:r>
      <w:r w:rsidR="00D11E4C">
        <w:lastRenderedPageBreak/>
        <w:t>hatással járó hitelkockázat-mérséklési technikák alkalmazása miatti későbbi átsorolástól, valamint attól, hogy az egyes kitettségek a besorolásuk szerinti kitettségi osztályban milyen kockázati súlyt kapnak – az alábbi kritériumok vonatkoznak.</w:t>
      </w:r>
    </w:p>
    <w:p w:rsidR="00464F34" w:rsidRPr="00661595" w:rsidRDefault="0055388B" w:rsidP="00487A02">
      <w:pPr>
        <w:pStyle w:val="InstructionsText2"/>
        <w:numPr>
          <w:ilvl w:val="0"/>
          <w:numId w:val="0"/>
        </w:numPr>
        <w:ind w:left="1353" w:hanging="360"/>
      </w:pPr>
      <w:fldSimple w:instr=" seq paragraphs ">
        <w:r w:rsidR="00D11E4C">
          <w:rPr>
            <w:noProof/>
          </w:rPr>
          <w:t>58</w:t>
        </w:r>
      </w:fldSimple>
      <w:r w:rsidR="00D11E4C">
        <w:t>.</w:t>
      </w:r>
      <w:r w:rsidR="00D11E4C">
        <w:tab/>
        <w:t>A hitel-egyenértékesítési tényezők előtti eredeti kitettségnek az első lépésben történő besorolása céljából a kitettséghez kapcsolódó hitelkockázat-mérséklési technikák nem vehetők figyelembe (részletes vizsgálatukra a második lépésben kerül sor), kivéve akkor, ha a fedezeti hatást a kitettségi osztály meghatározása magában foglalja, mint a CRR 112. cikkének i) pontjában említett kitettségi osztály esetében (ingatlanra bejegyzett zálogjoggal fedezett kitettségek).</w:t>
      </w:r>
    </w:p>
    <w:p w:rsidR="00464F34" w:rsidRPr="00661595" w:rsidRDefault="0055388B" w:rsidP="00487A02">
      <w:pPr>
        <w:pStyle w:val="InstructionsText2"/>
        <w:numPr>
          <w:ilvl w:val="0"/>
          <w:numId w:val="0"/>
        </w:numPr>
        <w:ind w:left="1353" w:hanging="360"/>
      </w:pPr>
      <w:fldSimple w:instr=" seq paragraphs ">
        <w:r w:rsidR="00D11E4C">
          <w:rPr>
            <w:noProof/>
          </w:rPr>
          <w:t>59</w:t>
        </w:r>
      </w:fldSimple>
      <w:r w:rsidR="00D11E4C">
        <w:t>.</w:t>
      </w:r>
      <w:r w:rsidR="00D11E4C">
        <w:tab/>
        <w:t>A CRR 112. cikke nem rögzíti a kitettségi osztályok különválasztásának kritériumait. Ez azt jelentheti, hogy egy adott kitettség különböző kitettségi osztályokba lenne esetleg sorolható akkor, ha a besorolásra vonatkozó értékelési kritériumokat nem rangsorolják. Ennek legnyilvánvalóbb esete a rövid távú hitelminősítéssel rendelkező intézményekkel és vállalkozásokkal szembeni kitettségek (a CRR 112. cikkének n) pontja), illetve az intézményekkel szembeni kitettségek (a CRR 112. cikkének f) pontja) vagy vállalkozásokkal szembeni kitettségek (a CRR 112. cikkének g) pontja) besorolása. Ebben az esetben egyértelmű, hogy a CRR burkoltan rangsorol, mivel először annak értékelésére kerül sor, hogy egy bizonyos kitettség az intézményekkel és vállalkozásokkal szembeni rövid távú kitettségek közé sorolható-e, és csak ezután értékelhető, hogy a kitettség intézményekkel vagy vállalkozásokkal szemben áll-e fenn. Magától értetődik, hogy egyébként a CRR 112. cikkének n) pontjában említett kitettségi osztályba egyetlen esetben sem lenne sorolható kitettség. A példa a legnyilvánvalóbbak közé tartozik, de nem az egyetlen. Érdemes megjegyezni, hogy a sztenderd módszer keretében a kitettségi osztályok meghatározása különböző kritériumok mentén történik (intézményi besorolás, a kitettség időtartama, késedelmes státusz stb.), ezért a besoroláskor alkalmazott csoportok nem különállóak (nem diszjunkt halmazok).</w:t>
      </w:r>
    </w:p>
    <w:p w:rsidR="00464F34" w:rsidRPr="00661595" w:rsidRDefault="0055388B" w:rsidP="00487A02">
      <w:pPr>
        <w:pStyle w:val="InstructionsText2"/>
        <w:numPr>
          <w:ilvl w:val="0"/>
          <w:numId w:val="0"/>
        </w:numPr>
        <w:ind w:left="1353" w:hanging="360"/>
      </w:pPr>
      <w:fldSimple w:instr=" seq paragraphs ">
        <w:r w:rsidR="00D11E4C">
          <w:rPr>
            <w:noProof/>
          </w:rPr>
          <w:t>60</w:t>
        </w:r>
      </w:fldSimple>
      <w:r w:rsidR="00D11E4C">
        <w:t>.</w:t>
      </w:r>
      <w:r w:rsidR="00D11E4C">
        <w:tab/>
        <w:t>A homogén és összehasonlítható adatszolgáltatáshoz rangsorolási célú értékelési kritériumok meghatározása szükséges annak érdekében, hogy a hitel-egyenértékesítési tényezők előtti eredeti kitettséget kitettségi osztályba lehessen sorolni attól függetlenül, hogy az egyes kitettségek a besorolásuk szerinti kitettségi osztályban milyen kockázati súlyt kapnak. Az alábbiakban bemutatott, döntési fába rendezett rangsorolási kritériumok azon feltételek értékelésére épülnek, amelyeket a CRR egyértelműen rögzít arra vonatkozóan, hogy egy adott kitettség besorolható-e egy bizonyos kitettségi osztályba, és ha igen, akkor az adatot szolgáltató intézménynek vagy a felügyeleti hatóságnak milyen döntéseket kell hoznia az egyes kitettségi osztályok alkalmazhatóságával kapcsolatban. Következésképpen a kitettségek adatszolgáltatási célú besorolási folyamatának eredménye megfelel a CRR rendelkezéseinek. Ez nem tiltja meg, hogy az intézmények egyéb olyan belső besorolási eljárásokat alkalmazzanak, amelyek szintén megfelelnek a CRR valamennyi vonatkozó rendelkezésének, valamint a CRR megfelelő fórumokon közzétett értelmezéseinek.</w:t>
      </w:r>
    </w:p>
    <w:p w:rsidR="00464F34" w:rsidRPr="00661595" w:rsidRDefault="0055388B" w:rsidP="00487A02">
      <w:pPr>
        <w:pStyle w:val="InstructionsText2"/>
        <w:numPr>
          <w:ilvl w:val="0"/>
          <w:numId w:val="0"/>
        </w:numPr>
        <w:ind w:left="1353" w:hanging="360"/>
      </w:pPr>
      <w:fldSimple w:instr=" seq paragraphs ">
        <w:r w:rsidR="00D11E4C">
          <w:rPr>
            <w:noProof/>
          </w:rPr>
          <w:t>61</w:t>
        </w:r>
      </w:fldSimple>
      <w:r w:rsidR="00D11E4C">
        <w:t>.</w:t>
      </w:r>
      <w:r w:rsidR="00D11E4C">
        <w:tab/>
        <w:t xml:space="preserve">Egy kitettségi osztály a döntési fán belüli értékelési rangsorban elsőbbséget élvez (tehát először annak értékelésére kerül sor, hogy egy adott kitettség abba a kitettségi osztályba sorolható-e, függetlenül az értékelés eredményétől), ha egyébként </w:t>
      </w:r>
      <w:r w:rsidR="00D11E4C">
        <w:lastRenderedPageBreak/>
        <w:t>abba az osztályba nem lehetne kitettséget sorolni. Ez a helyzet akkor, ha rangsorolási kritériumok hiányában egy kitettségi osztály egy másiknak a részhalmaza. Következésképpen az alábbi döntési fán grafikusan ábrázolt kritériumok lépcsőzetes folyamatot alkotnának.</w:t>
      </w:r>
    </w:p>
    <w:p w:rsidR="00464F34" w:rsidRPr="00661595" w:rsidRDefault="0055388B" w:rsidP="00487A02">
      <w:pPr>
        <w:pStyle w:val="InstructionsText2"/>
        <w:numPr>
          <w:ilvl w:val="0"/>
          <w:numId w:val="0"/>
        </w:numPr>
        <w:ind w:left="1353" w:hanging="360"/>
      </w:pPr>
      <w:fldSimple w:instr=" seq paragraphs ">
        <w:r w:rsidR="00D11E4C">
          <w:rPr>
            <w:noProof/>
          </w:rPr>
          <w:t>62</w:t>
        </w:r>
      </w:fldSimple>
      <w:r w:rsidR="00D11E4C">
        <w:t>.</w:t>
      </w:r>
      <w:r w:rsidR="00D11E4C">
        <w:tab/>
        <w:t>Ennek alapján a döntési fán belüli értékelési rangsorolásnak az alábbi sorrendet kell követnie:</w:t>
      </w:r>
    </w:p>
    <w:p w:rsidR="00464F34" w:rsidRPr="00661595" w:rsidRDefault="00464F34" w:rsidP="00487A02">
      <w:pPr>
        <w:pStyle w:val="InstructionsText"/>
      </w:pPr>
      <w:r>
        <w:t>1. értékpapírosítási pozíciók;</w:t>
      </w:r>
    </w:p>
    <w:p w:rsidR="00464F34" w:rsidRPr="00661595" w:rsidRDefault="00464F34" w:rsidP="00487A02">
      <w:pPr>
        <w:pStyle w:val="InstructionsText"/>
      </w:pPr>
      <w:r>
        <w:t>2. kiemelkedően magas kockázatú tételek;</w:t>
      </w:r>
    </w:p>
    <w:p w:rsidR="00464F34" w:rsidRPr="00661595" w:rsidRDefault="00464F34" w:rsidP="00487A02">
      <w:pPr>
        <w:pStyle w:val="InstructionsText"/>
      </w:pPr>
      <w:r>
        <w:t>3. Részvényjellegű kitettségek</w:t>
      </w:r>
    </w:p>
    <w:p w:rsidR="00464F34" w:rsidRPr="00661595" w:rsidRDefault="00464F34" w:rsidP="00487A02">
      <w:pPr>
        <w:pStyle w:val="InstructionsText"/>
      </w:pPr>
      <w:r>
        <w:t>4. nemteljesítő kitettségek;</w:t>
      </w:r>
    </w:p>
    <w:p w:rsidR="00464F34" w:rsidRPr="00661595" w:rsidRDefault="00464F34" w:rsidP="00487A02">
      <w:pPr>
        <w:pStyle w:val="InstructionsText"/>
      </w:pPr>
      <w:r>
        <w:t>5. kollektív befektetési formák (KBF-ek) befektetési jegyeinek vagy részvényeinek formájában fennálló kitettségek/fedezett kötvények formájában fennálló kitettségek (diszjunkt kitettségi osztályok);</w:t>
      </w:r>
    </w:p>
    <w:p w:rsidR="00464F34" w:rsidRPr="00661595" w:rsidRDefault="00464F34" w:rsidP="00487A02">
      <w:pPr>
        <w:pStyle w:val="InstructionsText"/>
      </w:pPr>
      <w:r>
        <w:t>6. ingatlanra bejegyzett zálogjoggal fedezett kitettségek;</w:t>
      </w:r>
    </w:p>
    <w:p w:rsidR="00464F34" w:rsidRPr="00661595" w:rsidRDefault="00464F34" w:rsidP="00487A02">
      <w:pPr>
        <w:pStyle w:val="InstructionsText"/>
      </w:pPr>
      <w:r>
        <w:t>7. egyéb tételek;</w:t>
      </w:r>
    </w:p>
    <w:p w:rsidR="00464F34" w:rsidRPr="00661595" w:rsidRDefault="00464F34" w:rsidP="00487A02">
      <w:pPr>
        <w:pStyle w:val="InstructionsText"/>
      </w:pPr>
      <w:r>
        <w:t>8. rövid távú hitelminősítéssel rendelkező intézményekkel és vállalkozásokkal szembeni kitettségek;</w:t>
      </w:r>
    </w:p>
    <w:p w:rsidR="00464F34" w:rsidRPr="00661595" w:rsidRDefault="00464F34" w:rsidP="00487A02">
      <w:pPr>
        <w:pStyle w:val="InstructionsText"/>
      </w:pPr>
      <w:r>
        <w:t>9. valamennyi egyéb kitettségi osztály (diszjunkt kitettségi osztályok): központi kormányzattal vagy központi bankkal szembeni kitettségek; regionális kormányzatokkal vagy helyi hatóságokkal szembeni kitettségek; közszektorbeli intézményekkel szembeni kitettségek; multilaterális fejlesztési bankokkal szembeni kitettségek; nemzetközi szervezetekkel szembeni kitettségek; intézményekkel szembeni kitettségek; vállalkozásokkal és lakossággal szembeni kitettségek.</w:t>
      </w:r>
    </w:p>
    <w:p w:rsidR="00464F34" w:rsidRPr="00661595" w:rsidRDefault="0055388B" w:rsidP="00487A02">
      <w:pPr>
        <w:pStyle w:val="InstructionsText2"/>
        <w:numPr>
          <w:ilvl w:val="0"/>
          <w:numId w:val="0"/>
        </w:numPr>
        <w:ind w:left="1353" w:hanging="360"/>
      </w:pPr>
      <w:fldSimple w:instr=" seq paragraphs ">
        <w:r w:rsidR="00D11E4C">
          <w:rPr>
            <w:noProof/>
          </w:rPr>
          <w:t>63</w:t>
        </w:r>
      </w:fldSimple>
      <w:r w:rsidR="00D11E4C">
        <w:t>.</w:t>
      </w:r>
      <w:r w:rsidR="00D11E4C">
        <w:tab/>
        <w:t>Kollektív befektetési vállalkozások befektetési jegyeinek vagy részvényeinek formájában fennálló kitettségek esetében, és amennyiben az áttekintésen alapuló módszert vagy a megbízatáson alapuló módszert (a CRR 132a. cikkének 1. és 2. pontja) alkalmazzák, az alapul szolgáló egyedi kitettséget (a áttekintésen alapuló módszer esetében) és egyedi kitettségcsoportot (a megbízatáson alapuló módszer esetében) kell figyelembe venni, és azokhoz a kezelésüknek megfelelő kockázati súlyt kell rendelni. Ugyanakkor valamennyi egyedi kitettséget a kollektív befektetési formák (KBF) befektetési jegyeinek vagy részvényeinek formájában fennálló kitettségek kitettségi osztályába kell besorolni.</w:t>
      </w:r>
    </w:p>
    <w:p w:rsidR="00464F34" w:rsidRPr="00661595" w:rsidRDefault="0055388B" w:rsidP="00487A02">
      <w:pPr>
        <w:pStyle w:val="InstructionsText2"/>
        <w:numPr>
          <w:ilvl w:val="0"/>
          <w:numId w:val="0"/>
        </w:numPr>
        <w:ind w:left="1353" w:hanging="360"/>
      </w:pPr>
      <w:fldSimple w:instr=" seq paragraphs ">
        <w:r w:rsidR="00D11E4C">
          <w:rPr>
            <w:noProof/>
          </w:rPr>
          <w:t>64</w:t>
        </w:r>
      </w:fldSimple>
      <w:r w:rsidR="00D11E4C">
        <w:t>.</w:t>
      </w:r>
      <w:r w:rsidR="00D11E4C">
        <w:tab/>
        <w:t xml:space="preserve"> A CRR 134. cikkének (6) bekezdésében meghatározott, n-edik nemteljesítéskor lehívható hitelderivatívákat minősítésük esetén közvetlenül az értékpapírosítási pozíciók közé kell sorolni. Minősítés hiányában az „egyéb tételek” kitettségi osztályban kell figyelembe venni ezeket. Ez utóbbi esetben a szerződés névértékét hitel-egyenértékesítési tényezők előtti eredeti kitettségként kell feltüntetni az „egyéb kockázati súlyok” sorban (az alkalmazott kockázati súly a CRR 134. cikkének (6) bekezdésében megadott összeg). </w:t>
      </w:r>
    </w:p>
    <w:p w:rsidR="00464F34" w:rsidRPr="00661595" w:rsidRDefault="0055388B" w:rsidP="00487A02">
      <w:pPr>
        <w:pStyle w:val="InstructionsText2"/>
        <w:numPr>
          <w:ilvl w:val="0"/>
          <w:numId w:val="0"/>
        </w:numPr>
        <w:ind w:left="1353" w:hanging="360"/>
      </w:pPr>
      <w:fldSimple w:instr=" seq paragraphs ">
        <w:r w:rsidR="00D11E4C">
          <w:rPr>
            <w:noProof/>
          </w:rPr>
          <w:t>65</w:t>
        </w:r>
      </w:fldSimple>
      <w:r w:rsidR="00D11E4C">
        <w:t>.</w:t>
      </w:r>
      <w:r w:rsidR="00D11E4C">
        <w:tab/>
        <w:t>A második lépésben a helyettesítési hatással járó hitelkockázat-mérséklési technikák következtében a kitettségeket a fedezetnyújtó kitettségi osztályába kell átsorolni.</w:t>
      </w:r>
    </w:p>
    <w:p w:rsidR="00464F34" w:rsidRPr="00661595" w:rsidRDefault="00464F34" w:rsidP="00487A02">
      <w:pPr>
        <w:pStyle w:val="InstructionsText"/>
      </w:pPr>
      <w:r>
        <w:br w:type="page"/>
      </w:r>
      <w:r>
        <w:lastRenderedPageBreak/>
        <w:t xml:space="preserve">DÖNTÉSI FA A HITEL-EGYENÉRTÉKESÍTÉSI TÉNYEZŐK ELŐTTI EREDETI KITETTSÉGNEK A CRR SZERINTI SZTENDERD MÓDSZER KITETTSÉGI OSZTÁLYAIBA SOROLÁSÁHOZ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7"/>
        <w:gridCol w:w="1395"/>
        <w:gridCol w:w="3957"/>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Hitel-egyenértékesítési tényezők előtti eredeti kitettség</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 CRR 112. cikkének m) pontja szerinti kitettségi osztályba sorolható?</w:t>
            </w:r>
          </w:p>
        </w:tc>
        <w:tc>
          <w:tcPr>
            <w:tcW w:w="1417" w:type="dxa"/>
            <w:shd w:val="clear" w:color="auto" w:fill="auto"/>
          </w:tcPr>
          <w:p w:rsidR="00BD52C3" w:rsidRPr="00661595" w:rsidRDefault="00BD52C3" w:rsidP="00487A02">
            <w:pPr>
              <w:pStyle w:val="InstructionsText"/>
            </w:pPr>
            <w:r>
              <w:t xml:space="preserve">IGEN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Értékpapírosítási pozíciók</w:t>
            </w:r>
          </w:p>
        </w:tc>
      </w:tr>
      <w:tr w:rsidR="005B3B7C" w:rsidRPr="00661595" w:rsidTr="00672D2A">
        <w:tc>
          <w:tcPr>
            <w:tcW w:w="3761" w:type="dxa"/>
            <w:shd w:val="clear" w:color="auto" w:fill="auto"/>
          </w:tcPr>
          <w:p w:rsidR="00581FA5" w:rsidRPr="00661595" w:rsidRDefault="00581FA5" w:rsidP="00487A02">
            <w:pPr>
              <w:pStyle w:val="InstructionsText"/>
            </w:pPr>
            <w:r>
              <w:t xml:space="preserve">NEM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A CRR 112. cikkének k) pontja szerinti kitettségi osztályba sorolható?</w:t>
            </w:r>
          </w:p>
        </w:tc>
        <w:tc>
          <w:tcPr>
            <w:tcW w:w="1417" w:type="dxa"/>
            <w:shd w:val="clear" w:color="auto" w:fill="auto"/>
          </w:tcPr>
          <w:p w:rsidR="00AC3054" w:rsidRPr="00661595" w:rsidRDefault="00974E3F" w:rsidP="00487A02">
            <w:pPr>
              <w:pStyle w:val="InstructionsText"/>
            </w:pPr>
            <w:r>
              <w:t xml:space="preserve">IGEN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Kiemelkedően magas kockázatú tételek (lásd még a CRR 128. cikkét)</w:t>
            </w:r>
          </w:p>
        </w:tc>
      </w:tr>
      <w:tr w:rsidR="003A1B96" w:rsidRPr="00661595" w:rsidTr="00672D2A">
        <w:tc>
          <w:tcPr>
            <w:tcW w:w="3761" w:type="dxa"/>
            <w:shd w:val="clear" w:color="auto" w:fill="auto"/>
          </w:tcPr>
          <w:p w:rsidR="007241D3" w:rsidRPr="00661595" w:rsidRDefault="007241D3" w:rsidP="00487A02">
            <w:pPr>
              <w:pStyle w:val="InstructionsText"/>
            </w:pPr>
            <w:r>
              <w:t xml:space="preserve">NEM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A CRR 112. cikkének p) pontja szerinti kitettségi osztályba sorolható?</w:t>
            </w:r>
          </w:p>
        </w:tc>
        <w:tc>
          <w:tcPr>
            <w:tcW w:w="1417" w:type="dxa"/>
            <w:shd w:val="clear" w:color="auto" w:fill="auto"/>
          </w:tcPr>
          <w:p w:rsidR="00BD52C3" w:rsidRPr="00661595" w:rsidRDefault="00BD52C3" w:rsidP="00487A02">
            <w:pPr>
              <w:pStyle w:val="InstructionsText"/>
            </w:pPr>
            <w:r>
              <w:t xml:space="preserve">IGEN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Részvényjellegű kitettségek (lásd még a CRR 133. cikkét)</w:t>
            </w:r>
          </w:p>
        </w:tc>
      </w:tr>
      <w:tr w:rsidR="003A1B96" w:rsidRPr="00661595" w:rsidTr="00672D2A">
        <w:tc>
          <w:tcPr>
            <w:tcW w:w="3761" w:type="dxa"/>
            <w:shd w:val="clear" w:color="auto" w:fill="auto"/>
          </w:tcPr>
          <w:p w:rsidR="007241D3" w:rsidRPr="00661595" w:rsidRDefault="007241D3" w:rsidP="00487A02">
            <w:pPr>
              <w:pStyle w:val="InstructionsText"/>
            </w:pPr>
            <w:r>
              <w:t xml:space="preserve">NEM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 CRR 112. cikkének j) pontja szerinti kitettségi osztályba sorolható?</w:t>
            </w:r>
          </w:p>
        </w:tc>
        <w:tc>
          <w:tcPr>
            <w:tcW w:w="1417" w:type="dxa"/>
            <w:shd w:val="clear" w:color="auto" w:fill="auto"/>
          </w:tcPr>
          <w:p w:rsidR="00BD52C3" w:rsidRPr="00661595" w:rsidRDefault="00BD52C3" w:rsidP="00487A02">
            <w:pPr>
              <w:pStyle w:val="InstructionsText"/>
            </w:pPr>
            <w:r>
              <w:t xml:space="preserve">IGEN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Nemteljesítő kitettségek</w:t>
            </w:r>
          </w:p>
        </w:tc>
      </w:tr>
      <w:tr w:rsidR="00581FA5" w:rsidRPr="00661595" w:rsidTr="00672D2A">
        <w:tc>
          <w:tcPr>
            <w:tcW w:w="3761" w:type="dxa"/>
            <w:shd w:val="clear" w:color="auto" w:fill="auto"/>
          </w:tcPr>
          <w:p w:rsidR="007241D3" w:rsidRPr="00661595" w:rsidRDefault="007241D3" w:rsidP="00487A02">
            <w:pPr>
              <w:pStyle w:val="InstructionsText"/>
            </w:pPr>
            <w:r>
              <w:t xml:space="preserve">NEM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 CRR 112. cikkének l) és o) pontja szerinti kitettségi osztályba sorolható?</w:t>
            </w:r>
          </w:p>
        </w:tc>
        <w:tc>
          <w:tcPr>
            <w:tcW w:w="1417" w:type="dxa"/>
            <w:shd w:val="clear" w:color="auto" w:fill="auto"/>
          </w:tcPr>
          <w:p w:rsidR="00BD52C3" w:rsidRPr="00661595" w:rsidRDefault="00BD52C3" w:rsidP="00487A02">
            <w:pPr>
              <w:pStyle w:val="InstructionsText"/>
            </w:pPr>
            <w:r>
              <w:t xml:space="preserve">IGEN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Kollektív befektetési formák (KBF-ek) befektetési jegyeinek vagy részvényeinek formájában fennálló kitettségek</w:t>
            </w:r>
          </w:p>
          <w:p w:rsidR="00581FA5" w:rsidRPr="00661595" w:rsidRDefault="00581FA5" w:rsidP="00487A02">
            <w:pPr>
              <w:pStyle w:val="InstructionsText"/>
            </w:pPr>
            <w:r>
              <w:t>Fedezett kötvények formájában fennálló kitettségek (lásd még a CRR 129. cikkét)</w:t>
            </w:r>
          </w:p>
          <w:p w:rsidR="00581FA5" w:rsidRPr="00661595" w:rsidRDefault="00581FA5" w:rsidP="00487A02">
            <w:pPr>
              <w:pStyle w:val="InstructionsText"/>
            </w:pPr>
            <w:r>
              <w:lastRenderedPageBreak/>
              <w:t>E két kitettségi osztály diszjunkt (lásd a fenti válaszban az alapul szolgáló eszközök vizsgálatának módszerével kapcsolatos megjegyzéseket). Ennélfogva a kitettség egyértelműen besorolható az egyik osztályba.</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NEM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 CRR 112. cikkének i) pontja szerinti kitettségi osztályba sorolható?</w:t>
            </w:r>
          </w:p>
        </w:tc>
        <w:tc>
          <w:tcPr>
            <w:tcW w:w="1417" w:type="dxa"/>
            <w:shd w:val="clear" w:color="auto" w:fill="auto"/>
          </w:tcPr>
          <w:p w:rsidR="00BD52C3" w:rsidRPr="00661595" w:rsidRDefault="00BD52C3" w:rsidP="00487A02">
            <w:pPr>
              <w:pStyle w:val="InstructionsText"/>
            </w:pPr>
            <w:r>
              <w:t xml:space="preserve">IGEN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Ingatlanra bejegyzett zálogjoggal fedezett kitettségek (lásd még a CRR 124. cikkét)</w:t>
            </w:r>
          </w:p>
        </w:tc>
      </w:tr>
      <w:tr w:rsidR="00581FA5" w:rsidRPr="00661595" w:rsidTr="00672D2A">
        <w:tc>
          <w:tcPr>
            <w:tcW w:w="3761" w:type="dxa"/>
            <w:shd w:val="clear" w:color="auto" w:fill="auto"/>
          </w:tcPr>
          <w:p w:rsidR="007241D3" w:rsidRPr="00661595" w:rsidRDefault="007241D3" w:rsidP="00487A02">
            <w:pPr>
              <w:pStyle w:val="InstructionsText"/>
            </w:pPr>
            <w:r>
              <w:t xml:space="preserve">NEM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 CRR 112. cikkének q) pontja szerinti kitettségi osztályba sorolható?</w:t>
            </w:r>
          </w:p>
        </w:tc>
        <w:tc>
          <w:tcPr>
            <w:tcW w:w="1417" w:type="dxa"/>
            <w:shd w:val="clear" w:color="auto" w:fill="auto"/>
          </w:tcPr>
          <w:p w:rsidR="00BD52C3" w:rsidRPr="00661595" w:rsidRDefault="00BD52C3" w:rsidP="00487A02">
            <w:pPr>
              <w:pStyle w:val="InstructionsText"/>
            </w:pPr>
            <w:r>
              <w:t xml:space="preserve">IGEN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Egyéb tételek</w:t>
            </w:r>
          </w:p>
        </w:tc>
      </w:tr>
      <w:tr w:rsidR="00581FA5" w:rsidRPr="00661595" w:rsidTr="00672D2A">
        <w:tc>
          <w:tcPr>
            <w:tcW w:w="3761" w:type="dxa"/>
            <w:shd w:val="clear" w:color="auto" w:fill="auto"/>
          </w:tcPr>
          <w:p w:rsidR="007241D3" w:rsidRPr="00661595" w:rsidRDefault="007241D3" w:rsidP="00487A02">
            <w:pPr>
              <w:pStyle w:val="InstructionsText"/>
            </w:pPr>
            <w:r>
              <w:t xml:space="preserve">NEM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A CRR 112. cikkének n) pontja szerinti kitettségi osztályba sorolható?</w:t>
            </w:r>
          </w:p>
        </w:tc>
        <w:tc>
          <w:tcPr>
            <w:tcW w:w="1417" w:type="dxa"/>
            <w:shd w:val="clear" w:color="auto" w:fill="auto"/>
          </w:tcPr>
          <w:p w:rsidR="0063493E" w:rsidRPr="00661595" w:rsidRDefault="0063493E" w:rsidP="00487A02">
            <w:pPr>
              <w:pStyle w:val="InstructionsText"/>
            </w:pPr>
            <w:r>
              <w:t xml:space="preserve">IGEN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Rövid távú hitelminősítéssel rendelkező intézményekkel és vállalkozásokkal szembeni kitettségek</w:t>
            </w:r>
          </w:p>
        </w:tc>
      </w:tr>
      <w:tr w:rsidR="00581FA5" w:rsidRPr="00661595" w:rsidTr="00672D2A">
        <w:tc>
          <w:tcPr>
            <w:tcW w:w="3761" w:type="dxa"/>
            <w:shd w:val="clear" w:color="auto" w:fill="auto"/>
          </w:tcPr>
          <w:p w:rsidR="007241D3" w:rsidRPr="00661595" w:rsidRDefault="007241D3" w:rsidP="00487A02">
            <w:pPr>
              <w:pStyle w:val="InstructionsText"/>
            </w:pPr>
            <w:r>
              <w:t xml:space="preserve">NEM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Az alábbi kitettségi osztályok diszjunktak. Ennélfogva a kitettség egyértelműen besorolható az egyik osztályba.</w:t>
            </w:r>
          </w:p>
          <w:p w:rsidR="00581FA5" w:rsidRPr="00661595" w:rsidRDefault="00581FA5" w:rsidP="00487A02">
            <w:pPr>
              <w:pStyle w:val="InstructionsText"/>
            </w:pPr>
            <w:r>
              <w:t>Központi kormányzatokkal vagy központi bankokkal szembeni kitettségek</w:t>
            </w:r>
          </w:p>
          <w:p w:rsidR="00581FA5" w:rsidRPr="00661595" w:rsidRDefault="00581FA5" w:rsidP="00487A02">
            <w:pPr>
              <w:pStyle w:val="InstructionsText"/>
            </w:pPr>
            <w:r>
              <w:t>Regionális kormányzatokkal vagy helyi hatóságokkal szembeni kitettségek</w:t>
            </w:r>
          </w:p>
          <w:p w:rsidR="00581FA5" w:rsidRPr="00661595" w:rsidRDefault="00581FA5" w:rsidP="00487A02">
            <w:pPr>
              <w:pStyle w:val="InstructionsText"/>
            </w:pPr>
            <w:r>
              <w:t>Közszektorbeli intézményekkel szembeni kitettségek</w:t>
            </w:r>
          </w:p>
          <w:p w:rsidR="00581FA5" w:rsidRPr="00661595" w:rsidRDefault="00581FA5" w:rsidP="00487A02">
            <w:pPr>
              <w:pStyle w:val="InstructionsText"/>
            </w:pPr>
            <w:r>
              <w:t>Multilaterális fejlesztési bankokkal szembeni kitettségek</w:t>
            </w:r>
          </w:p>
          <w:p w:rsidR="00581FA5" w:rsidRPr="00661595" w:rsidRDefault="00581FA5" w:rsidP="00487A02">
            <w:pPr>
              <w:pStyle w:val="InstructionsText"/>
            </w:pPr>
            <w:r>
              <w:t>Nemzetközi szervezetekkel szembeni kitettségek</w:t>
            </w:r>
          </w:p>
          <w:p w:rsidR="00581FA5" w:rsidRPr="00661595" w:rsidRDefault="00581FA5" w:rsidP="00487A02">
            <w:pPr>
              <w:pStyle w:val="InstructionsText"/>
            </w:pPr>
            <w:r>
              <w:t>Intézményekkel szembeni kitettségek</w:t>
            </w:r>
          </w:p>
          <w:p w:rsidR="00581FA5" w:rsidRPr="00661595" w:rsidRDefault="00581FA5" w:rsidP="00487A02">
            <w:pPr>
              <w:pStyle w:val="InstructionsText"/>
            </w:pPr>
            <w:r>
              <w:t>Vállalkozásokkal szembeni kitettségek</w:t>
            </w:r>
          </w:p>
          <w:p w:rsidR="00581FA5" w:rsidRPr="00661595" w:rsidRDefault="00581FA5" w:rsidP="00487A02">
            <w:pPr>
              <w:pStyle w:val="InstructionsText"/>
            </w:pPr>
            <w:r>
              <w:lastRenderedPageBreak/>
              <w:t>Lakossággal szembeni kitettségek</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2" w:name="_Toc58858596"/>
      <w:bookmarkStart w:id="193" w:name="_Toc264038429"/>
      <w:bookmarkStart w:id="194" w:name="_Toc292456208"/>
      <w:bookmarkStart w:id="195" w:name="_Toc295829859"/>
      <w:bookmarkStart w:id="196" w:name="_Toc310415023"/>
      <w:bookmarkStart w:id="197" w:name="_Toc360188352"/>
      <w:bookmarkStart w:id="198" w:name="_Toc473560901"/>
      <w:r>
        <w:rPr>
          <w:rFonts w:ascii="Times New Roman" w:hAnsi="Times New Roman"/>
          <w:sz w:val="24"/>
          <w:u w:val="none"/>
        </w:rPr>
        <w:t>3.2.4.</w:t>
      </w:r>
      <w:r w:rsidRPr="00110B3D">
        <w:rPr>
          <w:u w:val="none"/>
        </w:rPr>
        <w:tab/>
      </w:r>
      <w:bookmarkStart w:id="199" w:name="_Toc262568031"/>
      <w:r>
        <w:rPr>
          <w:rFonts w:ascii="Times New Roman" w:hAnsi="Times New Roman"/>
          <w:sz w:val="24"/>
        </w:rPr>
        <w:t>A CRR 112. cikkében említett egyes kitettségi osztályok terjedelmének magyarázata</w:t>
      </w:r>
      <w:bookmarkEnd w:id="192"/>
      <w:r>
        <w:rPr>
          <w:rFonts w:ascii="Times New Roman" w:hAnsi="Times New Roman"/>
          <w:sz w:val="24"/>
        </w:rPr>
        <w:t xml:space="preserve"> </w:t>
      </w:r>
      <w:bookmarkEnd w:id="193"/>
      <w:bookmarkEnd w:id="194"/>
      <w:bookmarkEnd w:id="195"/>
      <w:bookmarkEnd w:id="196"/>
      <w:bookmarkEnd w:id="197"/>
      <w:bookmarkEnd w:id="198"/>
      <w:bookmarkEnd w:id="199"/>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0" w:name="_Toc360188353"/>
      <w:bookmarkStart w:id="201" w:name="_Toc473560902"/>
      <w:bookmarkStart w:id="202" w:name="_Toc58858597"/>
      <w:r>
        <w:rPr>
          <w:rFonts w:ascii="Times New Roman" w:hAnsi="Times New Roman"/>
          <w:sz w:val="24"/>
          <w:u w:val="none"/>
        </w:rPr>
        <w:t>3.2.4.1.</w:t>
      </w:r>
      <w:r w:rsidRPr="00110B3D">
        <w:rPr>
          <w:u w:val="none"/>
        </w:rPr>
        <w:tab/>
      </w:r>
      <w:r>
        <w:rPr>
          <w:rFonts w:ascii="Times New Roman" w:hAnsi="Times New Roman"/>
          <w:sz w:val="24"/>
        </w:rPr>
        <w:t>Az „intézmények” kitettségi osztály</w:t>
      </w:r>
      <w:bookmarkEnd w:id="200"/>
      <w:bookmarkEnd w:id="201"/>
      <w:bookmarkEnd w:id="202"/>
    </w:p>
    <w:p w:rsidR="00464F34" w:rsidRPr="00661595" w:rsidRDefault="0055388B" w:rsidP="00487A02">
      <w:pPr>
        <w:pStyle w:val="InstructionsText2"/>
        <w:numPr>
          <w:ilvl w:val="0"/>
          <w:numId w:val="0"/>
        </w:numPr>
        <w:ind w:left="1353" w:hanging="360"/>
      </w:pPr>
      <w:fldSimple w:instr=" seq paragraphs ">
        <w:r w:rsidR="00D11E4C">
          <w:rPr>
            <w:noProof/>
          </w:rPr>
          <w:t>66</w:t>
        </w:r>
      </w:fldSimple>
      <w:r w:rsidR="00D11E4C">
        <w:t>.</w:t>
      </w:r>
      <w:r w:rsidR="00D11E4C">
        <w:tab/>
        <w:t>A CRR 113. cikkének (6)–(7) bekezdésében említett, csoporton belüli kitettségekre vonatkozó adatszolgáltatás módja:</w:t>
      </w:r>
    </w:p>
    <w:p w:rsidR="00464F34" w:rsidRPr="00661595" w:rsidRDefault="0055388B" w:rsidP="00487A02">
      <w:pPr>
        <w:pStyle w:val="InstructionsText2"/>
        <w:numPr>
          <w:ilvl w:val="0"/>
          <w:numId w:val="0"/>
        </w:numPr>
        <w:ind w:left="1353" w:hanging="360"/>
      </w:pPr>
      <w:fldSimple w:instr=" seq paragraphs ">
        <w:r w:rsidR="00D11E4C">
          <w:rPr>
            <w:noProof/>
          </w:rPr>
          <w:t>67</w:t>
        </w:r>
      </w:fldSimple>
      <w:r w:rsidR="00D11E4C">
        <w:t>.</w:t>
      </w:r>
      <w:r w:rsidR="00D11E4C">
        <w:tab/>
        <w:t>A CRR 113. cikkének (7) bekezdésében rögzített követelményeket teljesítő kitettségeket azokba a kitettségi osztályokba kell besorolni, amelyekbe akkor tartoznának, ha nem minősülnének csoporton belüli kitettségnek.</w:t>
      </w:r>
    </w:p>
    <w:p w:rsidR="00464F34" w:rsidRPr="00661595" w:rsidRDefault="0055388B" w:rsidP="00487A02">
      <w:pPr>
        <w:pStyle w:val="InstructionsText2"/>
        <w:numPr>
          <w:ilvl w:val="0"/>
          <w:numId w:val="0"/>
        </w:numPr>
        <w:ind w:left="1353" w:hanging="360"/>
      </w:pPr>
      <w:fldSimple w:instr=" seq paragraphs ">
        <w:r w:rsidR="00D11E4C">
          <w:rPr>
            <w:noProof/>
          </w:rPr>
          <w:t>68</w:t>
        </w:r>
      </w:fldSimple>
      <w:r w:rsidR="00D11E4C">
        <w:t>.</w:t>
      </w:r>
      <w:r w:rsidR="00D11E4C">
        <w:tab/>
        <w:t>A CRR 113. cikkének (6) és (7) bekezdése szerint „az intézmények az illetékes hatóságok általi előzetes engedélyezés függvényében dönthetnek úgy, hogy nem alkalmazzák e cikk (1) bekezdésének követelményeit az adott intézmény olyan partnerrel szembeni kitettségeire, amely az anyavállalata, leányvállalata, anyavállalatának leányvállalata vagy olyan vállalat, amely vele a 83/349/EGK irányelv 12. cikkének (1) bekezdése szerinti kapcsolatban áll.” Ez azt jelenti, hogy a csoporton belüli partnerek nem feltétlenül intézmények, hanem lehetnek egyéb kitettségi osztályba sorolt vállalkozások, pl. kiegészítő szolgáltatásokat nyújtó vállalkozások vagy a 83/349/EGK tanácsi irányelv</w:t>
      </w:r>
      <w:r w:rsidR="00D11E4C">
        <w:footnoteReference w:id="8"/>
      </w:r>
      <w:r w:rsidR="00D11E4C">
        <w:t xml:space="preserve"> 12. cikkének (1) bekezdésében meghatározott vállalkozások is. A csoporton belüli kitettségekről ezért a megfelelő kitettségi osztályban kell adatot szolgáltatni.</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3" w:name="_Toc360188354"/>
      <w:bookmarkStart w:id="204" w:name="_Toc473560903"/>
      <w:bookmarkStart w:id="205" w:name="_Toc58858598"/>
      <w:r>
        <w:rPr>
          <w:rFonts w:ascii="Times New Roman" w:hAnsi="Times New Roman"/>
          <w:sz w:val="24"/>
          <w:u w:val="none"/>
        </w:rPr>
        <w:t>3.2.4.2.</w:t>
      </w:r>
      <w:r w:rsidRPr="00110B3D">
        <w:rPr>
          <w:u w:val="none"/>
        </w:rPr>
        <w:tab/>
      </w:r>
      <w:r>
        <w:rPr>
          <w:rFonts w:ascii="Times New Roman" w:hAnsi="Times New Roman"/>
          <w:sz w:val="24"/>
        </w:rPr>
        <w:t>A „fedezett kötvények” kitettségi osztály</w:t>
      </w:r>
      <w:bookmarkEnd w:id="203"/>
      <w:bookmarkEnd w:id="204"/>
      <w:bookmarkEnd w:id="205"/>
    </w:p>
    <w:p w:rsidR="00464F34" w:rsidRPr="00661595" w:rsidRDefault="0055388B" w:rsidP="00487A02">
      <w:pPr>
        <w:pStyle w:val="InstructionsText2"/>
        <w:numPr>
          <w:ilvl w:val="0"/>
          <w:numId w:val="0"/>
        </w:numPr>
        <w:ind w:left="1353" w:hanging="360"/>
      </w:pPr>
      <w:fldSimple w:instr=" seq paragraphs ">
        <w:r w:rsidR="00D11E4C">
          <w:rPr>
            <w:noProof/>
          </w:rPr>
          <w:t>69</w:t>
        </w:r>
      </w:fldSimple>
      <w:r w:rsidR="00D11E4C">
        <w:t>.</w:t>
      </w:r>
      <w:r w:rsidR="00D11E4C">
        <w:tab/>
        <w:t>Az SA-kitettségek az alábbiak szerint sorolhatók a „fedezett kötvények” kitettségi osztályba:</w:t>
      </w:r>
    </w:p>
    <w:p w:rsidR="00464F34" w:rsidRPr="00661595" w:rsidRDefault="0055388B" w:rsidP="00487A02">
      <w:pPr>
        <w:pStyle w:val="InstructionsText2"/>
        <w:numPr>
          <w:ilvl w:val="0"/>
          <w:numId w:val="0"/>
        </w:numPr>
        <w:ind w:left="1353" w:hanging="360"/>
      </w:pPr>
      <w:fldSimple w:instr=" seq paragraphs ">
        <w:r w:rsidR="00D11E4C">
          <w:rPr>
            <w:noProof/>
          </w:rPr>
          <w:t>70</w:t>
        </w:r>
      </w:fldSimple>
      <w:r w:rsidR="00D11E4C">
        <w:t>.</w:t>
      </w:r>
      <w:r w:rsidR="00D11E4C">
        <w:tab/>
        <w:t>A 2009/65/EK európai parlamenti és tanácsi irányelv</w:t>
      </w:r>
      <w:r w:rsidR="00D11E4C">
        <w:footnoteReference w:id="9"/>
      </w:r>
      <w:r w:rsidR="00D11E4C">
        <w:t xml:space="preserve"> 52. cikkének (4) bekezdésében említett kötvényeknek a „fedezett kötvények” kitettségi osztályba történő besoroláshoz teljesíteniük kell a CRR 129. cikkének (1) és (2) bekezdésében előírt követelményeket. A követelmények teljesülését minden esetben ellenőrizni kell. Ettől függetlenül a 2009/65/EK irányelv 52. cikkének (4) bekezdésében említett, 2007. december 31. előtt kibocsátott kötvények a CRR 129. cikkének (6) bekezdése alapján is a „fedezett kötvények” kitettségi osztályba sorolandók.</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6" w:name="_Toc360188355"/>
      <w:bookmarkStart w:id="207" w:name="_Toc473560904"/>
      <w:bookmarkStart w:id="208" w:name="_Toc58858599"/>
      <w:r>
        <w:rPr>
          <w:rFonts w:ascii="Times New Roman" w:hAnsi="Times New Roman"/>
          <w:sz w:val="24"/>
          <w:u w:val="none"/>
        </w:rPr>
        <w:t>3.2.4.3.</w:t>
      </w:r>
      <w:r w:rsidRPr="00110B3D">
        <w:rPr>
          <w:u w:val="none"/>
        </w:rPr>
        <w:tab/>
      </w:r>
      <w:r>
        <w:rPr>
          <w:rFonts w:ascii="Times New Roman" w:hAnsi="Times New Roman"/>
          <w:sz w:val="24"/>
        </w:rPr>
        <w:t>A „kollektív befektetési formák” kitettségi osztály</w:t>
      </w:r>
      <w:bookmarkEnd w:id="206"/>
      <w:bookmarkEnd w:id="207"/>
      <w:bookmarkEnd w:id="208"/>
    </w:p>
    <w:p w:rsidR="00464F34" w:rsidRPr="00661595" w:rsidRDefault="0055388B" w:rsidP="00487A02">
      <w:pPr>
        <w:pStyle w:val="InstructionsText2"/>
        <w:numPr>
          <w:ilvl w:val="0"/>
          <w:numId w:val="0"/>
        </w:numPr>
        <w:ind w:left="1353" w:hanging="360"/>
      </w:pPr>
      <w:fldSimple w:instr=" seq paragraphs ">
        <w:r w:rsidR="00D11E4C">
          <w:rPr>
            <w:noProof/>
          </w:rPr>
          <w:t>71</w:t>
        </w:r>
      </w:fldSimple>
      <w:r w:rsidR="00D11E4C">
        <w:t>.</w:t>
      </w:r>
      <w:r w:rsidR="00D11E4C">
        <w:tab/>
        <w:t xml:space="preserve">A CRR 132a. cikkének (2) bekezdésében említett lehetőség kihasználásakor a kollektív befektetési formák befektetési jegyeinek vagy részvényeinek formájában fennálló kitettségeket a CRR 111. cikke (1) bekezdésének első mondatával összhangban mérlegen belüli tételként kell feltüntetni.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58858600"/>
      <w:r>
        <w:rPr>
          <w:rFonts w:ascii="Times New Roman" w:hAnsi="Times New Roman"/>
          <w:sz w:val="24"/>
          <w:u w:val="none"/>
        </w:rPr>
        <w:lastRenderedPageBreak/>
        <w:t>3.2.5.</w:t>
      </w:r>
      <w:r w:rsidRPr="00110B3D">
        <w:rPr>
          <w:u w:val="none"/>
        </w:rPr>
        <w:tab/>
      </w:r>
      <w:r>
        <w:rPr>
          <w:rFonts w:ascii="Times New Roman" w:hAnsi="Times New Roman"/>
          <w:sz w:val="24"/>
        </w:rPr>
        <w:t>A tábla egyes részeire vonatkozó útmutató</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Oszlop</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KITETTSÉG</w:t>
            </w:r>
          </w:p>
          <w:p w:rsidR="00464F34" w:rsidRPr="00661595" w:rsidRDefault="00464F34" w:rsidP="00487A02">
            <w:pPr>
              <w:pStyle w:val="InstructionsText"/>
            </w:pPr>
            <w:r>
              <w:t>Az értékelési korrekció, a céltartalékok, a levonások, a hitel-egyenértékesítési tényezők és a hitelkockázat-mérséklési technikák hatásának figyelembevétele nélküli, a CRR 111. cikkének megfelelően kiszámított kitettségérték, a CRR 111. cikkének (2) bekezdésén alapuló alábbi rendelkezéseknek megfelelően:</w:t>
            </w:r>
          </w:p>
          <w:p w:rsidR="00464F34" w:rsidRPr="00661595" w:rsidRDefault="00464F34" w:rsidP="00487A02">
            <w:pPr>
              <w:pStyle w:val="InstructionsText"/>
              <w:numPr>
                <w:ilvl w:val="0"/>
                <w:numId w:val="32"/>
              </w:numPr>
            </w:pPr>
            <w:r>
              <w:t xml:space="preserve">A partnerkockázattal érintett származtatott ügyletek, repoügyletek, értékpapír- és áru-kölcsönbeadási, illetve kölcsönvételi ügyletek, hosszú kiegyenlítési idejű ügyletek és értékpapírügylethez kapcsolódó hitelek esetében (a CRR harmadik része II. címének 4. vagy 6. fejezete) az eredeti kitettségérték a partnerkockázati kitettség értéke (lásd a 0210. oszlophoz tartozó útmutatót). </w:t>
            </w:r>
          </w:p>
          <w:p w:rsidR="00464F34" w:rsidRPr="00661595" w:rsidRDefault="00464F34" w:rsidP="00487A02">
            <w:pPr>
              <w:pStyle w:val="InstructionsText"/>
              <w:numPr>
                <w:ilvl w:val="0"/>
                <w:numId w:val="32"/>
              </w:numPr>
            </w:pPr>
            <w:r>
              <w:t>A lízing kitettségértékét a CRR 134. cikkének (7) bekezdése szabályozza. A maradványértéket annak könyv szerinti értékén (azaz a lízingfutamidő végén fennálló diszkontált becsült maradványértéken) kell feltüntetni.</w:t>
            </w:r>
          </w:p>
          <w:p w:rsidR="00464F34" w:rsidRPr="00661595" w:rsidRDefault="00464F34" w:rsidP="00487A02">
            <w:pPr>
              <w:pStyle w:val="InstructionsText"/>
              <w:numPr>
                <w:ilvl w:val="0"/>
                <w:numId w:val="32"/>
              </w:numPr>
            </w:pPr>
            <w:r>
              <w:t>A CRR 219. cikke szerinti mérlegen belüli nettósítás esetében a kitettségértékeket a kapott készpénzbiztosíték figyelembevételével kell feltüntetni.</w:t>
            </w:r>
          </w:p>
          <w:p w:rsidR="00464F34" w:rsidRPr="00661595" w:rsidRDefault="00520B00" w:rsidP="00487A02">
            <w:pPr>
              <w:pStyle w:val="InstructionsText"/>
            </w:pPr>
            <w:r>
              <w:t>Amennyiben az intézmények élnek a CRR 473a. cikkének (7a) bekezdésében foglalt eltéréssel, az „egyéb tételek” kitettségi osztályban 100 %-os kockázati súllyal szereplő AB</w:t>
            </w:r>
            <w:r>
              <w:rPr>
                <w:vertAlign w:val="subscript"/>
              </w:rPr>
              <w:t>SA</w:t>
            </w:r>
            <w:r>
              <w:t xml:space="preserve"> összeget kell megadniuk ebben az oszlopban.</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Az eredeti kitettséggel összefüggő értékelési korrekciók és céltartalékok</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CRR 24. és 111. cikke</w:t>
            </w:r>
          </w:p>
          <w:p w:rsidR="00464F34" w:rsidRPr="00661595" w:rsidRDefault="00464F34" w:rsidP="00487A02">
            <w:pPr>
              <w:pStyle w:val="InstructionsText"/>
            </w:pPr>
            <w:r>
              <w:t>Az adatszolgáltató intézményre alkalmazandó számviteli szabályozásnak megfelelő értékelési korrekciók és hitelveszteségekre képzett céltartalékok (a 110. cikknek megfelelő hitelkockázati kiigazítások), valamint a prudenciális értékelési korrekciók (a 34. és 105. cikknek megfelelően végrehajtott kiegészítő értékelési korrekciók, a 36. cikk (1) bekezdése m) pontjának megfelelően levont összegek és az eszköztételhez kapcsolódó egyéb szavatolótőke-csökkentések).</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Értékelési korrekciókkal és céltartalékokkal csökkentett kitettség</w:t>
            </w:r>
          </w:p>
          <w:p w:rsidR="00464F34" w:rsidRPr="00661595" w:rsidRDefault="00464F34" w:rsidP="00487A02">
            <w:pPr>
              <w:pStyle w:val="InstructionsText"/>
            </w:pPr>
            <w:r>
              <w:t>A 0010-es és 0030-as oszlop összege.</w:t>
            </w:r>
          </w:p>
        </w:tc>
      </w:tr>
      <w:tr w:rsidR="00464F34" w:rsidRPr="00661595" w:rsidTr="00672D2A">
        <w:tc>
          <w:tcPr>
            <w:tcW w:w="1188" w:type="dxa"/>
          </w:tcPr>
          <w:p w:rsidR="00464F34" w:rsidRPr="00661595" w:rsidRDefault="00FF15C6" w:rsidP="00487A02">
            <w:pPr>
              <w:pStyle w:val="InstructionsText"/>
            </w:pPr>
            <w:r>
              <w:t>0050–0100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HITELKOCKÁZAT-MÉRSÉKLÉSI (CRM) TECHNIKÁK</w:t>
            </w:r>
          </w:p>
          <w:p w:rsidR="00464F34" w:rsidRPr="00661595" w:rsidRDefault="00464F34" w:rsidP="00487A02">
            <w:pPr>
              <w:pStyle w:val="InstructionsText"/>
            </w:pPr>
            <w:r>
              <w:t>A CRR 4. cikke (1) bekezdésének 57. pontjában meghatározott hitelkockázat-mérséklési technikák, amelyek egy vagy több kitettség hitelkockázatát csökkentik a kitettségeknek az alább „A kitettség hitelkockázat-mérséklés miatti helyettesítése” részben ismertetett helyettesítésével.</w:t>
            </w:r>
          </w:p>
          <w:p w:rsidR="00464F34" w:rsidRPr="00661595" w:rsidRDefault="00D21B29" w:rsidP="00487A02">
            <w:pPr>
              <w:pStyle w:val="InstructionsText"/>
            </w:pPr>
            <w:r>
              <w:t>A kitettségértéket befolyásoló biztosíték (pl. ha azt a kitettségre helyettesítési hatással járó hitelkockázat-mérséklési technikákhoz használják fel) értéke legfeljebb a kitettségérték lehet.</w:t>
            </w:r>
          </w:p>
          <w:p w:rsidR="00464F34" w:rsidRPr="00661595" w:rsidRDefault="00464F34" w:rsidP="00487A02">
            <w:pPr>
              <w:pStyle w:val="InstructionsText"/>
            </w:pPr>
            <w:r>
              <w:t>Itt az alábbi tételeket kell feltüntetni:</w:t>
            </w:r>
          </w:p>
          <w:p w:rsidR="00464F34" w:rsidRPr="00661595" w:rsidRDefault="00125707" w:rsidP="00487A02">
            <w:pPr>
              <w:pStyle w:val="InstructionsText"/>
            </w:pPr>
            <w:r>
              <w:rPr>
                <w:rFonts w:ascii="Arial" w:hAnsi="Arial"/>
              </w:rPr>
              <w:t>–</w:t>
            </w:r>
            <w:r>
              <w:tab/>
              <w:t>a pénzügyi biztosítékok egyszerű módszerével képzett biztosíték;</w:t>
            </w:r>
          </w:p>
          <w:p w:rsidR="00464F34" w:rsidRPr="00661595" w:rsidRDefault="00125707" w:rsidP="00487A02">
            <w:pPr>
              <w:pStyle w:val="InstructionsText"/>
            </w:pPr>
            <w:r>
              <w:rPr>
                <w:rFonts w:ascii="Arial" w:hAnsi="Arial"/>
              </w:rPr>
              <w:lastRenderedPageBreak/>
              <w:t>–</w:t>
            </w:r>
            <w:r>
              <w:tab/>
              <w:t>figyelembe vehető, előre nem rendelkezésre bocsátott hitelkockázati fedezet.</w:t>
            </w:r>
          </w:p>
          <w:p w:rsidR="00464F34" w:rsidRPr="00661595" w:rsidRDefault="00464F34" w:rsidP="00487A02">
            <w:pPr>
              <w:pStyle w:val="InstructionsText"/>
            </w:pPr>
            <w:r>
              <w:t>Lásd még a 3.1.1. pontban található útmutatót.</w:t>
            </w:r>
          </w:p>
        </w:tc>
      </w:tr>
      <w:tr w:rsidR="00464F34" w:rsidRPr="00661595" w:rsidTr="00672D2A">
        <w:tc>
          <w:tcPr>
            <w:tcW w:w="1188" w:type="dxa"/>
          </w:tcPr>
          <w:p w:rsidR="00464F34" w:rsidRPr="00661595" w:rsidRDefault="00FF15C6" w:rsidP="00487A02">
            <w:pPr>
              <w:pStyle w:val="InstructionsText"/>
            </w:pPr>
            <w:r>
              <w:lastRenderedPageBreak/>
              <w:t>0050–0060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Előre nem rendelkezésre bocsátott hitelkockázati fedezet: korrigált értékek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A CRR 235. cikke</w:t>
            </w:r>
          </w:p>
          <w:p w:rsidR="00464F34" w:rsidRPr="00661595" w:rsidRDefault="00464F34" w:rsidP="00487A02">
            <w:pPr>
              <w:pStyle w:val="InstructionsText"/>
            </w:pPr>
            <w:r>
              <w:t>A CRR 239. cikkének (3) bekezdése tartalmazza az előre nem rendelkezésre bocsátott hitelkockázati fedezet G</w:t>
            </w:r>
            <w:r>
              <w:rPr>
                <w:vertAlign w:val="subscript"/>
              </w:rPr>
              <w:t>A</w:t>
            </w:r>
            <w:r>
              <w:t xml:space="preserve"> korrigált értékének kiszámításához használandó képletet.</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Garanciák</w:t>
            </w:r>
          </w:p>
          <w:p w:rsidR="00464F34" w:rsidRPr="00661595" w:rsidRDefault="00464F34" w:rsidP="00487A02">
            <w:pPr>
              <w:pStyle w:val="InstructionsText"/>
            </w:pPr>
            <w:r>
              <w:t>A CRR 203. cikke</w:t>
            </w:r>
          </w:p>
          <w:p w:rsidR="00464F34" w:rsidRPr="00661595" w:rsidRDefault="00464F34" w:rsidP="00487A02">
            <w:pPr>
              <w:pStyle w:val="InstructionsText"/>
              <w:rPr>
                <w:b/>
                <w:u w:val="single"/>
              </w:rPr>
            </w:pPr>
            <w:r>
              <w:t>A CRR 4. cikke (1) bekezdésének 59. pontjában meghatározott, a hitelderivatívákat nem tartalmazó előre nem rendelkezésre bocsátott hitelkockázati fedezet.</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Hitelderivatívák</w:t>
            </w:r>
          </w:p>
          <w:p w:rsidR="00464F34" w:rsidRPr="00661595" w:rsidRDefault="00464F34" w:rsidP="00487A02">
            <w:pPr>
              <w:pStyle w:val="InstructionsText"/>
              <w:rPr>
                <w:b/>
                <w:u w:val="single"/>
              </w:rPr>
            </w:pPr>
            <w:r>
              <w:t>A CRR 204. cikke</w:t>
            </w:r>
          </w:p>
        </w:tc>
      </w:tr>
      <w:tr w:rsidR="00464F34" w:rsidRPr="00661595" w:rsidTr="00672D2A">
        <w:tc>
          <w:tcPr>
            <w:tcW w:w="1188" w:type="dxa"/>
          </w:tcPr>
          <w:p w:rsidR="00464F34" w:rsidRPr="00661595" w:rsidRDefault="00464F34" w:rsidP="00487A02">
            <w:pPr>
              <w:pStyle w:val="InstructionsText"/>
            </w:pPr>
            <w:r>
              <w:t>0070–0080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Előre rendelkezésre bocsátott hitelkockázati fedezet</w:t>
            </w:r>
          </w:p>
          <w:p w:rsidR="00464F34" w:rsidRPr="00661595" w:rsidRDefault="009C44E7" w:rsidP="00487A02">
            <w:pPr>
              <w:pStyle w:val="InstructionsText"/>
            </w:pPr>
            <w:r>
              <w:t>Ezek az oszlopok a CRR 4. cikke (1) bekezdésének 58. pontjában meghatározott és a CRR 196., 197. és 200. cikke szerinti szabályok hatálya alá tartozó, előre rendelkezésre bocsátott hitelkockázati fedezetre vonatkoznak Az összegek nem foglalják magukban a nettósítási keretmegállapodásokat, mivel azok értékét a hitel-egyenértékesítési tényezők előtti eredeti kitettség már tartalmazza.</w:t>
            </w:r>
          </w:p>
          <w:p w:rsidR="00464F34" w:rsidRPr="00661595" w:rsidRDefault="00167619" w:rsidP="00487A02">
            <w:pPr>
              <w:pStyle w:val="InstructionsText"/>
            </w:pPr>
            <w:r>
              <w:t>A CRR 218. cikkében említett, hitelkockázati eseményhez kapcsolt értékpapírokba történő befektetéseket és a CRR 219. cikkében említett, figyelembe vehető mérlegen belüli nettósítási megállapodásokból eredő mérlegen belüli nettósítási pozíciókat készpénzbiztosítékként kell kezelni.</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Pénzügyi biztosítékok: egyszerű módszer</w:t>
            </w:r>
          </w:p>
          <w:p w:rsidR="00464F34" w:rsidRPr="00661595" w:rsidRDefault="00167619" w:rsidP="00487A02">
            <w:pPr>
              <w:pStyle w:val="InstructionsText"/>
            </w:pPr>
            <w:r>
              <w:t>A CRR 222. cikkének (1) és (2) bekezdése</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előre rendelkezésre bocsátott hitelkockázati fedezet</w:t>
            </w:r>
          </w:p>
          <w:p w:rsidR="00464F34" w:rsidRPr="00661595" w:rsidRDefault="00464F34" w:rsidP="00487A02">
            <w:pPr>
              <w:pStyle w:val="InstructionsText"/>
            </w:pPr>
            <w:r>
              <w:t>A CRR 232. cikke</w:t>
            </w:r>
          </w:p>
        </w:tc>
      </w:tr>
      <w:tr w:rsidR="00464F34" w:rsidRPr="00661595" w:rsidTr="00672D2A">
        <w:tc>
          <w:tcPr>
            <w:tcW w:w="1188" w:type="dxa"/>
          </w:tcPr>
          <w:p w:rsidR="00464F34" w:rsidRPr="00661595" w:rsidRDefault="00464F34" w:rsidP="00487A02">
            <w:pPr>
              <w:pStyle w:val="InstructionsText"/>
            </w:pPr>
            <w:r>
              <w:t>0090–0100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 HITELKOCKÁZAT-MÉRSÉKLÉS MIATTI HELYETTESÍTÉSE</w:t>
            </w:r>
          </w:p>
          <w:p w:rsidR="00464F34" w:rsidRPr="00661595" w:rsidRDefault="00464F34" w:rsidP="00487A02">
            <w:pPr>
              <w:pStyle w:val="InstructionsText"/>
            </w:pPr>
            <w:r>
              <w:t>A CRR 222. cikkének (3) bekezdése, 235. cikkének (1)–(2) bekezdése, valamint 236. cikke</w:t>
            </w:r>
          </w:p>
          <w:p w:rsidR="00464F34" w:rsidRPr="00661595" w:rsidRDefault="00464F34" w:rsidP="00487A02">
            <w:pPr>
              <w:pStyle w:val="InstructionsText"/>
            </w:pPr>
            <w:r>
              <w:t>A kiáramlások értéke megegyezik a hitel-egyenértékesítési tényezők előtti eredeti kitettség fedezett részével, amelyet a kötelezett kitettségi osztályából való levonást követően a fedezetnyújtó kitettségi osztályába kell sorolni. Ezt az összeget a fedezetnyújtó kitettségi osztályába irányuló beáramlásnak kell tekinteni.</w:t>
            </w:r>
          </w:p>
          <w:p w:rsidR="00464F34" w:rsidRPr="00661595" w:rsidRDefault="00464F34" w:rsidP="00487A02">
            <w:pPr>
              <w:pStyle w:val="InstructionsText"/>
              <w:rPr>
                <w:b/>
              </w:rPr>
            </w:pPr>
            <w:r>
              <w:t>Az azonos kitettségi osztályba tartozó be- és kiáramlásokat szintén fel kell tüntetni.</w:t>
            </w:r>
          </w:p>
          <w:p w:rsidR="00464F34" w:rsidRPr="00661595" w:rsidRDefault="00464F34" w:rsidP="00487A02">
            <w:pPr>
              <w:pStyle w:val="InstructionsText"/>
            </w:pPr>
            <w:r>
              <w:t>Figyelembe kell venni az egyéb táblákhoz kapcsolódó esetleges ki- és beáramlásokból eredő kitettségeket is.</w:t>
            </w:r>
          </w:p>
        </w:tc>
      </w:tr>
      <w:tr w:rsidR="00464F34" w:rsidRPr="00661595" w:rsidTr="00672D2A">
        <w:tc>
          <w:tcPr>
            <w:tcW w:w="1188" w:type="dxa"/>
          </w:tcPr>
          <w:p w:rsidR="00464F34" w:rsidRPr="00661595" w:rsidRDefault="00FF15C6" w:rsidP="00487A02">
            <w:pPr>
              <w:pStyle w:val="InstructionsText"/>
            </w:pPr>
            <w:r>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HELYETTESÍTÉSI HATÁSSAL JÁRÓ CRM-TECHNIKÁK UTÁNI, HITEL-EGYENÉRTÉKESÍTÉSI TÉNYEZŐK ELŐTTI NETTÓ KITETTSÉG</w:t>
            </w:r>
          </w:p>
          <w:p w:rsidR="00464F34" w:rsidRPr="00661595" w:rsidRDefault="00464F34" w:rsidP="00487A02">
            <w:pPr>
              <w:pStyle w:val="InstructionsText"/>
            </w:pPr>
            <w:r>
              <w:lastRenderedPageBreak/>
              <w:t>Az értékelési korrekció nélküli kitettségérték A KITETTSÉGRE HELYETTESÍTÉSI HATÁSSAL JÁRÓ HITELKOCKÁZAT-MÉRSÉKLÉSI TECHNIKÁK miatti ki- és beáramlások figyelembevétele után</w:t>
            </w:r>
          </w:p>
        </w:tc>
      </w:tr>
      <w:tr w:rsidR="00464F34" w:rsidRPr="00661595" w:rsidTr="00672D2A">
        <w:tc>
          <w:tcPr>
            <w:tcW w:w="1188" w:type="dxa"/>
          </w:tcPr>
          <w:p w:rsidR="00464F34" w:rsidRPr="00661595" w:rsidRDefault="00FF15C6" w:rsidP="00487A02">
            <w:pPr>
              <w:pStyle w:val="InstructionsText"/>
            </w:pPr>
            <w:r>
              <w:lastRenderedPageBreak/>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A KITETTSÉGÉRTÉKET ÉRINTŐ HITELKOCKÁZAT-MÉRSÉKLÉSI TECHNIKÁK. ELŐRE RENDELKEZÉSRE BOCSÁTOTT HITELKOCKÁZATI FEDEZET, A PÉNZÜGYI BIZTOSÍTÉKOK ÖSSZETETT MÓDSZERE</w:t>
            </w:r>
          </w:p>
          <w:p w:rsidR="00464F34" w:rsidRPr="00661595" w:rsidRDefault="00464F34" w:rsidP="00487A02">
            <w:pPr>
              <w:pStyle w:val="InstructionsText"/>
            </w:pPr>
            <w:r>
              <w:t>A CRR 223–228. cikke Magukban foglalják a CRR 218. cikke szerinti hitelkockázati eseményhez kapcsolt értékpapírokat is.</w:t>
            </w:r>
          </w:p>
          <w:p w:rsidR="00464F34" w:rsidRPr="00661595" w:rsidRDefault="00464F34" w:rsidP="00487A02">
            <w:pPr>
              <w:pStyle w:val="InstructionsText"/>
            </w:pPr>
            <w:r>
              <w:t>A CRR 218. cikkében említett, hitelkockázati eseményhez kapcsolt értékpapírokat és a CRR 219. cikkében említett, figyelembe vehető mérlegen belüli nettósítási megállapodásokból eredő mérlegen belüli nettósítási pozíciókat készpénzbiztosítékként kell kezelni.</w:t>
            </w:r>
          </w:p>
          <w:p w:rsidR="00464F34" w:rsidRPr="00661595" w:rsidRDefault="00464F34" w:rsidP="00487A02">
            <w:pPr>
              <w:pStyle w:val="InstructionsText"/>
            </w:pPr>
            <w:r>
              <w:t xml:space="preserve">Ha a pénzügyi biztosítékok összetett módszerét egy figyelembe vehető pénzügyi biztosítékkal fedezett kitettségre alkalmazzák, akkor az e módszer szerinti fedezettség hatását a CRR 223–228. cikkének megfelelően kell kiszámítani.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kitettség volatilitási korrekciós tényezője</w:t>
            </w:r>
          </w:p>
          <w:p w:rsidR="00464F34" w:rsidRPr="00661595" w:rsidRDefault="00167619" w:rsidP="00487A02">
            <w:pPr>
              <w:pStyle w:val="InstructionsText"/>
            </w:pPr>
            <w:r>
              <w:t>A CRR 223. cikkének (2) és (3) bekezdése</w:t>
            </w:r>
          </w:p>
          <w:p w:rsidR="00464F34" w:rsidRPr="00661595" w:rsidRDefault="00464F34" w:rsidP="00487A02">
            <w:pPr>
              <w:pStyle w:val="InstructionsText"/>
            </w:pPr>
            <w:r>
              <w:t>A feltüntetendő érték a kitettség volatilitási korrekciós tényezőjének hatása: (Eva–E) = E*He.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Pénzügyi biztosíték korrigált értéke (Cvam)</w:t>
            </w:r>
          </w:p>
          <w:p w:rsidR="00464F34" w:rsidRPr="00661595" w:rsidRDefault="00464F34" w:rsidP="00487A02">
            <w:pPr>
              <w:pStyle w:val="InstructionsText"/>
            </w:pPr>
            <w:r>
              <w:t>A CRR 239. cikkének (2) bekezdése</w:t>
            </w:r>
          </w:p>
          <w:p w:rsidR="00464F34" w:rsidRPr="00661595" w:rsidRDefault="00464F34" w:rsidP="00487A02">
            <w:pPr>
              <w:pStyle w:val="InstructionsText"/>
            </w:pPr>
            <w:r>
              <w:t xml:space="preserve">Kereskedési könyvben nyilvántartott műveletek esetében a tétel magában foglalja a CRR 299. cikke (2) bekezdésének c)–f) pontja alapján a kereskedési könyvi kitettségekre vonatkozóan figyelembe vehető pénzügyi biztosítékokat és árukat. </w:t>
            </w:r>
          </w:p>
          <w:p w:rsidR="00464F34" w:rsidRPr="00661595" w:rsidRDefault="00464F34" w:rsidP="00487A02">
            <w:pPr>
              <w:pStyle w:val="InstructionsText"/>
            </w:pPr>
            <w:r>
              <w:t>A feltüntetendő érték kiszámítása: Cvam = C*(1–Hc–Hfx)*(t–t*)/(T–t*). A C, Hc, Hfx, t, T és t* értékek meghatározását a CRR harmadik része II. címe 4. fejezetének 4. és 5. szakasza tartalmazza.</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Ebből: volatilitási és lejárati korrekció</w:t>
            </w:r>
          </w:p>
          <w:p w:rsidR="00464F34" w:rsidRPr="00661595" w:rsidRDefault="00464F34" w:rsidP="00487A02">
            <w:pPr>
              <w:pStyle w:val="InstructionsText"/>
            </w:pPr>
            <w:r>
              <w:t xml:space="preserve">A CRR 223. cikkének (1) bekezdése és 239. cikkének (2) bekezdése </w:t>
            </w:r>
          </w:p>
          <w:p w:rsidR="00464F34" w:rsidRPr="00661595" w:rsidRDefault="00464F34" w:rsidP="00487A02">
            <w:pPr>
              <w:pStyle w:val="InstructionsText"/>
            </w:pPr>
            <w:r>
              <w:t>A feltüntetendő érték a volatilitási és lejárati korrekció együttes hatása: (Cvam–C) = C*[(1–Hc–Hfx)*(t–t*)/(T–t*)–1], ahol a volatilitási korrekció hatása (Cva–C) = C*[(1–Hc–Hfx)–1], a lejárati korrekció hatása pedig (Cvam–Cva) = C*(1–Hc–Hfx)*[(t–t*)/(T–t*)–1].</w:t>
            </w:r>
          </w:p>
        </w:tc>
      </w:tr>
      <w:tr w:rsidR="00464F34" w:rsidRPr="00661595" w:rsidTr="00672D2A">
        <w:tc>
          <w:tcPr>
            <w:tcW w:w="1188" w:type="dxa"/>
          </w:tcPr>
          <w:p w:rsidR="00464F34" w:rsidRPr="00661595" w:rsidRDefault="00FF15C6" w:rsidP="00487A02">
            <w:pPr>
              <w:pStyle w:val="InstructionsText"/>
            </w:pPr>
            <w:r>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Teljes mértékben korrigált kitettségérték (E*)</w:t>
            </w:r>
          </w:p>
          <w:p w:rsidR="00464F34" w:rsidRPr="00661595" w:rsidRDefault="00464F34" w:rsidP="00487A02">
            <w:pPr>
              <w:pStyle w:val="InstructionsText"/>
              <w:rPr>
                <w:b/>
                <w:u w:val="single"/>
              </w:rPr>
            </w:pPr>
            <w:r>
              <w:t>A CRR 220. cikkének (4) bekezdése, 223. cikkének (2)–(5) bekezdése, valamint 228. cikkének (1) bekezdése.</w:t>
            </w:r>
          </w:p>
        </w:tc>
      </w:tr>
      <w:tr w:rsidR="00464F34" w:rsidRPr="00661595" w:rsidTr="00672D2A">
        <w:tc>
          <w:tcPr>
            <w:tcW w:w="1188" w:type="dxa"/>
          </w:tcPr>
          <w:p w:rsidR="00464F34" w:rsidRPr="00661595" w:rsidRDefault="00FF15C6" w:rsidP="00487A02">
            <w:pPr>
              <w:pStyle w:val="InstructionsText"/>
            </w:pPr>
            <w:r>
              <w:t>0160–0190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mérlegen kívüli tételek teljes mértékben korrigált kitettségértéke hitel-egyenértékesítési tényezők szerinti bontásban</w:t>
            </w:r>
          </w:p>
          <w:p w:rsidR="00464F34" w:rsidRPr="00661595" w:rsidRDefault="00464F34" w:rsidP="00487A02">
            <w:pPr>
              <w:pStyle w:val="InstructionsText"/>
            </w:pPr>
            <w:r>
              <w:t>A CRR 111. cikkének (1) bekezdése és 4. cikke (1) bekezdésének 56. pontja Lás még a CRR 222. cikkének (3) bekezdését és 228. cikkének (1) bekezdését</w:t>
            </w:r>
          </w:p>
          <w:p w:rsidR="000A4C10" w:rsidRPr="00661595" w:rsidRDefault="000A4C10" w:rsidP="00487A02">
            <w:pPr>
              <w:pStyle w:val="InstructionsText"/>
              <w:rPr>
                <w:b/>
                <w:u w:val="single"/>
              </w:rPr>
            </w:pPr>
            <w:r>
              <w:lastRenderedPageBreak/>
              <w:t>A feltüntetett adatoknak a hitel-egyenértékesítési tényező alkalmazása előtti, teljes mértékben korrigált kitettségértékeknek kell lenniük.</w:t>
            </w:r>
          </w:p>
        </w:tc>
      </w:tr>
      <w:tr w:rsidR="00464F34" w:rsidRPr="00661595" w:rsidTr="00672D2A">
        <w:tc>
          <w:tcPr>
            <w:tcW w:w="1188" w:type="dxa"/>
          </w:tcPr>
          <w:p w:rsidR="00464F34" w:rsidRPr="00661595" w:rsidRDefault="00FF15C6" w:rsidP="00487A02">
            <w:pPr>
              <w:pStyle w:val="InstructionsText"/>
            </w:pPr>
            <w:r>
              <w:lastRenderedPageBreak/>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Kitettségérték</w:t>
            </w:r>
          </w:p>
          <w:p w:rsidR="00464F34" w:rsidRPr="00661595" w:rsidRDefault="00531FC9" w:rsidP="00487A02">
            <w:pPr>
              <w:pStyle w:val="InstructionsText"/>
            </w:pPr>
            <w:r>
              <w:t>A CRR 111. cikke és a CRR harmadik része II. címe 4. fejezete 4. szakasza</w:t>
            </w:r>
          </w:p>
          <w:p w:rsidR="00464F34" w:rsidRPr="00661595" w:rsidRDefault="00464F34" w:rsidP="00487A02">
            <w:pPr>
              <w:pStyle w:val="InstructionsText"/>
            </w:pPr>
            <w:r>
              <w:t>Az értékelési korrekciók, valamint az összes hitelkockázat-mérséklő eszköz és hitel-egyenértékesítési tényező figyelembevétele utáni kitettségérték, amelyhez a CRR 113. cikke, valamint harmadik része II. címe 2. fejezetének 2. szakaszával összhangban kockázati súlyt kell rendelni.</w:t>
            </w:r>
          </w:p>
          <w:p w:rsidR="0029630E" w:rsidRPr="00661595" w:rsidRDefault="0029630E" w:rsidP="00487A02">
            <w:pPr>
              <w:pStyle w:val="InstructionsText"/>
            </w:pPr>
            <w:r>
              <w:t>A lízing kitettségértékét a CRR 134. cikkének (7) bekezdése szabályozza. A maradványértéket diszkontált maradványértékként kell figyelembe venni, figyelembe véve az értékelési korrekciókat, valamint az összes hitelkockázat-mérséklő tényezőt és hitel-egyenértékesítési tényezőt.</w:t>
            </w:r>
          </w:p>
          <w:p w:rsidR="007C64F7" w:rsidRPr="00661595" w:rsidRDefault="007C64F7" w:rsidP="00487A02">
            <w:pPr>
              <w:pStyle w:val="InstructionsText"/>
            </w:pPr>
            <w:r>
              <w:t>A partnerkockázattal érintett kitettségek értékeinek meg kell egyezniük a 0210. oszlopban megadott értékekkel.</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Partnerkockázatból származó</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A partnerkockázattal érintett kitettségek érteke a CRR harmadik része II. címének 4. és 6. fejezetében meghatározott módszereknek megfelelően, azaz a CRR harmadik része II. címének 4. és 6. fejezetével összhangban alkalmazandó hitelkockázat-mérséklési technikák alkalmazásával és a CVA-veszteségnek a CRR 273. cikkének (6) bekezdésében említett levonásával számított kitettségérték, amely a kockázattal súlyozott kitettségérték kiszámítása tekintetében a releváns összeg. </w:t>
            </w:r>
          </w:p>
          <w:p w:rsidR="007C64F7" w:rsidRPr="00661595" w:rsidRDefault="007C64F7" w:rsidP="007C64F7">
            <w:pPr>
              <w:rPr>
                <w:rFonts w:ascii="Times New Roman" w:hAnsi="Times New Roman"/>
                <w:sz w:val="24"/>
              </w:rPr>
            </w:pPr>
            <w:r>
              <w:rPr>
                <w:rFonts w:ascii="Times New Roman" w:hAnsi="Times New Roman"/>
                <w:sz w:val="24"/>
              </w:rPr>
              <w:t>Azon ügyletek kitettségértékét, amelyeknél egyedi rossz irányú kockázatot azonosítottak, a CRR 291. cikkével összhangban kell meghatározni.</w:t>
            </w:r>
          </w:p>
          <w:p w:rsidR="007C64F7" w:rsidRPr="00661595" w:rsidRDefault="007C64F7" w:rsidP="00487A02">
            <w:pPr>
              <w:pStyle w:val="InstructionsText"/>
            </w:pPr>
            <w:r>
              <w:t>Azokban az esetekben, amikor egy partnerre egynél több partnerkockázat-számítási módszert alkalmaznak, a partner szintjén levont, felmerült CVA-veszteséget a 0090–0130. sorban szereplő egyes nettósítási halmazok kitettségértékéhez kell hozzárendelni, tükrözve az adott nettósítási halmazok hitelkockázat-mérséklés utáni kitettségértékének a partner hitelkockázat-mérséklés utáni teljes kitettségértékéhez viszonyított arányát. E célból a C 34.02 tábla 0160. oszlopához tartozó útmutató szerinti hitelkockázat-mérséklés utáni kitettségértéket kell használni.</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Prtnerkockázatból eredő, kivéve a központi szerződő félen keresztül elszámolt kitettségeket</w:t>
            </w:r>
          </w:p>
          <w:p w:rsidR="00E46AC0" w:rsidRPr="00661595" w:rsidRDefault="00E46AC0" w:rsidP="00487A02">
            <w:pPr>
              <w:pStyle w:val="InstructionsText"/>
              <w:rPr>
                <w:rStyle w:val="InstructionsTabelleberschrift"/>
                <w:rFonts w:ascii="Times New Roman" w:hAnsi="Times New Roman"/>
                <w:sz w:val="24"/>
              </w:rPr>
            </w:pPr>
            <w:r>
              <w:t>A 0210-es oszlopban feltüntetett kitettségek, kivéve a CRR 301. cikkének (1) bekezdésében felsorolt szerződésekből és ügyletekből eredő kitettségeket, amennyiben azok központi szerződő féllel (CCP) szemben állnak fenn, beleértve a CRR 300. cikkének 2. pontjában meghatározott központi szerződő félhez kapcsolódó ügyleteket is.</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szorzók előtti, kockázattal súlyozott kitettségérték</w:t>
            </w:r>
          </w:p>
          <w:p w:rsidR="00696434" w:rsidRDefault="00E46AC0" w:rsidP="001A217F">
            <w:pPr>
              <w:pStyle w:val="InstructionsText"/>
            </w:pPr>
            <w:r>
              <w:t>A CRR 113. cikkének (1)–(5) bekezdése, a CRR 501. és 501a. cikke szerinti kkv-szorzó és infrastruktúra-szorzó figyelembevétele nélkül.</w:t>
            </w:r>
          </w:p>
          <w:p w:rsidR="00E46AC0" w:rsidRPr="00661595" w:rsidRDefault="007D1F12" w:rsidP="00696434">
            <w:pPr>
              <w:pStyle w:val="InstructionsText"/>
              <w:rPr>
                <w:b/>
                <w:u w:val="single"/>
              </w:rPr>
            </w:pPr>
            <w:r>
              <w:t>A lízingeszközök maradványértékének kockázattal súlyozott kitettségértékére a 134. cikk (7) bekezdésének ötödik mondata vonatkozik, és azt az „1/t * 100 % * maradvány</w:t>
            </w:r>
            <w:r>
              <w:lastRenderedPageBreak/>
              <w:t>érték” képlet szerint kell kiszámítani. A maradványérték nem diszkontált becsült maradványérték a lízingfutamidő végén, amelyet a folyamatos megfelelőség biztosítása érdekében rendszeresen újra kell értékelni.</w:t>
            </w:r>
          </w:p>
        </w:tc>
      </w:tr>
      <w:tr w:rsidR="00E46AC0" w:rsidRPr="00661595" w:rsidTr="00672D2A">
        <w:tc>
          <w:tcPr>
            <w:tcW w:w="1188" w:type="dxa"/>
          </w:tcPr>
          <w:p w:rsidR="00E46AC0" w:rsidRPr="00661595" w:rsidRDefault="00FF15C6" w:rsidP="00487A02">
            <w:pPr>
              <w:pStyle w:val="InstructionsText"/>
            </w:pPr>
            <w:r>
              <w:lastRenderedPageBreak/>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 kockázattal súlyozott kitettségérték kkv-szorzó miatti korrekciója</w:t>
            </w:r>
          </w:p>
          <w:p w:rsidR="00E46AC0" w:rsidRPr="00661595" w:rsidRDefault="00E46AC0" w:rsidP="00487A02">
            <w:pPr>
              <w:pStyle w:val="InstructionsText"/>
              <w:rPr>
                <w:rStyle w:val="InstructionsTabelleberschrift"/>
                <w:rFonts w:ascii="Times New Roman" w:hAnsi="Times New Roman"/>
                <w:sz w:val="24"/>
              </w:rPr>
            </w:pPr>
            <w:r>
              <w:t>A kkv-kel szembeni teljesítő kitettségeknek a CRR harmadik része II. címének 2. fejezetével összhangban számított, kockázattal súlyozott kitettségértéke (RWEA) és a CRR 501. cikkének (1) bekezdése szerinti RWEA* különbségének levonása.</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 kockázattal súlyozott kitettségérték infrastruktúra-szorzó miatti korrekciója</w:t>
            </w:r>
          </w:p>
          <w:p w:rsidR="00E46AC0" w:rsidRPr="00661595" w:rsidRDefault="00E46AC0" w:rsidP="00487A02">
            <w:pPr>
              <w:pStyle w:val="InstructionsText"/>
              <w:rPr>
                <w:rStyle w:val="InstructionsTabelleberschrift"/>
                <w:rFonts w:ascii="Times New Roman" w:hAnsi="Times New Roman"/>
                <w:sz w:val="24"/>
              </w:rPr>
            </w:pPr>
            <w:r>
              <w:t>A CRR harmadik része II. címének megfelelően kiszámított kockázattal súlyozott kitettségértékek, valamint a CRR 501a. cikke szerinti, alapvető közszolgáltatásokat nyújtó vagy támogató fizikai struktúrákat vagy létesítményeket, rendszereket és hálózatokat működtető vagy finanszírozó szervezetekkel szembeni kitettségek hitelkockázatára vonatkozó kiigazított kockázattal súlyozott kitettségérték különbségének levonása.</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szorzók utáni, kockázattal súlyozott kitettségérték</w:t>
            </w:r>
          </w:p>
          <w:p w:rsidR="00696434" w:rsidRDefault="00E46AC0" w:rsidP="00E50750">
            <w:pPr>
              <w:pStyle w:val="InstructionsText"/>
            </w:pPr>
            <w:r>
              <w:t>A CRR 113. cikkének (1)–(5) bekezdése, a CRR 501. és 501a. cikke szerinti kkv-szorzó és infrastruktúra-szorzó figyelembevételével.</w:t>
            </w:r>
          </w:p>
          <w:p w:rsidR="00E46AC0" w:rsidRPr="00661595" w:rsidRDefault="007D1F12" w:rsidP="00E50750">
            <w:pPr>
              <w:pStyle w:val="InstructionsText"/>
              <w:rPr>
                <w:b/>
                <w:u w:val="single"/>
              </w:rPr>
            </w:pPr>
            <w:r>
              <w:t>A lízingeszközök maradványértékének kockázattal súlyozott kitettségértékére a 134. cikk (7) bekezdésének ötödik mondata v</w:t>
            </w:r>
            <w:r w:rsidR="00110B3D">
              <w:t>onatkozik, és azt az „1/t * 100 </w:t>
            </w:r>
            <w:r>
              <w:t>% * maradványérték” képlet szerint kell kiszámítani. A maradványérték nem diszkontált becsült maradványérték a lízingfutamidő végén, amelyet a folyamatos megfelelőség biztosítása érdekében rendszeresen újra kell értékelni.</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kijelölt khmi által készített hitelminősítéssel</w:t>
            </w:r>
          </w:p>
          <w:p w:rsidR="00E46AC0" w:rsidRPr="00661595" w:rsidRDefault="00E46AC0" w:rsidP="00487A02">
            <w:pPr>
              <w:pStyle w:val="InstructionsText"/>
            </w:pPr>
            <w:r>
              <w:t>A CRR 112. cikkének a)–d), f), g), l), n), o) és q) pontja</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központi kormányzattal megegyező hitelminősítéssel</w:t>
            </w:r>
          </w:p>
          <w:p w:rsidR="00E46AC0" w:rsidRPr="00661595" w:rsidRDefault="00E46AC0" w:rsidP="00487A02">
            <w:pPr>
              <w:pStyle w:val="InstructionsText"/>
            </w:pPr>
            <w:r>
              <w:t>A CRR 112. cikkének b)–d), f), g), l), és o) pontja</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Sorok</w:t>
            </w:r>
          </w:p>
        </w:tc>
        <w:tc>
          <w:tcPr>
            <w:tcW w:w="8701" w:type="dxa"/>
            <w:shd w:val="clear" w:color="auto" w:fill="CCCCCC"/>
          </w:tcPr>
          <w:p w:rsidR="00464F34" w:rsidRPr="00661595" w:rsidRDefault="00464F34" w:rsidP="00487A02">
            <w:pPr>
              <w:pStyle w:val="InstructionsText"/>
            </w:pPr>
            <w:r>
              <w:t>Útmutató</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Teljes kitettség</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Nemteljesítő kitettségek a „Kiemelkedően magas kockázatú tételek” és a „Részvényjellegű kitettségek” kitettségi osztályokban</w:t>
            </w:r>
          </w:p>
          <w:p w:rsidR="00610B56" w:rsidRPr="00661595" w:rsidRDefault="00610B56" w:rsidP="00487A02">
            <w:pPr>
              <w:pStyle w:val="InstructionsText"/>
            </w:pPr>
            <w:r>
              <w:t>A CRR 127. cikke</w:t>
            </w:r>
          </w:p>
          <w:p w:rsidR="00610B56" w:rsidRPr="00661595" w:rsidRDefault="00610B56" w:rsidP="00487A02">
            <w:pPr>
              <w:pStyle w:val="InstructionsText"/>
            </w:pPr>
            <w:r>
              <w:t>Ezt a sort csak a „Kiemelkedően magas kockázatú tételek” és a „Részvényjellegű kitettségek” kitettségi osztályokban kell jelenteni.</w:t>
            </w:r>
          </w:p>
          <w:p w:rsidR="00761891" w:rsidRPr="00661595" w:rsidRDefault="00167619" w:rsidP="00487A02">
            <w:pPr>
              <w:pStyle w:val="InstructionsText"/>
            </w:pPr>
            <w:r>
              <w:t>Egy olyan kitettséget, amely a CRR 128. cikkének (2) bekezdésében felsorolt, vagy teljesíti a CRR 128. cikkének (3) bekezdésében vagy 133. cikkében meghatározott kritériumokat, a „Kiemelkedően magas kockázatú tételek” vagy a „Részvényjellegű kitettségek” kitettségi osztályba kell sorolni. Következésképpen más besorolás nem lehetséges, még akkor sem, ha a CRR 127. cikkében említett nemteljesítő kitettségről van szó.</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KKV</w:t>
            </w:r>
          </w:p>
          <w:p w:rsidR="00464F34" w:rsidRPr="00661595" w:rsidRDefault="00464F34" w:rsidP="00487A02">
            <w:pPr>
              <w:pStyle w:val="InstructionsText"/>
            </w:pPr>
            <w:r>
              <w:t xml:space="preserve">Itt a kkv-kal szembeni összes kitettséget fel kell tüntetni. </w:t>
            </w:r>
          </w:p>
        </w:tc>
      </w:tr>
      <w:tr w:rsidR="00464F34" w:rsidRPr="00661595" w:rsidTr="00672D2A">
        <w:tc>
          <w:tcPr>
            <w:tcW w:w="1188" w:type="dxa"/>
            <w:shd w:val="clear" w:color="auto" w:fill="auto"/>
          </w:tcPr>
          <w:p w:rsidR="00464F34" w:rsidRPr="00661595" w:rsidRDefault="00FF15C6" w:rsidP="00487A02">
            <w:pPr>
              <w:pStyle w:val="InstructionsText"/>
            </w:pPr>
            <w:r>
              <w:lastRenderedPageBreak/>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Kitettség a kkv-szorzó alkalmazásával</w:t>
            </w:r>
          </w:p>
          <w:p w:rsidR="00464F34" w:rsidRPr="00661595" w:rsidRDefault="00464F34" w:rsidP="00487A02">
            <w:pPr>
              <w:pStyle w:val="InstructionsText"/>
            </w:pPr>
            <w:r>
              <w:t xml:space="preserve">Itt csak azokat a kkv-kal szembeni kitettségeket kell feltüntetni, amelyek teljesítik a CRR 501. cikkében előírt követelményeket.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Kitettség az infrastruktúra-szorzó alkalmazásával</w:t>
            </w:r>
          </w:p>
          <w:p w:rsidR="001B1F77" w:rsidRPr="00661595" w:rsidRDefault="001B1F77" w:rsidP="00487A02">
            <w:pPr>
              <w:pStyle w:val="InstructionsText"/>
              <w:rPr>
                <w:rStyle w:val="InstructionsTabelleberschrift"/>
                <w:rFonts w:ascii="Times New Roman" w:hAnsi="Times New Roman"/>
                <w:sz w:val="24"/>
              </w:rPr>
            </w:pPr>
            <w:r>
              <w:t>Itt csak azokat a kkv-kal szembeni kitettségeket kell feltüntetni, amelyek teljesítik a CRR 501a. cikkében előírt követelményeket.</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Ingatlanra bejegyzett zálogjoggal fedezett – lakóingatlan</w:t>
            </w:r>
          </w:p>
          <w:p w:rsidR="001B1F77" w:rsidRPr="00661595" w:rsidRDefault="001B1F77" w:rsidP="00487A02">
            <w:pPr>
              <w:pStyle w:val="InstructionsText"/>
            </w:pPr>
            <w:r>
              <w:t>A CRR 125. cikke</w:t>
            </w:r>
          </w:p>
          <w:p w:rsidR="001B1F77" w:rsidRPr="00661595" w:rsidRDefault="001B1F77" w:rsidP="00487A02">
            <w:pPr>
              <w:pStyle w:val="InstructionsText"/>
              <w:rPr>
                <w:b/>
                <w:u w:val="single"/>
              </w:rPr>
            </w:pPr>
            <w:r>
              <w:t>Csak az „ingatlanra bejegyzett zálogjoggal fedezett” kitettségi osztályban kell jelenteni.</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Tartós mentesítés alapján a sztenderd módszerrel kezelt kitettségek</w:t>
            </w:r>
          </w:p>
          <w:p w:rsidR="001B1F77" w:rsidRPr="00661595" w:rsidRDefault="001B1F77" w:rsidP="00487A02">
            <w:pPr>
              <w:pStyle w:val="InstructionsText"/>
            </w:pPr>
            <w:r>
              <w:t>Olyan kitettségek, amelyekre a CRR 150. cikke (1) bekezdésének megfelelően a sztenderd módszert alkalmazták.</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Az IRB-módszer fokozatos bevezetésére vonatkozó előzetes felügyeleti engedély alapján sztenderd módszerrel kezelt kitettségek</w:t>
            </w:r>
          </w:p>
          <w:p w:rsidR="001B1F77" w:rsidRPr="00661595" w:rsidRDefault="001B1F77" w:rsidP="00487A02">
            <w:pPr>
              <w:pStyle w:val="InstructionsText"/>
            </w:pPr>
            <w:r>
              <w:t xml:space="preserve">A CRR 148. cikkének (1) bekezdése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TELJES KITETTSÉG KITETTSÉGTÍPUS SZERINTI BONTÁSA</w:t>
            </w:r>
          </w:p>
          <w:p w:rsidR="001B1F77" w:rsidRPr="00661595" w:rsidRDefault="001B1F77" w:rsidP="00487A02">
            <w:pPr>
              <w:pStyle w:val="InstructionsText"/>
            </w:pPr>
            <w:r>
              <w:t xml:space="preserve">Az adatot szolgáltató intézmény banki könyvben nyilvántartott pozícióit az alábbiakban megadott kritériumok szerint hitelkockázattal érintett mérlegen belüli kitettségekre, hitelkockázattal érintett mérlegen kívüli kitettségekre, valamint partnerkockázattal érintett kitettségekre kell bontani. </w:t>
            </w:r>
          </w:p>
          <w:p w:rsidR="001B1F77" w:rsidRPr="00661595" w:rsidRDefault="001B1F77" w:rsidP="00487A02">
            <w:pPr>
              <w:pStyle w:val="InstructionsText"/>
            </w:pPr>
            <w:r>
              <w:t>Az intézmény kereskedési könyvi tevékenységéből származó, a CRR 92. cikke (3) bekezdésének f) pontjában, valamint 299. cikkének (2) bekezdésében említett partnerkockázati kitettségeit a partnerkockázattal érintett kitettségek közé kell sorolni. A CRR 94. cikkének (1) bekezdését alkalmazó intézményeknek ezenkívül a CRR 92. cikke (3) bekezdésének b) pontjában említett kereskedési könyvi pozícióikat az alábbiakban megadott kritériumok szerint hitelkockázattal érintett mérlegen belüli kitettségekre, hitelkockázattal érintett mérlegen kívüli kitettségekre, valamint partnerkockázattal érintett kitettségekre kell bontaniuk.</w:t>
            </w:r>
          </w:p>
        </w:tc>
      </w:tr>
      <w:tr w:rsidR="001B1F77" w:rsidRPr="00661595" w:rsidTr="00672D2A">
        <w:tc>
          <w:tcPr>
            <w:tcW w:w="1188" w:type="dxa"/>
          </w:tcPr>
          <w:p w:rsidR="001B1F77" w:rsidRPr="00661595" w:rsidRDefault="00FF15C6" w:rsidP="00487A02">
            <w:pPr>
              <w:pStyle w:val="InstructionsText"/>
            </w:pPr>
            <w:r>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Hitelkockázattal érintett mérlegen belüli kitettségek </w:t>
            </w:r>
          </w:p>
          <w:p w:rsidR="001B1F77" w:rsidRPr="00661595" w:rsidRDefault="001B1F77" w:rsidP="00487A02">
            <w:pPr>
              <w:pStyle w:val="InstructionsText"/>
            </w:pPr>
            <w:r>
              <w:t>A CRR 24. cikkében említett, más kategóriába nem sorolt eszközök.</w:t>
            </w:r>
          </w:p>
          <w:p w:rsidR="001B1F77" w:rsidRPr="00661595" w:rsidRDefault="001B1F77" w:rsidP="00487A02">
            <w:pPr>
              <w:pStyle w:val="InstructionsText"/>
            </w:pPr>
            <w:r>
              <w:t>A partnerkockázattal érintett kitettségeket nem ebben a sorban, hanem a 0090–0130. sorban kell feltüntetni.</w:t>
            </w:r>
          </w:p>
          <w:p w:rsidR="001B1F77" w:rsidRPr="00661595" w:rsidRDefault="001B1F77" w:rsidP="00487A02">
            <w:pPr>
              <w:pStyle w:val="InstructionsText"/>
            </w:pPr>
            <w:r>
              <w:t>A CRR 379. cikkének (1) bekezdésében említett, le nem vont nyitva szállítások nem minősülnek mérlegen belüli tételnek, azonban azokat ebben a sorban fel kell tüntetni.</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Hitelkockázattal érintett mérlegen kívüli kitettségek</w:t>
            </w:r>
          </w:p>
          <w:p w:rsidR="001B1F77" w:rsidRPr="00661595" w:rsidRDefault="001B1F77" w:rsidP="00487A02">
            <w:pPr>
              <w:pStyle w:val="InstructionsText"/>
            </w:pPr>
            <w:r>
              <w:t>A mérlegen kívüli pozíciók közé a CRR I. mellékletében felsorolt tételek tartoznak.</w:t>
            </w:r>
          </w:p>
          <w:p w:rsidR="001B1F77" w:rsidRPr="00661595" w:rsidRDefault="001B1F77" w:rsidP="00487A02">
            <w:pPr>
              <w:pStyle w:val="InstructionsText"/>
            </w:pPr>
            <w:r>
              <w:t>A partnerkockázattal érintett kitettségeket nem ebben a sorban, hanem a 0090–0130. sorban kell feltüntetni.</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lastRenderedPageBreak/>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Partnerkockázattal érintett kitettségek/ügyletek</w:t>
            </w:r>
          </w:p>
          <w:p w:rsidR="00E86B98" w:rsidRPr="00661595" w:rsidRDefault="00E86B98" w:rsidP="00487A02">
            <w:pPr>
              <w:pStyle w:val="InstructionsText"/>
            </w:pPr>
            <w:r>
              <w:t>Partnerkockázattal érintett ügyletek, úgy mint származtatott ügyletek, repoügyletek, értékpapír- vagy áru-kölcsönbeadási vagy -kölcsönvételi ügyletek, hosszú kiegyenlítési idejű ügyletek és értékpapírügylethez kapcsolódó hitelek.</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Értékpapír-finanszírozási ügyletek nettósítási halmazai</w:t>
            </w:r>
          </w:p>
          <w:p w:rsidR="00E86B98" w:rsidRPr="00661595" w:rsidRDefault="00E86B98" w:rsidP="00487A02">
            <w:pPr>
              <w:pStyle w:val="InstructionsText"/>
            </w:pPr>
            <w:r>
              <w:t>Kizárólag a CRR 4. cikke (1) bekezdésének 139. pontja szerinti értékpapír-finanszírozási ügyleteket tartalmazó nettósítási halmazok.</w:t>
            </w:r>
          </w:p>
          <w:p w:rsidR="00E86B98" w:rsidRPr="00661595" w:rsidRDefault="00E86B98" w:rsidP="00487A02">
            <w:pPr>
              <w:pStyle w:val="InstructionsText"/>
            </w:pPr>
            <w:r>
              <w:t>Nem tüntethetők fel ebben a sorban azok az értékpapír-finanszírozási ügyletek, amelyek eltérő termékkategóriák közötti nettósításról szóló szerződéses megállapodásból származó nettósítási halmazok részét képezik és ennélfogva a 0130. sorban szerepelnek.</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minősített központi szerződő félen keresztül központilag elszámolt</w:t>
            </w:r>
          </w:p>
          <w:p w:rsidR="00E86B98" w:rsidRPr="00661595" w:rsidRDefault="00E86B98" w:rsidP="00487A02">
            <w:pPr>
              <w:pStyle w:val="InstructionsText"/>
            </w:pPr>
            <w:r>
              <w:t>A CRR 301. cikkének (1) bekezdésében felsorolt, a CRR 4. cikke (1) bekezdésének 88. pontjában meghatározott elfogadott központi szerződő féllel (QCCP) szemben fennálló és elfogadott központi szerződő félhez kapcsolódó szerződések és ügyletek, amelyek esetében a kockázattal súlyozott kitettségértéket a CRR harmadik része II. címe 6. fejezetének 9. szakasza szerint számítják ki. Az elfogadott központi szerződő félhez kapcsolódó ügylet jelentése megegyezik a központi szerződő félhez kapcsolódó ügyletnek a CRR 300. cikkének 2. pontja szerinti jelentésével, amennyiben a központi szerződő fél elfogadott központi szerződő fél.</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és hosszú kiegyenlítési idejű ügyletek nettósítási halmazai</w:t>
            </w:r>
          </w:p>
          <w:p w:rsidR="00E86B98" w:rsidRPr="00661595" w:rsidRDefault="00E86B98" w:rsidP="00487A02">
            <w:pPr>
              <w:pStyle w:val="InstructionsText"/>
            </w:pPr>
            <w:r>
              <w:t>A kizárólag a CRR II. mellékletében felsorolt származtatott ügyleteket és a CRR 272. cikkének (2) bekezdésében meghatározott hosszú kiegyenlítési idejű ügyleteket tartalmazó nettósítási halmazok.</w:t>
            </w:r>
          </w:p>
          <w:p w:rsidR="001B1F77" w:rsidRPr="00661595" w:rsidRDefault="001B1F77" w:rsidP="00487A02">
            <w:pPr>
              <w:pStyle w:val="InstructionsText"/>
            </w:pPr>
            <w:r>
              <w:t>Nem tüntethetők fel ebben a sorban azok a származtatott ügyletek és hosszú kiegyenlítési idejű ügyletek, amelyek termékkategóriák közötti nettósításról szóló szerződéses megállapodásból származó nettósítási halmazok részét képezik, és ennélfogva a 0130. sorban szerepelnek.</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Ebből: minősített központi szerződő félen keresztül központilag elszámolt</w:t>
            </w:r>
          </w:p>
          <w:p w:rsidR="00E86B98" w:rsidRPr="00661595" w:rsidRDefault="00E86B98" w:rsidP="00487A02">
            <w:pPr>
              <w:pStyle w:val="InstructionsText"/>
            </w:pPr>
            <w:r>
              <w:t>Lásd a 0100-as sorra vonatkozó útmutatót.</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Eltérő termékkategóriák közötti nettósításról szóló szerződéses megállapodásból származó nettósítási halmazok</w:t>
            </w:r>
          </w:p>
          <w:p w:rsidR="00E86B98" w:rsidRPr="00661595" w:rsidRDefault="00E86B98" w:rsidP="00487A02">
            <w:pPr>
              <w:pStyle w:val="InstructionsText"/>
            </w:pPr>
            <w:r>
              <w:t>Különböző termékkategóriákhoz sorolt ügyleteket, úgy mint származtatott ügyleteket és értékpapír-finanszírozási ügyleteket tartalmazó azon nettósítási halmazok (a CRR 272. cikkének 11. pontja), amelyekre a CRR 272. cikkének 25. pontjában meghatározott eltérő termékkategóriák közötti nettósításról szóló szerződéses megállapodás vonatkozik.</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KITETTSÉGEK KOCKÁZATI SÚLY SZERINTI BONTÁSA</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lastRenderedPageBreak/>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A CRR 306. cikkének (1) bekezdése</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A CRR 305. cikkének (3) bekezdése</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A CRR 232. cikke (3) bekezdésének c) pontja</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A CRR 133. cikkének (2) bekezdése, valamint 48. cikkének (4) bekezdése</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A CRR 471. cikke</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A CRR 133. cikkének (2) bekezdése és 379. cikke</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kockázati súlyok</w:t>
            </w:r>
          </w:p>
          <w:p w:rsidR="001B1F77" w:rsidRPr="00661595" w:rsidRDefault="001B1F77" w:rsidP="00487A02">
            <w:pPr>
              <w:pStyle w:val="InstructionsText"/>
            </w:pPr>
            <w:r>
              <w:t>Ez a sor a „kormányzat”, „vállalkozások”, „intézmények” és „lakosság” kitettségi osztályok esetében nem tölthető ki.</w:t>
            </w:r>
          </w:p>
          <w:p w:rsidR="001B1F77" w:rsidRPr="00661595" w:rsidRDefault="001B1F77" w:rsidP="00487A02">
            <w:pPr>
              <w:pStyle w:val="InstructionsText"/>
            </w:pPr>
          </w:p>
          <w:p w:rsidR="001B1F77" w:rsidRPr="00661595" w:rsidRDefault="001B1F77" w:rsidP="00487A02">
            <w:pPr>
              <w:pStyle w:val="InstructionsText"/>
            </w:pPr>
            <w:r>
              <w:t>Itt olyan kitettségek adhatók meg, amelyekre nem vonatkoznak a táblán felsorolt kockázati súlyok.</w:t>
            </w:r>
          </w:p>
          <w:p w:rsidR="001B1F77" w:rsidRPr="00661595" w:rsidRDefault="001B1F77" w:rsidP="00487A02">
            <w:pPr>
              <w:pStyle w:val="InstructionsText"/>
            </w:pPr>
            <w:r>
              <w:t xml:space="preserve">A CRR 113. cikkének (1)–(5) bekezdése </w:t>
            </w:r>
          </w:p>
          <w:p w:rsidR="001B1F77" w:rsidRPr="00661595" w:rsidRDefault="001B1F77" w:rsidP="00487A02">
            <w:pPr>
              <w:pStyle w:val="InstructionsText"/>
            </w:pPr>
          </w:p>
          <w:p w:rsidR="001B1F77" w:rsidRPr="00661595" w:rsidRDefault="001B1F77" w:rsidP="00487A02">
            <w:pPr>
              <w:pStyle w:val="InstructionsText"/>
            </w:pPr>
            <w:r>
              <w:t>A nem minősített, a sztenderd módszer szerinti n-edik nemteljesítéskor lehívható hitelderivatívákat (a CRR 134. cikkének (6) bekezdése) ebben a sorban az „egyéb tételek” kitettségi osztályban kell feltüntetni.</w:t>
            </w:r>
          </w:p>
          <w:p w:rsidR="001B1F77" w:rsidRPr="00661595" w:rsidRDefault="001B1F77" w:rsidP="00487A02">
            <w:pPr>
              <w:pStyle w:val="InstructionsText"/>
            </w:pPr>
            <w:r>
              <w:t xml:space="preserve">A CRR 124. cikkének (2) bekezdése, valamint 152. cikke (2) bekezdésének b) pontja </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KITETTSÉG MÓDSZER SZERINTI BONTÁSA (KBF)</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Ezeket a sorok esetében a CRR 132., 132a., 132b. és 132c. cikkével összhangban csak a kollektív befektetési formák (KBF) kitettségi osztálya tekintetében kell adatot szolgáltatni.</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Az áttekintés elve</w:t>
            </w:r>
          </w:p>
          <w:p w:rsidR="00E86B98" w:rsidRPr="00661595" w:rsidRDefault="00E86B98" w:rsidP="00487A02">
            <w:pPr>
              <w:pStyle w:val="InstructionsText"/>
              <w:rPr>
                <w:rStyle w:val="InstructionsTabelleberschrift"/>
                <w:rFonts w:ascii="Times New Roman" w:hAnsi="Times New Roman"/>
                <w:sz w:val="24"/>
              </w:rPr>
            </w:pPr>
            <w:r>
              <w:t>A CRR 132a. cikkének (1) bekezdése</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 megbízatáson alapuló módszer</w:t>
            </w:r>
          </w:p>
          <w:p w:rsidR="00E86B98" w:rsidRPr="00661595" w:rsidRDefault="00E86B98" w:rsidP="00487A02">
            <w:pPr>
              <w:pStyle w:val="InstructionsText"/>
              <w:rPr>
                <w:rStyle w:val="InstructionsTabelleberschrift"/>
                <w:rFonts w:ascii="Times New Roman" w:hAnsi="Times New Roman"/>
                <w:sz w:val="24"/>
              </w:rPr>
            </w:pPr>
            <w:r>
              <w:t>A CRR 132a. cikkének (2) bekezdése</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Tartalékmódszer (Fall-back approach)</w:t>
            </w:r>
          </w:p>
          <w:p w:rsidR="00E86B98" w:rsidRPr="00661595" w:rsidRDefault="00E86B98" w:rsidP="00487A02">
            <w:pPr>
              <w:pStyle w:val="InstructionsText"/>
              <w:rPr>
                <w:rStyle w:val="InstructionsTabelleberschrift"/>
                <w:rFonts w:ascii="Times New Roman" w:hAnsi="Times New Roman"/>
                <w:sz w:val="24"/>
              </w:rPr>
            </w:pPr>
            <w:r>
              <w:t>A CRR 132. cikkének (2) bekezdése</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Tájékoztató adatok</w:t>
            </w:r>
          </w:p>
          <w:p w:rsidR="00E86B98" w:rsidRPr="00661595" w:rsidRDefault="00E86B98" w:rsidP="00487A02">
            <w:pPr>
              <w:pStyle w:val="InstructionsText"/>
              <w:rPr>
                <w:b/>
                <w:u w:val="single"/>
              </w:rPr>
            </w:pPr>
            <w:r>
              <w:t>A 0290–0320. sorok tekintetében lásd még a tájékoztató adatok céljának ismertetését a CR SA általános szakaszában.</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Kereskedelmi ingatlanra bejegyzett zálogjoggal fedezett kitettségek</w:t>
            </w:r>
          </w:p>
          <w:p w:rsidR="00E86B98" w:rsidRPr="00661595" w:rsidRDefault="00E86B98" w:rsidP="00487A02">
            <w:pPr>
              <w:pStyle w:val="InstructionsText"/>
            </w:pPr>
            <w:r>
              <w:t>A CRR 112. cikkének i) pontja</w:t>
            </w:r>
          </w:p>
          <w:p w:rsidR="00E86B98" w:rsidRPr="00661595" w:rsidRDefault="00E86B98" w:rsidP="00487A02">
            <w:pPr>
              <w:pStyle w:val="InstructionsText"/>
            </w:pPr>
            <w:r>
              <w:t>Kizárólag tájékoztató adat. A CRR 124. és 126. cikkében említetteknek megfelelően kereskedelmi ingatlannal fedezett kitettséghez kapcsolódó kockázati kitettségértékek számításától függetlenül a kitettségeket ebben a sorban kell megbontani és feltüntetni, ha azokra kereskedelmi ingatlan nyújt fedezetet.</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100 %-os kockázati súlyú nemteljesítő kitettségek</w:t>
            </w:r>
          </w:p>
          <w:p w:rsidR="00E86B98" w:rsidRPr="00661595" w:rsidRDefault="00E86B98" w:rsidP="00487A02">
            <w:pPr>
              <w:pStyle w:val="InstructionsText"/>
            </w:pPr>
            <w:r>
              <w:t>A CRR 112. cikkének j) pontja</w:t>
            </w:r>
          </w:p>
          <w:p w:rsidR="00E86B98" w:rsidRPr="00661595" w:rsidRDefault="00E86B98" w:rsidP="00487A02">
            <w:pPr>
              <w:pStyle w:val="InstructionsText"/>
            </w:pPr>
            <w:r>
              <w:t>A „nemteljesítő kitettségek” kitettségi osztályba sorolt kitettségek, amelyeket teljesítésük esetén ebbe a kitettségi osztályba kellene sorolni.</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Lakóingatlanra bejegyzett jelzáloggal fedezett kitettségek </w:t>
            </w:r>
          </w:p>
          <w:p w:rsidR="00E86B98" w:rsidRPr="00661595" w:rsidRDefault="00E86B98" w:rsidP="00487A02">
            <w:pPr>
              <w:pStyle w:val="InstructionsText"/>
            </w:pPr>
            <w:r>
              <w:t>A CRR 112. cikkének i) pontja</w:t>
            </w:r>
          </w:p>
          <w:p w:rsidR="00E86B98" w:rsidRPr="00661595" w:rsidRDefault="00E86B98" w:rsidP="00487A02">
            <w:pPr>
              <w:pStyle w:val="InstructionsText"/>
              <w:rPr>
                <w:b/>
                <w:u w:val="single"/>
              </w:rPr>
            </w:pPr>
            <w:r>
              <w:t>Kizárólag tájékoztató adat. A CRR 124. és 125. cikkének megfelelően lakóingatlannal fedezett kitettséghez kapcsolódó kockázati kitettségértékek számításától függetlenül a kitettségeket ebben a sorban kell megbontani és feltüntetni, ha azokra ingatlan nyújt fedezetet.</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150 %-os kockázati súlyú nemteljesítő kitettségek </w:t>
            </w:r>
          </w:p>
          <w:p w:rsidR="00E86B98" w:rsidRPr="00661595" w:rsidRDefault="00E86B98" w:rsidP="00487A02">
            <w:pPr>
              <w:pStyle w:val="InstructionsText"/>
            </w:pPr>
            <w:r>
              <w:t>A CRR 112. cikkének j) pontja</w:t>
            </w:r>
          </w:p>
          <w:p w:rsidR="00E86B98" w:rsidRPr="00661595" w:rsidRDefault="00E86B98" w:rsidP="00487A02">
            <w:pPr>
              <w:pStyle w:val="InstructionsText"/>
            </w:pPr>
            <w:r>
              <w:t>A „nemteljesítő kitettségek” kitettségi osztályba sorolt kitettségek, amelyeket teljesítésük esetén ebbe a kitettségi osztályba kellene sorolni.</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7" w:name="_Toc473560906"/>
      <w:bookmarkStart w:id="218" w:name="_Toc58858601"/>
      <w:r>
        <w:rPr>
          <w:rFonts w:ascii="Times New Roman" w:hAnsi="Times New Roman"/>
          <w:sz w:val="24"/>
          <w:u w:val="none"/>
        </w:rPr>
        <w:lastRenderedPageBreak/>
        <w:t>3.3.</w:t>
      </w:r>
      <w:r w:rsidRPr="00110B3D">
        <w:rPr>
          <w:u w:val="none"/>
        </w:rPr>
        <w:tab/>
      </w:r>
      <w:r>
        <w:rPr>
          <w:rFonts w:ascii="Times New Roman" w:hAnsi="Times New Roman"/>
          <w:sz w:val="24"/>
        </w:rPr>
        <w:t xml:space="preserve">Hitelkockázat, partnerkockázat és nyitva szállítások: </w:t>
      </w:r>
      <w:bookmarkStart w:id="219" w:name="_Toc360188357"/>
      <w:r>
        <w:rPr>
          <w:rFonts w:ascii="Times New Roman" w:hAnsi="Times New Roman"/>
          <w:sz w:val="24"/>
        </w:rPr>
        <w:t>az IRB módszer szerinti szavatolótőke-követelmény</w:t>
      </w:r>
      <w:bookmarkEnd w:id="219"/>
      <w:r>
        <w:rPr>
          <w:rFonts w:ascii="Times New Roman" w:hAnsi="Times New Roman"/>
          <w:sz w:val="24"/>
        </w:rPr>
        <w:t xml:space="preserve"> (CR IRB)</w:t>
      </w:r>
      <w:bookmarkEnd w:id="217"/>
      <w:bookmarkEnd w:id="218"/>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0" w:name="_Toc360188358"/>
      <w:bookmarkStart w:id="221" w:name="_Toc473560907"/>
      <w:bookmarkStart w:id="222" w:name="_Toc58858602"/>
      <w:r>
        <w:rPr>
          <w:rFonts w:ascii="Times New Roman" w:hAnsi="Times New Roman"/>
          <w:sz w:val="24"/>
          <w:u w:val="none"/>
        </w:rPr>
        <w:t>3.3.1.</w:t>
      </w:r>
      <w:r w:rsidRPr="00110B3D">
        <w:rPr>
          <w:u w:val="none"/>
        </w:rPr>
        <w:tab/>
      </w:r>
      <w:r>
        <w:rPr>
          <w:rFonts w:ascii="Times New Roman" w:hAnsi="Times New Roman"/>
          <w:sz w:val="24"/>
        </w:rPr>
        <w:t>A CR IRB tábla alkalmazási köre</w:t>
      </w:r>
      <w:bookmarkEnd w:id="220"/>
      <w:bookmarkEnd w:id="221"/>
      <w:bookmarkEnd w:id="222"/>
    </w:p>
    <w:p w:rsidR="001C7AB7" w:rsidRPr="00661595" w:rsidRDefault="0055388B" w:rsidP="00487A02">
      <w:pPr>
        <w:pStyle w:val="InstructionsText2"/>
        <w:numPr>
          <w:ilvl w:val="0"/>
          <w:numId w:val="0"/>
        </w:numPr>
        <w:ind w:left="1353" w:hanging="360"/>
      </w:pPr>
      <w:fldSimple w:instr=" seq paragraphs ">
        <w:r w:rsidR="00D11E4C">
          <w:rPr>
            <w:noProof/>
          </w:rPr>
          <w:t>72</w:t>
        </w:r>
      </w:fldSimple>
      <w:r w:rsidR="00D11E4C">
        <w:t>.</w:t>
      </w:r>
      <w:r w:rsidR="00D11E4C">
        <w:tab/>
        <w:t>A CR IRB tábla a következőkre alkalmazandó:</w:t>
      </w:r>
    </w:p>
    <w:p w:rsidR="001C7AB7" w:rsidRPr="00661595" w:rsidRDefault="00125707" w:rsidP="00487A02">
      <w:pPr>
        <w:pStyle w:val="InstructionsText2"/>
        <w:numPr>
          <w:ilvl w:val="0"/>
          <w:numId w:val="0"/>
        </w:numPr>
        <w:ind w:left="1353" w:hanging="360"/>
      </w:pPr>
      <w:r>
        <w:t>i.</w:t>
      </w:r>
      <w:r>
        <w:tab/>
        <w:t>banki könyvben nyilvántartott hitelkockázat, ezen belül:</w:t>
      </w:r>
    </w:p>
    <w:p w:rsidR="001C7AB7" w:rsidRPr="00661595" w:rsidRDefault="001C7AB7" w:rsidP="00487A02">
      <w:pPr>
        <w:pStyle w:val="InstructionsText2"/>
        <w:numPr>
          <w:ilvl w:val="0"/>
          <w:numId w:val="49"/>
        </w:numPr>
      </w:pPr>
      <w:r>
        <w:t>banki könyvben nyilvántartott partnerkockázat;</w:t>
      </w:r>
    </w:p>
    <w:p w:rsidR="001C7AB7" w:rsidRPr="00661595" w:rsidRDefault="001C7AB7" w:rsidP="00487A02">
      <w:pPr>
        <w:pStyle w:val="InstructionsText2"/>
        <w:numPr>
          <w:ilvl w:val="0"/>
          <w:numId w:val="49"/>
        </w:numPr>
      </w:pPr>
      <w:r>
        <w:t>vásárolt követelések felhígulási kockázata;</w:t>
      </w:r>
    </w:p>
    <w:p w:rsidR="001C7AB7" w:rsidRPr="00661595" w:rsidRDefault="00125707" w:rsidP="00487A02">
      <w:pPr>
        <w:pStyle w:val="InstructionsText2"/>
        <w:numPr>
          <w:ilvl w:val="0"/>
          <w:numId w:val="0"/>
        </w:numPr>
        <w:ind w:left="1353" w:hanging="360"/>
      </w:pPr>
      <w:r>
        <w:t>ii.</w:t>
      </w:r>
      <w:r>
        <w:tab/>
        <w:t>kereskedési könyvben nyilvántartott partnerkockázat;</w:t>
      </w:r>
    </w:p>
    <w:p w:rsidR="001C7AB7" w:rsidRPr="00661595" w:rsidRDefault="00125707" w:rsidP="00487A02">
      <w:pPr>
        <w:pStyle w:val="InstructionsText2"/>
        <w:numPr>
          <w:ilvl w:val="0"/>
          <w:numId w:val="0"/>
        </w:numPr>
        <w:ind w:left="1353" w:hanging="360"/>
      </w:pPr>
      <w:r>
        <w:t>iii.</w:t>
      </w:r>
      <w:r>
        <w:tab/>
        <w:t>az összes üzleti tevékenységből származó nyitva szállítások.</w:t>
      </w:r>
    </w:p>
    <w:p w:rsidR="001C7AB7" w:rsidRPr="00661595" w:rsidRDefault="0055388B" w:rsidP="00487A02">
      <w:pPr>
        <w:pStyle w:val="InstructionsText2"/>
        <w:numPr>
          <w:ilvl w:val="0"/>
          <w:numId w:val="0"/>
        </w:numPr>
        <w:ind w:left="1353" w:hanging="360"/>
      </w:pPr>
      <w:fldSimple w:instr=" seq paragraphs ">
        <w:r w:rsidR="00D11E4C">
          <w:rPr>
            <w:noProof/>
          </w:rPr>
          <w:t>73</w:t>
        </w:r>
      </w:fldSimple>
      <w:r w:rsidR="00D11E4C">
        <w:t>.</w:t>
      </w:r>
      <w:r w:rsidR="00D11E4C">
        <w:tab/>
        <w:t xml:space="preserve">A tábla alkalmazási köre azokra a kitettségekre terjed ki, amelyeknek kockázattal súlyozott kitettségértékét a CRR harmadik része II. címe 3. fejezetének 151–157. cikke CRR alapján (IRB módszerrel) számítják ki. </w:t>
      </w:r>
    </w:p>
    <w:p w:rsidR="001C7AB7" w:rsidRPr="00661595" w:rsidRDefault="0055388B" w:rsidP="00487A02">
      <w:pPr>
        <w:pStyle w:val="InstructionsText2"/>
        <w:numPr>
          <w:ilvl w:val="0"/>
          <w:numId w:val="0"/>
        </w:numPr>
        <w:ind w:left="1353" w:hanging="360"/>
      </w:pPr>
      <w:fldSimple w:instr=" seq paragraphs ">
        <w:r w:rsidR="00D11E4C">
          <w:rPr>
            <w:noProof/>
          </w:rPr>
          <w:t>74</w:t>
        </w:r>
      </w:fldSimple>
      <w:r w:rsidR="00D11E4C">
        <w:t>.</w:t>
      </w:r>
      <w:r w:rsidR="00D11E4C">
        <w:tab/>
        <w:t xml:space="preserve">A CR IRB tábla alkalmazási köre nem terjed ki a következő adatokra: </w:t>
      </w:r>
    </w:p>
    <w:p w:rsidR="001C7AB7" w:rsidRPr="00661595" w:rsidRDefault="00125707" w:rsidP="00487A02">
      <w:pPr>
        <w:pStyle w:val="InstructionsText2"/>
        <w:numPr>
          <w:ilvl w:val="0"/>
          <w:numId w:val="0"/>
        </w:numPr>
        <w:ind w:left="1353" w:hanging="360"/>
      </w:pPr>
      <w:r>
        <w:t>i.</w:t>
      </w:r>
      <w:r>
        <w:tab/>
        <w:t xml:space="preserve">a CR EQU IRB táblán feltüntetett részvényjellegű kitettségek; </w:t>
      </w:r>
    </w:p>
    <w:p w:rsidR="001C7AB7" w:rsidRPr="00661595" w:rsidRDefault="00125707" w:rsidP="00487A02">
      <w:pPr>
        <w:pStyle w:val="InstructionsText2"/>
        <w:numPr>
          <w:ilvl w:val="0"/>
          <w:numId w:val="0"/>
        </w:numPr>
        <w:ind w:left="1353" w:hanging="360"/>
      </w:pPr>
      <w:r>
        <w:t>ii.</w:t>
      </w:r>
      <w:r>
        <w:tab/>
        <w:t>a CR SEC és/vagy a CR SEC Details táblán feltüntetett értékpapírosítási pozíciók;</w:t>
      </w:r>
    </w:p>
    <w:p w:rsidR="001C7AB7" w:rsidRPr="00661595" w:rsidRDefault="00125707" w:rsidP="00487A02">
      <w:pPr>
        <w:pStyle w:val="InstructionsText2"/>
        <w:numPr>
          <w:ilvl w:val="0"/>
          <w:numId w:val="0"/>
        </w:numPr>
        <w:ind w:left="1353" w:hanging="360"/>
      </w:pPr>
      <w:r>
        <w:t>iii.</w:t>
      </w:r>
      <w:r>
        <w:tab/>
        <w:t xml:space="preserve"> A CRR 147. cikke (2) bekezdésének g) pontjában említett egyéb, nem hitelkötelezettséget megtestesítő eszközök. E kitettségi osztály kockázati súlya minden esetben 100 %, kivéve a készpénz-állományt és az azzal egyenértékű készpénztételeket, valamint a lízingelt eszközök maradványértékét a CRR 156. cikke szerint. Az ehhez a kitettségi osztályhoz tartozó, kockázattal súlyozott kitettségértékeket közvetlenül a CA táblán kell feltüntetni;</w:t>
      </w:r>
    </w:p>
    <w:p w:rsidR="001C7AB7" w:rsidRPr="00661595" w:rsidRDefault="00125707" w:rsidP="00487A02">
      <w:pPr>
        <w:pStyle w:val="InstructionsText2"/>
        <w:numPr>
          <w:ilvl w:val="0"/>
          <w:numId w:val="0"/>
        </w:numPr>
        <w:ind w:left="1353" w:hanging="360"/>
      </w:pPr>
      <w:r>
        <w:t>iv.</w:t>
      </w:r>
      <w:r>
        <w:tab/>
        <w:t>a CVA-kockázat tábláján feltüntetett hitelértékelési korrekciós kockázatra;</w:t>
      </w:r>
    </w:p>
    <w:p w:rsidR="001C7AB7" w:rsidRPr="00661595" w:rsidRDefault="001C7AB7" w:rsidP="00487A02">
      <w:pPr>
        <w:pStyle w:val="InstructionsText2"/>
        <w:numPr>
          <w:ilvl w:val="0"/>
          <w:numId w:val="0"/>
        </w:numPr>
        <w:ind w:left="1353" w:hanging="360"/>
      </w:pPr>
      <w:r>
        <w:t xml:space="preserve">A CR IRB táblán nem szükséges az IRB kitettségeket a partner székhelye szerinti földrajzi bontásban megadni. Az így csoportosított adatok a CR GB táblán szerepelnek.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Az i. és a iii. tétel nem vonatkozik a CR IRB 7 táblára.</w:t>
      </w:r>
    </w:p>
    <w:p w:rsidR="001C7AB7" w:rsidRPr="00661595" w:rsidRDefault="0055388B" w:rsidP="00487A02">
      <w:pPr>
        <w:pStyle w:val="InstructionsText2"/>
        <w:numPr>
          <w:ilvl w:val="0"/>
          <w:numId w:val="0"/>
        </w:numPr>
        <w:ind w:left="1353" w:hanging="360"/>
      </w:pPr>
      <w:fldSimple w:instr=" seq paragraphs ">
        <w:r w:rsidR="00D11E4C">
          <w:rPr>
            <w:noProof/>
          </w:rPr>
          <w:t>75</w:t>
        </w:r>
      </w:fldSimple>
      <w:r w:rsidR="00D11E4C">
        <w:t>.</w:t>
      </w:r>
      <w:r w:rsidR="00D11E4C">
        <w:tab/>
        <w:t>Annak egyértelművé tétele érdekében, hogy az intézmény az LGD és/vagy a hitel-egyenértékesítési tényezők értékét saját becsléssel állapítja-e meg, az adatszolgáltatásban szereplő minden kitettségi osztályra vonatkozóan meg kell adni az alábbi információkat:</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NEM = az LGD és a hitel-egyenértékesítési tényezők felügyeleti becslése esetén (IRB alapmódszer);</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lastRenderedPageBreak/>
        <w:t>IGEN = az LGD és a hitel-egyenértékesítési tényezők saját becslése esetén (fejlett IRB módszer). Ez minden lakossági portfóliót magában foglal.</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Ha egy intézmény az IRB kitettségek egy részére vonatkozó </w:t>
      </w:r>
      <w:r>
        <w:rPr>
          <w:rStyle w:val="InstructionsTabelleText"/>
          <w:rFonts w:ascii="Times New Roman" w:hAnsi="Times New Roman"/>
          <w:sz w:val="24"/>
        </w:rPr>
        <w:t>kockázattal súlyozott kitettségértékeket</w:t>
      </w:r>
      <w:r>
        <w:rPr>
          <w:rFonts w:ascii="Times New Roman" w:hAnsi="Times New Roman"/>
          <w:sz w:val="24"/>
        </w:rPr>
        <w:t xml:space="preserve"> saját LGD-értékek alapján, az IRB kitettségek fennmaradó részére vonatkozó </w:t>
      </w:r>
      <w:r>
        <w:rPr>
          <w:rStyle w:val="InstructionsTabelleText"/>
          <w:rFonts w:ascii="Times New Roman" w:hAnsi="Times New Roman"/>
          <w:sz w:val="24"/>
        </w:rPr>
        <w:t>kockázattal súlyozott kitettségértékeket</w:t>
      </w:r>
      <w:r>
        <w:rPr>
          <w:rFonts w:ascii="Times New Roman" w:hAnsi="Times New Roman"/>
          <w:sz w:val="24"/>
        </w:rPr>
        <w:t xml:space="preserve"> pedig felügyeleti LGD-értékek alapján számítja ki, akkor egy CR IRB Összesen táblát kell jelenteni az F-IRB pozíciókra és egy külön CR IRB Összesen táblát az A-IRB pozíciókra vonatkozóan.</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858603"/>
      <w:r>
        <w:rPr>
          <w:rFonts w:ascii="Times New Roman" w:hAnsi="Times New Roman"/>
          <w:sz w:val="24"/>
          <w:u w:val="none"/>
        </w:rPr>
        <w:t>3.3.2</w:t>
      </w:r>
      <w:r w:rsidRPr="00110B3D">
        <w:rPr>
          <w:rFonts w:ascii="Times New Roman" w:hAnsi="Times New Roman"/>
          <w:sz w:val="24"/>
          <w:u w:val="none"/>
        </w:rPr>
        <w:t>.</w:t>
      </w:r>
      <w:r w:rsidRPr="00110B3D">
        <w:rPr>
          <w:u w:val="none"/>
        </w:rPr>
        <w:tab/>
      </w:r>
      <w:r>
        <w:rPr>
          <w:rFonts w:ascii="Times New Roman" w:hAnsi="Times New Roman"/>
          <w:sz w:val="24"/>
        </w:rPr>
        <w:t>A CR IRB táblacsoport felosztása</w:t>
      </w:r>
      <w:bookmarkEnd w:id="223"/>
      <w:bookmarkEnd w:id="224"/>
      <w:bookmarkEnd w:id="225"/>
      <w:bookmarkEnd w:id="226"/>
      <w:bookmarkEnd w:id="227"/>
      <w:bookmarkEnd w:id="228"/>
      <w:bookmarkEnd w:id="229"/>
      <w:bookmarkEnd w:id="230"/>
    </w:p>
    <w:p w:rsidR="001C7AB7" w:rsidRPr="00661595" w:rsidRDefault="0055388B" w:rsidP="00487A02">
      <w:pPr>
        <w:pStyle w:val="InstructionsText2"/>
        <w:numPr>
          <w:ilvl w:val="0"/>
          <w:numId w:val="0"/>
        </w:numPr>
        <w:ind w:left="1353" w:hanging="360"/>
      </w:pPr>
      <w:fldSimple w:instr=" seq paragraphs ">
        <w:r w:rsidR="00D11E4C">
          <w:rPr>
            <w:noProof/>
          </w:rPr>
          <w:t>76</w:t>
        </w:r>
      </w:fldSimple>
      <w:r w:rsidR="00D11E4C">
        <w:t>.</w:t>
      </w:r>
      <w:r w:rsidR="00D11E4C">
        <w:tab/>
        <w:t>A CR IRB táblacsoport hét táblából áll. A CR IRB 1 általános áttekintést nyújt az IRB-kitettségekről és a kockázattal súlyozott kitettségértékek különböző számítási módszereiről, továbbá kitettségtípusok szerint csoportosítja a teljes kitettségállományt. A CR IRB 2 a teljes kitettségállományt ügyfélkategóriák vagy -halmazok (pool) szerinti bontásban mutatja be ( a CR IRB 1 0070 sorában feltüntetett kitettségek). A CR IRB 3 mutatja be az IRB-modellek hitelkockázati tőkekövetelményének kiszámításához használt összes releváns paramétert. A CR IRB 4 az IRB módszer szerint meghatározott, kockázattal súlyozott hitelkockázati kitettségértékek változásait magyarázó kimutatást tartalmaz. A CR IRB 5 a jelentett modellekre vonatkozóan a PD-k utótesztelésének eredményeiről nyújt információt. A CR IRB 6 tartalmazza a slotting módszer szerinti speciális hitelezési kitettségek esetében a hitelkockázati tőkekövetelmények kiszámításához használt releváns paramétereket. A CR IRB 7 áttekintést nyújt a sztenderd módszer vagy az IRB módszer hatálya alá tartozó kitettségérték százalékos arányáról minden egyes releváns kitettségi osztály tekintetében. Az alábbi kitettségi osztályokra és alosztályokra vonatkozóan a CR IRB 1, CR IRB 2, CR IRB 3 és CR IRB 5 táblán külön kell adatot szolgáltatni:</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Összesen</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(Az Összesen táblát külön ki kell tölteni az IRB alapmódszer és a fejlett IRB módszer szerint is)</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Központi kormányzatok és központi bankok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 CRR 147. cikke (2) bekezdésének a) pontja)</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Intézmények</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 CRR 147. cikke (2) bekezdésének b) pontja)</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Vállalkozások – kkv</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 CRR 147. cikke (2) bekezdésének c) pontja) Az ebbe az alkategóriába történő besorolás céljából az adatot szolgáltató jogalanyok a kkv-nak a belső kockázatkezelési folyamatokban alkalmazott belső fogalommeghatározását kötelesek használni.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Vállalkozások – speciális hitelezés</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 CRR 147. cikkének (8) bekezdése)</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Vállalkozások – egyéb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 CRR 147. cikke (2) bekezdésének c) pontjában említett, a 4.1. és 4.2. pontban nem szereplő vállalkozásokkal szembeni kitettségek)</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Lakosság – ingatlannal fedezett (kkv)</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(Lakossággal szembeni, ingatlannal fedezett kitettségek a CRR 147. cikke (2) bekezdésének d) pontjában említetteknek megfelelően, összefüggésben a CRR 154. cikkének (3) bekezdésével) Az ebbe az alkategóriába történő besorolás </w:t>
      </w:r>
      <w:r>
        <w:rPr>
          <w:rFonts w:ascii="Times New Roman" w:hAnsi="Times New Roman"/>
          <w:sz w:val="24"/>
        </w:rPr>
        <w:lastRenderedPageBreak/>
        <w:t>céljából az adatot szolgáltató jogalanyok a kkv-nak a belső kockázatkezelési folyamatokban alkalmazott belső fogalommeghatározását kötelesek használni.</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Lakosság – ingatlannal fedezett (nem kkv)</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(Lakossággal szembeni, ingatlannal fedezett kitettségek a CRR 147. cikke (2) bekezdésének d) pontjában említetteknek megfelelően, amelyek nem szerepelnek az 5.1. pontban)</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A 5.1. és 5.2. pontban ingatlannal fedezett lakossággal szembeni kitettségnek kell tekinteni minden biztosítékként elismert ingatlannal fedezett, lakossággal szembeni kitettséget, függetlenül a biztosíték értékének a kitettséghez viszonyított arányától vagy a hitel céljától.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Lakosság – a rulírozó állományba beszámítható</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(Lakossággal szembeni kitettségek a CRR 147. cikke (2) bekezdésének d) pontjában említetteknek megfelelően, összefüggésben a CRR 154. cikkének (4) bekezdésével)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Lakosság – egyéb kkv</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(Lakossággal szembeni kitettségek a CRR 147. cikke (2) bekezdésének d) pontjában említetteknek megfelelően, amelyek nem szerepelnek az 5.1. és az 5.3. pontban) Az ebbe az alkategóriába történő besorolás céljából az adatot szolgáltató jogalanyok a kkv-nak a belső kockázatkezelési folyamatokban alkalmazott belső fogalommeghatározását kötelesek használni.</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Lakosság – egyéb nem kkv</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(Lakossággal szembeni kitettségek a CRR 147. cikke (2) bekezdésének d) pontjában említetteknek megfelelően, amelyek nem szerepelnek az 5.2. és az 5.3. pontban)</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1" w:name="_Toc473560909"/>
      <w:bookmarkStart w:id="232" w:name="_Toc58858604"/>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Pr>
          <w:rFonts w:ascii="Times New Roman" w:hAnsi="Times New Roman"/>
          <w:sz w:val="24"/>
          <w:u w:val="none"/>
        </w:rPr>
        <w:t>3.3.3.</w:t>
      </w:r>
      <w:r w:rsidRPr="00110B3D">
        <w:rPr>
          <w:u w:val="none"/>
        </w:rPr>
        <w:tab/>
      </w:r>
      <w:r>
        <w:rPr>
          <w:rFonts w:ascii="Times New Roman" w:hAnsi="Times New Roman"/>
          <w:sz w:val="24"/>
        </w:rPr>
        <w:t>C 08.01 – Hitelkockázat, partnerkockázat és nyitva szállítások: IRB módszer szerinti tőkekövetelmény (CR IRB 1)</w:t>
      </w:r>
      <w:bookmarkEnd w:id="231"/>
      <w:bookmarkEnd w:id="232"/>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40" w:name="_Toc473560910"/>
      <w:bookmarkStart w:id="241" w:name="_Toc58858605"/>
      <w:r>
        <w:rPr>
          <w:rFonts w:ascii="Times New Roman" w:hAnsi="Times New Roman"/>
          <w:sz w:val="24"/>
          <w:u w:val="none"/>
        </w:rPr>
        <w:t>3.3.3.1</w:t>
      </w:r>
      <w:r>
        <w:tab/>
      </w:r>
      <w:r>
        <w:rPr>
          <w:rFonts w:ascii="Times New Roman" w:hAnsi="Times New Roman"/>
          <w:sz w:val="24"/>
        </w:rPr>
        <w:t>A tábla egyes részeire vonatkozó útmutató</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Oszlop</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Útmutató</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BELSŐ MINŐSÍTÉSI SKÁLA / AZ ÜGYFÉL-KATEGÓRIÁHOZ VAGY -HALMAZHOZ (POOLHOZ) RENDELT NEMTELJESÍTÉSI VALÓSZÍNŰSÉG (%)</w:t>
            </w:r>
          </w:p>
          <w:p w:rsidR="001C7AB7" w:rsidRPr="00661595" w:rsidRDefault="001C7AB7" w:rsidP="001C7AB7">
            <w:pPr>
              <w:rPr>
                <w:rFonts w:ascii="Times New Roman" w:hAnsi="Times New Roman"/>
                <w:sz w:val="24"/>
              </w:rPr>
            </w:pPr>
            <w:r>
              <w:rPr>
                <w:rStyle w:val="InstructionsTabelleText"/>
                <w:rFonts w:ascii="Times New Roman" w:hAnsi="Times New Roman"/>
                <w:sz w:val="24"/>
              </w:rPr>
              <w:t>Az ügyfél-kategóriához vagy -halmazhoz rendelt, feltüntetendő PD-értéket a CRR 180. cikkében foglalt rendelkezések alapján kell megállapítani. Az egyes ügyfél-kategóriákhoz vagy -halmazokhoz rendelt PD-értéket kell feltüntetni. Az ügyfélkategóriák vagy -halmazok összesítő adataira (pl. a teljes kitettségre) vonatkozóan az összesítésbe beszámított ügyfél-kategóriákhoz vagy -halmazokhoz rendelt PD-értékek kitettséggel súlyozott átlagát kell feltüntetni. A kitettségérték (0110-es oszlop) alapján kell kiszámítani a kitettséggel súlyozott átlagos PD értéket.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Az egyes ügyfél-kategóriákhoz vagy -halmazokhoz rendelt PD-értéket kell feltüntetni. A feltüntetett kockázati paramétereket az adott illetékes hatóság által jóváhagyott belső minősítési skálában alkalmazott kockázati paraméterekből kell származtatni.</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Irányadó felügyeleti skála alkalmazása nem előírás, és nem is szükséges. Ha az adatot szolgáltató intézmény egyedi minősítési skálát alkalmaz, vagy az adatszolgáltatást irányadó belső skála alapján tudja teljesíteni, akkor azt a skálát kell alkalmazni.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Egyébként a különböző minősítési skálákat a következő kritériumok alapján kell összevonni és rangsorolni: a különböző minősítési skálák ügyfél-kategóriáit össze kell vonni, majd az egyes ügyfél-kategóriákhoz rendelt PD-érték alapján növekvő sorrendbe kell állítani. Ha az intézmény nagyszámú ügyfél-kategóriát vagy -halmazt alkalmaz, akkor adatszolgáltatási célból a kategóriák vagy -halmazok csökkentett számáról állapodhat meg az illetékes hatóságokkal. Ugyanez vonatkozik a folyamatos minősítési skálákra: esetükben is meg kell állapodni az illetékes hatóságokkal arról, hogy adatszolgáltatási célból a kategóriák száma csökkenthető.</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Az intézményeknek előzetesen meg kell keresniük az illetékes hatóságot akkor, ha a belső kategóriák számától eltérő számú kategóriában kívánnak adatot szolgáltatni.</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Az utolsó minősítési kategóriát vagy kategóriákat a nemteljesítő kitettségekre kell alkalmazni, melyek PD-értéke 100</w:t>
            </w:r>
            <w:r w:rsidR="00110B3D">
              <w:rPr>
                <w:rStyle w:val="InstructionsTabelleText"/>
                <w:rFonts w:ascii="Times New Roman" w:hAnsi="Times New Roman"/>
                <w:sz w:val="24"/>
              </w:rPr>
              <w:t> </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Az átlagos PD-értéket a 110-es oszlopban feltüntetett kitettségértékkel kell súlyozni. A kitettséggel súlyozott átlagos PD-értéket az adott sorban feltüntetett összes kitettség figyelembevételével kell kiszámítani. Abban a sorban, ahol csak a nemteljesítő kitettségeket kell feltü</w:t>
            </w:r>
            <w:r w:rsidR="00110B3D">
              <w:rPr>
                <w:rStyle w:val="InstructionsTabelleText"/>
                <w:rFonts w:ascii="Times New Roman" w:hAnsi="Times New Roman"/>
                <w:sz w:val="24"/>
              </w:rPr>
              <w:t>ntetni, az átlagos PD-érték 100 </w:t>
            </w:r>
            <w:r>
              <w:rPr>
                <w:rStyle w:val="InstructionsTabelleText"/>
                <w:rFonts w:ascii="Times New Roman" w:hAnsi="Times New Roman"/>
                <w:sz w:val="24"/>
              </w:rPr>
              <w:t>%.</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HITEL-EGYENÉRTÉKESÍTÉSI TÉNYEZŐK ELŐTTI EREDETI KITETTSÉG</w:t>
            </w:r>
          </w:p>
          <w:p w:rsidR="001C7AB7" w:rsidRPr="00661595" w:rsidRDefault="001C7AB7" w:rsidP="001C7AB7">
            <w:pPr>
              <w:rPr>
                <w:rFonts w:ascii="Times New Roman" w:hAnsi="Times New Roman"/>
                <w:sz w:val="24"/>
              </w:rPr>
            </w:pPr>
            <w:r>
              <w:rPr>
                <w:rFonts w:ascii="Times New Roman" w:hAnsi="Times New Roman"/>
                <w:sz w:val="24"/>
              </w:rPr>
              <w:t xml:space="preserve">Az intézményeknek az értékelési korrekciók, céltartalékok, hitelkockázat-mérséklési technikákból eredő hatások és hitel-egyenértékesítési tényezők figyelembevétele előtti kitettségértéket kell feltüntetniük. </w:t>
            </w:r>
          </w:p>
          <w:p w:rsidR="001C7AB7" w:rsidRPr="00661595" w:rsidRDefault="001C7AB7" w:rsidP="001C7AB7">
            <w:pPr>
              <w:rPr>
                <w:rFonts w:ascii="Times New Roman" w:hAnsi="Times New Roman"/>
                <w:sz w:val="24"/>
              </w:rPr>
            </w:pPr>
            <w:r>
              <w:rPr>
                <w:rFonts w:ascii="Times New Roman" w:hAnsi="Times New Roman"/>
                <w:sz w:val="24"/>
              </w:rPr>
              <w:t>Az eredeti kitettségértéket a CRR 24. cikkével, valamint 166. cikkének (1), (2), (4), (5), (6) és (7) bekezdésével összhangban kell megadni.</w:t>
            </w:r>
          </w:p>
          <w:p w:rsidR="001C7AB7" w:rsidRPr="00661595" w:rsidRDefault="001C7AB7" w:rsidP="001C7AB7">
            <w:pPr>
              <w:rPr>
                <w:rFonts w:ascii="Times New Roman" w:hAnsi="Times New Roman"/>
                <w:sz w:val="24"/>
              </w:rPr>
            </w:pPr>
            <w:r>
              <w:rPr>
                <w:rFonts w:ascii="Times New Roman" w:hAnsi="Times New Roman"/>
                <w:sz w:val="24"/>
              </w:rPr>
              <w:t xml:space="preserve">A CRR 166. cikkének (3) bekezdéséből eredő hatást (mérlegen belüli nettósítás alá eső kölcsönök és betétek hatása) előre rendelkezésre bocsátott hitelkockázati fedezetként külön kell feltüntetni, így az az eredeti kitettséget nem csökkenti. </w:t>
            </w:r>
          </w:p>
          <w:p w:rsidR="001C7AB7" w:rsidRPr="00661595" w:rsidRDefault="006C35BA" w:rsidP="006C35BA">
            <w:pPr>
              <w:rPr>
                <w:rFonts w:ascii="Times New Roman" w:hAnsi="Times New Roman"/>
                <w:sz w:val="24"/>
              </w:rPr>
            </w:pPr>
            <w:r>
              <w:rPr>
                <w:rFonts w:ascii="Times New Roman" w:hAnsi="Times New Roman"/>
                <w:sz w:val="24"/>
              </w:rPr>
              <w:t>A partnerkockázattal érintett származtatott ügyletek, repoügyletek, értékpapír- és áru-kölcsönbeadási, illetve kölcsönvételi ügyletek, hosszú kiegyenlítési idejű ügyletek és értékpapírügylethez kapcsolódó hitelek esetében (a CRR harmadik része II. címének 4. vagy 6. fejezete) az eredeti kitettségérték a partnerkockázati kitettség értéke (lásd a 0130. oszlophoz tartozó útmutatót).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EBBŐL: NAGYMÉRETŰ PÉNZÜGYI ÁGAZATBELI SZERVEZETEK ÉS NEM SZABÁLYOZOTT PÉNZÜGYI ÁGAZATBELI SZERVEZET</w:t>
            </w:r>
          </w:p>
          <w:p w:rsidR="001C7AB7" w:rsidRPr="00661595" w:rsidRDefault="001C7AB7" w:rsidP="002E5096">
            <w:pPr>
              <w:rPr>
                <w:rFonts w:ascii="Times New Roman" w:hAnsi="Times New Roman"/>
                <w:b/>
                <w:sz w:val="24"/>
                <w:u w:val="single"/>
              </w:rPr>
            </w:pPr>
            <w:r>
              <w:rPr>
                <w:rFonts w:ascii="Times New Roman" w:hAnsi="Times New Roman"/>
                <w:sz w:val="24"/>
              </w:rPr>
              <w:t>A hitel-egyenértékesítési tényezők előtti eredeti kitettség felosztása a CRR 142. cikke (1) bekezdésének 4. és 5. pontjában említett szervezetek összes azon kitettségére, amelyre a CRR 153. cikkének (2) bekezdése szerinti magasabb korrelációs együttható alkalmazandó.</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A KITETTSÉGRE HELYETTESÍTÉSI HATÁSSAL JÁRÓ HITELKOCKÁZAT-MÉRSÉKLÉSI (CRM) TECHNIKÁK</w:t>
            </w:r>
          </w:p>
          <w:p w:rsidR="001C7AB7" w:rsidRPr="00661595" w:rsidRDefault="001C7AB7" w:rsidP="001C7AB7">
            <w:pPr>
              <w:rPr>
                <w:rFonts w:ascii="Times New Roman" w:hAnsi="Times New Roman"/>
                <w:sz w:val="24"/>
              </w:rPr>
            </w:pPr>
            <w:r>
              <w:rPr>
                <w:rFonts w:ascii="Times New Roman" w:hAnsi="Times New Roman"/>
                <w:sz w:val="24"/>
              </w:rPr>
              <w:t>A CRR 4. cikke (1) bekezdésének 57. pontjában meghatározott hitelkockázat-mérséklés, amely egy vagy több kitettség hitelkockázatát csökkenti a kitettségeknek az alább „A KITETTSÉG HITELKOCKÁZAT-MÉRSÉKLÉS MIATTI HELYETTESÍTÉSE” részben ismertetett helyettesítésével.</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lastRenderedPageBreak/>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ELŐRE NEM RENDELKEZÉSRE BOCSÁTOTT HITELKOCKÁZATI FEDEZET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Előre nem rendelkezésre bocsátott hitelkockázati fedezet a CRR 4. cikke (1) bekezdésének 59. pontjában meghatározottaknak megfelelően.</w:t>
            </w:r>
          </w:p>
          <w:p w:rsidR="001C7AB7" w:rsidRPr="00661595" w:rsidRDefault="005474CB" w:rsidP="00BD6DB9">
            <w:pPr>
              <w:rPr>
                <w:rFonts w:ascii="Times New Roman" w:hAnsi="Times New Roman"/>
                <w:sz w:val="24"/>
              </w:rPr>
            </w:pPr>
            <w:r>
              <w:rPr>
                <w:rFonts w:ascii="Times New Roman" w:hAnsi="Times New Roman"/>
                <w:sz w:val="24"/>
              </w:rPr>
              <w:t>A kitettséget befolyásoló előre nem rendelkezésre bocsátott hitelkockázati fedezet (pl. ha azt a kitettségre helyettesítési hatással járó hitelkockázat-mérséklési technikákhoz használják fel) értéke legfeljebb a kitettségérték lehet.</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GARANCIÁK:</w:t>
            </w:r>
          </w:p>
          <w:p w:rsidR="001C7AB7" w:rsidRPr="00661595" w:rsidRDefault="001C7AB7" w:rsidP="001C7AB7">
            <w:pPr>
              <w:jc w:val="left"/>
              <w:rPr>
                <w:rFonts w:ascii="Times New Roman" w:hAnsi="Times New Roman"/>
                <w:sz w:val="24"/>
              </w:rPr>
            </w:pPr>
            <w:r>
              <w:rPr>
                <w:rFonts w:ascii="Times New Roman" w:hAnsi="Times New Roman"/>
                <w:sz w:val="24"/>
              </w:rPr>
              <w:t>Ha az intézmény nem alkalmaz saját LGD-becslést: a CRR 236. cikkének (3) bekezdésében meghatározott korrigált értéket (G</w:t>
            </w:r>
            <w:r>
              <w:rPr>
                <w:rFonts w:ascii="Times New Roman" w:hAnsi="Times New Roman"/>
                <w:sz w:val="24"/>
                <w:vertAlign w:val="subscript"/>
              </w:rPr>
              <w:t>A</w:t>
            </w:r>
            <w:r>
              <w:rPr>
                <w:rFonts w:ascii="Times New Roman" w:hAnsi="Times New Roman"/>
                <w:sz w:val="24"/>
              </w:rPr>
              <w:t>) kell megadni.</w:t>
            </w:r>
          </w:p>
          <w:p w:rsidR="001C7AB7" w:rsidRPr="00661595" w:rsidRDefault="001C7AB7" w:rsidP="001C7AB7">
            <w:pPr>
              <w:jc w:val="left"/>
              <w:rPr>
                <w:rFonts w:ascii="Times New Roman" w:hAnsi="Times New Roman"/>
                <w:sz w:val="24"/>
              </w:rPr>
            </w:pPr>
            <w:r>
              <w:rPr>
                <w:rFonts w:ascii="Times New Roman" w:hAnsi="Times New Roman"/>
                <w:sz w:val="24"/>
              </w:rPr>
              <w:t xml:space="preserve">Ha az intézmény saját LGD-becslést alkalmaz a CRR 183. cikkének megfelelően (de e cikk (3) bekezdésének kivételével), akkor a belső modellben használt releváns értéket kell feltüntetni. </w:t>
            </w:r>
          </w:p>
          <w:p w:rsidR="001C7AB7" w:rsidRPr="00661595" w:rsidRDefault="001C7AB7" w:rsidP="001C7AB7">
            <w:pPr>
              <w:jc w:val="left"/>
              <w:rPr>
                <w:rFonts w:ascii="Times New Roman" w:hAnsi="Times New Roman"/>
                <w:sz w:val="24"/>
              </w:rPr>
            </w:pPr>
            <w:r>
              <w:rPr>
                <w:rFonts w:ascii="Times New Roman" w:hAnsi="Times New Roman"/>
                <w:sz w:val="24"/>
              </w:rPr>
              <w:t>A garanciákat a 0040-es oszlopban kell feltüntetni akkor, ha a kiigazítás nem az LGD értékében történik. Ha a kiigazítás az LGD értékében történik, akkor a garancia összegét a 0150-es oszlopban kell feltüntetni.</w:t>
            </w:r>
          </w:p>
          <w:p w:rsidR="00785F3E" w:rsidRPr="00661595" w:rsidRDefault="00785F3E" w:rsidP="001C7AB7">
            <w:pPr>
              <w:jc w:val="left"/>
              <w:rPr>
                <w:rFonts w:ascii="Times New Roman" w:hAnsi="Times New Roman"/>
                <w:sz w:val="24"/>
              </w:rPr>
            </w:pPr>
            <w:r>
              <w:rPr>
                <w:rFonts w:ascii="Times New Roman" w:hAnsi="Times New Roman"/>
                <w:sz w:val="24"/>
              </w:rPr>
              <w:t>Az együttes nemteljesítésre vonatkozó eljárással érintett kitettségekre esetében az előre nem rendelkezésre bocsátott hitelkockázati fedezet értékét a 0220-as oszlopban kell megadni.</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HITELDERIVATÍVÁK:</w:t>
            </w:r>
          </w:p>
          <w:p w:rsidR="001C7AB7" w:rsidRPr="00661595" w:rsidRDefault="001C7AB7" w:rsidP="001C7AB7">
            <w:pPr>
              <w:rPr>
                <w:rFonts w:ascii="Times New Roman" w:hAnsi="Times New Roman"/>
                <w:sz w:val="24"/>
              </w:rPr>
            </w:pPr>
            <w:r>
              <w:rPr>
                <w:rFonts w:ascii="Times New Roman" w:hAnsi="Times New Roman"/>
                <w:sz w:val="24"/>
              </w:rPr>
              <w:t>Ha az intézmény nem alkalmaz saját LGD-becslést: a CRR 236. cikkének (3) bekezdésében meghatározott korrigált értéket (G</w:t>
            </w:r>
            <w:r>
              <w:rPr>
                <w:rFonts w:ascii="Times New Roman" w:hAnsi="Times New Roman"/>
                <w:sz w:val="24"/>
                <w:vertAlign w:val="subscript"/>
              </w:rPr>
              <w:t>A</w:t>
            </w:r>
            <w:r>
              <w:rPr>
                <w:rFonts w:ascii="Times New Roman" w:hAnsi="Times New Roman"/>
                <w:sz w:val="24"/>
              </w:rPr>
              <w:t xml:space="preserve">) kell megadni. </w:t>
            </w:r>
          </w:p>
          <w:p w:rsidR="00785F3E" w:rsidRPr="00661595" w:rsidRDefault="00785F3E" w:rsidP="001C7AB7">
            <w:pPr>
              <w:rPr>
                <w:rFonts w:ascii="Times New Roman" w:hAnsi="Times New Roman"/>
                <w:sz w:val="24"/>
              </w:rPr>
            </w:pPr>
            <w:r>
              <w:rPr>
                <w:rFonts w:ascii="Times New Roman" w:hAnsi="Times New Roman"/>
                <w:sz w:val="24"/>
              </w:rPr>
              <w:t>Ha az intézmény saját LGD-becslést alkalmaz a CRR 183. cikke (3) bekezdésének megfelelően, akkor a belső modellben használt releváns értéket kell feltüntetni.</w:t>
            </w:r>
          </w:p>
          <w:p w:rsidR="001C7AB7" w:rsidRPr="00661595" w:rsidRDefault="001C7AB7" w:rsidP="001C7AB7">
            <w:pPr>
              <w:rPr>
                <w:rFonts w:ascii="Times New Roman" w:hAnsi="Times New Roman"/>
                <w:sz w:val="24"/>
              </w:rPr>
            </w:pPr>
            <w:r>
              <w:rPr>
                <w:rFonts w:ascii="Times New Roman" w:hAnsi="Times New Roman"/>
                <w:sz w:val="24"/>
              </w:rPr>
              <w:t>Ha az LGD értékében kiigazítás történik, akkor a hitelderivatívák összegét a 0160-as oszlopban kell feltüntetni.</w:t>
            </w:r>
          </w:p>
          <w:p w:rsidR="001C7AB7" w:rsidRPr="00661595" w:rsidRDefault="001C7AB7" w:rsidP="00785F3E">
            <w:pPr>
              <w:jc w:val="left"/>
              <w:rPr>
                <w:rFonts w:ascii="Times New Roman" w:hAnsi="Times New Roman"/>
                <w:sz w:val="24"/>
              </w:rPr>
            </w:pPr>
            <w:r>
              <w:rPr>
                <w:rFonts w:ascii="Times New Roman" w:hAnsi="Times New Roman"/>
                <w:sz w:val="24"/>
              </w:rPr>
              <w:t>Az együttes nemteljesítésre vonatkozó eljárással érintett kitettségekre esetében az előre nem rendelkezésre bocsátott hitelkockázati fedezet értékét a 0220-as oszlopban kell megadni.</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EGYÉB ELŐRE RENDELKEZÉSRE BOCSÁTOTT HITELKOCKÁZATI FEDEZET</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A kitettség PD-értékére hatást gyakorló biztosítékot az eredeti kitettség hitel-egyenértékesítési tényezők előtti értékében kell maximálni.</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Ha az intézmény nem alkalmaz saját LGD-becslést, akkor a CRR 232. cikkének (1) bekezdése alkalmazandó.</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Ha az intézmény saját LGD-becslést alkalmaz, akkor a PD-re hatást gyakorló hitelkockázat-mérséklési technikákat kell megadni. A vonatkozó névértéket vagy piaci értéket kell feltüntetni.</w:t>
            </w:r>
          </w:p>
          <w:p w:rsidR="001C7AB7" w:rsidRPr="00661595" w:rsidRDefault="001C7AB7" w:rsidP="00A94F5F">
            <w:pPr>
              <w:rPr>
                <w:rFonts w:ascii="Times New Roman" w:hAnsi="Times New Roman"/>
                <w:sz w:val="24"/>
              </w:rPr>
            </w:pPr>
            <w:r>
              <w:rPr>
                <w:rStyle w:val="InstructionsTabelleText"/>
                <w:rFonts w:ascii="Times New Roman" w:hAnsi="Times New Roman"/>
                <w:sz w:val="24"/>
              </w:rPr>
              <w:lastRenderedPageBreak/>
              <w:t>Ha az LGD értékében kiigazítás történik, akkor az összeget a 170-es oszlopban kell feltüntetni.</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A KITETTSÉG HITELKOCKÁZAT-MÉRSÉKLÉS MIATTI HELYETTESÍTÉSE</w:t>
            </w:r>
          </w:p>
          <w:p w:rsidR="001C7AB7" w:rsidRPr="00661595" w:rsidRDefault="001C7AB7" w:rsidP="001C7AB7">
            <w:pPr>
              <w:rPr>
                <w:rFonts w:ascii="Times New Roman" w:hAnsi="Times New Roman"/>
                <w:sz w:val="24"/>
              </w:rPr>
            </w:pPr>
            <w:r>
              <w:rPr>
                <w:rFonts w:ascii="Times New Roman" w:hAnsi="Times New Roman"/>
                <w:sz w:val="24"/>
              </w:rPr>
              <w:t>A kiáramlások értéke megegyezik a hitel-egyenértékesítési tényezők előtti eredeti kitettség fedezett részével, amelyet a kötelezett kitettségi osztályából, illetve adott esetben ügyfél-kategóriájából vagy -halmazából való levonást követően a garantőr kitettségi osztályába, illetve adott esetben ügyfél-kategóriájába vagy -halmazába kell sorolni. Ezt az összeget a garantőr kitettségi osztályába, illetve adott esetben ügyfél-kategóriájába vagy -halmazába irányuló beáramlásnak kell tekinteni.</w:t>
            </w:r>
          </w:p>
          <w:p w:rsidR="001C7AB7" w:rsidRPr="00661595" w:rsidRDefault="001C7AB7" w:rsidP="001C7AB7">
            <w:pPr>
              <w:rPr>
                <w:rFonts w:ascii="Times New Roman" w:hAnsi="Times New Roman"/>
                <w:b/>
                <w:sz w:val="24"/>
              </w:rPr>
            </w:pPr>
            <w:r>
              <w:rPr>
                <w:rFonts w:ascii="Times New Roman" w:hAnsi="Times New Roman"/>
                <w:sz w:val="24"/>
              </w:rPr>
              <w:t>Az azonos kitettségi osztályba, illetve adott esetben ügyfél-kategóriába vagy -halmazba tartozó be- és kiáramlásokat szintén figyelembe kell venni.</w:t>
            </w:r>
          </w:p>
          <w:p w:rsidR="001C7AB7" w:rsidRPr="00661595" w:rsidRDefault="001C7AB7" w:rsidP="001C7AB7">
            <w:pPr>
              <w:rPr>
                <w:rFonts w:ascii="Times New Roman" w:hAnsi="Times New Roman"/>
                <w:sz w:val="24"/>
              </w:rPr>
            </w:pPr>
            <w:r>
              <w:rPr>
                <w:rFonts w:ascii="Times New Roman" w:hAnsi="Times New Roman"/>
                <w:sz w:val="24"/>
              </w:rPr>
              <w:t>Figyelembe kell venni az egyéb táblákhoz kapcsolódó esetleges ki- és beáramlásokból eredő kitettségeket is.</w:t>
            </w:r>
          </w:p>
          <w:p w:rsidR="006C35BA" w:rsidRPr="00661595" w:rsidRDefault="006C35BA" w:rsidP="009A4399">
            <w:pPr>
              <w:rPr>
                <w:rFonts w:ascii="Times New Roman" w:hAnsi="Times New Roman"/>
                <w:sz w:val="24"/>
              </w:rPr>
            </w:pPr>
            <w:r>
              <w:rPr>
                <w:rFonts w:ascii="Times New Roman" w:hAnsi="Times New Roman"/>
                <w:sz w:val="24"/>
              </w:rPr>
              <w:t>Ezek az oszlopok csak akkor használhatók, ha az intézmények engedélyt kaptak az illetékes hatóságuktól arra, hogy ezeket a fedezett kitettségeket a CRR 150. cikkével összhangban a tartós mentesítés alapján a sztenderd módszerrel kezeljék, vagy hogy a kitettségeket a garantőr jellemzői szerint sorolják be a kitettségi osztályokba.</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HELYETTESÍTÉSI HATÁSSAL JÁRÓ CRM-TECHNIKÁK UTÁNI, A HITEL-EGYENÉRTÉKESÍTÉSI TÉNYEZŐK ELŐTTI KITETTSÉG</w:t>
            </w:r>
          </w:p>
          <w:p w:rsidR="001C7AB7" w:rsidRPr="00661595" w:rsidRDefault="001C7AB7" w:rsidP="001C7AB7">
            <w:pPr>
              <w:rPr>
                <w:rFonts w:ascii="Times New Roman" w:hAnsi="Times New Roman"/>
                <w:sz w:val="24"/>
              </w:rPr>
            </w:pPr>
            <w:r>
              <w:rPr>
                <w:rFonts w:ascii="Times New Roman" w:hAnsi="Times New Roman"/>
                <w:sz w:val="24"/>
              </w:rPr>
              <w:t>A megfelelő ügyfél-kategóriába vagy -halmazba, illetve kitettségi osztályba sorolt kitettségérték a kitettségre helyettesítési hatással járó hitelkockázat-mérséklési technikák miatti ki- és beáramlások figyelembevétele után.</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Ebből: Mérlegen kívüli tételek </w:t>
            </w:r>
          </w:p>
          <w:p w:rsidR="001C7AB7" w:rsidRPr="00661595" w:rsidRDefault="001C7AB7" w:rsidP="001C7AB7">
            <w:pPr>
              <w:rPr>
                <w:rFonts w:ascii="Times New Roman" w:hAnsi="Times New Roman"/>
                <w:sz w:val="24"/>
              </w:rPr>
            </w:pPr>
            <w:r>
              <w:rPr>
                <w:rFonts w:ascii="Times New Roman" w:hAnsi="Times New Roman"/>
                <w:sz w:val="24"/>
              </w:rPr>
              <w:t>Lásd a CR SA táblához tartozó útmutatót.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KITETTSÉGÉRTÉK</w:t>
            </w:r>
          </w:p>
          <w:p w:rsidR="001C7AB7" w:rsidRPr="00661595" w:rsidRDefault="001C7AB7" w:rsidP="001C7AB7">
            <w:pPr>
              <w:rPr>
                <w:rFonts w:ascii="Times New Roman" w:hAnsi="Times New Roman"/>
                <w:sz w:val="24"/>
              </w:rPr>
            </w:pPr>
            <w:r>
              <w:rPr>
                <w:rFonts w:ascii="Times New Roman" w:hAnsi="Times New Roman"/>
                <w:sz w:val="24"/>
              </w:rPr>
              <w:t>A CRR 166. cikkének, valamint 230. cikke (1) bekezdése második mondatának megfelelően meghatározott kitettségértékeket kell feltüntetni.</w:t>
            </w:r>
          </w:p>
          <w:p w:rsidR="001C7AB7" w:rsidRPr="00661595" w:rsidRDefault="001C7AB7" w:rsidP="001C7AB7">
            <w:pPr>
              <w:rPr>
                <w:rFonts w:ascii="Times New Roman" w:hAnsi="Times New Roman"/>
                <w:sz w:val="24"/>
              </w:rPr>
            </w:pPr>
            <w:r>
              <w:rPr>
                <w:rFonts w:ascii="Times New Roman" w:hAnsi="Times New Roman"/>
                <w:sz w:val="24"/>
              </w:rPr>
              <w:t>Az I. mellékletben említett instrumentumok esetében a CRR 166. cikkének (8)–(10) bekezdése szerinti hitel-egyenértékesítési tényezőket és százalékos arányokat kell alkalmazni, függetlenül az intézmény által választott módszertől.</w:t>
            </w:r>
          </w:p>
          <w:p w:rsidR="001C7AB7" w:rsidRPr="00661595" w:rsidRDefault="008D24A6" w:rsidP="00BD6DB9">
            <w:pPr>
              <w:rPr>
                <w:rFonts w:ascii="Times New Roman" w:hAnsi="Times New Roman"/>
                <w:sz w:val="24"/>
              </w:rPr>
            </w:pPr>
            <w:r>
              <w:rPr>
                <w:rFonts w:ascii="Times New Roman" w:hAnsi="Times New Roman"/>
                <w:sz w:val="24"/>
              </w:rPr>
              <w:t>A partnerkockázattal érintett kitettségek értékeinek meg kell egyezniük a 0130. oszlopban megadott értékekkel.</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Ebből: Partnerkockázatból származó </w:t>
            </w:r>
          </w:p>
          <w:p w:rsidR="001C7AB7" w:rsidRPr="00661595" w:rsidRDefault="001C7AB7" w:rsidP="00FD6CCB">
            <w:pPr>
              <w:rPr>
                <w:rFonts w:ascii="Times New Roman" w:hAnsi="Times New Roman"/>
                <w:sz w:val="24"/>
              </w:rPr>
            </w:pPr>
            <w:r>
              <w:rPr>
                <w:rFonts w:ascii="Times New Roman" w:hAnsi="Times New Roman"/>
                <w:sz w:val="24"/>
              </w:rPr>
              <w:t>Lásd a megfelelő CR SA útmutatást a 0210. oszlopban.</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EBBŐL: NAGYMÉRETŰ PÉNZÜGYI ÁGAZATBELI SZERVEZETEK ÉS NEM SZABÁLYOZOTT PÉNZÜGYI ÁGAZATBELI SZERVEZETEK</w:t>
            </w:r>
          </w:p>
          <w:p w:rsidR="001C7AB7" w:rsidRPr="00661595" w:rsidRDefault="001C7AB7" w:rsidP="002E5096">
            <w:pPr>
              <w:rPr>
                <w:rFonts w:ascii="Times New Roman" w:hAnsi="Times New Roman"/>
                <w:b/>
                <w:sz w:val="24"/>
                <w:u w:val="single"/>
              </w:rPr>
            </w:pPr>
            <w:r>
              <w:rPr>
                <w:rFonts w:ascii="Times New Roman" w:hAnsi="Times New Roman"/>
                <w:sz w:val="24"/>
              </w:rPr>
              <w:t>A CRR 142. cikke (1) bekezdésének 4. és 5. pontjában említett szervezetekkel szembeni összes azon kitettség értékének bontása, amelyre a CRR 153. cikkének (2) bekezdése szerinti magasabb korrelációs együttható alkalmazandó.</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lastRenderedPageBreak/>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AZ LGD-BECSLÉSEK SORÁN FIGYELEMBE VETT HITELKOCKÁZAT-MÉRSÉKLÉSI TECHNIKÁK, KIVÉVE AZ EGYÜTTES NEMTELJESÍTÉSRE VONATKOZÓ ELJÁRÁST</w:t>
            </w:r>
          </w:p>
          <w:p w:rsidR="001C7AB7" w:rsidRPr="00661595" w:rsidRDefault="001C7AB7" w:rsidP="001C7AB7">
            <w:pPr>
              <w:rPr>
                <w:rFonts w:ascii="Times New Roman" w:hAnsi="Times New Roman"/>
                <w:sz w:val="24"/>
              </w:rPr>
            </w:pPr>
            <w:r>
              <w:rPr>
                <w:rFonts w:ascii="Times New Roman" w:hAnsi="Times New Roman"/>
                <w:sz w:val="24"/>
              </w:rPr>
              <w:t>Ezekben az oszlopokban nem tüntethetők fel azok a hitelkockázat-mérséklési technikák, amelyek e technikák helyettesítési hatásának alkalmazásából adódóan befolyásolják az LGD-becsléseket.</w:t>
            </w:r>
          </w:p>
          <w:p w:rsidR="001C7AB7" w:rsidRPr="00661595" w:rsidRDefault="00C61FF5" w:rsidP="001C7AB7">
            <w:pPr>
              <w:rPr>
                <w:rFonts w:ascii="Times New Roman" w:hAnsi="Times New Roman"/>
                <w:sz w:val="24"/>
              </w:rPr>
            </w:pPr>
            <w:r>
              <w:rPr>
                <w:rFonts w:ascii="Times New Roman" w:hAnsi="Times New Roman"/>
                <w:sz w:val="24"/>
              </w:rPr>
              <w:t>Ha az intézmény nem alkalmaz saját LGD-becslést: a CRR 228. cikkének (2) bekezdését, 230. cikkének (1) és (2) bekezdését, valamint 231. cikkét kell figyelembe venni.</w:t>
            </w:r>
          </w:p>
          <w:p w:rsidR="001C7AB7" w:rsidRPr="00661595" w:rsidRDefault="00C61FF5" w:rsidP="001C7AB7">
            <w:pPr>
              <w:rPr>
                <w:rFonts w:ascii="Times New Roman" w:hAnsi="Times New Roman"/>
                <w:sz w:val="24"/>
              </w:rPr>
            </w:pPr>
            <w:r>
              <w:rPr>
                <w:rFonts w:ascii="Times New Roman" w:hAnsi="Times New Roman"/>
                <w:sz w:val="24"/>
              </w:rPr>
              <w:t xml:space="preserve">Ha az intézmény saját LGD-becslést alkalmaz: </w:t>
            </w:r>
          </w:p>
          <w:p w:rsidR="001C7AB7" w:rsidRPr="00661595" w:rsidRDefault="001C7AB7" w:rsidP="001C7AB7">
            <w:pPr>
              <w:rPr>
                <w:rFonts w:ascii="Times New Roman" w:hAnsi="Times New Roman"/>
                <w:sz w:val="24"/>
              </w:rPr>
            </w:pPr>
            <w:r>
              <w:rPr>
                <w:rFonts w:ascii="Times New Roman" w:hAnsi="Times New Roman"/>
                <w:sz w:val="24"/>
              </w:rPr>
              <w:t>– Az előre nem rendelkezésre bocsátott hitelkockázati fedezetet illetően a központi kormányzattal, központi bankkal, intézményekkel és vállalkozásokkal szembeni kitettségek esetében a CRR 161. cikkének (3) bekezdését kell figyelembe venni. Lakossággal szembeni kitettségek esetében a CRR 164. cikkének (2) bekezdését kell figyelembe venni.</w:t>
            </w:r>
          </w:p>
          <w:p w:rsidR="001C7AB7" w:rsidRPr="00661595" w:rsidRDefault="001C7AB7" w:rsidP="00255BA9">
            <w:pPr>
              <w:rPr>
                <w:rFonts w:ascii="Times New Roman" w:hAnsi="Times New Roman"/>
                <w:b/>
                <w:sz w:val="24"/>
                <w:u w:val="single"/>
              </w:rPr>
            </w:pPr>
            <w:r>
              <w:rPr>
                <w:rFonts w:ascii="Times New Roman" w:hAnsi="Times New Roman"/>
                <w:sz w:val="24"/>
              </w:rPr>
              <w:t>– Az előre rendelkezésre bocsátott hitelkockázati fedezetet illetően az LGD-becslés során a CRR 181. cikke (1) bekezdésének e) és f) pontjának megfelelően a biztosítékot kell figyelembe venni.</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GARANCIÁK </w:t>
            </w:r>
          </w:p>
          <w:p w:rsidR="001C7AB7" w:rsidRPr="00661595" w:rsidRDefault="001C7AB7" w:rsidP="001C7AB7">
            <w:pPr>
              <w:jc w:val="left"/>
              <w:rPr>
                <w:rFonts w:ascii="Times New Roman" w:hAnsi="Times New Roman"/>
                <w:b/>
                <w:sz w:val="24"/>
                <w:u w:val="single"/>
              </w:rPr>
            </w:pPr>
            <w:r>
              <w:rPr>
                <w:rFonts w:ascii="Times New Roman" w:hAnsi="Times New Roman"/>
                <w:sz w:val="24"/>
              </w:rPr>
              <w:t>Lásd a 0040-es oszlopra vonatkozó útmutatást.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HITELDERIVATÍVÁK </w:t>
            </w:r>
          </w:p>
          <w:p w:rsidR="001C7AB7" w:rsidRPr="00661595" w:rsidRDefault="001C7AB7" w:rsidP="001C7AB7">
            <w:pPr>
              <w:rPr>
                <w:rFonts w:ascii="Times New Roman" w:hAnsi="Times New Roman"/>
                <w:sz w:val="24"/>
              </w:rPr>
            </w:pPr>
            <w:r>
              <w:rPr>
                <w:rFonts w:ascii="Times New Roman" w:hAnsi="Times New Roman"/>
                <w:sz w:val="24"/>
              </w:rPr>
              <w:t>Lásd a 0050-es oszlopra vonatkozó útmutatást.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SAJÁT LGD-BECSLÉS ALKALMAZÁSA: EGYÉB ELŐRE RENDELKEZÉSRE BOCSÁTOTT HITELKOCKÁZATI FEDEZET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Az intézmény belső modelljében alkalmazott vonatkozó érték.</w:t>
            </w:r>
          </w:p>
          <w:p w:rsidR="001C7AB7" w:rsidRPr="00661595" w:rsidRDefault="001C7AB7" w:rsidP="00255BA9">
            <w:pPr>
              <w:rPr>
                <w:rFonts w:ascii="Times New Roman" w:hAnsi="Times New Roman"/>
                <w:sz w:val="24"/>
              </w:rPr>
            </w:pPr>
            <w:r>
              <w:rPr>
                <w:rFonts w:ascii="Times New Roman" w:hAnsi="Times New Roman"/>
                <w:sz w:val="24"/>
              </w:rPr>
              <w:t xml:space="preserve">A CRR 212. cikkében megadott kritériumokat teljesítő hitelkockázat-mérséklő eszközök.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KÉSZPÉNZBETÉT</w:t>
            </w:r>
          </w:p>
          <w:p w:rsidR="00B85B8C" w:rsidRDefault="008D24A6" w:rsidP="008D24A6">
            <w:pPr>
              <w:rPr>
                <w:rFonts w:ascii="Times New Roman" w:hAnsi="Times New Roman"/>
                <w:sz w:val="24"/>
              </w:rPr>
            </w:pPr>
            <w:r>
              <w:rPr>
                <w:rFonts w:ascii="Times New Roman" w:hAnsi="Times New Roman"/>
                <w:sz w:val="24"/>
              </w:rPr>
              <w:t xml:space="preserve">A CRR 200. cikkének a) pontja </w:t>
            </w:r>
          </w:p>
          <w:p w:rsidR="008D24A6" w:rsidRPr="00661595" w:rsidRDefault="008D24A6" w:rsidP="008D24A6">
            <w:pPr>
              <w:rPr>
                <w:rFonts w:ascii="Times New Roman" w:hAnsi="Times New Roman"/>
                <w:b/>
                <w:sz w:val="24"/>
                <w:u w:val="single"/>
              </w:rPr>
            </w:pPr>
            <w:r>
              <w:rPr>
                <w:rFonts w:ascii="Times New Roman" w:hAnsi="Times New Roman"/>
                <w:sz w:val="24"/>
              </w:rPr>
              <w:t>Harmadik fél intézménynél nem letétkezelői megállapodás révén, a hitelnyújtó intézmény zálogjogával terhelten elhelyezett készpénzbetét vagy készpénzjellegű instrumentum. A biztosíték feltüntetett értéke nem haladhatja meg az egyedi kitettség szintjén fennálló kitettség értékét.</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ÉLETBIZTOSÍTÁSI KÖTVÉNYEK</w:t>
            </w:r>
          </w:p>
          <w:p w:rsidR="00B85B8C" w:rsidRDefault="008D24A6" w:rsidP="008D24A6">
            <w:pPr>
              <w:rPr>
                <w:rFonts w:ascii="Times New Roman" w:hAnsi="Times New Roman"/>
                <w:sz w:val="24"/>
              </w:rPr>
            </w:pPr>
            <w:r>
              <w:rPr>
                <w:rFonts w:ascii="Times New Roman" w:hAnsi="Times New Roman"/>
                <w:sz w:val="24"/>
              </w:rPr>
              <w:t xml:space="preserve">A CRR 200. cikkének b) pontja </w:t>
            </w:r>
          </w:p>
          <w:p w:rsidR="008D24A6" w:rsidRPr="00661595" w:rsidRDefault="008D24A6" w:rsidP="008D24A6">
            <w:pPr>
              <w:rPr>
                <w:rFonts w:ascii="Times New Roman" w:hAnsi="Times New Roman"/>
                <w:b/>
                <w:sz w:val="24"/>
                <w:u w:val="single"/>
              </w:rPr>
            </w:pPr>
            <w:r>
              <w:rPr>
                <w:rFonts w:ascii="Times New Roman" w:hAnsi="Times New Roman"/>
                <w:sz w:val="24"/>
              </w:rPr>
              <w:t>A biztosíték feltüntetett értéke nem haladhatja meg az egyedi kitettség szintjén fennálló kitettség értékét.</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HARMADIK FÉL ÁLTAL BIRTOKOLT INSTRUMENTUMOK</w:t>
            </w:r>
          </w:p>
          <w:p w:rsidR="00B85B8C" w:rsidRDefault="008D24A6" w:rsidP="00F66371">
            <w:pPr>
              <w:rPr>
                <w:rFonts w:ascii="Times New Roman" w:hAnsi="Times New Roman"/>
                <w:sz w:val="24"/>
              </w:rPr>
            </w:pPr>
            <w:r>
              <w:rPr>
                <w:rFonts w:ascii="Times New Roman" w:hAnsi="Times New Roman"/>
                <w:sz w:val="24"/>
              </w:rPr>
              <w:t xml:space="preserve">A CRR 200. cikkének c) pontja </w:t>
            </w:r>
          </w:p>
          <w:p w:rsidR="008D24A6" w:rsidRPr="00661595" w:rsidRDefault="008D24A6" w:rsidP="00127FEA">
            <w:pPr>
              <w:rPr>
                <w:rFonts w:ascii="Times New Roman" w:hAnsi="Times New Roman"/>
                <w:b/>
                <w:sz w:val="24"/>
                <w:u w:val="single"/>
              </w:rPr>
            </w:pPr>
            <w:r>
              <w:rPr>
                <w:rFonts w:ascii="Times New Roman" w:hAnsi="Times New Roman"/>
                <w:sz w:val="24"/>
              </w:rPr>
              <w:lastRenderedPageBreak/>
              <w:t>Ez magában foglalja egy harmadik fél intézmény által kibocsátott értékpapírokat, amelyeket felszólításra az adott intézmény visszavásárol. A biztosíték feltüntetett értéke nem haladhatja meg az egyedi kitettség szintjén fennálló kitettség értékét. Ebbe az oszlopba nem tartoznak bele azok a harmadik fél által tartott instrumentumokkal fedezett kitettségek, amelyek esetében az intézmények a CRR 232. cikkének (4) bekezdésével összhangban a CRR 200. cikkének c) pontja szerint elismert, felszólításra visszavásárolt instrumentumokat a kibocsátó intézmény garanciájaként kezelik.</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ELISMERT PÉNZÜGYI BIZTOSÍTÉKOK</w:t>
            </w:r>
          </w:p>
          <w:p w:rsidR="008D24A6" w:rsidRPr="00661595" w:rsidRDefault="008D24A6" w:rsidP="008D24A6">
            <w:pPr>
              <w:rPr>
                <w:rFonts w:ascii="Times New Roman" w:hAnsi="Times New Roman"/>
                <w:sz w:val="24"/>
              </w:rPr>
            </w:pPr>
            <w:r>
              <w:rPr>
                <w:rFonts w:ascii="Times New Roman" w:hAnsi="Times New Roman"/>
                <w:sz w:val="24"/>
              </w:rPr>
              <w:t>Kereskedési könyvben nyilvántartott műveletek esetében a tétel a CRR 299. cikke (2) bekezdésének c)–f) pontja alapján a kereskedési könyvi kitettségekre vonatkozóan elismert pénzügyi instrumentumokat és árukat foglalja magában. A hitelkockázati eseményhez kapcsolt értékpapírokat és mérlegen belüli nettósítási pozíciókat a CRR harmadik része II. címe 4. fejezetének 4. szakasza alapján készpénzbiztosítékként kell kezelni.</w:t>
            </w:r>
          </w:p>
          <w:p w:rsidR="008D24A6" w:rsidRPr="00661595" w:rsidRDefault="008D24A6" w:rsidP="008D24A6">
            <w:pPr>
              <w:rPr>
                <w:rFonts w:ascii="Times New Roman" w:hAnsi="Times New Roman"/>
                <w:sz w:val="24"/>
              </w:rPr>
            </w:pPr>
            <w:r>
              <w:rPr>
                <w:rFonts w:ascii="Times New Roman" w:hAnsi="Times New Roman"/>
                <w:sz w:val="24"/>
              </w:rPr>
              <w:t>Amennyiben az intézmény nem alkalmaz saját LGD-becslést, a CRR 197. cikke szerinti elismert pénzügyi biztosíték esetében a CRR 223. cikkének (2) bekezdése szerinti kiigazított értéket (Cvam) kell feltüntetni.</w:t>
            </w:r>
          </w:p>
          <w:p w:rsidR="008D24A6" w:rsidRPr="00661595" w:rsidRDefault="008D24A6" w:rsidP="008D24A6">
            <w:pPr>
              <w:rPr>
                <w:rFonts w:ascii="Times New Roman" w:hAnsi="Times New Roman"/>
                <w:b/>
                <w:sz w:val="24"/>
                <w:u w:val="single"/>
              </w:rPr>
            </w:pPr>
            <w:r>
              <w:rPr>
                <w:rFonts w:ascii="Times New Roman" w:hAnsi="Times New Roman"/>
                <w:sz w:val="24"/>
              </w:rPr>
              <w:t>Ha az intézmény saját LGD-becslést alkalmaz, az LGD-becslés során a pénzügyi biztosítékot a CRR 181. cikke (1) bekezdésének e) és f) pontja szerint kell figyelembe venni. A feltüntetendő érték a biztosíték becsült piaci értéke.</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EGYÉB ELISMERT BIZTOSÍTÉK</w:t>
            </w:r>
          </w:p>
          <w:p w:rsidR="008D24A6" w:rsidRPr="00661595" w:rsidRDefault="008D24A6" w:rsidP="008D24A6">
            <w:pPr>
              <w:rPr>
                <w:rFonts w:ascii="Times New Roman" w:hAnsi="Times New Roman"/>
                <w:sz w:val="24"/>
              </w:rPr>
            </w:pPr>
            <w:r>
              <w:rPr>
                <w:rFonts w:ascii="Times New Roman" w:hAnsi="Times New Roman"/>
                <w:sz w:val="24"/>
              </w:rPr>
              <w:t>Ha az intézmény nem alkalmaz saját LGD-becslést, az értékeket a CRR 199. cikkének (1)–(8) bekezdése, valamint 229. cikke szerint kell meghatározni.</w:t>
            </w:r>
          </w:p>
          <w:p w:rsidR="008D24A6" w:rsidRPr="00661595" w:rsidRDefault="008D24A6" w:rsidP="008D24A6">
            <w:pPr>
              <w:rPr>
                <w:rFonts w:ascii="Times New Roman" w:hAnsi="Times New Roman"/>
                <w:b/>
                <w:sz w:val="24"/>
                <w:u w:val="single"/>
              </w:rPr>
            </w:pPr>
            <w:r>
              <w:rPr>
                <w:rFonts w:ascii="Times New Roman" w:hAnsi="Times New Roman"/>
                <w:sz w:val="24"/>
              </w:rPr>
              <w:t>Ha az intézmény saját LGD-becslést alkalmaz, az LGD-becslés során az egyéb biztosítékot a CRR 181. cikke (1) bekezdésének e) és f) pontja szerint kell figyelembe venni.</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INGATLAN</w:t>
            </w:r>
          </w:p>
          <w:p w:rsidR="008D24A6" w:rsidRPr="00661595" w:rsidRDefault="008D24A6" w:rsidP="008D24A6">
            <w:pPr>
              <w:spacing w:line="240" w:lineRule="exact"/>
              <w:rPr>
                <w:rFonts w:ascii="Times New Roman" w:hAnsi="Times New Roman"/>
                <w:sz w:val="24"/>
              </w:rPr>
            </w:pPr>
            <w:r>
              <w:rPr>
                <w:rFonts w:ascii="Times New Roman" w:hAnsi="Times New Roman"/>
                <w:sz w:val="24"/>
              </w:rPr>
              <w:t>Ha az intézmény nem alkalmaz saját LGD-becslést, az értékeket a CRR 199. cikkének (2)–(4) bekezdése szerint kell meghatározni és ebben az oszlopban kell feltüntetni. Be kell számítani az ingatlan lízingbe adását is (lásd a CRR 199. cikkének (7) bekezdését). Lásd még a CRR 229. cikkét.</w:t>
            </w:r>
          </w:p>
          <w:p w:rsidR="008D24A6" w:rsidRPr="00661595" w:rsidRDefault="008D24A6" w:rsidP="008D24A6">
            <w:pPr>
              <w:spacing w:line="240" w:lineRule="exact"/>
              <w:rPr>
                <w:rFonts w:ascii="Times New Roman" w:hAnsi="Times New Roman"/>
                <w:sz w:val="24"/>
              </w:rPr>
            </w:pPr>
            <w:r>
              <w:rPr>
                <w:rFonts w:ascii="Times New Roman" w:hAnsi="Times New Roman"/>
                <w:sz w:val="24"/>
              </w:rPr>
              <w:t>Ha az intézmény saját LGD-becslést alkalmaz, akkor a feltüntetendő érték a becsült piaci érték.</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EGYÉB DOLOGI BIZTOSÍTÉKOK</w:t>
            </w:r>
          </w:p>
          <w:p w:rsidR="008D24A6" w:rsidRPr="00661595" w:rsidRDefault="008D24A6" w:rsidP="008D24A6">
            <w:pPr>
              <w:rPr>
                <w:rFonts w:ascii="Times New Roman" w:hAnsi="Times New Roman"/>
                <w:sz w:val="24"/>
              </w:rPr>
            </w:pPr>
            <w:r>
              <w:rPr>
                <w:rFonts w:ascii="Times New Roman" w:hAnsi="Times New Roman"/>
                <w:sz w:val="24"/>
              </w:rPr>
              <w:t xml:space="preserve">Ha az intézmény nem alkalmaz saját LGD-becslést, az értékeket a CRR 199. cikkének (6)–(8) bekezdése szerint kell meghatározni és ebben az oszlopban kell feltüntetni. Be kell számítani az ingatlanon kívüli vagyontárgyak lízingbe adását is (lásd a CRR 199. cikkének (7) bekezdését). Lásd még a CRR 229. cikkének (3) bekezdését. </w:t>
            </w:r>
          </w:p>
          <w:p w:rsidR="008D24A6" w:rsidRPr="00661595" w:rsidRDefault="008D24A6" w:rsidP="008D24A6">
            <w:pPr>
              <w:rPr>
                <w:rFonts w:ascii="Times New Roman" w:hAnsi="Times New Roman"/>
                <w:b/>
                <w:sz w:val="24"/>
                <w:u w:val="single"/>
              </w:rPr>
            </w:pPr>
            <w:r>
              <w:rPr>
                <w:rFonts w:ascii="Times New Roman" w:hAnsi="Times New Roman"/>
                <w:sz w:val="24"/>
              </w:rPr>
              <w:t>Ha az intézmény saját LGD-becslést alkalmaz, akkor a feltüntetendő érték a biztosíték becsült piaci értéke.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KÖVETELÉSEK</w:t>
            </w:r>
          </w:p>
          <w:p w:rsidR="008D24A6" w:rsidRPr="00661595" w:rsidRDefault="008D24A6" w:rsidP="008D24A6">
            <w:pPr>
              <w:rPr>
                <w:rFonts w:ascii="Times New Roman" w:hAnsi="Times New Roman"/>
                <w:sz w:val="24"/>
              </w:rPr>
            </w:pPr>
            <w:r>
              <w:rPr>
                <w:rFonts w:ascii="Times New Roman" w:hAnsi="Times New Roman"/>
                <w:sz w:val="24"/>
              </w:rPr>
              <w:t>Ha az intézmény nem alkalmaz saját LGD-becslést, az értékeket a CRR 199. cikkének (5) bekezdése és 229. cikkének (2) bekezdése szerint kell meghatározni és ebben az oszlopban kell feltüntetni.</w:t>
            </w:r>
          </w:p>
          <w:p w:rsidR="008D24A6" w:rsidRPr="00661595" w:rsidRDefault="008D24A6" w:rsidP="008D24A6">
            <w:pPr>
              <w:rPr>
                <w:rFonts w:ascii="Times New Roman" w:hAnsi="Times New Roman"/>
                <w:b/>
                <w:sz w:val="24"/>
                <w:u w:val="single"/>
              </w:rPr>
            </w:pPr>
            <w:r>
              <w:rPr>
                <w:rFonts w:ascii="Times New Roman" w:hAnsi="Times New Roman"/>
                <w:sz w:val="24"/>
              </w:rPr>
              <w:lastRenderedPageBreak/>
              <w:t>Ha az intézmény saját LGD-becslést alkalmaz, akkor a feltüntetendő érték a biztosíték becsült piaci értéke.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EGYÜTTES NEMTELJESÍTÉSRE VONATKOZÓ ELJÁRÁS: ELŐRE NEM RENDELKEZÉSRE BOCSÁTOTT HITELKOCKÁZATI FEDEZET</w:t>
            </w:r>
          </w:p>
          <w:p w:rsidR="008D24A6" w:rsidRPr="00661595" w:rsidRDefault="008D24A6" w:rsidP="008D24A6">
            <w:pPr>
              <w:rPr>
                <w:rFonts w:ascii="Times New Roman" w:hAnsi="Times New Roman"/>
                <w:sz w:val="24"/>
              </w:rPr>
            </w:pPr>
            <w:r>
              <w:rPr>
                <w:rFonts w:ascii="Times New Roman" w:hAnsi="Times New Roman"/>
                <w:sz w:val="24"/>
              </w:rPr>
              <w:t xml:space="preserve">Az együttes nemteljesítésre vonatkozó eljárással érintett kitettségeket fedező garanciák és hitelderivatívák a CRR 153. cikke (3) bekezdésének megfelelően, valamint a CRR 202. cikkének és 217. cikke (1) bekezdésének figyelembevételével. </w:t>
            </w:r>
          </w:p>
          <w:p w:rsidR="008D24A6" w:rsidRPr="00661595" w:rsidRDefault="008D24A6" w:rsidP="008D24A6">
            <w:pPr>
              <w:rPr>
                <w:rFonts w:ascii="Times New Roman" w:hAnsi="Times New Roman"/>
                <w:b/>
                <w:sz w:val="24"/>
                <w:u w:val="single"/>
              </w:rPr>
            </w:pPr>
            <w:r>
              <w:rPr>
                <w:rFonts w:ascii="Times New Roman" w:hAnsi="Times New Roman"/>
                <w:sz w:val="24"/>
              </w:rPr>
              <w:t xml:space="preserve">A feltüntetendő értékek nem haladhatják meg a megfelelő kitettségek értékét.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KITETTSÉGGEL SÚLYOZOTT ÁTLAGOS LGD (%)</w:t>
            </w:r>
          </w:p>
          <w:p w:rsidR="008D24A6" w:rsidRPr="00661595" w:rsidRDefault="008D24A6" w:rsidP="008D24A6">
            <w:pPr>
              <w:rPr>
                <w:rFonts w:ascii="Times New Roman" w:hAnsi="Times New Roman"/>
                <w:sz w:val="24"/>
              </w:rPr>
            </w:pPr>
            <w:r>
              <w:rPr>
                <w:rFonts w:ascii="Times New Roman" w:hAnsi="Times New Roman"/>
                <w:sz w:val="24"/>
              </w:rPr>
              <w:t>Figyelembe kell venni a hitelkockázat-mérséklési technikáknak az LGD-értékekre gyakorolt, a CRR harmadik része II. címe 3. és 4. fejezetében meghatározott teljes hatását. Az együttes nemteljesítésre vonatkozó eljárással érintett kitettségek esetében a feltüntetendő LGD a CRR 161. cikkének (4) bekezdése alapján kiválasztott LGD-nek felel meg.</w:t>
            </w:r>
          </w:p>
          <w:p w:rsidR="008D24A6" w:rsidRPr="00661595" w:rsidRDefault="008D24A6" w:rsidP="008D24A6">
            <w:pPr>
              <w:rPr>
                <w:rFonts w:ascii="Times New Roman" w:hAnsi="Times New Roman"/>
                <w:sz w:val="24"/>
              </w:rPr>
            </w:pPr>
            <w:r>
              <w:rPr>
                <w:rFonts w:ascii="Times New Roman" w:hAnsi="Times New Roman"/>
                <w:sz w:val="24"/>
              </w:rPr>
              <w:t>Nemteljesítő kitettségek esetében a CRR 181. cikke (1) bekezdésének h) pontját kell figyelembe venni.</w:t>
            </w:r>
          </w:p>
          <w:p w:rsidR="008D24A6" w:rsidRPr="00661595" w:rsidRDefault="008D24A6" w:rsidP="008D24A6">
            <w:pPr>
              <w:rPr>
                <w:rFonts w:ascii="Times New Roman" w:hAnsi="Times New Roman"/>
                <w:sz w:val="24"/>
              </w:rPr>
            </w:pPr>
            <w:r>
              <w:rPr>
                <w:rFonts w:ascii="Times New Roman" w:hAnsi="Times New Roman"/>
                <w:sz w:val="24"/>
              </w:rPr>
              <w:t>A 0110-es oszlopban említett kitettségérték alapján kell kiszámítani a kitettséggel súlyozott átlagokat.</w:t>
            </w:r>
          </w:p>
          <w:p w:rsidR="008D24A6" w:rsidRPr="00661595" w:rsidRDefault="008D24A6" w:rsidP="008D24A6">
            <w:pPr>
              <w:rPr>
                <w:rFonts w:ascii="Times New Roman" w:hAnsi="Times New Roman"/>
                <w:sz w:val="24"/>
              </w:rPr>
            </w:pPr>
            <w:r>
              <w:rPr>
                <w:rFonts w:ascii="Times New Roman" w:hAnsi="Times New Roman"/>
                <w:sz w:val="24"/>
              </w:rPr>
              <w:t>Minden hatást figyelembe kell venni (így a CRR 164. cikkének (4) bekezdésével összhangban az ingatlannal fedezett kitettségekre alkalmazandó alsó korlát hatásait bele kell foglalni az adatszolgáltatásba).</w:t>
            </w:r>
          </w:p>
          <w:p w:rsidR="008D24A6" w:rsidRPr="00661595" w:rsidRDefault="008D24A6" w:rsidP="008D24A6">
            <w:pPr>
              <w:rPr>
                <w:rFonts w:ascii="Times New Roman" w:hAnsi="Times New Roman"/>
                <w:sz w:val="24"/>
              </w:rPr>
            </w:pPr>
            <w:r>
              <w:rPr>
                <w:rFonts w:ascii="Times New Roman" w:hAnsi="Times New Roman"/>
                <w:sz w:val="24"/>
              </w:rPr>
              <w:t>Az IRB módszert alkalmazó, de saját LGD-becslést nem használó intézményeknél a pénzügyi biztosítékok kockázatmérséklő hatásait a kitettség teljes mértékben korrigált értéke (E*) tükrözi, majd azok a CRR 228. cikkének (2) bekezdésében említett LGD*-értékben is megjelennek.</w:t>
            </w:r>
          </w:p>
          <w:p w:rsidR="008D24A6" w:rsidRPr="00661595" w:rsidRDefault="008D24A6" w:rsidP="008D24A6">
            <w:pPr>
              <w:rPr>
                <w:rFonts w:ascii="Times New Roman" w:hAnsi="Times New Roman"/>
                <w:sz w:val="24"/>
              </w:rPr>
            </w:pPr>
            <w:r>
              <w:rPr>
                <w:rFonts w:ascii="Times New Roman" w:hAnsi="Times New Roman"/>
                <w:sz w:val="24"/>
              </w:rPr>
              <w:t>Az egyes PD-ügyfélkategóriákhoz vagy -halmazokhoz tartozó, kitettséggel súlyozott átlagos LGD az adott PD-kategóriához vagy -halmazhoz kapcsolt prudenciális LGD-értékeknek a 0110. oszlop vonatkozó kitettségértékével súlyozott átlaga.</w:t>
            </w:r>
          </w:p>
          <w:p w:rsidR="008D24A6" w:rsidRPr="00661595" w:rsidRDefault="008D24A6" w:rsidP="008D24A6">
            <w:pPr>
              <w:rPr>
                <w:rFonts w:ascii="Times New Roman" w:hAnsi="Times New Roman"/>
                <w:sz w:val="24"/>
              </w:rPr>
            </w:pPr>
            <w:r>
              <w:rPr>
                <w:rFonts w:ascii="Times New Roman" w:hAnsi="Times New Roman"/>
                <w:sz w:val="24"/>
              </w:rPr>
              <w:t>Ha az intézmény saját LGD-becslést alkalmaz, akkor figyelembe kell venni a CRR 175. cikkét, valamint 181. cikkének (1) és (2) bekezdését.</w:t>
            </w:r>
          </w:p>
          <w:p w:rsidR="008D24A6" w:rsidRPr="00661595" w:rsidRDefault="008D24A6" w:rsidP="008D24A6">
            <w:pPr>
              <w:rPr>
                <w:rFonts w:ascii="Times New Roman" w:hAnsi="Times New Roman"/>
                <w:sz w:val="24"/>
              </w:rPr>
            </w:pPr>
            <w:r>
              <w:rPr>
                <w:rFonts w:ascii="Times New Roman" w:hAnsi="Times New Roman"/>
                <w:sz w:val="24"/>
              </w:rPr>
              <w:t>Az együttes nemteljesítésre vonatkozó eljárással érintett kitettségek esetében a feltüntetendő LGD a CRR 161. cikkének (4) bekezdése alapján kiválasztott LGD-nek felel meg.</w:t>
            </w:r>
          </w:p>
          <w:p w:rsidR="008D24A6" w:rsidRPr="00661595" w:rsidRDefault="008D24A6" w:rsidP="008D24A6">
            <w:pPr>
              <w:rPr>
                <w:rFonts w:ascii="Times New Roman" w:hAnsi="Times New Roman"/>
                <w:sz w:val="24"/>
              </w:rPr>
            </w:pPr>
            <w:r>
              <w:rPr>
                <w:rFonts w:ascii="Times New Roman" w:hAnsi="Times New Roman"/>
                <w:sz w:val="24"/>
              </w:rPr>
              <w:t>A kitettséggel súlyozott átlagos LGD-értéket az adott illetékes hatóság által jóváhagyott belső minősítési skálában ténylegesen alkalmazott kockázati paraméterekből kell származtatni.</w:t>
            </w:r>
          </w:p>
          <w:p w:rsidR="008D24A6" w:rsidRPr="00661595" w:rsidRDefault="008D24A6" w:rsidP="008D24A6">
            <w:pPr>
              <w:rPr>
                <w:rFonts w:ascii="Times New Roman" w:hAnsi="Times New Roman"/>
                <w:sz w:val="24"/>
              </w:rPr>
            </w:pPr>
            <w:r>
              <w:rPr>
                <w:rFonts w:ascii="Times New Roman" w:hAnsi="Times New Roman"/>
                <w:sz w:val="24"/>
              </w:rPr>
              <w:t>Az adatszolgáltatás nem terjed ki a CRR 153. cikkének (5) bekezdésében említett speciális hitelezési kitettségekre. Amennyiben a PD-értéket speciális hitelezési kitettségekre becsülik, az adatokat az LGD-kre vonatkozó saját becslések vagy a szabályozói LGD-k alapján kell megadni.</w:t>
            </w:r>
          </w:p>
          <w:p w:rsidR="008D24A6" w:rsidRPr="00661595" w:rsidRDefault="008D24A6" w:rsidP="008D24A6">
            <w:pPr>
              <w:rPr>
                <w:rFonts w:ascii="Times New Roman" w:hAnsi="Times New Roman"/>
                <w:sz w:val="24"/>
              </w:rPr>
            </w:pPr>
            <w:r>
              <w:rPr>
                <w:rFonts w:ascii="Times New Roman" w:hAnsi="Times New Roman"/>
                <w:sz w:val="24"/>
              </w:rPr>
              <w:t xml:space="preserve">A 0230-as oszlop számításakor nem vehetők figyelembe a nagyméretű szabályozott pénzügyi ágazatbeli szervezetek, valamint a nem szabályozott pénzügyi ágazatbeli szervezetek kitettségei és az azokhoz kapcsolódó LGD-értékek, ezek kizárólag a 0240-es oszlop kiszámításánál vehetők figyelembe.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NAGYMÉRETŰ PÉNZÜGYI ÁGAZATBELI SZERVEZETEK ÉS NEM SZABÁLYOZOTT PÉNZÜGYI ÁGAZATBELI SZERVEZETEK KITETTSÉGGEL SÚLYOZOTT ÁTLAGOS LGD-ÉRTÉKE (%)</w:t>
            </w:r>
          </w:p>
          <w:p w:rsidR="008D24A6" w:rsidRPr="00661595" w:rsidRDefault="008D24A6" w:rsidP="002669F8">
            <w:pPr>
              <w:rPr>
                <w:rFonts w:ascii="Times New Roman" w:hAnsi="Times New Roman"/>
                <w:sz w:val="24"/>
              </w:rPr>
            </w:pPr>
            <w:r>
              <w:rPr>
                <w:rFonts w:ascii="Times New Roman" w:hAnsi="Times New Roman"/>
                <w:sz w:val="24"/>
              </w:rPr>
              <w:t>Kitettséggel súlyozott átlagos LGD-érték (%) a CRR 142. cikkének 4. pontjában meghatározott nagyméretű pénzügyi ágazatbeli szervezetekkel, valamint a CRR 142. cikkének 5. pontjában meghatározott nem szabályozott pénzügyi ágazatbeli szervezetekkel szembeni összes azon kitettségre vonatkozóan, amelyre a CRR 153. cikkének (2) bekezdése szerinti magasabb korrelációs együttható alkalmazandó.</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KITETTSÉGGEL SÚLYOZOTT ÁTLAGOS LEJÁRATI ÉRTÉK (NAP)</w:t>
            </w:r>
          </w:p>
          <w:p w:rsidR="008D24A6" w:rsidRPr="00661595" w:rsidRDefault="008D24A6" w:rsidP="008D24A6">
            <w:pPr>
              <w:rPr>
                <w:rFonts w:ascii="Times New Roman" w:hAnsi="Times New Roman"/>
                <w:sz w:val="24"/>
              </w:rPr>
            </w:pPr>
            <w:r>
              <w:rPr>
                <w:rFonts w:ascii="Times New Roman" w:hAnsi="Times New Roman"/>
                <w:sz w:val="24"/>
              </w:rPr>
              <w:t>A feltüntetendő értéket a CRR 162. cikkével összhangban kell meghatározni. A kitettségérték (0110-es oszlop) alapján kell kiszámítani a kitettséggel súlyozott átlagokat. Az átlagos lejáratot napban kell megadni.</w:t>
            </w:r>
          </w:p>
          <w:p w:rsidR="008D24A6" w:rsidRPr="00661595" w:rsidRDefault="008D24A6" w:rsidP="008D24A6">
            <w:pPr>
              <w:rPr>
                <w:rFonts w:ascii="Times New Roman" w:hAnsi="Times New Roman"/>
                <w:sz w:val="24"/>
              </w:rPr>
            </w:pPr>
            <w:r>
              <w:rPr>
                <w:rFonts w:ascii="Times New Roman" w:hAnsi="Times New Roman"/>
                <w:sz w:val="24"/>
              </w:rPr>
              <w:t xml:space="preserve">Ez az adat nem adható meg olyan kitettségérték esetén, amelynél a lejáratot nem veszik figyelembe a </w:t>
            </w:r>
            <w:r>
              <w:rPr>
                <w:rStyle w:val="InstructionsTabelleText"/>
                <w:rFonts w:ascii="Times New Roman" w:hAnsi="Times New Roman"/>
                <w:sz w:val="24"/>
              </w:rPr>
              <w:t>kockázattal súlyozott kitettségérték</w:t>
            </w:r>
            <w:r>
              <w:rPr>
                <w:rFonts w:ascii="Times New Roman" w:hAnsi="Times New Roman"/>
                <w:sz w:val="24"/>
              </w:rPr>
              <w:t xml:space="preserve"> kiszámításakor. Ez azt jelenti, hogy az oszlop a „lakosság” kitettségi osztályra vonatkozóan nem tölthető ki.</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 SZORZÓK ELŐTTI, KOCKÁZATTAL SÚLYOZOTT KITETTSÉGÉRTÉK</w:t>
            </w:r>
          </w:p>
          <w:p w:rsidR="008D24A6" w:rsidRPr="00661595" w:rsidRDefault="008D24A6" w:rsidP="008D24A6">
            <w:pPr>
              <w:rPr>
                <w:rFonts w:ascii="Times New Roman" w:hAnsi="Times New Roman"/>
                <w:sz w:val="24"/>
              </w:rPr>
            </w:pPr>
            <w:r>
              <w:rPr>
                <w:rFonts w:ascii="Times New Roman" w:hAnsi="Times New Roman"/>
                <w:sz w:val="24"/>
              </w:rPr>
              <w:t xml:space="preserve">A központi kormányzatok és központi bankok, a vállalkozások és az intézmények kitettségi osztályra vonatkozóan lásd a CRR 153. cikkének (1), (2), (3) és (4) bekezdését. A lakosság kitettségi osztályra vonatkozóan lásd a CRR 154. cikkének (1) bekezdését. </w:t>
            </w:r>
          </w:p>
          <w:p w:rsidR="008D24A6" w:rsidRPr="00661595" w:rsidRDefault="008D24A6" w:rsidP="003F19BA">
            <w:pPr>
              <w:rPr>
                <w:rFonts w:ascii="Times New Roman" w:hAnsi="Times New Roman"/>
                <w:b/>
                <w:sz w:val="24"/>
                <w:u w:val="single"/>
              </w:rPr>
            </w:pPr>
            <w:r>
              <w:rPr>
                <w:rFonts w:ascii="Times New Roman" w:hAnsi="Times New Roman"/>
                <w:sz w:val="24"/>
              </w:rPr>
              <w:t>A CRR 501. cikkében és 501a. cikkében említett kkv-szorzót és infrastruktúra-szorzót nem kell figyelembe venni.</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 KOCKÁZATTAL SÚLYOZOTT KITETTSÉGÉRTÉK KKV-SZORZÓ MIATTI KORREKCIÓJA</w:t>
            </w:r>
          </w:p>
          <w:p w:rsidR="008D24A6" w:rsidRPr="00661595" w:rsidRDefault="008D24A6" w:rsidP="008D24A6">
            <w:pPr>
              <w:rPr>
                <w:rFonts w:ascii="Times New Roman" w:hAnsi="Times New Roman"/>
                <w:b/>
                <w:sz w:val="24"/>
                <w:u w:val="single"/>
              </w:rPr>
            </w:pPr>
            <w:r>
              <w:rPr>
                <w:rFonts w:ascii="Times New Roman" w:hAnsi="Times New Roman"/>
                <w:sz w:val="24"/>
              </w:rPr>
              <w:t>A kkv-kel szembeni teljesítő kitettségeknek a CRR harmadik része II. címének 3. fejezetével összhangban számított, kockázattal súlyozott kitettségértéke (RWEA) és a CRR 501. cikkének bekezdése szerinti RWEA* különbségének levonása..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 KOCKÁZATTAL SÚLYOZOTT KITETTSÉGÉRTÉK INFRASTRUKTÚRA-SZORZÓ MIATTI KORREKCIÓJA</w:t>
            </w:r>
          </w:p>
          <w:p w:rsidR="008D24A6" w:rsidRPr="00661595" w:rsidRDefault="008D24A6" w:rsidP="00E50FA0">
            <w:pPr>
              <w:rPr>
                <w:rFonts w:ascii="Times New Roman" w:hAnsi="Times New Roman"/>
                <w:b/>
                <w:sz w:val="24"/>
                <w:u w:val="single"/>
              </w:rPr>
            </w:pPr>
            <w:r>
              <w:rPr>
                <w:rFonts w:ascii="Times New Roman" w:hAnsi="Times New Roman"/>
                <w:sz w:val="24"/>
              </w:rPr>
              <w:t>A CRR harmadik része II. címének megfelelően kiszámított kockázattal súlyozott kitettségértékek, valamint a CRR 501a. cikke szerinti, alapvető közszolgáltatásokat nyújtó vagy támogató fizikai struktúrákat vagy létesítményeket, rendszereket és hálózatokat működtető vagy finanszírozó szervezetekkel szembeni kitettségek hitelkockázatára vonatkozó kiigazított RWEA-érték különbségének levonása.</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A SZORZÓK UTÁNI, KOCKÁZATTAL SÚLYOZOTT KITETTSÉGÉRTÉK</w:t>
            </w:r>
          </w:p>
          <w:p w:rsidR="008D24A6" w:rsidRPr="00661595" w:rsidRDefault="008D24A6" w:rsidP="008D24A6">
            <w:pPr>
              <w:rPr>
                <w:rFonts w:ascii="Times New Roman" w:hAnsi="Times New Roman"/>
                <w:sz w:val="24"/>
              </w:rPr>
            </w:pPr>
            <w:r>
              <w:rPr>
                <w:rFonts w:ascii="Times New Roman" w:hAnsi="Times New Roman"/>
                <w:sz w:val="24"/>
              </w:rPr>
              <w:t>A központi kormányzatok és központi bankok, a vállalkozások és az intézmények kitettségi osztályra vonatkozóan lásd a CRR 153. cikkének (1), (2), (3) és (4) bekezdését. A lakosság kitettségi osztályra vonatkozóan lásd a CRR 154. cikkének (1) bekezdését.</w:t>
            </w:r>
          </w:p>
          <w:p w:rsidR="008D24A6" w:rsidRPr="00661595" w:rsidRDefault="008D24A6" w:rsidP="003F19BA">
            <w:pPr>
              <w:rPr>
                <w:rFonts w:ascii="Times New Roman" w:hAnsi="Times New Roman"/>
                <w:b/>
                <w:sz w:val="24"/>
                <w:u w:val="single"/>
              </w:rPr>
            </w:pPr>
            <w:r>
              <w:rPr>
                <w:rFonts w:ascii="Times New Roman" w:hAnsi="Times New Roman"/>
                <w:sz w:val="24"/>
              </w:rPr>
              <w:t>A CRR 501. cikkében és 501a. cikkében említett kkv-szorzót és infrastruktúra-szorzót figyelembe kell venni.</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lastRenderedPageBreak/>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EBBŐL: NAGYMÉRETŰ PÉNZÜGYI ÁGAZATBELI SZERVEZETEK ÉS NEM SZABÁLYOZOTT PÉNZÜGYI ÁGAZATBELI SZERVEZET</w:t>
            </w:r>
          </w:p>
          <w:p w:rsidR="008D24A6" w:rsidRPr="00661595" w:rsidDel="005A2363" w:rsidRDefault="008D24A6" w:rsidP="008D24A6">
            <w:pPr>
              <w:rPr>
                <w:rFonts w:ascii="Times New Roman" w:hAnsi="Times New Roman"/>
                <w:sz w:val="24"/>
              </w:rPr>
            </w:pPr>
            <w:r>
              <w:rPr>
                <w:rFonts w:ascii="Times New Roman" w:hAnsi="Times New Roman"/>
                <w:sz w:val="24"/>
              </w:rPr>
              <w:t>A kkv-szorzó utáni, kockázattal súlyozott kitettségérték lebontása a CRR 142. cikkének 4. pontjában meghatározott nagyméretű pénzügyi ágazatbeli szervezetekkel és a CRR 142. cikkének 5. pontjában meghatározott nem szabályozott pénzügyi ágazatbeli szervezetekkel szembeni összes azon kitettségre, amelyre a CRR 153. cikkének (2) bekezdése szerinti magasabb korrelációs együttható alkalmazandó.</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VÁRHATÓ VESZTESÉGÉRTÉK</w:t>
            </w:r>
          </w:p>
          <w:p w:rsidR="008D24A6" w:rsidRPr="00661595" w:rsidRDefault="008D24A6" w:rsidP="008D24A6">
            <w:pPr>
              <w:jc w:val="left"/>
              <w:rPr>
                <w:rFonts w:ascii="Times New Roman" w:hAnsi="Times New Roman"/>
                <w:sz w:val="24"/>
              </w:rPr>
            </w:pPr>
            <w:r>
              <w:rPr>
                <w:rFonts w:ascii="Times New Roman" w:hAnsi="Times New Roman"/>
                <w:sz w:val="24"/>
              </w:rPr>
              <w:t>A várható veszteség meghatározását a CRR 5. cikkének (3) bekezdése, a várható veszteség összegének kiszámítását a CRR 158. cikke tartalmazza. A nemteljesítő kitettségekkel kapcsolatban lásd a CRR 181. cikke (1) bekezdésének h) pontját. A várható veszteség feltüntetendő értékét az adott illetékes hatóság által jóváhagyott belső minősítési skálában ténylegesen alkalmazott kockázati paraméterek alapján kell kiszámítani.</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ÉRTÉKELÉSI KORREKCIÓK ÉS CÉLTARTALÉKOK</w:t>
            </w:r>
          </w:p>
          <w:p w:rsidR="008D24A6" w:rsidRPr="00661595" w:rsidRDefault="008D24A6" w:rsidP="008D24A6">
            <w:pPr>
              <w:rPr>
                <w:rFonts w:ascii="Times New Roman" w:hAnsi="Times New Roman"/>
                <w:sz w:val="24"/>
              </w:rPr>
            </w:pPr>
            <w:r>
              <w:rPr>
                <w:rFonts w:ascii="Times New Roman" w:hAnsi="Times New Roman"/>
                <w:sz w:val="24"/>
              </w:rPr>
              <w:t>Az értékelési korrekciót, valamint a CRR 159. cikke szerinti egyedi és általános hitelkockázati kiigazításokat kell feltüntetni. Az általános</w:t>
            </w:r>
            <w:r>
              <w:rPr>
                <w:rFonts w:ascii="Times New Roman" w:hAnsi="Times New Roman"/>
                <w:b/>
                <w:bCs/>
                <w:i/>
                <w:iCs/>
                <w:sz w:val="24"/>
              </w:rPr>
              <w:t xml:space="preserve"> </w:t>
            </w:r>
            <w:r>
              <w:rPr>
                <w:rFonts w:ascii="Times New Roman" w:hAnsi="Times New Roman"/>
                <w:sz w:val="24"/>
              </w:rPr>
              <w:t>hitelkockázati kiigazításokat az egyes ügyfél-kategóriák várható vesztesége alapján arányosítva kell megadni.</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A KÖTELEZETTEK SZÁMA</w:t>
            </w:r>
          </w:p>
          <w:p w:rsidR="008D24A6" w:rsidRPr="00661595" w:rsidRDefault="008D24A6" w:rsidP="008D24A6">
            <w:pPr>
              <w:rPr>
                <w:rFonts w:ascii="Times New Roman" w:hAnsi="Times New Roman"/>
                <w:sz w:val="24"/>
              </w:rPr>
            </w:pPr>
            <w:r>
              <w:rPr>
                <w:rFonts w:ascii="Times New Roman" w:hAnsi="Times New Roman"/>
                <w:sz w:val="24"/>
              </w:rPr>
              <w:t>A CRR 172. cikkének (1) és (2) bekezdése</w:t>
            </w:r>
          </w:p>
          <w:p w:rsidR="008D24A6" w:rsidRPr="00661595" w:rsidRDefault="008D24A6" w:rsidP="008D24A6">
            <w:pPr>
              <w:rPr>
                <w:rFonts w:ascii="Times New Roman" w:hAnsi="Times New Roman"/>
                <w:sz w:val="24"/>
              </w:rPr>
            </w:pPr>
            <w:r>
              <w:rPr>
                <w:rFonts w:ascii="Times New Roman" w:hAnsi="Times New Roman"/>
                <w:sz w:val="24"/>
              </w:rPr>
              <w:t xml:space="preserve">A lakossági kitettségi osztály, valamint a CRR 172. cikke (1) bekezdése e) pontjának második mondatában említett esetek kivételével az intézmény valamennyi kitettségi osztályra vonatkozóan a külön minősített jogi személyek/kötelezettek számát adja meg a különböző fennálló hitelek vagy kitettségek számától függetlenül. </w:t>
            </w:r>
          </w:p>
          <w:p w:rsidR="008D24A6" w:rsidRPr="00661595" w:rsidRDefault="008D24A6" w:rsidP="008D24A6">
            <w:pPr>
              <w:rPr>
                <w:rFonts w:ascii="Times New Roman" w:hAnsi="Times New Roman"/>
                <w:sz w:val="24"/>
              </w:rPr>
            </w:pPr>
            <w:r>
              <w:rPr>
                <w:rFonts w:ascii="Times New Roman" w:hAnsi="Times New Roman"/>
                <w:sz w:val="24"/>
              </w:rPr>
              <w:t>A lakossági kitettségi osztályon belül, vagy ha más kitettségi osztályokban ugyanazon kötelezettel szembeni külön kitettségeket különböző ügyfél-kategóriákhoz rendelnek a CRR 172. cikke (1) bekezdése e) pontjának második mondatával összhangban, az intézmény azon kitettségek számát adja meg, amelyeket külön soroltak be egy bizonyos minősítési kategóriába vagy -halmazba. A CRR 172. cikke (2) bekezdésének alkalmazásakor egy kötelezett egynél több kategóriában is figyelembe vehető.</w:t>
            </w:r>
          </w:p>
          <w:p w:rsidR="008D24A6" w:rsidRPr="00661595" w:rsidRDefault="008D24A6" w:rsidP="008D24A6">
            <w:pPr>
              <w:rPr>
                <w:rFonts w:ascii="Times New Roman" w:hAnsi="Times New Roman"/>
                <w:sz w:val="24"/>
              </w:rPr>
            </w:pPr>
            <w:r>
              <w:rPr>
                <w:rStyle w:val="InstructionsTabelleText"/>
                <w:rFonts w:ascii="Times New Roman" w:hAnsi="Times New Roman"/>
                <w:sz w:val="24"/>
              </w:rPr>
              <w:t>Mivel ez az oszlop a minősítési skálák egyik szerkezeti elemét érinti, az egyes ügyfél-kategóriákba vagy -halmazokba sorolt hitel-egyenértékesítési tényezők előtti eredeti kitettséghez kapcsolódik, a hitelkockázat-mérséklési technikák hatásainak (különösen a redisztribúciós hatás) figyelembevétele nélkül.</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HITELDERIVATÍVÁK ELŐTTI, KOCKÁZATTAL SÚLYOZOTT KITETTSÉGÉRTÉK</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Az intézményeknek a kockázattal súlyozott hipotetikus kitettségértéket RWEA-ként kell kiszámítaniuk anélkül, hogy az elismert hitelderivatívát a CRR 204. cikkében meghatározott hitelkockázat-mérséklési technikaként vennék számításba. Az összegeket az eredeti kötelezettel szembeni kitettségekre vonatkozó kitettségi osztályokban kell feltüntetni.</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lastRenderedPageBreak/>
              <w:t>Sorok</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Útmutató</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TELJES KITETTSÉG</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Ebből: Kitettség a kkv-szorzó alkalmazásával</w:t>
            </w:r>
          </w:p>
          <w:p w:rsidR="00785F3E" w:rsidRPr="00661595" w:rsidRDefault="00785F3E" w:rsidP="00785F3E">
            <w:pPr>
              <w:rPr>
                <w:rFonts w:ascii="Times New Roman" w:hAnsi="Times New Roman"/>
                <w:sz w:val="24"/>
              </w:rPr>
            </w:pPr>
            <w:r>
              <w:rPr>
                <w:rFonts w:ascii="Times New Roman" w:hAnsi="Times New Roman"/>
                <w:sz w:val="24"/>
              </w:rPr>
              <w:t>Itt csak azokat a kkv-kal szembeni kitettségeket kell feltüntetni, amelyek teljesítik a CRR 501. cikkében előírt követelményeket.</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Ebből: Kitettség az infrastruktúra-szorzó alkalmazásával</w:t>
            </w:r>
          </w:p>
          <w:p w:rsidR="004D45AA" w:rsidRPr="00661595" w:rsidRDefault="004D45AA" w:rsidP="004D45AA">
            <w:pPr>
              <w:rPr>
                <w:rFonts w:ascii="Times New Roman" w:hAnsi="Times New Roman"/>
                <w:b/>
                <w:sz w:val="24"/>
                <w:u w:val="single"/>
              </w:rPr>
            </w:pPr>
            <w:r>
              <w:rPr>
                <w:rFonts w:ascii="Times New Roman" w:hAnsi="Times New Roman"/>
                <w:sz w:val="24"/>
              </w:rPr>
              <w:t>Itt csak azokat a kkv-kal szembeni kitettségeket kell feltüntetni, amelyek teljesítik a CRR 501a. cikkében előírt követelményeket.</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A TELJES KITETTSÉG KITETTSÉGTÍPUS SZERINTI BONTÁSA</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Hitelkockázattal érintett mérlegen belüli tételek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A CRR 24. cikkében említett, más kategóriába nem sorolt eszközök.</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A partnerkockázattal érintett kitettségeket nem ebben a sorban, hanem a 0040–0060. sorban kell feltüntetni.</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A CRR 379. cikkének (1) bekezdésében említett, le nem vont nyitva szállítások nem minősülnek mérlegen belüli tételnek, azonban azokat ebben a sorban fel kell tüntetni.</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Hitelkockázattal érintett mérlegen kívüli tételek</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A mérlegen kívüli tételek közé tartoznak a CRR 166. cikkének (8) bekezdése szerinti tételek, valamint a CRR I. mellékletében felsorolt tételek.</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A partnerkockázattal érintett kitettségeket nem ebben a sorban, hanem a 0040–0060. sorban kell feltüntetni.</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Partnerkockázattal érintett kitettségek/ügyletek</w:t>
            </w:r>
          </w:p>
          <w:p w:rsidR="004D45AA" w:rsidRPr="00661595" w:rsidRDefault="004D45AA" w:rsidP="004D45AA">
            <w:pPr>
              <w:rPr>
                <w:rFonts w:ascii="Times New Roman" w:hAnsi="Times New Roman"/>
                <w:b/>
                <w:sz w:val="24"/>
                <w:u w:val="single"/>
              </w:rPr>
            </w:pPr>
            <w:r>
              <w:rPr>
                <w:rFonts w:ascii="Times New Roman" w:hAnsi="Times New Roman"/>
                <w:sz w:val="24"/>
              </w:rPr>
              <w:t>Lásd a megfelelő CR SA útmutatást a 0090–0130. sorban.</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Értékpapír-finanszírozási ügyletek nettósítási halmazai</w:t>
            </w:r>
          </w:p>
          <w:p w:rsidR="004D45AA" w:rsidRPr="00661595" w:rsidRDefault="004D45AA" w:rsidP="00393FF2">
            <w:pPr>
              <w:rPr>
                <w:rFonts w:ascii="Times New Roman" w:hAnsi="Times New Roman"/>
                <w:sz w:val="24"/>
              </w:rPr>
            </w:pPr>
            <w:r>
              <w:rPr>
                <w:rFonts w:ascii="Times New Roman" w:hAnsi="Times New Roman"/>
                <w:sz w:val="24"/>
              </w:rPr>
              <w:t>Lásd a megfelelő CR SA útmutatást a 0090. sorban.</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Származtatott és hosszú kiegyenlítési idejű ügyletek nettósítási halmazai</w:t>
            </w:r>
          </w:p>
          <w:p w:rsidR="004D45AA" w:rsidRPr="00661595" w:rsidRDefault="004D45AA" w:rsidP="00393FF2">
            <w:pPr>
              <w:rPr>
                <w:rFonts w:ascii="Times New Roman" w:hAnsi="Times New Roman"/>
                <w:sz w:val="24"/>
              </w:rPr>
            </w:pPr>
            <w:r>
              <w:rPr>
                <w:rFonts w:ascii="Times New Roman" w:hAnsi="Times New Roman"/>
                <w:sz w:val="24"/>
              </w:rPr>
              <w:t>Lásd a megfelelő CR SA útmutatást a 0110. sorban.</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Eltérő termékkategóriák közötti nettósításról szóló szerződéses megállapodásból származó nettósítási halmazok</w:t>
            </w:r>
          </w:p>
          <w:p w:rsidR="004D45AA" w:rsidRPr="00661595" w:rsidRDefault="004D45AA" w:rsidP="004D45AA">
            <w:pPr>
              <w:rPr>
                <w:rFonts w:ascii="Times New Roman" w:hAnsi="Times New Roman"/>
                <w:sz w:val="24"/>
              </w:rPr>
            </w:pPr>
            <w:r>
              <w:rPr>
                <w:rFonts w:ascii="Times New Roman" w:hAnsi="Times New Roman"/>
                <w:sz w:val="24"/>
              </w:rPr>
              <w:t>Lásd a megfelelő CR SA útmutatást a 0130. sorban.</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lastRenderedPageBreak/>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ÜGYFÉL-KATEGÓRIÁKBA VAGY –HALMAZOKBA (POOLOKBA) SOROLT KITETTSÉGEK: ÖSSZESEN</w:t>
            </w:r>
          </w:p>
          <w:p w:rsidR="004D45AA" w:rsidRPr="00661595" w:rsidRDefault="004D45AA" w:rsidP="004D45AA">
            <w:pPr>
              <w:rPr>
                <w:rFonts w:ascii="Times New Roman" w:hAnsi="Times New Roman"/>
                <w:sz w:val="24"/>
              </w:rPr>
            </w:pPr>
            <w:r>
              <w:rPr>
                <w:rFonts w:ascii="Times New Roman" w:hAnsi="Times New Roman"/>
                <w:sz w:val="24"/>
              </w:rPr>
              <w:t xml:space="preserve">Vállalkozásokkal, intézményekkel és központi kormányzatokkal, valamint központi bankokkal szembeni kitettségekkel kapcsolatban lásd a CRR 142. cikke (1) bekezdésének 6. pontját, valamint 170. cikke (1) bekezdésének c) pontját. </w:t>
            </w:r>
          </w:p>
          <w:p w:rsidR="004D45AA" w:rsidRPr="00661595" w:rsidRDefault="004D45AA" w:rsidP="004D45AA">
            <w:pPr>
              <w:rPr>
                <w:rFonts w:ascii="Times New Roman" w:hAnsi="Times New Roman"/>
                <w:sz w:val="24"/>
              </w:rPr>
            </w:pPr>
            <w:r>
              <w:rPr>
                <w:rFonts w:ascii="Times New Roman" w:hAnsi="Times New Roman"/>
                <w:sz w:val="24"/>
              </w:rPr>
              <w:t xml:space="preserve">A lakossággal szembeni kitettségekkel kapcsolatban lásd a CRR 170. cikke (3) bekezdésének b) pontját. A vásárolt követelésekből eredő kitettségekkel kapcsolatban lásd a CRR 166. cikkének (6) bekezdését. </w:t>
            </w:r>
          </w:p>
          <w:p w:rsidR="004D45AA" w:rsidRPr="00661595" w:rsidRDefault="004D45AA" w:rsidP="004D45AA">
            <w:pPr>
              <w:rPr>
                <w:rFonts w:ascii="Times New Roman" w:hAnsi="Times New Roman"/>
                <w:sz w:val="24"/>
              </w:rPr>
            </w:pPr>
            <w:r>
              <w:rPr>
                <w:rFonts w:ascii="Times New Roman" w:hAnsi="Times New Roman"/>
                <w:sz w:val="24"/>
              </w:rPr>
              <w:t>A vásárolt követelések felhígulási kockázatával összefüggő kitettségeket nem kell ügyfél-kategóriák és -halmazok szerint jelenteni, így az ilyen kitettségeket a 0180. sorban kell feltüntetni.</w:t>
            </w:r>
          </w:p>
          <w:p w:rsidR="004D45AA" w:rsidRPr="00661595" w:rsidRDefault="004D45AA" w:rsidP="004D45AA">
            <w:pPr>
              <w:rPr>
                <w:rFonts w:ascii="Times New Roman" w:hAnsi="Times New Roman"/>
                <w:sz w:val="24"/>
              </w:rPr>
            </w:pPr>
            <w:r>
              <w:rPr>
                <w:rFonts w:ascii="Times New Roman" w:hAnsi="Times New Roman"/>
                <w:sz w:val="24"/>
              </w:rPr>
              <w:t xml:space="preserve">Ha az intézmény nagyszámú ügyfél-kategóriát vagy -halmazt alkalmaz, akkor adatszolgáltatási célból a kategóriák vagy -halmazok csökkentett számáról állapodhat meg az illetékes hatóságokkal. </w:t>
            </w:r>
          </w:p>
          <w:p w:rsidR="004D45AA" w:rsidRPr="00661595" w:rsidRDefault="004D45AA" w:rsidP="004D45AA">
            <w:pPr>
              <w:rPr>
                <w:rFonts w:ascii="Times New Roman" w:hAnsi="Times New Roman"/>
                <w:sz w:val="24"/>
              </w:rPr>
            </w:pPr>
            <w:r>
              <w:rPr>
                <w:rFonts w:ascii="Times New Roman" w:hAnsi="Times New Roman"/>
                <w:sz w:val="24"/>
              </w:rPr>
              <w:t xml:space="preserve">Nincs irányadó felügyeleti skála. Ehelyett az intézmények az alkalmazni kívánt skálát saját maguk határozzák meg.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SLOTTING MÓDSZER SZERINTI SPECIÁLIS HITELEZÉSI KITETTSÉGEK: ÖSSZESEN</w:t>
            </w:r>
          </w:p>
          <w:p w:rsidR="004D45AA" w:rsidRPr="00661595" w:rsidRDefault="004D45AA" w:rsidP="00AC6619">
            <w:pPr>
              <w:rPr>
                <w:rFonts w:ascii="Times New Roman" w:hAnsi="Times New Roman"/>
                <w:sz w:val="24"/>
              </w:rPr>
            </w:pPr>
            <w:r>
              <w:rPr>
                <w:rFonts w:ascii="Times New Roman" w:hAnsi="Times New Roman"/>
                <w:sz w:val="24"/>
              </w:rPr>
              <w:t xml:space="preserve">A CRR 153. cikkének (5) bekezdése Ez csak a „vállalati – speciális hitelezés” kitettségi osztályára vonatkozik.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ALTERNATÍV KEZELÉS: INGATLANNAL FEDEZETT</w:t>
            </w:r>
          </w:p>
          <w:p w:rsidR="004D45AA" w:rsidRPr="00661595" w:rsidRDefault="004D45AA" w:rsidP="004D45AA">
            <w:pPr>
              <w:rPr>
                <w:rFonts w:ascii="Times New Roman" w:hAnsi="Times New Roman"/>
                <w:sz w:val="24"/>
              </w:rPr>
            </w:pPr>
            <w:r>
              <w:rPr>
                <w:rFonts w:ascii="Times New Roman" w:hAnsi="Times New Roman"/>
                <w:sz w:val="24"/>
              </w:rPr>
              <w:t>A CRR 193. cikkének (1) és (2) bekezdése, 194. cikkének (1)–(7) bekezdése, valamint 230. cikkének (3) bekezdése</w:t>
            </w:r>
          </w:p>
          <w:p w:rsidR="004D45AA" w:rsidRPr="00661595" w:rsidRDefault="004D45AA" w:rsidP="004D45AA">
            <w:pPr>
              <w:rPr>
                <w:rFonts w:ascii="Times New Roman" w:hAnsi="Times New Roman"/>
                <w:sz w:val="24"/>
              </w:rPr>
            </w:pPr>
            <w:r>
              <w:rPr>
                <w:rFonts w:ascii="Times New Roman" w:hAnsi="Times New Roman"/>
                <w:sz w:val="24"/>
              </w:rPr>
              <w:t>Ez az alternatíva csak az IRB alapmódszert alkalmazó intézmények számára áll rendelkezésre.</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NYITVA SZÁLLÍTÁSBÓL EREDŐ, ALTERNATÍV KEZELÉS ALAPJÁN MEGÁLLAPÍTOTT VAGY 100 %-OS KOCKÁZATI SÚLYÚ KITETTSÉGEK, VALAMINT EGYÉB, KOCKÁZATI SÚLYOZÁS ALÁ TARTOZÓ KITETTSÉGEK</w:t>
            </w:r>
          </w:p>
          <w:p w:rsidR="004D45AA" w:rsidRPr="00661595" w:rsidRDefault="004D45AA" w:rsidP="004D45AA">
            <w:pPr>
              <w:rPr>
                <w:rFonts w:ascii="Times New Roman" w:hAnsi="Times New Roman"/>
                <w:sz w:val="24"/>
              </w:rPr>
            </w:pPr>
            <w:r>
              <w:rPr>
                <w:rFonts w:ascii="Times New Roman" w:hAnsi="Times New Roman"/>
                <w:sz w:val="24"/>
              </w:rPr>
              <w:t>Olyan nyitva szállításokból eredő kitettségek, amelyek a CRR 379. cikke (2) bekezdése első albekezdésének utolsó mondatában említett alternatív kezelés körébe tartoznak, vagy amelyek a CRR 379. cikke (2) bekezdésének utolsó albekezdése alapján 100 %-os kockázati súlyt kapnak. A nem minősített, a CRR 153. cikkének (8) bekezdése szerinti n-edik nemteljesítéskor lehívható hitelderivatívákat, valamint a máshová nem sorolt, kockázati súlyozás alá tartozó egyéb kitettségeket ebben a sorban kell feltüntetni.</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FELHÍGULÁSI KOCKÁZAT: VÁSÁROLT KÖVETELÉSEK ÖSSZESEN</w:t>
            </w:r>
          </w:p>
          <w:p w:rsidR="004D45AA" w:rsidRPr="00661595" w:rsidRDefault="004D45AA" w:rsidP="004D45AA">
            <w:pPr>
              <w:rPr>
                <w:rFonts w:ascii="Times New Roman" w:hAnsi="Times New Roman"/>
                <w:sz w:val="24"/>
              </w:rPr>
            </w:pPr>
            <w:r>
              <w:rPr>
                <w:rFonts w:ascii="Times New Roman" w:hAnsi="Times New Roman"/>
                <w:sz w:val="24"/>
              </w:rPr>
              <w:t>A felhígulási kockázat meghatározását a CRR 4. cikke (1) bekezdésének 53. pontja tartalmazza. A felhígulási kockázatra vonatkozó kockázattal súlyozott kitettségértékek kiszámításával kapcsolatban lásd a CRR 157. cikkét. A felhígulási kockázatról a vállalati és lakossági vásárolt követelések esetében kell adatot szolgáltatni.</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2" w:name="_Toc473560911"/>
      <w:bookmarkStart w:id="323" w:name="_Toc58858606"/>
      <w:r>
        <w:rPr>
          <w:rFonts w:ascii="Times New Roman" w:hAnsi="Times New Roman"/>
          <w:sz w:val="24"/>
          <w:u w:val="none"/>
        </w:rPr>
        <w:lastRenderedPageBreak/>
        <w:t>3.3.4.</w:t>
      </w:r>
      <w:r>
        <w:tab/>
      </w:r>
      <w:r>
        <w:rPr>
          <w:rFonts w:ascii="Times New Roman" w:hAnsi="Times New Roman"/>
          <w:sz w:val="24"/>
        </w:rPr>
        <w:t>C 08.02 – Hitelkockázat, partnerkockázat és nyitva szállítások: IRB módszer szerinti tőkekövetelmény: ügyfél-kategória vagy -halmaz (pool) szerint (CR IRB 2 tábla)</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Oszlop</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Útmutató</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Ügyfél-kategória (sorazonosító)</w:t>
            </w:r>
          </w:p>
          <w:p w:rsidR="00E97CD2" w:rsidRPr="00661595" w:rsidRDefault="00E97CD2" w:rsidP="00133396">
            <w:pPr>
              <w:rPr>
                <w:rFonts w:ascii="Times New Roman" w:hAnsi="Times New Roman"/>
                <w:sz w:val="24"/>
              </w:rPr>
            </w:pPr>
            <w:r>
              <w:rPr>
                <w:rFonts w:ascii="Times New Roman" w:hAnsi="Times New Roman"/>
                <w:sz w:val="24"/>
              </w:rPr>
              <w:t>Ez egy sorazonosító, amely a tábla egyes lapjainak minden sorát egyedileg azonosítja. Sorrendje: 1, 2, 3 stb.</w:t>
            </w:r>
          </w:p>
          <w:p w:rsidR="008151A6" w:rsidRPr="00661595" w:rsidRDefault="008151A6" w:rsidP="00133396">
            <w:pPr>
              <w:rPr>
                <w:rFonts w:ascii="Times New Roman" w:hAnsi="Times New Roman"/>
                <w:sz w:val="24"/>
              </w:rPr>
            </w:pPr>
            <w:r>
              <w:rPr>
                <w:rFonts w:ascii="Times New Roman" w:hAnsi="Times New Roman"/>
                <w:sz w:val="24"/>
              </w:rPr>
              <w:t xml:space="preserve">A feltüntetendő első kategória (vagy halmaz) a legjobb, a következő a második legjobb és így tovább. Az utolsó kategória (vagy halmaz) a nemteljesítő kitettségeket tartalmazza.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Az itt található oszlopokra vonatkozó útmutató azonos a CR IRB 1 tábla megfelelő számú oszlopaira vonatkozó útmutatóval.</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Sor</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Útmutató</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Az e sorokban feltüntetett értékeket az adott ügyfél-kategóriához vagy -halmazhoz tartozó PD-értéknek megfelelő sorrendben kell megadni. A nemteljesítő ügyfelekhez tartozó PD-érték 100 %. Az ingatlanbiztosíték alternatív kezelési körébe vont kitettségek (ez kizárólag akkor lehetséges, ha az intézmény nem alkalmaz saját LGD-becslést) nem sorolhatók be a kötelezett PD-értéke alapján, így ezek adatai nem tüntethetők fel ebben a táblában.</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4" w:name="_Toc19715755"/>
      <w:bookmarkStart w:id="325" w:name="_Toc58858607"/>
      <w:r>
        <w:rPr>
          <w:rFonts w:ascii="Times New Roman" w:hAnsi="Times New Roman"/>
          <w:sz w:val="24"/>
        </w:rPr>
        <w:t>C 08.03 – Hitelkockázat és nyitva szállítások: IRB módszer szerinti tőkekövetelmény: PD-sávok szerinti bontás (CR IRB 3)</w:t>
      </w:r>
      <w:bookmarkEnd w:id="324"/>
      <w:bookmarkEnd w:id="325"/>
    </w:p>
    <w:p w:rsidR="008151A6" w:rsidRPr="00661595" w:rsidRDefault="008151A6" w:rsidP="00F66371">
      <w:pPr>
        <w:pStyle w:val="Instructionsberschrift2"/>
        <w:numPr>
          <w:ilvl w:val="3"/>
          <w:numId w:val="36"/>
        </w:numPr>
        <w:rPr>
          <w:rFonts w:ascii="Times New Roman" w:hAnsi="Times New Roman" w:cs="Times New Roman"/>
          <w:sz w:val="24"/>
        </w:rPr>
      </w:pPr>
      <w:bookmarkStart w:id="326" w:name="_Toc19715756"/>
      <w:bookmarkStart w:id="327" w:name="_Toc58858608"/>
      <w:r>
        <w:rPr>
          <w:rFonts w:ascii="Times New Roman" w:hAnsi="Times New Roman"/>
          <w:sz w:val="24"/>
        </w:rPr>
        <w:t>Általános megjegyzések</w:t>
      </w:r>
      <w:bookmarkEnd w:id="326"/>
      <w:bookmarkEnd w:id="327"/>
    </w:p>
    <w:p w:rsidR="008151A6" w:rsidRPr="00661595" w:rsidRDefault="0055388B" w:rsidP="00487A02">
      <w:pPr>
        <w:pStyle w:val="InstructionsText2"/>
        <w:numPr>
          <w:ilvl w:val="0"/>
          <w:numId w:val="0"/>
        </w:numPr>
        <w:ind w:left="1353" w:hanging="360"/>
      </w:pPr>
      <w:fldSimple w:instr=" seq paragraphs ">
        <w:r w:rsidR="00D11E4C">
          <w:rPr>
            <w:noProof/>
          </w:rPr>
          <w:t>77</w:t>
        </w:r>
      </w:fldSimple>
      <w:r w:rsidR="00D11E4C">
        <w:t>. Az intézményeknek az ebben a táblában szereplő információkat a CRR 452. cikke g) pontjának i-v. alpontja alkalmazásában kell megadniuk annak érdekében, hogy információt szolgáltassanak az IRB módszerhez kapcsolódó tőkekövetelmények kiszámításához használt fő paraméterekről. Az ebben a táblában feltüntetett információk nem tartalmazhatnak a CRR 153. cikkének (5) bekezdésében említett speciális hitelezésre vonatkozó adatokat, amelyek a C 08.06. táblában szerepelnek. Ez a tábla nem tartalmazza a partnerkockázati kitettségeket (a CRR harmadik része II. címének 6. fejezete).</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8" w:name="_Toc19715757"/>
      <w:bookmarkStart w:id="329" w:name="_Toc58858609"/>
      <w:r>
        <w:rPr>
          <w:rFonts w:ascii="Times New Roman" w:hAnsi="Times New Roman"/>
          <w:sz w:val="24"/>
        </w:rPr>
        <w:t>A tábla egyes részeire vonatkozó útmutató</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Oszlop</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MÉRLEGEN BELÜLI KITETTSÉGEK</w:t>
            </w:r>
          </w:p>
          <w:p w:rsidR="008151A6" w:rsidRPr="00661595" w:rsidRDefault="008151A6" w:rsidP="00A44410">
            <w:pPr>
              <w:rPr>
                <w:rFonts w:ascii="Times New Roman" w:hAnsi="Times New Roman"/>
                <w:sz w:val="24"/>
              </w:rPr>
            </w:pPr>
            <w:r>
              <w:rPr>
                <w:rFonts w:ascii="Times New Roman" w:hAnsi="Times New Roman"/>
                <w:sz w:val="24"/>
              </w:rPr>
              <w:t>A CRR 166. cikkének (1)–(7) bekezdése szerint számított kitettségérték az esetleges hitelkockázati kiigazítások figyelembevétele nélkül.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MÉRLEGEN KÍVÜLI KITETTSÉGEK HITEL-EGYENÉRTÉKESÍTÉSI TÉNYEZŐK ELŐTT</w:t>
            </w:r>
          </w:p>
          <w:p w:rsidR="008151A6" w:rsidRPr="00661595" w:rsidRDefault="008151A6" w:rsidP="00664874">
            <w:pPr>
              <w:rPr>
                <w:rFonts w:ascii="Times New Roman" w:hAnsi="Times New Roman"/>
                <w:sz w:val="24"/>
              </w:rPr>
            </w:pPr>
            <w:r>
              <w:rPr>
                <w:rFonts w:ascii="Times New Roman" w:hAnsi="Times New Roman"/>
                <w:sz w:val="24"/>
              </w:rPr>
              <w:t>A CRR 166. cikkének (1)–(7) bekezdése szerinti kitettségérték, az esetleges hitelkockázati kiigazítások és hitel-egyenértékesítési tényezők, a CRR 166. cikkének (8) bekezdésében meghatározott saját becslések és hitel-egyenértékesítési tényezők, illetve a CRR 166. cikkének (10) bekezdésében meghatározott százalékos arányok figyelembevétele nélkül.</w:t>
            </w:r>
          </w:p>
          <w:p w:rsidR="008151A6" w:rsidRPr="00661595" w:rsidRDefault="008151A6" w:rsidP="00664874">
            <w:pPr>
              <w:rPr>
                <w:rFonts w:ascii="Times New Roman" w:hAnsi="Times New Roman"/>
                <w:sz w:val="24"/>
              </w:rPr>
            </w:pPr>
            <w:r>
              <w:rPr>
                <w:rFonts w:ascii="Times New Roman" w:hAnsi="Times New Roman"/>
                <w:sz w:val="24"/>
              </w:rPr>
              <w:t>A mérlegen kívüli kitettségek magukban foglalják az összes lekötött, de le nem hívott összeget és az összes mérlegen kívüli tételt, a CRR I. mellékletében felsoroltak szerint.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KITETTSÉGGEL SÚLYOZOTT ÁTLAGOS HITEL-EGYENÉRTÉKESÍTÉSI TÉNYEZŐK</w:t>
            </w:r>
          </w:p>
          <w:p w:rsidR="008151A6" w:rsidRPr="00661595" w:rsidRDefault="008151A6" w:rsidP="00A44410">
            <w:pPr>
              <w:rPr>
                <w:rFonts w:ascii="Times New Roman" w:hAnsi="Times New Roman"/>
                <w:sz w:val="24"/>
              </w:rPr>
            </w:pPr>
            <w:r>
              <w:rPr>
                <w:rFonts w:ascii="Times New Roman" w:hAnsi="Times New Roman"/>
                <w:sz w:val="24"/>
              </w:rPr>
              <w:t xml:space="preserve">A rögzített PD-sáv egyes kategóriáiba tartozó valamennyi kitettség esetében az intézmények által a kockázattal súlyozott kitettségérték kiszámításához használt átlagos hitel-egyenértékesítési tényező, súlyozva a 0020-as oszlopban feltüntetett, mérlegen kívüli, hitel-egyenértékesítési tényezők előtti kitettséggel.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HITEL-EGYENÉRTÉKESÍTÉSI TÉNYEZŐK ÉS HITELKOCKÁZAT-MÉRSÉKLÉS UTÁNI KITETTSÉGÉRTÉK</w:t>
            </w:r>
          </w:p>
          <w:p w:rsidR="008151A6" w:rsidRPr="00661595" w:rsidRDefault="008151A6" w:rsidP="00664874">
            <w:pPr>
              <w:rPr>
                <w:rFonts w:ascii="Times New Roman" w:hAnsi="Times New Roman"/>
                <w:sz w:val="24"/>
              </w:rPr>
            </w:pPr>
            <w:r>
              <w:rPr>
                <w:rFonts w:ascii="Times New Roman" w:hAnsi="Times New Roman"/>
                <w:sz w:val="24"/>
              </w:rPr>
              <w:t>A CRR 166. cikke szerinti kitettségérték.</w:t>
            </w:r>
          </w:p>
          <w:p w:rsidR="008151A6" w:rsidRPr="00661595" w:rsidRDefault="008151A6" w:rsidP="00A44410">
            <w:pPr>
              <w:rPr>
                <w:rFonts w:ascii="Times New Roman" w:hAnsi="Times New Roman"/>
                <w:sz w:val="24"/>
              </w:rPr>
            </w:pPr>
            <w:r>
              <w:rPr>
                <w:rFonts w:ascii="Times New Roman" w:hAnsi="Times New Roman"/>
                <w:sz w:val="24"/>
              </w:rPr>
              <w:t>Ez az oszlop a mérlegen belüli kitettségeknek és a mérlegen kívüli kitettségeknek a CRR 166. cikkének (8)–(10) bekezdése szerinti hitel-egyenértékesítési tényezők utáni és hitelkockázat-mérséklés utáni összegét tartalmazza.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KITETTSÉGGEL SÚLYOZOTT ÁTLAGOS PD (%)</w:t>
            </w:r>
          </w:p>
          <w:p w:rsidR="008151A6" w:rsidRPr="00661595" w:rsidRDefault="008151A6" w:rsidP="00A44410">
            <w:pPr>
              <w:rPr>
                <w:rFonts w:ascii="Times New Roman" w:hAnsi="Times New Roman"/>
                <w:sz w:val="24"/>
              </w:rPr>
            </w:pPr>
            <w:r>
              <w:rPr>
                <w:rFonts w:ascii="Times New Roman" w:hAnsi="Times New Roman"/>
                <w:sz w:val="24"/>
              </w:rPr>
              <w:t>A rögzített PD-sáv egyes kategóriáiba tartozó valamennyi kitettség esetében az egyes kötelezettek átlagos PD-becslése, súlyozva a hitel-egyenértékesítési tényezők és hitelkockázat-mérséklés utáni, a 0040-es oszlopban megadott kitettségértékkel.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 KÖTELEZETTEK SZÁMA</w:t>
            </w:r>
          </w:p>
          <w:p w:rsidR="00463F88" w:rsidRPr="00661595" w:rsidRDefault="008151A6" w:rsidP="001A370B">
            <w:pPr>
              <w:rPr>
                <w:rFonts w:ascii="Times New Roman" w:hAnsi="Times New Roman"/>
                <w:sz w:val="24"/>
              </w:rPr>
            </w:pPr>
            <w:r>
              <w:rPr>
                <w:rFonts w:ascii="Times New Roman" w:hAnsi="Times New Roman"/>
                <w:sz w:val="24"/>
              </w:rPr>
              <w:t xml:space="preserve">A rögzített PD-sáv egyes kategóriáihoz rendelt jogi személyek vagy kötelezettek száma. </w:t>
            </w:r>
          </w:p>
          <w:p w:rsidR="001A370B" w:rsidRPr="00661595" w:rsidRDefault="001A370B" w:rsidP="001A370B">
            <w:pPr>
              <w:rPr>
                <w:rFonts w:ascii="Times New Roman" w:hAnsi="Times New Roman"/>
                <w:sz w:val="24"/>
              </w:rPr>
            </w:pPr>
            <w:r>
              <w:rPr>
                <w:rFonts w:ascii="Times New Roman" w:hAnsi="Times New Roman"/>
                <w:sz w:val="24"/>
              </w:rPr>
              <w:t>A kötelezettek számát a C 08.01. tábla 0300. oszlopára vonatkozó útmutatónak megfelelően kell számba venni. A közös kötelezetteket ugyanúgy kell kezelni, mint a PD-kalibráció alkalmazásában.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KITETTSÉGGEL SÚLYOZOTT ÁTLAGOS LGD (%)</w:t>
            </w:r>
          </w:p>
          <w:p w:rsidR="008151A6" w:rsidRPr="00661595" w:rsidRDefault="008151A6" w:rsidP="00664874">
            <w:pPr>
              <w:rPr>
                <w:rFonts w:ascii="Times New Roman" w:hAnsi="Times New Roman"/>
                <w:sz w:val="24"/>
              </w:rPr>
            </w:pPr>
            <w:r>
              <w:rPr>
                <w:rFonts w:ascii="Times New Roman" w:hAnsi="Times New Roman"/>
                <w:sz w:val="24"/>
              </w:rPr>
              <w:t>A rögzített PD-sáv egyes kategóriáiba tartozó valamennyi kitettség esetében az egyes kitettségek átlagos LGD-becslése, súlyozva a hitel-egyenértékesítési tényezők és hitelkockázat-mérséklés utáni, a 0040-es oszlopban megadott kitettségértékkel.</w:t>
            </w:r>
          </w:p>
          <w:p w:rsidR="008151A6" w:rsidRPr="00661595" w:rsidRDefault="008151A6" w:rsidP="00664874">
            <w:pPr>
              <w:rPr>
                <w:rFonts w:ascii="Times New Roman" w:hAnsi="Times New Roman"/>
                <w:sz w:val="24"/>
              </w:rPr>
            </w:pPr>
            <w:r>
              <w:rPr>
                <w:rFonts w:ascii="Times New Roman" w:hAnsi="Times New Roman"/>
                <w:sz w:val="24"/>
              </w:rPr>
              <w:t>A feltüntetett LGD-nek meg kell felelnie a kockázattal súlyozott összegek kiszámításához használt, az esetleges hitelkockázat-mérséklési hatások és adott esetben gazdasági dekonjunkturális feltételek figyelembevételével kapott végső LGD-becslésnek. Az ingatlannal fedezett, lakossággal szembeni kitettségek esetében a feltüntetett LGD-nek figyelembe kell vennie a CRR 164. cikkének (4) bekezdésében meghatározott alsó határokat.</w:t>
            </w:r>
          </w:p>
          <w:p w:rsidR="008151A6" w:rsidRPr="00661595" w:rsidRDefault="008151A6" w:rsidP="00664874">
            <w:pPr>
              <w:rPr>
                <w:rFonts w:ascii="Times New Roman" w:hAnsi="Times New Roman"/>
                <w:sz w:val="24"/>
              </w:rPr>
            </w:pPr>
            <w:r>
              <w:rPr>
                <w:rFonts w:ascii="Times New Roman" w:hAnsi="Times New Roman"/>
                <w:sz w:val="24"/>
              </w:rPr>
              <w:t>Az együttes nemteljesítésre vonatkozó eljárással érintett kitettségek esetében a feltüntetendő LGD a CRR 161. cikkének (4) bekezdése alapján kiválasztott LGD-nek felel meg.</w:t>
            </w:r>
          </w:p>
          <w:p w:rsidR="008151A6" w:rsidRPr="00661595" w:rsidRDefault="008151A6" w:rsidP="00AC6619">
            <w:pPr>
              <w:rPr>
                <w:rFonts w:ascii="Times New Roman" w:hAnsi="Times New Roman"/>
                <w:sz w:val="24"/>
              </w:rPr>
            </w:pPr>
            <w:r>
              <w:rPr>
                <w:rFonts w:ascii="Times New Roman" w:hAnsi="Times New Roman"/>
                <w:sz w:val="24"/>
              </w:rPr>
              <w:lastRenderedPageBreak/>
              <w:t>Az A-IRB módszer szerinti nemteljesítő kitettségek esetében figyelembe kell venni a CRR 181. cikke (1) bekezdésének h) pontjában foglalt rendelkezéseket. A feltüntetett LGD-nek meg kell felelnie az alkalmazandó becslési módszerek szerinti nemteljesítéskori LGD-becslésnek.</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KITETTSÉGGEL SÚLYOZOTT ÁTLAGOS LEJÁRAT (ÉV)</w:t>
            </w:r>
          </w:p>
          <w:p w:rsidR="008151A6" w:rsidRPr="00661595" w:rsidRDefault="008151A6" w:rsidP="00664874">
            <w:pPr>
              <w:rPr>
                <w:rFonts w:ascii="Times New Roman" w:hAnsi="Times New Roman"/>
                <w:sz w:val="24"/>
              </w:rPr>
            </w:pPr>
            <w:r>
              <w:rPr>
                <w:rFonts w:ascii="Times New Roman" w:hAnsi="Times New Roman"/>
                <w:sz w:val="24"/>
              </w:rPr>
              <w:t>A rögzített PD-sáv egyes kategóriáiba tartozó valamennyi kitettség esetében az egyes kitettségek átlagos lejárata, súlyozva a hitel-egyenértékesítési tényezők utáni, a 0040-es oszlopban megadott kitettségértékkel.</w:t>
            </w:r>
          </w:p>
          <w:p w:rsidR="008151A6" w:rsidRPr="00661595" w:rsidRDefault="008151A6" w:rsidP="00664874">
            <w:pPr>
              <w:rPr>
                <w:rFonts w:ascii="Times New Roman" w:hAnsi="Times New Roman"/>
                <w:sz w:val="24"/>
              </w:rPr>
            </w:pPr>
            <w:r>
              <w:rPr>
                <w:rFonts w:ascii="Times New Roman" w:hAnsi="Times New Roman"/>
                <w:sz w:val="24"/>
              </w:rPr>
              <w:t xml:space="preserve">A feltüntetendő lejárati értéket a CRR 162. cikkével összhangban kell meghatározni. </w:t>
            </w:r>
          </w:p>
          <w:p w:rsidR="008151A6" w:rsidRPr="00661595" w:rsidRDefault="008151A6" w:rsidP="00664874">
            <w:pPr>
              <w:rPr>
                <w:rFonts w:ascii="Times New Roman" w:hAnsi="Times New Roman"/>
                <w:sz w:val="24"/>
              </w:rPr>
            </w:pPr>
            <w:r>
              <w:rPr>
                <w:rFonts w:ascii="Times New Roman" w:hAnsi="Times New Roman"/>
                <w:sz w:val="24"/>
              </w:rPr>
              <w:t>Az átlagos lejáratot években kell megadni.</w:t>
            </w:r>
          </w:p>
          <w:p w:rsidR="008151A6" w:rsidRPr="00661595" w:rsidRDefault="008151A6" w:rsidP="00AF6F2C">
            <w:pPr>
              <w:rPr>
                <w:rFonts w:ascii="Times New Roman" w:hAnsi="Times New Roman"/>
                <w:sz w:val="24"/>
              </w:rPr>
            </w:pPr>
            <w:r>
              <w:rPr>
                <w:rFonts w:ascii="Times New Roman" w:hAnsi="Times New Roman"/>
                <w:sz w:val="24"/>
              </w:rPr>
              <w:t xml:space="preserve">Ez az adat nem adható meg olyan kitettségérték esetén, amelynél a lejáratot nem veszik figyelembe a </w:t>
            </w:r>
            <w:r>
              <w:rPr>
                <w:rStyle w:val="InstructionsTabelleText"/>
                <w:rFonts w:ascii="Times New Roman" w:hAnsi="Times New Roman"/>
                <w:sz w:val="24"/>
              </w:rPr>
              <w:t>kockázattal súlyozott kitettségérték</w:t>
            </w:r>
            <w:r>
              <w:rPr>
                <w:rFonts w:ascii="Times New Roman" w:hAnsi="Times New Roman"/>
                <w:sz w:val="24"/>
              </w:rPr>
              <w:t xml:space="preserve"> a CRR harmadik része, II. címének 3. fejezete szerinti kiszámításakor. Ez azt jelenti, hogy az oszlop a „lakosság” kitettségi osztályra vonatkozóan nem töltendő ki.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 SZORZÓK UTÁNI, KOCKÁZATTAL SÚLYOZOTT KITETTSÉGÉRTÉK</w:t>
            </w:r>
          </w:p>
          <w:p w:rsidR="008151A6" w:rsidRPr="00661595" w:rsidRDefault="008151A6" w:rsidP="00664874">
            <w:pPr>
              <w:rPr>
                <w:rFonts w:ascii="Times New Roman" w:hAnsi="Times New Roman"/>
                <w:sz w:val="24"/>
              </w:rPr>
            </w:pPr>
            <w:r>
              <w:rPr>
                <w:rFonts w:ascii="Times New Roman" w:hAnsi="Times New Roman"/>
                <w:sz w:val="24"/>
              </w:rPr>
              <w:t>Központi kormányzatokkal és központi bankokkal, intézményekkel és vállalatokkal szembeni kitettségek esetében a 153. cikk (1)–(4) bekezdésének megfelelően kiszámított, kockázattal súlyozott kitettségérték; a lakossággal szembeni kitettségek esetében a CRR 154. cikke szerint kiszámított, kockázattal súlyozott kitettségérték.</w:t>
            </w:r>
          </w:p>
          <w:p w:rsidR="008151A6" w:rsidRPr="00661595" w:rsidRDefault="008151A6" w:rsidP="003F19BA">
            <w:pPr>
              <w:rPr>
                <w:rFonts w:ascii="Times New Roman" w:hAnsi="Times New Roman"/>
                <w:sz w:val="24"/>
              </w:rPr>
            </w:pPr>
            <w:r>
              <w:rPr>
                <w:rFonts w:ascii="Times New Roman" w:hAnsi="Times New Roman"/>
                <w:sz w:val="24"/>
              </w:rPr>
              <w:t xml:space="preserve">A CRR 501. cikkében és 501a. cikkében említett kkv-szorzót és infrastruktúra-szorzót figyelembe kell venni.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VÁRHATÓ VESZTESÉGÉRTÉK</w:t>
            </w:r>
          </w:p>
          <w:p w:rsidR="008151A6" w:rsidRPr="00661595" w:rsidRDefault="008151A6" w:rsidP="00664874">
            <w:pPr>
              <w:rPr>
                <w:rFonts w:ascii="Times New Roman" w:hAnsi="Times New Roman"/>
                <w:sz w:val="24"/>
              </w:rPr>
            </w:pPr>
            <w:r>
              <w:rPr>
                <w:rFonts w:ascii="Times New Roman" w:hAnsi="Times New Roman"/>
                <w:sz w:val="24"/>
              </w:rPr>
              <w:t>A CRR 158. cikke szerint kiszámított várható veszteségérték.</w:t>
            </w:r>
          </w:p>
          <w:p w:rsidR="008151A6" w:rsidRPr="00661595" w:rsidRDefault="008151A6" w:rsidP="00664874">
            <w:pPr>
              <w:rPr>
                <w:rFonts w:ascii="Times New Roman" w:hAnsi="Times New Roman"/>
                <w:sz w:val="24"/>
              </w:rPr>
            </w:pPr>
            <w:r>
              <w:rPr>
                <w:rFonts w:ascii="Times New Roman" w:hAnsi="Times New Roman"/>
                <w:sz w:val="24"/>
              </w:rPr>
              <w:t>A várható veszteség feltüntetendő értékét az adott illetékes hatóság által jóváhagyott belső minősítési skálában ténylegesen alkalmazott kockázati paraméterek alapján kell kiszámítani.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ÉRTÉKELÉSI KORREKCIÓK ÉS CÉLTARTALÉKOK</w:t>
            </w:r>
          </w:p>
          <w:p w:rsidR="00A44410" w:rsidRDefault="008151A6" w:rsidP="00664874">
            <w:pPr>
              <w:rPr>
                <w:rFonts w:ascii="Times New Roman" w:hAnsi="Times New Roman"/>
                <w:sz w:val="24"/>
              </w:rPr>
            </w:pPr>
            <w:r>
              <w:rPr>
                <w:rFonts w:ascii="Times New Roman" w:hAnsi="Times New Roman"/>
                <w:sz w:val="24"/>
              </w:rPr>
              <w:t xml:space="preserve">A 183/2014/EU felhatalmazáson alapuló bizottsági rendelet szerinti egyedi és általános hitelkockázati kiigazítások, a CRR 34. és 110. cikke szerinti kiegészítő értékelési korrekciók, valamint a rögzített PD-sáv egyes kategóriáihoz rendelt kitettségekhez kapcsolódó egyéb szavatolótőke-csökkentések. </w:t>
            </w:r>
          </w:p>
          <w:p w:rsidR="008151A6" w:rsidRPr="00661595" w:rsidRDefault="008151A6" w:rsidP="00664874">
            <w:pPr>
              <w:rPr>
                <w:rFonts w:ascii="Times New Roman" w:hAnsi="Times New Roman"/>
                <w:sz w:val="24"/>
              </w:rPr>
            </w:pPr>
            <w:r>
              <w:rPr>
                <w:rFonts w:ascii="Times New Roman" w:hAnsi="Times New Roman"/>
                <w:sz w:val="24"/>
              </w:rPr>
              <w:t>Ezek az értékelési korrekciók és céltartalékok azok, amelyeket figyelembe kell venni a CRR 159. cikkének végrehajtásakor.</w:t>
            </w:r>
          </w:p>
          <w:p w:rsidR="008151A6" w:rsidRPr="00661595" w:rsidRDefault="008151A6" w:rsidP="00664874">
            <w:pPr>
              <w:rPr>
                <w:rFonts w:ascii="Times New Roman" w:hAnsi="Times New Roman"/>
                <w:sz w:val="24"/>
              </w:rPr>
            </w:pPr>
            <w:r>
              <w:rPr>
                <w:rFonts w:ascii="Times New Roman" w:hAnsi="Times New Roman"/>
                <w:sz w:val="24"/>
              </w:rPr>
              <w:t xml:space="preserve">Az általános céltartalékokat az egyes ügyfél-kategóriák várható vesztesége alapján arányosítva kell megadni.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Sorok</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PD-SÁV</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A kitettségeket a rögzített PD-sáv megfelelő kategóriájához kell rendelni az ebbe a kitettségi osztályba sorolt egyes kötelezettek becsült PD-értéke alapján (a hitelkockázat-</w:t>
            </w:r>
            <w:r>
              <w:rPr>
                <w:rFonts w:ascii="Times New Roman" w:hAnsi="Times New Roman"/>
                <w:sz w:val="24"/>
              </w:rPr>
              <w:lastRenderedPageBreak/>
              <w:t>mérséklésből eredő helyettesítési hatások figyelembevétele nélkül). Az intézményeknek minden kitettséget egyenként kell a táblában megadott PD-sávhoz hozzárendelniük, figyelembe véve a folyamatos skálaértékeket is. Valamennyi nemteljesítő kitettséget a 100 %-os PD-t képviselő kategóriának kell tartalmaznia.</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0" w:name="_Toc19715758"/>
      <w:bookmarkStart w:id="331" w:name="_Toc58858610"/>
      <w:r>
        <w:rPr>
          <w:rFonts w:ascii="Times New Roman" w:hAnsi="Times New Roman"/>
          <w:sz w:val="24"/>
        </w:rPr>
        <w:lastRenderedPageBreak/>
        <w:t>C 08.04 – Hitelkockázat és nyitva szállítások: IRB módszer szerinti tőkekövetelmény: a kockázattal súlyozott kitettségérték változásának kimutatása (CR IRB 4)</w:t>
      </w:r>
      <w:bookmarkEnd w:id="330"/>
      <w:bookmarkEnd w:id="331"/>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2" w:name="_Toc19715759"/>
      <w:bookmarkStart w:id="333" w:name="_Toc58858611"/>
      <w:r>
        <w:rPr>
          <w:rFonts w:ascii="Times New Roman" w:hAnsi="Times New Roman"/>
          <w:sz w:val="24"/>
        </w:rPr>
        <w:t>Általános megjegyzések</w:t>
      </w:r>
      <w:bookmarkEnd w:id="332"/>
      <w:bookmarkEnd w:id="333"/>
    </w:p>
    <w:p w:rsidR="008151A6" w:rsidRDefault="0055388B" w:rsidP="00487A02">
      <w:pPr>
        <w:pStyle w:val="InstructionsText2"/>
        <w:numPr>
          <w:ilvl w:val="0"/>
          <w:numId w:val="0"/>
        </w:numPr>
        <w:ind w:left="1353" w:hanging="360"/>
      </w:pPr>
      <w:fldSimple w:instr=" seq paragraphs ">
        <w:r w:rsidR="00D11E4C">
          <w:rPr>
            <w:noProof/>
          </w:rPr>
          <w:t>78</w:t>
        </w:r>
      </w:fldSimple>
      <w:r w:rsidR="00D11E4C">
        <w:t>. Az intézményeknek az ebben a táblában szereplő információkat a CRR 438. cikke h) pontjának alkalmazásában kell megadniuk. Ez a tábla nem tartalmazza a partnerkockázati kitettségeket (a CRR harmadik része II. címének 6. fejezete).</w:t>
      </w:r>
    </w:p>
    <w:p w:rsidR="002F29AF" w:rsidRDefault="0055388B" w:rsidP="00487A02">
      <w:pPr>
        <w:pStyle w:val="InstructionsText2"/>
        <w:numPr>
          <w:ilvl w:val="0"/>
          <w:numId w:val="0"/>
        </w:numPr>
        <w:ind w:left="1353" w:hanging="360"/>
      </w:pPr>
      <w:fldSimple w:instr=" seq paragraphs ">
        <w:r w:rsidR="002F29AF">
          <w:t>79</w:t>
        </w:r>
      </w:fldSimple>
      <w:r w:rsidR="002F29AF">
        <w:t>. Az intézményeknek az RWEA változását a vonatkozási időpont szerinti kockázattal súlyozott kitettségérték és az előző vonatkozási időpont szerinti kockázattal súlyozott kitettségérték közötti változásként kell megadniuk.</w:t>
      </w:r>
      <w:r w:rsidR="002F29AF">
        <w:rPr>
          <w:bCs/>
          <w:color w:val="000000"/>
        </w:rPr>
        <w:t xml:space="preserve"> </w:t>
      </w:r>
      <w:r w:rsidR="002F29AF">
        <w:t xml:space="preserve">Negyedéves adatszolgáltatás esetén az adatszolgáltatási vonatkozási időpont negyedéve előtti negyedév végét kell használni.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4" w:name="_Toc19715760"/>
      <w:bookmarkStart w:id="335" w:name="_Toc58858612"/>
      <w:r>
        <w:rPr>
          <w:rFonts w:ascii="Times New Roman" w:hAnsi="Times New Roman"/>
          <w:sz w:val="24"/>
        </w:rPr>
        <w:t>A tábla egyes részeire vonatkozó útmutató</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Oszlop</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KOCKÁZATTAL SÚLYOZOTT KITETTSÉGÉRTÉK</w:t>
            </w:r>
          </w:p>
          <w:p w:rsidR="008151A6" w:rsidRPr="00661595" w:rsidRDefault="008151A6" w:rsidP="00AC6619">
            <w:pPr>
              <w:rPr>
                <w:rFonts w:ascii="Times New Roman" w:hAnsi="Times New Roman"/>
                <w:sz w:val="24"/>
              </w:rPr>
            </w:pPr>
            <w:r>
              <w:rPr>
                <w:rFonts w:ascii="Times New Roman" w:hAnsi="Times New Roman"/>
                <w:sz w:val="24"/>
              </w:rPr>
              <w:t>A hitelkockázatra vonatkozó, kockázattal súlyozott teljes kitettségérték az IRB módszer szerint kiszámítva, figyelembe véve a CRR 501. és 501a. cikke szerinti szorzókat.</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Sorok</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KOCKÁZATTAL SÚLYOZOTT KITETTSÉGÉRTÉK AZ ELŐZŐ ADATSZOLGÁLTATÁSI IDŐSZAK VÉGÉN</w:t>
            </w:r>
          </w:p>
          <w:p w:rsidR="008151A6" w:rsidRPr="00661595" w:rsidRDefault="008151A6" w:rsidP="00F66DFB">
            <w:pPr>
              <w:rPr>
                <w:rFonts w:ascii="Times New Roman" w:hAnsi="Times New Roman"/>
                <w:sz w:val="24"/>
              </w:rPr>
            </w:pPr>
            <w:r>
              <w:rPr>
                <w:rFonts w:ascii="Times New Roman" w:hAnsi="Times New Roman"/>
                <w:sz w:val="24"/>
              </w:rPr>
              <w:t>Kockázattal súlyozott kitettségérték az előző adatszolgáltatási időszak végén, a CRR 501. és 501a. cikkében meghatározott kkv-szorzó és infrastruktúra-szorzó alkalmazását követően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ESZKÖZNAGYSÁG (+/–)</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kitettségértékben az eszközök nagysága miatt az előző adatszolgáltatási időszak vége és a folyó adatszolgáltatási időszak vége között bekövetkezett változás. Ide értendők a könyv nagyságát és összetételét érintő szerves változások (beleértve az új tevékenységek indítását és a lejáró hiteleket), de nem számítva a könyv nagyságában a gazdálkodó egységek akvizíciója és elidegenítése miatt bekövetkezett változásokat.</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ESZKÖZMINŐSÉG (+/–)</w:t>
            </w:r>
          </w:p>
          <w:p w:rsidR="008151A6" w:rsidRPr="00661595" w:rsidRDefault="008151A6" w:rsidP="00664874">
            <w:pPr>
              <w:rPr>
                <w:rFonts w:ascii="Times New Roman" w:hAnsi="Times New Roman"/>
                <w:sz w:val="24"/>
              </w:rPr>
            </w:pPr>
            <w:r>
              <w:rPr>
                <w:rFonts w:ascii="Times New Roman" w:hAnsi="Times New Roman"/>
                <w:sz w:val="24"/>
              </w:rPr>
              <w:lastRenderedPageBreak/>
              <w:t>A kockázattal súlyozott kitettségértékben az eszközminőség miatt az előző adatszolgáltatási időszak vége és a jelenlegi adatszolgáltatási időszak vége között bekövetkezett változás. Ide értendők az intézmény eszközeinek értékelt minőségében a hitelfelvevői kockázat változásai, például a minősítési kategória módosulása vagy hasonló hatások miatt bekövetkezett változások.</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MODELLFRISSÍTÉSEK (+/–)</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kitettségértékben a modellek frissítései miatt az előző adatszolgáltatási időszak vége és a jelenlegi adatszolgáltatási időszak vége között bekövetkezett változás. Ide értendők az új modellek bevezetése, a modellek változásai, a modell alkalmazási körének változásai vagy a modell hiányosságainak orvoslását célzó bármely egyéb változás miatt bekövetkezett változások.</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MÓDSZERTAN ÉS POLITIKA (+/–)</w:t>
            </w:r>
          </w:p>
          <w:p w:rsidR="008151A6" w:rsidRPr="00661595" w:rsidRDefault="008151A6" w:rsidP="00664874">
            <w:pPr>
              <w:rPr>
                <w:rFonts w:ascii="Times New Roman" w:hAnsi="Times New Roman"/>
                <w:sz w:val="24"/>
              </w:rPr>
            </w:pPr>
            <w:r>
              <w:rPr>
                <w:rFonts w:ascii="Times New Roman" w:hAnsi="Times New Roman"/>
                <w:sz w:val="24"/>
              </w:rPr>
              <w:t xml:space="preserve">A kockázattal súlyozott kitettségértékben a módszertan és a politika miatt az előző adatszolgáltatási időszak vége és a jelenlegi adatszolgáltatási időszak vége között bekövetkezett változás. Ide értendők a számításokban a szabályozási politika változásai, így például a meglévő szabályok módosítása és új szabályok bevezetése miatt bekövetkezett módszertani változások, de nem tartoznak ide a modellek azon változásai, amelyeket a 0040-es sor tartalmaz. </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AKVIZÍCIÓK ÉS ELIDEGENÍTÉSEK (+/–)</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kitettségértékben a felvásárlások és értékesítések miatt az előző adatszolgáltatási időszak vége és a jelenlegi  adatszolgáltatási időszak vége között bekövetkezett változás, azaz a könyv nagyságában a gazdálkodó egységek felvásárlása és eladása miatt bekövetkezett változások.</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DEVIZAÁRFOLYAM-MOZGÁSOK (+/–)</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kitettségértékben a devizaárfolyam-mozgások miatt az előző beszámolási időszak vége és a folyó beszámolási időszak vége között bekövetkezett változások, azaz a devizaátszámítási mozgásokból eredő változások.</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EGYÉB (+/–)</w:t>
            </w:r>
          </w:p>
          <w:p w:rsidR="008151A6" w:rsidRPr="00661595" w:rsidRDefault="008151A6" w:rsidP="00664874">
            <w:pPr>
              <w:rPr>
                <w:rFonts w:ascii="Times New Roman" w:hAnsi="Times New Roman"/>
                <w:sz w:val="24"/>
              </w:rPr>
            </w:pPr>
            <w:r>
              <w:rPr>
                <w:rFonts w:ascii="Times New Roman" w:hAnsi="Times New Roman"/>
                <w:sz w:val="24"/>
              </w:rPr>
              <w:t>A kockázattal súlyozott kitettségértékben egyéb tényezők miatt az előző adatszolgáltatási időszak vége és a jelenlegi adatszolgáltatási időszak vége között bekövetkezett változás.</w:t>
            </w:r>
          </w:p>
          <w:p w:rsidR="0044539D" w:rsidRPr="00661595" w:rsidRDefault="008151A6" w:rsidP="0044539D">
            <w:pPr>
              <w:rPr>
                <w:rFonts w:ascii="Times New Roman" w:hAnsi="Times New Roman"/>
                <w:sz w:val="24"/>
              </w:rPr>
            </w:pPr>
            <w:r>
              <w:rPr>
                <w:rFonts w:ascii="Times New Roman" w:hAnsi="Times New Roman"/>
                <w:sz w:val="24"/>
              </w:rPr>
              <w:lastRenderedPageBreak/>
              <w:t xml:space="preserve">Ezt a kategóriát a más kategóriába nem sorolható változások kimutatására kell használni. </w:t>
            </w:r>
          </w:p>
          <w:p w:rsidR="008151A6" w:rsidRPr="00661595" w:rsidRDefault="008151A6" w:rsidP="0044539D">
            <w:pPr>
              <w:rPr>
                <w:rFonts w:ascii="Times New Roman" w:hAnsi="Times New Roman"/>
                <w:sz w:val="24"/>
              </w:rPr>
            </w:pPr>
            <w:r>
              <w:rPr>
                <w:rFonts w:ascii="Times New Roman" w:hAnsi="Times New Roman"/>
                <w:sz w:val="24"/>
              </w:rPr>
              <w:t>A kockázattal súlyozott kitettségértékek növekedését pozitív összegként, a kockázattal súlyozott kitettségértékek csökkenését pedig negatív összegként kell feltüntetni.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KOCKÁZATTAL SÚLYOZOTT KITETTSÉGÉRTÉK AZ ADATSZOLGÁLTATÁSI IDŐSZAK VÉGÉN</w:t>
            </w:r>
          </w:p>
          <w:p w:rsidR="008151A6" w:rsidRPr="00661595" w:rsidRDefault="008151A6" w:rsidP="003F19BA">
            <w:pPr>
              <w:pStyle w:val="CommentText"/>
            </w:pPr>
            <w:r>
              <w:rPr>
                <w:rFonts w:ascii="Times New Roman" w:hAnsi="Times New Roman"/>
                <w:sz w:val="24"/>
              </w:rPr>
              <w:t>Kockázattal súlyozott kitettségérték az adatszolgáltatási időszakban, a CRR 501. és 501a. cikkében meghatározott kkv-szorzó és infrastruktúra-szorzó alkalmazását követően.</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6" w:name="_Toc19715761"/>
      <w:bookmarkStart w:id="337" w:name="_Toc58858613"/>
      <w:r>
        <w:rPr>
          <w:rFonts w:ascii="Times New Roman" w:hAnsi="Times New Roman"/>
          <w:sz w:val="24"/>
        </w:rPr>
        <w:t>C 08.05 – Hitelkockázat és nyitva szállítások: IRB módszer szerinti tőkekövetelmény: PD utótesztelése (CR IRB 5)</w:t>
      </w:r>
      <w:bookmarkEnd w:id="336"/>
      <w:bookmarkEnd w:id="33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8" w:name="_Toc19715762"/>
      <w:bookmarkStart w:id="339" w:name="_Toc58858614"/>
      <w:r>
        <w:rPr>
          <w:rFonts w:ascii="Times New Roman" w:hAnsi="Times New Roman"/>
          <w:sz w:val="24"/>
        </w:rPr>
        <w:t>Általános megjegyzések</w:t>
      </w:r>
      <w:bookmarkEnd w:id="338"/>
      <w:bookmarkEnd w:id="339"/>
    </w:p>
    <w:p w:rsidR="008151A6" w:rsidRPr="00661595" w:rsidRDefault="0055388B" w:rsidP="00487A02">
      <w:pPr>
        <w:pStyle w:val="InstructionsText2"/>
        <w:numPr>
          <w:ilvl w:val="0"/>
          <w:numId w:val="0"/>
        </w:numPr>
        <w:ind w:left="1353" w:hanging="360"/>
      </w:pPr>
      <w:fldSimple w:instr=" seq paragraphs ">
        <w:r w:rsidR="00D11E4C">
          <w:rPr>
            <w:noProof/>
          </w:rPr>
          <w:t>80</w:t>
        </w:r>
      </w:fldSimple>
      <w:r w:rsidR="00D11E4C">
        <w:t>. Az intézményeknek az ebben a táblában szereplő információkat a CRR 452. cikke h) pontjának alkalmazásában kell megadniuk. Az intézménynek az egyes kitettségi osztályokon belül figyelembe kell vennie az alkalmazott modelleket, és be kell mutatnia az azon modellek hatálya alá tartozó releváns kitettségi osztály kockázattal súlyozott kitettségértékének százalékos arányát, amelyekre vonatkozóan itt az utótesztelés eredményeit kell feltüntetni. Ez a tábla nem tartalmazza a partnerkockázati kitettségeket (a CRR harmadik része II. címének 6. fejezete).</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0" w:name="_Toc19715763"/>
      <w:bookmarkStart w:id="341" w:name="_Toc58858615"/>
      <w:r>
        <w:rPr>
          <w:rFonts w:ascii="Times New Roman" w:hAnsi="Times New Roman"/>
          <w:sz w:val="24"/>
        </w:rPr>
        <w:t>A tábla egyes részeire vonatkozó útmutató</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Oszlop</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PD SZÁMTANI ÁTLAGA (%)</w:t>
            </w:r>
          </w:p>
          <w:p w:rsidR="008151A6" w:rsidRPr="00661595" w:rsidRDefault="00463F88" w:rsidP="00E50FA0">
            <w:pPr>
              <w:rPr>
                <w:rFonts w:ascii="Times New Roman" w:hAnsi="Times New Roman"/>
                <w:b/>
                <w:sz w:val="24"/>
              </w:rPr>
            </w:pPr>
            <w:r>
              <w:rPr>
                <w:rFonts w:ascii="Times New Roman" w:hAnsi="Times New Roman"/>
                <w:sz w:val="24"/>
              </w:rPr>
              <w:t>A rögzített PD-sávba tartozó és a 0020. oszlopban összegzett kötelezettek PD-értékének számtani átlaga az adatszolgáltatási időszak kezdetén (a kötelezettek számával súlyozott átlag).</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KÖTELEZETTEK SZÁMA AZ ELŐZŐ ÉV VÉGÉN</w:t>
            </w:r>
          </w:p>
          <w:p w:rsidR="00E50FA0" w:rsidRDefault="008151A6" w:rsidP="00463F88">
            <w:pPr>
              <w:rPr>
                <w:rFonts w:ascii="Times New Roman" w:hAnsi="Times New Roman"/>
                <w:sz w:val="24"/>
              </w:rPr>
            </w:pPr>
            <w:r>
              <w:rPr>
                <w:rFonts w:ascii="Times New Roman" w:hAnsi="Times New Roman"/>
                <w:sz w:val="24"/>
              </w:rPr>
              <w:t xml:space="preserve">Az adatszolgáltatásban feltüntetendő kötelezettek száma az előző év végén. </w:t>
            </w:r>
          </w:p>
          <w:p w:rsidR="00463F88" w:rsidRPr="00661595" w:rsidRDefault="008151A6" w:rsidP="00463F88">
            <w:pPr>
              <w:rPr>
                <w:rFonts w:ascii="Times New Roman" w:hAnsi="Times New Roman"/>
                <w:sz w:val="24"/>
              </w:rPr>
            </w:pPr>
            <w:r>
              <w:rPr>
                <w:rFonts w:ascii="Times New Roman" w:hAnsi="Times New Roman"/>
                <w:sz w:val="24"/>
              </w:rPr>
              <w:t xml:space="preserve">Minden olyan kötelezettet figyelembe kell venni, aki az adott időpontban hitelkötelezettséget vállalt. </w:t>
            </w:r>
          </w:p>
          <w:p w:rsidR="008151A6" w:rsidRPr="00661595" w:rsidRDefault="008A0983" w:rsidP="008A0983">
            <w:pPr>
              <w:rPr>
                <w:rFonts w:ascii="Times New Roman" w:hAnsi="Times New Roman"/>
                <w:sz w:val="24"/>
              </w:rPr>
            </w:pPr>
            <w:r>
              <w:rPr>
                <w:rFonts w:ascii="Times New Roman" w:hAnsi="Times New Roman"/>
                <w:sz w:val="24"/>
              </w:rPr>
              <w:t>A kötelezettek számát a C 08.01. tábla 0300. oszlopára vonatkozó útmutatónak megfelelően kell számba venni. A közös kötelezetteket ugyanúgy kell kezelni, mint a PD-kalibráció alkalmazásában.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EBBŐL: AZ ÉV SORÁN NEM TELJESÍTETT</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Az év (azaz a nemteljesítési arány számításának megfigyelési időszaka) során nemteljesítővé vált kötelezettek száma.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A nemteljesítést a CRR 178. cikkével összhangban kell megállapítani. </w:t>
            </w:r>
          </w:p>
          <w:p w:rsidR="008151A6" w:rsidRPr="00661595" w:rsidRDefault="008151A6" w:rsidP="00664874">
            <w:pPr>
              <w:rPr>
                <w:rFonts w:ascii="Times New Roman" w:hAnsi="Times New Roman"/>
                <w:b/>
                <w:sz w:val="24"/>
                <w:u w:val="single"/>
              </w:rPr>
            </w:pPr>
            <w:r>
              <w:rPr>
                <w:rFonts w:ascii="Times New Roman" w:hAnsi="Times New Roman"/>
                <w:sz w:val="24"/>
              </w:rPr>
              <w:t>Minden egyes nemteljesítő kötelezettet csak egyszer kell figyelembe venni az egyéves nemteljesítési arány számításának számlálójában és nevezőjében, még akkor is, ha a kötelezett a vonatkozó egyéves időszak alatt egynél többször vált nemteljesítővé.</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MEGFIGYELT ÁTLAGOS NEMTELJESÍTÉSI ARÁNY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CRR 4. cikke (1) bekezdésének 78. pontjában említett egyéves nemteljesítési arány.</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Az intézmények biztosítják, hogy:</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a nevező az egyéves megfigyelési időszak kezdetén (azaz az adatszolgáltatási vonatkozási időpontot megelőző év elején) bármely hitelkötelezettséggel rendelkező teljesítő kötelezettek számából áll; ebben az összefüggésben a hitelkötelezettség a következők mindegyikére vonatkozik: i. bármely mérlegen belüli tétel, beleértve a tőkeösszeget, a kamatot és a díjakat; ii. bármely mérlegen kívüli tétel, beleértve az intézmény mint garantőr által kibocsátott garanciákat;</w:t>
            </w:r>
          </w:p>
          <w:p w:rsidR="008151A6" w:rsidRPr="00661595" w:rsidRDefault="008151A6" w:rsidP="00664874">
            <w:pPr>
              <w:rPr>
                <w:rFonts w:ascii="Times New Roman" w:hAnsi="Times New Roman"/>
                <w:sz w:val="24"/>
              </w:rPr>
            </w:pPr>
            <w:r>
              <w:rPr>
                <w:rFonts w:ascii="Times New Roman" w:hAnsi="Times New Roman"/>
                <w:sz w:val="24"/>
              </w:rPr>
              <w:t>b) a számláló magában foglal minden olyan, a nevezőben figyelembe vett kötelezettet, amelynek az egyéves megfigyelési időszakban (az adatszolgáltatási vonatkozási időpontot megelőző évben) legalább egy nemteljesítési eseménye volt.</w:t>
            </w:r>
          </w:p>
          <w:p w:rsidR="008151A6" w:rsidRPr="00661595" w:rsidRDefault="008151A6" w:rsidP="00851278">
            <w:pPr>
              <w:rPr>
                <w:rFonts w:ascii="Times New Roman" w:hAnsi="Times New Roman"/>
                <w:sz w:val="24"/>
              </w:rPr>
            </w:pPr>
            <w:r>
              <w:rPr>
                <w:rFonts w:ascii="Times New Roman" w:hAnsi="Times New Roman"/>
                <w:sz w:val="24"/>
              </w:rPr>
              <w:t>A kötelezettek számának kiszámításával kapcsolatban lásd a C 08.01. tábla 0300. oszlopát.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ÁTLAGOS MÚLTBELI ÉVES NEMTELJESÍTÉSI ARÁNY (%)</w:t>
            </w:r>
          </w:p>
          <w:p w:rsidR="008151A6" w:rsidRPr="00661595" w:rsidRDefault="00A5427A" w:rsidP="008E0688">
            <w:pPr>
              <w:rPr>
                <w:rFonts w:ascii="Times New Roman" w:hAnsi="Times New Roman"/>
                <w:sz w:val="24"/>
              </w:rPr>
            </w:pPr>
            <w:r>
              <w:rPr>
                <w:rFonts w:ascii="Times New Roman" w:hAnsi="Times New Roman"/>
                <w:sz w:val="24"/>
              </w:rPr>
              <w:t>Legalább a legutóbbi öt év éves nemteljesítési arányának egyszerű átlaga (az adott évben nemteljesítő kötelezettek száma minden év elején / az év elején meglévő összes kötelezett). Az intézmény figyelembe vehet olyan hosszabb időszakot is, amely összhangban van tényleges kockázatkezelési gyakorlatával.</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Sorok</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PD-SÁV</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A kitettségeket a rögzített PD-sáv megfelelő kategóriájához kell rendelni az ebbe a kitettségi osztályba sorolt egyes kötelezettek adatszolgáltatási időszak elején becsült PD-értéke alapján (a hitelkockázat-mérséklésből eredő helyettesítési hatások figyelembevétele nélkül). Az intézményeknek minden kitettséget egyenként kell a táblában megadott PD-sávhoz hozzárendelniük, figyelembe véve a folyamatos skálaértékeket is. Valamennyi nemteljesítő kitettséget a 100 %-os PD-t képviselő kategóriának kell tartalmaznia.</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2" w:name="_Toc19715764"/>
      <w:bookmarkStart w:id="343" w:name="_Toc58858616"/>
      <w:r>
        <w:rPr>
          <w:rFonts w:ascii="Times New Roman" w:hAnsi="Times New Roman"/>
          <w:sz w:val="24"/>
        </w:rPr>
        <w:t>C 08.05.1 – Hitelkockázat és nyitva szállítások: IRB módszer szerinti tőkekövetelmény: PD utótesztelése (CR IRB 5B)</w:t>
      </w:r>
      <w:bookmarkEnd w:id="342"/>
      <w:bookmarkEnd w:id="34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4" w:name="_Toc19715765"/>
      <w:bookmarkStart w:id="345" w:name="_Toc58858617"/>
      <w:r>
        <w:rPr>
          <w:rFonts w:ascii="Times New Roman" w:hAnsi="Times New Roman"/>
          <w:sz w:val="24"/>
        </w:rPr>
        <w:t>A tábla egyes részeire vonatkozó útmutató</w:t>
      </w:r>
      <w:bookmarkEnd w:id="344"/>
      <w:bookmarkEnd w:id="345"/>
    </w:p>
    <w:p w:rsidR="008151A6" w:rsidRPr="00661595" w:rsidRDefault="0055388B" w:rsidP="00487A02">
      <w:pPr>
        <w:pStyle w:val="InstructionsText2"/>
        <w:numPr>
          <w:ilvl w:val="0"/>
          <w:numId w:val="0"/>
        </w:numPr>
        <w:ind w:left="1353" w:hanging="360"/>
      </w:pPr>
      <w:fldSimple w:instr=" seq paragraphs ">
        <w:r w:rsidR="00D11E4C">
          <w:rPr>
            <w:noProof/>
          </w:rPr>
          <w:t>81</w:t>
        </w:r>
      </w:fldSimple>
      <w:r w:rsidR="00D11E4C">
        <w:t>. A C 08.05. táblán túlmenően az intézményeknek a C 08.05.1. táblában szereplő információkat is meg kell adniuk, amennyiben a PD-becslésre a CRR 180. cikke (1) bekezdésének f) pontját alkalmazzák. Csak az e cikk szerinti PD-becslésekre kell információt szolgáltatni. A kitöltési útmutató megegyezik a C 08.05 táblához tartozókkal, a következő kivételekkel:</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Oszlopok</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PD-SÁV</w:t>
            </w:r>
          </w:p>
          <w:p w:rsidR="008151A6" w:rsidRPr="00661595" w:rsidRDefault="008151A6" w:rsidP="00664874">
            <w:pPr>
              <w:rPr>
                <w:rFonts w:ascii="Times New Roman" w:hAnsi="Times New Roman"/>
                <w:sz w:val="24"/>
              </w:rPr>
            </w:pPr>
            <w:r>
              <w:rPr>
                <w:rFonts w:ascii="Times New Roman" w:hAnsi="Times New Roman"/>
                <w:sz w:val="24"/>
              </w:rPr>
              <w:lastRenderedPageBreak/>
              <w:t>Az intézményeknek a rögzített külső PD-sáv helyett a belső besorolásuknak megfelelően kell megadniuk a PD-sávokat, amelyet hozzárendelnek a külső hitelminősítő intézmény által használt skálához.</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lastRenderedPageBreak/>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KÜLSŐ MINŐSÍTÉSBEN SZEREPLŐ MEGFELELŐ ÉRTÉK</w:t>
            </w:r>
          </w:p>
          <w:p w:rsidR="008151A6" w:rsidRPr="00661595" w:rsidRDefault="00B7583B" w:rsidP="00815EE9">
            <w:pPr>
              <w:rPr>
                <w:rFonts w:ascii="Times New Roman" w:hAnsi="Times New Roman"/>
                <w:sz w:val="24"/>
              </w:rPr>
            </w:pPr>
            <w:r>
              <w:rPr>
                <w:rFonts w:ascii="Times New Roman" w:hAnsi="Times New Roman"/>
                <w:sz w:val="24"/>
              </w:rPr>
              <w:t>Az intézményeknek a CRR 180. cikke (1) bekezdésének f) pontja szerint figyelembe vett külső hitelminősítő intézmények mindegyikére vonatkozóan egy-egy oszlopot kell megadniuk. Az intézményeknek ezekben az oszlopokban fel kell tüntetniük azt a külső minősítést, amelyhez a belső PD-sávjaikat hozzárendelték.</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6" w:name="_Toc19715766"/>
      <w:bookmarkStart w:id="347" w:name="_Toc58858618"/>
      <w:r>
        <w:rPr>
          <w:rFonts w:ascii="Times New Roman" w:hAnsi="Times New Roman"/>
          <w:sz w:val="24"/>
        </w:rPr>
        <w:t>C 08.06 – Hitelkockázat és nyitva szállítások: IRB módszer szerinti tőkekövetelmény: slotting módszer szerinti speciális hitelezési kitettségek (CR IRB 6)</w:t>
      </w:r>
      <w:bookmarkEnd w:id="346"/>
      <w:bookmarkEnd w:id="34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8" w:name="_Toc19715767"/>
      <w:bookmarkStart w:id="349" w:name="_Toc58858619"/>
      <w:r>
        <w:rPr>
          <w:rFonts w:ascii="Times New Roman" w:hAnsi="Times New Roman"/>
          <w:sz w:val="24"/>
        </w:rPr>
        <w:t>Általános megjegyzések</w:t>
      </w:r>
      <w:bookmarkEnd w:id="348"/>
      <w:bookmarkEnd w:id="349"/>
    </w:p>
    <w:p w:rsidR="008151A6" w:rsidRPr="00661595" w:rsidRDefault="0055388B" w:rsidP="00487A02">
      <w:pPr>
        <w:pStyle w:val="InstructionsText2"/>
        <w:numPr>
          <w:ilvl w:val="0"/>
          <w:numId w:val="0"/>
        </w:numPr>
        <w:ind w:left="1353" w:hanging="360"/>
      </w:pPr>
      <w:fldSimple w:instr=" seq paragraphs ">
        <w:r w:rsidR="00D11E4C">
          <w:rPr>
            <w:noProof/>
          </w:rPr>
          <w:t>82</w:t>
        </w:r>
      </w:fldSimple>
      <w:r w:rsidR="00D11E4C">
        <w:t>. Az intézményeknek az ebben a táblában szereplő információkat a CRR 438. cikke e) pontjának alkalmazásában kell megadniuk. Az intézményeknek a 153. cikk (5) bekezdésének 1. táblázatában említett speciális hitelezési kitettségek következő típusairól kell adatot szolgáltatniuk:</w:t>
      </w:r>
    </w:p>
    <w:p w:rsidR="008151A6" w:rsidRPr="00661595" w:rsidRDefault="008151A6" w:rsidP="00487A02">
      <w:pPr>
        <w:pStyle w:val="InstructionsText2"/>
        <w:numPr>
          <w:ilvl w:val="1"/>
          <w:numId w:val="15"/>
        </w:numPr>
      </w:pPr>
      <w:r>
        <w:t>Projektfinanszírozás</w:t>
      </w:r>
    </w:p>
    <w:p w:rsidR="008151A6" w:rsidRPr="00661595" w:rsidRDefault="008151A6" w:rsidP="00487A02">
      <w:pPr>
        <w:pStyle w:val="InstructionsText2"/>
        <w:numPr>
          <w:ilvl w:val="1"/>
          <w:numId w:val="15"/>
        </w:numPr>
      </w:pPr>
      <w:r>
        <w:t>Jövedelemtermelő ingatlanok és magas volatilitású kereskedelmi ingatlanok</w:t>
      </w:r>
    </w:p>
    <w:p w:rsidR="008151A6" w:rsidRPr="00661595" w:rsidRDefault="008151A6" w:rsidP="00487A02">
      <w:pPr>
        <w:pStyle w:val="InstructionsText2"/>
        <w:numPr>
          <w:ilvl w:val="1"/>
          <w:numId w:val="15"/>
        </w:numPr>
      </w:pPr>
      <w:r>
        <w:t>Tárgyieszköz-finanszírozás</w:t>
      </w:r>
    </w:p>
    <w:p w:rsidR="008151A6" w:rsidRPr="00661595" w:rsidRDefault="008151A6" w:rsidP="00487A02">
      <w:pPr>
        <w:pStyle w:val="InstructionsText2"/>
        <w:numPr>
          <w:ilvl w:val="1"/>
          <w:numId w:val="15"/>
        </w:numPr>
      </w:pPr>
      <w:r>
        <w:t>Árufinanszírozás</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68"/>
      <w:bookmarkStart w:id="351" w:name="_Toc58858620"/>
      <w:r>
        <w:rPr>
          <w:rFonts w:ascii="Times New Roman" w:hAnsi="Times New Roman"/>
          <w:sz w:val="24"/>
        </w:rPr>
        <w:t>A tábla egyes részeire vonatkozó útmutató</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Oszlop</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HITEL-EGYENÉRTÉKESÍTÉSI TÉNYEZŐK ELŐTTI EREDETI KITETTSÉG</w:t>
            </w:r>
          </w:p>
          <w:p w:rsidR="008151A6" w:rsidRPr="00661595" w:rsidRDefault="008151A6" w:rsidP="00664874">
            <w:pPr>
              <w:rPr>
                <w:rFonts w:ascii="Times New Roman" w:hAnsi="Times New Roman"/>
                <w:sz w:val="24"/>
              </w:rPr>
            </w:pPr>
            <w:r>
              <w:rPr>
                <w:rFonts w:ascii="Times New Roman" w:hAnsi="Times New Roman"/>
                <w:sz w:val="24"/>
              </w:rPr>
              <w:t>Lásd a CR IRB táblához tartozó útmutatót.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HELYETTESÍTÉSI HATÁSSAL JÁRÓ CRM-TECHNIKÁK UTÁNI, A HITEL-EGYENÉRTÉKESÍTÉSI TÉNYEZŐK ELŐTTI KITETTSÉG</w:t>
            </w:r>
          </w:p>
          <w:p w:rsidR="008151A6" w:rsidRPr="00661595" w:rsidRDefault="008151A6" w:rsidP="00664874">
            <w:pPr>
              <w:rPr>
                <w:rFonts w:ascii="Times New Roman" w:hAnsi="Times New Roman"/>
                <w:sz w:val="24"/>
              </w:rPr>
            </w:pPr>
            <w:r>
              <w:rPr>
                <w:rFonts w:ascii="Times New Roman" w:hAnsi="Times New Roman"/>
                <w:sz w:val="24"/>
              </w:rPr>
              <w:t>Lásd a CR IRB táblához tartozó útmutatót.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EBBŐL: MÉRLEGEN KÍVÜLI TÉTELEK </w:t>
            </w:r>
          </w:p>
          <w:p w:rsidR="008151A6" w:rsidRPr="00661595" w:rsidRDefault="008151A6" w:rsidP="00664874">
            <w:pPr>
              <w:rPr>
                <w:rFonts w:ascii="Times New Roman" w:hAnsi="Times New Roman"/>
                <w:sz w:val="24"/>
              </w:rPr>
            </w:pPr>
            <w:r>
              <w:rPr>
                <w:rFonts w:ascii="Times New Roman" w:hAnsi="Times New Roman"/>
                <w:sz w:val="24"/>
              </w:rPr>
              <w:t>Lásd a CR SA táblához tartozó útmutatót.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KITETTSÉGÉRTÉK</w:t>
            </w:r>
          </w:p>
          <w:p w:rsidR="008151A6" w:rsidRPr="00661595" w:rsidRDefault="008151A6" w:rsidP="00664874">
            <w:pPr>
              <w:rPr>
                <w:rFonts w:ascii="Times New Roman" w:hAnsi="Times New Roman"/>
                <w:sz w:val="24"/>
              </w:rPr>
            </w:pPr>
            <w:r>
              <w:rPr>
                <w:rFonts w:ascii="Times New Roman" w:hAnsi="Times New Roman"/>
                <w:sz w:val="24"/>
              </w:rPr>
              <w:t>Lásd a CR IRB táblához tartozó útmutatót.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EBBŐL: PARTNERKOCKÁZATBÓL SZÁRMAZÓ </w:t>
            </w:r>
          </w:p>
          <w:p w:rsidR="008151A6" w:rsidRPr="00661595" w:rsidRDefault="008151A6" w:rsidP="00664874">
            <w:pPr>
              <w:rPr>
                <w:rFonts w:ascii="Times New Roman" w:hAnsi="Times New Roman"/>
                <w:sz w:val="24"/>
              </w:rPr>
            </w:pPr>
            <w:r>
              <w:rPr>
                <w:rFonts w:ascii="Times New Roman" w:hAnsi="Times New Roman"/>
                <w:sz w:val="24"/>
              </w:rPr>
              <w:t>Lásd a CR SA táblához tartozó útmutatót.</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KOCKÁZATI SÚLY:</w:t>
            </w:r>
          </w:p>
          <w:p w:rsidR="002771C5" w:rsidRDefault="0044539D" w:rsidP="00664874">
            <w:pPr>
              <w:rPr>
                <w:rFonts w:ascii="Times New Roman" w:hAnsi="Times New Roman"/>
                <w:sz w:val="24"/>
              </w:rPr>
            </w:pPr>
            <w:r>
              <w:rPr>
                <w:rFonts w:ascii="Times New Roman" w:hAnsi="Times New Roman"/>
                <w:sz w:val="24"/>
              </w:rPr>
              <w:t>A CRR 153. cikkének (5) bekezdése</w:t>
            </w:r>
          </w:p>
          <w:p w:rsidR="008151A6" w:rsidRPr="00661595" w:rsidRDefault="008151A6" w:rsidP="00664874">
            <w:pPr>
              <w:rPr>
                <w:rFonts w:ascii="Times New Roman" w:hAnsi="Times New Roman"/>
                <w:sz w:val="24"/>
              </w:rPr>
            </w:pPr>
            <w:r>
              <w:rPr>
                <w:rFonts w:ascii="Times New Roman" w:hAnsi="Times New Roman"/>
                <w:sz w:val="24"/>
              </w:rPr>
              <w:t xml:space="preserve">Ez egy információs célú, rögzített oszlop. Tartalma nem változtatható meg.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 SZORZÓK UTÁNI, KOCKÁZATTAL SÚLYOZOTT KITETTSÉGÉRTÉK</w:t>
            </w:r>
          </w:p>
          <w:p w:rsidR="008151A6" w:rsidRPr="00661595" w:rsidRDefault="008151A6" w:rsidP="00664874">
            <w:pPr>
              <w:rPr>
                <w:rFonts w:ascii="Times New Roman" w:hAnsi="Times New Roman"/>
                <w:b/>
                <w:sz w:val="24"/>
              </w:rPr>
            </w:pPr>
            <w:r>
              <w:rPr>
                <w:rFonts w:ascii="Times New Roman" w:hAnsi="Times New Roman"/>
                <w:sz w:val="24"/>
              </w:rPr>
              <w:t>Lásd a CR IRB táblához tartozó útmutatót.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VÁRHATÓ VESZTESÉGÉRTÉK</w:t>
            </w:r>
          </w:p>
          <w:p w:rsidR="008151A6" w:rsidRPr="00661595" w:rsidRDefault="008151A6" w:rsidP="00664874">
            <w:pPr>
              <w:rPr>
                <w:rFonts w:ascii="Times New Roman" w:hAnsi="Times New Roman"/>
                <w:b/>
                <w:sz w:val="24"/>
              </w:rPr>
            </w:pPr>
            <w:r>
              <w:rPr>
                <w:rFonts w:ascii="Times New Roman" w:hAnsi="Times New Roman"/>
                <w:sz w:val="24"/>
              </w:rPr>
              <w:t>Lásd a CR IRB táblához tartozó útmutatót.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ÉRTÉKELÉSI KORREKCIÓK ÉS CÉLTARTALÉKOK</w:t>
            </w:r>
          </w:p>
          <w:p w:rsidR="008151A6" w:rsidRPr="00661595" w:rsidRDefault="008151A6" w:rsidP="00664874">
            <w:pPr>
              <w:rPr>
                <w:rFonts w:ascii="Times New Roman" w:hAnsi="Times New Roman"/>
                <w:b/>
                <w:sz w:val="24"/>
              </w:rPr>
            </w:pPr>
            <w:r>
              <w:rPr>
                <w:rFonts w:ascii="Times New Roman" w:hAnsi="Times New Roman"/>
                <w:sz w:val="24"/>
              </w:rPr>
              <w:t>Lásd a CR IRB táblához tartozó útmutatót.</w:t>
            </w:r>
          </w:p>
        </w:tc>
      </w:tr>
    </w:tbl>
    <w:p w:rsidR="008151A6" w:rsidRPr="00661595"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Sorok</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A kitettségeket a CRR 153. cikke (5) bekezdésében található 1. táblázatnak megfelelően a megfelelő kategóriába és lejárathoz kell hozzárendelni.</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3" w:name="_Toc58858621"/>
      <w:r>
        <w:rPr>
          <w:rFonts w:ascii="Times New Roman" w:hAnsi="Times New Roman"/>
          <w:sz w:val="24"/>
        </w:rPr>
        <w:t>C 08.07 – Hitelkockázat és nyitva szállítások: IRB módszer szerinti tőkekövetelmény: az IRB módszer és a sztenderd módszer alkalmazási köre (CR IRB 7)</w:t>
      </w:r>
      <w:bookmarkEnd w:id="352"/>
      <w:bookmarkEnd w:id="35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4" w:name="_Toc19715770"/>
      <w:bookmarkStart w:id="355" w:name="_Toc58858622"/>
      <w:r>
        <w:rPr>
          <w:rFonts w:ascii="Times New Roman" w:hAnsi="Times New Roman"/>
          <w:sz w:val="24"/>
        </w:rPr>
        <w:t>Általános megjegyzések</w:t>
      </w:r>
      <w:bookmarkEnd w:id="354"/>
      <w:bookmarkEnd w:id="355"/>
    </w:p>
    <w:p w:rsidR="008151A6" w:rsidRPr="00661595" w:rsidRDefault="0055388B" w:rsidP="00487A02">
      <w:pPr>
        <w:pStyle w:val="InstructionsText2"/>
        <w:numPr>
          <w:ilvl w:val="0"/>
          <w:numId w:val="0"/>
        </w:numPr>
        <w:ind w:left="1353" w:hanging="360"/>
      </w:pPr>
      <w:fldSimple w:instr=" seq paragraphs ">
        <w:r w:rsidR="00D11E4C">
          <w:rPr>
            <w:noProof/>
          </w:rPr>
          <w:t>83</w:t>
        </w:r>
      </w:fldSimple>
      <w:r w:rsidR="00D11E4C">
        <w:t>. E tábla alkalmazásában a kockázattal súlyozott kitettségértéket a hitelkockázatra vonatkozó IRB módszer szerint számító intézmények feltüntetik a CRR harmadik része II. címének 2. fejezetében meghatározott sztenderd módszer vagy a CRR harmadik része II. címének 3. fejezetében meghatározott IRB módszer alá tartozó kitettségeiket, valamint az egyes kitettségi osztályoknak a fokozatos bevezetésre vonatkozó ütemezési terv hatálya alá tartozó részét. Az intézményeknek az ebben a táblában szereplő információkat kitettségi osztályok szerint kell megadniuk, a tábla soraiban szereplő kitettségi osztályok szerinti bontásban.</w:t>
      </w:r>
    </w:p>
    <w:p w:rsidR="008151A6" w:rsidRPr="00661595" w:rsidRDefault="0055388B" w:rsidP="00487A02">
      <w:pPr>
        <w:pStyle w:val="InstructionsText2"/>
        <w:numPr>
          <w:ilvl w:val="0"/>
          <w:numId w:val="0"/>
        </w:numPr>
        <w:ind w:left="1353" w:hanging="360"/>
      </w:pPr>
      <w:fldSimple w:instr=" seq paragraphs ">
        <w:r w:rsidR="00D11E4C">
          <w:rPr>
            <w:noProof/>
          </w:rPr>
          <w:t>84</w:t>
        </w:r>
      </w:fldSimple>
      <w:r w:rsidR="00D11E4C">
        <w:t>. A 0020–0040. oszlopnak a kitettségek teljes spektrumát le kell fednie, így e három oszlop minden egyes sorának összege az összes kitettségi osztály értékpapírosítási pozíciók és levont pozíciók nélkül számított 100 %-a.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6" w:name="_Toc19715771"/>
      <w:bookmarkStart w:id="357" w:name="_Toc58858623"/>
      <w:r>
        <w:rPr>
          <w:rFonts w:ascii="Times New Roman" w:hAnsi="Times New Roman"/>
          <w:sz w:val="24"/>
        </w:rPr>
        <w:t>A tábla egyes részeire vonatkozó útmutató</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Oszlop</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Útmutató</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A CRR 166. CIKKÉBEN MEGHATÁROZOTT TELJES KITETTSÉGÉRTÉK</w:t>
            </w:r>
          </w:p>
          <w:p w:rsidR="00EE6F6C" w:rsidRPr="00661595" w:rsidRDefault="00EE6F6C" w:rsidP="00840A22">
            <w:pPr>
              <w:rPr>
                <w:rFonts w:ascii="Times New Roman" w:hAnsi="Times New Roman"/>
                <w:b/>
                <w:sz w:val="24"/>
              </w:rPr>
            </w:pPr>
            <w:r>
              <w:rPr>
                <w:rFonts w:ascii="Times New Roman" w:hAnsi="Times New Roman"/>
                <w:sz w:val="24"/>
              </w:rPr>
              <w:lastRenderedPageBreak/>
              <w:t>Az intézmények a CRR 166. cikke szerint számított, hitelkockázat-mérséklés előtti kitettségértéket tüntetik fel.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 SZTENDERD MÓDSZER ÉS AZ IRB MÓDSZER HATÁLYA ALÁ TARTOZÓ TELJES KITETTSÉGÉRTÉK</w:t>
            </w:r>
          </w:p>
          <w:p w:rsidR="008151A6" w:rsidRPr="00661595" w:rsidRDefault="008151A6" w:rsidP="00EE6F6C">
            <w:pPr>
              <w:rPr>
                <w:rFonts w:ascii="Times New Roman" w:hAnsi="Times New Roman"/>
                <w:sz w:val="24"/>
              </w:rPr>
            </w:pPr>
            <w:r>
              <w:rPr>
                <w:rFonts w:ascii="Times New Roman" w:hAnsi="Times New Roman"/>
                <w:sz w:val="24"/>
              </w:rPr>
              <w:t>Az intézmények a CRR 429. cikkének (4) bekezdése szerinti, a hitelkockázat-mérséklés előtti kitettségértéket használják a teljes kitettségérték meghatározásához, amely tartalmazza mind a sztenderd módszer szerinti kitettségeket, mind az IRB módszer szerinti kitettségeket.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TARTÓS MENTESÍTÉS ALAPJÁN A SZTENDERD MÓDSZERREL KEZELT TELJES KITETTSÉGÉRTÉK SZÁZALÉKOS ARÁNYA (%)</w:t>
            </w:r>
          </w:p>
          <w:p w:rsidR="008151A6" w:rsidRPr="00661595" w:rsidRDefault="008151A6" w:rsidP="00EE6F6C">
            <w:pPr>
              <w:rPr>
                <w:rFonts w:ascii="Times New Roman" w:hAnsi="Times New Roman"/>
                <w:sz w:val="24"/>
              </w:rPr>
            </w:pPr>
            <w:r>
              <w:rPr>
                <w:rFonts w:ascii="Times New Roman" w:hAnsi="Times New Roman"/>
                <w:sz w:val="24"/>
              </w:rPr>
              <w:t>Az egyes kitettségi osztályokhoz tartozó kitettségeknek a sztenderd módszer hatálya alá tartozó része (a sztenderd módszer hatálya alá tartozó, hitelkockázat-mérséklés előtti kitettség a 0020. oszlopban szereplő kitettségi osztály teljes kitettségén belül), figyelembe véve a sztenderd módszer tartós mentesítés alapján történő alkalmazására vonatkozó, a CRR 150. cikkével összhangban az illetékes hatóságtól kapott engedély hatókörét.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 FOKOZATOS BEVEZETÉSRE VONATKOZÓ ÜTEMEZÉSI TERV HATÁLYA ALÁ TARTOZÓ TELJES KITETTSÉGÉRTÉK SZÁZALÉKOS ARÁNYA (%)</w:t>
            </w:r>
          </w:p>
          <w:p w:rsidR="008151A6" w:rsidRPr="00661595" w:rsidRDefault="008151A6" w:rsidP="00664874">
            <w:pPr>
              <w:rPr>
                <w:rFonts w:ascii="Times New Roman" w:hAnsi="Times New Roman"/>
                <w:sz w:val="24"/>
              </w:rPr>
            </w:pPr>
            <w:r>
              <w:rPr>
                <w:rFonts w:ascii="Times New Roman" w:hAnsi="Times New Roman"/>
                <w:sz w:val="24"/>
              </w:rPr>
              <w:t xml:space="preserve">Az egyes kitettségi osztályokhoz tartozó kitettségeknek a CRR 148. cikke szerinti, az IRB módszer fokozatos bevezetésének hatálya alá tartozó része. Ezek közé tartoznak a következők: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azon kitettségek, ahol az intézmények az IRB módszer alkalmazását tervezik az LGD és a hitel-egyenértékesítési tényezők saját becslésével vagy anélkül (F-IRB és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a 0020. vagy 0040. oszlopban nem szereplő immateriális részvénykitettségek;</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az F-IRB hatálya alá tartozó azon kitettségek, amelyek esetében az intézmény a jövőben A-IRB alkalmazását tervezi;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a felügyeleti slotting módszer szerinti azon speciális hitelezési kitettségek, amelyek nem szerepelnek a 0040. oszlopban.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AZ IRB MÓDSZER HATÁLYA ALÁ TARTOZÓ TELJES KITETTSÉGÉRTÉK SZÁZALÉKOS ARÁNYA (%)</w:t>
            </w:r>
          </w:p>
          <w:p w:rsidR="008151A6" w:rsidRPr="00661595" w:rsidRDefault="008151A6" w:rsidP="009A4399">
            <w:pPr>
              <w:rPr>
                <w:rFonts w:ascii="Times New Roman" w:hAnsi="Times New Roman"/>
                <w:b/>
                <w:sz w:val="24"/>
              </w:rPr>
            </w:pPr>
            <w:r>
              <w:rPr>
                <w:rFonts w:ascii="Times New Roman" w:hAnsi="Times New Roman"/>
                <w:sz w:val="24"/>
              </w:rPr>
              <w:t>Az egyes kitettségi osztályokhoz tartozó kitettségeknek az IRB módszer hatálya alá tartozó része (az IRB módszer hatálya alá tartozó, hitelkockázat-mérséklés előtti kitettség az adott kitettségi osztály teljes kitettségén belül), figyelembe véve az IRB módszer alkalmazására vonatkozó, a CRR 143. cikkével összhangban az illetékes hatóságtól kapott engedély hatókörét. Ez magában foglalja azokat a kitettségeket, amelyek esetében az intézmények engedélyt kaptak az LGD és a hitel-egyenértékesítési tényezők saját becslésének alkalmazására, és azokat, amelyek esetében nem kaptak ilyen engedélyt (F-IRB és A-IRB), a felügyeleti slotting módszer hatálya alá tartozó speciális hitelezési kitettségeket és az egyszerű kockázati súlyozású részvényjellegű kitettségeket, valamint a C 08.01. tábla 0170. sorában feltüntetett kitettségeket.</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Sorok</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Útmutató</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KITETTSÉGI OSZTÁLYOK</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Az intézményeknek az ebben a táblában szereplő információkat kitettségi osztályok szerint kell megadniuk, a tábla soraiban szereplő kitettségi osztályok szerinti bontásban.</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1"/>
      <w:bookmarkStart w:id="359" w:name="_Toc473560912"/>
      <w:bookmarkStart w:id="360" w:name="_Toc58858624"/>
      <w:r>
        <w:rPr>
          <w:rFonts w:ascii="Times New Roman" w:hAnsi="Times New Roman"/>
          <w:sz w:val="24"/>
          <w:u w:val="none"/>
        </w:rPr>
        <w:t>3.4.</w:t>
      </w:r>
      <w:r>
        <w:tab/>
      </w:r>
      <w:r>
        <w:rPr>
          <w:rFonts w:ascii="Times New Roman" w:hAnsi="Times New Roman"/>
          <w:sz w:val="24"/>
        </w:rPr>
        <w:t>Hitelkockázat, partnerkockázat és nyitva szállítások: földrajzi megoszlás</w:t>
      </w:r>
      <w:bookmarkEnd w:id="358"/>
      <w:bookmarkEnd w:id="359"/>
      <w:bookmarkEnd w:id="360"/>
    </w:p>
    <w:p w:rsidR="004357B9" w:rsidRPr="00661595" w:rsidRDefault="0055388B" w:rsidP="00487A02">
      <w:pPr>
        <w:pStyle w:val="InstructionsText2"/>
        <w:numPr>
          <w:ilvl w:val="0"/>
          <w:numId w:val="0"/>
        </w:numPr>
        <w:ind w:left="1353" w:hanging="360"/>
      </w:pPr>
      <w:fldSimple w:instr=" seq paragraphs ">
        <w:r w:rsidR="00D11E4C">
          <w:rPr>
            <w:noProof/>
          </w:rPr>
          <w:t>85</w:t>
        </w:r>
      </w:fldSimple>
      <w:r w:rsidR="00D11E4C">
        <w:t>.</w:t>
      </w:r>
      <w:r w:rsidR="00D11E4C">
        <w:tab/>
        <w:t>Minden intézménynek összesített szinten aggregált információkat kell benyújtania. Emellett az e végrehajtási rendelet 5. cikke (5) bekezdésében rögzített küszöbértéket elérő intézményeknek belföldre és külföldre vonatkozóan egyaránt, országonkénti bontásban adatot kell szolgáltatniuk. A küszöbérték kizárólag a CR GB 1 és a CR GB 2 táblára vonatkozik. A szupranacionális szervezetekkel szembeni kitettségeket az „Egyéb országok” földrajzi területhez kell sorolni.</w:t>
      </w:r>
    </w:p>
    <w:p w:rsidR="004357B9" w:rsidRPr="00661595" w:rsidRDefault="0055388B" w:rsidP="00487A02">
      <w:pPr>
        <w:pStyle w:val="InstructionsText2"/>
        <w:numPr>
          <w:ilvl w:val="0"/>
          <w:numId w:val="0"/>
        </w:numPr>
        <w:ind w:left="1353" w:hanging="360"/>
      </w:pPr>
      <w:fldSimple w:instr=" seq paragraphs ">
        <w:r w:rsidR="00D11E4C">
          <w:rPr>
            <w:noProof/>
          </w:rPr>
          <w:t>86</w:t>
        </w:r>
      </w:fldSimple>
      <w:r w:rsidR="00D11E4C">
        <w:t>.</w:t>
      </w:r>
      <w:r w:rsidR="00D11E4C">
        <w:tab/>
        <w:t>A kötelezett székhelye a kötelezett bejegyzése szerinti országot jelenti. A fogalom a közvetlen kötelezett és a végső kockázatviselő alapján is alkalmazható. A helyettesítési hatással járó hitelkockázat-mérséklési technikákkal módosítható egy kitettség ország szerinti besorolása. A szupranacionális szervezetekkel szembeni kitettségeket nem az intézmény székhelye szerinti országhoz, hanem az „Egyéb országok” földrajzi területhez kell sorolni, a szupranacionális szervezettel szembeni kitettség kitettségosztályától függetlenül.</w:t>
      </w:r>
    </w:p>
    <w:p w:rsidR="0096378F" w:rsidRPr="00661595" w:rsidRDefault="0055388B" w:rsidP="00487A02">
      <w:pPr>
        <w:pStyle w:val="InstructionsText2"/>
        <w:numPr>
          <w:ilvl w:val="0"/>
          <w:numId w:val="0"/>
        </w:numPr>
        <w:ind w:left="1353" w:hanging="360"/>
      </w:pPr>
      <w:fldSimple w:instr=" seq paragraphs ">
        <w:r w:rsidR="00D11E4C">
          <w:rPr>
            <w:noProof/>
          </w:rPr>
          <w:t>87</w:t>
        </w:r>
      </w:fldSimple>
      <w:r w:rsidR="00D11E4C">
        <w:t>.</w:t>
      </w:r>
      <w:r w:rsidR="00D11E4C">
        <w:tab/>
        <w:t>A hitel-egyenértékesítési tényezők előtti eredeti kitettségre vonatkozó adatokat a közvetlen kötelezett székhelye szerint kell feltüntetni. A kitettségértékre és kockázattal súlyozott kitettségértékre vonatkozó adatokat a végső kötelezett székhelye szerint kell feltüntetni.</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1" w:name="_Toc360188362"/>
      <w:bookmarkStart w:id="362" w:name="_Toc473560913"/>
      <w:bookmarkStart w:id="363" w:name="_Toc58858625"/>
      <w:r>
        <w:rPr>
          <w:rFonts w:ascii="Times New Roman" w:hAnsi="Times New Roman"/>
          <w:sz w:val="24"/>
          <w:u w:val="none"/>
        </w:rPr>
        <w:t>3.4.1</w:t>
      </w:r>
      <w:r w:rsidRPr="00BA7F92">
        <w:rPr>
          <w:rFonts w:ascii="Times New Roman" w:hAnsi="Times New Roman"/>
          <w:sz w:val="24"/>
          <w:u w:val="none"/>
        </w:rPr>
        <w:t>.</w:t>
      </w:r>
      <w:r w:rsidRPr="00BA7F92">
        <w:rPr>
          <w:u w:val="none"/>
        </w:rPr>
        <w:tab/>
      </w:r>
      <w:r>
        <w:rPr>
          <w:rFonts w:ascii="Times New Roman" w:hAnsi="Times New Roman"/>
          <w:sz w:val="24"/>
        </w:rPr>
        <w:t>C 09.01 – Kitettségek földrajzi bontása a kötelezett illetősége szerint: SA kitettségek (CR GB 1)</w:t>
      </w:r>
      <w:bookmarkEnd w:id="361"/>
      <w:bookmarkEnd w:id="362"/>
      <w:bookmarkEnd w:id="363"/>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4" w:name="_Toc360188363"/>
      <w:bookmarkStart w:id="365" w:name="_Toc473560914"/>
      <w:bookmarkStart w:id="366" w:name="_Toc58858626"/>
      <w:r>
        <w:rPr>
          <w:rFonts w:ascii="Times New Roman" w:hAnsi="Times New Roman"/>
          <w:sz w:val="24"/>
          <w:u w:val="none"/>
        </w:rPr>
        <w:t>3.4.1.1.</w:t>
      </w:r>
      <w:r w:rsidRPr="00BA7F92">
        <w:rPr>
          <w:u w:val="none"/>
        </w:rPr>
        <w:tab/>
      </w:r>
      <w:r>
        <w:rPr>
          <w:rFonts w:ascii="Times New Roman" w:hAnsi="Times New Roman"/>
          <w:sz w:val="24"/>
        </w:rPr>
        <w:t>A tábla egyes részeire vonatkozó útmutató</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Oszlop</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HITEL-EGYENÉRTÉKESÍTÉSI TÉNYEZŐK ELŐTTI EREDETI KITETTSÉG</w:t>
            </w:r>
          </w:p>
          <w:p w:rsidR="004357B9" w:rsidRPr="00661595" w:rsidRDefault="004357B9" w:rsidP="004357B9">
            <w:pPr>
              <w:rPr>
                <w:rFonts w:ascii="Times New Roman" w:hAnsi="Times New Roman"/>
                <w:sz w:val="24"/>
              </w:rPr>
            </w:pPr>
            <w:r>
              <w:rPr>
                <w:rFonts w:ascii="Times New Roman" w:hAnsi="Times New Roman"/>
                <w:sz w:val="24"/>
              </w:rPr>
              <w:t>A CR SA tábla 0010. oszlopával azonos meghatározás.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Nemteljesítő kitettségek</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A nemteljesítő kitettségként besorolt kitettségek, valamint a „kiemelkedően magas kockázatú tételek” vagy a „részvényjellegű kitettségek” kitettségi osztályba sorolt nemteljesítő kitettségek hitel-egyenértékesítési tényezők előtti eredeti kitettsége.</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Ez a tájékoztató adat kiegészítő információt nyújt a nemteljesítő kitettségek kötelezetti struktúrájáról. A CRR 112. cikkének j) pontjában említett „nemteljesítő kitettségekhez” </w:t>
            </w:r>
            <w:r>
              <w:rPr>
                <w:rStyle w:val="InstructionsTabelleText"/>
                <w:rFonts w:ascii="Times New Roman" w:hAnsi="Times New Roman"/>
                <w:sz w:val="24"/>
              </w:rPr>
              <w:lastRenderedPageBreak/>
              <w:t xml:space="preserve">sorolt kitettségeket kell megadni, amelyeknél a kötelezettekről adatot kellett volna szolgáltatni, ha a kitettségek nem a „nemteljesítő kitettségek” kitettségi osztályba tartoznának. </w:t>
            </w:r>
          </w:p>
          <w:p w:rsidR="004357B9" w:rsidRPr="00661595" w:rsidRDefault="004357B9" w:rsidP="00763B4B">
            <w:pPr>
              <w:rPr>
                <w:rFonts w:ascii="Times New Roman" w:hAnsi="Times New Roman"/>
                <w:sz w:val="24"/>
              </w:rPr>
            </w:pPr>
            <w:r>
              <w:rPr>
                <w:rStyle w:val="InstructionsTabelleText"/>
                <w:rFonts w:ascii="Times New Roman" w:hAnsi="Times New Roman"/>
                <w:sz w:val="24"/>
              </w:rPr>
              <w:t>A megadott érték tájékoztató adat, így nem érinti a CRR 112. cikkének j), k), és p) pontjában említett „nemteljesítő kitettségek”, „kiemelkedően magas kockázatú tételek” vagy „részvényjellegű kitettségek” kitettségi osztályba sorolt, kockázattal súlyozott kitettségértékek kiszámítását.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Az időszakban megállapított új nemteljesítések</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A legutóbbi adatszolgáltatási vonatkozási időpont óta eltelt 3 hónap során a „nemteljesítő kitettségek” kitettségi osztályba átsorolt eredeti kitettségek összegét abban a kitettségi osztályban kell feltüntetni, amelybe a kötelezett eredetileg tartozott.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Általános hitelkockázati kiigazítások</w:t>
            </w:r>
          </w:p>
          <w:p w:rsidR="004357B9" w:rsidRPr="00661595" w:rsidRDefault="004357B9" w:rsidP="004357B9">
            <w:pPr>
              <w:rPr>
                <w:rFonts w:ascii="Times New Roman" w:hAnsi="Times New Roman"/>
                <w:sz w:val="24"/>
              </w:rPr>
            </w:pPr>
            <w:r>
              <w:rPr>
                <w:rFonts w:ascii="Times New Roman" w:hAnsi="Times New Roman"/>
                <w:sz w:val="24"/>
              </w:rPr>
              <w:t xml:space="preserve">A CRR 110. cikkében és a 183/2014/EU rendeletben említett hitelkockázati kiigazítások. </w:t>
            </w:r>
          </w:p>
          <w:p w:rsidR="00D95045" w:rsidRPr="00661595" w:rsidRDefault="00D95045" w:rsidP="00D95045">
            <w:pPr>
              <w:rPr>
                <w:rFonts w:ascii="Times New Roman" w:hAnsi="Times New Roman"/>
                <w:sz w:val="24"/>
              </w:rPr>
            </w:pPr>
            <w:r>
              <w:rPr>
                <w:rFonts w:ascii="Times New Roman" w:hAnsi="Times New Roman"/>
                <w:sz w:val="24"/>
              </w:rPr>
              <w:t>A tétel azokat az általános hitelkockázati kiigazításokat foglalja magában, amelyek beszámíthatók a T2 tőkébe, a CRR 62. cikkének c) pontjában említett felső határ alkalmazása előtt.</w:t>
            </w:r>
          </w:p>
          <w:p w:rsidR="00D95045" w:rsidRPr="00661595" w:rsidRDefault="00D95045" w:rsidP="00D95045">
            <w:pPr>
              <w:rPr>
                <w:rFonts w:ascii="Times New Roman" w:hAnsi="Times New Roman"/>
                <w:b/>
                <w:sz w:val="24"/>
                <w:u w:val="single"/>
              </w:rPr>
            </w:pPr>
            <w:r>
              <w:rPr>
                <w:rFonts w:ascii="Times New Roman" w:hAnsi="Times New Roman"/>
                <w:sz w:val="24"/>
              </w:rPr>
              <w:t>A feltüntetendő értéknek tartalmaznia kell az adóhatásokat is.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Egyedi hitelkockázati kiigazítások</w:t>
            </w:r>
          </w:p>
          <w:p w:rsidR="004357B9" w:rsidRPr="00661595" w:rsidRDefault="004357B9" w:rsidP="003B2712">
            <w:pPr>
              <w:rPr>
                <w:rFonts w:ascii="Times New Roman" w:hAnsi="Times New Roman"/>
                <w:b/>
                <w:sz w:val="24"/>
                <w:u w:val="single"/>
              </w:rPr>
            </w:pPr>
            <w:r>
              <w:rPr>
                <w:rFonts w:ascii="Times New Roman" w:hAnsi="Times New Roman"/>
                <w:sz w:val="24"/>
              </w:rPr>
              <w:t>A CRR 110. cikkében és a 183/2014/EU rendeletben említett hitelkockázati kiigazítások.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Leírások</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Az IFRS 9 5.4.4. bekezdésében és B5.4.9. bekezdésében említett leírások.</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Kiegészítő értékelési korrekciók és egyéb szavatolótőke-csökkentések</w:t>
            </w:r>
          </w:p>
          <w:p w:rsidR="00664874" w:rsidRPr="00661595" w:rsidRDefault="00664874" w:rsidP="00664874">
            <w:pPr>
              <w:rPr>
                <w:rFonts w:ascii="Times New Roman" w:hAnsi="Times New Roman"/>
                <w:b/>
                <w:sz w:val="24"/>
                <w:u w:val="single"/>
              </w:rPr>
            </w:pPr>
            <w:r>
              <w:rPr>
                <w:rFonts w:ascii="Times New Roman" w:hAnsi="Times New Roman"/>
                <w:sz w:val="24"/>
              </w:rPr>
              <w:t>A CRR 111. cikkével összhangban.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 megállapított új nemteljesítések utáni hitelkockázati kiigazítások/leírások</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 legutóbbi adatszolgáltatás óta eltelt 3 hónap során a „nemteljesítő kitettségek” közé sorolt kitettségek utáni hitelkockázati kiigazítások és leírások összege.</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Kitettségérték</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 CR SA tábla 0200. oszlopával azonos meghatározás.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 SZORZÓK ELŐTTI, KOCKÁZATTAL SÚLYOZOTT KITETTSÉGÉRTÉK</w:t>
            </w:r>
          </w:p>
          <w:p w:rsidR="004357B9" w:rsidRPr="00661595" w:rsidRDefault="004357B9" w:rsidP="004357B9">
            <w:pPr>
              <w:rPr>
                <w:rFonts w:ascii="Times New Roman" w:hAnsi="Times New Roman"/>
                <w:b/>
                <w:sz w:val="24"/>
                <w:u w:val="single"/>
              </w:rPr>
            </w:pPr>
            <w:r>
              <w:rPr>
                <w:rFonts w:ascii="Times New Roman" w:hAnsi="Times New Roman"/>
                <w:sz w:val="24"/>
              </w:rPr>
              <w:t>A CR SA tábla 0215. oszlopával azonos meghatározás.</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 KOCKÁZATTAL SÚLYOZOTT KITETTSÉGÉRTÉK KKV-SZORZÓ MIATTI KORREKCIÓJA</w:t>
            </w:r>
          </w:p>
          <w:p w:rsidR="00664874" w:rsidRPr="00661595" w:rsidRDefault="00664874" w:rsidP="003F19BA">
            <w:pPr>
              <w:rPr>
                <w:rFonts w:ascii="Times New Roman" w:hAnsi="Times New Roman"/>
                <w:b/>
                <w:sz w:val="24"/>
                <w:u w:val="single"/>
              </w:rPr>
            </w:pPr>
            <w:r>
              <w:rPr>
                <w:rFonts w:ascii="Times New Roman" w:hAnsi="Times New Roman"/>
                <w:sz w:val="24"/>
              </w:rPr>
              <w:t>A CR SA tábla 0216. oszlopával azonos meghatározás.</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 KOCKÁZATTAL SÚLYOZOTT KITETTSÉGÉRTÉK INFRASTRUKTÚRA-SZORZÓ MIATTI KORREKCIÓJA</w:t>
            </w:r>
          </w:p>
          <w:p w:rsidR="00664874" w:rsidRPr="00661595" w:rsidRDefault="00664874" w:rsidP="000E197A">
            <w:pPr>
              <w:rPr>
                <w:rFonts w:ascii="Times New Roman" w:hAnsi="Times New Roman"/>
                <w:b/>
                <w:sz w:val="24"/>
                <w:u w:val="single"/>
              </w:rPr>
            </w:pPr>
            <w:r>
              <w:rPr>
                <w:rFonts w:ascii="Times New Roman" w:hAnsi="Times New Roman"/>
                <w:sz w:val="24"/>
              </w:rPr>
              <w:lastRenderedPageBreak/>
              <w:t>A CR SA tábla 0217. oszlopával azonos meghatározás.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 SZORZÓK UTÁNI, KOCKÁZATTAL SÚLYOZOTT KITETTSÉGÉRTÉK</w:t>
            </w:r>
          </w:p>
          <w:p w:rsidR="004357B9" w:rsidRPr="00661595" w:rsidRDefault="004357B9" w:rsidP="004357B9">
            <w:pPr>
              <w:rPr>
                <w:rFonts w:ascii="Times New Roman" w:hAnsi="Times New Roman"/>
                <w:b/>
                <w:sz w:val="24"/>
                <w:u w:val="single"/>
              </w:rPr>
            </w:pPr>
            <w:r>
              <w:rPr>
                <w:rFonts w:ascii="Times New Roman" w:hAnsi="Times New Roman"/>
                <w:sz w:val="24"/>
              </w:rPr>
              <w:t>A CR SA tábla 0220. oszlopával azonos meghatározás.</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Sorok</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Központi kormányzatok vagy központi bankok</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 CRR 112. cikkének a) pontja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Regionális kormányzatok vagy helyi hatóságok</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 cikkének b) pontja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Közszektorbeli intézmények</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 cikkének c) pontja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Multilaterális fejlesztési bankok</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w:t>
            </w:r>
            <w:r>
              <w:rPr>
                <w:rFonts w:ascii="Times New Roman" w:hAnsi="Times New Roman"/>
                <w:sz w:val="24"/>
              </w:rPr>
              <w:t xml:space="preserve"> </w:t>
            </w:r>
            <w:r>
              <w:rPr>
                <w:rStyle w:val="InstructionsTabelleText"/>
                <w:rFonts w:ascii="Times New Roman" w:hAnsi="Times New Roman"/>
                <w:sz w:val="24"/>
              </w:rPr>
              <w:t>cikkének</w:t>
            </w:r>
            <w:r>
              <w:rPr>
                <w:rFonts w:ascii="Times New Roman" w:hAnsi="Times New Roman"/>
                <w:sz w:val="24"/>
              </w:rPr>
              <w:t xml:space="preserve"> </w:t>
            </w:r>
            <w:r>
              <w:rPr>
                <w:rFonts w:ascii="Times New Roman" w:hAnsi="Times New Roman"/>
                <w:bCs/>
                <w:sz w:val="24"/>
              </w:rPr>
              <w:t>d) pontja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Nemzetközi szervezetek</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 cikkének e) pontja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Intézmények</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 cikkének f) pontja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Vállalkozások</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 cikkének g) pontja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Ebből: KKV</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0020. sorával azonos meghatározás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Lakosság</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 cikkének h) pontja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Ebből: KKV</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0020. sorával azonos meghatározás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Ingatlanra bejegyzett zálogjoggal fedezett kitettségek</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 xml:space="preserve">A CRR 112. cikkének </w:t>
            </w:r>
            <w:r>
              <w:rPr>
                <w:rFonts w:ascii="Times New Roman" w:hAnsi="Times New Roman"/>
                <w:bCs/>
                <w:sz w:val="24"/>
              </w:rPr>
              <w:t>i) pontja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Ebből: KKV</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0020. sorával azonos meghatározás</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lastRenderedPageBreak/>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Nemteljesítő kitettségek</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 cikkének j) pontja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Kiemelkedően magas kockázatú tételek</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 CRR 112. cikkének k) pontja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Fedezett kötvények</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A CRR 112. cikkének l) pontja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Rövid távú hitelminősítéssel rendelkező intézményekkel és vállalkozásokkal szembeni követelések</w:t>
            </w:r>
          </w:p>
          <w:p w:rsidR="004357B9" w:rsidRPr="00661595" w:rsidRDefault="00D21B29" w:rsidP="00D21B29">
            <w:pPr>
              <w:ind w:left="72"/>
              <w:rPr>
                <w:rFonts w:ascii="Times New Roman" w:hAnsi="Times New Roman"/>
                <w:sz w:val="24"/>
              </w:rPr>
            </w:pPr>
            <w:r>
              <w:rPr>
                <w:rFonts w:ascii="Times New Roman" w:hAnsi="Times New Roman"/>
                <w:sz w:val="24"/>
              </w:rPr>
              <w:t xml:space="preserve">A CRR 112. cikkének </w:t>
            </w:r>
            <w:r>
              <w:rPr>
                <w:rFonts w:ascii="Times New Roman" w:hAnsi="Times New Roman"/>
                <w:bCs/>
                <w:sz w:val="24"/>
              </w:rPr>
              <w:t>n) pontja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Kollektív befektetési formák (KBF)</w:t>
            </w:r>
          </w:p>
          <w:p w:rsidR="004357B9" w:rsidRDefault="00D21B29" w:rsidP="00D21B29">
            <w:pPr>
              <w:ind w:left="72"/>
              <w:rPr>
                <w:rFonts w:ascii="Times New Roman" w:hAnsi="Times New Roman"/>
                <w:bCs/>
                <w:sz w:val="24"/>
              </w:rPr>
            </w:pPr>
            <w:r>
              <w:rPr>
                <w:rFonts w:ascii="Times New Roman" w:hAnsi="Times New Roman"/>
                <w:bCs/>
                <w:sz w:val="24"/>
              </w:rPr>
              <w:t>A CRR 112. cikkének o) pontja</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A 0141–0143. sorok összege</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Az áttekintés elve</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0281. sorával azonos meghatározás</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 megbízatáson alapuló módszer</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0282. sorával azonos meghatározás</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Tartalékmódszer (Fall-back approach)</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 SA tábla 0283. sorával azonos meghatározás</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Részvényjellegű kitettségek</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 cikkének p) pontja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Egyéb kitettségek</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 CRR 112. cikkének q) pontja</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Teljes kitettség</w:t>
            </w:r>
          </w:p>
        </w:tc>
      </w:tr>
    </w:tbl>
    <w:p w:rsidR="004357B9" w:rsidRPr="00661595" w:rsidRDefault="004357B9" w:rsidP="004357B9">
      <w:pPr>
        <w:spacing w:before="0" w:after="200" w:line="312" w:lineRule="auto"/>
        <w:jc w:val="left"/>
        <w:rPr>
          <w:rFonts w:ascii="Times New Roman" w:hAnsi="Times New Roman"/>
          <w:sz w:val="24"/>
        </w:rPr>
      </w:pPr>
      <w:bookmarkStart w:id="367"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5"/>
      <w:bookmarkStart w:id="369" w:name="_Toc58858627"/>
      <w:r>
        <w:rPr>
          <w:rFonts w:ascii="Times New Roman" w:hAnsi="Times New Roman"/>
          <w:sz w:val="24"/>
          <w:u w:val="none"/>
        </w:rPr>
        <w:t>3.4.2.</w:t>
      </w:r>
      <w:r w:rsidRPr="00BA7F92">
        <w:rPr>
          <w:u w:val="none"/>
        </w:rPr>
        <w:tab/>
      </w:r>
      <w:r>
        <w:rPr>
          <w:rFonts w:ascii="Times New Roman" w:hAnsi="Times New Roman"/>
          <w:sz w:val="24"/>
        </w:rPr>
        <w:t xml:space="preserve">C 09.02 – Kitettségek földrajzi bontása a kötelezett illetősége szerint: </w:t>
      </w:r>
      <w:bookmarkStart w:id="370" w:name="_Toc360188364"/>
      <w:r>
        <w:rPr>
          <w:rFonts w:ascii="Times New Roman" w:hAnsi="Times New Roman"/>
          <w:sz w:val="24"/>
        </w:rPr>
        <w:t>IRB-kitettségek (CR GB 2)</w:t>
      </w:r>
      <w:bookmarkEnd w:id="368"/>
      <w:bookmarkEnd w:id="369"/>
      <w:bookmarkEnd w:id="37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5"/>
      <w:bookmarkStart w:id="372" w:name="_Toc473560916"/>
      <w:bookmarkStart w:id="373" w:name="_Toc58858628"/>
      <w:r>
        <w:rPr>
          <w:rFonts w:ascii="Times New Roman" w:hAnsi="Times New Roman"/>
          <w:sz w:val="24"/>
          <w:u w:val="none"/>
        </w:rPr>
        <w:t>3.4.2.1.</w:t>
      </w:r>
      <w:r w:rsidRPr="00BA7F92">
        <w:rPr>
          <w:u w:val="none"/>
        </w:rPr>
        <w:tab/>
      </w:r>
      <w:r>
        <w:rPr>
          <w:rFonts w:ascii="Times New Roman" w:hAnsi="Times New Roman"/>
          <w:sz w:val="24"/>
        </w:rPr>
        <w:t>A tábla egyes részeire vonatkozó útmutató</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Oszlop</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KITETTSÉG</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A CR IRB tábla 0020. oszlopával azonos meghatározás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Ebből: nemteljesítő</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lastRenderedPageBreak/>
              <w:t>A CRR 178. cikke szerint nemteljesítő kitettségként besorolt kitettségek eredeti kitettségértéke.</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Az időszakban megállapított új nemteljesítések</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A legutóbbi adatszolgáltatási vonatkozási időpont óta eltelt 3 hónap során a CRR 178. cikke szerint nemteljesítő kitettségként besorolt kitettségek eredeti kitettségértékét abban a kitettségi osztályban kell feltüntetni, amelybe a kötelezett tartozik.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Általános hitelkockázati kiigazítások</w:t>
            </w:r>
          </w:p>
          <w:p w:rsidR="004357B9" w:rsidRPr="00661595" w:rsidRDefault="004357B9" w:rsidP="00D82B60">
            <w:pPr>
              <w:rPr>
                <w:rFonts w:ascii="Times New Roman" w:hAnsi="Times New Roman"/>
                <w:b/>
                <w:sz w:val="24"/>
                <w:u w:val="single"/>
              </w:rPr>
            </w:pPr>
            <w:r>
              <w:rPr>
                <w:rFonts w:ascii="Times New Roman" w:hAnsi="Times New Roman"/>
                <w:sz w:val="24"/>
              </w:rPr>
              <w:t>A CRR 110. cikkében és a 183/2014/EU rendeletben említett hitelkockázati kiigazítások.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Egyedi hitelkockázati kiigazítások</w:t>
            </w:r>
          </w:p>
          <w:p w:rsidR="004357B9" w:rsidRPr="00661595" w:rsidRDefault="004357B9" w:rsidP="003B2712">
            <w:pPr>
              <w:rPr>
                <w:rFonts w:ascii="Times New Roman" w:hAnsi="Times New Roman"/>
                <w:b/>
                <w:sz w:val="24"/>
                <w:u w:val="single"/>
              </w:rPr>
            </w:pPr>
            <w:r>
              <w:rPr>
                <w:rFonts w:ascii="Times New Roman" w:hAnsi="Times New Roman"/>
                <w:sz w:val="24"/>
              </w:rPr>
              <w:t>A CRR 110. cikkében és a 183/2014/EU rendeletben említett hitelkockázati kiigazítások.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Leírások</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Az IFRS 9 5.4.4. bekezdésében és B5.4.9. bekezdésében említett leírások.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 megállapított új nemteljesítések utáni hitelkockázati kiigazítások/leírások</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 legutóbbi adatszolgáltatás óta eltelt 3 hónap során a „nemteljesítő kitettségek” közé sorolt kitettségek utáni hitelkockázati kiigazítások és leírások.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BELSŐ MINŐSÍTÉSI SKÁLA / AZ ÜGYFÉL-KATEGÓRIÁHOZ VAGY -HALMAZHOZ (POOLHOZ) RENDELT NEMTELJESÍTÉSI VALÓSZÍNŰSÉG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 CR IRB tábla 0010. oszlopával azonos meghatározás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KITETTSÉGGEL SÚLYOZOTT ÁTLAGOS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A CR IRB tábla 0230. és 0240. oszlopával azonos meghatározás: a kitettséggel súlyozott átlagos LGD-érték (%) minden kitettségre utal, beleértve a nagyméretű pénzügyi ágazatbeli szervezetekkel és a nem szabályozott pénzügyi ágazatbeli szervezetekkel szembeni kitettségeket. A CRR 181. cikke (1) bekezdésének h) pontját kell alkalmazni.</w:t>
            </w:r>
          </w:p>
          <w:p w:rsidR="0042766A" w:rsidRPr="00661595" w:rsidRDefault="0027034D" w:rsidP="009A4399">
            <w:pPr>
              <w:rPr>
                <w:rFonts w:ascii="Times New Roman" w:hAnsi="Times New Roman"/>
                <w:b/>
                <w:sz w:val="24"/>
                <w:u w:val="single"/>
              </w:rPr>
            </w:pPr>
            <w:r>
              <w:rPr>
                <w:rFonts w:ascii="Times New Roman" w:hAnsi="Times New Roman"/>
                <w:sz w:val="24"/>
              </w:rPr>
              <w:t>Olyan speciális hitelezési kitettségek esetében, amelyeknél a PD becsült érték, a jelentett értéknek vagy a becsült vagy a szabályozói LGD-értéknek kell lennie. A CRR 153. cikkének (5) bekezdésében említett speciális hitelezési kitettségek esetében nem lehet adatot szolgáltatni, mivel nem áll rendelkezésre adat.</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Ebből: nemteljesítő</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A CRR 178. cikke szerint nemteljesítő kitettségként besorolt kitettségek kitettséggel súlyozott LGD-értéke.</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Kitettségérték</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 CR IRB tábla 0110. oszlopával azonos meghatározás</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 SZORZÓK ELŐTTI, KOCKÁZATTAL SÚLYOZOTT KITETTSÉGÉRTÉK</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 CR IRB tábla 0255. oszlopával azonos meghatározás</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Ebből: nemteljesítő</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lastRenderedPageBreak/>
              <w:t>A CRR 178. cikkének (1) bekezdése szerint nemteljesítő kitettségként besorolt kitettségek kockázattal súlyozott kitettségértéke.</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lastRenderedPageBreak/>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 KOCKÁZATTAL SÚLYOZOTT KITETTSÉGÉRTÉK KKV-SZORZÓ MIATTI KORREKCIÓJA</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A CR IRB tábla 0256. oszlopával azonos meghatározás</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 KOCKÁZATTAL SÚLYOZOTT KITETTSÉGÉRTÉK INFRASTRUKTÚRA-SZORZÓ MIATTI KORREKCIÓJA</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A CR IRB tábla 0257. oszlopával azonos meghatározás</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 SZORZÓK UTÁNI, KOCKÁZATTAL SÚLYOZOTT KITETTSÉGÉRTÉK</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 CR IRB tábla 0260. oszlopával azonos meghatározás</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VÁRHATÓ VESZTESÉGÉRTÉK</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 CR IRB tábla 0280. oszlopával azonos meghatározás</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Sorok</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Központi kormányzatok és központi bankok </w:t>
            </w:r>
          </w:p>
          <w:p w:rsidR="004357B9" w:rsidRPr="00661595" w:rsidRDefault="00D21B29" w:rsidP="001E0C80">
            <w:pPr>
              <w:rPr>
                <w:rFonts w:ascii="Times New Roman" w:hAnsi="Times New Roman"/>
                <w:sz w:val="24"/>
              </w:rPr>
            </w:pPr>
            <w:r>
              <w:rPr>
                <w:rFonts w:ascii="Times New Roman" w:hAnsi="Times New Roman"/>
                <w:sz w:val="24"/>
              </w:rPr>
              <w:t xml:space="preserve">A CRR 147. cikke (2) bekezdésének </w:t>
            </w:r>
            <w:r>
              <w:rPr>
                <w:rFonts w:ascii="Times New Roman" w:hAnsi="Times New Roman"/>
                <w:bCs/>
                <w:sz w:val="24"/>
              </w:rPr>
              <w:t>a) pontja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Intézmények</w:t>
            </w:r>
          </w:p>
          <w:p w:rsidR="004357B9" w:rsidRPr="00661595" w:rsidRDefault="00D21B29" w:rsidP="00D21B29">
            <w:pPr>
              <w:rPr>
                <w:rFonts w:ascii="Times New Roman" w:hAnsi="Times New Roman"/>
                <w:sz w:val="24"/>
              </w:rPr>
            </w:pPr>
            <w:r>
              <w:rPr>
                <w:rFonts w:ascii="Times New Roman" w:hAnsi="Times New Roman"/>
                <w:sz w:val="24"/>
              </w:rPr>
              <w:t>A CRR 147. cikke (2) bekezdésének b) pontja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Vállalkozások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A CRR 147. cikke (2) bekezdésének c) pontjában említett vállalkozásokkal szembeni valamennyi kitettség</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Ebből: speciális hitelezés (kivéve a slotting módszer szerinti speciális hitelezést)</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 xml:space="preserve">A CRR 147. cikke (8) bekezdésének </w:t>
            </w:r>
            <w:r>
              <w:rPr>
                <w:rFonts w:ascii="Times New Roman" w:hAnsi="Times New Roman"/>
                <w:bCs/>
                <w:sz w:val="24"/>
              </w:rPr>
              <w:t>a) pontja</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Az adatszolgáltatás nem terjed ki a CRR 153. cikkének (5) bekezdésében említett speciális hitelezési kitettségekre.</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Ebből: slotting módszer alá tartozó speciális hitelezés</w:t>
            </w:r>
          </w:p>
          <w:p w:rsidR="000E093A" w:rsidRPr="00661595" w:rsidRDefault="00D21B29" w:rsidP="00D21B29">
            <w:pPr>
              <w:rPr>
                <w:rFonts w:ascii="Times New Roman" w:hAnsi="Times New Roman"/>
                <w:b/>
                <w:sz w:val="24"/>
                <w:u w:val="single"/>
              </w:rPr>
            </w:pPr>
            <w:r>
              <w:rPr>
                <w:rFonts w:ascii="Times New Roman" w:hAnsi="Times New Roman"/>
                <w:sz w:val="24"/>
              </w:rPr>
              <w:t>A CRR 147. cikke (8) bekezdésének a) pontja, valamint 153. cikkének (5) bekezdése</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Ebből: KKV</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 xml:space="preserve">A CRR 147. cikke (2) bekezdésének </w:t>
            </w:r>
            <w:r>
              <w:rPr>
                <w:rFonts w:ascii="Times New Roman" w:hAnsi="Times New Roman"/>
                <w:bCs/>
                <w:sz w:val="24"/>
              </w:rPr>
              <w:t>c) pontja</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Az IRB módszer alkalmazásában az adatot szolgáltató intézmények a kkv-nak a belső kockázatkezelési folyamatokban alkalmazott belső fogalommeghatározását kötelesek használni.</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Lakosság</w:t>
            </w:r>
          </w:p>
          <w:p w:rsidR="004357B9" w:rsidRPr="00661595" w:rsidRDefault="004357B9" w:rsidP="003B2712">
            <w:pPr>
              <w:rPr>
                <w:rFonts w:ascii="Times New Roman" w:hAnsi="Times New Roman"/>
                <w:sz w:val="24"/>
              </w:rPr>
            </w:pPr>
            <w:r>
              <w:rPr>
                <w:rFonts w:ascii="Times New Roman" w:hAnsi="Times New Roman"/>
                <w:sz w:val="24"/>
              </w:rPr>
              <w:lastRenderedPageBreak/>
              <w:t>A CRR 147. cikke (2) bekezdésének d) pontjában említett valamennyi lakossági kitettség</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Lakosság – ingatlannal fedezett kitettségek</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Ingatlannal fedezett, lakossággal szembeni kitettségek a CRR 147. cikke (2) bekezdésének d) pontjában említetteknek megfelelően</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Ingatlannal fedezett, lakossággal szembeni kitettségnek kell tekinteni minden biztosítékként elismert ingatlannal fedezett, lakossággal szembeni kitettséget, függetlenül a biztosíték értékének a kitettséghez viszonyított arányától vagy a hitel céljától.</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KKV</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Ingatlannal fedezett, lakossággal szembeni kitettségek a CRR 147. cikke (2) bekezdésének d) pontjában és 154. cikkének (3) bekezdésében említetteknek megfelelően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Nem kkv</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Ingatlannal fedezett, lakossággal szembeni kitettségek a CRR 147. cikke (2) bekezdésének d) pontjában említetteknek megfelelően</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Lakosság – a rulírozó állományba beszámítható</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 xml:space="preserve">Lakossággal szembeni kitettségek a CRR 147. cikke (2) bekezdésének </w:t>
            </w:r>
            <w:r>
              <w:rPr>
                <w:rFonts w:ascii="Times New Roman" w:hAnsi="Times New Roman"/>
                <w:bCs/>
                <w:sz w:val="24"/>
              </w:rPr>
              <w:t>d) pontja</w:t>
            </w:r>
            <w:r>
              <w:rPr>
                <w:rFonts w:ascii="Times New Roman" w:hAnsi="Times New Roman"/>
                <w:sz w:val="24"/>
              </w:rPr>
              <w:t xml:space="preserve"> és a 154. cikk (4) bekezdése együttes alkalmazásával</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Egyéb lakosság</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A CRR 147. cikke (2) bekezdésének d) pontjában említett, a 0070–0100. sorban nem szereplő, egyéb lakossággal szembeni kitettségek</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KKV</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A CRR 147. cikke (2) bekezdésének d) pontjában említett, egyéb lakossággal szembeni, kkv-kal szembeni kitettségek</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Nem kkv</w:t>
            </w:r>
          </w:p>
          <w:p w:rsidR="004357B9" w:rsidRPr="00661595" w:rsidRDefault="004357B9" w:rsidP="0024244E">
            <w:pPr>
              <w:rPr>
                <w:rFonts w:ascii="Times New Roman" w:hAnsi="Times New Roman"/>
                <w:sz w:val="24"/>
              </w:rPr>
            </w:pPr>
            <w:r>
              <w:rPr>
                <w:rFonts w:ascii="Times New Roman" w:hAnsi="Times New Roman"/>
                <w:sz w:val="24"/>
              </w:rPr>
              <w:t>A CRR 147. cikke (2) bekezdésének d) pontjában említett, egyéb lakossággal szembeni, egyéni ügyfelekkel szembeni kitettségek</w:t>
            </w:r>
          </w:p>
        </w:tc>
      </w:tr>
      <w:bookmarkEnd w:id="367"/>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Részvényjellegű kitettségek</w:t>
            </w:r>
          </w:p>
          <w:p w:rsidR="004357B9" w:rsidRPr="00661595" w:rsidRDefault="004357B9" w:rsidP="003B2712">
            <w:pPr>
              <w:rPr>
                <w:rFonts w:ascii="Times New Roman" w:hAnsi="Times New Roman"/>
                <w:b/>
                <w:sz w:val="24"/>
                <w:u w:val="single"/>
              </w:rPr>
            </w:pPr>
            <w:r>
              <w:rPr>
                <w:rFonts w:ascii="Times New Roman" w:hAnsi="Times New Roman"/>
                <w:sz w:val="24"/>
              </w:rPr>
              <w:t>A CRR 147. cikke (2) bekezdésének e) pontjában említett részvényjellegű kitettségek</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Teljes kitettség</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4" w:name="_Toc473560917"/>
      <w:bookmarkStart w:id="375" w:name="_Toc58858629"/>
      <w:r>
        <w:rPr>
          <w:rFonts w:ascii="Times New Roman" w:hAnsi="Times New Roman"/>
          <w:sz w:val="24"/>
          <w:u w:val="none"/>
        </w:rPr>
        <w:t>3.4.3.</w:t>
      </w:r>
      <w:r w:rsidRPr="00BA7F92">
        <w:rPr>
          <w:u w:val="none"/>
        </w:rPr>
        <w:tab/>
      </w:r>
      <w:bookmarkStart w:id="376" w:name="_Toc360188366"/>
      <w:r>
        <w:rPr>
          <w:rFonts w:ascii="Times New Roman" w:hAnsi="Times New Roman"/>
          <w:sz w:val="24"/>
        </w:rPr>
        <w:t>C 09.04 – A lényeges hitelkockázati kitettségek országonkénti bontása az anticiklikus tőkepuffer és az intézményspecifikus anticiklikus tőkepuffer kiszámításához (CCB)</w:t>
      </w:r>
      <w:bookmarkEnd w:id="374"/>
      <w:bookmarkEnd w:id="375"/>
      <w:bookmarkEnd w:id="376"/>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7" w:name="_Toc360188367"/>
      <w:bookmarkStart w:id="378" w:name="_Toc473560918"/>
      <w:bookmarkStart w:id="379" w:name="_Toc58858630"/>
      <w:r>
        <w:rPr>
          <w:rFonts w:ascii="Times New Roman" w:hAnsi="Times New Roman"/>
          <w:sz w:val="24"/>
          <w:u w:val="none"/>
        </w:rPr>
        <w:t>3.4.3.1.</w:t>
      </w:r>
      <w:r w:rsidRPr="00BA7F92">
        <w:rPr>
          <w:u w:val="none"/>
        </w:rPr>
        <w:tab/>
      </w:r>
      <w:r>
        <w:rPr>
          <w:rFonts w:ascii="Times New Roman" w:hAnsi="Times New Roman"/>
          <w:sz w:val="24"/>
        </w:rPr>
        <w:t>Általános megjegyzések</w:t>
      </w:r>
      <w:bookmarkEnd w:id="377"/>
      <w:bookmarkEnd w:id="378"/>
      <w:bookmarkEnd w:id="379"/>
    </w:p>
    <w:p w:rsidR="00430F6F" w:rsidRPr="00661595" w:rsidRDefault="0055388B" w:rsidP="00487A02">
      <w:pPr>
        <w:pStyle w:val="InstructionsText2"/>
        <w:numPr>
          <w:ilvl w:val="0"/>
          <w:numId w:val="0"/>
        </w:numPr>
        <w:ind w:left="1353" w:hanging="360"/>
      </w:pPr>
      <w:fldSimple w:instr=" seq paragraphs ">
        <w:r w:rsidR="00D11E4C">
          <w:rPr>
            <w:noProof/>
          </w:rPr>
          <w:t>88</w:t>
        </w:r>
      </w:fldSimple>
      <w:r w:rsidR="00D11E4C">
        <w:t>.</w:t>
      </w:r>
      <w:r w:rsidR="00D11E4C">
        <w:tab/>
        <w:t xml:space="preserve">A tábla célja bővebb információ gyűjtése az intézményspecifikus anticiklikus tőkepuffer elemeiről. Az előírt információ a CRR harmadik része II. és IV. címének </w:t>
      </w:r>
      <w:r w:rsidR="00D11E4C">
        <w:lastRenderedPageBreak/>
        <w:t xml:space="preserve">megfelelően meghatározott szavatolótőke-követelményre, a hitelkockázati kitettségek földrajzi helyére, az intézményspecifikus anticiklikus tőkepuffer CRD 140. cikke szerinti (lényeges hitelkockázati kitettség) számításához releváns értékpapírosítási kitettségekre és kereskedési könyvi kitettségekre vonatkozik. </w:t>
      </w:r>
    </w:p>
    <w:p w:rsidR="00430F6F" w:rsidRPr="00661595" w:rsidRDefault="0055388B" w:rsidP="00487A02">
      <w:pPr>
        <w:pStyle w:val="InstructionsText2"/>
        <w:numPr>
          <w:ilvl w:val="0"/>
          <w:numId w:val="0"/>
        </w:numPr>
        <w:ind w:left="1353" w:hanging="360"/>
      </w:pPr>
      <w:fldSimple w:instr=" seq paragraphs ">
        <w:r w:rsidR="00D11E4C">
          <w:rPr>
            <w:noProof/>
          </w:rPr>
          <w:t>89</w:t>
        </w:r>
      </w:fldSimple>
      <w:r w:rsidR="00D11E4C">
        <w:t>.</w:t>
      </w:r>
      <w:r w:rsidR="00D11E4C">
        <w:tab/>
        <w:t xml:space="preserve">A C 09.04. táblában meg kell adni a lényeges hitelkockázati kitettségekre vonatkozó összesített adatot e kitettségek helye szerinti valamennyi joghatóság tekintetében, továbbá egyedileg az egyes olyan joghatóságokra vonatkozóan, ahol a lényeges hitelkockázati kitettségek elhelyezkednek. Az összesített adatokat és az egyes joghatóságokra vonatkozó információkat külön dimenzióban kell megadni. </w:t>
      </w:r>
    </w:p>
    <w:p w:rsidR="007463E2" w:rsidRPr="00661595" w:rsidRDefault="0055388B" w:rsidP="00487A02">
      <w:pPr>
        <w:pStyle w:val="InstructionsText2"/>
        <w:numPr>
          <w:ilvl w:val="0"/>
          <w:numId w:val="0"/>
        </w:numPr>
        <w:ind w:left="1353" w:hanging="360"/>
      </w:pPr>
      <w:fldSimple w:instr=" seq paragraphs ">
        <w:r w:rsidR="00D11E4C">
          <w:rPr>
            <w:noProof/>
          </w:rPr>
          <w:t>90</w:t>
        </w:r>
      </w:fldSimple>
      <w:r w:rsidR="00D11E4C">
        <w:t>.</w:t>
      </w:r>
      <w:r w:rsidR="00D11E4C">
        <w:tab/>
        <w:t>Az e végrehajtási rendelet 5. cikke (5) bekezdésében rögzített küszöbérték az e megoszlás szerinti adatszolgáltatás szempontjából nem alkalmazandó.</w:t>
      </w:r>
    </w:p>
    <w:p w:rsidR="005A7CA9" w:rsidRPr="00661595" w:rsidRDefault="0055388B" w:rsidP="00487A02">
      <w:pPr>
        <w:pStyle w:val="InstructionsText2"/>
        <w:numPr>
          <w:ilvl w:val="0"/>
          <w:numId w:val="0"/>
        </w:numPr>
        <w:ind w:left="1353" w:hanging="360"/>
      </w:pPr>
      <w:fldSimple w:instr=" seq paragraphs ">
        <w:r w:rsidR="00D11E4C">
          <w:rPr>
            <w:noProof/>
          </w:rPr>
          <w:t>91</w:t>
        </w:r>
      </w:fldSimple>
      <w:r w:rsidR="00D11E4C">
        <w:t>.</w:t>
      </w:r>
      <w:r w:rsidR="00D11E4C">
        <w:tab/>
        <w:t>A földrajzi hely meghatározásához a kitettségek hozzárendelése az 1152/2014/EU felhatalmazáson alapuló bizottsági rendeletben</w:t>
      </w:r>
      <w:r w:rsidR="00D11E4C">
        <w:footnoteReference w:id="10"/>
      </w:r>
      <w:r w:rsidR="00D11E4C">
        <w:t xml:space="preserve"> előírtaknak megfelelően közvetlen kötelezetti alapon történik. Ezért a hitelkockázat-mérséklési technikák nem változtatják meg egy kitettség földrajzi helyhez való hozzárendelését az e táblában meghatározott információ megadása céljából.</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8"/>
      <w:bookmarkStart w:id="381" w:name="_Toc473560919"/>
      <w:bookmarkStart w:id="382" w:name="_Toc58858631"/>
      <w:r>
        <w:rPr>
          <w:rFonts w:ascii="Times New Roman" w:hAnsi="Times New Roman"/>
          <w:sz w:val="24"/>
          <w:u w:val="none"/>
        </w:rPr>
        <w:t>3.4.3.2.</w:t>
      </w:r>
      <w:r w:rsidRPr="00BA7F92">
        <w:rPr>
          <w:u w:val="none"/>
        </w:rPr>
        <w:tab/>
      </w:r>
      <w:r>
        <w:rPr>
          <w:rFonts w:ascii="Times New Roman" w:hAnsi="Times New Roman"/>
          <w:sz w:val="24"/>
        </w:rPr>
        <w:t>A tábla egyes részeire vonatkozó útmutató</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Oszlop</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Összeg</w:t>
            </w:r>
          </w:p>
          <w:p w:rsidR="00154859" w:rsidRPr="00661595" w:rsidRDefault="006E3440" w:rsidP="00535A98">
            <w:pPr>
              <w:rPr>
                <w:rFonts w:ascii="Times New Roman" w:hAnsi="Times New Roman"/>
                <w:b/>
                <w:sz w:val="24"/>
                <w:u w:val="single"/>
              </w:rPr>
            </w:pPr>
            <w:r>
              <w:rPr>
                <w:rFonts w:ascii="Times New Roman" w:hAnsi="Times New Roman"/>
                <w:bCs/>
                <w:sz w:val="24"/>
              </w:rPr>
              <w:t>A lényeges hitelkockázati kitettségek értéke és a kapcsolódó szavatolótőke-követelmények az adott sorra vonatkozó útmutatónak megfelelően meghatározva.</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Százalék</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Kvalitatív információk</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Ezt az információt csak az intézmény székhelye szerinti országra vonatkozóan kell megadni (az intézmény székhelye szerinti tagállamnak megfelelő joghatóság), és meg kell adni az „Összesen” adatot az összes országra vonatkozóan.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Az intézménynek {y} vagy {n} adatot kell megadnia a megfelelő sorra vonatkozó útmutatóval összhangban.</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Sor</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Lényeges hitelkockázati kitettségek – hitelkockázat</w:t>
            </w:r>
          </w:p>
          <w:p w:rsidR="00BD5485" w:rsidRPr="00661595" w:rsidRDefault="00BD5485" w:rsidP="00A37A04">
            <w:pPr>
              <w:rPr>
                <w:rFonts w:ascii="Times New Roman" w:hAnsi="Times New Roman"/>
                <w:b/>
                <w:sz w:val="24"/>
                <w:u w:val="single"/>
              </w:rPr>
            </w:pPr>
            <w:r>
              <w:rPr>
                <w:rFonts w:ascii="Times New Roman" w:hAnsi="Times New Roman"/>
                <w:sz w:val="24"/>
              </w:rPr>
              <w:t>A CRD 140. cikke (4) bekezdése a) pontjában említett lényeges hitelkockázati kitettség.</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lastRenderedPageBreak/>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Kitettségérték a sztenderd módszer szerint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A CRD 140. cikke (4) bekezdése a) pontjában említett lényeges hitelkockázati kitettségekre vonatkozó, a CRR 111. cikkének megfelelően kiszámított kitettségérték.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A banki könyvi értékpapírosítási pozíciók kitettségértékét ebben a sorban nem kell megadni, hanem az 0055. sorban kell jelenteni.</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Kitettségérték az IRB módszer szerint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A CRD 140. cikke (4) bekezdése a) pontjában említett lényeges hitelkockázati kitettségekre vonatkozó, a CRR 166. cikkének megfelelően kiszámított kitettségérték. </w:t>
            </w:r>
          </w:p>
          <w:p w:rsidR="00BD5485" w:rsidRPr="00661595" w:rsidRDefault="00BD5485" w:rsidP="00B85F75">
            <w:pPr>
              <w:rPr>
                <w:rFonts w:ascii="Times New Roman" w:hAnsi="Times New Roman"/>
                <w:b/>
                <w:bCs/>
                <w:sz w:val="24"/>
                <w:u w:val="single"/>
              </w:rPr>
            </w:pPr>
            <w:r>
              <w:rPr>
                <w:rFonts w:ascii="Times New Roman" w:hAnsi="Times New Roman"/>
                <w:sz w:val="24"/>
              </w:rPr>
              <w:t>A banki könyvi értékpapírosítási pozíciók kitettségértékét ebben a sorban nem kell megadni, hanem az 0055. sorban kell jelenteni.</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Lényeges hitelkockázati kitettségek – piaci kockázat</w:t>
            </w:r>
          </w:p>
          <w:p w:rsidR="00BD5485" w:rsidRPr="00661595" w:rsidRDefault="00BD5485" w:rsidP="00A37A04">
            <w:pPr>
              <w:rPr>
                <w:rFonts w:ascii="Times New Roman" w:hAnsi="Times New Roman"/>
                <w:b/>
                <w:bCs/>
                <w:sz w:val="24"/>
                <w:u w:val="single"/>
              </w:rPr>
            </w:pPr>
            <w:r>
              <w:rPr>
                <w:rFonts w:ascii="Times New Roman" w:hAnsi="Times New Roman"/>
                <w:sz w:val="24"/>
              </w:rPr>
              <w:t>A CRD 140. cikke (4) bekezdése b) pontjában említett lényeges hitelkockázati kitettségek.</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Kereskedési könyvi kitettségek hosszú és rövid pozícióinak összege a sztenderd módszer szerint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A CRD 140. cikke (4) bekezdésének b) pontjában említett, a CRR harmadik része IV. címe 2. fejezetében előírt szavatolótőke-követelmények hatálya alá tartozó lényeges hitelkockázati kitettségek hosszú és rövid pozícióinak összege a CRR 327. cikkének megfelelően: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hitelviszonyt megtestesítő instrumentumokkal szembeni, értékpapírosítástól eltérő kitettségek,</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kereskedési könyvi értékpapírosítási pozíciókkal szembeni kitettségek,</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korrelációkereskedési portfóliókkal szembeni kitettségek,</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tulajdonviszonyt megtestesítő instrumentumokkal szembeni kitettségek,</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kollektív befektetési formákkal szembeni kitettségek, ha a tőkekövetelmény kiszámítása a CRR 348. cikke szerint történik.</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Kereskedési könyvi kitettségek értéke a belső modellek szerint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bekezdésének b) pontjában említett, a CRR harmadik része IV. címe 2. és 5. fejezetében előírt szavatolótőke-követelmények hatálya alá tartozó lényeges hitelkockázati kitettségek esetében a következők összegét kell jelenteni:</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olyan nem származtatott pozíciók CRR 104. cikkével összhangban meghatározott valós értéke, amelyek a CRD 140. cikke (4) bekezdésének b) pontjában említett lényeges hitelkockázati kitettségeket jelentenek,</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olyan származtatott ügyletek névleges értéke, amelyek a CRD 140. cikke (4) bekezdése b) pontjában említett lényeges hitelkockázati kitettségeket jelentenek.</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Lényeges hitelkockázati kitettségek – banki könyvi értékpapírosítási pozíciók</w:t>
            </w:r>
          </w:p>
          <w:p w:rsidR="00BD5485" w:rsidRPr="00661595" w:rsidRDefault="00C44421" w:rsidP="00A37A04">
            <w:pPr>
              <w:rPr>
                <w:rFonts w:ascii="Times New Roman" w:hAnsi="Times New Roman"/>
                <w:sz w:val="24"/>
              </w:rPr>
            </w:pPr>
            <w:r>
              <w:rPr>
                <w:rFonts w:ascii="Times New Roman" w:hAnsi="Times New Roman"/>
                <w:sz w:val="24"/>
              </w:rPr>
              <w:lastRenderedPageBreak/>
              <w:t>A CRD 140. cikke (4) bekezdése c) pontjában említett lényeges hitelkockázati kitettségekre vonatkozó, a CRR 248. cikkének megfelelően kiszámított kitettségérték.</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lastRenderedPageBreak/>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Szavatolótőke-követelmények és súlyok</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Az anticiklikus tőkepufferre vonatkozó teljes szavatolótőke-követelmény</w:t>
            </w:r>
          </w:p>
          <w:p w:rsidR="00BD5485" w:rsidRPr="00661595" w:rsidRDefault="00BD5485" w:rsidP="00BD5485">
            <w:pPr>
              <w:rPr>
                <w:rFonts w:ascii="Times New Roman" w:hAnsi="Times New Roman"/>
                <w:b/>
                <w:bCs/>
                <w:sz w:val="24"/>
                <w:u w:val="single"/>
              </w:rPr>
            </w:pPr>
            <w:r>
              <w:rPr>
                <w:rFonts w:ascii="Times New Roman" w:hAnsi="Times New Roman"/>
                <w:sz w:val="24"/>
              </w:rPr>
              <w:t>A 0080-as, 0090-es és 0100-as sorok összege.</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A lényeges hitelkockázati kitettségekre vonatkozó szavatolótőke-követelmény – hitelkockázat</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bekezdése a) pontjában említett lényeges hitelkockázati kitettségekre vonatkozó, a CRR harmadik része II. címe 1–4. és 6. fejezete szerint kiszámított szavatolótőke-követelmények a szóban forgó országban.</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A banki könyvi értékpapírosítási pozíciókra vonatkozó szavatolótőke-követelményeket ebben a sorban nem kell megadni, hanem a 0100-as sorban kell jelenteni.</w:t>
            </w:r>
          </w:p>
          <w:p w:rsidR="00BD5485" w:rsidRPr="00661595" w:rsidRDefault="00BD5485" w:rsidP="002B004B">
            <w:pPr>
              <w:rPr>
                <w:rFonts w:ascii="Times New Roman" w:hAnsi="Times New Roman"/>
                <w:b/>
                <w:bCs/>
                <w:sz w:val="24"/>
                <w:u w:val="single"/>
              </w:rPr>
            </w:pPr>
            <w:r>
              <w:rPr>
                <w:rFonts w:ascii="Times New Roman" w:hAnsi="Times New Roman"/>
                <w:sz w:val="24"/>
              </w:rPr>
              <w:t>A szavatolótőke-követelmény a CRR harmadik része II. címe 1–4. és 6. fejezete szerint meghatározott kockázattal súlyozott kitettségérték 8 %-a.</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A lényeges hitelkockázati kitettségekre vonatkozó szavatolótőke-követelmény – piaci kockázat</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A CRD 140. cikke (4) bekezdése b) pontjában említett lényeges hitelkockázati kitettségekre vonatkozó, az egyedi kockázat esetében a CRR harmadik része IV. címe 2. fejezetének megfelelően kiszámított szavatolótőke-követelmény, vagy a járulékos nemteljesítési és átminősítési kockázat esetében a CRR harmadik része IV. címének 5. fejezete szerint kiszámított szavatolótőke-követelmény a szóban forgó országban.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A lényeges hitelkockázati kitettségekre vonatkozó szavatolótőke-követelmények a piaci kockázati szabályok értelmében többek között magukban foglalják az értékpapírosítási pozíciókra vonatkozó, a CRR harmadik része IV. címe 2. fejezete szerint kiszámított szavatolótőke-követelményeket, továbbá a kollektív befektetési formákkal szembeni kitettségekre vonatkozó, a CRR 348. cikkének megfelelően meghatározott szavatolótőke-követelményeket.</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A lényeges hitelkockázati kitettségekre vonatkozó szavatolótőke-követelmény – banki könyvi értékpapírosítási pozíciók</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A CRD 140. cikke (4) bekezdése c) pontjában említett lényeges hitelkockázati kitettségekre vonatkozó, a CRR harmadik része II. címe 5. fejezete szerint kiszámított szavatolótőke-követelmények a szóban forgó országban.</w:t>
            </w:r>
          </w:p>
          <w:p w:rsidR="00BD5485" w:rsidRPr="00661595" w:rsidRDefault="00BD5485" w:rsidP="00A37A04">
            <w:pPr>
              <w:rPr>
                <w:rFonts w:ascii="Times New Roman" w:hAnsi="Times New Roman"/>
                <w:b/>
                <w:bCs/>
                <w:sz w:val="24"/>
                <w:u w:val="single"/>
              </w:rPr>
            </w:pPr>
            <w:r>
              <w:rPr>
                <w:rFonts w:ascii="Times New Roman" w:hAnsi="Times New Roman"/>
                <w:sz w:val="24"/>
              </w:rPr>
              <w:t>A szavatolótőke-követelmény a CRR harmadik része II. címének 5. fejezete szerint kiszámított kockázattal súlyozott kitettségérték 8 %-a.</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Szavatolótőke-követelmények súlyai</w:t>
            </w:r>
          </w:p>
          <w:p w:rsidR="00966663" w:rsidRPr="00661595" w:rsidRDefault="00966663" w:rsidP="00966663">
            <w:pPr>
              <w:rPr>
                <w:rFonts w:ascii="Times New Roman" w:hAnsi="Times New Roman"/>
                <w:sz w:val="24"/>
              </w:rPr>
            </w:pPr>
            <w:r>
              <w:rPr>
                <w:rFonts w:ascii="Times New Roman" w:hAnsi="Times New Roman"/>
                <w:sz w:val="24"/>
              </w:rPr>
              <w:t>Az egyes országokban az anticiklikustőkepuffer-rátára alkalmazott súly a következőképpen meghatározott szavatolótőke-követelmény arányában kerül kiszámításra:</w:t>
            </w:r>
          </w:p>
          <w:p w:rsidR="00966663" w:rsidRPr="00661595" w:rsidRDefault="00966663" w:rsidP="00966663">
            <w:pPr>
              <w:rPr>
                <w:rFonts w:ascii="Times New Roman" w:hAnsi="Times New Roman"/>
                <w:sz w:val="24"/>
              </w:rPr>
            </w:pPr>
            <w:r>
              <w:rPr>
                <w:rFonts w:ascii="Times New Roman" w:hAnsi="Times New Roman"/>
                <w:sz w:val="24"/>
              </w:rPr>
              <w:lastRenderedPageBreak/>
              <w:t>1.</w:t>
            </w:r>
            <w:r>
              <w:tab/>
            </w:r>
            <w:r>
              <w:rPr>
                <w:rFonts w:ascii="Times New Roman" w:hAnsi="Times New Roman"/>
                <w:sz w:val="24"/>
              </w:rPr>
              <w:t xml:space="preserve">Számláló: A szóban forgó országban a lényeges hitelkockázati kitettségekhez kapcsolódó teljes szavatolótőke-követelmény [r0070; c0010; országadatlap],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Nevező: A CRD 140. cikkének (4) bekezdésében említett anticiklikus puffer kiszámításához releváns valamennyi hitelkockázati kitettséghez kapcsolódó teljes szavatolótőke-követelmény [r0070; c0010; Összesen].</w:t>
            </w:r>
          </w:p>
          <w:p w:rsidR="003B00F4" w:rsidRPr="00661595" w:rsidRDefault="003B00F4" w:rsidP="003B00F4">
            <w:pPr>
              <w:rPr>
                <w:rFonts w:ascii="Times New Roman" w:hAnsi="Times New Roman"/>
                <w:b/>
                <w:bCs/>
                <w:sz w:val="24"/>
                <w:u w:val="single"/>
              </w:rPr>
            </w:pPr>
            <w:r>
              <w:rPr>
                <w:rFonts w:ascii="Times New Roman" w:hAnsi="Times New Roman"/>
                <w:sz w:val="24"/>
              </w:rPr>
              <w:t>A szavatolótőke-követelményekhez tartozó súlyokra vonatkozó adatokat nem kell megadni az összes országra vonatkozó összesített adatban.</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Anticiklikustőkepuffer-ráták</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A kijelölt hatóság által meghatározott anticiklikustőkepuffer-ráta</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A szóban forgó országra vonatkozóan az adott ország kijelölt hatósága által megállapított anticiklikustőkepuffer-ráta a CRD 136., 137., 139. cikkének, 140. cikke (2) bekezdése a) és c) pontjának, valamint 140. cikke (3) bekezdése b) pontjának megfelelően.</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Ezt a sort üresen kell hagyni, amennyiben a kijelölt hatóság nem állapított meg anticiklikustőkepuffer-rátát a szóban forgó országra vonatkozóan.</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A kijelölt hatóság által megállapított, de az adatszolgáltatás vonatkozási időpontjában a szóban forgó országban még nem alkalmazandó anticiklikustőkepuffer-rátát nem kell jelenteni.</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A kijelölt hatóság által megállapított anticiklikustőkepuffer-rátára vonatkozó adatot nem kell jelenteni az összes országra vonatkozó összesített adatban.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Az intézmény helye szerinti országban alkalmazandó anticiklikustőkepuffer-ráta</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A szóban forgó országban alkalmazandó anticiklikustőkepuffer-ráta, amelyet az intézmény székhelye szerinti ország kijelölt hatósága állapított meg a CRD 137., 138., 139. cikkének, 140. cikke (2) bekezdése b pontjának, valamint 140. cikke (3) bekezdése a) pontjának megfelelően. Az adatszolgáltatás vonatkozási időpontjában még nem alkalmazandó anticiklikustőkepuffer-rátákat nem kell jelenteni.</w:t>
            </w:r>
          </w:p>
          <w:p w:rsidR="00966663" w:rsidRPr="00661595" w:rsidRDefault="00966663" w:rsidP="00133107">
            <w:pPr>
              <w:rPr>
                <w:rFonts w:ascii="Times New Roman" w:hAnsi="Times New Roman"/>
                <w:b/>
                <w:bCs/>
                <w:sz w:val="24"/>
                <w:u w:val="single"/>
              </w:rPr>
            </w:pPr>
            <w:r>
              <w:rPr>
                <w:rFonts w:ascii="Times New Roman" w:hAnsi="Times New Roman"/>
                <w:sz w:val="24"/>
              </w:rPr>
              <w:t>Az intézmény országában alkalmazandó anticiklikustőkepuffer-rátára vonatkozó adatot nem kell jelenteni az összes országra vonatkozó összesített adatban.</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Intézményspecifikus anticiklikustőkepuffer-ráta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A CRD 140. cikke (1) bekezdésének megfelelően kiszámított intézményspecifikus anticiklikustőkepuffer-ráta.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Az intézményspecifikus anticiklikustőkepuffer-ráta az azon joghatóságokban alkalmazandó anticiklikustőkepuffer-ráták súlyozott átlaga, amelyekben az intézmény lényeges hitelkockázati kitettségei elhelyezkednek vagy amelyek a 140. cikk céljából alkalmazottak a CRD 139. cikkének (2) vagy (3) bekezdése értelmében. A releváns anticiklikustőkepuffer-rátát az [r0120; c0020; országadatlap] mezőben vagy adott esetben az [r0130; c0020; országadatlap] mezőben kell megadni.</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Az anticiklikustőkepuffer-rátára vonatkozóan az egyes országokban alkalmazandó súly a szavatolótőke-követelménynek a teljes szavatolótőke-követelményhez viszonyított aránya, és az [r0110; c0020; országadatlap] mezőben kell megadni. </w:t>
            </w:r>
          </w:p>
          <w:p w:rsidR="00966663" w:rsidRPr="00661595" w:rsidRDefault="00966663" w:rsidP="00B816A3">
            <w:pPr>
              <w:rPr>
                <w:rFonts w:ascii="Times New Roman" w:hAnsi="Times New Roman"/>
                <w:b/>
                <w:bCs/>
                <w:sz w:val="24"/>
                <w:u w:val="single"/>
              </w:rPr>
            </w:pPr>
            <w:r>
              <w:rPr>
                <w:rFonts w:ascii="Times New Roman" w:hAnsi="Times New Roman"/>
                <w:sz w:val="24"/>
              </w:rPr>
              <w:lastRenderedPageBreak/>
              <w:t>Az intézményspecifikus anticiklikustőkepuffer-rátára vonatkozó adatot csak az összes országra vonatkozó összesített adatban kell jelenteni, az egyes országokra vonatkozóan nem.</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lastRenderedPageBreak/>
              <w:t>0150–0160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2 %-os küszöbérték alkalmazása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2 %-os küszöbérték alkalmazása az általános hitelkockázati kitettségekre</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Az 1152/2014/EU felhatalmazáson alapuló bizottsági rendelet 2. cikke (5) bekezdése b) pontjának megfelelően azok a külföldi általános hitelkockázati kitettségek, amelyek együttesen nem haladják meg az adott intézmény összesített általános hitelkockázati, kereskedési könyvi és értékpapírosítási kitettségének 2 %-át, hozzárendelhetők az intézmény székhelye szerinti tagállamhoz. Az összesített általános hitelkockázati, kereskedési könyvi és értékpapírosítási kitettségeket az 1152/2014/EU felhatalmazáson alapuló bizottsági rendelet 2. cikke (5) bekezdése a) pontjának és 2. cikke (4) bekezdésének megfelelően lokalizált általános hitelkockázati kitettség kizárásával kell kiszámítani.</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Ha egy intézmény alkalmazza ezt az eltérést, a táblában a székhelye szerinti tagállamnak megfelelő joghatóság és az összes országra vonatkozó összesített adat tekintetében y-t kell megadnia.</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Ha egy intézmény nem alkalmazza ezt az eltérést, a megfelelő cellában n-t kell megadnia.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2 %-os küszöbérték alkalmazása a kereskedési könyvi kitettségekre</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Az 1152/2014/EU felhatalmazáson alapuló bizottsági rendelet 3. cikke (3) bekezdésének megfelelően az intézmények a székhelyük szerinti tagállamhoz rendelhetik a kereskedési könyvi kitettségeket, amennyiben a teljes kereskedési könyvi kitettség nem haladja meg teljes általános hitelkockázati, kereskedési könyvi és értékpapírosítási kitettségük 2 %-át.</w:t>
            </w:r>
          </w:p>
          <w:p w:rsidR="006A3A82" w:rsidRPr="00661595" w:rsidRDefault="006A3A82" w:rsidP="006A3A82">
            <w:pPr>
              <w:rPr>
                <w:rFonts w:ascii="Times New Roman" w:hAnsi="Times New Roman"/>
                <w:sz w:val="24"/>
              </w:rPr>
            </w:pPr>
            <w:r>
              <w:rPr>
                <w:rFonts w:ascii="Times New Roman" w:hAnsi="Times New Roman"/>
                <w:sz w:val="24"/>
              </w:rPr>
              <w:t>Ha egy intézmény alkalmazza ezt az eltérést, a táblában a székhelye szerinti tagállamnak megfelelő joghatóság és az összes országra vonatkozó összesített adat tekintetében y-t kell megadnia.</w:t>
            </w:r>
          </w:p>
          <w:p w:rsidR="00966663" w:rsidRPr="00661595" w:rsidRDefault="006A3A82" w:rsidP="006A3A82">
            <w:pPr>
              <w:rPr>
                <w:rFonts w:ascii="Times New Roman" w:hAnsi="Times New Roman"/>
                <w:b/>
                <w:bCs/>
                <w:sz w:val="24"/>
                <w:u w:val="single"/>
              </w:rPr>
            </w:pPr>
            <w:r>
              <w:rPr>
                <w:rFonts w:ascii="Times New Roman" w:hAnsi="Times New Roman"/>
                <w:sz w:val="24"/>
              </w:rPr>
              <w:t>Ha egy intézmény nem alkalmazza ezt az eltérést, a megfelelő cellában n-t kell megadnia.</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858632"/>
      <w:r>
        <w:rPr>
          <w:rFonts w:ascii="Times New Roman" w:hAnsi="Times New Roman"/>
          <w:sz w:val="24"/>
          <w:u w:val="none"/>
        </w:rPr>
        <w:t>3.5.</w:t>
      </w:r>
      <w:r w:rsidRPr="00BA7F92">
        <w:rPr>
          <w:u w:val="none"/>
        </w:rPr>
        <w:tab/>
      </w:r>
      <w:bookmarkStart w:id="387" w:name="_Toc295829919"/>
      <w:r>
        <w:rPr>
          <w:rFonts w:ascii="Times New Roman" w:hAnsi="Times New Roman"/>
          <w:sz w:val="24"/>
        </w:rPr>
        <w:t>C 10.01 és C 10.02 – A belső minősítésen alapuló módszer szerinti részvényjellegű kitettségek (CR EQU IRB 1 és CR EQU IRB 2)</w:t>
      </w:r>
      <w:bookmarkEnd w:id="383"/>
      <w:bookmarkEnd w:id="384"/>
      <w:bookmarkEnd w:id="385"/>
      <w:bookmarkEnd w:id="386"/>
      <w:bookmarkEnd w:id="387"/>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858633"/>
      <w:r>
        <w:rPr>
          <w:rFonts w:ascii="Times New Roman" w:hAnsi="Times New Roman"/>
          <w:sz w:val="24"/>
          <w:u w:val="none"/>
        </w:rPr>
        <w:t>3.5.1.</w:t>
      </w:r>
      <w:r w:rsidRPr="00BA7F92">
        <w:rPr>
          <w:u w:val="none"/>
        </w:rPr>
        <w:tab/>
      </w:r>
      <w:r>
        <w:rPr>
          <w:rFonts w:ascii="Times New Roman" w:hAnsi="Times New Roman"/>
          <w:sz w:val="24"/>
        </w:rPr>
        <w:t>Általános megjegyzések</w:t>
      </w:r>
      <w:bookmarkEnd w:id="388"/>
      <w:bookmarkEnd w:id="389"/>
      <w:bookmarkEnd w:id="390"/>
      <w:bookmarkEnd w:id="391"/>
      <w:bookmarkEnd w:id="392"/>
      <w:bookmarkEnd w:id="393"/>
    </w:p>
    <w:p w:rsidR="00C61FF5" w:rsidRPr="00661595" w:rsidRDefault="0055388B" w:rsidP="00487A02">
      <w:pPr>
        <w:pStyle w:val="InstructionsText2"/>
        <w:numPr>
          <w:ilvl w:val="0"/>
          <w:numId w:val="0"/>
        </w:numPr>
        <w:ind w:left="1353" w:hanging="360"/>
      </w:pPr>
      <w:fldSimple w:instr=" seq paragraphs ">
        <w:r w:rsidR="00D11E4C">
          <w:rPr>
            <w:noProof/>
          </w:rPr>
          <w:t>92</w:t>
        </w:r>
      </w:fldSimple>
      <w:r w:rsidR="00D11E4C">
        <w:t>.</w:t>
      </w:r>
      <w:r w:rsidR="00D11E4C">
        <w:tab/>
        <w:t>A CR EQU IRB két táblából áll: A CR EQU IRB 1 általános áttekintést nyújt a részvényjellegű kitettségi osztályba sorolt IRB kitettségekről, valamint a teljes kockázati kitettségértékek különböző számítási módszereiről. A CR EQU IRB 2 a teljes kitettségállományt ügyfél-kategóriák szerinti bontásban mutatja be a PD/LGD-módszerrel összefüggésben. Az alábbi útmutatóban a CR EQU IRB megjelölés a CR EQU IRB 1 és CR EQU IRB 2 táblára egyaránt vonatkozik a helyzettől függően.</w:t>
      </w:r>
    </w:p>
    <w:p w:rsidR="00C61FF5" w:rsidRPr="00661595" w:rsidRDefault="0055388B" w:rsidP="00487A02">
      <w:pPr>
        <w:pStyle w:val="InstructionsText2"/>
        <w:numPr>
          <w:ilvl w:val="0"/>
          <w:numId w:val="0"/>
        </w:numPr>
        <w:ind w:left="1353" w:hanging="360"/>
      </w:pPr>
      <w:fldSimple w:instr=" seq paragraphs ">
        <w:r w:rsidR="00D11E4C">
          <w:rPr>
            <w:noProof/>
          </w:rPr>
          <w:t>93</w:t>
        </w:r>
      </w:fldSimple>
      <w:r w:rsidR="00D11E4C">
        <w:t>.</w:t>
      </w:r>
      <w:r w:rsidR="00D11E4C">
        <w:tab/>
        <w:t>A CR EQU IRB tábla a kockázattal súlyozott hitelkockázati kitettségértékeknek (a CRR 92. cikke (3) bekezdésének a) pontja) a CRR harmadik része II. címének 3. fejezete szerinti kiszámításával kapcsolatos információkat nyújt a CRR 147. cikke (2) bekezdésének e) pontjában említett részvényjellegű kitettségekre vonatkozóan.</w:t>
      </w:r>
    </w:p>
    <w:p w:rsidR="00C61FF5" w:rsidRPr="00661595" w:rsidRDefault="0055388B" w:rsidP="00487A02">
      <w:pPr>
        <w:pStyle w:val="InstructionsText2"/>
        <w:numPr>
          <w:ilvl w:val="0"/>
          <w:numId w:val="0"/>
        </w:numPr>
        <w:ind w:left="1353" w:hanging="360"/>
      </w:pPr>
      <w:fldSimple w:instr=" seq paragraphs ">
        <w:r w:rsidR="00D11E4C">
          <w:rPr>
            <w:noProof/>
          </w:rPr>
          <w:t>94</w:t>
        </w:r>
      </w:fldSimple>
      <w:r w:rsidR="00D11E4C">
        <w:t>.</w:t>
      </w:r>
      <w:r w:rsidR="00D11E4C">
        <w:tab/>
        <w:t>A CRR 147. cikkének (6) bekezdése szerint a következő kitettségeket a részvényjellegű kitettségi osztályba kell sorolni:</w:t>
      </w:r>
    </w:p>
    <w:p w:rsidR="00C61FF5" w:rsidRPr="00661595" w:rsidRDefault="00125707" w:rsidP="00487A02">
      <w:pPr>
        <w:pStyle w:val="InstructionsText2"/>
        <w:numPr>
          <w:ilvl w:val="0"/>
          <w:numId w:val="0"/>
        </w:numPr>
        <w:ind w:left="1353" w:hanging="360"/>
      </w:pPr>
      <w:r>
        <w:t>a)</w:t>
      </w:r>
      <w:r>
        <w:tab/>
        <w:t>nem hitelviszonyt megtestesítő kitettségek, amelyek a kibocsátó eszközeivel vagy jövedelmével szembeni hátrasorolt maradványkövetelést testesítenek meg;</w:t>
      </w:r>
    </w:p>
    <w:p w:rsidR="00C61FF5" w:rsidRPr="00661595" w:rsidRDefault="00125707" w:rsidP="00487A02">
      <w:pPr>
        <w:pStyle w:val="InstructionsText2"/>
        <w:numPr>
          <w:ilvl w:val="0"/>
          <w:numId w:val="0"/>
        </w:numPr>
        <w:ind w:left="1353" w:hanging="360"/>
      </w:pPr>
      <w:r>
        <w:t>b)</w:t>
      </w:r>
      <w:r>
        <w:tab/>
        <w:t>hitelviszonyt megtestesítő kitettségek és egyéb értékpapírok, partnerségek, származtatott ügyletek és egyéb eszközök, amelyek gazdasági tartalma hasonló az a) pontban ismertetett kitettségekhez.</w:t>
      </w:r>
    </w:p>
    <w:p w:rsidR="00C61FF5" w:rsidRPr="00661595" w:rsidRDefault="0055388B" w:rsidP="00487A02">
      <w:pPr>
        <w:pStyle w:val="InstructionsText2"/>
        <w:numPr>
          <w:ilvl w:val="0"/>
          <w:numId w:val="0"/>
        </w:numPr>
        <w:ind w:left="1353" w:hanging="360"/>
      </w:pPr>
      <w:fldSimple w:instr=" seq paragraphs ">
        <w:r w:rsidR="00D11E4C">
          <w:rPr>
            <w:noProof/>
          </w:rPr>
          <w:t>95</w:t>
        </w:r>
      </w:fldSimple>
      <w:r w:rsidR="00D11E4C">
        <w:t>.</w:t>
      </w:r>
      <w:r w:rsidR="00D11E4C">
        <w:tab/>
        <w:t>A CR EQU IRB táblán kell feltüntetni továbbá a CRR 152. cikkében említett egyszerű kockázati súlyozási módszerrel kezelt kollektív befektetési formákat is.</w:t>
      </w:r>
    </w:p>
    <w:p w:rsidR="00C61FF5" w:rsidRPr="00661595" w:rsidRDefault="0055388B" w:rsidP="00487A02">
      <w:pPr>
        <w:pStyle w:val="InstructionsText2"/>
        <w:numPr>
          <w:ilvl w:val="0"/>
          <w:numId w:val="0"/>
        </w:numPr>
        <w:ind w:left="1353" w:hanging="360"/>
      </w:pPr>
      <w:fldSimple w:instr=" seq paragraphs ">
        <w:r w:rsidR="00D11E4C">
          <w:rPr>
            <w:noProof/>
          </w:rPr>
          <w:t>96</w:t>
        </w:r>
      </w:fldSimple>
      <w:r w:rsidR="00D11E4C">
        <w:t>.</w:t>
      </w:r>
      <w:r w:rsidR="00D11E4C">
        <w:tab/>
        <w:t xml:space="preserve">A CRR 151. cikkének (1) bekezdése szerint az intézményeknek ki kell tölteniük a CR EQU IRB táblát akkor, ha a CRR 155. cikkében említett három módszer valamelyikét alkalmazzák: </w:t>
      </w:r>
    </w:p>
    <w:p w:rsidR="00C61FF5" w:rsidRPr="00661595" w:rsidRDefault="00C61FF5" w:rsidP="00487A02">
      <w:pPr>
        <w:pStyle w:val="InstructionsText"/>
      </w:pPr>
      <w:r>
        <w:t>– egyszerű kockázati súlyozási módszer;</w:t>
      </w:r>
    </w:p>
    <w:p w:rsidR="00C61FF5" w:rsidRPr="00661595" w:rsidRDefault="00C61FF5" w:rsidP="00487A02">
      <w:pPr>
        <w:pStyle w:val="InstructionsText"/>
      </w:pPr>
      <w:r>
        <w:t>– PD/LGD-módszer;</w:t>
      </w:r>
    </w:p>
    <w:p w:rsidR="00C61FF5" w:rsidRPr="00661595" w:rsidRDefault="00C61FF5" w:rsidP="00487A02">
      <w:pPr>
        <w:pStyle w:val="InstructionsText"/>
      </w:pPr>
      <w:r>
        <w:t>– belső modelleken alapuló módszer.</w:t>
      </w:r>
    </w:p>
    <w:p w:rsidR="00C61FF5" w:rsidRPr="00661595" w:rsidRDefault="00C61FF5" w:rsidP="00487A02">
      <w:pPr>
        <w:pStyle w:val="InstructionsText"/>
        <w:ind w:left="1353"/>
      </w:pPr>
      <w:r>
        <w:t>Ezenfelül az IRB módszert alkalmazó intézményeknek a CR EQU IRB táblán adatot kell szolgáltatniuk az olyan részvényjellegű kitettségekre vonatkozó kockázattal súlyozott kitettségértékekről is, amelyekre fix kockázati súly vonatkozik (azonban az egyszerű kockázati súlyozási módszer kifejezett alkalmazása, vagy a hitelkockázati sztenderd módszer átmeneti vagy tartós mentesítés alapján történő alkalmazása nélkül; például a CRR 48. cikkének (4) bekezdése szerint 250 %-os, a CRR 471. cikkének (2) bekezdése szerint 370 %-os kockázati súllyal kezelt részvényjellegű kitettségek esetében).</w:t>
      </w:r>
    </w:p>
    <w:p w:rsidR="00C61FF5" w:rsidRPr="00661595" w:rsidRDefault="0055388B" w:rsidP="00487A02">
      <w:pPr>
        <w:pStyle w:val="InstructionsText2"/>
        <w:numPr>
          <w:ilvl w:val="0"/>
          <w:numId w:val="0"/>
        </w:numPr>
        <w:ind w:left="1353" w:hanging="360"/>
      </w:pPr>
      <w:fldSimple w:instr=" seq paragraphs ">
        <w:r w:rsidR="00D11E4C">
          <w:rPr>
            <w:noProof/>
          </w:rPr>
          <w:t>97</w:t>
        </w:r>
      </w:fldSimple>
      <w:r w:rsidR="00D11E4C">
        <w:t>.</w:t>
      </w:r>
      <w:r w:rsidR="00D11E4C">
        <w:tab/>
        <w:t>A CR EQU IRB táblán nem tüntethetők fel az alábbi részvényjellegű követelések:</w:t>
      </w:r>
    </w:p>
    <w:p w:rsidR="00C61FF5" w:rsidRPr="00661595" w:rsidRDefault="00C61FF5" w:rsidP="00487A02">
      <w:pPr>
        <w:pStyle w:val="InstructionsText"/>
        <w:ind w:left="1353"/>
      </w:pPr>
      <w:r>
        <w:t xml:space="preserve">– a kereskedési könyvben nyilvántartott részvényjellegű kitettségek (ha az intézmények nem mentesülnek a kereskedési könyvi pozíciókra vonatkozó szavatolótőke-követelmények kiszámítása alól (a CRR 94. cikke)); </w:t>
      </w:r>
    </w:p>
    <w:p w:rsidR="00C61FF5" w:rsidRPr="00661595" w:rsidRDefault="00C61FF5" w:rsidP="00487A02">
      <w:pPr>
        <w:pStyle w:val="InstructionsText"/>
        <w:ind w:left="1353"/>
      </w:pPr>
      <w:r>
        <w:t>– a mentesítés alapján a sztenderd módszerrel kezelt részvényjellegű kitettségek (a CRR. 150. cikke), ezen belül:</w:t>
      </w:r>
    </w:p>
    <w:p w:rsidR="00C61FF5" w:rsidRPr="00661595" w:rsidRDefault="00C61FF5" w:rsidP="00487A02">
      <w:pPr>
        <w:pStyle w:val="InstructionsText"/>
        <w:ind w:left="1353"/>
      </w:pPr>
      <w:r>
        <w:t>– a CRR 495. cikkének (1) bekezdése szerint a szerzett jogok alapján figyelembe vett részvényjellegű kitettségek;</w:t>
      </w:r>
    </w:p>
    <w:p w:rsidR="00C61FF5" w:rsidRPr="00661595" w:rsidRDefault="00C61FF5" w:rsidP="00487A02">
      <w:pPr>
        <w:pStyle w:val="InstructionsText"/>
        <w:ind w:left="1353"/>
      </w:pPr>
      <w:r>
        <w:t>– az olyan szervezetekkel szembeni részvényjellegű kitettségek, amelyek hitelkötelezettségei a sztenderd módszer alapján 0 %-os kockázati súlyt kapnak, ideértve azokat a köztámogatásban részesülő szervezeteket is, amelyeknél alkalmazható a 0 %-os kockázati súly (a CRR 150. cikke (1) bekezdésének g) pontja);</w:t>
      </w:r>
    </w:p>
    <w:p w:rsidR="00C61FF5" w:rsidRPr="00661595" w:rsidRDefault="00C61FF5" w:rsidP="00487A02">
      <w:pPr>
        <w:pStyle w:val="InstructionsText"/>
        <w:ind w:left="1353"/>
      </w:pPr>
      <w:r>
        <w:lastRenderedPageBreak/>
        <w:t>– a gazdaság meghatározott ágazatainak előmozdítására irányuló olyan állami programok keretében felmerült részvényjellegű kitettségek, amelyek esetében az intézmény jelentős támogatást kap a befektetésre, és amelyekre a kormányzati felvigyázás bizonyos formája és a tőkerészesedés-befektetések korlátozása vonatkozik (a CRR 150. cikke (1) bekezdésének h) pontja);</w:t>
      </w:r>
    </w:p>
    <w:p w:rsidR="00C61FF5" w:rsidRPr="00661595" w:rsidRDefault="00C61FF5" w:rsidP="00487A02">
      <w:pPr>
        <w:pStyle w:val="InstructionsText"/>
        <w:ind w:left="1353"/>
      </w:pPr>
      <w:r>
        <w:t>– az olyan járulékos vállalkozásokkal szembeni részvényjellegű kitettségek, amelyek kockázattal súlyozott kitettségértéke az egyéb, nem hitelkötelezettséget megtestesítő eszközök kezelésének megfelelő módon számítható ki (a CRR 155. cikkének (1) bekezdése szerint);</w:t>
      </w:r>
    </w:p>
    <w:p w:rsidR="00C61FF5" w:rsidRPr="00661595" w:rsidRDefault="00C61FF5" w:rsidP="00487A02">
      <w:pPr>
        <w:pStyle w:val="InstructionsText"/>
        <w:ind w:left="1353"/>
      </w:pPr>
      <w:r>
        <w:t>– a szavatolótőkéből a CRR 46. és 48. cikkével összhangban levont részvényjellegű követelések.</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858634"/>
      <w:r>
        <w:rPr>
          <w:rFonts w:ascii="Times New Roman" w:hAnsi="Times New Roman"/>
          <w:sz w:val="24"/>
          <w:u w:val="none"/>
        </w:rPr>
        <w:t>3.5.2.</w:t>
      </w:r>
      <w:r w:rsidRPr="00BA7F92">
        <w:rPr>
          <w:u w:val="none"/>
        </w:rPr>
        <w:tab/>
      </w:r>
      <w:bookmarkStart w:id="398" w:name="_Toc295829921"/>
      <w:r>
        <w:rPr>
          <w:rFonts w:ascii="Times New Roman" w:hAnsi="Times New Roman"/>
          <w:sz w:val="24"/>
        </w:rPr>
        <w:t>A tábla egyes részeire vonatkozó útmutató (mind a CR EQU IRB 1, mind a CR EQU IRB 2 táblára alkalmazandó)</w:t>
      </w:r>
      <w:bookmarkEnd w:id="394"/>
      <w:bookmarkEnd w:id="395"/>
      <w:bookmarkEnd w:id="396"/>
      <w:bookmarkEnd w:id="397"/>
      <w:bookmarkEnd w:id="398"/>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Oszlopok</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ÜGYFÉL-KATEGÓRIA (SORAZONOSÍTÓ)</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ügyfél-kategória egy sorazonosító, amely a tábla egyes lapjainak minden sorát egyedileg azonosítja. </w:t>
            </w:r>
            <w:r>
              <w:rPr>
                <w:rFonts w:ascii="Times New Roman" w:hAnsi="Times New Roman"/>
                <w:sz w:val="24"/>
              </w:rPr>
              <w:t>Sorrendje: 1, 2, 3 stb.</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BELSŐ MINŐSÍTÉSI SKÁLA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AZ ÜGYFÉL-KATEGÓRIÁHOZ RENDELT NEMTELJESÍTÉSI VALÓSZÍNŰSÉG (PD,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 0010. oszlopban a CRR 165. cikkének (1) bekezdése szerint kiszámított nemteljesítési valószínűséget (PD) tüntetik fel.</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ügyfél-kategóriához vagy -halmazhoz rendelt, feltüntetendő PD-értéket a CRR harmadik része II. címe 3. fejezetének 6. szakaszában foglalt minimumkövetelményeknek megfelelően kell megállapítani. Az egyes ügyfél-kategóriákhoz vagy -halmazokhoz rendelt PD-értéket kell feltüntetni. A feltüntetett kockázati paramétereket az adott illetékes hatóság által jóváhagyott belső minősítési skálában alkalmazott kockázati paraméterekből kell származtatni.</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Az ügyfélkategóriák vagy -halmazok összesítő adataira (pl. a teljes kitettségre) vonatkozóan az összesítésbe beszámított ügyfél-kategóriákhoz vagy -halmazokhoz rendelt PD-értékek kitettséggel súlyozott átlagát kell feltüntetni. A kitettséggel súlyozott átlagos PD kiszámításakor valamennyi kitettséget figyelembe kell venni, ideértve a nemteljesítő kitettségeket is. A kitettséggel súlyozott átlagos PD érték kiszámításánál a súlyozást az előre nem rendelkezésre bocsátott hitelkockázati fedezet (0060-as oszlop) figyelembevételével megállapított kitettségérték alapján kell végezni.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HITEL-EGYENÉRTÉKESÍTÉSI TÉNYEZŐK ELŐTTI EREDETI KITETTSÉG</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Az intézmények a 0020-as sorban a hitel-egyenértékesítési tényezők előtti eredeti kitettségértéket tüntetik fel. A CRR 167. cikke szerint a részvényjellegű kitettségekhez tartozó kitettségérték az egyedi hitelkockázati kiigazítások alkalmazását követően fennmaradó könyv szerinti értéknek felel meg. A</w:t>
            </w:r>
            <w:r>
              <w:rPr>
                <w:rFonts w:ascii="Times New Roman" w:hAnsi="Times New Roman"/>
                <w:sz w:val="24"/>
              </w:rPr>
              <w:t xml:space="preserve"> mérlegen kívüli részvényjellegű kitettségekhez tartozó kitettségérték az egyedi hitelkockázati kiigazításokkal csökkentett névérték.</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intézmények ezenkívül a 0020-as oszlopban tüntetik fel a CRR I. mellékletében említett, a részvényjellegű kitettségi osztályba sorolt mérlegen kívüli tételeket (pl. a részben kifizetett részvények és értékpapírok kifizetetlen részét).</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Az egyszerű kockázati súlyozási módszert vagy a CRR 165. cikkének (1) bekezdésében említett PD/LGD-módszert alkalmazó intézményeknek figyelembe kell venniük a CRR 155. cikke (2) bekezdésének második albekezdésében említett beszámítást (offset) is.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HITELKOCKÁZAT-MÉRSÉKLÉSI (CRM) TECHNIKÁK</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ELŐRE NEM RENDELKEZÉSRE BOCSÁTOTT HITELKOCKÁZATI FEDEZET</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GARANCIÁK</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HITELDERIVATÍVÁK</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részvényjellegű kitettségekre vonatkozó kockázattal súlyozott kitettségértékek kiszámításához alkalmazott módszertől függetlenül az intézmények a részvényjellegű kitettségek előre nem rendelkezésre bocsátott hitelkockázati fedezetét is elismerhetik (a CRR 155. cikkének (2), (3) és (4) bekezdése). Az egyszerű kockázati súlyozási módszert vagy a PD/LGD-módszert alkalmazó intézmények a 0030-as és 0040-es oszlopban a CRR harmadik része II. címének 4. fejezetében foglalt módszerek szerint elismert, előre nem rendelkezésre bocsátott hitelkockázati fedezet összegét garanciák (0030-as oszlop) vagy hitelderivatívák (0040-es oszlop) formájában tüntetik fel.</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KITETTSÉGRE HELYETTESÍTÉSI HATÁSSAL JÁRÓ HITELKOCKÁZAT-MÉRSÉKLÉSI (CRM) TECHNIKÁK</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 HITELKOCKÁZAT-MÉRSÉKLÉS MIATTI HELYETTESÍTÉSE</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KIÁRAMLÁSOK ÖSSZESEN</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intézmények az 0050-es oszlopban tüntetik fel a hitel-egyenértékesítési tényezők előtti eredeti kitettségnek azt a részét, amely a CRR harmadik része II. címének 4. fejezetében foglalt módszerek szerint megjelenített, előre nem rendelkezésre bocsátott hitelkockázati fedezettel rendelkezik.</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KITETTSÉGÉRTÉK</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Az egyszerű kockázati súlyozási módszert vagy a PD/LGD-módszert alkalmazó intézmények a 0060. oszlopban a kitettségértéket tüntetik fel az előre nem rendelkezésre bocsátott hitelkockázati fedezetből eredő helyettesítési hatások figyelembevételével (a CRR 155. cikkének (2) és (3) bekezdése, valamint 167. cikke).</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mérlegen kívüli részvényjellegű kitettségek esetében a kitettségérték az egyedi hitelkockázati kiigazításokkal csökkentett névérték (a CRR 167. cikke).</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MÉRLEGEN KÍVÜLI TÉTELEK</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Lásd a CR SA táblához tartozó útmutatót.</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KITETTSÉGGEL SÚLYOZOTT ÁTLAGOS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az összesítésben szereplő ügyfél-kategóriákba vagy -halmazokba sorolt LGD-értékek kitettséggel súlyozott átlagát tüntetik fel.</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 kitettséggel súlyozott átlagos LGD-értéket az előre nem rendelkezésre bocsátott hitelkockázati fedezet figyelembevételével meghatározott kitettségérték (0060-as oszlop) alapján kell kiszámítani.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intézményeknek figyelembe kell venniük a CRR 165. cikkének (2) bekezdésében foglalt rendelkezéseket.</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intézményeknek adatot kell szolgáltatniuk a részvényjellegű kitettségekre vonatkozó, a CRR 155. cikke szerint kiszámított kockázattal súlyozott kitettségértékekről.</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Ha a PD/LGD-módszert alkalmazó intézmények nem rendelkeznek elegendő információval a nemteljesítés CRR 178. cikkében meghatározott fogalmának használatához, akkor a kockázattal súlyozott kitettségértékek kiszámításakor a kockázati súlyokra 1,5-es szorzót kell alkalmazni (a CRR 155. cikkének (3) bekezdése).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kockázatisúly-függvény M (lejárat) bemenő paramétere tekintetében a részvényjellegű kitettségekhez rendelt lejárat 5 év (a CRR 165. cikkének (3) bekezdése).</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TÁJÉKOZTATÓ ADAT: VÁRHATÓ VESZTESÉGÉRTÉK</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Az intézmények a 0090-es oszlopban tüntetik fel a részvényjellegű kitettségekre vonatkozó várható veszteségértéket, amelyeket a CRR 158. cikkének (4), (7), (8) és (9) bekezdése szerint kell kiszámítani. </w:t>
            </w:r>
          </w:p>
        </w:tc>
      </w:tr>
    </w:tbl>
    <w:p w:rsidR="00745369" w:rsidRPr="00661595" w:rsidRDefault="00745369" w:rsidP="00487A02">
      <w:pPr>
        <w:pStyle w:val="InstructionsText"/>
      </w:pPr>
    </w:p>
    <w:p w:rsidR="00C61FF5" w:rsidRPr="00661595" w:rsidRDefault="0055388B" w:rsidP="00487A02">
      <w:pPr>
        <w:pStyle w:val="InstructionsText2"/>
        <w:numPr>
          <w:ilvl w:val="0"/>
          <w:numId w:val="0"/>
        </w:numPr>
        <w:ind w:left="1353" w:hanging="360"/>
      </w:pPr>
      <w:fldSimple w:instr=" seq paragraphs ">
        <w:r w:rsidR="00D11E4C">
          <w:rPr>
            <w:noProof/>
          </w:rPr>
          <w:t>98</w:t>
        </w:r>
      </w:fldSimple>
      <w:r w:rsidR="00D11E4C">
        <w:t>.</w:t>
      </w:r>
      <w:r w:rsidR="00D11E4C">
        <w:tab/>
        <w:t>A CRR 155. cikke szerint az intézmények a különböző portfóliók esetében különböző módszereket (egyszerű kockázati súlyozási módszere, PD/LGD-módszer, belső modelleken alapuló módszer) alkalmazhatnak akkor, ha ezeket szervezeten belül alkalmazzák. Az intézményeknek a CR EQU IRB 1 táblán adatot kell szolgáltatniuk az olyan részvényjellegű kitettségekre vonatkozó kockázattal súlyozott kitettségértékekről is, amelyekre fix kockázati súly vonatkozik (azon</w:t>
      </w:r>
      <w:r w:rsidR="00D11E4C">
        <w:lastRenderedPageBreak/>
        <w:t>ban az egyszerű kockázati súlyozási módszer kifejezett alkalmazása, vagy a hitelkockázati sztenderd módszer átmeneti vagy tartós mentesítés alapján történő alkalmazása nélkül).</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Sorok</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0020. sor</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PD/LGD-MÓDSZER: ÖSSZESEN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 CRR 155. cikkének (3) pontja) a kért információkat a CR EQU IRB 1 tábla 0020. sorában tüntetik fel.</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0050–0090. sor</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EGYSZERŰ KOCKÁZATI SÚLYOZÁSI MÓDSZER: ÖSSZESEN</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A TELJES KITETTSÉG KOCKÁZATI SÚLY SZERINTI BONTÁSA AZ EGYSZERŰ KOCKÁZATI SÚLYOZÁSI MÓDSZER ALAPJÁN:</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Az egyszerű kockázati súlyozási módszert alkalmazó intézmények (a CRR 155. cikkének (2) bekezdése) a kért információkat az alapul szolgáló kitettségek jellemzőinek megfelelően az 0050–090. sorban adják meg.</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0100. sor</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BELSŐ MODELLEKEN ALAPULÓ MÓDSZER</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belső modelleken alapuló módszert alkalmazó intézmények (a CRR 155. cikkének (4) bekezdése) a kért információkat a 0100. sorban tüntetik fel.</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0110. sor</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KOCKÁZATI SÚLYOZÁS ALÁ TARTOZÓ RÉSZVÉNYJELLEGŰ KITETTSÉGEK</w:t>
            </w:r>
          </w:p>
          <w:p w:rsidR="00C61FF5" w:rsidRPr="00661595" w:rsidRDefault="00C61FF5" w:rsidP="00C61FF5">
            <w:pPr>
              <w:rPr>
                <w:rFonts w:ascii="Times New Roman" w:hAnsi="Times New Roman"/>
                <w:sz w:val="24"/>
              </w:rPr>
            </w:pPr>
            <w:r>
              <w:rPr>
                <w:rFonts w:ascii="Times New Roman" w:hAnsi="Times New Roman"/>
                <w:sz w:val="24"/>
              </w:rPr>
              <w:t>Az IRB módszert alkalmazó intézményeknek adatot kell szolgáltatniuk az olyan részvényjellegű kitettségekre vonatkozó kockázattal súlyozott kitettségértékekről, amelyekre fix kockázati súly alkalmazandó (azonban az egyszerű kockázati súlyozási módszer kifejezett alkalmazása, vagy a hitelkockázati sztenderd módszer átmeneti vagy tartós mentesítés alapján történő alkalmazása nélkül). Például:</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a pénzügyi ágazatbeli szervezetekkel szemben fennálló, a CRR 48. cikkének (4) bekezdése szerint kezelt részvényjellegű pozíciók kockázattal súlyozott kitettségértékét, valamint</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a CRR 471. cikkének (2) bekezdése szerint 370 %-os kockázati súlyú részvényjellegű pozíciókat a 0110. sorban kell feltüntetni.</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TELJES KITETTSÉG ÜGYFÉL-KATEGÓRIA SZERINTI BONTÁSA A PD/LGD-MÓDSZER ALAPJÁN</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PD/LGD-módszert alkalmazó intézmények (a CRR 155. cikkének (3) bekezdése) a kért információkat a CR EQU IRB 2 táblán tüntetik fel.</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Annak a PD/LGD-módszert alkalmazó intézménynek, amely egyedi minősítési skálát alkalmaz, vagy az adatszolgáltatást irányadó belső skála alapján tudja teljesíteni, a CR EQU IRB 2 táblán az egyedi minősítési skála / irányadó skála szerinti minősítési kategóriákat vagy halmazokat kell megadnia. Minden más esetben a különböző minősítési skálákat a következő kritériumok alapján kell összevonni és rangsorolni: a különböző minősítési skálák ügyfél-kategóriáit vagy -</w:t>
            </w:r>
            <w:r>
              <w:rPr>
                <w:rStyle w:val="InstructionsTabelleText"/>
                <w:rFonts w:ascii="Times New Roman" w:hAnsi="Times New Roman"/>
                <w:sz w:val="24"/>
              </w:rPr>
              <w:lastRenderedPageBreak/>
              <w:t>halmazait össze kell vonni, majd az egyes ügyfél-kategóriákhoz vagy -halmazokhoz rendelt PD-érték alapján növekvő sorrendbe kell állítani.</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9" w:name="_Toc360188372"/>
      <w:bookmarkStart w:id="400" w:name="_Toc473560923"/>
      <w:bookmarkStart w:id="401" w:name="_Toc58858635"/>
      <w:r>
        <w:rPr>
          <w:rFonts w:ascii="Times New Roman" w:hAnsi="Times New Roman"/>
          <w:sz w:val="24"/>
          <w:u w:val="none"/>
        </w:rPr>
        <w:t>3.6.</w:t>
      </w:r>
      <w:r w:rsidRPr="00BA7F92">
        <w:rPr>
          <w:u w:val="none"/>
        </w:rPr>
        <w:tab/>
      </w:r>
      <w:bookmarkStart w:id="402" w:name="_Toc310415035"/>
      <w:r>
        <w:rPr>
          <w:rFonts w:ascii="Times New Roman" w:hAnsi="Times New Roman"/>
          <w:sz w:val="24"/>
        </w:rPr>
        <w:t>C 11.00 – Elszámolási/teljesítési kockázat (CR SETT)</w:t>
      </w:r>
      <w:bookmarkEnd w:id="399"/>
      <w:bookmarkEnd w:id="400"/>
      <w:bookmarkEnd w:id="401"/>
      <w:bookmarkEnd w:id="402"/>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858636"/>
      <w:r>
        <w:rPr>
          <w:rFonts w:ascii="Times New Roman" w:hAnsi="Times New Roman"/>
          <w:sz w:val="24"/>
          <w:u w:val="none"/>
        </w:rPr>
        <w:t>3.6.1.</w:t>
      </w:r>
      <w:r w:rsidRPr="00BA7F92">
        <w:rPr>
          <w:u w:val="none"/>
        </w:rPr>
        <w:tab/>
      </w:r>
      <w:r>
        <w:rPr>
          <w:rFonts w:ascii="Times New Roman" w:hAnsi="Times New Roman"/>
          <w:sz w:val="24"/>
        </w:rPr>
        <w:t>Általános megjegyzések</w:t>
      </w:r>
      <w:bookmarkEnd w:id="403"/>
      <w:bookmarkEnd w:id="404"/>
      <w:bookmarkEnd w:id="405"/>
      <w:bookmarkEnd w:id="406"/>
      <w:bookmarkEnd w:id="407"/>
      <w:bookmarkEnd w:id="408"/>
    </w:p>
    <w:p w:rsidR="00612780" w:rsidRPr="00661595" w:rsidRDefault="0055388B" w:rsidP="00487A02">
      <w:pPr>
        <w:pStyle w:val="InstructionsText2"/>
        <w:numPr>
          <w:ilvl w:val="0"/>
          <w:numId w:val="0"/>
        </w:numPr>
        <w:ind w:left="1353" w:hanging="360"/>
      </w:pPr>
      <w:fldSimple w:instr=" seq paragraphs ">
        <w:r w:rsidR="00D11E4C">
          <w:rPr>
            <w:noProof/>
          </w:rPr>
          <w:t>99</w:t>
        </w:r>
      </w:fldSimple>
      <w:r w:rsidR="00D11E4C">
        <w:t>.</w:t>
      </w:r>
      <w:r w:rsidR="00D11E4C">
        <w:tab/>
        <w:t xml:space="preserve">A tábla a kereskedési könyvben és a nem kereskedési könyvben nyilvántartott olyan ügyletekről kér információt, amelyek kiegyenlítése a teljesítési határidejükig nem történt meg, továbbá az elszámolási kockázat kapcsolódó szavatolótőke-követelményéről a CRR 92. cikke (3) bekezdése c) pontjának ii. alpontjában, valamint 378. cikkében említetteknek megfelelően. </w:t>
      </w:r>
    </w:p>
    <w:p w:rsidR="00612780" w:rsidRPr="00661595" w:rsidRDefault="0055388B" w:rsidP="00487A02">
      <w:pPr>
        <w:pStyle w:val="InstructionsText2"/>
        <w:numPr>
          <w:ilvl w:val="0"/>
          <w:numId w:val="0"/>
        </w:numPr>
        <w:ind w:left="1353" w:hanging="360"/>
      </w:pPr>
      <w:fldSimple w:instr=" seq paragraphs ">
        <w:r w:rsidR="00D11E4C">
          <w:rPr>
            <w:noProof/>
          </w:rPr>
          <w:t>100</w:t>
        </w:r>
      </w:fldSimple>
      <w:r w:rsidR="00D11E4C">
        <w:t>.</w:t>
      </w:r>
      <w:r w:rsidR="00D11E4C">
        <w:tab/>
        <w:t xml:space="preserve">Az intézmények a CR SETT táblán az elszámolási/teljesítési kockázattal kapcsolatos információkat adnak meg a kereskedési könyvben és a nem kereskedési könyvben nyilvántartott hitelviszonyt megtestesítő értékpapírokra, részvényekre, külföldi pénznemekre és árukra vonatkozóan. </w:t>
      </w:r>
    </w:p>
    <w:p w:rsidR="00612780" w:rsidRPr="00661595" w:rsidRDefault="0055388B" w:rsidP="00487A02">
      <w:pPr>
        <w:pStyle w:val="InstructionsText2"/>
        <w:numPr>
          <w:ilvl w:val="0"/>
          <w:numId w:val="0"/>
        </w:numPr>
        <w:ind w:left="1353" w:hanging="360"/>
      </w:pPr>
      <w:fldSimple w:instr=" seq paragraphs ">
        <w:r w:rsidR="00D11E4C">
          <w:rPr>
            <w:noProof/>
          </w:rPr>
          <w:t>101</w:t>
        </w:r>
      </w:fldSimple>
      <w:r w:rsidR="00D11E4C">
        <w:t>.</w:t>
      </w:r>
      <w:r w:rsidR="00D11E4C">
        <w:tab/>
        <w:t>A CRR 378. cikke szerint az elszámolási/teljesítési kockázatra vonatkozó szavatolótőke-követelmény nem érinti a repoügyleteket, valamint a hitelviszonyt megtestesítő értékpapírokkal, részvényekkel, külföldi pénznemekkel vagy áruval kapcsolatos értékpapír- és áru-kölcsönbeadási, illetve -kölcsönvételi ügyleteket. Ügyelni kell azonban arra, hogy a teljesítési határidőig ki nem egyenlített származtatott ügyletek és hosszú kiegyenlítési idejű ügyletek ettől függetlenül a CRR 378. cikke szerint meghatározott, az elszámolási/teljesítési kockázatra vonatkozó szavatolótőke-követelmény hatálya alá esnek.</w:t>
      </w:r>
    </w:p>
    <w:p w:rsidR="00612780" w:rsidRPr="00661595" w:rsidRDefault="0055388B" w:rsidP="00487A02">
      <w:pPr>
        <w:pStyle w:val="InstructionsText2"/>
        <w:numPr>
          <w:ilvl w:val="0"/>
          <w:numId w:val="0"/>
        </w:numPr>
        <w:ind w:left="1353" w:hanging="360"/>
      </w:pPr>
      <w:fldSimple w:instr=" seq paragraphs ">
        <w:r w:rsidR="00D11E4C">
          <w:rPr>
            <w:noProof/>
          </w:rPr>
          <w:t>102</w:t>
        </w:r>
      </w:fldSimple>
      <w:r w:rsidR="00D11E4C">
        <w:t>.</w:t>
      </w:r>
      <w:r w:rsidR="00D11E4C">
        <w:tab/>
        <w:t xml:space="preserve">A teljesítési határidőig ki nem egyenlített ügyletek esetében az intézményeknek ki kell számítaniuk a felmerült árkülönbözetet. Ez az adott hitelviszonyt megtestesítő értékpapír, részvény, külföldi pénznem vagy áru kikötött teljesítési ára és aktuális piaci értéke közötti különbözet, ahol a különbözet veszteséget is jelenthet az intézmény számára. </w:t>
      </w:r>
    </w:p>
    <w:p w:rsidR="00612780" w:rsidRPr="00661595" w:rsidRDefault="0055388B" w:rsidP="00487A02">
      <w:pPr>
        <w:pStyle w:val="InstructionsText2"/>
        <w:numPr>
          <w:ilvl w:val="0"/>
          <w:numId w:val="0"/>
        </w:numPr>
        <w:ind w:left="1353" w:hanging="360"/>
      </w:pPr>
      <w:fldSimple w:instr=" seq paragraphs ">
        <w:r w:rsidR="00D11E4C">
          <w:rPr>
            <w:noProof/>
          </w:rPr>
          <w:t>103</w:t>
        </w:r>
      </w:fldSimple>
      <w:r w:rsidR="00D11E4C">
        <w:t>.</w:t>
      </w:r>
      <w:r w:rsidR="00D11E4C">
        <w:tab/>
        <w:t>Az intézmények a különbözetet a CRR 378. cikkében található 1. táblázat megfelelő szorzójával megszorozva határozzák meg a vonatkozó szavatolótőke-követelményt.</w:t>
      </w:r>
    </w:p>
    <w:p w:rsidR="00612780" w:rsidRPr="00661595" w:rsidRDefault="0055388B" w:rsidP="00487A02">
      <w:pPr>
        <w:pStyle w:val="InstructionsText2"/>
        <w:numPr>
          <w:ilvl w:val="0"/>
          <w:numId w:val="0"/>
        </w:numPr>
        <w:ind w:left="1353" w:hanging="360"/>
      </w:pPr>
      <w:fldSimple w:instr=" seq paragraphs ">
        <w:r w:rsidR="00D11E4C">
          <w:rPr>
            <w:noProof/>
          </w:rPr>
          <w:t>104</w:t>
        </w:r>
      </w:fldSimple>
      <w:r w:rsidR="00D11E4C">
        <w:t>.</w:t>
      </w:r>
      <w:r w:rsidR="00D11E4C">
        <w:tab/>
        <w:t>A 92. cikk (4) bekezdésének b) pontja szerint a kockázati kitettség összegének kiszámításához az elszámolási/teljesítési kockázatra vonatkozó szavatolótőke-követelményt 12,5-del kell megszorozni.</w:t>
      </w:r>
    </w:p>
    <w:p w:rsidR="00612780" w:rsidRPr="00661595" w:rsidRDefault="0055388B" w:rsidP="00487A02">
      <w:pPr>
        <w:pStyle w:val="InstructionsText2"/>
        <w:numPr>
          <w:ilvl w:val="0"/>
          <w:numId w:val="0"/>
        </w:numPr>
        <w:ind w:left="1353" w:hanging="360"/>
      </w:pPr>
      <w:fldSimple w:instr=" seq paragraphs ">
        <w:r w:rsidR="00D11E4C">
          <w:rPr>
            <w:noProof/>
          </w:rPr>
          <w:t>105</w:t>
        </w:r>
      </w:fldSimple>
      <w:r w:rsidR="00D11E4C">
        <w:t>.</w:t>
      </w:r>
      <w:r w:rsidR="00D11E4C">
        <w:tab/>
        <w:t>Ügyelni kell arra, hogy a CR SETT tábla alkalmazás köre nem terjed ki a nyitva szállításokra vonatkozó, a CRR 379. cikkében rögzített szavatolótőke-követelményre; azt a hitelkockázati táblacsoporton (CR SA, CR IRB) kell feltüntetni.</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858637"/>
      <w:r>
        <w:rPr>
          <w:rFonts w:ascii="Times New Roman" w:hAnsi="Times New Roman"/>
          <w:sz w:val="24"/>
          <w:u w:val="none"/>
        </w:rPr>
        <w:t>3.6.2.</w:t>
      </w:r>
      <w:r>
        <w:tab/>
      </w:r>
      <w:r>
        <w:rPr>
          <w:rFonts w:ascii="Times New Roman" w:hAnsi="Times New Roman"/>
          <w:sz w:val="24"/>
        </w:rPr>
        <w:t>A tábla egyes részeire vonatkozó útmutató</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Oszlop</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KI NEM EGYENLÍTETT ÜGYLETEK TELJESÍTÉSI ÁRA</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A CRR 378. cikkében említetteknek megfelelően az intézmények a teljesítési határidőig ki nem egyenlített ügyleteket azok elfogadott teljesítési árán tüntetik fel.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Ebben az oszlopban minden ki nem egyenlített ügyletet fel kell tüntetni attól függetlenül, hogy a teljesítési határidőt követően nyereséget vagy veszteséget mutatnak.</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 NEM EGYENLÍTETT ÜGYLETEKBŐL EREDŐ ÁRKÜLÖNBÖZETI KITETTSÉG</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Az intézmények feltüntetik az adott hitelviszonyt megtestesítő értékpapír, részvény, külföldi pénznem vagy áru kikötött teljesítési ára és aktuális piaci értéke közötti különbözetet, ahol a különbözet veszteséget is jelenthet az intézmény számára, a CRR 378. cikkében említetteknek megfelelően.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Ebben az oszlopban kizárólag azokat a ki nem egyenlített ügyleteket kell feltüntetni, amelyek a teljesítési határidőt követően veszteséget mutatnak.</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SZAVATOLÓTŐKE-KÖVETELMÉNY</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Az intézmények feltüntetik a CRR 378. cikke szerint kiszámított szavatolótőke-követelményt.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ELSZÁMOLÁSI KOCKÁZAT TELJES KOCKÁZATI KITETTSÉGÉRTÉKE</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A CRR 92. cikke (4) bekezdésének b) pontja szerint az intézmények az elszámolási kockázati kitettség összegének kiszámításához a 0030-as oszlopban feltüntetett szavatolótőke-követelményt 12,5-del szorozzák meg.</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Sorok</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nem kereskedési könyvi ki nem egyenlített ügyletek összesen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Az intézmények összesített információkat közölnek a nem kereskedési könyvi pozíciók elszámolási/teljesítési kockázatával kapcsolatban (a CRR 92. cikke (3) bekezdése c) pontjának ii. alpontjában, valamint 378. cikkében említetteknek megfelelően).</w:t>
            </w:r>
          </w:p>
          <w:p w:rsidR="00745369" w:rsidRPr="00661595" w:rsidRDefault="00612780" w:rsidP="00450A2E">
            <w:pPr>
              <w:spacing w:beforeLines="60" w:before="144"/>
              <w:rPr>
                <w:rFonts w:ascii="Times New Roman" w:hAnsi="Times New Roman"/>
                <w:sz w:val="24"/>
              </w:rPr>
            </w:pPr>
            <w:r>
              <w:rPr>
                <w:rFonts w:ascii="Times New Roman" w:hAnsi="Times New Roman"/>
                <w:sz w:val="24"/>
              </w:rPr>
              <w:t>Az intézmények az {r0010;c0010} cellában a teljesítési határidőig ki nem egyenlített ügyletek összesített értékét tüntetik fel azok elfogadott teljesítési árfolyamán.</w:t>
            </w:r>
          </w:p>
          <w:p w:rsidR="00745369" w:rsidRPr="00661595" w:rsidRDefault="00612780" w:rsidP="00450A2E">
            <w:pPr>
              <w:spacing w:beforeLines="60" w:before="144"/>
              <w:rPr>
                <w:rFonts w:ascii="Times New Roman" w:hAnsi="Times New Roman"/>
                <w:sz w:val="24"/>
              </w:rPr>
            </w:pPr>
            <w:r>
              <w:rPr>
                <w:rFonts w:ascii="Times New Roman" w:hAnsi="Times New Roman"/>
                <w:sz w:val="24"/>
              </w:rPr>
              <w:t>Az intézmények az {r0010;c0020} cellában a nem teljesített, veszteséges ügyletekből eredő árkülönbözeti kitettségre vonatkozó összesített információkat tüntetik fel.</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Az intézmények az {r0010;c0030] cellában az összesített szavatolótőke-követelményt tüntetik fel, amely a teljesítési határidő után eltelt munkanapok száma szerinti szorzó és a 0020. oszlopban megadott árkülönbözet szorzatából adódó, a ki </w:t>
            </w:r>
            <w:r>
              <w:rPr>
                <w:rFonts w:ascii="Times New Roman" w:hAnsi="Times New Roman"/>
                <w:sz w:val="24"/>
              </w:rPr>
              <w:lastRenderedPageBreak/>
              <w:t>nem egyenlített ügyletekre vonatkozó szavatolótőke-követelmény (a CRR 378. cikkében található 1. táblázatban említett kategóriáknak megfelelően).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Legfeljebb 4 napig ki nem egyenlített ügyletek (0 %-os szorzó)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5–15 napig ki nem egyenlített ügyletek (8 %-os szorzó)</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16–30 napig ki nem egyenlített ügyletek (50 %-os szorzó)</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31–45 napig ki nem egyenlített ügyletek (75 %-os szorzó)</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Legalább 46 napig ki nem egyenlített ügyletek (100 %-os szorzó)</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Az intézmények a 0020–0060. sorban a nem kereskedési könyvi pozíciókra vonatkozó elszámolási/teljesítési kockázattal kapcsolatos információkat a CRR 378. cikkében található 1. táblázatban említett kategóriák szerint tüntetik fel.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A teljesítési határidőt követően 5 munkanapnál rövidebb ideig ki nem egyenlített ügyletek esetében az elszámolási/teljesítési kockázatra nem vonatkozik szavatolótőke-követelmény.</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kereskedési könyvi ki nem egyenlített ügyletek összesen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Az intézmények összesített információkat közölnek a kereskedési könyvi pozíciók elszámolási/teljesítési kockázatával kapcsolatban (a CRR 92. cikke (3) bekezdése c) pontjának ii. alpontjában, valamint 378. cikkében említetteknek megfelelően).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Az intézmények az {r0070;c0010} cellában a teljesítési határidőig ki nem egyenlített ügyletek összesített értékét tüntetik fel azok elfogadott teljesítési árfolyamán.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Az intézmények az {r0070;c0020} cellában a nem teljesített, veszteséges ügyletekből eredő árkülönbözeti kitettségre vonatkozó összesített információkat tüntetik fel.</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Az intézmények az {r0070;c0030} cellában az összesített szavatolótőke-követelményt tüntetik fel, amely a teljesítési határidő után eltelt munkanapok száma szerinti szorzó és a 0020. oszlopban megadott árkülönbözet szorzatából adódó, a ki nem egyenlített ügyletekre vonatkozó szavatolótőke-követelmény (a CRR 378. cikkében található 1. táblázatban említett kategóriáknak megfelelően).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Legfeljebb 4 napig ki nem egyenlített ügyletek (0 %-os szorzó)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5–15 napig ki nem egyenlített ügyletek (8 %-os szorzó)</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16–30 napig ki nem egyenlített ügyletek (50 %-os szorzó)</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31–45 napig ki nem egyenlített ügyletek (75 %-os szorzó)</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Legalább 46 napig ki nem egyenlített ügyletek (100 %-os szorzó)</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Az intézmények a 0080–0120. sorban a kereskedési könyvi pozíciókra vonatkozó elszámolási/teljesítési kockázattal kapcsolatos információkat a CRR 378. cikkében található 1. táblázatban említett kategóriák szerint tüntetik fel.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lastRenderedPageBreak/>
              <w:t>A teljesítési határidőt követően 5 munkanapnál rövidebb ideig ki nem egyenlített ügyletek esetében az elszámolási/teljesítési kockázatra nem vonatkozik szavatolótőke-követelmény.</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7"/>
      <w:bookmarkStart w:id="414" w:name="_Toc58858638"/>
      <w:r>
        <w:rPr>
          <w:rFonts w:ascii="Times New Roman" w:hAnsi="Times New Roman"/>
          <w:sz w:val="24"/>
          <w:u w:val="none"/>
        </w:rPr>
        <w:t>3.7.</w:t>
      </w:r>
      <w:r w:rsidRPr="00602F4B">
        <w:rPr>
          <w:u w:val="none"/>
        </w:rPr>
        <w:tab/>
      </w:r>
      <w:r>
        <w:rPr>
          <w:rFonts w:ascii="Times New Roman" w:hAnsi="Times New Roman"/>
          <w:sz w:val="24"/>
        </w:rPr>
        <w:t>C 13.01 – Hitelkockázat – Értékpapírosítás (CR SEC)</w:t>
      </w:r>
      <w:bookmarkEnd w:id="413"/>
      <w:bookmarkEnd w:id="414"/>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8"/>
      <w:bookmarkStart w:id="416" w:name="_Toc58858639"/>
      <w:r>
        <w:rPr>
          <w:rFonts w:ascii="Times New Roman" w:hAnsi="Times New Roman"/>
          <w:sz w:val="24"/>
          <w:u w:val="none"/>
        </w:rPr>
        <w:t>3.7.1.</w:t>
      </w:r>
      <w:r w:rsidRPr="00602F4B">
        <w:rPr>
          <w:u w:val="none"/>
        </w:rPr>
        <w:tab/>
      </w:r>
      <w:r>
        <w:rPr>
          <w:rFonts w:ascii="Times New Roman" w:hAnsi="Times New Roman"/>
          <w:sz w:val="24"/>
        </w:rPr>
        <w:t>Általános megjegyzések</w:t>
      </w:r>
      <w:bookmarkEnd w:id="415"/>
      <w:bookmarkEnd w:id="416"/>
    </w:p>
    <w:p w:rsidR="00E026FB" w:rsidRPr="00661595" w:rsidRDefault="0055388B" w:rsidP="00487A02">
      <w:pPr>
        <w:pStyle w:val="InstructionsText2"/>
        <w:numPr>
          <w:ilvl w:val="0"/>
          <w:numId w:val="0"/>
        </w:numPr>
        <w:ind w:left="1353" w:hanging="360"/>
      </w:pPr>
      <w:fldSimple w:instr=" seq paragraphs ">
        <w:r w:rsidR="00D11E4C">
          <w:rPr>
            <w:noProof/>
          </w:rPr>
          <w:t>106</w:t>
        </w:r>
      </w:fldSimple>
      <w:r w:rsidR="00D11E4C">
        <w:t xml:space="preserve">. Amennyiben az intézmény értékpapírosítást kezdeményezőként jár el, ezt a táblát minden olyan értékpapírosításra vonatkozóan ki kell tölteni, amely jelentős kockázatátruházás elismerésével jár. Amennyiben az intézmény befektetőként jár el, minden kitettséget fel kell tüntetni. </w:t>
      </w:r>
    </w:p>
    <w:p w:rsidR="00E026FB" w:rsidRPr="00661595" w:rsidRDefault="0055388B" w:rsidP="00487A02">
      <w:pPr>
        <w:pStyle w:val="InstructionsText2"/>
        <w:numPr>
          <w:ilvl w:val="0"/>
          <w:numId w:val="0"/>
        </w:numPr>
        <w:ind w:left="1353" w:hanging="360"/>
      </w:pPr>
      <w:fldSimple w:instr=" seq paragraphs ">
        <w:r w:rsidR="00D11E4C">
          <w:rPr>
            <w:noProof/>
          </w:rPr>
          <w:t>107</w:t>
        </w:r>
      </w:fldSimple>
      <w:r w:rsidR="00D11E4C">
        <w:t>.</w:t>
      </w:r>
      <w:r w:rsidR="00D11E4C">
        <w:tab/>
        <w:t xml:space="preserve"> A feltüntetendő információk az intézménynek az értékpapírosítási folyamatban betöltött szerepétől függnek. Így külön adatszolgáltatási tételek vonatkoznak az értékpapírosítást kezdeményezőkre, a szponzorokra és a befektetőkre.</w:t>
      </w:r>
    </w:p>
    <w:p w:rsidR="00E026FB" w:rsidRPr="00661595" w:rsidRDefault="0055388B" w:rsidP="00487A02">
      <w:pPr>
        <w:pStyle w:val="InstructionsText2"/>
        <w:numPr>
          <w:ilvl w:val="0"/>
          <w:numId w:val="0"/>
        </w:numPr>
        <w:ind w:left="1353" w:hanging="360"/>
      </w:pPr>
      <w:fldSimple w:instr=" seq paragraphs ">
        <w:r w:rsidR="00D11E4C">
          <w:rPr>
            <w:noProof/>
          </w:rPr>
          <w:t>108</w:t>
        </w:r>
      </w:fldSimple>
      <w:r w:rsidR="00D11E4C">
        <w:t xml:space="preserve">. Ez a tábla összesített információkat gyűjt a banki könyvben nyilvántartott hagyományos és szintetikus értékpapírosításokról.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7" w:name="_Toc522019829"/>
      <w:bookmarkStart w:id="418" w:name="_Toc58858640"/>
      <w:r>
        <w:rPr>
          <w:rFonts w:ascii="Times New Roman" w:hAnsi="Times New Roman"/>
          <w:sz w:val="24"/>
          <w:u w:val="none"/>
        </w:rPr>
        <w:t>3.7.2.</w:t>
      </w:r>
      <w:r w:rsidRPr="00602F4B">
        <w:rPr>
          <w:u w:val="none"/>
        </w:rPr>
        <w:tab/>
      </w:r>
      <w:r>
        <w:rPr>
          <w:rFonts w:ascii="Times New Roman" w:hAnsi="Times New Roman"/>
          <w:sz w:val="24"/>
        </w:rPr>
        <w:t>A tábla egyes részeire vonatkozó útmutató</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Oszlop</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ÉRTÉKPAPÍROSÍTÁSRA KERÜLŐ KITETTSÉGEK ÖSSZÉRTÉKE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értékpapírosítást kezdeményező intézményeknek a pozíciót tartó személyétől függetlenül az értékpapírosítási ügyletből eredő valamennyi aktuális értékpapírosítási kitettségre vonatkozóan jelenteniük kell az adatszolgáltatás időpontjában fennálló összeget. Így fel kell tüntetni az értékpapírosításból eredő mérlegen belüli értékpapírosítási kitettségeket (pl. kötvényeket, alárendelt kölcsönöket), valamint a mérlegen kívüli kitettségeket és származtatott ügyleteket (pl. alárendelt hitelkereteket, likviditási hitelkereteket, kamatcsereügyleteket, hitel-nemteljesítési csereügyleteket stb.)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Azoknál a hagyományos értékpapírosításoknál, amelyeknél az értékpapírosítást kezdeményező nem rendelkezik pozícióval, az értékpapírosítást kezdeményező az értékpapírosítást nem veheti figyelembe az e táblán történő adatszolgáltatás során. E tekintetben az értékpapírosítást kezdeményező értékpapírosítási pozíciói magukban foglalják rulírozó kitettség értékpapírosítására vonatkozóan a CRR 242. cikkének 16. pontjában meghatározott gyorsított visszafizetést biztosító rendelkezéseket.</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SZINTETIKUS ÉRTÉKPAPÍROSÍTÁS: ÉRTÉKPAPÍROSÍTOTT KITETTSÉGEK HITELKOCKÁZATI FEDEZETE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 CRR 251. és 252. cikke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Az értékpapírosítási struktúrában foglalt hitelkockázat-mérséklési technikák korrigált értékében a lejárati eltérések nem vehetők figyelembe.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ELŐRE RENDELKEZÉSRE BOCSÁTOTT HITELKOCKÁZATI FEDEZET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biztosítéknak az ebben az oszlopban feltüntetendő volatilitással korrigált értékére (C</w:t>
            </w:r>
            <w:r>
              <w:rPr>
                <w:rFonts w:ascii="Times New Roman" w:hAnsi="Times New Roman"/>
                <w:sz w:val="24"/>
                <w:vertAlign w:val="subscript"/>
              </w:rPr>
              <w:t>VA</w:t>
            </w:r>
            <w:r>
              <w:rPr>
                <w:rFonts w:ascii="Times New Roman" w:hAnsi="Times New Roman"/>
                <w:sz w:val="24"/>
              </w:rPr>
              <w:t>) vonatkozó részletes számítási eljárást a CRR 223. cikkének (2) bekezdése határozza meg.</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KIÁRAMLÁSOK ÖSSZESEN: ELŐRE NEM RENDELKEZÉSRE BOCSÁTOTT HITELKOCKÁZATI FEDEZET: KORRIGÁLT ÉRTÉKEK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A be- és kiáramlások általános szabálya szerint az ebben az oszlopban feltüntetett összegek a megfelelő hitelkockázati táblán (CR SA vagy CR IRB), valamint az adatszolgáltató szervezet által a fedezetnyújtóhoz (vagyis ahhoz a harmadik félhez, amelynek az ügyletrészsorozatot az előre nem rendelkezésre bocsátott hitelkockázati fedezet útján átadják) hozzárendelt kitettségi osztályban beáramlásként jelennek meg.</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hitelkockázati fedezet devizaárfolyam-kockázattal korrigált értékére (G*) vonatkozó részletes számítási eljárást a CRR 233. cikkének (3) bekezdése határozza meg.</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 VISSZATARTOTT VAGY VISSZAVÁSÁROLT HITELKOCKÁZATI FEDEZET NÉVLEGES ÖSSZEGE</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Valamennyi visszatartott vagy visszavásárolt ügyletrészsorozatot, pl. a visszatartott, első veszteségviselő kategóriába tartozó pozíciókat névleges összegen kell feltüntetni.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hitelkockázati fedezet visszatartott vagy visszavásárolt összegének kiszámításakor nem vehető figyelembe a hitelkockázati fedezetben végrehajtott felügyeleti korrekció hatása.</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ÉRTÉKPAPÍROSÍTÁSI POZÍCIÓK: HITEL-EGYENÉRTÉKESÍTÉSI TÉNYEZŐK ELŐTTI EREDETI KITETTSÉG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Ez az oszlop tartalmazza az adatszolgáltató intézmény által tartott értékpapírosítási pozíciók CRR 248. cikkének (1) és (2) bekezdése alapján számított kitettségértékeit hitel-egyenértékesítési tényezők alkalmazása nélkül, az értékelési korrekciók és a céltartalékok, valamint az értékpapírosított kitettségekre vonatkozó, a CRR 248. cikke (1) bekezdésének d) pontjában említett vissza nem fizetendő árengedmények levonása nélkül, továbbá az értékpapírosítási pozíciókra vonatkozó értékelési korrekciók és céltartalékok levonása nélkül.</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Nettósítás kizárólag akkor alkalmazható, ha egy különleges célú gazdasági egységnek (SSPE) egy elismert nettósítási megállapodás keretében több származtatott ügylete áll fenn.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A szintetikus értékpapírosításoknál az értékpapírosítást kezdeményező által mérlegen belüli tételek és/vagy befektetői érdekeltség formájában tartott pozíciók értéke a 0010–0040. oszlopok összesítéséből adódik.</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ÉRTÉKELÉSI KORREKCIÓK ÉS CÉLTARTALÉKOK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CRR 248. cikke Az ebben az oszlopban feltüntetendő értékelési korrekciók és céltartalékok kizárólag az értékpapírosítási pozíciókra vonatkoznak. Az értékpapírosított kitettségek értékelési korrekciója nem vehető figyelembe.</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ÉRTÉKELÉSI KORREKCIÓKKAL ÉS CÉLTARTALÉKOKKAL CSÖKKENTETT KITETTSÉG</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Ez az oszlop tartalmazza az értékpapírosítási pozíciók CRR 248. cikkének (1) és (2) bekezdése alapján számított kitettségértékeit az értékelési korrekciók és a céltartalékok levonásával, valamint hitel-egyenértékesítési tényezők alkalmazása nélkül, továbbá az értékpapírosított kitettségekre vonatkozó, a CRR 248. cikke (1) bekezdésének d) pontjában említett vissza nem fizetendő árengedmények levonása nélkül, valamint az értékpapírosítási pozíciókra alkalmazott értékelési korrekciók és a céltartalékok levonásával.</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 KITETTSÉGRE HELYETTESÍTÉSI HATÁSSAL JÁRÓ HITELKOCKÁZAT-MÉRSÉKLÉSI (CRM) TECHNIKÁK</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A CRR 4. cikke (1) bekezdésének 57. pontja, a CRR harmadik része II. címének 4. fejezete, és a CRR 249. cikke</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Az intézmények ezekben az oszlopokban az olyan hitelkockázat-mérséklési technikákra vonatkozóan szolgáltatnak adatot, amelyek egy vagy több kitettség hitelkockázatát csökkentik a kitettségeknek az alább a be- és kiáramlásokra vonatkozóan meghatározott helyettesítésével.</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A kitettségértéket befolyásoló biztosíték (pl. ha azt a kitettségre helyettesítési hatással járó hitelkockázat-mérséklési technikákhoz használják fel) értéke legfeljebb a kitettségérték lehet.</w:t>
            </w:r>
          </w:p>
          <w:p w:rsidR="00E026FB" w:rsidRPr="00661595" w:rsidRDefault="00E026FB" w:rsidP="00487A02">
            <w:pPr>
              <w:pStyle w:val="InstructionsText"/>
            </w:pPr>
            <w:r>
              <w:t>Itt az alábbi tételeket kell feltüntetni:</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A CRR 222. cikkének megfelelően a pénzügyi biztosítékok egyszerű módszerével képzett biztosíték;</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figyelembe vehető, előre nem rendelkezésre bocsátott hitelkockázati fedezet.</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ELŐRE NEM RENDELKEZÉSRE BOCSÁTOTT HITELKOCKÁZATI FEDEZET: KORRIGÁLT ÉRTÉKEK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Előre nem rendelkezésre bocsátott hitelkockázati fedezet a CRR 4. cikke (1) bekezdésének 59. pontjában, valamint 234–236. cikkében meghatározottak szerint.</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ELŐRE RENDELKEZÉSRE BOCSÁTOTT HITELKOCKÁZATI FEDEZET</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Előre rendelkezésre bocsátott hitelkockázati fedezet a CRR 4. cikke (1) bekezdésének 58. pontjában, a CRR 249. cikke (2) bekezdésének első albekezdésében említetteknek megfelelően, valamint a CRR 195., 197. és 200 cikkében előírtaknak megfelelően.</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A CRR 218. és 219. cikkében említett, hitelkockázati eseményhez kapcsolt értékpapírokat és mérlegen belüli nettósítási pozíciókat készpénzbiztosítékként kell kezelni.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KITETTSÉG HITELKOCKÁZAT-MÉRSÉKLÉS MIATTI HELYETTESÍTÉSE</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Fel kell tüntetni az azonos kitettségi osztályba, illetve adott esetben kockázatisúly- vagy ügyfél-kategóriába tartozó be- és kiáramlásokat.</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KIÁRAMLÁSOK ÖSSZESEN</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 CRR 222. cikkének (3) bekezdése, 235. cikkének (1)–(2) bekezdése, valamint 236. cikke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 kiáramlások értéke megegyezik az értékelési korrekciókkal és céltartalékokkal csökkentett kitettség fedezett részével, amelyet a kötelezett kitettségi osztályából, illetve adott esetben kockázatisúly- vagy ügyfél-kategóriájából való levonást követően a fedezetnyújtó kitettségi osztályába, illetve adott esetben kockázatisúly- vagy ügyfél-kategóriájába kell sorolni.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Ezt az összeget a fedezetnyújtó kitettségi osztályába, illetve adott esetben kockázatisúly- vagy ügyfél-kategóriájába irányuló beáramlásnak kell tekinteni.</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BEÁRAMLÁSOK ÖSSZESEN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Az olyan értékpapírosítási pozíciókat, amelyek hitelviszonyt megtestesítő értékpapírnak minősülnek és a CRR 197. cikkének (1) bekezdése szerint elismert pénzügyi biztosítékként kerülnek felhasználásra, továbbá amelyekre a pénzügyi biztosítékok egyszerű módszerét alkalmazzák, ebben az oszlopban beáramlásként kell feltüntetni.</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HELYETTESÍTÉSI HATÁSSAL JÁRÓ CRM-TECHNIKÁK UTÁNI, HITEL-EGYENÉRTÉKESÍTÉSI TÉNYEZŐK ELŐTTI NETTÓ KITETTSÉG</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Ez az oszlop tartalmazza a megfelelő kockázatisúly-kategóriába, illetve kitettségi osztályba sorolt kitettségeket a kitettségre helyettesítési hatással járó hitelkockázat-mérséklési (CRM) technikák miatti ki- és beáramlások figyelembevétele után.</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 KITETTSÉGÉRTÉKET ÉRINTŐ HITELKOCKÁZAT-MÉRSÉKLÉSI TECHNIKÁK: ELŐRE RENDELKEZÉSRE BOCSÁTOTT HITELKOCKÁZATI FEDEZET, A PÉNZÜGYI BIZTOSÍTÉKOK ÖSSZETETT MÓDSZERE, KORRIGÁLT ÉRTÉK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A CRR 223–228. cikke </w:t>
            </w:r>
          </w:p>
          <w:p w:rsidR="00E026FB" w:rsidRPr="00661595" w:rsidRDefault="00A16FFF" w:rsidP="00487A02">
            <w:pPr>
              <w:pStyle w:val="InstructionsText"/>
            </w:pPr>
            <w:r>
              <w:t>A feltüntetett összeg magában foglalja a CRR 218. cikke szerinti hitelkockázati eseményhez kapcsolt értékpapírokat is.</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TELJES MÉRTÉKBEN KORRIGÁLT KITETTSÉGÉRTÉK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értékpapírosítási pozíciók CRR 248. cikkének megfelelően kiszámított kitettségértéke a CRR 248. cikke (1) bekezdésének b) pontjában meghatározott hitel-egyenértékesítési tényezők alkalmazása nélkül.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EBBŐL: 0 %-OS HITEL-EGYENÉRTÉKESÍTÉSI TÉNYEZŐ (CCF) ALÁ TARTOZÓ</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 CRR 248. cikke (1) bekezdésének b) pontja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Erre vonatkozóan a hitel-egyenértékesítési tényezőt a CRR 4. cikke (1) bekezdésének 56. pontja határozza meg.</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Az adatszolgáltatás során a 0 %-os hitel-egyenértékesítési tényezőre vonatkozóan teljes mértékben korrigált kitettségértéket (E*) kell megadni.</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VISSZA NEM FIZETENDŐ ÁRENGEDMÉNY</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A CRR 248. cikke (1) bekezdésének d) pontja szerint az értékpapírosítást kezdeményező intézmény az olyan értékpapírosítási pozíciók esetében, amelyekhez 1 250 %-os kockázati súlyt rendeltek, levonhatja az értékpapírosítási pozíció kitettségértékéből az ilyen alapul szolgáló kitettségekhez kapcsolódó vissza nem fizetendő árengedményeket, amennyiben ezek az árengedmények a szavatolótőke csökkenését eredményezték.</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AZ ALAPUL SZOLGÁLÓ KITETTSÉGEK EGYEDI HITELKOCKÁZATI KIIGAZÍTÁSA</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A CRR 248. cikke (1) bekezdésének d) pontja szerint az értékpapírosítást kezdeményező intézmény az olyan értékpapírosítási pozíció esetében, amelyekhez 1 250 %-os kockázati súlyt rendeltek, vagy amely levonásra került az elsődleges alapvető tőkéből, a 110. cikknek megfelelően levonhatja a kitettségértékből az alapul szolgáló kitettségekre vonatkozó egyedi hitelkockázati kiigazításokat.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KITETTSÉGÉRTÉK</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Az értékpapírosítási pozíciók CRR 248. cikke szerint kiszámított kitettségértéke.</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 SZAVATOLÓTŐKÉBŐL LEVONT KITETTSÉGÉRTÉK</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A CRR 244. cikke (1) bekezdésének </w:t>
            </w:r>
            <w:r>
              <w:rPr>
                <w:rStyle w:val="FormatvorlageInstructionsTabelleText"/>
                <w:rFonts w:ascii="Times New Roman" w:hAnsi="Times New Roman"/>
                <w:sz w:val="24"/>
              </w:rPr>
              <w:t>b) pontja</w:t>
            </w:r>
            <w:r>
              <w:rPr>
                <w:rFonts w:ascii="Times New Roman" w:hAnsi="Times New Roman"/>
                <w:sz w:val="24"/>
              </w:rPr>
              <w:t xml:space="preserve">, </w:t>
            </w:r>
            <w:r>
              <w:rPr>
                <w:rStyle w:val="FormatvorlageInstructionsTabelleText"/>
                <w:rFonts w:ascii="Times New Roman" w:hAnsi="Times New Roman"/>
                <w:sz w:val="24"/>
              </w:rPr>
              <w:t>245. cikke (1) bekezdésének b) pontja</w:t>
            </w:r>
            <w:r>
              <w:rPr>
                <w:rFonts w:ascii="Times New Roman" w:hAnsi="Times New Roman"/>
                <w:sz w:val="24"/>
              </w:rPr>
              <w:t xml:space="preserve"> és 253. cikkének (1) bekezdése szerint az intézmények az olyan értékpapírosítási pozíciók esetében, amelyekhez 1 250 %-os kockázati súlyt rendeltek, a pozícióknak a kockázattal súlyozott kitettségérték kiszámításánál történő figyelembevétele helyett a pozíciók kitettségértékét levonhatják szavatolótőkéjükből.</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KOCKÁZATI SÚLYOZÁS ALÁ TARTOZÓ KITETTSÉGÉRTÉK</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A szavatolótőkéből levont kitettségértékkel csökkentett kitettségérték.</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A CRR 254. cikke (1) bekezdésének a) pontja</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KOCKÁZATISÚLY-SÁVOK SZERINTI BONTÁS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SEC-IRBA kitettségek kockázatisúly-sávok szerinti bontásban.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EBBŐL: A 255. CIKK (4) BEKEZDÉSE SZERINT SZÁMÍTVA (VÁSÁROLT KÖVETELÉSEK)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A CRR 255. cikkének (4) bekezdése</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Ezzel az oszloppal összefüggésben a lakossági kitettségeket vásárolt lakossági követelésként, a nem lakossági kitettségeket pedig vásárolt vállalati követelésként kell kezelni.</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110B3D"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A CRR 254. cikke (1) bekezdésének b) pontja</w:t>
            </w:r>
          </w:p>
          <w:p w:rsidR="00E026FB" w:rsidRPr="00110B3D"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KOCKÁZATISÚLY-SÁVOK SZERINTI BONTÁS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SEC-SA kitettségek kockázatisúly-sávok szerinti bontásban.</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Amennyiben a kockázati súly = 1 250 % (W ismeretlen), a CRR 261. cikke (2) bekezdése b) pontjának negyedik bekezdése előírja, hogy az értékpapírosítási pozícióra 1 250 %-os kockázati súlyt kell alkalmazni, ha az intézmény a halmaz alapul szolgáló kitettségeinek több mint 5 %-a esetében nem ismeri a késedelmi státuszt.</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 CRR 254. cikke (1) bekezdésének c) pontja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HITELMINŐSÉGI BESOROLÁSOK SZERINTI BONTÁS (RÖVID / HOSSZÚ TÁVÚ HITELMINŐSÉGI BESOROLÁSOK)</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 CRR 263. cikke</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 CRR 254. cikkének (2) bekezdésében említett származtatott hitelminősítéssel rendelkező SEC-ERBA értékpapírosítási pozíciókat minősített pozícióként kell feltüntetni.</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 kockázati súlyozás alá tartozó kitettségértékeket a CRR 263. cikkének 1. és 2. táblázatában, valamint 264. cikkének 3. és 4. táblázatában meghatározott rövid és hosszú lejárat és hitelminőségi besorolások (CQS) szerint kell csoportosítani.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A SEC-ERBA ALKALMAZÁSÁNAK INDOKAI SZERINTI BONTÁS</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Az intézményeknek minden egyes értékpapírosítási pozíció esetében az alábbi opciók egyikét kell figyelembe venniük a 0580–0620. oszlopban.</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GÉPJÁRMŰHITELEK, GÉPJÁRMŰ- ÉS ESZKÖZLÍZINGEK</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A CRR 254. cikke (2) bekezdésének c) pontja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Ebben az oszlopban kell feltüntetni minden gépjárműhitelt, gépjármű- és eszközlízinget, akkor is, ha a CRR 254. cikke (2) bekezdése a) vagy b) pontja alkalmazható rájuk.</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 OPCIÓ</w:t>
            </w:r>
          </w:p>
          <w:p w:rsidR="00E026FB" w:rsidRPr="00110B3D"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A CRR 254. cikkének (3) bekezdése</w:t>
            </w:r>
          </w:p>
          <w:p w:rsidR="00E026FB" w:rsidRPr="00110B3D"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A CRR 254. CIKKE (2) BEKEZDÉSÉNEK a) PONTJA SZERINTI POZÍCIÓK</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A CRR 254. cikke (2) bekezdésének a) pontja</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A CRR 254. CIKKE (2) BEKEZDÉSÉNEK b) PONTJA SZERINTI POZÍCIÓK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A CRR 254. cikke (2) bekezdésének b) pontja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A CRR 254. CIKKÉNEK (4) BEKEZDÉSE VAGY 258. CIKKÉNEK (2) BEKEZDÉSE SZERINTI POZÍCIÓK</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 SEC-ERBA hatálya alá tartozó értékpapírosítási pozíciók, amennyiben az illetékes hatóságok a CRR 254. cikkének (4) bekezdésével vagy 258. cikkének (2) bekezdésével összhangban kizárták a SEC-IRBA vagy a SEC-SA alkalmazását.</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A MÓDSZEREK HIERARCHIÁJÁT KÖVETVE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Értékpapírosítási pozíciók, amelyek esetében a SEC-ERBA-t a módszerek CRR 254. cikkének (1) bekezdésében meghatározott hierarchiáját követve alkalmazzák.</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BELSŐ ÉRTÉKELÉSI MÓDSZER</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A CRR 254. cikkének (5) bekezdése az ABCP-programokon belüli pozíciókra vonatkozóan a belső értékelési módszerről (IAA).</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KOCKÁZATISÚLY-SÁVOK SZERINTI BONTÁS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A belső értékelési módszer szerinti kitettségek kockázatisúly-sávok szerinti bontásban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EGYÉB (KOCKÁZATI SÚLY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Amennyiben az előző módszerek egyikét sem alkalmazzák, a CRR 254. cikkének (7) bekezdésével összhangban az értékpapírosítási pozíciókhoz 1 250 %-os kockázati súlyt kell rendelni.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KOCKÁZATTAL SÚLYOZOTT KITETTSÉGÉRTÉK</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Teljes kockázattal súlyozott kitettségérték a CRR harmadik része II. címe 5. fejezetének 3. szakasza szerinti számítás alapján, a lejárati eltérések vagy az előzetes vizsgálatra vonatkozó rendelkezések megsértése miatti kiigazítások előtt, a más táblára irányuló kiáramlás útján átcsoportosított kitettségeknek megfelelő, kockázattal súlyozott kitettségértékek nélkül.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IAA: ÁTLAGOS KOCKÁZATI SÚLY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Ebben az oszlopban az értékpapírosítási pozíciók kitettséggel súlyozott átlagos kockázati súlyait kell feltüntetni.</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KOCKÁZATTAL SÚLYOZOTT KITETTSÉGÉRTÉK, EBBŐL: SZINTETIKUS ÉRTÉKPAPÍROSÍTÁS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 lejárati eltéréssel rendelkező szintetikus értékpapírosításokra vonatkozóan az ebben az oszlopban feltüntetendő érték nem foglalja magában a lejárati eltéréseket.</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 KOCKÁZATTAL SÚLYOZOTT KITETTSÉGÉRTÉK LEJÁRATI ELTÉRÉS MIATTI KORREKCIÓJA</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A szintetikus értékpapírosításokban megjelenő, a CRR 252. cikke szerint kiszámított RW*–RW(SP) lejárati eltéréseket be kell számítani, kivéve az 1 250 %-os kockázati súlyú ügyletrészsorozatokat, amelyeknél a feltüntetendő érték nulla. Az RW(SP) nemcsak a 0650-es oszlopban feltüntetett </w:t>
            </w:r>
            <w:r>
              <w:rPr>
                <w:rFonts w:ascii="Times New Roman" w:hAnsi="Times New Roman"/>
                <w:sz w:val="24"/>
              </w:rPr>
              <w:lastRenderedPageBreak/>
              <w:t>kockázattal súlyozott kitettségértékeket foglalja magában, hanem a más táblára irányuló kiáramlás útján átcsoportosított kitettségeknek megfelelő, kockázattal súlyozott kitettségértékeket is.</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AZ (EU) 2017/2402 RENDELET 2. FEJEZETÉNEK MEGSÉRTÉSE MIATTI ÁLTALÁNOS HATÁS (KORREKCIÓ)</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A CRR 270a. cikkének megfelelően, ha egy intézmény bizonyos követelményeknek nem tesz eleget, az illetékes hatóságok arányos addicionális kockázati súlyt szabnak ki, amely annak a kockázati súlynak legalább 250 %-a (de legfeljebb 1 250 %-a), amely a CRR harmadik része II. címe 5. fejezetének 3. szakaszában meghatározott módon alkalmazandó az érintett értékpapírosított pozíciókra.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FELSŐ KORLÁT FIGYELEMBEVÉTELE ELŐTT</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A CRR harmadik része II. címe 5. fejezetének 3. szakasza szerint számított teljes kockázattal súlyozott kitettségérték a CRR 267. és 268. cikkében meghatározott határértékek alkalmazása előtt.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 KOCKÁZATI SÚLYRA VONATKOZÓ FELSŐ KORLÁT MIATTI CSÖKKENTÉS</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A CRR 267. cikkének megfelelően az az intézmény, amely mindenkor ismeri az alapul szolgáló kitettségek összetételét, az előresorolt értékpapírosítási pozícióhoz olyan maximális kockázati súlyt rendelhet, amely egyenlő az alapul szolgáló kitettségekre alkalmazandó, kitettséggel súlyozott azon átlagos kockázati súllyal, amely akkor lenne alkalmazandó az alapul szolgáló kitettségekre, ha azokat nem értékpapírosították volna.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AZ ÁLTALÁNOS FELSŐ KORLÁT MIATTI CSÖKKENTÉS</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A CRR 268. cikkével összhangban a SEC-IRBA-t használó értékpapírosítást kezdeményező intézmény, szponzor vagy más intézmény, vagy a SEC-SA-t, illetőleg a SEC-ERBA-t használó értékpapírosítást kezdeményező vagy szponzor intézmény az általa tartott értékpapírosítási pozícióra azzal a tőkekövetelménnyel egyenlő maximális tőkekövetelményt alkalmazhat, amelyet a CRR harmadik része II. címe 2. vagy 3. fejezetének megfelelően úgy számítanának ki az alapul szolgáló kitettségekre, mintha azokat nem értékpapírosították volna.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KOCKÁZATTAL SÚLYOZOTT TELJES KITETTSÉGÉRTÉK</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A CRR harmadik része II. címe 5. fejezetének 3. szakasza szerint számított teljes kockázattal súlyozott kitettségérték, figyelembe véve a CRR 247. cikkének (6) bekezdésében meghatározott teljes kockázati súlyt.</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TÁJÉKOZTATÓ ADAT: AZ ÉRTÉKPAPÍROSÍTÁSBÓL MÁS KITETTSÉGI OSZTÁLYOKBA IRÁNYULÓ KIÁRAMLÁSNAK MEGFELELŐ KOCKÁZATTAL SÚLYOZOTT KITETTSÉGÉRTÉK</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 hitelkockázat-mérséklő eszközök nyújtójához átcsoportosított, így a megfelelő táblán számított, az értékpapírosítási pozíciók felső határának kiszámításánál figyelembe vett kitettségekből eredő, kockázattal súlyozott kitettségérték.</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55388B" w:rsidP="00487A02">
      <w:pPr>
        <w:pStyle w:val="InstructionsText2"/>
        <w:numPr>
          <w:ilvl w:val="0"/>
          <w:numId w:val="0"/>
        </w:numPr>
        <w:ind w:left="1353" w:hanging="360"/>
      </w:pPr>
      <w:fldSimple w:instr=" seq paragraphs ">
        <w:r w:rsidR="00D11E4C">
          <w:rPr>
            <w:noProof/>
          </w:rPr>
          <w:t>109</w:t>
        </w:r>
      </w:fldSimple>
      <w:r w:rsidR="00D11E4C">
        <w:t>.</w:t>
      </w:r>
      <w:r w:rsidR="00D11E4C">
        <w:tab/>
        <w:t xml:space="preserve"> A tábla három fő sorcsoportból áll, amelyek a kezdeményezett, szponzorált, illetve visszatartott vagy visszavásárolt kitettségekről gyűjtenek adatokat értékpapírosítást kezdeményező, befektető és szponzor szerint. Ezek mindegyikére vonatkozóan az adatok mérlegen belüli tételek, mérlegen kívüli tételek és származtatott ügyletek, valamint aszerint oszlanak meg, hogy sor kerül-e differenciált tőkekövetelmény-megállapításra.</w:t>
      </w:r>
    </w:p>
    <w:p w:rsidR="00E026FB" w:rsidRPr="00661595" w:rsidRDefault="0055388B" w:rsidP="00487A02">
      <w:pPr>
        <w:pStyle w:val="InstructionsText2"/>
        <w:numPr>
          <w:ilvl w:val="0"/>
          <w:numId w:val="0"/>
        </w:numPr>
        <w:ind w:left="1353" w:hanging="360"/>
      </w:pPr>
      <w:fldSimple w:instr=" seq paragraphs ">
        <w:r w:rsidR="00D11E4C">
          <w:rPr>
            <w:noProof/>
          </w:rPr>
          <w:t>110</w:t>
        </w:r>
      </w:fldSimple>
      <w:r w:rsidR="00D11E4C">
        <w:t>. A SEC-ERBA szerint kezelt pozíciókat és a nem minősített pozíciókat (az adatszolgáltatás időpontjában fennálló kitettség) fel kell tüntetni a kezdeti hitelminőségi besorolás szerinti bontásban (az utolsó sorcsoport). Ezeket az információkat az értékpapírosítást kezdeményezőknek, a szponzoroknak és a befektetőknek is meg kell adniuk.</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Sor</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TELJES KITETTSÉG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teljes kitettség a fennálló értékpapírosítások és az újra-értékpapírosítások teljes összegét jelenti. Ez a sor összesíti a későbbi sorokban az értékpapírosítást kezdeményezők, a szponzorok és a befektetők által megadott valamennyi információt.</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ÉRTÉKPAPÍROSÍTÁSI POZÍCIÓK</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 CRR 4. cikke (1) bekezdésének 62. pontjában meghatározott olyan fennálló értékpapírosítási pozíciók teljes összege, amelyek nem a CRR 4. cikke (1) bekezdésének 63. pontja szerinti újra-értékpapírosítások.</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JOGOSULT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értékpapírosítási pozíciók teljes összege, amelyek megfelelnek a CRR 243. vagy 270. cikkében foglalt kritériumoknak, és ezért differenciált tőkekövetelmény-megállapításra jogosultak.</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STS KITETTSÉGEK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STS értékpapírosítási pozíciók teljes összege, amelyek megfelelnek a CRR 243. cikkében foglalt kritériumoknak.</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KKV-ÉRTÉKPAPÍROSÍTÁSBAN LÉVŐ ELŐRESOROLT POZÍCIÓK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kkv-értékpapírosítási előresorolt pozíciók teljes összege, amelyek megfelelnek a CRR 270. cikkében foglalt kritériumoknak.</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és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NEM JOGOSULT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A CRR 254. cikkének (1), (4), (5) és (6) bekezdése, valamint 259., 261., 263., 265., 266. és 269. cikke</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értékpapírosítási pozíciók teljes összege, amelyek nem jogosultak differenciált tőkekövetelmény-megállapításra.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és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ÚJRA-ÉRTÉKPAPÍROSÍTÁSI POZÍCIÓK</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A CRR 4. cikke (1) bekezdésének 64. pontjában meghatározott, fennálló újra-értékpapírosítási pozíciók összértéke.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ÉRTÉKPAPÍROSÍTÁST KEZDEMÉNYEZŐ: TELJES KITETTSÉG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Ez a sor összefoglalja az olyan értékpapírosítási és újra-értékpapírosítási pozíciókkal kapcsolatos mérlegen belüli tételekre, mérlegen kívüli tételekre és származtatott ügyletekre vonatkozó információkat, amelyeknél az intézmény a CRR 4. cikke (1) bekezdésének 13. pontja szerinti értékpapírosítást kezdeményező szerepét tölti be.</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és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ÉRTÉKPAPÍROSÍTÁSI POZÍCIÓK: MÉRLEGEN BELÜLI TÉTELEK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A CRR 248. cikke (1) bekezdése a) pontjának megfelelően a mérlegen belüli értékpapírosítási pozíció kitettségértéke az egyedi hitelkockázati kiigazításoknak az értékpapírosítási pozícióra történő, a CRR 110. cikkének megfelelő alkalmazását követően fennmaradó számviteli értéke.</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mérlegen belüli tételeket a 0100. és a 0120. sorban a CRR 243. cikkében említett differenciált tőkekövetelmény alkalmazására vonatkozó információk, a 0110. és a 0130. sorban pedig a CRR 242. cikkének 6. pontjában meghatározott előresorolt értékpapírosítási pozíciók teljes összegére vonatkozó információk figyelembevétele érdekében kell lebontani.</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 0220 és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JOGOSULT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értékpapírosítási pozíciók teljes összege, amelyek megfelelnek a CRR 243. cikkében foglalt kritériumoknak, és ezért differenciált tőkekövetelmény-megállapításra jogosultak.</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 0130, 0160, 0180, 0230, 0250, 0280, 0300, 0350, 0370, 400 és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EBBŐL: ELŐRESOROLT KITETTSÉGEK</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 előresorolt értékpapírosítási pozíciók teljes összege a CRR 242. cikke 6. pontjának megfelelően.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és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ÉRTÉKPAPÍROSÍTÁSI POZÍCIÓK: MÉRLEGEN KÍVÜLI TÉTELEK ÉS SZÁRMAZTATOTT ÜGYLETEK</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Ezek a sorok az olyan mérlegen kívüli tételnek és származtatott ügyletnek minősülő értékpapírosítási pozíciókkal kapcsolatos információkat gyűjtenek, amelyekre az értékpapírosítás keretében hitel-egyenértékesítési tényezőt kell alkalmazni. A mérlegen kívüli értékpapírosítási pozíció kitettségértéke az adott értékpapírosítási pozíciónak az esetleges egyedi hitelkockázati kiigazítások levonásával számított névértéke, egyéb rendelkezés hiányában 100 %-os hitel-egyenértékesítési tényezővel megszorozva.</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 CRR II. mellékletében felsorolt származtatott ügyletekből eredő mérlegen kívüli értékpapírosítási pozíciókat a CRR harmadik része II. címének 6. fejezete alapján kell megállapítani. A CRR II. mellékletében felsorolt származtatott ügyletek partnerkockázatához kapcsolódó kitettségértéket a CRR harmadik része II. címének 6. fejezete alapján kell megállapítani.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likviditási hitelkeretek, hitelkeretek és hitelkezeléssel kapcsolatos szolgáltatásnyújtók által biztosított készpénzelőlegek esetében az intézményeknek a le nem hívott összeget kell megadniuk.</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Kamatcsereügyletek és deviza-csereügyletek esetében a CRR 248. cikkének (1) bekezdése szerint kiszámított kitettségértéket kell feltüntetni.</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mérlegen kívüli tételeket és a származtatott ügyleteket a 0150. és a 0170. sorban a CRR 270. cikkében említett differenciált tőkekövetelmény alkalmazására vonatkozó információk, a 0160. és a 0180. sorban pedig a CRR 242. cikkének 6. pontjában meghatározott előresorolt értékpapírosítási pozíciók teljes összegére vonatkozó információk figyelembevétele érdekében kell lebontani. Ugyanazok a jogi hivatkozások alkalmazandók, mint a 0100–0130 sorok esetében.</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0150, 0270 és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JOGOSULT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Azon értékpapírosítási pozíciók teljes összege, amelyek megfelelnek a CRR 243. vagy 270. cikkében foglalt kritériumoknak, és ezért differenciált tőkekövetelmény-megállapításra jogosultak.</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BEFEKTETŐ: TELJES KITETTSÉG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Ez a sor összefoglalja az olyan értékpapírosítási</w:t>
            </w:r>
            <w:r>
              <w:rPr>
                <w:rFonts w:ascii="Times New Roman" w:hAnsi="Times New Roman"/>
                <w:sz w:val="24"/>
              </w:rPr>
              <w:t xml:space="preserve"> és újra-értékpapírosítási pozíciókkal kapcsolatos mérlegen belüli tételekre, mérlegen kívüli tételekre </w:t>
            </w:r>
            <w:r>
              <w:rPr>
                <w:rStyle w:val="FormatvorlageInstructionsTabelleText"/>
                <w:rFonts w:ascii="Times New Roman" w:hAnsi="Times New Roman"/>
                <w:sz w:val="24"/>
              </w:rPr>
              <w:t xml:space="preserve">és származtatott ügyletekre vonatkozó információkat, amelyeknél az intézmény a befektető szerepét tölti be.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 táblával összefüggésben a befektető olyan intézmény, amely értékpapírosítási pozícióval rendelkezik egy olyan értékpapírosítási ügyletben, amelyben sem az értékpapírosítást kezdeményező, sem a szponzor szerepét nem tölti be.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SZPONZOR: TELJES KITETTSÉG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Ez a sor összefoglalja az olyan értékpapírosítási és újra-értékpapírosítási pozíciókkal kapcsolatos mérlegen belüli tételekre, mérlegen kívüli tételekre és származtatott ügyletekre vonatkozó információkat, amelyeknél az intézmény a CRR 4. cikke (1) bekezdésének 14. pontja szerinti szponzor szerepét tölti be. Ha egy szponzor saját eszközt is értékpapírosít, akkor a saját értékpapírosított eszközökkel kapcsolatos információkat az értékpapírosítást kezdeményezőre vonatkozó sorokban kell megadnia.</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FENNÁLLÓ POZÍCIÓK KEZDETI HITELMINŐSÉGI BESOROLÁS SZERINTI BONTÁSA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Ezek a sorok az adatszolgáltatás időpontjában fennálló olyan pozíciókra vonatkozóan gyűjtenek információkat, amelyekre vonatkozóan a kezdeményezésük (keletkezésük) időpontjában meghatározták a CRR 263. cikkének 1. és 2. táblázatában, valamint 264. cikkének 3. és 4. táblázatában megadott hitelminőségi besorolásokat. Az IAA szerint kezelt értékpapírosítási pozíciók esetében a hitelminőségi besorolás az IAA-minősítés első kibocsátásakor érvényes hitelminőségi besorolás. Ezen adatok hiányában a hitelminőségi besorolásnak megfelelő, rendelkezésre álló adatok közül a legkorábbiakat kell megadni.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Ezeket a sorokat kizárólag a 0180–0210., 0280., 0350–0640., 0700–0720., 0740., 0760–0830. és 0850. oszlopban kell kitölteni.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858641"/>
      <w:r>
        <w:rPr>
          <w:rFonts w:ascii="Times New Roman" w:hAnsi="Times New Roman"/>
          <w:sz w:val="24"/>
          <w:u w:val="none"/>
        </w:rPr>
        <w:t>3.8.</w:t>
      </w:r>
      <w:r w:rsidRPr="00602F4B">
        <w:rPr>
          <w:u w:val="none"/>
        </w:rPr>
        <w:tab/>
      </w:r>
      <w:bookmarkEnd w:id="419"/>
      <w:r>
        <w:rPr>
          <w:rFonts w:ascii="Times New Roman" w:hAnsi="Times New Roman"/>
          <w:sz w:val="24"/>
        </w:rPr>
        <w:t>Az értékpapírosítással kapcsolatos részletes információk (SEC DETAILS)</w:t>
      </w:r>
      <w:bookmarkEnd w:id="420"/>
      <w:bookmarkEnd w:id="421"/>
      <w:bookmarkEnd w:id="422"/>
      <w:bookmarkEnd w:id="423"/>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858642"/>
      <w:r>
        <w:rPr>
          <w:rFonts w:ascii="Times New Roman" w:hAnsi="Times New Roman"/>
          <w:sz w:val="24"/>
          <w:u w:val="none"/>
        </w:rPr>
        <w:t>3.8.1.</w:t>
      </w:r>
      <w:r w:rsidRPr="00602F4B">
        <w:rPr>
          <w:u w:val="none"/>
        </w:rPr>
        <w:tab/>
      </w:r>
      <w:r>
        <w:rPr>
          <w:rFonts w:ascii="Times New Roman" w:hAnsi="Times New Roman"/>
          <w:sz w:val="24"/>
          <w:u w:val="none"/>
        </w:rPr>
        <w:t>A SEC DETAILS tábla alkalmazási köre</w:t>
      </w:r>
      <w:bookmarkEnd w:id="424"/>
      <w:bookmarkEnd w:id="425"/>
      <w:bookmarkEnd w:id="426"/>
      <w:bookmarkEnd w:id="427"/>
    </w:p>
    <w:bookmarkStart w:id="428" w:name="_Toc310415048"/>
    <w:bookmarkStart w:id="429" w:name="_Toc360188383"/>
    <w:bookmarkStart w:id="430"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Ez a tábla – a CR SEC SA, MKR SA SEC, MKR SA CTP, CA1 és CA2 tábla összesített információival szemben – ügyletenkénti információkat gyűjt valamennyi olyan értékpapírosításról, amelyben az adatot szolgáltató intézmény érintett. Meg kell adni az egyes értékpapírosítások főbb jellemzőit, például az alapul szolgáló halmaz jellegét és a szavatolótőke-követelményt. </w:t>
      </w:r>
    </w:p>
    <w:p w:rsidR="00062A1F" w:rsidRPr="00661595" w:rsidRDefault="0055388B" w:rsidP="00487A02">
      <w:pPr>
        <w:pStyle w:val="InstructionsText2"/>
        <w:numPr>
          <w:ilvl w:val="0"/>
          <w:numId w:val="0"/>
        </w:numPr>
        <w:ind w:left="1353" w:hanging="360"/>
      </w:pPr>
      <w:fldSimple w:instr=" seq paragraphs ">
        <w:r w:rsidR="00D11E4C">
          <w:rPr>
            <w:noProof/>
          </w:rPr>
          <w:t>112</w:t>
        </w:r>
      </w:fldSimple>
      <w:r w:rsidR="00D11E4C">
        <w:t>.</w:t>
      </w:r>
      <w:r w:rsidR="00D11E4C">
        <w:tab/>
        <w:t xml:space="preserve"> Ezeket a táblákat az alábbi esetekben kell kitölteni:</w:t>
      </w:r>
    </w:p>
    <w:p w:rsidR="002409C1" w:rsidRPr="00661595" w:rsidRDefault="00062A1F" w:rsidP="00487A02">
      <w:pPr>
        <w:pStyle w:val="InstructionsText2"/>
        <w:numPr>
          <w:ilvl w:val="0"/>
          <w:numId w:val="0"/>
        </w:numPr>
        <w:ind w:left="1353" w:hanging="360"/>
      </w:pPr>
      <w:r>
        <w:lastRenderedPageBreak/>
        <w:t>a)</w:t>
      </w:r>
      <w:r>
        <w:tab/>
        <w:t>Az adatszolgáltató intézmény által kezdeményezett vagy szponzorált értékpapírosítások esetében, beleértve azt is, amikor az intézmény nem rendelkezik pozícióval az értékpapírosításban. Abban az esetben, ha az intézmény legalább egy pozícióval rendelkezik az értékpapírosításban – attól függetlenül, hogy jelentős kockázat átruházására sor került-e vagy sem –, az intézményeknek az általuk – akár a banki könyvben, akár a kereskedési könyvben – tartott valamennyi pozícióról adatot kell szolgáltatniuk. A tartott pozíciók magukban foglalják az (EU) 2017/2402 rendelet 6. cikke szerint megtartott pozíciókat, és – amennyiben az említett rendelet 43. cikkének (6) bekezdése alkalmazandó – a CRR 2018. december 31-én hatályos változatának 405. cikke alapján megtartott pozíciókat.</w:t>
      </w:r>
    </w:p>
    <w:p w:rsidR="00062A1F" w:rsidRPr="00661595" w:rsidRDefault="00062A1F" w:rsidP="00487A02">
      <w:pPr>
        <w:pStyle w:val="InstructionsText2"/>
        <w:numPr>
          <w:ilvl w:val="0"/>
          <w:numId w:val="0"/>
        </w:numPr>
        <w:ind w:left="1353" w:hanging="360"/>
      </w:pPr>
      <w:r>
        <w:t>b)</w:t>
      </w:r>
      <w:r>
        <w:tab/>
        <w:t>Olyan értékpapírosítások, amelyek végső alapeszköze eredetileg az adatszolgáltató intézmény által kibocsátott és az értékpapírosítási eszköz által (részben) megszerzett pénzügyi kötelezettség. Ez az alapeszköz fedezett kötvény vagy más kötelezettség is lehet, amelyet ilyenként a 0160. oszlopban fel kell tüntetni.</w:t>
      </w:r>
    </w:p>
    <w:p w:rsidR="00062A1F" w:rsidRPr="00661595" w:rsidRDefault="002409C1" w:rsidP="00487A02">
      <w:pPr>
        <w:pStyle w:val="InstructionsText2"/>
        <w:numPr>
          <w:ilvl w:val="0"/>
          <w:numId w:val="0"/>
        </w:numPr>
        <w:ind w:left="1353" w:hanging="360"/>
      </w:pPr>
      <w:r>
        <w:t>c)</w:t>
      </w:r>
      <w:r>
        <w:tab/>
        <w:t>Az értékpapírosításokban meglévő olyan pozíciók, amelyeknél az adatszolgáltató intézmény nem értékpapírosítást kezdeményező és nem szponzor (tehát befektetők és eredeti hitelezők esetében).</w:t>
      </w:r>
    </w:p>
    <w:p w:rsidR="00062A1F" w:rsidRPr="00661595" w:rsidRDefault="0055388B" w:rsidP="00487A02">
      <w:pPr>
        <w:pStyle w:val="InstructionsText2"/>
        <w:numPr>
          <w:ilvl w:val="0"/>
          <w:numId w:val="0"/>
        </w:numPr>
        <w:ind w:left="1353" w:hanging="360"/>
      </w:pPr>
      <w:fldSimple w:instr=" seq paragraphs ">
        <w:r w:rsidR="00D11E4C">
          <w:rPr>
            <w:noProof/>
          </w:rPr>
          <w:t>113</w:t>
        </w:r>
      </w:fldSimple>
      <w:r w:rsidR="00D11E4C">
        <w:t>.</w:t>
      </w:r>
      <w:r w:rsidR="00D11E4C">
        <w:tab/>
        <w:t xml:space="preserve"> Ezeket a táblákat kizárólag az abban az országban található konszolidált csoportok és önálló intézmények</w:t>
      </w:r>
      <w:r w:rsidR="00D11E4C">
        <w:footnoteReference w:id="12"/>
      </w:r>
      <w:r w:rsidR="00D11E4C">
        <w:t xml:space="preserve"> alkalmazhatják, ahol szavatolótőke-követelmény hatálya alá esnek. Ha egy értékpapírosításban egy konszolidált csoporton belül több intézmény is részt vesz, akkor az adatokat intézményenkénti részletes bontásban kell megadni. </w:t>
      </w:r>
    </w:p>
    <w:p w:rsidR="00062A1F" w:rsidRPr="00661595" w:rsidRDefault="0055388B" w:rsidP="00487A02">
      <w:pPr>
        <w:pStyle w:val="InstructionsText2"/>
        <w:numPr>
          <w:ilvl w:val="0"/>
          <w:numId w:val="0"/>
        </w:numPr>
        <w:ind w:left="1353" w:hanging="360"/>
      </w:pPr>
      <w:fldSimple w:instr=" seq paragraphs ">
        <w:r w:rsidR="00D11E4C">
          <w:rPr>
            <w:noProof/>
          </w:rPr>
          <w:t>114</w:t>
        </w:r>
      </w:fldSimple>
      <w:r w:rsidR="00D11E4C">
        <w:t>.</w:t>
      </w:r>
      <w:r w:rsidR="00D11E4C">
        <w:tab/>
        <w:t xml:space="preserve"> Az (EU) 2017/2402 rendelet 5. cikke alapján, amely szerint az értékpapírosítási pozíciókba fektető intézményi befektetők az ilyen pozíciókról nagy mennyiségű információt kell beszerezniük az előzetes vizsgálatra vonatkozó követelmények teljesítéséhez, a tábla alkalmazási köre bizonyos mértékig a befektetőkre is kiterjed. Nekik a 0010–0040., 0070–0110., 0160., 0190., 0290-0300., 0310–0470. oszlopokat kell kitölteniük.</w:t>
      </w:r>
    </w:p>
    <w:p w:rsidR="00062A1F" w:rsidRPr="00661595" w:rsidRDefault="0055388B" w:rsidP="00487A02">
      <w:pPr>
        <w:pStyle w:val="InstructionsText2"/>
        <w:numPr>
          <w:ilvl w:val="0"/>
          <w:numId w:val="0"/>
        </w:numPr>
        <w:ind w:left="1353" w:hanging="360"/>
      </w:pPr>
      <w:fldSimple w:instr=" seq paragraphs ">
        <w:r w:rsidR="00D11E4C">
          <w:rPr>
            <w:noProof/>
          </w:rPr>
          <w:t>115</w:t>
        </w:r>
      </w:fldSimple>
      <w:r w:rsidR="00D11E4C">
        <w:t>.</w:t>
      </w:r>
      <w:r w:rsidR="00D11E4C">
        <w:tab/>
        <w:t xml:space="preserve"> Az eredeti hitelező szerepét betöltő intézményeknek (amelyek ugyanabban az értékpapírosításban nem értékpapírosítást kezdeményezők vagy szponzorok) a táblát általában a befektetőkkel azonos terjedelemben kell kitölteniük.</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58858643"/>
      <w:r>
        <w:rPr>
          <w:rFonts w:ascii="Times New Roman" w:hAnsi="Times New Roman"/>
          <w:sz w:val="24"/>
          <w:u w:val="none"/>
        </w:rPr>
        <w:t>3.9.2. A SEC DETAILS tábla alkalmazási köre</w:t>
      </w:r>
      <w:bookmarkEnd w:id="431"/>
      <w:bookmarkEnd w:id="432"/>
    </w:p>
    <w:p w:rsidR="00062A1F" w:rsidRPr="00661595" w:rsidRDefault="0055388B" w:rsidP="00487A02">
      <w:pPr>
        <w:pStyle w:val="InstructionsText2"/>
        <w:numPr>
          <w:ilvl w:val="0"/>
          <w:numId w:val="0"/>
        </w:numPr>
        <w:ind w:left="1353" w:hanging="360"/>
      </w:pPr>
      <w:fldSimple w:instr=" seq paragraphs ">
        <w:r w:rsidR="00D11E4C">
          <w:rPr>
            <w:noProof/>
          </w:rPr>
          <w:t>116</w:t>
        </w:r>
      </w:fldSimple>
      <w:r w:rsidR="00D11E4C">
        <w:t xml:space="preserve">. A SEC DETAILS táblacsoport két táblából áll. A SEC DETAILS általános áttekintést nyújt az értékpapírosításokról, a SEC DETAILS 2 pedig ugyanazon értékpapírosítások alkalmazott módszer szerinti bontását tartalmazza. </w:t>
      </w:r>
    </w:p>
    <w:p w:rsidR="00062A1F" w:rsidRPr="00661595" w:rsidRDefault="0055388B" w:rsidP="00487A02">
      <w:pPr>
        <w:pStyle w:val="InstructionsText2"/>
        <w:numPr>
          <w:ilvl w:val="0"/>
          <w:numId w:val="0"/>
        </w:numPr>
        <w:ind w:left="1353" w:hanging="360"/>
      </w:pPr>
      <w:fldSimple w:instr=" seq paragraphs ">
        <w:r w:rsidR="00D11E4C">
          <w:rPr>
            <w:noProof/>
          </w:rPr>
          <w:t>117</w:t>
        </w:r>
      </w:fldSimple>
      <w:r w:rsidR="00D11E4C">
        <w:t xml:space="preserve">. A kereskedési könyvben szereplő értékpapírosítási pozíciókat csak a 0005–0020., 0420., 0430., 0431., 0432., 0440. és 0450–0470. oszlopban kell feltüntetni. A 0420., 0430. és 0440. oszlop esetében az intézményeknek a nettó pozíció szavatolótőke-követelményének megfelelő kockázati súlyt kell figyelembe venniük.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3" w:name="_Toc58858644"/>
      <w:r>
        <w:rPr>
          <w:rFonts w:ascii="Times New Roman" w:hAnsi="Times New Roman"/>
          <w:sz w:val="24"/>
          <w:u w:val="none"/>
        </w:rPr>
        <w:lastRenderedPageBreak/>
        <w:t>3.9.3. C 14.00 – Az értékpapírosítással kapcsolatos részletes információk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Oszlopok</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BELSŐ KÓD</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Az intézmény által az értékpapírosítás azonosítására használt belső (alfanumerikus) kód.</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A belső kódot az értékpapírosítási ügylet azonosítójához kell hozzárendelni.</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ÉRTÉKPAPÍROSÍTÁS AZONOSÍTÓJA</w:t>
            </w:r>
            <w:r>
              <w:rPr>
                <w:rFonts w:ascii="Times New Roman" w:hAnsi="Times New Roman"/>
                <w:b/>
                <w:sz w:val="24"/>
              </w:rPr>
              <w:t xml:space="preserve"> (kódja/neve)</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értékpapírosítási ügylet jogszabályban előírt nyilvántartásba vételéhez használt kód, vagy ha ilyen nincs, akkor az a név, amelyen az értékpapírosítási ügylet a piacon vagy – belső, illetve magán értékpapírosítás esetén – az intézményen belül ismert.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Ha van nemzetközi értékpapír-azonosító szám (ISIN) – nyilvános ügyletnél –, akkor az oszlopban az értékpapírosítás valamennyi ügyletrészsorozatában közös karaktereket kell megadni.</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CSOPORTON BELÜLI, MAGÁN VAGY NYILVÁNOS ÉRTÉKPAPÍROSÍTÁS?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Ebben az oszlopban azt kell feltüntetni, hogy az értékpapírosítás csoporton belüli, magán- vagy nyilvános értékpapírosítás-e.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Az intézményeknek a következő rövidítések egyikét kell feltüntetniük:</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magán;</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csoporton belüli;</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nyilvános.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INTÉZMÉNY SZEREPE: (ÉRTÉKPAPÍROSÍTÁST KEZDEMÉNYEZŐ / SZPONZOR / EREDETI HITELEZŐ / BEFEKTETŐ)</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Az intézményeknek a következő rövidítéseket kell feltüntetniük: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 értékpapírosítást kezdeményező;</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 szponzor;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 befektető.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 eredeti hitelező.</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 CRR 4. cikke (1) bekezdésének 13. pontja szerinti értékpapírosítást kezdeményező és 14. pontja szerinti szponzor. Befektetőknek azok az intézmények tekinthetők, amelyekre az (EU) 2017/2402 rendelet 5. cikke alkalmazandó. Amennyiben az (EU) 2017/2402 rendelet 43. cikkének (5) bekezdése alkalmazandó, a CRR 2018. december 31-én hatályos változatának 406. és 407. cikkét kell alkalmazni.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ÉRTÉKPAPÍROSÍTÁST KEZDEMÉNYEZŐ AZONOSÍTÓJA</w:t>
            </w:r>
            <w:r>
              <w:rPr>
                <w:rFonts w:ascii="Times New Roman" w:hAnsi="Times New Roman"/>
                <w:b/>
                <w:sz w:val="24"/>
              </w:rPr>
              <w:t xml:space="preserve"> (kódja/neve)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oszlopban az értékpapírosítást kezdeményezőre alkalmazandó LEI-kódot, vagy ha az nem áll rendelkezésre, az értékpapírosítást kezdeményező részére a felügyeleti hatóság által megállapított kódot, vagy ha ilyen nincs, akkor az intézmény nevét kell megadni.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Több eladó részvételével végrehajtott olyan értékpapírosítás esetén, amelyben az intézmény mint értékpapírosítást kezdeményező, szponzor vagy eredeti hitelező vesz részt, az adatszolgáltató intézménynek meg kell adnia a konszolidált csoportján belüli valamennyi olyan intézmény azonosítóját, amely az ügyletben (mint kezdeményező, szponzor vagy eredeti hitelező) részt vesz. Ha kód nem áll rendelkezésre, vagy azt az adatszolgáltató intézmény nem ismeri, akkor az intézmény nevét kell megadni.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Több eladó részvételével végrehajtott olyan értékpapírosítás esetén, amelyben az adatszolgáltató intézmény befektetőként pozícióval rendelkezik, az adatszolgáltató intézménynek meg kell adnia az értékpapírosításban részt vevő összes különböző értékpapírosítást kezdeményező azonosítóját, vagy ha az nem áll rendelkezésre, az értékpapírosítást kezdeményezők nevét. Amennyiben az adatszolgáltató intézmény nem ismeri a neveket, az adatszolgáltató intézménynek azt kell feltüntetnie, hogy az értékpapírosítás „több eladó részvételével végrehajtott”.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ÉRTÉKPAPÍROSÍTÁS TÍPUSA: (HAGYOMÁNYOS / SZINTETIKUS / ABCP-PROGRAM / ABCP-ÜGYLET)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Az intézményeknek a következő rövidítéseket kell feltüntetniük:</w:t>
            </w:r>
            <w:r>
              <w:t xml:space="preserve"> </w:t>
            </w:r>
            <w:r>
              <w:br/>
            </w:r>
            <w:r>
              <w:rPr>
                <w:rFonts w:ascii="Times New Roman" w:hAnsi="Times New Roman"/>
                <w:sz w:val="24"/>
              </w:rPr>
              <w:t>– „AP”: ABCP-program;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ABCP-ügylet;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hagyományos;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szintetikus.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„eszközfedezetű kereskedelmiértékpapír-kibocsátási program”, az „eszközfedezetű kereskedelmiértékpapír-ügylet”, a „hagyományos értékpapírosítás” és a „szintetikus értékpapírosítás” meghatározását a CRR 242. cikkének 11–14. pontja tartalmazza.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SZÁMVITELI KEZELÉS: AZ ÉRTÉKPAPÍROSÍTOTT KITETTSÉGEK A MÉRLEGBEN MARADNAK, VAGY KIVEZETÉSRE KERÜLNEK?</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Az értékpapírosítást kezdeményezőként, szponzorként vagy eredeti hitelezőként eljáró intézmények a következő rövidítések egyikét kötelesek feltüntetni:</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teljes megjelenítés;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részleges kivezetés;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teljes kivezetés;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nem alkalmazható.</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oszlop az ügylet elszámolási módját foglalja össze. A CRR 244. és 245. cikke szerinti jelentős kockázat átruházása nem befolyásolja az ügylet vonatkozó számviteli szabályozás szerinti elszámolását.</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Kötelezettségek értékpapírosítása esetében az értékpapírosítást kezdeményezők az oszlopot nem töltik ki.</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 „P” (részleges kivezetés) értéket kell megadni akkor, ha az értékpapírosított eszközöket a mérlegben az adatszolgáltató intézménynek az IFRS 9 3.2.16–3.2.21. bekezdése szerinti folytatódó részvétele mértékéig jelenítik meg.</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 FIZETŐKÉPESSÉG KEZELÉSE: AZ ÉRTÉKPAPÍROSÍTÁSI POZÍCIÓKRA SZAVATOLÓTŐKE-KÖVETELMÉNY VONATKOZIK?</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 CRR 109., 244. és 245. cikke</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Kizárólag az értékpapírosítást kezdeményezőknek a következő rövidítéseket kell megadniuk: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nincs vonatkozó szavatolótőke-követelmény;</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banki könyv;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kereskedési könyv;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részben mindkét könyv.</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oszlop azt foglalja össze, hogy az értékpapírosítási programot az értékpapírosítást kezdeményező hogyan kezeli a szavatolótőke-megfelelés szempontjából. Azt mutatja, hogy a szavatolótőke-követelmény számítása az értékpapírosított kitettségek vagy az értékpapírosítási pozíciók alapján (banki könyv/kereskedési könyv) történik-e.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Ha a szavatolótőke-követelmény alapját </w:t>
            </w:r>
            <w:r>
              <w:rPr>
                <w:rFonts w:ascii="Times New Roman" w:hAnsi="Times New Roman"/>
                <w:i/>
                <w:sz w:val="24"/>
              </w:rPr>
              <w:t>értékpapírosított kitettségek</w:t>
            </w:r>
            <w:r>
              <w:rPr>
                <w:rFonts w:ascii="Times New Roman" w:hAnsi="Times New Roman"/>
                <w:sz w:val="24"/>
              </w:rPr>
              <w:t xml:space="preserve"> képezik (vagyis jelentős kockázat átruházására nem kerül sor), akkor a hitelkockázat szavatolótőke-követelményének kiszámítását az intézmény a CR SA táblán tünteti fel azon értékpapírosított kitettségek esetén, amelyeknél a sztenderd módszert alkalmazza, a CR IRB táblán pedig azon értékpapírosított kitettségek esetén, amelyeknél a belső minősítésen alapuló módszert alkalmazza.</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Ugyanakkor, ha a szavatolótőke-követelmény alapját </w:t>
            </w:r>
            <w:r>
              <w:rPr>
                <w:rFonts w:ascii="Times New Roman" w:hAnsi="Times New Roman"/>
                <w:i/>
                <w:sz w:val="24"/>
              </w:rPr>
              <w:t>a banki könyvben nyilvántartott értékpapírosítási pozíciók</w:t>
            </w:r>
            <w:r>
              <w:rPr>
                <w:rFonts w:ascii="Times New Roman" w:hAnsi="Times New Roman"/>
                <w:sz w:val="24"/>
              </w:rPr>
              <w:t xml:space="preserve"> képezik (jelentős kockázat átruházására kerül sor), akkor a hitelkockázat szavatolótőke-követelményének kiszámítására vonatkozó információt az intézmény a CR SEC táblán adja meg. A </w:t>
            </w:r>
            <w:r>
              <w:rPr>
                <w:rFonts w:ascii="Times New Roman" w:hAnsi="Times New Roman"/>
                <w:i/>
                <w:sz w:val="24"/>
              </w:rPr>
              <w:t>kereskedési könyvben nyilvántartott értékpapírosítási pozíciók</w:t>
            </w:r>
            <w:r>
              <w:rPr>
                <w:rFonts w:ascii="Times New Roman" w:hAnsi="Times New Roman"/>
                <w:sz w:val="24"/>
              </w:rPr>
              <w:t xml:space="preserve"> esetében a piaci kockázat szavatolótőke-követelményének kiszámítására vonatkozó információt az MKR SA TDI (sztenderd módszer szerinti általános pozíciókockázat), az MKR SA SEC vagy MKR SA CTP (sztenderd módszer szerinti egyedi pozíciókockázat), vagy az MKR IM (belső modellek) táblán kell feltüntetni.</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Kötelezettségek értékpapírosítása esetében az értékpapírosítást kezdeményezők az oszlopot nem töltik ki.</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JELENTŐS KOCKÁZATÁTRUHÁZÁS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Kizárólag az értékpapírosítást kezdeményezőknek a következő rövidítéseket kell megadniuk:</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a jelentős kockázatátruházásra nem alkalmazandó, és az adatszolgáltató intézmény kockázati súlyt alkalmaz az értékpapírosított kitettségeire;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megvalósított SRT a CRR 244. cikke (2) bekezdésének a) pontja vagy 245. cikke (2) bekezdésének a) pontja szerint;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megvalósított SRT a CRR 244. cikke (2) bekezdésének b) pontja vagy 245. cikke (2) bekezdésének b) pontja szerint;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megvalósított SRT a CRR 244. cikke (3) bekezdésének a) pontja vagy 245. cikke (3) bekezdésének a) pontja szerint;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1 250 %-os kockázati súly alkalmazása vagy a megtartott pozíciók levonása a CRR 244. cikke (1) bekezdésének b) pontjával vagy 245. cikke (1) bekezdésének b) pontjával összhangban.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Ez az oszlop összefoglalja, hogy történt-e jelentős átruházás, és ha igen, milyen módon. A megvalósított jelentős kockázatátruházás meghatározza az értékpapírosítást kezdeményező megfelelő fizetőképesség-kezelését.</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 VAGY ÚJRA-ÉRTÉKPAPÍROSÍTÁS?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Az értékpapírosítás fogalmának a CRR 4. cikke (1) bekezdésének 61. és az újra-értékpapírosítás fogalmának a CRR 4. cikke (1) bekezdésének 63. pontjában foglalt meghatározásával összhangban az alábbi rövidítésekkel meg kell adni az értékpapírok típusát: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értékpapírosítás;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újra-értékpapírosítás.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 ÉRTÉKPAPÍROSÍTÁS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Az (EU) 2017/2402 rendelet 18. cikke</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Az intézményeknek a következő rövidítések egyikét kell feltüntetniük:</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igen;</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nem.</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DIFFERENCIÁLT TŐKEKÖVETELMÉNY-MEGÁLLAPÍTÁSRA JOGOSULT ÉRTÉKPAPÍROSÍTÁS</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A CRR 243. és 270. cikke</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Az intézményeknek a következő rövidítések egyikét kell feltüntetniük:</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igen;</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nem.</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„igen” értéket kell feltüntetni mind a CRR 243. cikke szerint differenciált tőkekövetelmény-megállapításra jogosult STS értékpapírosítások, mind a CRR 270. cikke szerint differenciált tőkekövetelmény-megállapításra jogosult (nem STS) kkv-értékpapírosításokban lévő előresorolt pozíciók esetében.</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MEGTARTOTT ÉRDEKELTSÉGEK</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Az (EU 2017/2402 rendelet 6. cikke; amennyiben az (EU) 2017/2402 rendelet 43. cikkének (6) bekezdése alkalmazandó, a CRR 2018. december 31-én hatályos változatának 405. cikkét kell alkalmazni.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ÉRDEKELTSÉG MEGTARTÁSÁNAK MÓDJA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Minden egyes kezdeményezett értékpapírosítási programnál fel kell tüntetni a nettó gazdasági érdekeltség megtartásának módját az (EU) 2017/2402 rendelet 6. cikke alapján:</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A – Függőleges szelet (értékpapírosítási pozíciók): </w:t>
            </w:r>
            <w:r>
              <w:rPr>
                <w:rFonts w:ascii="Times New Roman" w:hAnsi="Times New Roman"/>
                <w:i/>
                <w:sz w:val="24"/>
              </w:rPr>
              <w:t>„a befektetőknek eladott vagy a befektetőkre átruházott minden egyes ügyletrészsorozat névértéke legalább 5 %-ának megtartása;”</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Függőleges szelet (értékpapírosított kitettségek): legalább 5 % megtartása</w:t>
            </w:r>
            <w:r>
              <w:rPr>
                <w:rFonts w:ascii="Times New Roman" w:hAnsi="Times New Roman"/>
                <w:i/>
                <w:sz w:val="24"/>
              </w:rPr>
              <w:t xml:space="preserve"> </w:t>
            </w:r>
            <w:r>
              <w:rPr>
                <w:rFonts w:ascii="Times New Roman" w:hAnsi="Times New Roman"/>
                <w:sz w:val="24"/>
              </w:rPr>
              <w:t>az egyes értékpapírosított kitettségek hitelkockázatából akkor, ha az értékpapírosított kitettségek így megtartott hitelkockázatának besorolása minden esetben megegyezik (pari passu) az ugyanazon kitettségekre vonatkozóan értékpapírosított hitelkockázatéval, vagy annál alacsonyabb;</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B – Rulírozó kitettségek: </w:t>
            </w:r>
            <w:r>
              <w:rPr>
                <w:rFonts w:ascii="Times New Roman" w:hAnsi="Times New Roman"/>
                <w:i/>
                <w:sz w:val="24"/>
              </w:rPr>
              <w:t>„rulírozó kitettségek értékpapírosítása esetén az értékpapírosított kitettségek névértékének legalább 5 %-a mértékéig az értékpapírosítást kezdeményező érdekeltségének megtartása;”</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 Mérlegen belüli: „</w:t>
            </w:r>
            <w:r>
              <w:rPr>
                <w:rFonts w:ascii="Times New Roman" w:hAnsi="Times New Roman"/>
                <w:i/>
                <w:sz w:val="24"/>
              </w:rPr>
              <w:t>”véletlenszerűen kiválasztott – legalább az értékpapírosított kitettségek névértékének 5 %-ával egyenértékű – kitettségek megtartása, amennyiben ezeket az értékpapírosítás során egyébként értékpapírosították volna, feltéve hogy a potenciálisan értékpapírosítandó kitettségek száma az értékpapírosítás kezdeményezésekor legalább 100;”</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D – Első veszteségviselő: </w:t>
            </w:r>
            <w:r>
              <w:rPr>
                <w:rFonts w:ascii="Times New Roman" w:hAnsi="Times New Roman"/>
                <w:i/>
                <w:sz w:val="24"/>
              </w:rPr>
              <w:t>”az első veszteségviselő ügyletrészsorozat és szükség esetén a befektetőkre átruházott vagy a befektetőknek eladott ügyletrészsorozatokkal azonos vagy magasabb kockázati profilú, és a befektetőkre átruházott vagy a befektetőknek eladott ügyletrészsorozatoknál nem korábbi lejáratú ügyletrészsorozatok megtartása úgy, hogy a megtartott rész összesen legalább az értékpapírosított kitettségek névértékének 5 %-ával egyenlő;”</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Mentesül. Ezt a kódot az (EU) 2017/2402 rendelet 6. cikke (6) bekezdésének alkalmazása által érintett értékpapírosításoknál kell megadni.</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Nem megfelelő vagy ismeretlen. Ezt a kódot akkor kell megadni, ha az adatszolgáltató intézmény nem tudja biztosan, hogy a megtartás melyik módját alkalmazzák, vagy az nem felel meg a szabályoknak.</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 MEGTARTOTT ÉRDEKELTSÉGEK ARÁNYA AZ ADATSZOLGÁLTATÁS IDŐPONTJÁBAN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i/>
                <w:sz w:val="24"/>
              </w:rPr>
              <w:lastRenderedPageBreak/>
              <w:t>Az értékpapírosítást kezdeményező, a szponzor vagy az eredeti hitelező által megtartott jelentős mértékű nettó gazdasági érdekeltség</w:t>
            </w:r>
            <w:r>
              <w:rPr>
                <w:rFonts w:ascii="Times New Roman" w:hAnsi="Times New Roman"/>
                <w:sz w:val="24"/>
              </w:rPr>
              <w:t xml:space="preserve"> aránya a kezdeményezés időpontjában legalább 5 %.</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Az oszlop nem töltendő ki akkor, ha a 0080-as oszlopban (Az érdekeltség megtartásának módja) az „E” (Mentesül) vagy „N” (Nem alkalmazható) kód szerepel.</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 MEGTARTÁSI KÖVETELMÉNY TELJESÜL?</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Az intézményeknek a következő rövidítéseket kell feltüntetniük:</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igen;</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nem.</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Az oszlop nem töltendő ki akkor, ha a 0080-as oszlopban (Az érdekeltség megtartásának módja) az „E” (Mentesül) kód szerepel.</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NEM ABCP-PROGRAMOK</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ABCP-programok speciális jellegéből adódóan, ami azzal függ össze, hogy több egyedi értékpapírosítási pozíciót foglalnak magukban, a CRR 242. cikkének 11. pontjában meghatározott ABCP-programokról a 0120-as, 0121-es és 0130-as oszlopban nem kell adatot szolgáltatni.</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KEZDEMÉNYEZÉS DÁTUMA (éééé-hh-nn)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értékpapírosítás kezdeményezésének időpontjában (a halmazra [poolra] vonatkozó határidőben vagy záró dátumban) a hónapot és az évet a „hh/éééé” formában kell megadni.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egyes értékpapírosítási programok kezdeményezésének időpontja az adatszolgáltatás időpontjai között nem változhat. A nyitott halmazokkal fedezett értékpapírosítási programok esetében a kezdeményezés napja az értékpapírok első kibocsátásának napja.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 LEGUTOLSÓ KIBOCSÁTÁS IDŐPONTJA (éééé-hh-nn)</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Az értékpapírosítás keretében az értékpapírok legutóbbi kibocsátásának időpontjában a hónapot és az évet „éééé-hh-nn” formában kell megadni.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Az (EU) 2017/2402 rendeletet csak azon értékpapírosításokra kell alkalmazni, amelyek értékpapírjait 2019. január 1-jén vagy azt követően bocsátották ki. Az értékpapírok legutolsó kibocsátásának időpontja határozza meg, hogy az egyes értékpapírosítási programok az (EU) 2017/2402 rendelet hatálya alá tartoznak-e.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Ezt az információt akkor is fel kell tüntetni, ha az adatszolgáltató intézmény nem rendelkezik pozícióval az értékpapírosításban.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ÉRTÉKPAPÍROSÍTOTT KITETTSÉGEK ÖSSZÉRTÉKE A KEZDEMÉNYEZÉS IDŐPONTJÁBAN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Ez az oszlop az értékpapírosított portfóliónak a kezdeményezés időpontjában érvényes (a hitel-egyenértékesítési tényezők előtti eredeti kitettség alapján kiszámított) értékét összesíti.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A nyitott halmazokkal fedezett értékpapírosítási programok esetében az értékpapírok első kibocsátásának napjára vonatkozó értéket kell megadni. A hagyományos értékpapírosítások esetében az értékpapírosítási halmaz más eszközei nem számíthatók be. A több eladó (azaz egynél több értékpapírosítást kezdeményező) részvételével működő értékpapírosítási programoknál kizárólag az adatszolgáltató intézménynek az értékpapírosított portfólióhoz való hozzájárulásának megfelelő összeget kell feltüntetni. Kötelezettségek értékpapírosítása esetében kizárólag az adatszolgáltató intézmény által kibocsátott összeget kell megadni.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ÉRTÉKPAPÍROSÍTOTT KITETTSÉGEK</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 0140–0225. oszlopban az adatszolgáltató intézménynek az értékpapírosított portfólió több jellemzőjére vonatkozó információkat kell feltüntetnie.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ÖSSZÉRTÉK</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intézményeknek az értékpapírosított portfóliónak az adatszolgáltatás időpontjában érvényes értékét, vagyis a fennálló értékpapírosított kitettségek összegét kell megadniuk. A hagyományos értékpapírosítások esetében az értékpapírosítási halmaz más eszközei nem számíthatók be. A több eladó (azaz egynél több értékpapírosítást kezdeményező) részvételével működő értékpapírosítási programoknál kizárólag az adatszolgáltató intézménynek az értékpapírosított portfólióhoz való hozzájárulásának megfelelő összeget kell feltüntetni. A zárt halmazzal fedezett értékpapírosítási programoknál (vagyis ahol az értékpapírosított eszközportfólió a kezdeményezés napját követően nem bővíthető) az értéket fokozatosan csökkenteni kell.</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INTÉZMÉNY RÉSZESEDÉSE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Az intézménynek az értékpapírosított portfólióban az adatszolgáltatás időpontjában meglévő részesedését kell megadni (százalékban, két tizedesjegy pontossággal). Az ebben az oszlopban feltüntetendő érték alapértelmezés szerint 100 %, kivéve a több eladó részvételével működő értékpapírosítási programokat. Az utóbbi esetben az adatszolgáltató intézménynek az értékpapírosított portfólióban </w:t>
            </w:r>
            <w:r>
              <w:rPr>
                <w:rFonts w:ascii="Times New Roman" w:hAnsi="Times New Roman"/>
                <w:sz w:val="24"/>
              </w:rPr>
              <w:lastRenderedPageBreak/>
              <w:t>meglévő aktuális hozzájárulását kell megadnia (arányát tekintve a 0140-es oszlopnak felel meg).</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Ezt az információt akkor is fel kell tüntetni, ha az adatszolgáltató intézmény nem rendelkezik pozícióval az értékpapírosításban.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TÍPUS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Ez az oszlop az értékpapírosított portfólióban lévő eszközökről (lakóingatlant terhelő jelzálog – egyéb nem lakossági kitettségek) és kötelezettségekről (fedezett kötvények és egyéb kötelezettségek) gyűjt információkat. Az intézménynek a következő opciók egyikét kell feltüntetnie a legmagasabb EAD figyelembevételével:</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Lakosság: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lakóingatlant terhelő jelzálog;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hitelkártya-követelés;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fogyasztási hitel;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kkv-knak nyújtott hitel (lakosságiként kezelt);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egyéb lakossággal szembeni kitettségek.</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Nem lakosság: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kereskedelmi ingatlant terhelő jelzálog;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lízing;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vállalatoknak nyújtott hitelek;</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kkv-knak nyújtott hitel (vállalatiként kezelt);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kereskedelemfinanszírozás;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egyéb nem lakossági kitettségek.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Kötelezettségek:</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fedezett kötvények;</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egyéb kötelezettségek.</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Ha az értékpapírosított kitettségek halmaza a fent felsorolt típusokat vegyesen tartalmazza, akkor az intézménynek a legfontosabb típust kell feltüntetnie. Újra-értékpapírosítás esetén az intézménynek a végső alapul szolgáló eszközhalmazt kell megjelölnie. Az „egyéb kötelezettség” típus az államkötvényeket és a hitelkockázati eseményhez kapcsolt értékpapírokat foglalja magában.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 zárt halmazzal fedezett értékpapírosítási programoknál a típus az adatszolgáltatás időpontjai között nem változhat.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IRB %-OS ARÁNYA AZ ALKALMAZOTT MÓDSZEREK KÖZÖTT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Ez az oszlop arról a módszerről (azokról a módszerekről) gyűjt információkat, amelye(ke)t az intézmény az adatszolgáltatás időpontjában alkalmazna az értékpapírosított kitettségekre.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Az intézményeknek azon értékpapírosított kitettségek kitettségértékkel mért százalékos arányát kell megadniuk, amelyekre az adatszolgáltatás időpontjában a belső minősítésen alapuló módszer alkalmazandó.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Ezt az információt akkor is fel kell tüntetni, ha az adatszolgáltató intézmény nem rendelkezik pozícióval az értékpapírosításban. Ez az oszlop azonban nem vonatkozik a kötelezettségek értékpapírosítására.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 KITETTSÉGEK SZÁMA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 CRR 259. cikkének (4) bekezdése</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Az oszlopot azoknak az intézményeknek kötelező kitölteniük, amelyek az értékpapírosítási pozíciókra a SEC-IRBA-módszert alkalmazzák (és ennek megfelelően a 171-es oszlopban 95 %-nál nagyobb értéket adnak meg). Az intézmény a kitettségek tényleges számáról szolgáltat adatot.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oszlop nem töltendő ki kötelezettségek értékpapírosítása esetén, valamint akkor, ha a szavatolótőke-követelmény az értékpapírosított kitettségeken alapul (eszközök értékpapírosítása esetén). Az oszlop nem töltendő ki, ha az adatszolgáltató intézmény nem rendelkezik pozícióval az értékpapírosításban. Az oszlopot a befektetők nem töltik ki.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NEMTELJESÍTŐ KITETTSÉGEK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 CRR 261. cikkének (2) bekezdése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Az intézménynek meg kell adnia a CRR 261. cikkének (2) bekezdése szerint kiszámított W-t (a nemteljesítő alapul szolgáló kitettségekre), még abban az esetben is, ha nem alkalmazza a SEC-SA módszert az értékpapírosítási pozíciókra.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ORSZÁG</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Az intézmény az ISO 3166-1 alpha-2 szabvány szerinti kód alapján az ügylet végső alapul szolgáló eszközeinek származási országát adja meg, vagyis az eredeti értékpapírosított kitettségek közvetlen kötelezettjének az országát (alapul szolgáló eszközök vizsgálata). Ha az értékpapírosítás halmaza több országot tartalmaz, akkor az intézménynek a legfontosabb országot kell feltüntetnie. Ha az eszközök és kötelezettségek összege alapján számított 20 %-os küszöböt egyik ország sem lépi túl, akkor az „egyéb országok” értéket kell feltüntetni.</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 kitettséggel súlyozott átlagos LGD értékét csak azok az intézmények adják meg, amelyek a SEC-IRBA-t alkalmazzák (és ennek megfelelően a 0170-es oszlopban legalább 95 %-os értéket tüntetnek fel). Az LGD értékét a CRR 259. cikkének (5) bekezdése alapján kell kiszámítani.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oszlop nem töltendő ki kötelezettségek értékpapírosítása esetén, valamint akkor, ha a szavatolótőke-követelmény az értékpapírosított kitettségeken alapul (eszközök értékpapírosítása esetén).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értékpapírosított eszközök kitettséggel súlyozott átlagos várható veszteségének (EL) értékét csak azok az intézmények adják meg, amelyek a SEC-IRBA-t alkalmazzák (és ennek megfelelően a 0171-es oszlopban legalább 95 %-os értéket tüntetnek fel). SA értékpapírosított eszközök esetében a feltüntetendő EL a CRR 111. cikkében említett egyedi hitelkockázati kiigazítás. Az EL-t a CRR harmadik része II. címe 3. fejezetének 3. szakaszában foglaltak szerint kell kiszámítani. Az oszlop nem töltendő ki kötelezettségek értékpapírosítása esetén, valamint akkor, ha a szavatolótőke-követelmény az értékpapírosított kitettségeken alapul (eszközök értékpapírosítása esetén).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értékpapírosított eszközök kitettséggel súlyozott átlagos nem várható veszteségének (UL) értékét csak azok az intézmények adják meg, amelyek a SEC-IRBA-t alkalmazzák (és ennek megfelelően a 0170-es oszlopban legalább 95 %-os értéket tüntetnek fel). Az eszközök UL-értéke a kockázattal súlyozott kitettségérték (RWEA) szorozva 8 %-kal. Az RWEA-t a CRR harmadik része II. címe 3. fejezetének 2. szakaszában foglaltak szerint kell kiszámítani. Az oszlop nem töltendő ki kötelezettségek értékpapírosítása esetén, valamint akkor, ha a szavatolótőke-követelmény az értékpapírosított kitettségeken alapul (eszközök értékpapírosítása esetén).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ESZKÖZÖK KITETTSÉGGEL SÚLYOZOTT ÁTLAGOS LEJÁRATA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Minden intézménynek meg kell adnia az értékpapírosított eszközök adatszolgáltatás időpontjára vonatkozó, kitettséggel súlyozott átlagos lejáratát (WAM), függetlenül a tőkekövetelmények kiszámításához használt módszertől. Az intézményeknek az egyes eszközök lejáratát a CRR 162. cikke (2) bekezdésének a) és f) pontja szerint, az ötéves felső korlát alkalmazása nélkül kell kiszámítaniuk.</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ÉRTÉKELÉSI KORREKCIÓK ÉS CÉLTARTALÉKOK</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Az adatszolgáltató intézményre alkalmazandó számviteli szabályozásnak megfelelő értékelési korrekciók és hitelveszteségre képzett céltartalékok (a CRR 159. cikke). Az értékelési korrekciók magukban foglalják a pénzügyi eszközökön a mérlegben történő kezdeti megjelenítésük óta keletkezett hitelveszteségnek az eredményben elszámolt összegét (ideértve a valós értéken értékelt pénzügyi eszközök hitelkockázatából eredő, a kitettségértékből nem levonható veszteségeket), valamint a CRR 166. cikkének (1) bekezdésében említetteknek megfelelően nemteljesítőként megvásárolt eszközökre kapott kedvezményeket. A céltartalékok a mérlegen kívüli tételeken keletkezett hitelveszteségek halmozott összegét foglalják magukban.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Ez az oszlop az értékpapírosított kitettségekre alkalmazott értékelési korrekciókról és céltartalékokról gyűjt információkat. Az oszlop nem töltendő ki kötelezettségek értékpapírosítása esetén.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Ezt az információt akkor is fel kell tüntetni, ha az adatszolgáltató intézmény nem rendelkezik pozícióval az értékpapírosításban.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ÉRTÉKPAPÍROSÍTÁS ELŐTTI SZAVATOLÓTŐKE-KÖVETELMÉNY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Ezt az oszlopot csak a SEC-IRBA-t alkalmazó (és ezért az 171. oszlopban legalább 95 %-ot feltüntető) intézmények töltik ki, és ebben az oszlopban a CRR 255. cikkében említettek szerint a K</w:t>
            </w:r>
            <w:r>
              <w:rPr>
                <w:rFonts w:ascii="Times New Roman" w:hAnsi="Times New Roman"/>
                <w:sz w:val="24"/>
                <w:vertAlign w:val="subscript"/>
              </w:rPr>
              <w:t>IRB</w:t>
            </w:r>
            <w:r>
              <w:rPr>
                <w:rFonts w:ascii="Times New Roman" w:hAnsi="Times New Roman"/>
                <w:sz w:val="24"/>
              </w:rPr>
              <w:t>-re vonatkozó adatokat kell megadni. A K</w:t>
            </w:r>
            <w:r>
              <w:rPr>
                <w:rFonts w:ascii="Times New Roman" w:hAnsi="Times New Roman"/>
                <w:sz w:val="24"/>
                <w:vertAlign w:val="subscript"/>
              </w:rPr>
              <w:t>IRB</w:t>
            </w:r>
            <w:r>
              <w:rPr>
                <w:rFonts w:ascii="Times New Roman" w:hAnsi="Times New Roman"/>
                <w:sz w:val="24"/>
              </w:rPr>
              <w:t xml:space="preserve"> értékét százalékban (két tizedesjegy pontossággal) kell kifejezni.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oszlop nem töltendő ki kötelezettségek értékpapírosítása esetén. Eszközök értékpapírosítása esetén ezt az információt akkor is fel kell tüntetni, ha az adatszolgáltató intézmény nem rendelkezik pozícióval az értékpapírosításban.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LAKOSSÁGGAL SZEMBENI KITETTSÉGEK %-OS ARÁNYA AZ IRB-HALMAZOKBAN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 CRR 242. cikkének 7. pontjában meghatározott IRB-halmazok, feltéve, hogy az intézmény a CRR harmadik része II. címe 6. fejezetének 3. szakaszával összhangban az alapul szolgáló kitettségérték legalább 95 %-ára ki tudja számítani a K</w:t>
            </w:r>
            <w:r>
              <w:rPr>
                <w:rFonts w:ascii="Times New Roman" w:hAnsi="Times New Roman"/>
                <w:sz w:val="24"/>
                <w:vertAlign w:val="subscript"/>
              </w:rPr>
              <w:t>IRB</w:t>
            </w:r>
            <w:r>
              <w:rPr>
                <w:rFonts w:ascii="Times New Roman" w:hAnsi="Times New Roman"/>
                <w:sz w:val="24"/>
              </w:rPr>
              <w:t xml:space="preserve"> értékét (a CRR 259. cikkének (2) bekezdése).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 ELŐTTI SZAVATOLÓTŐKE-KÖVETELMÉNY (%) Ksa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Az intézménynek abban az esetben is ki kell töltenie ezt az oszlopot, ha nem alkalmazza a SEC-SA módszert az értékpapírosítási pozíciókra. Ebben az oszlopban a K</w:t>
            </w:r>
            <w:r>
              <w:rPr>
                <w:rFonts w:ascii="Times New Roman" w:hAnsi="Times New Roman"/>
                <w:sz w:val="24"/>
                <w:vertAlign w:val="subscript"/>
              </w:rPr>
              <w:t>SA</w:t>
            </w:r>
            <w:r>
              <w:rPr>
                <w:rFonts w:ascii="Times New Roman" w:hAnsi="Times New Roman"/>
                <w:sz w:val="24"/>
              </w:rPr>
              <w:t xml:space="preserve"> értékére vonatkozó információkat kell megadni a CRR 255. cikke (6) bekezdésének megfelelően. A K</w:t>
            </w:r>
            <w:r>
              <w:rPr>
                <w:rFonts w:ascii="Times New Roman" w:hAnsi="Times New Roman"/>
                <w:sz w:val="24"/>
                <w:vertAlign w:val="subscript"/>
              </w:rPr>
              <w:t>SA</w:t>
            </w:r>
            <w:r>
              <w:rPr>
                <w:rFonts w:ascii="Times New Roman" w:hAnsi="Times New Roman"/>
                <w:sz w:val="24"/>
              </w:rPr>
              <w:t xml:space="preserve"> értékét százalékban (két tizedesjegy pontossággal) kell kifejezni.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oszlop nem töltendő ki kötelezettségek értékpapírosítása esetén. Eszközök értékpapírosítása esetén ezt az információt akkor is fel kell tüntetni, ha az adatszolgáltató intézmény nem rendelkezik pozícióval az értékpapírosításban.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TÁJÉKOZTATÓ ADATOK</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HITELKOCKÁZATI KIIGAZÍTÁSOK A TÁRGYIDŐSZAKBAN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 CRR 110. cikke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ÉRTÉKPAPÍROSÍTÁSI STRUKTÚRA</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Az oszlopcsoport az értékpapírosítás struktúrájáról gyűjt adatokat mérlegen belüli/kívüli pozíciók, ügyletrészsorozatok (előresorolt, köztes, első veszteségviselő), valamint az adatszolgáltatás időpontjában érvényes lejárat alapján.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Több eladó részvételével végrehajtott értékpapírosítás esetén kizárólag az adatot szolgáltató intézménynek megfelelő, vagy annak tulajdonított összeget kell feltüntetni.</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MÉRLEGEN BELÜLI TÉTELEK</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Ez az oszlopcsoport a mérlegen belüli tételekről gyűjt információkat ügyletrészsorozatok szerinti bontásban (előre sorolt, köztes, első veszteségviselő).</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ELŐRESOROLT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ÖSSZEG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Az előresorolt értékpapírosítási pozíciók összege a CRR 242. cikke 6. pontjának megfelelően.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ALSÓ VESZTESÉGVISELÉSI HATÁR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 CRR 256. cikkének (1) bekezdésében említett alsó veszteségviselési határ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és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A SEC-ERBA-t alkalmazó intézmények esetében előirányzott hitelminőségi besorolások (a CRR 263. cikkének 1. és 2. táblázata, valamint 264. cikkének 3. és 4. táblázata). Ezeket az oszlopokat az alkalmazott módszertől függetlenül valamennyi minősített ügyletre vonatkozóan meg kell adni.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KÖZTES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ÖSSZEG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 feltüntetendő érték magában foglalja:</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a CRR 242. cikkének 18. pontja szerinti köztes értékpapírosítási pozíciót;</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további értékpapírosítási pozíciókat, amelyek nem a CRR 242. cikkének 6., 17. vagy 18. pontjában meghatározott pozíciók.</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ÜGYLETRÉSZSOROZATOK SZÁMA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 köztes ügyletrészsorozatok száma.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LEGINKÁBB ALÁRENDELT ÜGYLETRÉSZSOROZAT HITELMINŐSÉGI BESOROLÁSA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 leginkább alárendelt köztes ügyletrészsorozatnak a CRR 263. cikkében található 2. táblázat és 264. cikkében található 3. táblázat szerint meghatározott hitelminőségi besorolása.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ELSŐ VESZTESÉGVISELŐ</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ÖSSZEG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Az első veszteségviselő ügyletrészsorozat összege a CRR 242. cikke 17. pontjának megfelelően.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FELSŐ VESZTESÉGVISELÉSI HATÁR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 CRR 256. cikkének (2) bekezdésében említett felső veszteségviselési határ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MÉRLEGEN KÍVÜLI TÉTELEK ÉS SZÁRMAZTATOTT ÜGYLETEK</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Ez az oszlopcsoport a mérlegen kívüli tételekről és származtatott ügyletekről gyűjt információkat ügyletrészsorozatok szerinti bontásban (előre sorolt, köztes, első veszteségviselő).</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Itt is ugyanazokat a besorolási kritériumokat kell alkalmazni, amelyek alapján a mérlegen belüli tételek oszthatók fel ügyletrészsorozatok szerint.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LEJÁRAT</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 FELMONDÁS VÁRHATÓ LEGKORÁBBI IDŐPONTJA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A teljes értékpapírosítás felmondásának valószínű időpontja a szerződési feltételek és a jelenleg várható pénzügyi feltételek alapján. Általában az alábbiak közül a legkorábbi időpont: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az a nap, amelyen a CRR 242. cikkének 1. pontjában meghatározott maradék pozíciókra vonatkozó visszavásárlási jog az alapul szolgáló kitettségek lejáratát, valamint azok előtörlesztési rátáit és esetleges újratárgyalását figyelembe véve először gyakorolható;</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az a nap, amelyen az értékpapírosítást kezdeményező először érvényesíthet az értékpapírosítás szerződési feltételeiben foglalt olyan egyéb lehívási opciót, amely az értékpapírosítás teljes visszaváltását eredményezi.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 felmondás várható legkorábbi időpontja tekintetében a napot, a hónapot és az évet kell megadni.</w:t>
            </w:r>
            <w:r>
              <w:rPr>
                <w:rFonts w:ascii="Times New Roman" w:hAnsi="Times New Roman"/>
                <w:szCs w:val="20"/>
              </w:rPr>
              <w:t xml:space="preserve"> </w:t>
            </w:r>
            <w:r>
              <w:rPr>
                <w:rFonts w:ascii="Times New Roman" w:hAnsi="Times New Roman"/>
                <w:sz w:val="24"/>
              </w:rPr>
              <w:t>Amennyiben ismert, a pontos napot kell feltüntetni, egyéb esetben a hónap első napját.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ÉRTÉKPAPÍROSÍTÁST KEZDEMÉNYEZŐ ÜGYLETBE FOGLALT VISSZAVÁSÁRLÁSI JOGA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 felmondás várható legkorábbi időpontja szempontjából releváns visszavásárlási jog típusa:</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maradék pozíciókra vonatkozó visszavásárlási jog, amely megfelel a CRR 244. cikke (4) bekezdése g) pontjának;</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maradék pozíciókra vonatkozó egyéb visszavásárlási jog;</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egyéb típusú visszavásárlási jog.</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JOGSZERŰ VÉGSŐ LEJÁRATI IDŐPONT</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Az a nap, amelyen az értékpapírosítás teljes tőke- és kamatrészét jogszerűen vissza kell fizetni (az ügylet dokumentációja alapján).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 jogszerű végső lejárati időpont tekintetében a napot, a hónapot és az évet kell megadni.</w:t>
            </w:r>
            <w:r>
              <w:rPr>
                <w:rFonts w:ascii="Times New Roman" w:hAnsi="Times New Roman"/>
                <w:szCs w:val="20"/>
              </w:rPr>
              <w:t xml:space="preserve"> </w:t>
            </w:r>
            <w:r>
              <w:rPr>
                <w:rFonts w:ascii="Times New Roman" w:hAnsi="Times New Roman"/>
                <w:sz w:val="24"/>
              </w:rPr>
              <w:t>Amennyiben ismert, a pontos napot kell feltüntetni, egyéb esetben a hónap első napját.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TÁJÉKOZTATÓ ADATOK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ELADOTT KOCKÁZAT ALSÓ VESZTESÉGVISELÉSI HATÁRA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Kizárólag az értékpapírosítást kezdeményezőknek kell megadniuk a hagyományos értékpapírosítások esetében harmadik feleknek eladott, vagy szintetikus értékpapírosítások esetében harmadik fél általi hitelkockázati fedezetben részesülő leginkább alárendelt ügyletrészsorozat alsó veszteségviselési határát.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ELADOTT KOCKÁZAT FELSŐ VESZTESÉGVISELÉSI HATÁRA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Kizárólag az értékpapírosítást kezdeményezőknek kell megadniuk a hagyományos értékpapírosítások esetében harmadik feleknek eladott, vagy szintetikus értékpapírosítások esetében harmadik fél általi hitelkockázati fedezetben részesülő leginkább előresorolt ügyletrészsorozat felső veszteségviselési határát.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AZ ÉRTÉKPAPÍROSÍTÁST KEZDEMÉNYEZŐ ÁLTAL MEGÁLLAPÍTOTT KOCKÁZATÁTRUHÁZÁS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Kizárólag az értékpapírosítást kezdeményezőknek kell megadniuk az értékpapírosított eszközök harmadik felekre átruházott, nem várható veszteséggel (UL) növelt várható veszteségét (EL) a teljes várható veszteség és nem várható veszteség összegének százalékos arányában kifejezve. Meg kell adni az alapul szolgáló kitettségek EL- és UL-értékét, amelyeket ezt követően a többlépcsős értékpapírosítási veszteségviselés szerint hozzá kell rendelni az értékpapírosítás megfelelő ügyletrészsorozataihoz. SA bankok esetében az EL az értékpapírosított eszközök egyedi hitelkockázati kiigazítása, az UL pedig az értékpapírosított kitettségek tőkekövetelménye.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58858645"/>
      <w:r>
        <w:rPr>
          <w:rFonts w:ascii="Times New Roman" w:hAnsi="Times New Roman"/>
          <w:sz w:val="24"/>
          <w:u w:val="none"/>
        </w:rPr>
        <w:t>3.8.4.</w:t>
      </w:r>
      <w:r>
        <w:tab/>
      </w:r>
      <w:r>
        <w:rPr>
          <w:rFonts w:ascii="Times New Roman" w:hAnsi="Times New Roman"/>
          <w:sz w:val="24"/>
        </w:rPr>
        <w:t>C 14.01 – Az értékpapírosítással kapcsolatos részletes információk (SEC DETAILS 2)</w:t>
      </w:r>
      <w:bookmarkEnd w:id="434"/>
      <w:bookmarkEnd w:id="435"/>
    </w:p>
    <w:bookmarkStart w:id="436"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Az alábbi módszerekre vonatkozóan a SEC DETAILS 2 táblán külön kell adatot szolgáltatni:</w:t>
      </w:r>
    </w:p>
    <w:p w:rsidR="00CA4EB2" w:rsidRPr="00661595" w:rsidRDefault="00CA4EB2" w:rsidP="00487A02">
      <w:pPr>
        <w:pStyle w:val="InstructionsText2"/>
        <w:numPr>
          <w:ilvl w:val="0"/>
          <w:numId w:val="0"/>
        </w:numPr>
        <w:ind w:left="1353" w:hanging="360"/>
      </w:pPr>
      <w:r>
        <w:t>1) SEC-IRBA;</w:t>
      </w:r>
    </w:p>
    <w:p w:rsidR="00CA4EB2" w:rsidRPr="00661595" w:rsidRDefault="00CA4EB2" w:rsidP="00487A02">
      <w:pPr>
        <w:pStyle w:val="InstructionsText2"/>
        <w:numPr>
          <w:ilvl w:val="0"/>
          <w:numId w:val="0"/>
        </w:numPr>
        <w:ind w:left="1353" w:hanging="360"/>
      </w:pPr>
      <w:r>
        <w:lastRenderedPageBreak/>
        <w:t>2) SEC-SA;</w:t>
      </w:r>
    </w:p>
    <w:p w:rsidR="00CA4EB2" w:rsidRPr="00661595" w:rsidRDefault="00CA4EB2" w:rsidP="00487A02">
      <w:pPr>
        <w:pStyle w:val="InstructionsText2"/>
        <w:numPr>
          <w:ilvl w:val="0"/>
          <w:numId w:val="0"/>
        </w:numPr>
        <w:ind w:left="1353" w:hanging="360"/>
      </w:pPr>
      <w:r>
        <w:t>3) SEC-ERBA;</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Oszlop</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BELSŐ KÓD</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Belső (alfanumerikus) kód, amelyet az intézmény az értékpapírosítás azonosítására használ. A belső kódot az értékpapírosítási ügylet azonosítójához kell hozzárendelni.</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AZ ÉRTÉKPAPÍROSÍTÁS AZONOSÍTÓJA</w:t>
            </w:r>
            <w:r>
              <w:rPr>
                <w:rFonts w:ascii="Times New Roman" w:hAnsi="Times New Roman"/>
                <w:b/>
                <w:sz w:val="24"/>
              </w:rPr>
              <w:t xml:space="preserve"> (kódja/neve)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Az értékpapírosítás vagy – amennyiben ugyanabban a sorban több pozíció megadható – az ügylet jogszabályban előírt nyilvántartásba vételéhez használt kód, vagy ha ilyen nincs, akkor az a név, amelyen az értékpapírosítás vagy az ügylet a piacon, illetőleg belső vagy magán értékpapírosítás esetében az intézményen belül ismert. Ha van nemzetközi értékpapír-azonosító szám (ISIN) – nyilvános ügyletnél –, akkor az oszlopban az értékpapírosítás valamennyi ügyletrészsorozatában közös karaktereket kell megadni.</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ÉRTÉKPAPÍROSÍTÁSI POZÍCIÓK: HITEL-EGYENÉRTÉKESÍTÉSI TÉNYEZŐK ELŐTTI EREDETI KITETTSÉG</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Az oszlopcsoport az értékpapírosítási pozíciókról gyűjt adatokat az adatszolgáltatás időpontjában fennálló mérlegen belüli/kívüli pozíciók, valamint ügyletrészsorozatok (előre sorolt, köztes, első veszteségviselő) szerinti bontásban.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MÉRLEGEN BELÜLI TÉTELEK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Itt is ugyanazokat az ügyletrészsorozatok szerinti besorolási kritériumokat kell alkalmazni, mint a 0230., 0240. és 0250. oszlop esetében.</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MÉRLEGEN KÍVÜLI TÉTELEK ÉS SZÁRMAZTATOTT ÜGYLETEK</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Itt is ugyanazokat az ügyletrészsorozatok szerinti besorolási kritériumokat kell alkalmazni, mint a 0260–0280. oszlop esetében.</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és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 FEDEZETNYÚJTÓNAK / INSTRUMENTUMNAK MEGFELELŐ KOCKÁZATI SÚLY</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Az elismert garanciavállaló %-os kockázati súlya vagy a CRR 249. cikke szerinti hitelkockázati fedezetet nyújtó megfelelő instrumentum %-os kockázati súlya.</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TÁJÉKOZTATÓ ADATOK: MÉRLEGEN KÍVÜLI TÉTELEK ÉS SZÁRMAZTATOTT ÜGYLETEK HITEL-EGYENÉRTÉKESÍTÉSI TÉNYEZŐK ELŐTT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Ez az oszlopcsoport a 0340–0361. oszlopban más bontásban már megadott mérlegen kívüli tételekről és származtatott ügyletekről gyűjt kiegészítő információkat.</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KÖZVETLEN HITELHELYETTESÍTŐK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Ez az oszlop az értékpapírosítást kezdeményező által tartott és közvetlen hitelhelyettesítőkkel garantált értékpapírosítási pozíciókra vonatkozik.</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A CRR I. melléklete szerint közvetlen hitelhelyettesítőnek az alábbi teljes kockázatú mérlegen kívüli tételek minősülnek:</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a hitelhelyettesítő jellegű garanciák;</w:t>
            </w:r>
          </w:p>
          <w:p w:rsidR="00FC6275" w:rsidRPr="00661595" w:rsidRDefault="00FC6275" w:rsidP="00E10B85">
            <w:pPr>
              <w:spacing w:before="0" w:after="0"/>
              <w:rPr>
                <w:rFonts w:ascii="Times New Roman" w:hAnsi="Times New Roman"/>
                <w:i/>
                <w:sz w:val="24"/>
              </w:rPr>
            </w:pPr>
            <w:r>
              <w:rPr>
                <w:rFonts w:ascii="Times New Roman" w:hAnsi="Times New Roman"/>
                <w:i/>
                <w:sz w:val="24"/>
              </w:rPr>
              <w:t>– a hitelhelyettesítő jellegű visszavonhatatlan készenléti hitellevelek.</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Az IRS a kamatcsereügyletek, a CRS a deviza-csereügyletek rövidítése. Ezeket a származtatott ügyleteket a CRR II. melléklete sorolja fel.</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LIKVIDITÁSI HITELKERETEK</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A CRR 242. cikkének 3. pontjában meghatározott likviditási hitelkeretek.</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EGYÉB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Fennmaradó mérlegen kívüli tételek.</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KITETTSÉGÉRTÉK</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Ez az információ szorosan kapcsolódik a CR SEC tábla 0180-as oszlopához.</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A SZAVATOLÓTŐKÉBŐL LEVONT KITETTSÉGÉRTÉK</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Ez az információ szorosan kapcsolódik a CR SEC tábla 0190-es oszlopához.</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Ebben az oszlopban negatív értéket kell megadni.</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KOCKÁZATTAL SÚLYOZOTT TELJES KITETTSÉGÉRTÉK A FELSŐ KORLÁT FIGYELEMBEVÉTELE ELŐTT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Ez az oszlop a kockázattal súlyozott kitettségértéknek az értékpapírosítási pozíciókra vonatkozó felső határ alkalmazása előtti értékéről gyűjt információkat (jelentős kockázat átruházásával járó értékpapírosítási programok esetében). A jelentős kockázat átruházásával nem járó értékpapírosítási programok esetében </w:t>
            </w:r>
            <w:r>
              <w:rPr>
                <w:rFonts w:ascii="Times New Roman" w:hAnsi="Times New Roman"/>
                <w:sz w:val="24"/>
              </w:rPr>
              <w:lastRenderedPageBreak/>
              <w:t>(ahol a kockázattal súlyozott kitettségérték meghatározása az értékpapírosított kitettségek alapján történik) az oszlop nem tartalmaz adatot.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Az oszlop nem töltendő ki kötelezettségek értékpapírosítása esetén.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 kereskedési könyvi értékpapírosítások esetében az egyedi kockázatra vonatkozó RWEA-t kell feltüntetni. Lásd az MKR SA SEC 0570. oszlopát, illetve az MKR SA CTP 0410. és 0420. oszlopát (amennyiben a szavatolótőke-követelmény szempontjából releváns).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A KOCKÁZATI SÚLYRA VONATKOZÓ FELSŐ KORLÁT MIATTI CSÖKKENTÉS</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 CRR 267. cikke</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AZ ÁLTALÁNOS FELSŐ KORLÁT MIATTI CSÖKKENTÉS</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 CRR 268. cikke</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KOCKÁZATTAL SÚLYOZOTT TELJES KITETTSÉGÉRTÉK A FELSŐ KORLÁT FIGYELEMBEVÉTELE UTÁN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Ez az oszlop a kockázattal súlyozott kitettségértéknek az értékpapírosítási pozíciókra vonatkozó felső korlátok alkalmazása utáni értékéről gyűjt információkat (jelentős kockázat átruházásával járó értékpapírosítási programok esetében). A jelentős kockázat átruházásával nem járó értékpapírosítási programok esetében (ahol a szavatolótőke-követelmény meghatározása az értékpapírosított kitettségek alapján történik) az oszlop nem tartalmaz adatot.</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Az oszlop nem töltendő ki kötelezettségek értékpapírosítása esetén.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A kereskedési könyvi értékpapírosítások esetében az egyedi kockázatra vonatkozó RWEA-t kell feltüntetni. Lásd az MKR SA SEC 0600-as, illetve az MKR SA CTP 0450-es oszlopát.</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TÁJÉKOZTATÓ ADATOK</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KOCKÁZATTAL SÚLYOZOTT KITETTSÉGÉRTÉK A SEC-ERBA SZERINT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 CRR 263. és 264. cikke Ezt az oszlopot csak a felső korlát alkalmazása előtti minősített ügyletek esetében kell kitölteni, és nem kell megadni a SEC-ERBA szerinti ügyletek esetében.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KOCKÁZATTAL SÚLYOZOTT KITETTSÉGÉRTÉK A SEC-SA SZERINT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 CRR 261. és 262. cikke. Ezt az oszlopot a felső korlát alkalmazása előtt kell megadni, és nem kell megadni a SEC-SA szerinti ügyletek esetében.</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lastRenderedPageBreak/>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ÉRTÉKPAPÍROSÍTÁSI POZÍCIÓK – KERESKEDÉSI KÖNYV</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CTP/NEM CTP</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Az intézményeknek a következő rövidítéseket kell feltüntetniük:</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korrelációkereskedési portfólió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nem CTP.</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NETTÓ POZÍCIÓK – HOSSZÚ/RÖVID</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Lásd az MKR SA SEC, illetve MKR SA CTP 0050. és 0060. oszlopát.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58858646"/>
      <w:r>
        <w:rPr>
          <w:rFonts w:ascii="Times New Roman" w:hAnsi="Times New Roman"/>
          <w:sz w:val="24"/>
        </w:rPr>
        <w:t>Partnerkockázat</w:t>
      </w:r>
      <w:bookmarkEnd w:id="437"/>
      <w:bookmarkEnd w:id="438"/>
    </w:p>
    <w:p w:rsidR="00595FAD" w:rsidRPr="00661595"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858647"/>
      <w:bookmarkEnd w:id="439"/>
      <w:bookmarkEnd w:id="440"/>
      <w:bookmarkEnd w:id="441"/>
      <w:bookmarkEnd w:id="442"/>
      <w:bookmarkEnd w:id="443"/>
      <w:bookmarkEnd w:id="444"/>
      <w:r>
        <w:rPr>
          <w:rFonts w:ascii="Times New Roman" w:hAnsi="Times New Roman"/>
          <w:sz w:val="24"/>
        </w:rPr>
        <w:t>A partnerkázati táblák alkalmazási köre</w:t>
      </w:r>
      <w:bookmarkEnd w:id="445"/>
      <w:bookmarkEnd w:id="446"/>
      <w:bookmarkEnd w:id="447"/>
    </w:p>
    <w:p w:rsidR="00595FAD" w:rsidRPr="00661595" w:rsidRDefault="0055388B" w:rsidP="00487A02">
      <w:pPr>
        <w:pStyle w:val="InstructionsText2"/>
        <w:numPr>
          <w:ilvl w:val="0"/>
          <w:numId w:val="0"/>
        </w:numPr>
        <w:ind w:left="1353" w:hanging="360"/>
      </w:pPr>
      <w:fldSimple w:instr=" seq paragraphs ">
        <w:r w:rsidR="00D11E4C">
          <w:rPr>
            <w:noProof/>
          </w:rPr>
          <w:t>119</w:t>
        </w:r>
      </w:fldSimple>
      <w:r w:rsidR="00D11E4C">
        <w:t>. A partnerkockázati táblák a CRR harmadik része II. címének 4. és 6. fejezete alkalmazásában partnerkockázattal érintett kitettségekre vonatkozó információkat tartalmazzák.</w:t>
      </w:r>
    </w:p>
    <w:p w:rsidR="00595FAD" w:rsidRPr="00661595" w:rsidRDefault="0055388B" w:rsidP="00487A02">
      <w:pPr>
        <w:pStyle w:val="InstructionsText2"/>
        <w:numPr>
          <w:ilvl w:val="0"/>
          <w:numId w:val="0"/>
        </w:numPr>
        <w:ind w:left="1353" w:hanging="360"/>
      </w:pPr>
      <w:fldSimple w:instr=" seq paragraphs ">
        <w:r w:rsidR="00D11E4C">
          <w:rPr>
            <w:noProof/>
          </w:rPr>
          <w:t>120</w:t>
        </w:r>
      </w:fldSimple>
      <w:r w:rsidR="00D11E4C">
        <w:t xml:space="preserve">. A táblák nem tartalmazzák a CVA-kockázathoz (a CRR  92. cikke (3) bekezdésének d) pontja és harmadik részének VI. címe) kapcsolódó szavatolótőke-követelményeket, amelyek a CVA-kockázatra vonatkozó táblában szerepelnek. </w:t>
      </w:r>
    </w:p>
    <w:p w:rsidR="00595FAD" w:rsidRPr="00661595" w:rsidRDefault="0055388B" w:rsidP="00487A02">
      <w:pPr>
        <w:pStyle w:val="InstructionsText2"/>
        <w:numPr>
          <w:ilvl w:val="0"/>
          <w:numId w:val="0"/>
        </w:numPr>
        <w:ind w:left="1353" w:hanging="360"/>
      </w:pPr>
      <w:fldSimple w:instr=" seq paragraphs ">
        <w:r w:rsidR="00D11E4C">
          <w:rPr>
            <w:noProof/>
          </w:rPr>
          <w:t>121</w:t>
        </w:r>
      </w:fldSimple>
      <w:r w:rsidR="00D11E4C">
        <w:t>. Eltérő rendelkezés hiányában a központi szerződő felekkel szembeni partnerkockázati kitettségeket (a CRR harmadik része II. címének 4. fejezete és 6. fejezetének 9. szakasza) bele kell foglalni a partnerkockázati számadatokba. A CRR 307–310. cikkének megfelelően kiszámított garanciaalap-hozzájárulásokat azonban nem kell feltüntetni a partnerkockázati táblákban, kivéve a C 34.10 táblát, különösen a megfelelő sorokat. Rendes esetben a garanciaalaphoz való hozzájárulások kockázattal súlyozott kitettségértékeit közvetlenül a C 02.00 tábla 0460. sorában kell feltüntetni.</w:t>
      </w:r>
    </w:p>
    <w:p w:rsidR="00595FAD" w:rsidRPr="00661595"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8858648"/>
      <w:bookmarkStart w:id="450" w:name="_Toc516210659"/>
      <w:r>
        <w:rPr>
          <w:rFonts w:ascii="Times New Roman" w:hAnsi="Times New Roman"/>
          <w:sz w:val="24"/>
        </w:rPr>
        <w:t>C 34.01 – A származtatott ügyleti tevékenység mérete</w:t>
      </w:r>
      <w:bookmarkEnd w:id="448"/>
      <w:bookmarkEnd w:id="449"/>
    </w:p>
    <w:p w:rsidR="00595FAD" w:rsidRPr="00661595"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58858649"/>
      <w:r>
        <w:rPr>
          <w:rFonts w:ascii="Times New Roman" w:hAnsi="Times New Roman"/>
          <w:sz w:val="24"/>
        </w:rPr>
        <w:t>Általános megjegyzések</w:t>
      </w:r>
      <w:bookmarkEnd w:id="450"/>
      <w:bookmarkEnd w:id="451"/>
      <w:bookmarkEnd w:id="452"/>
    </w:p>
    <w:p w:rsidR="00595FAD" w:rsidRPr="00661595" w:rsidRDefault="0055388B" w:rsidP="00487A02">
      <w:pPr>
        <w:pStyle w:val="InstructionsText2"/>
        <w:numPr>
          <w:ilvl w:val="0"/>
          <w:numId w:val="0"/>
        </w:numPr>
        <w:ind w:left="1353" w:hanging="360"/>
      </w:pPr>
      <w:fldSimple w:instr=" seq paragraphs ">
        <w:r w:rsidR="00D11E4C">
          <w:rPr>
            <w:noProof/>
          </w:rPr>
          <w:t>122</w:t>
        </w:r>
      </w:fldSimple>
      <w:r w:rsidR="00D11E4C">
        <w:t>. A CRR 273a. cikkével összhangban az intézmények származtatott pozícióik kitettségértékét a CRR harmadik része II. címe 6. fejezetének 4. vagy 5. szakaszában meghatározott módszerrel is kiszámíthatják, feltéve, hogy mérlegen belüli és mérlegen kívüli származtatott ügyleti tevékenységük nagyságrendje nem haladja meg az előre meghatározott küszöbértékeket. A vonatkozó értékelést havonta, a hónap utolsó napján érvényes adatok felhasználásával kell elvégezni. Ez a tábla az említett küszöbértékeknek való megfelelésre vonatkozó információkat, és általánosabban a származtatott üzletág méretére vonatkozó fontos információkat tartalmazza.</w:t>
      </w:r>
    </w:p>
    <w:p w:rsidR="00595FAD" w:rsidRPr="00661595" w:rsidRDefault="0055388B" w:rsidP="00487A02">
      <w:pPr>
        <w:pStyle w:val="InstructionsText2"/>
        <w:numPr>
          <w:ilvl w:val="0"/>
          <w:numId w:val="0"/>
        </w:numPr>
        <w:ind w:left="1353" w:hanging="360"/>
      </w:pPr>
      <w:fldSimple w:instr=" seq paragraphs ">
        <w:r w:rsidR="00D11E4C">
          <w:rPr>
            <w:noProof/>
          </w:rPr>
          <w:t>123</w:t>
        </w:r>
      </w:fldSimple>
      <w:r w:rsidR="00D11E4C">
        <w:t>. Az 1. hónap, 2. hónap, 3. hónap a jelentett negyedév első, második, illetve utolsó hónapjára vonatkozik. Az információkat csak a 2021. június 28. utáni hónapvégekre vonatkozóan kell jelenteni.</w:t>
      </w:r>
    </w:p>
    <w:p w:rsidR="00595FAD" w:rsidRPr="00661595"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58858650"/>
      <w:r>
        <w:rPr>
          <w:rFonts w:ascii="Times New Roman" w:hAnsi="Times New Roman"/>
          <w:sz w:val="24"/>
        </w:rPr>
        <w:lastRenderedPageBreak/>
        <w:t>A tábla egyes részeire vonatkozó útmutató</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Oszlop</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HOSSZÚ SZÁRMAZTATOTT POZÍCIÓK</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 CRR 273a. cikkének (3) bekezdése</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A hosszú származtatott pozíciók abszolút piaci értékének a hónap utolsó napján érvényes összegét kell megadni.</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0020, 0050,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RÖVID SZÁRMAZTATOTT POZÍCIÓK</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 CRR 273a. cikkének (3) bekezdése</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A rövid származtatott pozíciók abszolút piaci értékének a hónap utolsó napján érvényes összegét kell megadni.</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ÖSSZESEN</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273a. cikke (3) bekezdésének b) pontja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A hosszú származtatott pozíciók abszolút értékének és a rövid származtatott pozíciók abszolút értékének összege.</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Sorok</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származtatott ügyleti tevékenység mérete</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 CRR 273a. cikkének (3) bekezdése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Minden mérlegen belüli és mérlegen kívüli származtatott ügyletet figyelembe kell venni, kivéve a nem kereskedési könyvi hitelkockázati kitettségekkel szembeni belső fedezeti ügyletként megjelenített hitelderivatívákat.</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Mérlegen belüli és mérlegen kívüli származtatott ügyletek</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273a. cikke (3) bekezdésének a) és b) pontja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mérlegen belüli és kívüli származtatott pozícióknak a hónap utolsó napján érvényes teljes piaci értékét kell megadni.</w:t>
            </w:r>
            <w:r>
              <w:rPr>
                <w:rFonts w:ascii="Times New Roman" w:hAnsi="Times New Roman"/>
                <w:sz w:val="24"/>
              </w:rPr>
              <w:t xml:space="preserve"> Amennyiben a pozíció adott napi piaci értéke nem áll rendelkezésre, az intézménynek a pozíció adott napi valós értékét kell figyelembe vennie; amennyiben sem a pozíció valós, sem piaci értéke nem áll rendelkezésre az adott napra vonatkozóan, az intézménynek az érintett pozíció legutóbbi valós vagy piaci értékét kell figyelembe vennie.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A nem kereskedési könyvi hitelkockázati kitettségekkel szembeni belső fedezeti ügyletként megjelenített hitelderivatívák</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273a. cikke (3) bekezdésének c) pontja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A nem kereskedési könyvi hitelkockázati kitettségekkel szembeni belső fedezeti ügyletként megjelenített hitelderivatívák teljes piaci értéke.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Eszközök összesen</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mérlegfőösszeg az alkalmazandó számviteli szabályozásnak megfelelően.</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Konszolidált adatszolgáltatás esetében az intézménynek a mérlegfőösszeget a CRR első része II. címe 2. fejezetének 2. szakaszával összhangban, a prudenciális konszolidáció hatókörét követve kell megadnia.</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Származtatott üzletág az összes eszköz százalékos arányában</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A mutatót úgy kell kiszámítani, hogy a származtatott üzletág méretét (0010. sor) el kell osztani az összes eszközzel (0040. sor).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ELTÉRÉS A CRR 273A. CIKKÉNEK (4) BEKEZDÉSÉVEL ÖSSZHANGBAN</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Teljesülnek-e a CRR 273a. cikkének (4) bekezdésében foglalt feltételek, beleértve az illetékes hatóság jóváhagyását?</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273a. cikkének (4) bekezdése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Azoknak az intézményeknek, amelyek túllépik a partnerkockázatra vonatkozó egyszerűsített módszer alkalmazásához szükséges küszöbértékeket, de a CRR 273a. cikkének (4) bekezdése alapján még alkalmazzák valamelyiket, fel kell tüntetniük (igen/nemmel), hogy teljesítik-e az említett cikkben foglalt valamennyi feltételt.</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Ezt az információt csak a CRR 273a. cikkének (4) bekezdése szerinti eltérést alkalmazó intézmények tüntethetik fel.</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kitettségértékek kiszámításának módszere konszolidált szinten</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273a. cikkének (4) bekezdése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származtatott pozíciók kitettségértékének konszolidált alapon történő kiszámítására szolgáló módszer, amelyet a CRR 273a. cikkének (4) bekezdésével összhangban az egyes jogalanyok szintjén is alkalmaznak:</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az eredeti kitettség szerinti módszer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Egyszerűsített SA-CCR: a partnerkockázatra alkalmazandó egyszerűsített sztenderd módszer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Ezt az információt csak a CRR 273a. cikkének (4) bekezdése szerinti eltérést alkalmazó intézmények tüntethetik fel.</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58858651"/>
      <w:r>
        <w:rPr>
          <w:rFonts w:ascii="Times New Roman" w:hAnsi="Times New Roman"/>
          <w:sz w:val="24"/>
        </w:rPr>
        <w:t>C 34.02 – Partnerkockázati kitettségek módszer szerint</w:t>
      </w:r>
      <w:bookmarkEnd w:id="456"/>
      <w:bookmarkEnd w:id="457"/>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58858652"/>
      <w:r>
        <w:rPr>
          <w:rFonts w:ascii="Times New Roman" w:hAnsi="Times New Roman"/>
          <w:sz w:val="24"/>
        </w:rPr>
        <w:t>Általános megjegyzések</w:t>
      </w:r>
      <w:bookmarkEnd w:id="458"/>
      <w:bookmarkEnd w:id="459"/>
    </w:p>
    <w:p w:rsidR="00595FAD" w:rsidRPr="00661595" w:rsidRDefault="0055388B" w:rsidP="00487A02">
      <w:pPr>
        <w:pStyle w:val="InstructionsText2"/>
        <w:numPr>
          <w:ilvl w:val="0"/>
          <w:numId w:val="0"/>
        </w:numPr>
        <w:ind w:left="1353" w:hanging="360"/>
      </w:pPr>
      <w:fldSimple w:instr=" seq paragraphs ">
        <w:r w:rsidR="00D11E4C">
          <w:rPr>
            <w:noProof/>
          </w:rPr>
          <w:t>124</w:t>
        </w:r>
      </w:fldSimple>
      <w:r w:rsidR="00D11E4C">
        <w:t>. Az intézményeknek a C 34.10 tábla alkalmazásában meghatározott valamennyi partnerkockázati kitettségre, illetve valamennyi, a központi szerződő felekkel szembeni kitettségeken kívüli partnerkockázati kitettségre vonatkozóan külön kell kitölteniük a táblát.</w:t>
      </w:r>
    </w:p>
    <w:p w:rsidR="00595FAD" w:rsidRPr="00661595"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58858653"/>
      <w:r>
        <w:rPr>
          <w:rFonts w:ascii="Times New Roman" w:hAnsi="Times New Roman"/>
          <w:sz w:val="24"/>
        </w:rPr>
        <w:lastRenderedPageBreak/>
        <w:t>A tábla egyes részeire vonatkozó útmutató</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PARTNEREK SZÁMA</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Azon egyedi partnerek száma, amelyekkel szemben az intézmény partnerkockázati kitettséggel rendelkezik.</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ÜGYLETEK SZÁMA</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A partnerkockázatnak kitett ügyletek száma az adatszolgáltatás időpontjában. Megjegyzendő, hogy a központi szerződő féllel szembeni tevékenységre vonatkozó adatok nem tartalmazhatnak be- és kiáramlásokat, hanem a CCR-portfólióban az adatszolgáltatás időpontjában meglévő összes pozíciót tartalmazzák. Továbbá azokat a származtatott eszközöket vagy értékpapír-finanszírozási ügyleteket, amelyeket modellezés céljából (legalább) két vagy több szakaszra osztanak, továbbra is egyetlen ügyletnek kell tekinteni.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NÉVLEGES ÖSSZEG</w:t>
            </w:r>
          </w:p>
          <w:p w:rsidR="00595FAD" w:rsidRPr="00661595" w:rsidRDefault="00595FAD" w:rsidP="00FF15C6">
            <w:pPr>
              <w:keepNext/>
              <w:spacing w:before="60"/>
              <w:rPr>
                <w:rFonts w:ascii="Times New Roman" w:hAnsi="Times New Roman"/>
                <w:sz w:val="24"/>
              </w:rPr>
            </w:pPr>
            <w:r>
              <w:rPr>
                <w:rFonts w:ascii="Times New Roman" w:hAnsi="Times New Roman"/>
                <w:sz w:val="24"/>
              </w:rPr>
              <w:t>A származtatott ügyletek és az értékpapír-finanszírozási ügyletek névleges értékének összege nettósítás és a CRR 279b. cikke szerinti kiigazítás nélkül.</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rsidR="00595FAD" w:rsidRPr="00661595" w:rsidRDefault="00595FAD" w:rsidP="00FF15C6">
            <w:pPr>
              <w:keepNext/>
              <w:spacing w:before="60"/>
              <w:rPr>
                <w:rFonts w:ascii="Times New Roman" w:hAnsi="Times New Roman"/>
                <w:sz w:val="24"/>
              </w:rPr>
            </w:pPr>
            <w:r>
              <w:rPr>
                <w:rFonts w:ascii="Times New Roman" w:hAnsi="Times New Roman"/>
                <w:sz w:val="24"/>
              </w:rPr>
              <w:t>A CRR 272. cikkének 12. pontja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 CRR 272. cikkének 12. pontjában meghatározott pozitív aktuális piaci értékkel (CMV) rendelkező összes nettósítási halmaz aktuális piaci értékének összege.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rsidR="00595FAD" w:rsidRPr="00661595" w:rsidRDefault="00595FAD" w:rsidP="00FF15C6">
            <w:pPr>
              <w:keepNext/>
              <w:spacing w:before="60"/>
              <w:rPr>
                <w:rFonts w:ascii="Times New Roman" w:hAnsi="Times New Roman"/>
                <w:sz w:val="24"/>
              </w:rPr>
            </w:pPr>
            <w:r>
              <w:rPr>
                <w:rFonts w:ascii="Times New Roman" w:hAnsi="Times New Roman"/>
                <w:sz w:val="24"/>
              </w:rPr>
              <w:t>A CRR 272. cikkének 12. pontja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A CRR 272. cikkének 12. pontjában meghatározott negatív aktuális piaci értékkel (CMV) rendelkező összes nettósítási halmaz aktuális piaci értékének összege.</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VÁLTOZÓ LETÉT (VM), KAPOTT</w:t>
            </w:r>
          </w:p>
          <w:p w:rsidR="00595FAD" w:rsidRPr="00661595" w:rsidRDefault="00595FAD" w:rsidP="00FF15C6">
            <w:pPr>
              <w:keepNext/>
              <w:spacing w:before="60"/>
              <w:rPr>
                <w:rFonts w:ascii="Times New Roman" w:hAnsi="Times New Roman"/>
                <w:sz w:val="24"/>
              </w:rPr>
            </w:pPr>
            <w:r>
              <w:rPr>
                <w:rFonts w:ascii="Times New Roman" w:hAnsi="Times New Roman"/>
                <w:sz w:val="24"/>
              </w:rPr>
              <w:t>A CRR 275. cikkének (2) és (3) bekezdése és 276. cikke</w:t>
            </w:r>
          </w:p>
          <w:p w:rsidR="00595FAD" w:rsidRPr="00661595" w:rsidRDefault="00595FAD" w:rsidP="00FF15C6">
            <w:pPr>
              <w:keepNext/>
              <w:spacing w:before="60"/>
              <w:rPr>
                <w:rFonts w:ascii="Times New Roman" w:hAnsi="Times New Roman"/>
                <w:sz w:val="24"/>
              </w:rPr>
            </w:pPr>
            <w:r>
              <w:rPr>
                <w:rFonts w:ascii="Times New Roman" w:hAnsi="Times New Roman"/>
                <w:sz w:val="24"/>
              </w:rPr>
              <w:t>A letéti megállapodások alapján kapott változó letét (VM) összege, a 276. cikknek megfelelően számítva.</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VÁLTOZÓ LETÉT (VM), KIHELYEZETT</w:t>
            </w:r>
          </w:p>
          <w:p w:rsidR="00595FAD" w:rsidRPr="00661595" w:rsidRDefault="00595FAD" w:rsidP="00FF15C6">
            <w:pPr>
              <w:keepNext/>
              <w:spacing w:before="60"/>
              <w:rPr>
                <w:rFonts w:ascii="Times New Roman" w:hAnsi="Times New Roman"/>
                <w:sz w:val="24"/>
              </w:rPr>
            </w:pPr>
            <w:r>
              <w:rPr>
                <w:rFonts w:ascii="Times New Roman" w:hAnsi="Times New Roman"/>
                <w:sz w:val="24"/>
              </w:rPr>
              <w:t>A CRR 275. cikkének (2) és (3) bekezdése és 276. cikke</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A letéti megállapodások alapján kihelyezett változó letét (VM) összege, a 276. cikknek megfelelően számítva.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NETTÓ FÜGGETLEN BIZTOSÍTÉK ÖSSZEGE (NICA), KAPOTT </w:t>
            </w:r>
          </w:p>
          <w:p w:rsidR="00595FAD" w:rsidRPr="00661595" w:rsidRDefault="00595FAD" w:rsidP="00FF15C6">
            <w:pPr>
              <w:keepNext/>
              <w:spacing w:before="60"/>
              <w:rPr>
                <w:rFonts w:ascii="Times New Roman" w:hAnsi="Times New Roman"/>
                <w:sz w:val="24"/>
              </w:rPr>
            </w:pPr>
            <w:r>
              <w:rPr>
                <w:rFonts w:ascii="Times New Roman" w:hAnsi="Times New Roman"/>
                <w:sz w:val="24"/>
              </w:rPr>
              <w:lastRenderedPageBreak/>
              <w:t>A CRR 272. cikkének (12a) bekezdése, 275. cikkének (3) bekezdése és 276. cikke</w:t>
            </w:r>
          </w:p>
          <w:p w:rsidR="00595FAD" w:rsidRPr="00661595" w:rsidRDefault="00595FAD" w:rsidP="00FF15C6">
            <w:pPr>
              <w:keepNext/>
              <w:spacing w:before="60"/>
              <w:rPr>
                <w:rFonts w:ascii="Times New Roman" w:hAnsi="Times New Roman"/>
                <w:sz w:val="24"/>
              </w:rPr>
            </w:pPr>
            <w:r>
              <w:rPr>
                <w:rFonts w:ascii="Times New Roman" w:hAnsi="Times New Roman"/>
                <w:sz w:val="24"/>
              </w:rPr>
              <w:t>A letéti megállapodások alapján kapott nettó független biztosíték (NICA) összege, a 276. cikknek megfelelően számítva.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NETTÓ FÜGGETLEN BIZTOSÍTÉK ÖSSZEGE (NICA), KIHELYEZETT </w:t>
            </w:r>
          </w:p>
          <w:p w:rsidR="00595FAD" w:rsidRPr="00661595" w:rsidRDefault="00595FAD" w:rsidP="00FF15C6">
            <w:pPr>
              <w:keepNext/>
              <w:spacing w:before="60"/>
              <w:rPr>
                <w:rFonts w:ascii="Times New Roman" w:hAnsi="Times New Roman"/>
                <w:sz w:val="24"/>
              </w:rPr>
            </w:pPr>
            <w:r>
              <w:rPr>
                <w:rFonts w:ascii="Times New Roman" w:hAnsi="Times New Roman"/>
                <w:sz w:val="24"/>
              </w:rPr>
              <w:t>A CRR 272. cikkének (12a) bekezdése, 275. cikkének (3) bekezdése és 276. cikke</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 letéti megállapodások alapján kihelyezett nettó független biztosíték (NICA) összege, a 276. cikknek megfelelően számítva.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PÓTLÁSI KÖLTSÉG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A CRR 275., 281. és 282. cikke</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Az egyes nettósítási halmazok pótlási költségét (RC) a következőkkel összhangban kell kiszámítani: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 CRR 282. cikkének (3) bekezdése az eredeti kitettség szerinti módszer esetében; </w:t>
            </w:r>
          </w:p>
          <w:p w:rsidR="00595FAD" w:rsidRPr="00661595" w:rsidRDefault="00595FAD" w:rsidP="00FF15C6">
            <w:pPr>
              <w:spacing w:before="60"/>
              <w:rPr>
                <w:rFonts w:ascii="Times New Roman" w:hAnsi="Times New Roman"/>
                <w:sz w:val="24"/>
              </w:rPr>
            </w:pPr>
            <w:r>
              <w:rPr>
                <w:rFonts w:ascii="Times New Roman" w:hAnsi="Times New Roman"/>
                <w:sz w:val="24"/>
              </w:rPr>
              <w:t>– a CRR 281. cikke az egyszerűsített SA-CCR esetében;</w:t>
            </w:r>
          </w:p>
          <w:p w:rsidR="00595FAD" w:rsidRPr="00661595" w:rsidRDefault="00595FAD" w:rsidP="00FF15C6">
            <w:pPr>
              <w:spacing w:before="60"/>
              <w:rPr>
                <w:rFonts w:ascii="Times New Roman" w:hAnsi="Times New Roman"/>
                <w:sz w:val="24"/>
              </w:rPr>
            </w:pPr>
            <w:r>
              <w:rPr>
                <w:rFonts w:ascii="Times New Roman" w:hAnsi="Times New Roman"/>
                <w:sz w:val="24"/>
              </w:rPr>
              <w:t>– a CRR 275. cikke az SA-CCR esetében.</w:t>
            </w:r>
          </w:p>
          <w:p w:rsidR="00595FAD" w:rsidRPr="00661595" w:rsidRDefault="00595FAD" w:rsidP="00FF15C6">
            <w:pPr>
              <w:spacing w:before="60"/>
              <w:rPr>
                <w:rFonts w:ascii="Times New Roman" w:hAnsi="Times New Roman"/>
                <w:sz w:val="24"/>
              </w:rPr>
            </w:pPr>
            <w:r>
              <w:rPr>
                <w:rFonts w:ascii="Times New Roman" w:hAnsi="Times New Roman"/>
                <w:sz w:val="24"/>
              </w:rPr>
              <w:t>Az intézmény a nettósítási halmazok pótlási költségeinek összegét a megfelelő sorban köteles feltüntetni.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POTENCIÁLIS JÖVŐBELI KITETTSÉG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 CRR 278., 281. és 282. cikke</w:t>
            </w:r>
          </w:p>
          <w:p w:rsidR="00595FAD" w:rsidRPr="00661595" w:rsidRDefault="00595FAD" w:rsidP="00FF15C6">
            <w:pPr>
              <w:spacing w:before="60"/>
              <w:rPr>
                <w:rFonts w:ascii="Times New Roman" w:hAnsi="Times New Roman"/>
                <w:sz w:val="24"/>
              </w:rPr>
            </w:pPr>
            <w:r>
              <w:rPr>
                <w:rFonts w:ascii="Times New Roman" w:hAnsi="Times New Roman"/>
                <w:sz w:val="24"/>
              </w:rPr>
              <w:t xml:space="preserve">Az egyes nettósítási halmazok potenciális jövőbeli kitettségét (PFE) a következőkkel összhangban kell kiszámítani: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 CRR 282. cikkének (4) bekezdése az eredeti kitettség szerinti módszer esetében; </w:t>
            </w:r>
          </w:p>
          <w:p w:rsidR="00595FAD" w:rsidRPr="00661595" w:rsidRDefault="00595FAD" w:rsidP="00FF15C6">
            <w:pPr>
              <w:spacing w:before="60"/>
              <w:rPr>
                <w:rFonts w:ascii="Times New Roman" w:hAnsi="Times New Roman"/>
                <w:sz w:val="24"/>
              </w:rPr>
            </w:pPr>
            <w:r>
              <w:rPr>
                <w:rFonts w:ascii="Times New Roman" w:hAnsi="Times New Roman"/>
                <w:sz w:val="24"/>
              </w:rPr>
              <w:t>– a CRR 281. cikke az egyszerűsített SA-CCR esetében;</w:t>
            </w:r>
          </w:p>
          <w:p w:rsidR="00595FAD" w:rsidRPr="00661595" w:rsidRDefault="00595FAD" w:rsidP="00FF15C6">
            <w:pPr>
              <w:spacing w:before="60"/>
              <w:rPr>
                <w:rFonts w:ascii="Times New Roman" w:hAnsi="Times New Roman"/>
                <w:sz w:val="24"/>
              </w:rPr>
            </w:pPr>
            <w:r>
              <w:rPr>
                <w:rFonts w:ascii="Times New Roman" w:hAnsi="Times New Roman"/>
                <w:sz w:val="24"/>
              </w:rPr>
              <w:t>– a CRR 278. cikke az SA-CCR esetében.</w:t>
            </w:r>
          </w:p>
          <w:p w:rsidR="00595FAD" w:rsidRPr="00661595" w:rsidRDefault="00595FAD" w:rsidP="00FF15C6">
            <w:pPr>
              <w:spacing w:before="60"/>
              <w:rPr>
                <w:rFonts w:ascii="Times New Roman" w:hAnsi="Times New Roman"/>
                <w:i/>
                <w:sz w:val="24"/>
              </w:rPr>
            </w:pPr>
            <w:r>
              <w:rPr>
                <w:rFonts w:ascii="Times New Roman" w:hAnsi="Times New Roman"/>
                <w:sz w:val="24"/>
              </w:rPr>
              <w:t>Az intézmény a nettósítási halmazok potenciális jövőbeli kitettségeinek összegét a megfelelő sorban köteles feltüntetni.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AKTUÁLIS KITETTSÉG</w:t>
            </w:r>
          </w:p>
          <w:p w:rsidR="00595FAD" w:rsidRPr="00661595" w:rsidRDefault="00595FAD" w:rsidP="00FF15C6">
            <w:pPr>
              <w:spacing w:before="60"/>
              <w:rPr>
                <w:rFonts w:ascii="Times New Roman" w:hAnsi="Times New Roman"/>
                <w:sz w:val="24"/>
              </w:rPr>
            </w:pPr>
            <w:r>
              <w:rPr>
                <w:rFonts w:ascii="Times New Roman" w:hAnsi="Times New Roman"/>
                <w:sz w:val="24"/>
              </w:rPr>
              <w:t xml:space="preserve">A CRR 272. cikkének 17. pontja </w:t>
            </w:r>
          </w:p>
          <w:p w:rsidR="00595FAD" w:rsidRPr="00661595" w:rsidRDefault="00595FAD" w:rsidP="00FF15C6">
            <w:pPr>
              <w:spacing w:before="60"/>
              <w:rPr>
                <w:rFonts w:ascii="Times New Roman" w:hAnsi="Times New Roman"/>
                <w:sz w:val="24"/>
              </w:rPr>
            </w:pPr>
            <w:r>
              <w:rPr>
                <w:rFonts w:ascii="Times New Roman" w:hAnsi="Times New Roman"/>
                <w:sz w:val="24"/>
              </w:rPr>
              <w:t>A nettósítási halmazonkénti aktuális kitettség a CRR 272. cikkének 17. pontjában meghatározott érték.</w:t>
            </w:r>
          </w:p>
          <w:p w:rsidR="00595FAD" w:rsidRPr="00661595" w:rsidRDefault="00595FAD" w:rsidP="00FF15C6">
            <w:pPr>
              <w:spacing w:before="60"/>
              <w:rPr>
                <w:rFonts w:ascii="Times New Roman" w:hAnsi="Times New Roman"/>
                <w:sz w:val="24"/>
              </w:rPr>
            </w:pPr>
            <w:r>
              <w:rPr>
                <w:rFonts w:ascii="Times New Roman" w:hAnsi="Times New Roman"/>
                <w:sz w:val="24"/>
              </w:rPr>
              <w:t>Az intézmény a nettósítási halmazok aktuális kitettségeinek összegét a megfelelő sorban köteles feltüntetni.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TÉNYLEGES VÁRHATÓ POZITÍV KITETTSÉG (EEPE)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 CRR 272. cikkének 22. pontja, 284. cikkének (3) és (4) bekezdése</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lastRenderedPageBreak/>
              <w:t>A nettósítási halmazonkénti EEPE-t a CRR 272. cikkének 22. pontja határozza meg, és azt a CRR 284. cikkének (6) bekezdése szerint kell kiszámítani.</w:t>
            </w:r>
          </w:p>
          <w:p w:rsidR="00595FAD" w:rsidRPr="00661595" w:rsidRDefault="00595FAD" w:rsidP="00BC3A29">
            <w:pPr>
              <w:spacing w:before="60"/>
              <w:rPr>
                <w:rFonts w:ascii="Times New Roman" w:eastAsia="Calibri" w:hAnsi="Times New Roman"/>
                <w:sz w:val="24"/>
              </w:rPr>
            </w:pPr>
            <w:r>
              <w:rPr>
                <w:rFonts w:ascii="Times New Roman" w:hAnsi="Times New Roman"/>
                <w:sz w:val="24"/>
              </w:rPr>
              <w:t>Az intézménynek a szavatolótőke-követelménynek a CRR 284. cikkének (3) bekezdése szerinti meghatározásához alkalmazott EEPE-k összegét kell megadnia, azaz az aktuális piaci adatok alapján kiszámított EEPE-t vagy a stresszkalibrációval kiszámított EEPE-t, attól függően, hogy melyik eredményezi a magasabb szavatolótőke-követelményt.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 SZABÁLYOZÓI KITETTSÉGÉRTÉK KISZÁMÍTÁSÁHOZ HASZNÁLT ALFA </w:t>
            </w:r>
          </w:p>
          <w:p w:rsidR="00595FAD" w:rsidRPr="00661595" w:rsidRDefault="00595FAD" w:rsidP="00FF15C6">
            <w:pPr>
              <w:spacing w:before="60"/>
              <w:rPr>
                <w:rFonts w:ascii="Times New Roman" w:hAnsi="Times New Roman"/>
                <w:i/>
                <w:sz w:val="24"/>
              </w:rPr>
            </w:pPr>
            <w:r>
              <w:rPr>
                <w:rFonts w:ascii="Times New Roman" w:hAnsi="Times New Roman"/>
                <w:sz w:val="24"/>
              </w:rPr>
              <w:t>A CRR 274. cikkének (2) bekezdése, 282. cikkének (2) bekezdése, 281. cikkének (1) bekezdése, 284. cikkének (4) és (9) bekezdése</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Az α értéke a CRR 282. cikkének (2) bekezdésével, 281. cikkének (1) bekezdésével és 274. cikkének (2) bekezdésével összhangban az eredeti kitettség szerinti módszerre, az egyszerűsített SA-CCR-re és az SA-CCR-re vonatkozó sorokban 1,4.  A belső modell módszer alkalmazásában az α értéke lehet az alapértelmezett 1,4, vagy lehet más érték, amennyiben az illetékes hatóságok a CRR 284. cikkének (4) bekezdésével összhangban magasabb α értéket írnak elő, vagy engedélyezik az intézmények számára, hogy a CRR 284. cikkének (9) bekezdésével összhangban saját becsléseiket alkalmazzák.</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KITETTSÉGÉRTÉK HITELKOCKÁZAT-MÉRSÉKLÉS ELŐTT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A partnerkockázati nettósítási halmazok hitelkockázat-mérséklés előtti kitettségértékét a CRR harmadik része II. címének 4. és 6. fejezetében meghatározott módszerekkel összhangban kell kiszámítani, figyelembe véve a nettósítás hatását, de figyelmen kívül hagyva minden más hitelkockázat-mérséklési technikát (pl. letéti biztosíték).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Értékpapír-finanszírozási ügyletek esetében az értékpapíroldalt nem kell figyelembe venni a hitelkockázat-mérséklés előtti kitettségérték meghatározása során, ha van kapott biztosíték, ezért az nem csökkentheti a kitettségértéket. Ezzel szemben az értékpapír-finanszírozási ügyletek értékpapíroldalát a hitelkockázat-mérséklés előtti kitettségérték meghatározásakor a szokásos módon figyelembe kell venni, ha biztosíték kerül kihelyezésre.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Továbbá a biztosítékkal fedezett üzleti tevékenységet biztosítékkal nem fedezettként kell kezelni, azaz nem alkalmazandó letéti hatás.  </w:t>
            </w:r>
          </w:p>
          <w:p w:rsidR="00595FAD" w:rsidRPr="00661595" w:rsidRDefault="00595FAD" w:rsidP="00FF15C6">
            <w:pPr>
              <w:spacing w:before="60"/>
              <w:rPr>
                <w:rFonts w:ascii="Times New Roman" w:hAnsi="Times New Roman"/>
                <w:sz w:val="24"/>
              </w:rPr>
            </w:pPr>
            <w:r>
              <w:rPr>
                <w:rFonts w:ascii="Times New Roman" w:hAnsi="Times New Roman"/>
                <w:sz w:val="24"/>
              </w:rPr>
              <w:t xml:space="preserve">Azon ügyletek hitelkockázat-mérséklés előtti kitettségértékét, amelyeknél egyedi rossz irányú kockázatot azonosítottak, a CRR 291. cikkével összhangban kell meghatározni.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A hitelkockázat-mérséklés előtti kitettségértéknél nem vehető figyelembe a felmerült CVA-veszteség CRR 273. cikkének (6) bekezdése szerinti levonását. </w:t>
            </w:r>
          </w:p>
          <w:p w:rsidR="00595FAD" w:rsidRPr="00661595" w:rsidRDefault="00595FAD" w:rsidP="00FF15C6">
            <w:pPr>
              <w:spacing w:before="60"/>
              <w:rPr>
                <w:rFonts w:ascii="Times New Roman" w:hAnsi="Times New Roman"/>
                <w:i/>
                <w:sz w:val="24"/>
              </w:rPr>
            </w:pPr>
            <w:r>
              <w:rPr>
                <w:rFonts w:ascii="Times New Roman" w:hAnsi="Times New Roman"/>
                <w:sz w:val="24"/>
              </w:rPr>
              <w:t>Az intézmény a hitelkockázat-mérséklés előtti kitettségértékek összegét a megfelelő sorban köteles feltüntetni.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KITETTSÉGÉRTÉK HITELKOCKÁZAT-MÉRSÉKLÉS UTÁN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lastRenderedPageBreak/>
              <w:t>A partnerkockázati nettósítási halmazok hitelkockázat-mérséklés utáni kitettségértékét a CRR harmadik része II. címének 4. és 6. fejezetében meghatározott módszerekkel összhangban kell kiszámítani, figyelembe véve a CRR harmadik része II. címe 4. és 6. fejezetének megfelelően alkalmazandó hitelkockázat-mérséklési technikák hatását.</w:t>
            </w:r>
          </w:p>
          <w:p w:rsidR="00595FAD" w:rsidRPr="00661595" w:rsidRDefault="00595FAD" w:rsidP="00FF15C6">
            <w:pPr>
              <w:spacing w:before="60"/>
              <w:rPr>
                <w:rFonts w:ascii="Times New Roman" w:hAnsi="Times New Roman"/>
                <w:sz w:val="24"/>
              </w:rPr>
            </w:pPr>
            <w:r>
              <w:rPr>
                <w:rFonts w:ascii="Times New Roman" w:hAnsi="Times New Roman"/>
                <w:sz w:val="24"/>
              </w:rPr>
              <w:t xml:space="preserve">Azon ügyletek hitelkockázat-mérséklés utáni kitettségértékét, amelyeknél egyedi rossz irányú kockázatot azonosítottak, a CRR 291. cikkével összhangban kell meghatározni. </w:t>
            </w:r>
          </w:p>
          <w:p w:rsidR="00595FAD" w:rsidRPr="00661595" w:rsidRDefault="00595FAD" w:rsidP="00FF15C6">
            <w:pPr>
              <w:spacing w:before="60"/>
              <w:rPr>
                <w:rFonts w:ascii="Times New Roman" w:hAnsi="Times New Roman"/>
                <w:sz w:val="24"/>
              </w:rPr>
            </w:pPr>
            <w:r>
              <w:rPr>
                <w:rFonts w:ascii="Times New Roman" w:hAnsi="Times New Roman"/>
                <w:sz w:val="24"/>
              </w:rPr>
              <w:t>A hitelkockázat-mérséklés utáni kitettségérték nem veheti figyelembe a felmerült CVA-veszteség CRR 273. cikkének (6) bekezdése szerinti levonását.</w:t>
            </w:r>
          </w:p>
          <w:p w:rsidR="00595FAD" w:rsidRPr="00661595" w:rsidRDefault="00595FAD" w:rsidP="00FF15C6">
            <w:pPr>
              <w:spacing w:before="60"/>
              <w:rPr>
                <w:rFonts w:ascii="Times New Roman" w:hAnsi="Times New Roman"/>
                <w:i/>
                <w:sz w:val="24"/>
              </w:rPr>
            </w:pPr>
            <w:r>
              <w:rPr>
                <w:rFonts w:ascii="Times New Roman" w:hAnsi="Times New Roman"/>
                <w:sz w:val="24"/>
              </w:rPr>
              <w:t>Az intézmény a hitelkockázat-mérséklés utáni kitettségértékek összegét a megfelelő sorban köteles feltüntetni.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KITETTSÉGÉRTÉK</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A partnerkockázati nettósítási halmazokhoz kapcsolódó, a CRR harmadik része II. címének 4. és 6. fejezetében meghatározott módszereknek megfelelően, azaz a CRR harmadik része II. címének 4. és 6. fejezetével összhangban alkalmazandó hitelkockázat-mérséklési technikák alkalmazásával és a CVA-veszteségnek a CRR 273. cikkének (6) bekezdésében említett levonásával számított kitettségérték, amely a kockázattal súlyozott kitettségérték kiszámítása tekintetében a releváns összeg. </w:t>
            </w:r>
          </w:p>
          <w:p w:rsidR="00595FAD" w:rsidRPr="00661595" w:rsidRDefault="00595FAD" w:rsidP="00FF15C6">
            <w:pPr>
              <w:rPr>
                <w:rFonts w:ascii="Times New Roman" w:hAnsi="Times New Roman"/>
                <w:sz w:val="24"/>
              </w:rPr>
            </w:pPr>
            <w:r>
              <w:rPr>
                <w:rFonts w:ascii="Times New Roman" w:hAnsi="Times New Roman"/>
                <w:sz w:val="24"/>
              </w:rPr>
              <w:t>Azon ügyletek kitettségértékét, amelyeknél egyedi rossz irányú kockázatot azonosítottak, a CRR 291. cikkével összhangban kell meghatározni.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Azokban az esetekben, amikor egy partnerre egynél több partnerkockázati módszert alkalmaznak, a partner szintjén levont, felmerült CVA-veszteséget hozzá kell rendelni az egyes partnerkockázati módszerek szerinti egyes nettósítási halmazok kitettségértékéhez, tükrözve az adott nettósítási halmazok hitelkockázat-mérséklés utáni kitettségértékének a partner hitelkockázat-mérséklés utáni teljes kitettségértékéhez viszonyított arányát.</w:t>
            </w:r>
          </w:p>
          <w:p w:rsidR="00595FAD" w:rsidRPr="00661595" w:rsidRDefault="00595FAD" w:rsidP="00FF15C6">
            <w:r>
              <w:rPr>
                <w:rFonts w:ascii="Times New Roman" w:hAnsi="Times New Roman"/>
                <w:sz w:val="24"/>
              </w:rPr>
              <w:t>Az intézmény a kitettségértékek összegét a megfelelő sorban köteles feltüntetni.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 CR sztenderd módszerrel kezelt pozíciók</w:t>
            </w:r>
          </w:p>
          <w:p w:rsidR="00595FAD" w:rsidRPr="00661595" w:rsidRDefault="00595FAD" w:rsidP="00FF15C6">
            <w:pPr>
              <w:spacing w:before="60"/>
              <w:rPr>
                <w:rFonts w:ascii="Times New Roman" w:hAnsi="Times New Roman"/>
                <w:i/>
                <w:sz w:val="24"/>
              </w:rPr>
            </w:pPr>
            <w:r>
              <w:rPr>
                <w:rFonts w:ascii="Times New Roman" w:hAnsi="Times New Roman"/>
                <w:sz w:val="24"/>
              </w:rPr>
              <w:t>A CRR harmadik része II. címének 2. fejezetével összhangban a hitelkockázat sztenderd módszerével kezelt pozíciók partnerkockázati kitettségértéke.</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 CR IRB módszerrel kezelt pozíciók</w:t>
            </w:r>
          </w:p>
          <w:p w:rsidR="00595FAD" w:rsidRPr="00661595" w:rsidRDefault="00595FAD" w:rsidP="00FF15C6">
            <w:pPr>
              <w:rPr>
                <w:rFonts w:ascii="Times New Roman" w:hAnsi="Times New Roman"/>
                <w:sz w:val="24"/>
              </w:rPr>
            </w:pPr>
            <w:r>
              <w:rPr>
                <w:rFonts w:ascii="Times New Roman" w:hAnsi="Times New Roman"/>
                <w:sz w:val="24"/>
              </w:rPr>
              <w:t>A hitelkockázatra vonatkozó IRB módszerrel kezelt pozíciók partnerkockázati kitettségértéke a CRR harmadik része II. címének 3. fejezetével összhangban.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KOCKÁZATTAL SÚLYOZOTT KITETTSÉGÉRTÉK</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A CRR 92. cikkének (3) és (4) bekezdésében meghatározott partnerkockázatra vonatkozó kockázattal súlyozott kitettségértékek, amelyeket a harmadik rész II. címének 2. és 3. fejezetében meghatározott módszereknek megfelelően kell kiszámítani.</w:t>
            </w:r>
          </w:p>
          <w:p w:rsidR="00595FAD" w:rsidRPr="00661595" w:rsidRDefault="00595FAD" w:rsidP="003F19BA">
            <w:pPr>
              <w:rPr>
                <w:rFonts w:ascii="Times New Roman" w:hAnsi="Times New Roman"/>
                <w:sz w:val="24"/>
              </w:rPr>
            </w:pPr>
            <w:r>
              <w:rPr>
                <w:rFonts w:ascii="Times New Roman" w:hAnsi="Times New Roman"/>
                <w:sz w:val="24"/>
              </w:rPr>
              <w:lastRenderedPageBreak/>
              <w:t xml:space="preserve">A CRR 501. cikkében és 501a. cikkében említett kkv-szorzót és infrastruktúra-szorzót figyelembe kell venni.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 CR sztenderd módszerrel kezelt pozíciók</w:t>
            </w:r>
          </w:p>
          <w:p w:rsidR="00595FAD" w:rsidRPr="00661595" w:rsidRDefault="00595FAD" w:rsidP="00FF15C6">
            <w:pPr>
              <w:spacing w:before="60"/>
              <w:rPr>
                <w:rFonts w:ascii="Times New Roman" w:hAnsi="Times New Roman"/>
                <w:sz w:val="24"/>
              </w:rPr>
            </w:pPr>
            <w:r>
              <w:rPr>
                <w:rFonts w:ascii="Times New Roman" w:hAnsi="Times New Roman"/>
                <w:sz w:val="24"/>
              </w:rPr>
              <w:t xml:space="preserve">A CRR harmadik része II. címének 2. fejezetével összhangban a hitelkockázat sztenderd módszerével kezelt pozíciók kockázattal súlyozott partnerkockázati kitettségértéke. </w:t>
            </w:r>
          </w:p>
          <w:p w:rsidR="00595FAD" w:rsidRPr="00661595" w:rsidRDefault="00595FAD" w:rsidP="00FF15C6">
            <w:pPr>
              <w:rPr>
                <w:rFonts w:ascii="Times New Roman" w:hAnsi="Times New Roman"/>
                <w:sz w:val="24"/>
              </w:rPr>
            </w:pPr>
            <w:r>
              <w:rPr>
                <w:rFonts w:ascii="Times New Roman" w:hAnsi="Times New Roman"/>
                <w:sz w:val="24"/>
              </w:rPr>
              <w:t>Az összeg a C 07.00 tábla 0220-as oszlopában a partnerkockázati pozíciókra vonatkozóan feltüntetendő összegnek felel meg.</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 CR IRB módszerrel kezelt pozíciók</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A hitelkockázatra vonatkozó IRB módszerrel kezelt pozíciók kockázattal súlyozott partnerkockázati kitettségértéke a CRR harmadik része II. címének 3. fejezetével összhangban.</w:t>
            </w:r>
          </w:p>
          <w:p w:rsidR="00595FAD" w:rsidRPr="00661595" w:rsidRDefault="00595FAD" w:rsidP="00FF15C6">
            <w:pPr>
              <w:rPr>
                <w:rFonts w:ascii="Times New Roman" w:hAnsi="Times New Roman"/>
                <w:sz w:val="24"/>
              </w:rPr>
            </w:pPr>
            <w:r>
              <w:rPr>
                <w:rFonts w:ascii="Times New Roman" w:hAnsi="Times New Roman"/>
                <w:sz w:val="24"/>
              </w:rPr>
              <w:t>Az összeg a C 08.01 tábla 0260-as oszlopában a partnerkockázati pozíciókra vonatkozóan feltüntetendő összegnek felel meg.</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Sor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EREDETI KITETTSÉG MÓDSZERE (SZÁRMAZTATOTT ÜGYLETEK ESETÉBEN)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Olyan származtatott ügyletek és hosszú kiegyenlítési idejű ügyletek, amelyek kitettségértékét az intézmény a CRR harmadik része II. címe 6. fejezetének 5. szakasza szerint számítja ki. A kitettségérték kiszámításához ezt az egyszerűsített módszert csak a CRR 273a. cikkének (2) bekezdésében vagy 273a. cikkének (4) bekezdésében meghatározott feltételeket teljesítő intézmények alkalmazhatják.</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PARTNERKOCKÁZATRA VONATKOZÓ EGYSZERŰSÍTETT SZTENDERD MÓDSZER (EGYSZERŰSÍTETT SA-CCR SZÁRMAZTATOTT ÜGYLETEK ESETÉBEN)</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Olyan származtatott ügyletek és hosszú kiegyenlítési idejű ügyletek, amelyek kitettségértékét az intézmény a CRR harmadik része II. címe 6. fejezetének 4. szakasza szerint számítja ki. A kitettségérték kiszámításához ezt az egyszerűsített sztenderd módszert csak a CRR 273a. cikkének (1) bekezdésében vagy 273a. cikkének (4) bekezdésében meghatározott feltételeket teljesítő intézmények alkalmazhatják.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PARTNERKOCKÁZATRA VONATKOZÓ SZTENDERD MÓDSZER (SA-CCR SZÁRMAZTATOTT ÜGYLETEK ESETÉBEN)</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Olyan származtatott ügyletek és hosszú kiegyenlítési idejű ügyletek, amelyek kitettségértékét az intézmény a CRR harmadik része II. címe 6. fejezetének 3. szakasza szerint számítja ki.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BELSŐ MODELL MÓDSZER (IMM) (SZÁRMAZTATOTT ÜGYLETEK ÉS ÉRTÉKPAPÍR-FINANSZÍROZÁSI ÜGYLETEK ESETÉBEN)</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Származtatott ügyletek, hosszú kiegyenlítési idejű ügyletek és értékpapír-finanszírozási ügyletek, amelyek esetében az intézmény számára engedélyezték, hogy a kitettségértéket a belső modell módszer (IMM) alkalmazásával számítsa ki a CRR harmadik része II. címe 6. fejezetének 6. szakaszával összhangban.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Értékpapír-finanszírozási ügyletek nettósítási halmazai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Olyan, kizárólag a CRR 4. cikkének 139. pontjában meghatározott értékpapír-finanszírozási ügyleteket tartalmazó nettósítási halmazok, amelyekre vonatkozóan az intézmény számára engedélyezték a kitettségérték belső modell módszer alkalmazásával történő meghatározását.</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Nem tüntethetők fel ebben a sorban azok az értékpapír-finanszírozási ügyletek, amelyek eltérő termékkategóriák közötti nettósításról szóló szerződéses megállapodásból származó nettósítási halmazok részét képezik és ennélfogva a 0070. sorban szerepelnek.</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Származtatott és hosszú kiegyenlítési idejű ügyletek nettósítási halmazai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Nettósítási halmazok, amelyek kizárólag a CRR II. mellékletében felsorolt származtatott ügyleteket és a CRR 272. cikkének 2. pontjában meghatározott hosszú kiegyenlítési idejű ügyleteket tartalmaznak, és amelyekre vonatkozóan az intézmény számára engedélyezték, hogy a belső modell módszer alkalmazásával határozza meg a kitettségértéket.</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Nem tüntethetők fel ebben a sorban azok a származtatott ügyletek és hosszú kiegyenlítési idejű ügyletek, amelyek termékkategóriák közötti nettósításról szóló szerződéses megállapodásból származó nettósítási halmazok részét képezik, és ennélfogva a 0070. sorban szerepelnek.</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Eltérő termékkategóriák közötti nettósításról szóló szerződéses megállapodásból származó nettósítási halmazok</w:t>
            </w:r>
          </w:p>
          <w:p w:rsidR="00595FAD" w:rsidRPr="00661595" w:rsidRDefault="00595FAD" w:rsidP="00FF15C6">
            <w:pPr>
              <w:rPr>
                <w:rFonts w:ascii="Times New Roman" w:hAnsi="Times New Roman"/>
                <w:sz w:val="24"/>
              </w:rPr>
            </w:pPr>
            <w:r>
              <w:rPr>
                <w:rFonts w:ascii="Times New Roman" w:hAnsi="Times New Roman"/>
                <w:sz w:val="24"/>
              </w:rPr>
              <w:t>A CRR 272. cikkének 11. és 25. pontja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Különböző termékkategóriákhoz sorolt ügyleteket, úgy mint származtatott ügyleteket és értékpapír-finanszírozási ügyleteket tartalmazó azon nettósítási halmazok (a CRR 272. cikkének 11. pontja), amelyekre a CRR 272. cikkének 25. pontjában meghatározott eltérő termékkategóriák közötti nettósításról szóló szerződéses megállapodás vonatkozik, és amelyek esetében az intézmény számára engedélyezték a kitettségérték belső modell módszer szerinti meghatározását.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PÉNZÜGYI BIZTOSÍTÉKOK EGYSZERŰ MÓDSZERE (ÉRTÉKPAPÍR-FINANSZÍROZÁSI ÜGYLETEK ESETÉBEN) </w:t>
            </w:r>
          </w:p>
          <w:p w:rsidR="00595FAD" w:rsidRPr="00661595" w:rsidRDefault="00595FAD" w:rsidP="00FF15C6">
            <w:pPr>
              <w:rPr>
                <w:rFonts w:ascii="Times New Roman" w:hAnsi="Times New Roman"/>
                <w:sz w:val="24"/>
              </w:rPr>
            </w:pPr>
            <w:r>
              <w:rPr>
                <w:rFonts w:ascii="Times New Roman" w:hAnsi="Times New Roman"/>
                <w:sz w:val="24"/>
              </w:rPr>
              <w:t>A CRR 222. cikke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lastRenderedPageBreak/>
              <w:t>Repoügyletek, értékpapír- és áru-kölcsönbeadási, illetve kölcsönvételi ügyletek, hosszú kiegyenlítési idejű ügyletek és értékpapírügylethez kapcsolódó hitelek, amelyek esetében az intézmény úgy döntött, hogy a kitettségértéket a CRR 222. cikke szerint határozza meg, szemben a CRR harmadik része II. címének 6. fejezetével, ugyanezen rendelet 271. cikkének (2) bekezdésével összhangban.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PÉNZÜGYI BIZTOSÍTÉKOK ÖSSZETETT MÓDSZERE (ÉRTÉKPAPÍR-FINANSZÍROZÁSI ÜGYLETEK ESETÉBEN)</w:t>
            </w:r>
          </w:p>
          <w:p w:rsidR="00595FAD" w:rsidRPr="00661595" w:rsidRDefault="00595FAD" w:rsidP="00FF15C6">
            <w:pPr>
              <w:rPr>
                <w:rFonts w:ascii="Times New Roman" w:hAnsi="Times New Roman"/>
                <w:sz w:val="24"/>
              </w:rPr>
            </w:pPr>
            <w:r>
              <w:rPr>
                <w:rFonts w:ascii="Times New Roman" w:hAnsi="Times New Roman"/>
                <w:sz w:val="24"/>
              </w:rPr>
              <w:t>A CRR 220. és 223. cikke</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Repoügyletek, értékpapír- és áru-kölcsönbeadási, illetve kölcsönvételi ügyletek, hosszú teljesítési idejű ügyletek és értékpapírügylethez kapcsolódó hitelek, amelyek esetében az intézmény úgy döntött, hogy a kitettségértéket a CRR 223. cikke szerint határozza meg, szemben a CRR harmadik része II. címének 6. fejezetével, ugyanezen rendelet 271. cikkének (2) bekezdésével összhangban.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KOCKÁZTATOTT ÉRTÉK (VaR) AZ ÉRTÉKPAPÍR-FINANSZÍROZÁSI ÜGYLETEK ESETÉBEN</w:t>
            </w:r>
          </w:p>
          <w:p w:rsidR="00595FAD" w:rsidRPr="00661595" w:rsidRDefault="00595FAD" w:rsidP="00FF15C6">
            <w:pPr>
              <w:rPr>
                <w:rFonts w:ascii="Times New Roman" w:hAnsi="Times New Roman"/>
                <w:sz w:val="24"/>
              </w:rPr>
            </w:pPr>
            <w:r>
              <w:rPr>
                <w:rFonts w:ascii="Times New Roman" w:hAnsi="Times New Roman"/>
                <w:sz w:val="24"/>
              </w:rPr>
              <w:t>A CRR 221. cikke</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Repoügyletek, értékpapír- és áru-kölcsönbeadási, illetve kölcsönvételi ügyletek, értékpapírügylethez kapcsolódó hitelek vagy egyéb tőkepiac-vezérelt ügyletek, kivéve a származtatott ügyleteket, amelyek esetében a kitettségértéket a CRR 221. cikkével összhangban és az illetékes hatóság engedélyével olyan belső modellen alapuló módszerrel számítják ki, amely figyelembe veszi a nettósítási keretmegállapodás hatálya alá tartozó értékpapír-pozíciók közötti korrelációs hatásokat, valamint az érintett eszközök likviditását.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ÖSSZESEN</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Ebből: Rossz irányú kockázatú pozíciók</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291. cikke</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Olyan partnerkockázati kitettségek, amelyek esetében a CRR 291. cikkével összhangban egyedi rossz irányú kockázatot (SWWR) azonosítottak.</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Letéttel fedezett ügyletek</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272. cikkének 7. pontja</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Biztosítékkal fedezett partnerkockázati kitettségek, azaz a CRR 272. cikkének (7) bekezdése szerinti letéti megállapodás hatálya alá tartozó nettósítási halmazok.</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Letéttel nem fedezett ügyletek</w:t>
            </w:r>
          </w:p>
          <w:p w:rsidR="00595FAD" w:rsidRPr="00661595" w:rsidDel="003E0C6A" w:rsidRDefault="00595FAD" w:rsidP="00FF15C6">
            <w:pPr>
              <w:rPr>
                <w:rFonts w:ascii="Times New Roman" w:hAnsi="Times New Roman"/>
                <w:sz w:val="24"/>
              </w:rPr>
            </w:pPr>
            <w:r>
              <w:rPr>
                <w:rFonts w:ascii="Times New Roman" w:hAnsi="Times New Roman"/>
                <w:sz w:val="24"/>
              </w:rPr>
              <w:t>A 0130. sorban nem szereplő partnerkockázati kitettségek.</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58858654"/>
      <w:r>
        <w:rPr>
          <w:rFonts w:ascii="Times New Roman" w:hAnsi="Times New Roman"/>
          <w:sz w:val="24"/>
        </w:rPr>
        <w:lastRenderedPageBreak/>
        <w:t>C 34.03 – Sztenderd módszerekkel kezelt partnerkockázati kitettségek: SA-CCR vagy egyszerűsített SA-CCR</w:t>
      </w:r>
      <w:bookmarkEnd w:id="462"/>
      <w:bookmarkEnd w:id="463"/>
    </w:p>
    <w:p w:rsidR="00595FAD" w:rsidRPr="00661595"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58858655"/>
      <w:r>
        <w:rPr>
          <w:rFonts w:ascii="Times New Roman" w:hAnsi="Times New Roman"/>
          <w:sz w:val="24"/>
        </w:rPr>
        <w:t>Általános megjegyzések</w:t>
      </w:r>
      <w:bookmarkEnd w:id="464"/>
      <w:bookmarkEnd w:id="465"/>
    </w:p>
    <w:p w:rsidR="00595FAD" w:rsidRPr="00661595" w:rsidRDefault="0055388B" w:rsidP="00487A02">
      <w:pPr>
        <w:pStyle w:val="InstructionsText2"/>
        <w:numPr>
          <w:ilvl w:val="0"/>
          <w:numId w:val="0"/>
        </w:numPr>
        <w:ind w:left="1353" w:hanging="360"/>
      </w:pPr>
      <w:fldSimple w:instr=" seq paragraphs ">
        <w:r w:rsidR="00D11E4C">
          <w:rPr>
            <w:noProof/>
          </w:rPr>
          <w:t>125</w:t>
        </w:r>
      </w:fldSimple>
      <w:r w:rsidR="00D11E4C">
        <w:t>. Ebben a táblában külön kell adatot szolgáltatni az SA-CCR-rel vagy adott esetben az egyszerűsített SA-CCR-rel kiszámított partnerkockázati kitettségekről.</w:t>
      </w:r>
    </w:p>
    <w:p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58858656"/>
      <w:r>
        <w:rPr>
          <w:rFonts w:ascii="Times New Roman" w:hAnsi="Times New Roman"/>
          <w:sz w:val="24"/>
        </w:rPr>
        <w:t>A tábla egyes részeire vonatkozó útmutató</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PÉNZNEM</w:t>
            </w:r>
          </w:p>
          <w:p w:rsidR="00595FAD" w:rsidRPr="00661595" w:rsidRDefault="00595FAD" w:rsidP="00FF15C6">
            <w:pPr>
              <w:keepNext/>
              <w:spacing w:before="60"/>
              <w:rPr>
                <w:rFonts w:ascii="Times New Roman" w:hAnsi="Times New Roman"/>
                <w:sz w:val="24"/>
              </w:rPr>
            </w:pPr>
            <w:r>
              <w:rPr>
                <w:rFonts w:ascii="Times New Roman" w:hAnsi="Times New Roman"/>
                <w:sz w:val="24"/>
              </w:rPr>
              <w:t>A kamatlábkockázati kategóriába sorolt ügyletek esetében az ügylet devizanemét kell feltüntetni.</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 devizaárfolyam-kockázati kategóriába sorolt ügyletek esetében az ügylet két ága egyikének devizanemét kell feltüntetni. Az intézményeknek a pénznempárban a pénznemeket ábécésorrendben kell megadniuk, pl. USA-dollár/euró esetében ebben az oszlopban az EUR-t, a 0020. oszlopban pedig az USD-t kell feltüntetni. </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A pénznemeket az </w:t>
            </w:r>
            <w:hyperlink r:id="rId16" w:history="1">
              <w:r>
                <w:rPr>
                  <w:rFonts w:ascii="Times New Roman" w:hAnsi="Times New Roman"/>
                  <w:sz w:val="24"/>
                </w:rPr>
                <w:t>ISO-kódok</w:t>
              </w:r>
            </w:hyperlink>
            <w:r>
              <w:rPr>
                <w:rFonts w:ascii="Times New Roman" w:hAnsi="Times New Roman"/>
                <w:sz w:val="24"/>
              </w:rPr>
              <w:t xml:space="preserve"> szerint kell feltüntetni.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ELLENOLDALI PÉNZNEM</w:t>
            </w:r>
          </w:p>
          <w:p w:rsidR="00595FAD" w:rsidRPr="00661595" w:rsidRDefault="00595FAD" w:rsidP="00FF15C6">
            <w:pPr>
              <w:keepNext/>
              <w:spacing w:before="60"/>
              <w:rPr>
                <w:rFonts w:ascii="Times New Roman" w:hAnsi="Times New Roman"/>
                <w:sz w:val="24"/>
              </w:rPr>
            </w:pPr>
            <w:r>
              <w:rPr>
                <w:rFonts w:ascii="Times New Roman" w:hAnsi="Times New Roman"/>
                <w:sz w:val="24"/>
              </w:rPr>
              <w:t>A devizaárfolyam-kockázati kategóriába sorolt ügyletek esetében az ügylet másik ágának devizanemét kell feltüntetni (a 0010. oszlopban szereplőhöz képest). Az intézményeknek a pénznempárban a pénznemeket ábécésorrendben kell megadniuk, pl. USA-dollár/euró esetében ebben az oszlopban az USD-t, a 0010. oszlopban pedig az EUR-t kell feltüntetni.</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A pénznemeket az </w:t>
            </w:r>
            <w:hyperlink r:id="rId17" w:history="1">
              <w:r>
                <w:rPr>
                  <w:rFonts w:ascii="Times New Roman" w:hAnsi="Times New Roman"/>
                  <w:sz w:val="24"/>
                </w:rPr>
                <w:t>ISO-kódok</w:t>
              </w:r>
            </w:hyperlink>
            <w:r>
              <w:rPr>
                <w:rFonts w:ascii="Times New Roman" w:hAnsi="Times New Roman"/>
                <w:sz w:val="24"/>
              </w:rPr>
              <w:t xml:space="preserve"> szerint kell feltüntetni.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ÜGYLETEK SZÁMA</w:t>
            </w:r>
          </w:p>
          <w:p w:rsidR="00595FAD" w:rsidRPr="00661595" w:rsidRDefault="00595FAD" w:rsidP="00FF15C6">
            <w:pPr>
              <w:keepNext/>
              <w:spacing w:before="60"/>
              <w:rPr>
                <w:rFonts w:ascii="Times New Roman" w:hAnsi="Times New Roman"/>
                <w:i/>
                <w:sz w:val="24"/>
              </w:rPr>
            </w:pPr>
            <w:r>
              <w:rPr>
                <w:rFonts w:ascii="Times New Roman" w:hAnsi="Times New Roman"/>
                <w:sz w:val="24"/>
              </w:rPr>
              <w:t>Lásd a C 34.02. tábla 0020. oszlopához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NÉVLEGES ÖSSZEG</w:t>
            </w:r>
          </w:p>
          <w:p w:rsidR="00595FAD" w:rsidRPr="00661595" w:rsidRDefault="00595FAD" w:rsidP="00FF15C6">
            <w:pPr>
              <w:keepNext/>
              <w:spacing w:before="60"/>
              <w:rPr>
                <w:rFonts w:ascii="Times New Roman" w:hAnsi="Times New Roman"/>
                <w:sz w:val="24"/>
              </w:rPr>
            </w:pPr>
            <w:r>
              <w:rPr>
                <w:rFonts w:ascii="Times New Roman" w:hAnsi="Times New Roman"/>
                <w:sz w:val="24"/>
              </w:rPr>
              <w:t>Lásd a C 34.02. tábla 0030. oszlopához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rsidR="00595FAD" w:rsidRPr="00661595" w:rsidRDefault="00595FAD" w:rsidP="00FF15C6">
            <w:pPr>
              <w:keepNext/>
              <w:spacing w:before="60"/>
              <w:rPr>
                <w:rFonts w:ascii="Times New Roman" w:hAnsi="Times New Roman"/>
                <w:sz w:val="24"/>
              </w:rPr>
            </w:pPr>
            <w:r>
              <w:rPr>
                <w:rFonts w:ascii="Times New Roman" w:hAnsi="Times New Roman"/>
                <w:sz w:val="24"/>
              </w:rPr>
              <w:t>Az adott kockázati kategóriában a pozitív aktuális piaci értékkel (CMV) rendelkező összes fedezeti halmaz aktuális piaci értékének összege.</w:t>
            </w:r>
          </w:p>
          <w:p w:rsidR="00595FAD" w:rsidRPr="00661595" w:rsidRDefault="00595FAD" w:rsidP="00FF15C6">
            <w:pPr>
              <w:keepNext/>
              <w:spacing w:before="60"/>
              <w:rPr>
                <w:rFonts w:ascii="Times New Roman" w:hAnsi="Times New Roman"/>
                <w:sz w:val="24"/>
              </w:rPr>
            </w:pPr>
            <w:r>
              <w:rPr>
                <w:rFonts w:ascii="Times New Roman" w:hAnsi="Times New Roman"/>
                <w:sz w:val="24"/>
              </w:rPr>
              <w:t>A fedezeti halmaz szintjén a CMV-t az egy fedezeti halmazon belüli ügyletek pozitív és negatív piaci értékének nettósításával kell meghatározni, a tartott vagy nyújtott biztosítékokkal együtt.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rsidR="00595FAD" w:rsidRPr="00661595" w:rsidRDefault="00595FAD" w:rsidP="00FF15C6">
            <w:pPr>
              <w:keepNext/>
              <w:spacing w:before="60"/>
              <w:rPr>
                <w:rFonts w:ascii="Times New Roman" w:hAnsi="Times New Roman"/>
                <w:sz w:val="24"/>
              </w:rPr>
            </w:pPr>
            <w:r>
              <w:rPr>
                <w:rFonts w:ascii="Times New Roman" w:hAnsi="Times New Roman"/>
                <w:sz w:val="24"/>
              </w:rPr>
              <w:t>Az adott kockázati kategóriában a negatív aktuális piaci értékkel (CMV) rendelkező összes fedezeti halmaz aktuális piaci értékének összege.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A fedezeti halmaz szintjén a CMV-t az egy fedezeti halmazon belüli ügyletek pozitív és negatív piaci értékének nettósításával kell meghatározni, a tartott vagy nyújtott biztosítékokkal együtt.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TÖBBLET</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A CRR 280a–280f. cikke, valamint 281. cikkének (2) bekezdése</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Az intézménynek az adott fedezeti halmaz/kockázati kategória többleteinek együttes összegét kell megadnia. </w:t>
            </w:r>
          </w:p>
          <w:p w:rsidR="00595FAD" w:rsidRPr="00661595" w:rsidRDefault="00595FAD" w:rsidP="00FF15C6">
            <w:pPr>
              <w:keepNext/>
              <w:spacing w:before="60"/>
              <w:rPr>
                <w:rFonts w:ascii="Times New Roman" w:hAnsi="Times New Roman"/>
                <w:sz w:val="24"/>
              </w:rPr>
            </w:pPr>
            <w:r>
              <w:rPr>
                <w:rFonts w:ascii="Times New Roman" w:hAnsi="Times New Roman"/>
                <w:sz w:val="24"/>
              </w:rPr>
              <w:t>A nettósítási halmaz potenciális jövőbeli kitettségének a CRR 278. cikke (1) bekezdésének vagy 281. cikke (2) bekezdése f) pontjának megfelelően történő meghatározásához használt kockázati kategóriánkénti többletet a CRR 280a–280f. cikkének megfelelően kell kiszámítani. Az egyszerűsített SA-CCR-re a CRR 281. cikkének (2) bekezdésében meghatározott rendelkezések alkalmazandók.</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Sorok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0050, 0120, 0190, 0230, 0270, 0340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KOCKÁZATI KATEGÓRIA</w:t>
            </w:r>
          </w:p>
          <w:p w:rsidR="00595FAD" w:rsidRPr="00661595" w:rsidRDefault="00595FAD" w:rsidP="00FF15C6">
            <w:pPr>
              <w:keepNext/>
              <w:spacing w:before="60"/>
              <w:rPr>
                <w:rFonts w:ascii="Times New Roman" w:hAnsi="Times New Roman"/>
                <w:sz w:val="24"/>
              </w:rPr>
            </w:pPr>
            <w:r>
              <w:rPr>
                <w:rFonts w:ascii="Times New Roman" w:hAnsi="Times New Roman"/>
                <w:sz w:val="24"/>
              </w:rPr>
              <w:t>A CRR 277. és 277a. cikke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Az ügyleteket azon kockázati kategóriába kell besorolni, amelyhez a CRR 277. cikkének (1)–(4) bekezdésével összhangban tartoznak.</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A fedezeti halmazokhoz a kockázati kategória szerint történő hozzárendelést a CRR 277a. cikkével összhangban kell végrehajtani.</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Az egyszerűsített SA-CCR-re a CRR 281. cikkének (2) bekezdésében meghatározott rendelkezések alkalmazandók.</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Több mint 3 kockázati kategóriához hozzárendelt</w:t>
            </w:r>
          </w:p>
          <w:p w:rsidR="00595FAD" w:rsidRPr="00661595" w:rsidRDefault="00595FAD" w:rsidP="00FF15C6">
            <w:pPr>
              <w:keepNext/>
              <w:spacing w:before="60"/>
              <w:rPr>
                <w:rFonts w:ascii="Times New Roman" w:hAnsi="Times New Roman"/>
                <w:sz w:val="24"/>
              </w:rPr>
            </w:pPr>
            <w:r>
              <w:rPr>
                <w:rFonts w:ascii="Times New Roman" w:hAnsi="Times New Roman"/>
                <w:sz w:val="24"/>
              </w:rPr>
              <w:t>A CRR 277. cikkének (3) bekezdése</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Több lényeges kockázati tényezővel rendelkező származtatott ügyletek, amelyeket a CRR 277. cikkének (3) bekezdésével és a CRR 277. cikkének (5) bekezdésében említett EBH szabályozástechnikai standardtervezetekkel összhangban az egyes kockázati kategóriákban a kockázati tényezők közül a leglényegesebb alapján kettő (0020), három (0030) vagy több mint három (0040) kockázati kategóriához kell hozzárendelni.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és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Legnagyobb pénznem és devizapár</w:t>
            </w:r>
          </w:p>
          <w:p w:rsidR="00595FAD" w:rsidRPr="00661595" w:rsidRDefault="00595FAD" w:rsidP="00FF15C6">
            <w:pPr>
              <w:rPr>
                <w:rFonts w:ascii="Times New Roman" w:hAnsi="Times New Roman"/>
                <w:sz w:val="24"/>
              </w:rPr>
            </w:pPr>
            <w:r>
              <w:rPr>
                <w:rFonts w:ascii="Times New Roman" w:hAnsi="Times New Roman"/>
                <w:sz w:val="24"/>
              </w:rPr>
              <w:lastRenderedPageBreak/>
              <w:t xml:space="preserve">Ezt a besorolást az intézmény SA-CCR, illetve adott esetben az egyszerűsített SA-CCR hatálya alá tartozó portfóliójának aktuális piaci értéke (CMV) alapján kell elvégezni a kamatlábkockázati, illetve a devizaárfolyam-kockázati kategóriába sorolt ügyletek esetében. </w:t>
            </w:r>
          </w:p>
          <w:p w:rsidR="00595FAD" w:rsidRPr="00661595" w:rsidRDefault="00595FAD" w:rsidP="00FF15C6">
            <w:pPr>
              <w:rPr>
                <w:rFonts w:ascii="Times New Roman" w:hAnsi="Times New Roman"/>
                <w:i/>
                <w:sz w:val="24"/>
              </w:rPr>
            </w:pPr>
            <w:r>
              <w:rPr>
                <w:rFonts w:ascii="Times New Roman" w:hAnsi="Times New Roman"/>
                <w:sz w:val="24"/>
              </w:rPr>
              <w:t>A besorolás céljából össze kell adni a pozíciók abszolút CMV értékét.</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lastRenderedPageBreak/>
              <w:t>0060, 0130, 0200, 0240, 0280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Kizárólagos hozzárendelés</w:t>
            </w:r>
          </w:p>
          <w:p w:rsidR="00595FAD" w:rsidRPr="00661595" w:rsidRDefault="00595FAD" w:rsidP="00FF15C6">
            <w:pPr>
              <w:keepNext/>
              <w:spacing w:before="60"/>
              <w:rPr>
                <w:rFonts w:ascii="Times New Roman" w:hAnsi="Times New Roman"/>
                <w:sz w:val="24"/>
              </w:rPr>
            </w:pPr>
            <w:r>
              <w:rPr>
                <w:rFonts w:ascii="Times New Roman" w:hAnsi="Times New Roman"/>
                <w:sz w:val="24"/>
              </w:rPr>
              <w:t>A CRR 277. cikkének (1) és (2) bekezdése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A CRR 277. cikkének (1) és (2) bekezdésével összhangban kizárólag egy kockázati kategóriába sorolt származtatott ügyletek.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Nem tüntethetők fel itt a CRR 277. cikkének (3) bekezdésével összhangban különböző kockázati kategóriákba sorolt ügyletek.</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Egy alaptermékes ügyletek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A hitelkockázati és részvénypiaci kockázati kategóriához rendelt egy alaptermékes ügyletek.</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Több alaptermékes ügyletek</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A hitelkockázati és részvénypiaci kockázati kategóriához rendelt több alaptermékes ügyletek.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Árukockázati fedezeti halmazok</w:t>
            </w:r>
          </w:p>
          <w:p w:rsidR="00595FAD" w:rsidRPr="00661595" w:rsidRDefault="00595FAD" w:rsidP="00FF15C6">
            <w:pPr>
              <w:keepNext/>
              <w:spacing w:before="60"/>
              <w:rPr>
                <w:rFonts w:ascii="Times New Roman" w:hAnsi="Times New Roman"/>
                <w:sz w:val="24"/>
              </w:rPr>
            </w:pPr>
            <w:r>
              <w:rPr>
                <w:rFonts w:ascii="Times New Roman" w:hAnsi="Times New Roman"/>
                <w:sz w:val="24"/>
              </w:rPr>
              <w:t>A CRR 277a. cikke (1) bekezdésének e) pontjában felsorolt árukockázati fedezeti halmazokba sorolt származtatott ügyletek.</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58858657"/>
      <w:r>
        <w:rPr>
          <w:rFonts w:ascii="Times New Roman" w:hAnsi="Times New Roman"/>
          <w:sz w:val="24"/>
        </w:rPr>
        <w:t>C 34.04 – Az eredeti kitettség szerinti módszerrel (OEM) kezelt partnerkockázati kitettségek</w:t>
      </w:r>
      <w:bookmarkEnd w:id="468"/>
      <w:bookmarkEnd w:id="469"/>
    </w:p>
    <w:p w:rsidR="00595FAD" w:rsidRPr="00661595"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58858658"/>
      <w:r>
        <w:rPr>
          <w:rFonts w:ascii="Times New Roman" w:hAnsi="Times New Roman"/>
          <w:sz w:val="24"/>
        </w:rPr>
        <w:t>A tábla egyes részeire vonatkozó útmutató</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A 0010. és 0020. oszlophoz tartozó kitöltési útmutató megegyezik a C 34.02. tábla megfelelő oszlopaihoz tartozó kitöltési útmutatóval.</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rsidR="00595FAD" w:rsidRPr="00661595" w:rsidRDefault="00595FAD" w:rsidP="00FF15C6">
            <w:pPr>
              <w:keepNext/>
              <w:spacing w:before="60"/>
              <w:rPr>
                <w:rFonts w:ascii="Times New Roman" w:hAnsi="Times New Roman"/>
                <w:sz w:val="24"/>
              </w:rPr>
            </w:pPr>
            <w:r>
              <w:rPr>
                <w:rFonts w:ascii="Times New Roman" w:hAnsi="Times New Roman"/>
                <w:sz w:val="24"/>
              </w:rPr>
              <w:t>Az adott kockázati kategóriában a pozitív aktuális piaci értékkel (CMV) rendelkező összes ügylet aktuális piaci értékének összege.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Az adott kockázati kategóriában a negatív aktuális piaci értékkel (CMV) rendelkező összes ügylet aktuális piaci értékének összege.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lastRenderedPageBreak/>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POTENCIÁLIS JÖVŐBELI KITETTSÉG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Az intézménynek az azonos kockázati kategóriába tartozó valamennyi ügyletre vonatkozóan meg kell adnia a potenciális jövőbeli kitettség együttes összegét.</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Sorok</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KOCKÁZATI KATEGÓRIA</w:t>
            </w:r>
          </w:p>
          <w:p w:rsidR="00595FAD" w:rsidRPr="00661595" w:rsidRDefault="00595FAD" w:rsidP="00FF15C6">
            <w:pPr>
              <w:keepNext/>
              <w:spacing w:before="60"/>
              <w:rPr>
                <w:rFonts w:ascii="Times New Roman" w:hAnsi="Times New Roman"/>
                <w:sz w:val="24"/>
              </w:rPr>
            </w:pPr>
            <w:r>
              <w:rPr>
                <w:rFonts w:ascii="Times New Roman" w:hAnsi="Times New Roman"/>
                <w:sz w:val="24"/>
              </w:rPr>
              <w:t>A CRR 282. cikke (4) bekezdésének b) pontjában felsorolt kockázati kategóriákba sorolt származtatott ügyletek.</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58858659"/>
      <w:r>
        <w:rPr>
          <w:rFonts w:ascii="Times New Roman" w:hAnsi="Times New Roman"/>
          <w:sz w:val="24"/>
        </w:rPr>
        <w:t>C 34.05 – A belső modell módszerrel (IMM) kezelt partnerkockázati kitettségek</w:t>
      </w:r>
      <w:bookmarkEnd w:id="472"/>
      <w:bookmarkEnd w:id="473"/>
    </w:p>
    <w:p w:rsidR="00595FAD" w:rsidRPr="00661595"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58858660"/>
      <w:r>
        <w:rPr>
          <w:rFonts w:ascii="Times New Roman" w:hAnsi="Times New Roman"/>
          <w:sz w:val="24"/>
        </w:rPr>
        <w:t>A tábla egyes részeire vonatkozó útmutató</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LETÉTTEL FEDEZETT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Lásd a C 34.02. tábla 0130. sorához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LETÉTTEL NEM FEDEZETT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Lásd a C 34.02. tábla 0140. sorához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0010, 0090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ÜGYLETEK SZÁMA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Lásd a C 34.02. tábla 0020. oszlopához tartozó útmutatót.</w:t>
            </w:r>
          </w:p>
        </w:tc>
      </w:tr>
      <w:tr w:rsidR="00595FAD" w:rsidRPr="00661595" w:rsidTr="00FF15C6">
        <w:trPr>
          <w:trHeight w:val="680"/>
        </w:trPr>
        <w:tc>
          <w:tcPr>
            <w:tcW w:w="1384" w:type="dxa"/>
          </w:tcPr>
          <w:p w:rsidR="00595FAD" w:rsidRPr="00661595" w:rsidRDefault="00595FAD" w:rsidP="00FF15C6">
            <w:pPr>
              <w:pStyle w:val="Fait"/>
              <w:jc w:val="left"/>
            </w:pPr>
            <w:r>
              <w:t>0020, 0100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NÉVLEGES ÖSSZEG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Lásd a C 34.02. tábla 0030. oszlopához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0030, 0110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POZITÍV</w:t>
            </w:r>
          </w:p>
          <w:p w:rsidR="00595FAD" w:rsidRPr="00661595" w:rsidRDefault="00595FAD" w:rsidP="00FF15C6">
            <w:pPr>
              <w:keepNext/>
              <w:spacing w:before="60"/>
              <w:rPr>
                <w:rFonts w:ascii="Times New Roman" w:hAnsi="Times New Roman"/>
                <w:sz w:val="24"/>
              </w:rPr>
            </w:pPr>
            <w:r>
              <w:rPr>
                <w:rFonts w:ascii="Times New Roman" w:hAnsi="Times New Roman"/>
                <w:sz w:val="24"/>
              </w:rPr>
              <w:t>Az adott eszközosztályhoz tartozó, pozitív aktuális piaci értékkel (CMV) rendelkező összes ügylet aktuális piaci értékének összege.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0040, 0120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PIACI ÉRTÉK (CMV), NEGATÍV</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Az adott eszközosztályhoz tartozó, negatív aktuális piaci értékkel (CMV) rendelkező összes ügylet aktuális piaci értékének összege.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0050, 0130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AKTUÁLIS KITETTSÉG</w:t>
            </w:r>
          </w:p>
          <w:p w:rsidR="00595FAD" w:rsidRPr="00661595" w:rsidRDefault="00595FAD" w:rsidP="00FF15C6">
            <w:pPr>
              <w:keepNext/>
              <w:spacing w:before="60"/>
              <w:rPr>
                <w:rFonts w:ascii="Times New Roman" w:hAnsi="Times New Roman"/>
                <w:strike/>
                <w:sz w:val="24"/>
              </w:rPr>
            </w:pPr>
            <w:r>
              <w:rPr>
                <w:rFonts w:ascii="Times New Roman" w:hAnsi="Times New Roman"/>
                <w:sz w:val="24"/>
              </w:rPr>
              <w:t>Lásd a C 34.02. tábla 0120. oszlopához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0060, 0140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TÉNYLEGES VÁRHATÓ POZITÍV KITETTSÉG (EEPE)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Lásd a C 34.02. tábla 0130. oszlopához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lastRenderedPageBreak/>
              <w:t>0070, 0150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STRESSZHELYZETI EEPE</w:t>
            </w:r>
          </w:p>
          <w:p w:rsidR="00595FAD" w:rsidRPr="00661595" w:rsidRDefault="00595FAD" w:rsidP="00FF15C6">
            <w:pPr>
              <w:keepNext/>
              <w:spacing w:before="60"/>
              <w:rPr>
                <w:rFonts w:ascii="Times New Roman" w:hAnsi="Times New Roman"/>
                <w:sz w:val="24"/>
              </w:rPr>
            </w:pPr>
            <w:r>
              <w:rPr>
                <w:rFonts w:ascii="Times New Roman" w:hAnsi="Times New Roman"/>
                <w:sz w:val="24"/>
              </w:rPr>
              <w:t>A CRR 284. cikkének (6) bekezdése és 292. cikkének (2) bekezdése</w:t>
            </w:r>
          </w:p>
          <w:p w:rsidR="00595FAD" w:rsidRPr="00661595" w:rsidRDefault="00595FAD" w:rsidP="00FF15C6">
            <w:pPr>
              <w:keepNext/>
              <w:spacing w:before="60"/>
              <w:rPr>
                <w:rFonts w:ascii="Times New Roman" w:hAnsi="Times New Roman"/>
                <w:sz w:val="24"/>
              </w:rPr>
            </w:pPr>
            <w:r>
              <w:rPr>
                <w:rFonts w:ascii="Times New Roman" w:hAnsi="Times New Roman"/>
                <w:sz w:val="24"/>
              </w:rPr>
              <w:t>A stresszhelyzeti tényleges várható pozitív kitettség kiszámítása a tényleges várható pozitív kitettség kiszámításának analógiájára történik (a CRR 284. cikkének (6) bekezdése), de a CRR 292. cikkének (2) bekezdése szerinti stresszkalibráció alkalmazásával.</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0080, 0160, 0170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KITETTSÉGÉRTÉK</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Lásd a C 34.02. tábla 0170. oszlopához tartozó útmutatót.</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Sor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Magyarázat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ÖSSZESEN </w:t>
            </w:r>
          </w:p>
          <w:p w:rsidR="00595FAD" w:rsidRPr="00661595" w:rsidRDefault="00595FAD" w:rsidP="00FF15C6">
            <w:pPr>
              <w:keepNext/>
              <w:spacing w:before="60"/>
              <w:rPr>
                <w:sz w:val="24"/>
              </w:rPr>
            </w:pPr>
            <w:r>
              <w:rPr>
                <w:rFonts w:ascii="Times New Roman" w:hAnsi="Times New Roman"/>
                <w:sz w:val="24"/>
              </w:rPr>
              <w:t>A CRR 283. cikke</w:t>
            </w:r>
          </w:p>
          <w:p w:rsidR="00595FAD" w:rsidRPr="00661595" w:rsidRDefault="00595FAD" w:rsidP="00FF15C6">
            <w:pPr>
              <w:rPr>
                <w:sz w:val="24"/>
              </w:rPr>
            </w:pPr>
            <w:r>
              <w:rPr>
                <w:rFonts w:ascii="Times New Roman" w:hAnsi="Times New Roman"/>
                <w:sz w:val="24"/>
              </w:rPr>
              <w:t>Az intézménynek meg kell adnia az azon származtatott ügyletekkel, hosszú kiegyenlítési idejű ügyletekkel és értékpapír-finanszírozási ügyletekkel kapcsolatos releváns információkat, amelyek esetében a CRR 283. cikkével összhangban engedélyezték számára a belső modell módszerével kiszámított kitettségérték meghatározását.</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Ebből: Rossz irányú kockázatú pozíciók</w:t>
            </w:r>
          </w:p>
          <w:p w:rsidR="00595FAD" w:rsidRPr="00661595" w:rsidRDefault="00595FAD" w:rsidP="00FF15C6">
            <w:pPr>
              <w:rPr>
                <w:rFonts w:ascii="Times New Roman" w:hAnsi="Times New Roman"/>
                <w:sz w:val="24"/>
              </w:rPr>
            </w:pPr>
            <w:r>
              <w:rPr>
                <w:rFonts w:ascii="Times New Roman" w:hAnsi="Times New Roman"/>
                <w:sz w:val="24"/>
              </w:rPr>
              <w:t>Lásd a C 34.02. 0120. sorához tartozó útmutatót.</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 CR sztenderd módszerrel kezelt nettósítási halmazok</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Lásd a C 34.02. 0180. oszlopához tartozó útmutatót.</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 CR IRB módszerrel kezelt nettósítási halmazok</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Lásd a C 34.02. 0190. oszlopához tartozó útmutatót.</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TŐZSDÉN KÍVÜLI SZÁRMAZTATOTT ÜGYLETEK</w:t>
            </w:r>
          </w:p>
          <w:p w:rsidR="00595FAD" w:rsidRPr="00661595" w:rsidRDefault="00595FAD" w:rsidP="00FF15C6">
            <w:pPr>
              <w:rPr>
                <w:rFonts w:ascii="Times New Roman" w:hAnsi="Times New Roman"/>
                <w:sz w:val="24"/>
              </w:rPr>
            </w:pPr>
            <w:r>
              <w:rPr>
                <w:rFonts w:ascii="Times New Roman" w:hAnsi="Times New Roman"/>
                <w:sz w:val="24"/>
              </w:rPr>
              <w:t>Az intézmény kizárólag azon tőzsdén kívüli származtatott ügyleteket vagy hosszú teljesítési idejű ügyleteket tartalmazó nettósítási halmazokra vonatkozó releváns információkat tüntetheti itt fel az alapul szolgáló eszköz tekintetében a különböző eszközosztályok (kamatláb, deviza, hitel, részvény, áru vagy egyéb) szerinti bontásban, amelyek esetében engedélyezték számára a kitettségérték belső modell módszer alkalmazásával történő meghatározását.</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TŐZSDÉN FORGALMAZOTT DERIVATÍVÁK</w:t>
            </w:r>
          </w:p>
          <w:p w:rsidR="00595FAD" w:rsidRPr="00661595" w:rsidRDefault="00595FAD" w:rsidP="00FF15C6">
            <w:pPr>
              <w:rPr>
                <w:rFonts w:ascii="Times New Roman" w:hAnsi="Times New Roman"/>
                <w:sz w:val="24"/>
              </w:rPr>
            </w:pPr>
            <w:r>
              <w:rPr>
                <w:rFonts w:ascii="Times New Roman" w:hAnsi="Times New Roman"/>
                <w:sz w:val="24"/>
              </w:rPr>
              <w:t>Az intézmény kizárólag azon tőzsdén forgalmazott derivatívákat vagy hosszú teljesítési idejű ügyleteket tartalmazó nettósítási halmazokra vonatkozó releváns információkat tüntetheti itt fel az alapul szolgáló eszköz tekintetében a különböző eszközosztályok (kamatláb, deviza, hitel, részvény, áru vagy egyéb) szerinti bontásban, amelyek esetében engedélyezték számára a kitettségérték belső modell módszer alkalmazásával történő meghatározását.</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lastRenderedPageBreak/>
              <w:t>0190–0220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ÉRTÉKPAPÍR-FINANSZÍROZÁSI ÜGYLETEK</w:t>
            </w:r>
          </w:p>
          <w:p w:rsidR="00595FAD" w:rsidRPr="00661595" w:rsidRDefault="00595FAD" w:rsidP="00FF15C6">
            <w:pPr>
              <w:rPr>
                <w:rFonts w:ascii="Times New Roman" w:hAnsi="Times New Roman"/>
                <w:sz w:val="24"/>
              </w:rPr>
            </w:pPr>
            <w:r>
              <w:rPr>
                <w:rFonts w:ascii="Times New Roman" w:hAnsi="Times New Roman"/>
                <w:sz w:val="24"/>
              </w:rPr>
              <w:t>Az intézmény kizárólag azon értékpapír-finanszírozási ügyleteket tartalmazó nettósítási halmazokra vonatkozó releváns információkat tüntetheti itt fel az alaptermék típusa szerinti bontásban, amelyek esetében engedélyezték számára a kitettségérték belső modell módszer alkalmazásával történő meghatározását.</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ELTÉRŐ TERMÉKKATEGÓRIÁK KÖZÖTTI NETTÓSÍTÁSRÓL SZÓLÓ SZERZŐDÉSES MEGÁLLAPODÁSON ALAPULÓ NETTÓSÍTÁSI HALMAZOK</w:t>
            </w:r>
          </w:p>
          <w:p w:rsidR="00595FAD" w:rsidRPr="00661595" w:rsidRDefault="00595FAD" w:rsidP="00FF15C6">
            <w:pPr>
              <w:rPr>
                <w:rFonts w:ascii="Times New Roman" w:hAnsi="Times New Roman"/>
                <w:sz w:val="24"/>
              </w:rPr>
            </w:pPr>
            <w:r>
              <w:rPr>
                <w:rFonts w:ascii="Times New Roman" w:hAnsi="Times New Roman"/>
                <w:sz w:val="24"/>
              </w:rPr>
              <w:t>Lásd a C 34.02. 0070. sorához tartozó útmutatót.</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858661"/>
      <w:r>
        <w:rPr>
          <w:rFonts w:ascii="Times New Roman" w:hAnsi="Times New Roman"/>
          <w:sz w:val="24"/>
        </w:rPr>
        <w:t>C 34.06 – A húsz legnagyobb partner</w:t>
      </w:r>
      <w:bookmarkEnd w:id="476"/>
      <w:bookmarkEnd w:id="477"/>
    </w:p>
    <w:p w:rsidR="00595FAD" w:rsidRPr="00661595"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58858662"/>
      <w:r>
        <w:rPr>
          <w:rFonts w:ascii="Times New Roman" w:hAnsi="Times New Roman"/>
          <w:sz w:val="24"/>
        </w:rPr>
        <w:t>Általános megjegyzések</w:t>
      </w:r>
      <w:bookmarkEnd w:id="478"/>
      <w:bookmarkEnd w:id="479"/>
    </w:p>
    <w:p w:rsidR="00595FAD" w:rsidRPr="00661595" w:rsidRDefault="0055388B" w:rsidP="00487A02">
      <w:pPr>
        <w:pStyle w:val="InstructionsText2"/>
        <w:numPr>
          <w:ilvl w:val="0"/>
          <w:numId w:val="0"/>
        </w:numPr>
        <w:ind w:left="1353" w:hanging="360"/>
      </w:pPr>
      <w:fldSimple w:instr=" seq paragraphs ">
        <w:r w:rsidR="00D11E4C">
          <w:rPr>
            <w:noProof/>
          </w:rPr>
          <w:t>126</w:t>
        </w:r>
      </w:fldSimple>
      <w:r w:rsidR="00D11E4C">
        <w:t>. Az intézményeknek azon 20 legfontosabb partnerről kell adatot szolgáltatniuk, amelyek tekintetében a legmagasabb partnerkockázati kitettséggel rendelkeznek. A rangsorolást az érintett partnerek összes nettósítási halmazára vonatkozó, e tábla 0120. oszlopában megadott partnerkockázati kitettségértékek alkalmazásával kell elvégezni. A 20 legnagyobb partner listájának meghatározásakor figyelembe kell venni a csoporton belüli kitettségeket és más olyan kitettségeket is, amelyek partnerkockázatot idéznek elő, de amelyekre az intézmény a tőkekövetelmény-számításhoz a CRR 113. cikkének (6) és (7) bekezdésével összhangban nulla kockázati súlyt rendel.</w:t>
      </w:r>
    </w:p>
    <w:p w:rsidR="00595FAD" w:rsidRPr="00661595" w:rsidRDefault="0055388B" w:rsidP="00487A02">
      <w:pPr>
        <w:pStyle w:val="InstructionsText2"/>
        <w:numPr>
          <w:ilvl w:val="0"/>
          <w:numId w:val="0"/>
        </w:numPr>
        <w:ind w:left="1353" w:hanging="360"/>
      </w:pPr>
      <w:fldSimple w:instr=" seq paragraphs ">
        <w:r w:rsidR="00D11E4C">
          <w:rPr>
            <w:noProof/>
          </w:rPr>
          <w:t>127</w:t>
        </w:r>
      </w:fldSimple>
      <w:r w:rsidR="00D11E4C">
        <w:t xml:space="preserve">. A partnerkockázati kitettségek kiszámításához a CRR harmadik része II. címe 6. fejezetének 3. és 6. szakasza alapján a sztenderd módszert (SA-CCR) vagy a belső modell módszert (IMM) alkalmazó intézményeknek negyedévente kell kitölteniük ezt a táblát. A partnerkockázati kitettségek kiszámításához a CRR harmadik része II. címe 6. fejezetének 4. és 5. szakasza alapján az egyszerűsített sztenderd módszert vagy az eredeti kitettség szerinti módszert (OEM) alkalmazó intézményeknek félévente kell kitölteniük ezt a táblát. </w:t>
      </w:r>
      <w:bookmarkStart w:id="480" w:name="_Toc19715818"/>
      <w:r w:rsidR="00D11E4C">
        <w:t>A tábla egyes részeire vonatkozó útmutató</w:t>
      </w:r>
      <w:bookmarkEnd w:id="480"/>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81" w:name="_Toc58858663"/>
      <w:r>
        <w:rPr>
          <w:rFonts w:ascii="Times New Roman" w:hAnsi="Times New Roman"/>
          <w:sz w:val="24"/>
        </w:rPr>
        <w:t>A tábla egyes részeire vonatkozó útmutató</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Oszlop</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NÉV</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A partner neve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KÓD</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A sorazonosító részét képező kódnak minden egyes jelentett szervezet esetében egyedinek kell lennie. Intézmények és biztosítók esetében a kód a LEI-</w:t>
            </w:r>
            <w:r>
              <w:rPr>
                <w:rFonts w:ascii="Times New Roman" w:hAnsi="Times New Roman"/>
                <w:iCs/>
                <w:sz w:val="24"/>
              </w:rPr>
              <w:lastRenderedPageBreak/>
              <w:t>kód. Más szervezetek esetében a kód a LEI-kód, vagy ha nem áll rendelkezésre, valamely egyéb kód. A kódnak egyedinek kell lennie, és azt következetesen kell használni a táblákban és az egymást követő adatszolgáltatási időszakokban. A kód mezőnek mindig kell tartalmaznia valamilyen értéket.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 KÓD TÍPUSA</w:t>
            </w:r>
          </w:p>
          <w:p w:rsidR="00595FAD" w:rsidRPr="00661595" w:rsidRDefault="00595FAD" w:rsidP="00FF15C6">
            <w:pPr>
              <w:rPr>
                <w:rStyle w:val="FormatvorlageInstructionsTabelleText"/>
                <w:rFonts w:ascii="Calibri" w:hAnsi="Calibri" w:cs="Calibri"/>
              </w:rPr>
            </w:pPr>
            <w:r>
              <w:rPr>
                <w:rStyle w:val="FormatvorlageInstructionsTabelleText"/>
                <w:rFonts w:ascii="Times New Roman" w:hAnsi="Times New Roman"/>
                <w:sz w:val="24"/>
              </w:rPr>
              <w:t>Az intézményeknek a 0020. oszlopban feltüntetett kódtípust „LEI-kód”-ként vagy „nemzeti kód”-ként kell megadniuk.</w:t>
            </w:r>
          </w:p>
          <w:p w:rsidR="00595FAD" w:rsidRPr="00661595" w:rsidRDefault="00595FAD" w:rsidP="00FF15C6">
            <w:pPr>
              <w:rPr>
                <w:rFonts w:ascii="Times New Roman" w:hAnsi="Times New Roman"/>
                <w:bCs/>
                <w:sz w:val="24"/>
              </w:rPr>
            </w:pPr>
            <w:r>
              <w:rPr>
                <w:rFonts w:ascii="Times New Roman" w:hAnsi="Times New Roman"/>
                <w:bCs/>
                <w:sz w:val="24"/>
              </w:rPr>
              <w:t>A kód típusát mindig jelenteni kell.</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NEMZETI KÓD</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Az intézmények kiegészítésként akkor is megadhatják a nemzeti kódot, amikor a 0020. „Kód” oszlopban a LEI-kódot tüntetik fel azonosítóként.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ÜGYFÉLSZEKTOR</w:t>
            </w:r>
          </w:p>
          <w:p w:rsidR="00595FAD" w:rsidRPr="00661595" w:rsidRDefault="00595FAD" w:rsidP="00FF15C6">
            <w:pPr>
              <w:keepNext/>
              <w:spacing w:before="60"/>
              <w:rPr>
                <w:rFonts w:ascii="Times New Roman" w:hAnsi="Times New Roman"/>
                <w:sz w:val="24"/>
              </w:rPr>
            </w:pPr>
            <w:r>
              <w:rPr>
                <w:rFonts w:ascii="Times New Roman" w:hAnsi="Times New Roman"/>
                <w:sz w:val="24"/>
              </w:rPr>
              <w:t>Minden partner esetében egy szektort kell kiválasztani a FINREP következő gazdasági ágazati osztályai alapján (lásd e végrehajtási rendelet V. mellékletének 3. részét):</w:t>
            </w:r>
          </w:p>
          <w:p w:rsidR="00595FAD" w:rsidRPr="00661595" w:rsidRDefault="00602F4B" w:rsidP="00FF15C6">
            <w:pPr>
              <w:keepNext/>
              <w:spacing w:before="60"/>
              <w:rPr>
                <w:rFonts w:ascii="Times New Roman" w:hAnsi="Times New Roman"/>
                <w:sz w:val="24"/>
              </w:rPr>
            </w:pPr>
            <w:r>
              <w:rPr>
                <w:rFonts w:ascii="Times New Roman" w:hAnsi="Times New Roman"/>
                <w:sz w:val="24"/>
              </w:rPr>
              <w:t>i.</w:t>
            </w:r>
            <w:r>
              <w:t xml:space="preserve"> </w:t>
            </w:r>
            <w:r>
              <w:tab/>
            </w:r>
            <w:r w:rsidR="00595FAD">
              <w:rPr>
                <w:rFonts w:ascii="Times New Roman" w:hAnsi="Times New Roman"/>
                <w:sz w:val="24"/>
              </w:rPr>
              <w:t>központi bankok;</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államháztartások;</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hitelintézetek;</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befektetési vállalkozások a CRR 4. cikke (1) bekezdésének 2. pontjában meghatározottaknak megfelelően;</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egyéb pénzügyi vállalatok (a befektetési vállalkozások kivételével);</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nem pénzügyi vállalatok.</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PARTNER TÍPUSA</w:t>
            </w:r>
          </w:p>
          <w:p w:rsidR="00595FAD" w:rsidRPr="00661595" w:rsidRDefault="00595FAD" w:rsidP="00FF15C6">
            <w:pPr>
              <w:keepNext/>
              <w:spacing w:before="60"/>
              <w:rPr>
                <w:rFonts w:ascii="Times New Roman" w:hAnsi="Times New Roman"/>
                <w:sz w:val="24"/>
              </w:rPr>
            </w:pPr>
            <w:r>
              <w:rPr>
                <w:rFonts w:ascii="Times New Roman" w:hAnsi="Times New Roman"/>
                <w:sz w:val="24"/>
              </w:rPr>
              <w:t>Az intézménynek meg kell jelölnie a partner típusát, amely a következő lehet:</w:t>
            </w:r>
          </w:p>
          <w:p w:rsidR="00595FAD" w:rsidRPr="00661595" w:rsidRDefault="00595FAD" w:rsidP="00FF15C6">
            <w:pPr>
              <w:keepNext/>
              <w:spacing w:before="60"/>
              <w:rPr>
                <w:rFonts w:ascii="Times New Roman" w:hAnsi="Times New Roman"/>
                <w:sz w:val="24"/>
              </w:rPr>
            </w:pPr>
            <w:r>
              <w:rPr>
                <w:rFonts w:ascii="Times New Roman" w:hAnsi="Times New Roman"/>
                <w:sz w:val="24"/>
              </w:rPr>
              <w:t>– QCCP: ha a partner elfogadott központi szerződő fél;</w:t>
            </w:r>
          </w:p>
          <w:p w:rsidR="00595FAD" w:rsidRPr="00661595" w:rsidRDefault="00595FAD" w:rsidP="00FF15C6">
            <w:pPr>
              <w:keepNext/>
              <w:spacing w:before="60"/>
              <w:rPr>
                <w:rFonts w:ascii="Times New Roman" w:hAnsi="Times New Roman"/>
                <w:sz w:val="24"/>
              </w:rPr>
            </w:pPr>
            <w:r>
              <w:rPr>
                <w:rFonts w:ascii="Times New Roman" w:hAnsi="Times New Roman"/>
                <w:sz w:val="24"/>
              </w:rPr>
              <w:t>– nem QCCP: ha a partner nem elfogadott központi szerződő fél;</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nem CCP: ha a partner nem központi szerződő fél.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PARTNER SZÉKHELYE</w:t>
            </w:r>
          </w:p>
          <w:p w:rsidR="00595FAD" w:rsidRPr="00661595" w:rsidRDefault="00595FAD" w:rsidP="00FF15C6">
            <w:pPr>
              <w:keepNext/>
              <w:spacing w:before="60"/>
              <w:rPr>
                <w:rFonts w:ascii="Times New Roman" w:hAnsi="Times New Roman"/>
                <w:sz w:val="24"/>
              </w:rPr>
            </w:pPr>
            <w:r>
              <w:rPr>
                <w:rFonts w:ascii="Times New Roman" w:hAnsi="Times New Roman"/>
                <w:sz w:val="24"/>
              </w:rPr>
              <w:t>A partner bejegyzés szerinti országának ISO 3166-1-alfa-2 kódját kell használni (ideértve a nemzetközi szervezetekre vonatkozó pszeudo-ISO-kódokat is, amelyek az Eurostat fizetési mérleggel foglalkozó vademecumának [Balance of Payments Vademecum] aktuális változatában találhatók meg).</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ÜGYLETEK SZÁMA</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Lásd a C 34.02. tábla 0020. oszlopához tartozó útmutatót.</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NÉVLEGES ÖSSZEG</w:t>
            </w:r>
          </w:p>
          <w:p w:rsidR="00595FAD" w:rsidRPr="00661595" w:rsidRDefault="00595FAD" w:rsidP="00FF15C6">
            <w:pPr>
              <w:keepNext/>
              <w:spacing w:before="60"/>
              <w:rPr>
                <w:rFonts w:ascii="Times New Roman" w:hAnsi="Times New Roman"/>
                <w:sz w:val="24"/>
              </w:rPr>
            </w:pPr>
            <w:r>
              <w:rPr>
                <w:rFonts w:ascii="Times New Roman" w:hAnsi="Times New Roman"/>
                <w:sz w:val="24"/>
              </w:rPr>
              <w:t>Lásd a C 34.02. tábla 0030. oszlopához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AKTUÁLIS PIACI ÉRTÉK (CMV), POZITÍV</w:t>
            </w:r>
          </w:p>
          <w:p w:rsidR="00595FAD" w:rsidRPr="00661595" w:rsidRDefault="00595FAD" w:rsidP="00FF15C6">
            <w:pPr>
              <w:keepNext/>
              <w:spacing w:before="60"/>
              <w:rPr>
                <w:rFonts w:ascii="Times New Roman" w:hAnsi="Times New Roman"/>
                <w:sz w:val="24"/>
              </w:rPr>
            </w:pPr>
            <w:r>
              <w:rPr>
                <w:rFonts w:ascii="Times New Roman" w:hAnsi="Times New Roman"/>
                <w:sz w:val="24"/>
              </w:rPr>
              <w:t>Lásd a C 34.02. tábla 0040. oszlopához tartozó útmutatót.</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Az intézménynek a pozitív CMV-vel rendelkező nettósítási halmazok összegét kell megadnia, ha ugyanannak a partnernek több nettósítási halmaza van.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AKTUÁLIS PIACI ÉRTÉK (CMV), NEGATÍV</w:t>
            </w:r>
          </w:p>
          <w:p w:rsidR="00595FAD" w:rsidRPr="00661595" w:rsidRDefault="00595FAD" w:rsidP="00FF15C6">
            <w:pPr>
              <w:keepNext/>
              <w:spacing w:before="60"/>
              <w:rPr>
                <w:rFonts w:ascii="Times New Roman" w:hAnsi="Times New Roman"/>
                <w:sz w:val="24"/>
              </w:rPr>
            </w:pPr>
            <w:r>
              <w:rPr>
                <w:rFonts w:ascii="Times New Roman" w:hAnsi="Times New Roman"/>
                <w:sz w:val="24"/>
              </w:rPr>
              <w:t>Lásd a C 34.02. tábla 0040. oszlopához tartozó útmutatót.</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Az intézménynek a negatív CMV-vel rendelkező nettósítási halmazok összegének abszolút értékét kell megadnia, ha ugyanannak a partnernek több nettósítási halmaza van.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KITETTSÉGÉRTÉK HITELKOCKÁZAT-MÉRSÉKLÉS UTÁN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Lásd a C 34.02. tábla 0160. oszlopához tartozó útmutatót.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Az intézménynek a nettósítási halmazok hitelkockázat-mérséklés utáni kitettségértékét kell megadnia, ha ugyanannak a partnernek több nettósítási halmaza van.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KITETTSÉGÉRTÉK</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Lásd a C 34.02. tábla 0170. oszlopához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KOCKÁZATTAL SÚLYOZOTT KITETTSÉGÉRTÉK</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Lásd a C 34.02. tábla 0200. oszlopához tartozó útmutatót.</w:t>
            </w:r>
          </w:p>
        </w:tc>
      </w:tr>
    </w:tbl>
    <w:p w:rsidR="00595FAD" w:rsidRPr="00110B3D"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858664"/>
      <w:r>
        <w:rPr>
          <w:rFonts w:ascii="Times New Roman" w:hAnsi="Times New Roman"/>
          <w:sz w:val="24"/>
        </w:rPr>
        <w:t>C 34.07 – IRB módszer – Partnerkockázati kitettségek kitettségi osztály és PD-skála szerint</w:t>
      </w:r>
      <w:bookmarkEnd w:id="482"/>
      <w:bookmarkEnd w:id="483"/>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858665"/>
      <w:r>
        <w:rPr>
          <w:rFonts w:ascii="Times New Roman" w:hAnsi="Times New Roman"/>
          <w:sz w:val="24"/>
        </w:rPr>
        <w:t>Általános megjegyzések</w:t>
      </w:r>
      <w:bookmarkEnd w:id="484"/>
      <w:bookmarkEnd w:id="485"/>
    </w:p>
    <w:p w:rsidR="00595FAD" w:rsidRPr="00661595" w:rsidRDefault="0055388B" w:rsidP="00487A02">
      <w:pPr>
        <w:pStyle w:val="InstructionsText2"/>
        <w:numPr>
          <w:ilvl w:val="0"/>
          <w:numId w:val="0"/>
        </w:numPr>
        <w:ind w:left="1353" w:hanging="360"/>
      </w:pPr>
      <w:fldSimple w:instr=" seq paragraphs ">
        <w:r w:rsidR="00D11E4C">
          <w:rPr>
            <w:noProof/>
          </w:rPr>
          <w:t>128</w:t>
        </w:r>
      </w:fldSimple>
      <w:r w:rsidR="00D11E4C">
        <w:t xml:space="preserve">. Ezt a táblát azon intézményeknek kell kitölteniük, amelyek a fejlett IRB módszert vagy az IRB alapmódszert alkalmazzák a partnerkockázati kitettségeik egészére vagy egy részére vonatkozó kockázattal súlyozott kitettségértékeknek a CRR 107. cikke szerinti kiszámításához, függetlenül a partnerkockázati kitettségértékeknek a CRR harmadik része II. címének 4. és 6. fejezete szerinti meghatározásához használt módszertől. </w:t>
      </w:r>
    </w:p>
    <w:p w:rsidR="00595FAD" w:rsidRPr="00661595" w:rsidRDefault="0055388B" w:rsidP="00487A02">
      <w:pPr>
        <w:pStyle w:val="InstructionsText2"/>
        <w:numPr>
          <w:ilvl w:val="0"/>
          <w:numId w:val="0"/>
        </w:numPr>
        <w:ind w:left="1353" w:hanging="360"/>
      </w:pPr>
      <w:fldSimple w:instr=" seq paragraphs ">
        <w:r w:rsidR="00D11E4C">
          <w:rPr>
            <w:noProof/>
          </w:rPr>
          <w:t>129</w:t>
        </w:r>
      </w:fldSimple>
      <w:r w:rsidR="00D11E4C">
        <w:t xml:space="preserve">. A táblát az összes kitettségi osztály összegére, valamint a CRR 147. cikkében felsorolt minden egyes kitettségi osztályra vonatkozóan külön-külön is ki kell tölteni. Ez a tábla nem tartalmazza a központi szerződő félen keresztül elszámolt kitettségeket. </w:t>
      </w:r>
    </w:p>
    <w:p w:rsidR="00595FAD" w:rsidRPr="00661595" w:rsidRDefault="0055388B" w:rsidP="00487A02">
      <w:pPr>
        <w:pStyle w:val="InstructionsText2"/>
        <w:numPr>
          <w:ilvl w:val="0"/>
          <w:numId w:val="0"/>
        </w:numPr>
        <w:ind w:left="1353" w:hanging="360"/>
      </w:pPr>
      <w:fldSimple w:instr=" seq paragraphs ">
        <w:r w:rsidR="00D11E4C">
          <w:rPr>
            <w:noProof/>
          </w:rPr>
          <w:t>130</w:t>
        </w:r>
      </w:fldSimple>
      <w:r w:rsidR="00D11E4C">
        <w:t>. Annak egyértelművé tétele érdekében, hogy az intézmény az LGD és/vagy a hitel-egyenértékesítési tényezők értékét saját becsléssel állapítja-e meg, az adatszolgáltatásban szereplő minden kitettségi osztályra vonatkozóan meg kell adni az alábbi információkat:</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lastRenderedPageBreak/>
        <w:t>NEM = az LGD és a hitel-egyenértékesítési tényezők felügyeleti becslése esetén (IRB alapmódszer);</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IGEN = az LGD és a hitel-egyenértékesítési tényezők saját becslése esetén (fejlett IRB módszer).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858666"/>
      <w:r>
        <w:rPr>
          <w:rFonts w:ascii="Times New Roman" w:hAnsi="Times New Roman"/>
          <w:sz w:val="24"/>
        </w:rPr>
        <w:t>A tábla egyes részeire vonatkozó útmutató</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Oszlop</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Kitettségérték </w:t>
            </w:r>
          </w:p>
          <w:p w:rsidR="00595FAD" w:rsidRPr="00661595" w:rsidRDefault="00595FAD" w:rsidP="00FF15C6">
            <w:pPr>
              <w:spacing w:before="60" w:after="240"/>
              <w:rPr>
                <w:rFonts w:ascii="Times New Roman" w:hAnsi="Times New Roman"/>
                <w:sz w:val="24"/>
              </w:rPr>
            </w:pPr>
            <w:r>
              <w:rPr>
                <w:rFonts w:ascii="Times New Roman" w:hAnsi="Times New Roman"/>
                <w:sz w:val="24"/>
              </w:rPr>
              <w:t>Kitettségérték (lásd a C 34.02. tábla 0170. oszlopához tartozó útmutatót), az adott PD-skála szerinti bontásban</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Kitettséggel súlyozott átlagos PD (%)</w:t>
            </w:r>
          </w:p>
          <w:p w:rsidR="00595FAD" w:rsidRPr="00661595" w:rsidRDefault="00595FAD" w:rsidP="00FF15C6">
            <w:pPr>
              <w:spacing w:before="60" w:after="240"/>
              <w:rPr>
                <w:rFonts w:ascii="Times New Roman" w:hAnsi="Times New Roman"/>
                <w:sz w:val="24"/>
              </w:rPr>
            </w:pPr>
            <w:r>
              <w:rPr>
                <w:rFonts w:ascii="Times New Roman" w:hAnsi="Times New Roman"/>
                <w:sz w:val="24"/>
              </w:rPr>
              <w:t>Az egyes ügyfélkategóriák PD-értékeinek átlaga, a 0010-es oszlopban meghatározott megfelelő kitettségértékkel súlyozva.</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Ügyfelek száma </w:t>
            </w:r>
          </w:p>
          <w:p w:rsidR="00595FAD" w:rsidRPr="00661595" w:rsidRDefault="00595FAD" w:rsidP="00FF15C6">
            <w:pPr>
              <w:rPr>
                <w:rFonts w:ascii="Times New Roman" w:hAnsi="Times New Roman"/>
                <w:sz w:val="24"/>
              </w:rPr>
            </w:pPr>
            <w:r>
              <w:rPr>
                <w:rFonts w:ascii="Times New Roman" w:hAnsi="Times New Roman"/>
                <w:sz w:val="24"/>
              </w:rPr>
              <w:t>A rögzített PD-skála egyes kategóriáihoz rendelt, külön minősített jogi személyek vagy ügyfelek száma, függetlenül a nyújtott különböző hitelek vagy kitettségek számától.</w:t>
            </w:r>
          </w:p>
          <w:p w:rsidR="00595FAD" w:rsidRPr="00661595" w:rsidRDefault="00595FAD" w:rsidP="00FF15C6">
            <w:pPr>
              <w:rPr>
                <w:rFonts w:ascii="Times New Roman" w:hAnsi="Times New Roman"/>
                <w:sz w:val="24"/>
              </w:rPr>
            </w:pPr>
            <w:r>
              <w:rPr>
                <w:rFonts w:ascii="Times New Roman" w:hAnsi="Times New Roman"/>
                <w:sz w:val="24"/>
              </w:rPr>
              <w:t>Amennyiben az ugyanazon ügyféllel szembeni különböző kitettségeket külön minősítették, azokat külön kell számba venni. Ez a helyzet akkor állhat elő, ha az azonos ügyféllel szembeni egyes kitettségeket a CRR 172. cikke (1) bekezdése e) pontjának második mondatával összhangban különböző ügyfélkategóriákba sorolják.</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Kitettséggel súlyozott átlagos LGD (%)</w:t>
            </w:r>
          </w:p>
          <w:p w:rsidR="00595FAD" w:rsidRPr="00661595" w:rsidRDefault="00595FAD" w:rsidP="00FF15C6">
            <w:pPr>
              <w:spacing w:before="60" w:after="240"/>
              <w:rPr>
                <w:rFonts w:ascii="Times New Roman" w:hAnsi="Times New Roman"/>
                <w:sz w:val="24"/>
              </w:rPr>
            </w:pPr>
            <w:r>
              <w:rPr>
                <w:rFonts w:ascii="Times New Roman" w:hAnsi="Times New Roman"/>
                <w:sz w:val="24"/>
              </w:rPr>
              <w:t>Az egyes ügyfélkategóriák LGD-értékeinek átlaga, a 0010-es oszlopban meghatározott megfelelő kitettségértékkel súlyozva.</w:t>
            </w:r>
          </w:p>
          <w:p w:rsidR="00595FAD" w:rsidRPr="00661595" w:rsidRDefault="00595FAD" w:rsidP="00FF15C6">
            <w:pPr>
              <w:rPr>
                <w:rFonts w:ascii="Times New Roman" w:hAnsi="Times New Roman"/>
                <w:sz w:val="24"/>
              </w:rPr>
            </w:pPr>
            <w:r>
              <w:rPr>
                <w:rFonts w:ascii="Times New Roman" w:hAnsi="Times New Roman"/>
                <w:sz w:val="24"/>
              </w:rPr>
              <w:t>A feltüntetett LGD-nek meg kell felelnie a kockázattal súlyozott kitettségértékek kiszámításához használt, az esetleges hitelkockázat-mérséklési hatások és adott esetben gazdasági dekonjunkturális feltételek figyelembevételével kapott, a CRR harmadik része II. címe 3. és 4. fejezetében meghatározott végső LGD-becslésnek. Az IRB módszert alkalmazó, de saját LGD-becslést nem használó intézményeknél a pénzügyi biztosítékok kockázatmérséklő hatásait a kitettség teljes mértékben korrigált értéke (E*) tükrözi, majd azok a CRR 228. cikkének (2) bekezdése szerinti LGD*-értékben is megjelennek. Ha az intézmény saját LGD-becslést alkalmaz, akkor figyelembe kell venni a CRR 175. cikkét, valamint 181. cikkének (1) és (2) bekezdését.</w:t>
            </w:r>
          </w:p>
          <w:p w:rsidR="00595FAD" w:rsidRPr="00661595" w:rsidRDefault="00595FAD" w:rsidP="00FF15C6">
            <w:pPr>
              <w:rPr>
                <w:rFonts w:ascii="Times New Roman" w:hAnsi="Times New Roman"/>
                <w:sz w:val="24"/>
              </w:rPr>
            </w:pPr>
            <w:r>
              <w:rPr>
                <w:rFonts w:ascii="Times New Roman" w:hAnsi="Times New Roman"/>
                <w:sz w:val="24"/>
              </w:rPr>
              <w:t>Az együttes nemteljesítésre vonatkozó eljárással érintett kitettségek esetében a feltüntetendő LGD a CRR 161. cikkének (4) bekezdése alapján kiválasztott LGD-nek felel meg.</w:t>
            </w:r>
          </w:p>
          <w:p w:rsidR="00595FAD" w:rsidRPr="00661595" w:rsidRDefault="00595FAD" w:rsidP="00FF15C6">
            <w:pPr>
              <w:spacing w:before="60" w:after="240"/>
              <w:rPr>
                <w:rFonts w:ascii="Times New Roman" w:hAnsi="Times New Roman"/>
                <w:strike/>
                <w:sz w:val="24"/>
              </w:rPr>
            </w:pPr>
            <w:r>
              <w:rPr>
                <w:rFonts w:ascii="Times New Roman" w:hAnsi="Times New Roman"/>
                <w:sz w:val="24"/>
              </w:rPr>
              <w:lastRenderedPageBreak/>
              <w:t xml:space="preserve">Az A-IRB módszer szerinti nemteljesítő kitettségek esetében figyelembe kell venni a CRR 181. cikke (1) bekezdésének h) pontjában foglalt rendelkezéseket. A feltüntetett LGD a nemteljesítéskori LGD becslésének felel meg.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Kitettséggel súlyozott átlagos lejárat (év)</w:t>
            </w:r>
          </w:p>
          <w:p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Az</w:t>
            </w:r>
            <w:r>
              <w:rPr>
                <w:rFonts w:ascii="Times New Roman" w:hAnsi="Times New Roman"/>
                <w:sz w:val="24"/>
              </w:rPr>
              <w:t xml:space="preserve"> egyes ügyfélkategóriák lejárati értékeinek átlaga, a 0010-es oszlopban meghatározott megfelelő kitettségértékkel súlyozva.</w:t>
            </w:r>
          </w:p>
          <w:p w:rsidR="00595FAD" w:rsidRPr="00661595" w:rsidRDefault="00595FAD" w:rsidP="00837612">
            <w:pPr>
              <w:rPr>
                <w:rFonts w:ascii="Times New Roman" w:hAnsi="Times New Roman"/>
                <w:sz w:val="24"/>
              </w:rPr>
            </w:pPr>
            <w:r>
              <w:rPr>
                <w:rFonts w:ascii="Times New Roman" w:hAnsi="Times New Roman"/>
                <w:sz w:val="24"/>
              </w:rPr>
              <w:t xml:space="preserve">A feltüntetendő lejárati értéket a CRR 162. cikkével összhangban kell meghatározni.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Kockázattal súlyozott kitettségérték</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A CRR 92. cikkének (3) és (4) bekezdésében meghatározott kockázattal súlyozott kitettségértékek azon pozíciók esetében, amelyek kockázati súlyát a CRR harmadik része II. címének 3. fejezetében meghatározott követelmények alapján állapítják meg, és amelyek esetében a partnerkockázattal érintett kitettségek értékét a CRR harmadik része II. címének 4. és 6. fejezetével összhangban számítják ki.</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A CRR 501. cikkében és 501a. cikkében említett kkv-szorzót és infrastruktúra-szorzót figyelembe kell venni.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Kockázattal súlyozott kitettségérték sűrűsége </w:t>
            </w:r>
          </w:p>
          <w:p w:rsidR="00595FAD" w:rsidRPr="00661595" w:rsidDel="00291448" w:rsidRDefault="00595FAD" w:rsidP="00FF15C6">
            <w:pPr>
              <w:spacing w:before="60"/>
              <w:rPr>
                <w:rFonts w:ascii="Times New Roman" w:hAnsi="Times New Roman"/>
                <w:sz w:val="24"/>
              </w:rPr>
            </w:pPr>
            <w:r>
              <w:rPr>
                <w:rFonts w:ascii="Times New Roman" w:hAnsi="Times New Roman"/>
                <w:sz w:val="24"/>
              </w:rPr>
              <w:t>A (0060. oszlopban feltüntetett) kockázattal súlyozott teljes kitettségérték és a (0010. oszlopban feltüntetett) kitettségérték aránya.</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Sorok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PD-skála</w:t>
            </w:r>
          </w:p>
          <w:p w:rsidR="00595FAD" w:rsidRPr="00661595" w:rsidRDefault="00595FAD" w:rsidP="00FF15C6">
            <w:pPr>
              <w:spacing w:before="60"/>
              <w:rPr>
                <w:rFonts w:ascii="Times New Roman" w:hAnsi="Times New Roman"/>
                <w:sz w:val="24"/>
              </w:rPr>
            </w:pPr>
            <w:r>
              <w:rPr>
                <w:rFonts w:ascii="Times New Roman" w:hAnsi="Times New Roman"/>
                <w:sz w:val="24"/>
              </w:rPr>
              <w:t>A (partnerek szintjén meghatározott) partnerkockázati kitettségeket a rögzített PD-skála megfelelő kategóriájához kell rendelni az ebbe a kitettségi osztályba sorolt egyes kötelezettek becsült PD-értéke alapján (az esetleges garanciából vagy hitelderivatívából eredő helyettesítési hatások figyelembevétele nélkül). Az intézményeknek minden kitettséget egyenként kell a táblában megadott PD-skálához hozzárendelniük, figyelembe véve a folyamatos skálaértékeket is. Valamennyi nemteljesítő kitettséget a 100 %-os PD-t képviselő kategóriának kell tartalmaznia.</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858667"/>
      <w:r>
        <w:rPr>
          <w:rFonts w:ascii="Times New Roman" w:hAnsi="Times New Roman"/>
          <w:sz w:val="24"/>
        </w:rPr>
        <w:t>C 34.08 – A partnerkockázati kitettségek biztosítékainak összetétele</w:t>
      </w:r>
      <w:bookmarkEnd w:id="488"/>
      <w:bookmarkEnd w:id="489"/>
    </w:p>
    <w:p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858668"/>
      <w:r>
        <w:rPr>
          <w:rFonts w:ascii="Times New Roman" w:hAnsi="Times New Roman"/>
          <w:sz w:val="24"/>
        </w:rPr>
        <w:t>Általános megjegyzések</w:t>
      </w:r>
      <w:bookmarkEnd w:id="490"/>
      <w:bookmarkEnd w:id="491"/>
    </w:p>
    <w:p w:rsidR="00595FAD" w:rsidRPr="00661595" w:rsidRDefault="0055388B" w:rsidP="00487A02">
      <w:pPr>
        <w:pStyle w:val="InstructionsText2"/>
        <w:numPr>
          <w:ilvl w:val="0"/>
          <w:numId w:val="0"/>
        </w:numPr>
        <w:ind w:left="1353" w:hanging="360"/>
      </w:pPr>
      <w:fldSimple w:instr=" seq paragraphs ">
        <w:r w:rsidR="00D11E4C">
          <w:rPr>
            <w:noProof/>
          </w:rPr>
          <w:t>131</w:t>
        </w:r>
      </w:fldSimple>
      <w:r w:rsidR="00D11E4C">
        <w:t xml:space="preserve">. Ebben a táblában a származtatott ügyletekhez, hosszú kiegyenlítési idejű ügyletekhez vagy értékpapír-finanszírozási ügyletekhez kapcsolódó partnerkockázati kitettségek esetében használt (adott vagy kapott) biztosíték valós értékét kell feltüntetni, függetlenül attól, hogy az ügyleteket központi szerződő félen keresztül számolják-e el, és hogy nyújtottak-e biztosítékot egy központi szerződő félnek.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58858669"/>
      <w:r>
        <w:rPr>
          <w:rFonts w:ascii="Times New Roman" w:hAnsi="Times New Roman"/>
          <w:sz w:val="24"/>
        </w:rPr>
        <w:lastRenderedPageBreak/>
        <w:t>A tábla egyes részeire vonatkozó útmutató</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Oszlop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Származtatott ügyletekben felhasznált biztosíték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Az intézményeknek meg kell adniuk azon biztosítékok értékét (beleértve az alapletétet és a változó letétet), amelyet a CRR II. mellékletében felsorolt bármely származtatott ügylethez vagy az említett rendelet 272. cikkének 2. pontja szerinti, értékpapír-finanszírozási ügyletnek nem minősülő hosszú kiegyenlítési idejű ügylethez kapcsolódó partnerkockázati kitettségek esetében használnak.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Értékpapír-finanszírozási ügyletekben felhasznált biztosíték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Az intézményeknek meg kell adniuk azon biztosítékok értékét (beleértve az alapletétet és a változó letétet, valamint az értékpapír-finanszírozási ügyletben biztosítékként megjelenő értékpapírt), amelyet értékpapír-finanszírozási ügylethez vagy származtatott ügyletnek nem minősülő hosszú teljesítési idejű ügylethez kapcsolódó partnerkockázati kitettségek esetében használnak. </w:t>
            </w:r>
          </w:p>
        </w:tc>
      </w:tr>
      <w:tr w:rsidR="00595FAD" w:rsidRPr="00661595" w:rsidTr="00FF15C6">
        <w:trPr>
          <w:trHeight w:val="416"/>
        </w:trPr>
        <w:tc>
          <w:tcPr>
            <w:tcW w:w="1384" w:type="dxa"/>
          </w:tcPr>
          <w:p w:rsidR="00595FAD" w:rsidRPr="00661595" w:rsidRDefault="00595FAD" w:rsidP="00FF15C6">
            <w:pPr>
              <w:pStyle w:val="Fait"/>
            </w:pPr>
            <w:r>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Elkülönített</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 CRR 300. cikkének 1. pontja</w:t>
            </w:r>
          </w:p>
          <w:p w:rsidR="00595FAD" w:rsidRPr="00661595" w:rsidRDefault="00CF4C30" w:rsidP="00FF15C6">
            <w:pPr>
              <w:spacing w:before="60"/>
              <w:rPr>
                <w:rFonts w:ascii="Times New Roman" w:hAnsi="Times New Roman"/>
                <w:sz w:val="24"/>
              </w:rPr>
            </w:pPr>
            <w:r>
              <w:rPr>
                <w:rFonts w:ascii="Times New Roman" w:hAnsi="Times New Roman"/>
                <w:sz w:val="24"/>
              </w:rPr>
              <w:t>Az intézményeknek a CRR 300. cikkének 1. pontjában meghatározott, fizetésképtelenségi eljárásba nem bevonható biztosíték értékét kell megadniuk alapletét vagy változó letét formájában megjelenő biztosítékok szerinti bontásban.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El nem különített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 CRR 300. cikkének 1. pontja</w:t>
            </w:r>
          </w:p>
          <w:p w:rsidR="00595FAD" w:rsidRPr="00661595" w:rsidRDefault="00CF4C30" w:rsidP="00CF4C30">
            <w:pPr>
              <w:rPr>
                <w:rFonts w:ascii="Times New Roman" w:hAnsi="Times New Roman"/>
                <w:sz w:val="24"/>
              </w:rPr>
            </w:pPr>
            <w:r>
              <w:rPr>
                <w:rFonts w:ascii="Times New Roman" w:hAnsi="Times New Roman"/>
                <w:sz w:val="24"/>
              </w:rPr>
              <w:t>Az intézményeknek a CRR 300. cikkének 1. pontjában meghatározott, fizetésképtelenségi eljárásba bevonható biztosíték értékét kell megadniuk alapletét vagy változó letét formájában megjelenő biztosítékok szerinti bontásban.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Alapletét</w:t>
            </w:r>
          </w:p>
          <w:p w:rsidR="00595FAD" w:rsidRPr="00661595" w:rsidRDefault="004134E6" w:rsidP="00FF15C6">
            <w:pPr>
              <w:spacing w:before="60"/>
              <w:rPr>
                <w:rFonts w:ascii="Times New Roman" w:hAnsi="Times New Roman"/>
                <w:sz w:val="24"/>
              </w:rPr>
            </w:pPr>
            <w:r>
              <w:rPr>
                <w:rFonts w:ascii="Times New Roman" w:hAnsi="Times New Roman"/>
                <w:sz w:val="24"/>
              </w:rPr>
              <w:t>A CRR 4. cikke (1) bekezdésének 140. pontja.</w:t>
            </w:r>
          </w:p>
          <w:p w:rsidR="00595FAD" w:rsidRPr="00661595" w:rsidRDefault="00595FAD" w:rsidP="00FF15C6">
            <w:pPr>
              <w:spacing w:before="60"/>
              <w:rPr>
                <w:rFonts w:ascii="Times New Roman" w:hAnsi="Times New Roman"/>
                <w:sz w:val="24"/>
              </w:rPr>
            </w:pPr>
            <w:r>
              <w:rPr>
                <w:rFonts w:ascii="Times New Roman" w:hAnsi="Times New Roman"/>
                <w:sz w:val="24"/>
              </w:rPr>
              <w:t>Az intézményeknek a CRR 4. cikke (1) bekezdésének 140. pontjában meghatározottak szerinti alapletétként kapott vagy nyújtott biztosíték valós értékét kell megadniuk.</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Változó letét</w:t>
            </w:r>
          </w:p>
          <w:p w:rsidR="00595FAD" w:rsidRPr="00661595" w:rsidRDefault="00595FAD" w:rsidP="00FF15C6">
            <w:pPr>
              <w:spacing w:before="60"/>
              <w:rPr>
                <w:rFonts w:ascii="Times New Roman" w:eastAsia="Calibri" w:hAnsi="Times New Roman"/>
                <w:sz w:val="24"/>
              </w:rPr>
            </w:pPr>
            <w:r>
              <w:rPr>
                <w:rFonts w:ascii="Times New Roman" w:hAnsi="Times New Roman"/>
                <w:sz w:val="24"/>
              </w:rPr>
              <w:t>Az intézményeknek a változó letétként kapott vagy nyújtott biztosíték valós értékét kell megadniuk.</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SFT értékpapír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lastRenderedPageBreak/>
              <w:t>Az intézményeknek az értékpapír-finanszírozási ügyletekben értékpapírként megjelenő biztosítékok (pl. az értékpapír-finanszírozási ügylet értékpapíroldalán kapott [0130. oszlop] vagy adott [0180. oszlop] értékpapírok) valós értékét kell megadniuk.</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Sorok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Biztosítéktípus</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Különböző biztosítéktípusok szerinti bontás</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858670"/>
      <w:r>
        <w:rPr>
          <w:rFonts w:ascii="Times New Roman" w:hAnsi="Times New Roman"/>
          <w:sz w:val="24"/>
        </w:rPr>
        <w:t>C 34.09 – Hitelderivatíva-kitettségek</w:t>
      </w:r>
      <w:bookmarkEnd w:id="494"/>
      <w:bookmarkEnd w:id="495"/>
    </w:p>
    <w:p w:rsidR="00595FAD" w:rsidRPr="00661595"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858671"/>
      <w:r>
        <w:rPr>
          <w:rFonts w:ascii="Times New Roman" w:hAnsi="Times New Roman"/>
          <w:sz w:val="24"/>
        </w:rPr>
        <w:t>A tábla egyes részeire vonatkozó útmutató</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Oszlop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HITELDERIVATÍVA-FEDEZET</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Vásárolt vagy eladott hitelderivatíva-fedezet</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NÉVLEGES ÖSSZEG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A származtatott ügyletek nettósítás előtti névleges összege, terméktípus szerinti bontásban</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VALÓS ÉRTÉK</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A valós értékek összege vásárolt és eladott fedezet szerinti bontásban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Sorok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Terméktípus</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Hitelderivatíva-típusok szerinti bontás</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Összesen</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terméktípusok összege</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Valós érték</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A valós értékek terméktípus szerinti bontásban, valamint eszközök (pozitív valós értékek) és kötelezettségek (negatív valós értékek) szerint.</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858672"/>
      <w:r>
        <w:rPr>
          <w:rFonts w:ascii="Times New Roman" w:hAnsi="Times New Roman"/>
          <w:sz w:val="24"/>
        </w:rPr>
        <w:lastRenderedPageBreak/>
        <w:t>C 34.10 – Központi szerződő felekkel szembeni kitettségek</w:t>
      </w:r>
      <w:bookmarkEnd w:id="498"/>
      <w:bookmarkEnd w:id="499"/>
    </w:p>
    <w:p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858673"/>
      <w:r>
        <w:rPr>
          <w:rFonts w:ascii="Times New Roman" w:hAnsi="Times New Roman"/>
          <w:sz w:val="24"/>
        </w:rPr>
        <w:t>Általános megjegyzések</w:t>
      </w:r>
      <w:bookmarkEnd w:id="500"/>
      <w:bookmarkEnd w:id="501"/>
    </w:p>
    <w:p w:rsidR="00595FAD" w:rsidRPr="00661595" w:rsidRDefault="0055388B" w:rsidP="00487A02">
      <w:pPr>
        <w:pStyle w:val="InstructionsText2"/>
        <w:numPr>
          <w:ilvl w:val="0"/>
          <w:numId w:val="0"/>
        </w:numPr>
        <w:ind w:left="1353" w:hanging="360"/>
      </w:pPr>
      <w:fldSimple w:instr=" seq paragraphs ">
        <w:r w:rsidR="00D11E4C">
          <w:rPr>
            <w:noProof/>
          </w:rPr>
          <w:t>132</w:t>
        </w:r>
      </w:fldSimple>
      <w:r w:rsidR="00D11E4C">
        <w:t xml:space="preserve">. Az intézményeknek a központi szerződő felekkel szembeni kitettségekre – azaz a CRR 301. cikkének (1) bekezdésében felsorolt fennálló szerződésekre és folyamatban lévő ügyletekre –, valamint a CRR 300. cikkének 2. pontja szerinti központi félhez kapcsolódó ügyletekből származó kitettségekre vonatkozó információkat kell jelenteniük, amelyek tekintetében a szavatolótőke-követelményt a CRR harmadik része II. címe 6. fejezetének 9. szakasza szerint kell kiszámítani.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858674"/>
      <w:r>
        <w:rPr>
          <w:rFonts w:ascii="Times New Roman" w:hAnsi="Times New Roman"/>
          <w:sz w:val="24"/>
        </w:rPr>
        <w:t>A tábla egyes részeire vonatkozó útmutató</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Oszlop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KITETTSÉGÉRTÉK </w:t>
            </w:r>
          </w:p>
          <w:p w:rsidR="00595FAD" w:rsidRPr="00661595" w:rsidRDefault="00595FAD" w:rsidP="00FF15C6">
            <w:pPr>
              <w:keepNext/>
              <w:spacing w:before="60"/>
              <w:rPr>
                <w:rFonts w:ascii="Times New Roman" w:hAnsi="Times New Roman"/>
                <w:sz w:val="24"/>
              </w:rPr>
            </w:pPr>
            <w:r>
              <w:rPr>
                <w:rFonts w:ascii="Times New Roman" w:hAnsi="Times New Roman"/>
                <w:sz w:val="24"/>
              </w:rPr>
              <w:t>A CRR harmadik része II. címe 6. fejezete 9. szakaszának hatálya alá tartozó ügyleteknek az említett fejezetben és különösen annak 9. szakaszában meghatározott vonatkozó módszerekkel számított kitettségértéke.</w:t>
            </w:r>
          </w:p>
          <w:p w:rsidR="00595FAD" w:rsidRPr="00661595" w:rsidRDefault="00595FAD" w:rsidP="00FF15C6">
            <w:pPr>
              <w:keepNext/>
              <w:spacing w:before="60"/>
              <w:rPr>
                <w:rFonts w:ascii="Times New Roman" w:hAnsi="Times New Roman"/>
                <w:sz w:val="24"/>
              </w:rPr>
            </w:pPr>
            <w:r>
              <w:rPr>
                <w:rFonts w:ascii="Times New Roman" w:hAnsi="Times New Roman"/>
                <w:sz w:val="24"/>
              </w:rPr>
              <w:t>A feltüntetett kitettségérték a szavatolótőke-követelménynek a CRR harmadik része II. címe 6. fejezetének 9. szakasza szerinti kiszámítása szempontjából releváns összeg, figyelembe véve az említett rendelet 497. cikkében meghatározott követelményeket az említett cikkben meghatározott átmeneti időszakban.</w:t>
            </w:r>
          </w:p>
          <w:p w:rsidR="00595FAD" w:rsidRPr="00661595" w:rsidRDefault="00595FAD" w:rsidP="00FF15C6">
            <w:pPr>
              <w:keepNext/>
              <w:spacing w:before="60"/>
              <w:rPr>
                <w:rFonts w:ascii="Times New Roman" w:hAnsi="Times New Roman"/>
                <w:sz w:val="24"/>
              </w:rPr>
            </w:pPr>
            <w:r>
              <w:rPr>
                <w:rFonts w:ascii="Times New Roman" w:hAnsi="Times New Roman"/>
                <w:sz w:val="24"/>
              </w:rPr>
              <w:t>A kitettség lehet a CRR 4. cikke (1) bekezdésének 91. pontjában meghatározott kereskedési kitettség.</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w:t>
            </w:r>
          </w:p>
          <w:p w:rsidR="00595FAD" w:rsidRPr="00661595" w:rsidRDefault="00595FAD" w:rsidP="00FF15C6">
            <w:pPr>
              <w:keepNext/>
              <w:spacing w:before="60"/>
              <w:rPr>
                <w:rFonts w:ascii="Times New Roman" w:hAnsi="Times New Roman"/>
                <w:strike/>
                <w:sz w:val="24"/>
              </w:rPr>
            </w:pPr>
            <w:r>
              <w:rPr>
                <w:rFonts w:ascii="Times New Roman" w:hAnsi="Times New Roman"/>
                <w:sz w:val="24"/>
              </w:rPr>
              <w:t>A CRR harmadik része II. címe 6. fejezetének 9. szakaszával összhangban meghatározott kockázattal súlyozott kitettségértékek, figyelembe véve az említett rendelet 497. cikkében foglalt követelményeket az említett cikkben előírt átmeneti időszakban.</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Sorok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Elfogadott központi szerződő fél (QCCP)</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Kizárólag a CRR 4. cikke (1) bekezdésének 88. pontja szerinti elfogadott központi szerződő fél.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Alapletét</w:t>
            </w:r>
          </w:p>
          <w:p w:rsidR="00595FAD" w:rsidRPr="00661595" w:rsidRDefault="00595FAD" w:rsidP="00FF15C6">
            <w:pPr>
              <w:keepNext/>
              <w:spacing w:before="60"/>
              <w:rPr>
                <w:rFonts w:ascii="Times New Roman" w:hAnsi="Times New Roman"/>
                <w:sz w:val="24"/>
              </w:rPr>
            </w:pPr>
            <w:r>
              <w:rPr>
                <w:rFonts w:ascii="Times New Roman" w:hAnsi="Times New Roman"/>
                <w:sz w:val="24"/>
              </w:rPr>
              <w:t>Lásd a C 34.08 táblához tartozó útmutatót.</w:t>
            </w:r>
          </w:p>
          <w:p w:rsidR="00595FAD" w:rsidRPr="00661595" w:rsidRDefault="00595FAD" w:rsidP="00C76804">
            <w:pPr>
              <w:keepNext/>
              <w:spacing w:before="60"/>
              <w:rPr>
                <w:rFonts w:ascii="Times New Roman" w:hAnsi="Times New Roman"/>
                <w:i/>
                <w:sz w:val="24"/>
              </w:rPr>
            </w:pPr>
            <w:r>
              <w:rPr>
                <w:rFonts w:ascii="Times New Roman" w:hAnsi="Times New Roman"/>
                <w:sz w:val="24"/>
              </w:rPr>
              <w:t>E tábla alkalmazásában az alapletét nem tartalmazhatja a közös veszteségviselési megállapodások keretében a központi szerződő félnek nyújtott hozzájá</w:t>
            </w:r>
            <w:r>
              <w:rPr>
                <w:rFonts w:ascii="Times New Roman" w:hAnsi="Times New Roman"/>
                <w:sz w:val="24"/>
              </w:rPr>
              <w:lastRenderedPageBreak/>
              <w:t xml:space="preserve">rulásokat (azaz azokban az esetekben, amikor a központi szerződő fél alapletétet alkalmaz a veszteségek klíringtagok közötti megosztására, azt garanciaalaphoz kapcsolódó kitettségként kell kezelni).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Előre befizetett garanciaalapi hozzájárulások</w:t>
            </w:r>
          </w:p>
          <w:p w:rsidR="00595FAD" w:rsidRPr="00661595" w:rsidRDefault="00C85EAB" w:rsidP="006418A0">
            <w:pPr>
              <w:keepNext/>
              <w:spacing w:before="60"/>
              <w:rPr>
                <w:rFonts w:ascii="Times New Roman" w:hAnsi="Times New Roman"/>
                <w:sz w:val="24"/>
              </w:rPr>
            </w:pPr>
            <w:r>
              <w:rPr>
                <w:rFonts w:ascii="Times New Roman" w:hAnsi="Times New Roman"/>
                <w:sz w:val="24"/>
              </w:rPr>
              <w:t>A CRR 308. és 309. cikke; a CRR 4. cikke (1) bekezdésének 89. pontjában meghatározott garanciaalap; a központi szerződő fél garanciaalapjához való, az intézmény által befizetett hozzájárulás.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 nem fizetett garanciaalapi hozzájárulások</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 CRR 309. és 310. cikke; a CRR 4. cikke (1) bekezdésének 89. pontjában meghatározott garanciaalap</w:t>
            </w:r>
          </w:p>
          <w:p w:rsidR="00595FAD" w:rsidRPr="00661595" w:rsidRDefault="0014210E" w:rsidP="006418A0">
            <w:pPr>
              <w:keepNext/>
              <w:spacing w:before="60"/>
              <w:rPr>
                <w:rFonts w:ascii="Times New Roman" w:hAnsi="Times New Roman"/>
                <w:sz w:val="24"/>
              </w:rPr>
            </w:pPr>
            <w:r>
              <w:rPr>
                <w:rFonts w:ascii="Times New Roman" w:hAnsi="Times New Roman"/>
                <w:sz w:val="24"/>
              </w:rPr>
              <w:t>Olyan hozzájárulások, amelyekre vonatkozóan valamely, klíringtagként eljáró intézmény szerződéses kötelezettséget vállalt, hogy azt a központi szerződő fél rendelkezésére bocsátja, miután az adott központi szerződő fél az egy vagy több klíringtagja nemteljesítését követően felmerült veszteségei fedezésére már kimerítette garanciaalapját.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Elkülönített</w:t>
            </w:r>
          </w:p>
          <w:p w:rsidR="00595FAD" w:rsidRPr="00661595" w:rsidRDefault="00595FAD" w:rsidP="00FF15C6">
            <w:pPr>
              <w:spacing w:before="60"/>
              <w:rPr>
                <w:rFonts w:ascii="Times New Roman" w:eastAsia="Calibri" w:hAnsi="Times New Roman"/>
                <w:sz w:val="24"/>
              </w:rPr>
            </w:pPr>
            <w:r>
              <w:rPr>
                <w:rFonts w:ascii="Times New Roman" w:hAnsi="Times New Roman"/>
                <w:sz w:val="24"/>
              </w:rPr>
              <w:t>Lásd a C 34.08 táblához tartozó útmutatót.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0080, 0180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 nem különített</w:t>
            </w:r>
          </w:p>
          <w:p w:rsidR="00595FAD" w:rsidRPr="00661595" w:rsidRDefault="00595FAD" w:rsidP="00FF15C6">
            <w:pPr>
              <w:spacing w:before="60"/>
              <w:rPr>
                <w:rFonts w:ascii="Times New Roman" w:eastAsia="Calibri" w:hAnsi="Times New Roman"/>
                <w:sz w:val="24"/>
              </w:rPr>
            </w:pPr>
            <w:r>
              <w:rPr>
                <w:rFonts w:ascii="Times New Roman" w:hAnsi="Times New Roman"/>
                <w:sz w:val="24"/>
              </w:rPr>
              <w:t>Lásd a C 34.08 táblához tartozó útmutatót.</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858675"/>
      <w:r>
        <w:rPr>
          <w:rFonts w:ascii="Times New Roman" w:hAnsi="Times New Roman"/>
          <w:sz w:val="24"/>
        </w:rPr>
        <w:t>C 34.11 – A partnerkockázathoz kapcsolódó, belső modell módszer szerint számított, kockázattal súlyozott kitettségérték (RWEA) változásának kimutatása</w:t>
      </w:r>
      <w:bookmarkEnd w:id="504"/>
      <w:bookmarkEnd w:id="505"/>
    </w:p>
    <w:p w:rsidR="00595FAD" w:rsidRPr="00661595"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858676"/>
      <w:r>
        <w:rPr>
          <w:rFonts w:ascii="Times New Roman" w:hAnsi="Times New Roman"/>
          <w:sz w:val="24"/>
        </w:rPr>
        <w:t>Általános megjegyzések</w:t>
      </w:r>
      <w:bookmarkEnd w:id="506"/>
      <w:bookmarkEnd w:id="507"/>
    </w:p>
    <w:p w:rsidR="00595FAD" w:rsidRPr="00661595" w:rsidRDefault="0055388B" w:rsidP="00487A02">
      <w:pPr>
        <w:pStyle w:val="InstructionsText2"/>
        <w:numPr>
          <w:ilvl w:val="0"/>
          <w:numId w:val="0"/>
        </w:numPr>
        <w:ind w:left="1353" w:hanging="360"/>
      </w:pPr>
      <w:fldSimple w:instr=" seq paragraphs ">
        <w:r w:rsidR="00D11E4C">
          <w:rPr>
            <w:noProof/>
          </w:rPr>
          <w:t>133</w:t>
        </w:r>
      </w:fldSimple>
      <w:r w:rsidR="00D11E4C">
        <w:t>. Azok az intézmények, amelyek a belső modell módszer alkalmazásával a CRR harmadik része II. címének 6. fejezete szerint számítják ki partnerkockázati kitettségeik egészének vagy egy részének kockázattal súlyozott kitettségértékét, a megfelelő kockázati súlyok meghatározásához használt hitelkockázati módszertől függetlenül ebben a táblában jelentik a belső modell módszer alkalmazási körébe tartozó származtatott ügyletek és értékpapír-finanszírozási ügyletek kockázattal súlyozott kitettségértékeinek változásait a változásokat magyarázó, fő tényezők szerinti bontásban és észszerű becsléseket alkalmazva.</w:t>
      </w:r>
    </w:p>
    <w:p w:rsidR="00595FAD" w:rsidRPr="00661595" w:rsidRDefault="0055388B" w:rsidP="00487A02">
      <w:pPr>
        <w:pStyle w:val="InstructionsText2"/>
        <w:numPr>
          <w:ilvl w:val="0"/>
          <w:numId w:val="0"/>
        </w:numPr>
        <w:ind w:left="1353" w:hanging="360"/>
      </w:pPr>
      <w:fldSimple w:instr=" seq paragraphs ">
        <w:r w:rsidR="00D11E4C">
          <w:rPr>
            <w:noProof/>
          </w:rPr>
          <w:t>134</w:t>
        </w:r>
      </w:fldSimple>
      <w:r w:rsidR="00D11E4C">
        <w:t xml:space="preserve">. Azoknak az intézményeknek, amelyeknek ezt a táblát negyedéves gyakorisággal kell jelenteniük, csak a 0010. oszlopot kell kitölteniük. Azoknak az intézményeknek, amelyeknek ezt a táblát évente kell jelenteniük, csak a 0020. oszlopot kell kitölteniük. </w:t>
      </w:r>
    </w:p>
    <w:p w:rsidR="00595FAD" w:rsidRPr="00661595" w:rsidRDefault="0055388B" w:rsidP="00487A02">
      <w:pPr>
        <w:pStyle w:val="InstructionsText2"/>
        <w:numPr>
          <w:ilvl w:val="0"/>
          <w:numId w:val="0"/>
        </w:numPr>
        <w:ind w:left="1353" w:hanging="360"/>
      </w:pPr>
      <w:fldSimple w:instr=" seq paragraphs ">
        <w:r w:rsidR="00D11E4C">
          <w:rPr>
            <w:noProof/>
          </w:rPr>
          <w:t>135</w:t>
        </w:r>
      </w:fldSimple>
      <w:r w:rsidR="00D11E4C">
        <w:t>. Ez a tábla nem tartalmazza a központi szerződő féllel szembeni kitettségek kockázattal súlyozott kitettségértékeit (a CRR harmadik része II. címe 6. fejezetének 9. szakasza).</w:t>
      </w:r>
    </w:p>
    <w:p w:rsidR="00595FAD" w:rsidRPr="00661595"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858677"/>
      <w:r>
        <w:rPr>
          <w:rFonts w:ascii="Times New Roman" w:hAnsi="Times New Roman"/>
          <w:sz w:val="24"/>
        </w:rPr>
        <w:lastRenderedPageBreak/>
        <w:t>A tábla egyes részeire vonatkozó útmutató</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Oszlop</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w:t>
            </w:r>
          </w:p>
          <w:p w:rsidR="00595FAD" w:rsidRPr="00661595" w:rsidRDefault="00595FAD" w:rsidP="00FF15C6">
            <w:pPr>
              <w:rPr>
                <w:rFonts w:ascii="Times New Roman" w:hAnsi="Times New Roman"/>
                <w:sz w:val="24"/>
              </w:rPr>
            </w:pPr>
            <w:r>
              <w:rPr>
                <w:rFonts w:ascii="Times New Roman" w:hAnsi="Times New Roman"/>
                <w:sz w:val="24"/>
              </w:rPr>
              <w:t>A CRR 92. cikkének (3) és (4) bekezdésében meghatározott kockázattal súlyozott kitettségértékek azon pozíciók esetében, amelyek kockázati súlyát a CRR harmadik része II. címének 2. és 3. fejezetében meghatározott követelmények alapján állapítják meg, és amelyek esetében az intézmény engedélyt kapott arra, hogy a kitettségek értékét belső modellen alapuló módszer alkalmazásával, a CRR harmadik része II. címe 6. fejezetének 6. szakaszával összhangban számítsa ki.</w:t>
            </w:r>
          </w:p>
          <w:p w:rsidR="00595FAD" w:rsidRPr="00661595" w:rsidRDefault="00595FAD" w:rsidP="003F19BA">
            <w:pPr>
              <w:spacing w:before="60"/>
              <w:rPr>
                <w:rFonts w:ascii="Times New Roman" w:hAnsi="Times New Roman"/>
                <w:i/>
                <w:sz w:val="24"/>
              </w:rPr>
            </w:pPr>
            <w:r>
              <w:rPr>
                <w:rFonts w:ascii="Times New Roman" w:hAnsi="Times New Roman"/>
                <w:sz w:val="24"/>
              </w:rPr>
              <w:t>A CRR 501. cikkében és 501a. cikkében említett kkv-szorzót és infrastruktúra-szorzót figyelembe kell venni.</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Sorok</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kitettségértékek az előző adatszolgáltatási időszak végén</w:t>
            </w:r>
          </w:p>
          <w:p w:rsidR="00595FAD" w:rsidRPr="00661595" w:rsidRDefault="00595FAD" w:rsidP="00FF15C6">
            <w:pPr>
              <w:spacing w:before="60"/>
              <w:rPr>
                <w:rFonts w:ascii="Times New Roman" w:hAnsi="Times New Roman"/>
                <w:sz w:val="24"/>
              </w:rPr>
            </w:pPr>
            <w:r>
              <w:rPr>
                <w:rFonts w:ascii="Times New Roman" w:hAnsi="Times New Roman"/>
                <w:sz w:val="24"/>
              </w:rPr>
              <w:t>A belső modellen alapuló módszer hatálya alá tartozó partnerkockázati kitettségek kockázattal súlyozott kitettségértéke az előző adatszolgáltatási időszak végén.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Eszköznagyság</w:t>
            </w:r>
          </w:p>
          <w:p w:rsidR="00595FAD" w:rsidRPr="00661595" w:rsidRDefault="00595FAD" w:rsidP="00181AC7">
            <w:pPr>
              <w:spacing w:before="60"/>
              <w:rPr>
                <w:rFonts w:ascii="Times New Roman" w:hAnsi="Times New Roman"/>
                <w:sz w:val="24"/>
              </w:rPr>
            </w:pPr>
            <w:r>
              <w:rPr>
                <w:rFonts w:ascii="Times New Roman" w:hAnsi="Times New Roman"/>
                <w:sz w:val="24"/>
              </w:rPr>
              <w:t>A kockázattal súlyozott kitettségérték változásai (pozitív vagy negatív) a könyv méretében és összetételében a szokásos üzleti tevékenység eredményeként bekövetkezett változások miatt (beleértve az új tevékenységek indítását és a lejáró kitettségeket), de nem számítva a gazdálkodó egységek akvizíciója és elidegenítése miatt a könyv méretében bekövetkezett változásokat.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Partnerek hitelminősége </w:t>
            </w:r>
          </w:p>
          <w:p w:rsidR="00595FAD" w:rsidRPr="00661595" w:rsidRDefault="00595FAD" w:rsidP="00FF15C6">
            <w:pPr>
              <w:spacing w:before="60"/>
              <w:rPr>
                <w:rFonts w:ascii="Times New Roman" w:hAnsi="Times New Roman"/>
                <w:sz w:val="24"/>
              </w:rPr>
            </w:pPr>
            <w:r>
              <w:rPr>
                <w:rFonts w:ascii="Times New Roman" w:hAnsi="Times New Roman"/>
                <w:sz w:val="24"/>
              </w:rPr>
              <w:t>A kockázattal súlyozott kitettségérték azon változása (pozitív vagy negatív), amelynek oka az intézmény partnereinek minőségében bekövetkező változás, függetlenül attól, hogy milyen módszert használ az intézmény a partner minőségének a hitelkockázati keretrendszerben történő értékelésére. Amennyiben az intézmény IRB módszert alkalmaz, ez a sor tartalmazza a kockázattal súlyozott kitettségértéknek az IRB modellek miatti esetleges változásait is.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Modellfrissítések (csak IMM)</w:t>
            </w:r>
          </w:p>
          <w:p w:rsidR="0014210E" w:rsidRDefault="00595FAD" w:rsidP="00FF15C6">
            <w:pPr>
              <w:spacing w:before="60"/>
              <w:rPr>
                <w:rFonts w:ascii="Times New Roman" w:hAnsi="Times New Roman"/>
                <w:sz w:val="24"/>
              </w:rPr>
            </w:pPr>
            <w:r>
              <w:rPr>
                <w:rFonts w:ascii="Times New Roman" w:hAnsi="Times New Roman"/>
                <w:sz w:val="24"/>
              </w:rPr>
              <w:t>A kockázattal súlyozott kitettségérték azon változása (pozitív vagy negatív), amely a modell implementálásának, a modell alkalmazási körében bekövetkező változásnak vagy a modell hiányosságainak orvoslását célzó bármely változtatásnak tudható be.</w:t>
            </w:r>
          </w:p>
          <w:p w:rsidR="00595FAD" w:rsidRPr="00661595" w:rsidRDefault="00595FAD" w:rsidP="00FF15C6">
            <w:pPr>
              <w:spacing w:before="60"/>
              <w:rPr>
                <w:rFonts w:ascii="Times New Roman" w:hAnsi="Times New Roman"/>
                <w:sz w:val="24"/>
              </w:rPr>
            </w:pPr>
            <w:r>
              <w:rPr>
                <w:rFonts w:ascii="Times New Roman" w:hAnsi="Times New Roman"/>
                <w:sz w:val="24"/>
              </w:rPr>
              <w:t>Ez a sor csak az IMM modellben bekövetkező változásokkal foglalkozik.</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Módszertan és politika (csak IMM)</w:t>
            </w:r>
          </w:p>
          <w:p w:rsidR="00595FAD" w:rsidRPr="00661595" w:rsidRDefault="00595FAD" w:rsidP="00FF15C6">
            <w:pPr>
              <w:spacing w:before="60"/>
              <w:rPr>
                <w:rFonts w:ascii="Times New Roman" w:hAnsi="Times New Roman"/>
                <w:sz w:val="24"/>
              </w:rPr>
            </w:pPr>
            <w:r>
              <w:rPr>
                <w:rFonts w:ascii="Times New Roman" w:hAnsi="Times New Roman"/>
                <w:sz w:val="24"/>
              </w:rPr>
              <w:t>A kockázattal súlyozott kitettségérték azon változása (pozitív vagy negatív), amely a számításokban a szabályozási politika változásainak, például új rendeletek miatt bekövetkezett módszertani változásoknak tudható be (csak az IMM modellen belül).</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Felvásárlások és értékesítések</w:t>
            </w:r>
          </w:p>
          <w:p w:rsidR="00595FAD" w:rsidRPr="00661595" w:rsidRDefault="00595FAD" w:rsidP="00FF15C6">
            <w:pPr>
              <w:spacing w:before="60"/>
              <w:rPr>
                <w:rFonts w:ascii="Times New Roman" w:hAnsi="Times New Roman"/>
                <w:sz w:val="24"/>
              </w:rPr>
            </w:pPr>
            <w:r>
              <w:rPr>
                <w:rFonts w:ascii="Times New Roman" w:hAnsi="Times New Roman"/>
                <w:sz w:val="24"/>
              </w:rPr>
              <w:t>A kockázattal súlyozott kitettségérték azon változása (pozitív vagy negatív), amely a gazdálkodó egységek akvizíciója és elidegenítése miatt a könyv méretében bekövetkezett változásoknak tudható be.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Devizaárfolyam-mozgások</w:t>
            </w:r>
          </w:p>
          <w:p w:rsidR="00595FAD" w:rsidRPr="00661595" w:rsidRDefault="00595FAD" w:rsidP="00FF15C6">
            <w:pPr>
              <w:spacing w:before="60"/>
              <w:rPr>
                <w:rFonts w:ascii="Times New Roman" w:hAnsi="Times New Roman"/>
                <w:sz w:val="24"/>
              </w:rPr>
            </w:pPr>
            <w:r>
              <w:rPr>
                <w:rFonts w:ascii="Times New Roman" w:hAnsi="Times New Roman"/>
                <w:sz w:val="24"/>
              </w:rPr>
              <w:t xml:space="preserve">A kockázattal súlyozott kitettségérték azon változása (pozitív vagy negatív), amely a devizaárfolyam-mozgásoknak tudható be.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Egyéb</w:t>
            </w:r>
          </w:p>
          <w:p w:rsidR="00595FAD" w:rsidRPr="00661595" w:rsidRDefault="00595FAD" w:rsidP="00C26C3A">
            <w:pPr>
              <w:spacing w:before="60"/>
              <w:rPr>
                <w:rFonts w:ascii="Times New Roman" w:hAnsi="Times New Roman"/>
                <w:sz w:val="24"/>
              </w:rPr>
            </w:pPr>
            <w:r>
              <w:rPr>
                <w:rFonts w:ascii="Times New Roman" w:hAnsi="Times New Roman"/>
                <w:sz w:val="24"/>
              </w:rPr>
              <w:t xml:space="preserve">Ezt a kategóriát kell használni a kockázattal súlyozott kitettségérték azon (pozitív vagy negatív) változásainak kimutatására, amelyek nem rendelhetők hozzá a fenti kategóriák egyikéhez sem.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Kockázattal súlyozott kitettségértékek a folyó adatszolgáltatási időszak végén</w:t>
            </w:r>
          </w:p>
          <w:p w:rsidR="00595FAD" w:rsidRPr="00661595" w:rsidRDefault="00595FAD" w:rsidP="00FF15C6">
            <w:pPr>
              <w:spacing w:before="60"/>
              <w:rPr>
                <w:rFonts w:ascii="Times New Roman" w:hAnsi="Times New Roman"/>
                <w:i/>
                <w:sz w:val="24"/>
              </w:rPr>
            </w:pPr>
            <w:r>
              <w:rPr>
                <w:rFonts w:ascii="Times New Roman" w:hAnsi="Times New Roman"/>
                <w:sz w:val="24"/>
              </w:rPr>
              <w:t>A belső modellen alapuló módszer hatálya alá tartozó partnerkockázati kitettségek kockázattal súlyozott kitettségértéke az aktuális adatszolgáltatási időszak végén.</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58858678"/>
      <w:bookmarkStart w:id="517" w:name="_Toc260157223"/>
      <w:bookmarkStart w:id="518" w:name="_Toc262566417"/>
      <w:bookmarkStart w:id="519" w:name="_Toc264038462"/>
      <w:bookmarkStart w:id="520" w:name="_Toc295829988"/>
      <w:bookmarkStart w:id="521" w:name="_Toc310415050"/>
      <w:r>
        <w:rPr>
          <w:rFonts w:ascii="Times New Roman" w:hAnsi="Times New Roman"/>
          <w:sz w:val="24"/>
        </w:rPr>
        <w:t>4.</w:t>
      </w:r>
      <w:r>
        <w:tab/>
      </w:r>
      <w:r>
        <w:rPr>
          <w:rFonts w:ascii="Times New Roman" w:hAnsi="Times New Roman"/>
          <w:sz w:val="24"/>
        </w:rPr>
        <w:t>Működési kockázati táblacsoport</w:t>
      </w:r>
      <w:bookmarkEnd w:id="510"/>
      <w:bookmarkEnd w:id="511"/>
      <w:bookmarkEnd w:id="512"/>
      <w:bookmarkEnd w:id="513"/>
      <w:bookmarkEnd w:id="514"/>
      <w:bookmarkEnd w:id="515"/>
      <w:bookmarkEnd w:id="516"/>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858679"/>
      <w:r>
        <w:rPr>
          <w:rFonts w:ascii="Times New Roman" w:hAnsi="Times New Roman"/>
          <w:sz w:val="24"/>
        </w:rPr>
        <w:t>4.1</w:t>
      </w:r>
      <w:r>
        <w:tab/>
      </w:r>
      <w:r>
        <w:tab/>
      </w:r>
      <w:bookmarkStart w:id="524" w:name="_Toc360188385"/>
      <w:r>
        <w:rPr>
          <w:rFonts w:ascii="Times New Roman" w:hAnsi="Times New Roman"/>
          <w:sz w:val="24"/>
        </w:rPr>
        <w:t>C 16.00 – Működési kockázat (OPR)</w:t>
      </w:r>
      <w:bookmarkEnd w:id="517"/>
      <w:bookmarkEnd w:id="518"/>
      <w:bookmarkEnd w:id="519"/>
      <w:bookmarkEnd w:id="520"/>
      <w:bookmarkEnd w:id="521"/>
      <w:bookmarkEnd w:id="522"/>
      <w:bookmarkEnd w:id="523"/>
      <w:bookmarkEnd w:id="524"/>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858680"/>
      <w:r>
        <w:rPr>
          <w:rFonts w:ascii="Times New Roman" w:hAnsi="Times New Roman"/>
          <w:sz w:val="24"/>
          <w:u w:val="none"/>
        </w:rPr>
        <w:t>4.1.1</w:t>
      </w:r>
      <w:r w:rsidRPr="0055388B">
        <w:rPr>
          <w:u w:val="none"/>
        </w:rPr>
        <w:tab/>
      </w:r>
      <w:bookmarkStart w:id="532" w:name="_Toc260157224"/>
      <w:r>
        <w:rPr>
          <w:rFonts w:ascii="Times New Roman" w:hAnsi="Times New Roman"/>
          <w:sz w:val="24"/>
          <w:u w:val="none"/>
        </w:rPr>
        <w:t>Általános megjegyzések</w:t>
      </w:r>
      <w:bookmarkEnd w:id="525"/>
      <w:bookmarkEnd w:id="526"/>
      <w:bookmarkEnd w:id="527"/>
      <w:bookmarkEnd w:id="528"/>
      <w:bookmarkEnd w:id="529"/>
      <w:bookmarkEnd w:id="530"/>
      <w:bookmarkEnd w:id="531"/>
      <w:bookmarkEnd w:id="532"/>
      <w:r>
        <w:rPr>
          <w:rFonts w:ascii="Times New Roman" w:hAnsi="Times New Roman"/>
          <w:sz w:val="24"/>
          <w:u w:val="none"/>
        </w:rPr>
        <w:t xml:space="preserve"> </w:t>
      </w:r>
    </w:p>
    <w:p w:rsidR="00AC6255" w:rsidRPr="00661595" w:rsidRDefault="0055388B" w:rsidP="00487A02">
      <w:pPr>
        <w:pStyle w:val="InstructionsText2"/>
        <w:numPr>
          <w:ilvl w:val="0"/>
          <w:numId w:val="0"/>
        </w:numPr>
        <w:ind w:left="1353" w:hanging="360"/>
      </w:pPr>
      <w:fldSimple w:instr=" seq paragraphs ">
        <w:r w:rsidR="00D11E4C">
          <w:rPr>
            <w:noProof/>
          </w:rPr>
          <w:t>136</w:t>
        </w:r>
      </w:fldSimple>
      <w:r w:rsidR="00D11E4C">
        <w:t>.</w:t>
      </w:r>
      <w:r w:rsidR="00D11E4C">
        <w:tab/>
        <w:t xml:space="preserve"> Ez a tábla a működési kockázat szavatolótőke-követelményének a CRR 312–324. cikke szerinti, az alapmutató módszere (BIA), a sztenderd módszer (TSA), az alternatív sztenderd módszer (ASA), valamint a fejlett mérési módszerek (AMA) alkalmazásával történő kiszámításával kapcsolatos információkat nyújt. Egy intézmény egyedi alapon nem alkalmazhatja egyidejűleg a sztenderd módszert és az alternatív sztenderd módszert „lakossági banki tevékenység” és „kereskedelmi banki tevékenység” üzletágára.</w:t>
      </w:r>
    </w:p>
    <w:p w:rsidR="00AC6255" w:rsidRPr="00661595" w:rsidRDefault="0055388B" w:rsidP="00487A02">
      <w:pPr>
        <w:pStyle w:val="InstructionsText2"/>
        <w:numPr>
          <w:ilvl w:val="0"/>
          <w:numId w:val="0"/>
        </w:numPr>
        <w:ind w:left="1353" w:hanging="360"/>
      </w:pPr>
      <w:fldSimple w:instr=" seq paragraphs ">
        <w:r w:rsidR="00D11E4C">
          <w:rPr>
            <w:noProof/>
          </w:rPr>
          <w:t>137</w:t>
        </w:r>
      </w:fldSimple>
      <w:r w:rsidR="00D11E4C">
        <w:t xml:space="preserve">. Az alapmutató módszerét, a sztenderd módszert vagy alternatív sztenderd módszert alkalmazó intézmények a szavatolótőke-követelményt a pénzügyi év végén rendelkezésre álló információk alapján számítják ki. Ha nem állnak rendelkezésre auditált adatok, az intézmények használhatnak üzleti becsléseket. Ha auditált adatokat használnak, akkor az intézményeknek a várhatóan változatlan auditált </w:t>
      </w:r>
      <w:r w:rsidR="00D11E4C">
        <w:lastRenderedPageBreak/>
        <w:t xml:space="preserve">adatokat kell feltüntetniük. A változtatás nélküli adatszolgáltatás elvétől az intézmények eltérhetnek például akkor, ha az adott időszakban rendkívüli körülmények merülnek fel, például szervezetekben vagy tevékenységekben részesedésszerzés, illetve -elidegenítés történik. </w:t>
      </w:r>
    </w:p>
    <w:p w:rsidR="00AC6255" w:rsidRPr="00661595" w:rsidRDefault="0055388B" w:rsidP="00487A02">
      <w:pPr>
        <w:pStyle w:val="InstructionsText2"/>
        <w:numPr>
          <w:ilvl w:val="0"/>
          <w:numId w:val="0"/>
        </w:numPr>
        <w:ind w:left="1353" w:hanging="360"/>
      </w:pPr>
      <w:fldSimple w:instr=" seq paragraphs ">
        <w:r w:rsidR="00D11E4C">
          <w:rPr>
            <w:noProof/>
          </w:rPr>
          <w:t>138</w:t>
        </w:r>
      </w:fldSimple>
      <w:r w:rsidR="00D11E4C">
        <w:t>.</w:t>
      </w:r>
      <w:r w:rsidR="00D11E4C">
        <w:tab/>
        <w:t xml:space="preserve"> Amennyiben az intézmény bizonyítani tudja az illetékes hatóság számára, hogy – rendkívüli körülmény, például egyesülés vagy bizonyos egységek vagy tevékenységek megszűnése miatt – a hároméves átlagnak az irányadó mutató kiszámítása céljára való felhasználása a működési kockázathoz kapcsolódó szavatolótőke-követelmény torz becslését eredményezné, az illetékes hatóság engedélyezheti az intézmény számára a számítás olyan módon történő módosítását, amely figyelembe veszi az említett eseményeket. Az illetékes hatóság saját kezdeményezésre is előírhatja az intézmény számára a számítás módosítását. Az az intézmény, amely három évnél rövidebb ideje működik, az irányadó mutató kiszámításához a jövőre vonatkozó üzleti becsléseket is felhasználhat, feltéve, hogy amint a tényleges múltbeli adatok legkorábban rendelkezésre állnak, attól az időponttól azokra támaszkodik.</w:t>
      </w:r>
    </w:p>
    <w:p w:rsidR="00AC6255" w:rsidRPr="00661595" w:rsidRDefault="0055388B" w:rsidP="00487A02">
      <w:pPr>
        <w:pStyle w:val="InstructionsText2"/>
        <w:numPr>
          <w:ilvl w:val="0"/>
          <w:numId w:val="0"/>
        </w:numPr>
        <w:ind w:left="1353" w:hanging="360"/>
      </w:pPr>
      <w:fldSimple w:instr=" seq paragraphs ">
        <w:r w:rsidR="00D11E4C">
          <w:rPr>
            <w:noProof/>
          </w:rPr>
          <w:t>139</w:t>
        </w:r>
      </w:fldSimple>
      <w:r w:rsidR="00D11E4C">
        <w:t>.</w:t>
      </w:r>
      <w:r w:rsidR="00D11E4C">
        <w:tab/>
        <w:t xml:space="preserve"> A tábla oszlopai a legutóbbi három évre vonatkozóan mutatják be a működési kockázattal érintett banki tevékenységek irányadó mutatójának értékével, valamint a kölcsönök és előlegek összegével kapcsolatos információkat (az utóbbi csak az alternatív sztenderd módszer esetében alkalmazható). Ezután kell feltüntetni a működési kockázathoz kapcsolódó szavatolótőke-követelmény értékével kapcsolatos információkat. Adott esetben részletezni kell, hogy az összeg mely része származik allokációs eljárásból. A fejlett mérési módszerekkel kapcsolatban további tájékoztató adatok mutatják be a várható veszteségnek, a diverzifikációnak és a mérséklési technikáknak a működési kockázathoz kapcsolódó szavatolótőke-követelményre gyakorolt hatását.</w:t>
      </w:r>
    </w:p>
    <w:p w:rsidR="00AC6255" w:rsidRPr="00661595" w:rsidRDefault="0055388B" w:rsidP="00487A02">
      <w:pPr>
        <w:pStyle w:val="InstructionsText2"/>
        <w:numPr>
          <w:ilvl w:val="0"/>
          <w:numId w:val="0"/>
        </w:numPr>
        <w:ind w:left="1353" w:hanging="360"/>
      </w:pPr>
      <w:fldSimple w:instr=" seq paragraphs ">
        <w:r w:rsidR="00D11E4C">
          <w:rPr>
            <w:noProof/>
          </w:rPr>
          <w:t>140</w:t>
        </w:r>
      </w:fldSimple>
      <w:r w:rsidR="00D11E4C">
        <w:t>.</w:t>
      </w:r>
      <w:r w:rsidR="00D11E4C">
        <w:tab/>
        <w:t xml:space="preserve"> Az egyes sorokban a működési kockázathoz kapcsolódó szavatolótőke-követelmény számítási módszerére vonatkozó információk találhatók, üzletáganként a sztenderd módszer és alternatív sztenderd módszer szerinti részletezésben.</w:t>
      </w:r>
    </w:p>
    <w:p w:rsidR="00AC6255" w:rsidRPr="00661595" w:rsidRDefault="0055388B" w:rsidP="00487A02">
      <w:pPr>
        <w:pStyle w:val="InstructionsText2"/>
        <w:numPr>
          <w:ilvl w:val="0"/>
          <w:numId w:val="0"/>
        </w:numPr>
        <w:ind w:left="1353" w:hanging="360"/>
      </w:pPr>
      <w:fldSimple w:instr=" seq paragraphs ">
        <w:r w:rsidR="00D11E4C">
          <w:rPr>
            <w:noProof/>
          </w:rPr>
          <w:t>141</w:t>
        </w:r>
      </w:fldSimple>
      <w:r w:rsidR="00D11E4C">
        <w:t>.</w:t>
      </w:r>
      <w:r w:rsidR="00D11E4C">
        <w:tab/>
        <w:t xml:space="preserve"> A táblát minden olyan intézménynek be kell nyújtania, amelyre a működési kockázathoz kapcsolódó szavatolótőke-követelmény vonatkozik.</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858681"/>
      <w:r>
        <w:rPr>
          <w:rFonts w:ascii="Times New Roman" w:hAnsi="Times New Roman"/>
          <w:sz w:val="24"/>
          <w:u w:val="none"/>
        </w:rPr>
        <w:t>4.1.2.</w:t>
      </w:r>
      <w:r>
        <w:tab/>
      </w:r>
      <w:r>
        <w:rPr>
          <w:rFonts w:ascii="Times New Roman" w:hAnsi="Times New Roman"/>
          <w:sz w:val="24"/>
        </w:rPr>
        <w:t>A tábla egyes részeire vonatkozó útmutató</w:t>
      </w:r>
      <w:bookmarkEnd w:id="533"/>
      <w:bookmarkEnd w:id="534"/>
      <w:bookmarkEnd w:id="535"/>
      <w:bookmarkEnd w:id="536"/>
      <w:bookmarkEnd w:id="537"/>
      <w:bookmarkEnd w:id="538"/>
      <w:bookmarkEnd w:id="539"/>
      <w:bookmarkEnd w:id="540"/>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Oszlop</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IRÁNYADÓ MUTATÓ</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működési kockázathoz kapcsolódó szavatolótőke-követelményt az irányadó mutató segítségével (az alapmutató módszerével, a sztenderd módszerrel vagy az alternatív sztenderd módszerrel) számító intézmények a megfelelő évekre vonatkozó irányadó mutatót a 0010–0030. oszlopban tüntetik fel. Ezenkívül a különböző módszerek együttes, a CRR 314. cikkében említett alkalmazása esetén az intézmények tájékoztató jelleggel megadják a fejlett mérési módszerek alkalmazási körébe tartozó tevékenységekre vonatkozó irányadó mutatót is. Ugyanígy kell eljárni a fejlett mérési módszereket alkalmazó egyéb bankokkal is.</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A továbbiakban az irányadó mutató a CRR 316. cikke 1. táblázatának 1. pontjában említett elemek pénzügyi év végén mért értékének az összege.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Ha az intézmény az irányadó mutatóról 3 évnél rövidebb időszakra vonatkozóan rendelkezik adatokkal, akkor a rendelkezésre álló historikus (auditált) adatokat kell a tábla megfelelő oszlopaiban szerepeltetni. Ha például korábbi adatok csak egy évről állnak rendelkezésre, akkor azokat a 0030-as oszlopban kell feltüntetni. Indokolt esetben a jövőre vonatkozó becsléseket a 0020-as oszlopban (a t+1 évre vonatkozó becslés), valamint a 0010-es oszlopban (a t+2 évre vonatkozó becslés) kell feltüntetni.</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Ha az irányadó mutatóra vonatkozóan korábbi adatok nem állnak rendelkezésre, akkor az intézmény a jövőre vonatkozó üzleti becslést is alkalmazhat.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KÖLCSÖNÖK ÉS ELŐLEGEK (AZ ALTERNATÍV SZTENDERD MÓDSZER ALKALMAZÁSA ESETÉN)</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Ezekben az oszlopokban a CRR 319. cikke (1) bekezdésének b) pontjában említett „kereskedelmi banki tevékenység” és „lakossági banki tevékenység” üzletágban nyújtott hitelek és előlegek állományát kell feltüntetni. Ezen állományok alapján számítható ki az alternatív irányadó mutató, amelyből megállapítható az alternatív sztenderd módszer alkalmazási körébe tartozó tevékenységek szavatolótőke-követelménye (a CRR 319. cikke (1) bekezdésének a) pontja).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A „kereskedelmi banki tevékenység” üzletág esetében a nem kereskedési könyvben szereplő értékpapírokat is meg kell adni.</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SZAVATOLÓTŐKE-KÖVETELMÉNY</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A szavatolótőke-követelményt az alkalmazott módszerekkel, a CRR 312–324. cikkének megfelelően kell kiszámítani. Az eredményül kapott összeget a 070-es oszlopban kell feltüntetni.</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TELJES MŰKÖDÉSI KOCKÁZATI KITETTSÉGÉRTÉK</w:t>
            </w:r>
          </w:p>
          <w:p w:rsidR="00454CFC" w:rsidRPr="00661595" w:rsidRDefault="00AC6255" w:rsidP="0002267E">
            <w:pPr>
              <w:rPr>
                <w:rFonts w:ascii="Times New Roman" w:hAnsi="Times New Roman"/>
                <w:sz w:val="24"/>
              </w:rPr>
            </w:pPr>
            <w:r>
              <w:t xml:space="preserve">A CRR 92. cikkének (4) bekezdése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A 0070. oszlopban megadott szavatolótőke-követelmény szorozva 12,5-del.</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EBBŐL: ALLOKÁCIÓS ELJÁRÁSBÓL SZÁRMAZÓ</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bCs/>
                <w:sz w:val="24"/>
              </w:rPr>
              <w:t>Ha az intézmény a CRR 312. cikke (2) bekezdésének megfelelően engedélyt kapott a fejlett mérési módszer konszolidált szintű alkalmazására</w:t>
            </w:r>
            <w:r>
              <w:rPr>
                <w:rFonts w:ascii="Times New Roman" w:hAnsi="Times New Roman"/>
                <w:sz w:val="24"/>
              </w:rPr>
              <w:t xml:space="preserve"> (a CRR 18. cikkének (1) bekezdése), akkor a működési kockázati tőkének a csoporthoz tartozó különböző szervezetek közötti allokálása az intézmények által arra alkalmazott módszer alapján történik, amely alapján figyelembe veszik az EU-szintű hitelintézeti anyavállalat és leányvállalatai, vagy egy EU-szintű pénzügyi holdingtársaság anyavállalat vagy egy EU-szintű vegyes pénzügyi holdingtársaság anyavállalat leányvállalatai által együttesen használt kockázatmérési rendszerben a diverzifikációs hatásokat. Az említett allokáció eredményét ebben az oszlopban kell feltüntetni.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TÁJÉKOZTATÓ ADATOK A FEJLETT MÉRÉSI MÓDSZEREK ALKALMAZÁSÁRÓL, ADOTT ESETBEN SZOLGÁLTATANDÓ</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SZAVATOLÓTŐKE-KÖVETELMÉNY A VÁRHATÓ VESZTESÉG, A DIVERZIFIKÁCIÓ ÉS A KOCKÁZATMÉRSÉKLÉSI TECHNIKÁK MIATTI MÉRSÉKLÉS ELŐTT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090-es oszlopban feltüntetett szavatolótőke-követelmény megegyezik a 070-es oszlopban szereplő adatnak a várható veszteség, a diverzifikáció és a kockázatmérséklési technikák miatti mérséklő hatás figyelembevétele előtt számított értékével (lásd lejjebb).</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 SZAVATOLÓTŐKE-KÖVETELMÉNY MÉRSÉKLÉSE A BELSŐ ÜZLETVITELI GYAKORLATBAN FIGYELEMBE VETT VÁRHATÓ VESZTESÉG MIATT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100-as oszlopban a szavatolótőke-követelménynek a belső üzletviteli gyakorlatban figyelembe vett várható veszteség miatti mérséklését kell megadni a CRR 322 cikke (2) bekezdésének a) pontjában említetteknek megfelelően.</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A SZAVATOLÓTŐKE-KÖVETELMÉNY MÉRSÉKLÉSE DIVERZIFIKÁCIÓ MIATT</w:t>
            </w:r>
          </w:p>
          <w:p w:rsidR="00AC6255" w:rsidRPr="00661595" w:rsidRDefault="00AC6255" w:rsidP="000B0B09">
            <w:pPr>
              <w:rPr>
                <w:rFonts w:ascii="Times New Roman" w:hAnsi="Times New Roman"/>
                <w:sz w:val="24"/>
              </w:rPr>
            </w:pPr>
            <w:r>
              <w:rPr>
                <w:rFonts w:ascii="Times New Roman" w:hAnsi="Times New Roman"/>
                <w:sz w:val="24"/>
              </w:rPr>
              <w:t>Az ezen oszlopban szereplő diverzifikációs hatás az egyes működésikockázat-osztályokra vonatkozóan külön számított szavatolótőke-követelmények összegének (tökéletes függőségi helyzet), valamint a függőségi és korrelációs hatások figyelembevételével számított diverzifikált szavatolótőke-követelménynek (a kockázati osztályok között feltételezett nem tökéletes függőségi helyzet) a különbsége. Tökéletes függőségi helyzet az alapesetben áll fenn, vagyis amikor az intézmény nem alkalmaz kifejezetten a kockázati osztályok közötti korrelációt mérő struktúrát, így a fejlett mérési módszerrel megállapított tőke a választott kockázati osztályok egyedi működési kockázati mérőszámainak az összegeként számítható ki. Ilyenkor a kockázati osztályok között 100 %-os korrelációt kell feltételezni, és az oszlopban a nulla értéket kell megadni. Ezzel szemben akkor, ha az intézmény kifejezetten a kockázati osztályok közötti korrelációt mérő struktúrát alkalmaz, akkor ebben az oszlopban az alapesetből eredő, fejlett mérési módszerrel megállapított tőke és a kockázati osztályok közötti korrelációt mérő struktúra alkalmazása után kapott érték különbözetét kell feltüntetnie. Ez az érték a fejlett mérési módszerre épülő modell diverzifikációs kapacitását mutatja, vagyis a modell azon képességét, hogy a működési kockázatból eredő súlyos veszteséget okozó, nem egyidejű veszteségesemények előfordulását figyelembe vegye. A 110-es oszlopban azt az összeget kell feltüntetni, amellyel a feltételezett korrelációs struktúra a fejlett mérési módszerrel megállapított tőkét csökkenti a 100 %-os feltételezéshez képest.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A SZAVATOLÓTŐKE-KÖVETELMÉNY MÉRSÉKLÉSE KOCKÁZATMÉRSÉKLÉSI TECHNIKÁK (BIZTOSÍTÁS ÉS EGYÉB KOCKÁZAT-ÁTRUHÁZÁSI MECHANIZMUSOK) MIATT</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Ebben az oszlopban a CRR 323. cikkében említett biztosítás és más kockázatátruházási mechanizmusok hatását kell feltüntetni.</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110B3D"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Sorok</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AZ ALAPMUTATÓ-MÓDSZER (BIA) SZERINTI BANKI TEVÉKENYSÉGEK</w:t>
            </w:r>
          </w:p>
          <w:p w:rsidR="00AC6255" w:rsidRPr="00110B3D"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Ez a sor az alapmutató módszerének alkalmazási körébe tartozó banki tevékenységekre vonatkozó összegeket mutatja be a működési kockázathoz kapcsolódó szavatolótőke-követelmény kiszámítása céljából (a CRR 315. és 316. cikke).</w:t>
            </w:r>
          </w:p>
          <w:p w:rsidR="00AC6255" w:rsidRPr="00110B3D" w:rsidRDefault="00AC6255" w:rsidP="000B0B09">
            <w:pPr>
              <w:pStyle w:val="PlainText"/>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 SZTENDERD (TSA)/ALTERNATÍV SZTENDERD MÓDSZER (ASA) SZERINTI BANKI TEVÉKENYSÉGEK</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A sztenderd módszerrel és alternatív sztenderd módszerrel (a CRR 317–319. cikke alapján) kiszámított szavatolótőke-követelményt kell feltüntetni.</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A SZTENDERD MÓDSZER SZERINT</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A sztenderd módszer alkalmazása esetén az adott évekre vonatkozó irányadó mutatót a 0030–0100. sorban a CRR 317. cikkében található 2. táblázatban említett üzletágak között kell felosztani. A tevékenységek üzletág szerinti besorolásakor a CRR 318. cikkében foglalt elveket kell követni.</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AZ ALTERNATÍV SZTENDERD MÓDSZER SZERINT</w:t>
            </w:r>
          </w:p>
          <w:p w:rsidR="00AC6255" w:rsidRPr="00661595" w:rsidRDefault="00AC6255" w:rsidP="000B0B09">
            <w:pPr>
              <w:rPr>
                <w:rFonts w:ascii="Times New Roman" w:hAnsi="Times New Roman"/>
                <w:sz w:val="24"/>
              </w:rPr>
            </w:pPr>
            <w:r>
              <w:rPr>
                <w:rFonts w:ascii="Times New Roman" w:hAnsi="Times New Roman"/>
                <w:sz w:val="24"/>
              </w:rPr>
              <w:t xml:space="preserve">A CRR 319. cikke szerinti alternatív sztenderd módszert alkalmazó intézményeknek a vonatkozó évekre az irányadó mutatót üzletáganként elkülönítve kell megadniuk a 0030–0050. és 0080–0100. sorban, valamint a „kereskedelmi banki tevékenység” és „lakossági banki tevékenység” üzletágra vonatkozóan a 0110-es és 0120-as sorban.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A 110-es és 120-as sor</w:t>
            </w:r>
            <w:r>
              <w:rPr>
                <w:rFonts w:ascii="Times New Roman" w:hAnsi="Times New Roman"/>
                <w:sz w:val="24"/>
              </w:rPr>
              <w:t xml:space="preserve"> az alternatív sztenderd módszer alkalmazási körébe </w:t>
            </w:r>
            <w:r>
              <w:rPr>
                <w:rStyle w:val="InstructionsTabelleText"/>
                <w:rFonts w:ascii="Times New Roman" w:hAnsi="Times New Roman"/>
                <w:sz w:val="24"/>
              </w:rPr>
              <w:t>tartozó tevékenységekre vonatkozóan mutatja az irányadó mutató értékét, megkülönböztetve a „kereskedelmi banki tevékenység” üzletágba és a „lakossági banki tevékenység” üzletágba tartozó tevékenységeknek megfelelő összegeket</w:t>
            </w:r>
            <w:r>
              <w:rPr>
                <w:rFonts w:ascii="Times New Roman" w:hAnsi="Times New Roman"/>
                <w:sz w:val="24"/>
              </w:rPr>
              <w:t xml:space="preserve"> (a CRR 319. cikke</w:t>
            </w:r>
            <w:r>
              <w:rPr>
                <w:rStyle w:val="InstructionsTabelleText"/>
                <w:rFonts w:ascii="Times New Roman" w:hAnsi="Times New Roman"/>
                <w:sz w:val="24"/>
              </w:rPr>
              <w:t>). Egyszerre szerepelhet érték a „kereskedelmi banki tevékenység” és „lakossági banki tevékenység” üzletágaknak a sztenderd módszer szerinti 0060. és 0070. sorában és az alternatív sztenderd módszer szerinti 0110. és 0120. sorában, pl. ha egy leányvállalat a sztenderd módszer, míg anyavállalata az alternatív sztenderd módszer alkalmazási körébe tartozik.</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 FEJLETT MÉRÉSI MÓDSZEREK (AMA) SZERINTI BANKI TEVÉKENYSÉGEK</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Ebben a sorban a CRR 312. cikkének (2) bekezdése, valamint 321–323. cikke szerint a fejlett mérési módszerek alkalmazási körébe tartozó intézmények vonatkozó adatait kell megadni.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 különböző módszerek együttes (a CRR 314. cikkében említett) alkalmazása esetén ebben a sorban kell megadni a fejlett mérési módszerek szerinti tevékenységek irányadó mutatójával kapcsolatos információkat. Ugyanígy kell eljárni a fejlett mérési módszereket alkalmazó egyéb bankokkal is.</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110B3D"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858682"/>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rsidRPr="0055388B">
        <w:rPr>
          <w:u w:val="none"/>
        </w:rPr>
        <w:tab/>
      </w:r>
      <w:r>
        <w:rPr>
          <w:rFonts w:ascii="Times New Roman" w:hAnsi="Times New Roman"/>
          <w:sz w:val="24"/>
        </w:rPr>
        <w:t>Működési kockázat: Az előző évi veszteségekre vonatkozó részletes információk (OPR DETAILS)</w:t>
      </w:r>
      <w:bookmarkEnd w:id="576"/>
      <w:bookmarkEnd w:id="57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858683"/>
      <w:r>
        <w:rPr>
          <w:rFonts w:ascii="Times New Roman" w:hAnsi="Times New Roman"/>
          <w:sz w:val="24"/>
          <w:u w:val="none"/>
        </w:rPr>
        <w:t>4.2.1.</w:t>
      </w:r>
      <w:r w:rsidRPr="0055388B">
        <w:rPr>
          <w:u w:val="none"/>
        </w:rPr>
        <w:tab/>
      </w:r>
      <w:r>
        <w:rPr>
          <w:rFonts w:ascii="Times New Roman" w:hAnsi="Times New Roman"/>
          <w:sz w:val="24"/>
        </w:rPr>
        <w:t>Általános megjegyzések</w:t>
      </w:r>
      <w:bookmarkEnd w:id="578"/>
      <w:bookmarkEnd w:id="579"/>
    </w:p>
    <w:p w:rsidR="00FD54FC" w:rsidRPr="00661595" w:rsidRDefault="0055388B" w:rsidP="00487A02">
      <w:pPr>
        <w:pStyle w:val="InstructionsText2"/>
        <w:numPr>
          <w:ilvl w:val="0"/>
          <w:numId w:val="0"/>
        </w:numPr>
        <w:ind w:left="1353" w:hanging="360"/>
      </w:pPr>
      <w:fldSimple w:instr=" seq paragraphs ">
        <w:r w:rsidR="00D11E4C">
          <w:rPr>
            <w:noProof/>
          </w:rPr>
          <w:t>142</w:t>
        </w:r>
      </w:fldSimple>
      <w:r w:rsidR="00D11E4C">
        <w:t>.</w:t>
      </w:r>
      <w:r w:rsidR="00D11E4C">
        <w:tab/>
        <w:t xml:space="preserve"> A C 17.01 (OPR DETAILS 1) tábla az intézmény által az előző évben elkönyvelt bruttó veszteséggel és megtérült veszteséggel kapcsolatos információkat összesíti eseménytípusonként és üzletáganként. A C 17.02 (OPR DETAILS 2) tábla az előző évi legnagyobb veszteségeseményekről ad részletes információkat. </w:t>
      </w:r>
    </w:p>
    <w:p w:rsidR="00FD54FC" w:rsidRPr="00661595" w:rsidRDefault="0055388B" w:rsidP="00487A02">
      <w:pPr>
        <w:pStyle w:val="InstructionsText2"/>
        <w:numPr>
          <w:ilvl w:val="0"/>
          <w:numId w:val="0"/>
        </w:numPr>
        <w:ind w:left="1353" w:hanging="360"/>
      </w:pPr>
      <w:fldSimple w:instr=" seq paragraphs ">
        <w:r w:rsidR="00D11E4C">
          <w:rPr>
            <w:noProof/>
          </w:rPr>
          <w:t>143</w:t>
        </w:r>
      </w:fldSimple>
      <w:r w:rsidR="00D11E4C">
        <w:t>. A hitelkockázathoz kapcsolódó és a hitelkockázatra vonatkozó szavatolótőke-követelmény hatálya alá tartozó működési kockázati veszteségeket (határhelyzetű hitelvonatkozású működési kockázati események) sem a C 17.01 sem a C 17.02 táblában nem kell figyelembe venni.</w:t>
      </w:r>
    </w:p>
    <w:p w:rsidR="00FD54FC" w:rsidRPr="00661595" w:rsidRDefault="0055388B" w:rsidP="00487A02">
      <w:pPr>
        <w:pStyle w:val="InstructionsText2"/>
        <w:numPr>
          <w:ilvl w:val="0"/>
          <w:numId w:val="0"/>
        </w:numPr>
        <w:ind w:left="1353" w:hanging="360"/>
      </w:pPr>
      <w:fldSimple w:instr=" seq paragraphs ">
        <w:r w:rsidR="00D11E4C">
          <w:rPr>
            <w:noProof/>
          </w:rPr>
          <w:t>144</w:t>
        </w:r>
      </w:fldSimple>
      <w:r w:rsidR="00D11E4C">
        <w:t>. Amennyiben a CRR 314. cikkének megfelelően a működési kockázat szavatolótőke-követelményének kiszámítása különböző módszerek együttes alkalmazásával történik, az intézmény által regisztrált veszteségeket és a megtérült veszteségeket jelenteni kell a C 17.01 és C 17.02 táblában, tekintet nélkül a szavatolótőke-követelmény kiszámításához használt módszerre.</w:t>
      </w:r>
    </w:p>
    <w:p w:rsidR="00FD54FC" w:rsidRPr="00661595" w:rsidRDefault="0055388B" w:rsidP="00487A02">
      <w:pPr>
        <w:pStyle w:val="InstructionsText2"/>
        <w:numPr>
          <w:ilvl w:val="0"/>
          <w:numId w:val="0"/>
        </w:numPr>
        <w:ind w:left="1353" w:hanging="360"/>
      </w:pPr>
      <w:fldSimple w:instr=" seq paragraphs ">
        <w:r w:rsidR="00D11E4C">
          <w:rPr>
            <w:noProof/>
          </w:rPr>
          <w:t>145</w:t>
        </w:r>
      </w:fldSimple>
      <w:r w:rsidR="00D11E4C">
        <w:t xml:space="preserve">. A „bruttó veszteség” a CRR 322. cikke (3) bekezdésének b) pontjában említetteknek megfelelően a működési kockázati eseményből vagy veszteségesemény-típusból adódó, az esetleges megtérült veszteség előtti veszteség, az alább definiált „gyorsan megtérült veszteségesemények” sérelme nélkül. </w:t>
      </w:r>
    </w:p>
    <w:p w:rsidR="00FD54FC" w:rsidRPr="00661595" w:rsidRDefault="0055388B" w:rsidP="00487A02">
      <w:pPr>
        <w:pStyle w:val="InstructionsText2"/>
        <w:numPr>
          <w:ilvl w:val="0"/>
          <w:numId w:val="0"/>
        </w:numPr>
        <w:ind w:left="1353" w:hanging="360"/>
      </w:pPr>
      <w:fldSimple w:instr=" seq paragraphs ">
        <w:r w:rsidR="00D11E4C">
          <w:rPr>
            <w:noProof/>
          </w:rPr>
          <w:t>146</w:t>
        </w:r>
      </w:fldSimple>
      <w:r w:rsidR="00D11E4C">
        <w:t xml:space="preserve">. A </w:t>
      </w:r>
      <w:r>
        <w:t>„</w:t>
      </w:r>
      <w:r w:rsidR="00D11E4C">
        <w:t>megtérült veszteség</w:t>
      </w:r>
      <w:r>
        <w:t>”</w:t>
      </w:r>
      <w:r w:rsidR="00D11E4C">
        <w:t xml:space="preserve"> az eredeti működési kockázati veszteséggel összefüggő, attól időben elkülönülő, független esemény, amelynek során az intézményhez első vagy harmadik felektől – például biztosítóktól vagy más felektől – pénz vagy gazdasági előny folyik be. A megtérült veszteségeket biztosításból és más kockázatátruházási mechanizmusokból származó megtérült veszteségekre és közvetlenül megtérült veszteségekre kell bontani.</w:t>
      </w:r>
    </w:p>
    <w:p w:rsidR="00FD54FC" w:rsidRPr="00661595" w:rsidRDefault="0055388B" w:rsidP="00487A02">
      <w:pPr>
        <w:pStyle w:val="InstructionsText2"/>
        <w:numPr>
          <w:ilvl w:val="0"/>
          <w:numId w:val="0"/>
        </w:numPr>
        <w:ind w:left="1353" w:hanging="360"/>
      </w:pPr>
      <w:fldSimple w:instr=" seq paragraphs ">
        <w:r w:rsidR="00D11E4C">
          <w:rPr>
            <w:noProof/>
          </w:rPr>
          <w:t>147</w:t>
        </w:r>
      </w:fldSimple>
      <w:r w:rsidR="00D11E4C">
        <w:t>.</w:t>
      </w:r>
      <w:r w:rsidR="00D11E4C">
        <w:tab/>
        <w:t xml:space="preserve"> A </w:t>
      </w:r>
      <w:r>
        <w:t>„</w:t>
      </w:r>
      <w:r w:rsidR="00D11E4C">
        <w:t>gyorsan megtérült veszteségesemény</w:t>
      </w:r>
      <w:r>
        <w:t>”</w:t>
      </w:r>
      <w:r w:rsidR="00D11E4C">
        <w:t xml:space="preserve"> olyan működési kockázati esemény, amelynek veszteségei részben vagy egészben öt munkanapon belül megtérülnek. Gyorsan megtérült veszteségesemény esetében a bruttó veszteségnek csak a maradéktalanul meg nem térült veszteségrész (a gyorsan megtérült veszteségrész levonásával képzett veszteség) képezi részét. Következésképpen sem a bruttó veszteség meghatározása, sem az OPR DETAILS adatszolgáltatás egyéb elemei nem tartalmazzák az öt munkanapon belül teljes mértékben megtérült veszteségekhez vezető veszteségeseményeket.</w:t>
      </w:r>
    </w:p>
    <w:p w:rsidR="00FD54FC" w:rsidRPr="00661595" w:rsidRDefault="0055388B" w:rsidP="00487A02">
      <w:pPr>
        <w:pStyle w:val="InstructionsText2"/>
        <w:numPr>
          <w:ilvl w:val="0"/>
          <w:numId w:val="0"/>
        </w:numPr>
        <w:ind w:left="1353" w:hanging="360"/>
      </w:pPr>
      <w:fldSimple w:instr=" seq paragraphs ">
        <w:r w:rsidR="00D11E4C">
          <w:rPr>
            <w:noProof/>
          </w:rPr>
          <w:t>148</w:t>
        </w:r>
      </w:fldSimple>
      <w:r w:rsidR="00D11E4C">
        <w:t>.</w:t>
      </w:r>
      <w:r w:rsidR="00D11E4C">
        <w:tab/>
        <w:t xml:space="preserve"> Az „elszámolás napja” az a nap, amikor a veszteség vagy tartalék/céltartalék először került megjelenítésre az eredménykimutatásban a működési kockázati veszteséggel szemben. Logikus módon, ez a nap későbbi, mint az „esemény napja” (az a nap, amikor a működési kockázati esemény bekövetkezett vagy kezdetét vette) és a „felismerés napja” (az a nap, amikor a működési kockázati esemény az intézmény tudomására jutott). </w:t>
      </w:r>
    </w:p>
    <w:p w:rsidR="00FD54FC" w:rsidRPr="00661595" w:rsidRDefault="0055388B" w:rsidP="00487A02">
      <w:pPr>
        <w:pStyle w:val="InstructionsText2"/>
        <w:numPr>
          <w:ilvl w:val="0"/>
          <w:numId w:val="0"/>
        </w:numPr>
        <w:ind w:left="1353" w:hanging="360"/>
      </w:pPr>
      <w:fldSimple w:instr=" seq paragraphs ">
        <w:r w:rsidR="00D11E4C">
          <w:rPr>
            <w:noProof/>
          </w:rPr>
          <w:t>149</w:t>
        </w:r>
      </w:fldSimple>
      <w:r w:rsidR="00D11E4C">
        <w:t>.</w:t>
      </w:r>
      <w:r w:rsidR="00D11E4C">
        <w:tab/>
        <w:t xml:space="preserve"> A közös működési kockázati esemény vagy eseményeket/veszteségeket generáló egyetlen eredeti működési kockázati eseményhez („alapesemény”) kapcsolódó több esemény által okozott veszteségeket össze kell vonni. Az összevont eseményeket egy eseményként kell figyelembe venni és jelenteni, így a vonatkozó bruttó veszteségeket, illetve a veszteségkorrekciókat összegezni kell.</w:t>
      </w:r>
    </w:p>
    <w:p w:rsidR="00FD54FC" w:rsidRPr="00661595" w:rsidRDefault="0055388B" w:rsidP="00487A02">
      <w:pPr>
        <w:pStyle w:val="InstructionsText2"/>
        <w:numPr>
          <w:ilvl w:val="0"/>
          <w:numId w:val="0"/>
        </w:numPr>
        <w:ind w:left="1353" w:hanging="360"/>
      </w:pPr>
      <w:fldSimple w:instr=" seq paragraphs ">
        <w:r w:rsidR="00D11E4C">
          <w:rPr>
            <w:noProof/>
          </w:rPr>
          <w:t>150</w:t>
        </w:r>
      </w:fldSimple>
      <w:r w:rsidR="00D11E4C">
        <w:t>.</w:t>
      </w:r>
      <w:r w:rsidR="00D11E4C">
        <w:tab/>
        <w:t xml:space="preserve"> Az adott év júniusában jelentett adatok köztes adatok; a végleges adatokat decemberben jelentik az intézmények. Így a júniusban jelentett adatok hat hónapos referencia-időszakra vonatkoznak (január 1-től június 30-ig), míg a decemberben jelentett adatok tizenkét hónapos referencia-időszakra vonatkoznak (január 1-től december 31-ig). A „korábbi adatszolgáltatási referencia-időszakok” kifejezés mind a júniusban, mind a decemberben jelentett adatok esetében a megelőző naptári év végéig lezárult összes adatszolgáltatási referencia-időszakot jelöli (beleértve tehát azt is, amely a megelőző naptári év végén zárul).</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858684"/>
      <w:r>
        <w:rPr>
          <w:rFonts w:ascii="Times New Roman" w:hAnsi="Times New Roman"/>
          <w:sz w:val="24"/>
          <w:u w:val="none"/>
        </w:rPr>
        <w:t>4.2.2</w:t>
      </w:r>
      <w:r w:rsidRPr="0055388B">
        <w:rPr>
          <w:rFonts w:ascii="Times New Roman" w:hAnsi="Times New Roman"/>
          <w:sz w:val="24"/>
          <w:u w:val="none"/>
        </w:rPr>
        <w:t>.</w:t>
      </w:r>
      <w:r w:rsidRPr="0055388B">
        <w:rPr>
          <w:u w:val="none"/>
        </w:rPr>
        <w:tab/>
      </w:r>
      <w:r>
        <w:rPr>
          <w:rFonts w:ascii="Times New Roman" w:hAnsi="Times New Roman"/>
          <w:sz w:val="24"/>
        </w:rPr>
        <w:t>C 17.01: Működési kockázat: Az előző évi veszteségek és megtérült veszteségek üzletáganként és veszteségesemény-típusonként (OPR DETAILS 1)</w:t>
      </w:r>
      <w:bookmarkEnd w:id="580"/>
      <w:bookmarkEnd w:id="581"/>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858685"/>
      <w:r>
        <w:rPr>
          <w:rFonts w:ascii="Times New Roman" w:hAnsi="Times New Roman"/>
          <w:sz w:val="24"/>
          <w:u w:val="none"/>
        </w:rPr>
        <w:t>4.2.2.1.</w:t>
      </w:r>
      <w:r w:rsidRPr="0055388B">
        <w:rPr>
          <w:u w:val="none"/>
        </w:rPr>
        <w:tab/>
      </w:r>
      <w:r>
        <w:rPr>
          <w:rFonts w:ascii="Times New Roman" w:hAnsi="Times New Roman"/>
          <w:sz w:val="24"/>
        </w:rPr>
        <w:t>Általános megjegyzések</w:t>
      </w:r>
      <w:bookmarkEnd w:id="582"/>
      <w:bookmarkEnd w:id="583"/>
    </w:p>
    <w:p w:rsidR="00FD54FC" w:rsidRPr="00661595" w:rsidRDefault="0055388B" w:rsidP="00487A02">
      <w:pPr>
        <w:pStyle w:val="InstructionsText2"/>
        <w:numPr>
          <w:ilvl w:val="0"/>
          <w:numId w:val="0"/>
        </w:numPr>
        <w:ind w:left="1353" w:hanging="360"/>
      </w:pPr>
      <w:fldSimple w:instr=" seq paragraphs ">
        <w:r w:rsidR="00D11E4C">
          <w:rPr>
            <w:noProof/>
          </w:rPr>
          <w:t>151</w:t>
        </w:r>
      </w:fldSimple>
      <w:r w:rsidR="00D11E4C">
        <w:t>. A C 17.01 táblában az információkat a belső küszöbértékeket meghaladó veszteségek és megtérült veszteségek üzletágak (a CRR 317. cikkében található 2. táblázatban meghatározott üzletágak, valamint a CRR 322. cikke (3) bekezdésének b) pontjában említett „társasági szintű tételek” üzletág) és (a CRR 324. cikkében meghatározott) veszteségesemény-típusok közötti felosztásával kell bemutatni. Lehetséges, hogy egy adott eseményhez tartozó veszteségek több üzletág között kerülnek felosztásra.</w:t>
      </w:r>
    </w:p>
    <w:p w:rsidR="00FD54FC" w:rsidRPr="00661595" w:rsidRDefault="0055388B" w:rsidP="00487A02">
      <w:pPr>
        <w:pStyle w:val="InstructionsText2"/>
        <w:numPr>
          <w:ilvl w:val="0"/>
          <w:numId w:val="0"/>
        </w:numPr>
        <w:ind w:left="1353" w:hanging="360"/>
      </w:pPr>
      <w:fldSimple w:instr=" seq paragraphs ">
        <w:r w:rsidR="00D11E4C">
          <w:rPr>
            <w:noProof/>
          </w:rPr>
          <w:t>152</w:t>
        </w:r>
      </w:fldSimple>
      <w:r w:rsidR="00D11E4C">
        <w:t>. Az oszlopok a különböző veszteségesemény-típusokat és az egyes üzletágakra vonatkozó összértéket jelenítik meg egy tájékoztató adattal együtt, amely a veszteségekre vonatkozó adatgyűjtés során alkalmazott legalacsonyabb belső küszöbértéket mutatja, amelyből egynél több küszöbérték esetén az egyes üzletágakon belül megállapítható a legalacsonyabb és legmagasabb küszöbérték.</w:t>
      </w:r>
    </w:p>
    <w:p w:rsidR="00FD54FC" w:rsidRPr="00661595" w:rsidRDefault="0055388B" w:rsidP="00487A02">
      <w:pPr>
        <w:pStyle w:val="InstructionsText2"/>
        <w:numPr>
          <w:ilvl w:val="0"/>
          <w:numId w:val="0"/>
        </w:numPr>
        <w:ind w:left="1353" w:hanging="360"/>
      </w:pPr>
      <w:fldSimple w:instr=" seq paragraphs ">
        <w:r w:rsidR="00D11E4C">
          <w:rPr>
            <w:noProof/>
          </w:rPr>
          <w:t>153</w:t>
        </w:r>
      </w:fldSimple>
      <w:r w:rsidR="00D11E4C">
        <w:t>.</w:t>
      </w:r>
      <w:r w:rsidR="00D11E4C">
        <w:tab/>
        <w:t xml:space="preserve"> A sorok az üzletágakat jelenítik meg, valamint az egyes üzletágakon belül a veszteségesemények számára (új veszteségesemények), a bruttó veszteségértékre (új veszteségesemények), a veszteségkorrekcióval érintett veszteségesemények számára, a korábbi adatszolgáltatási időszakokhoz kapcsolódó veszteségkorrekciókra, a legnagyobb egyedi veszteségre, az öt legnagyobb veszteség összegére és a teljes megtérült veszteségre (közvetlen megtérült veszteség és biztosításból és más kockázatátruházási mechanizmusokból származó megtérülés) vonatkozó információkat tartalmaznak.</w:t>
      </w:r>
    </w:p>
    <w:p w:rsidR="00FD54FC" w:rsidRPr="00661595" w:rsidRDefault="0055388B" w:rsidP="00487A02">
      <w:pPr>
        <w:pStyle w:val="InstructionsText2"/>
        <w:numPr>
          <w:ilvl w:val="0"/>
          <w:numId w:val="0"/>
        </w:numPr>
        <w:ind w:left="1353" w:hanging="360"/>
      </w:pPr>
      <w:fldSimple w:instr=" seq paragraphs ">
        <w:r w:rsidR="00D11E4C">
          <w:rPr>
            <w:noProof/>
          </w:rPr>
          <w:t>154</w:t>
        </w:r>
      </w:fldSimple>
      <w:r w:rsidR="00D11E4C">
        <w:t>. Az „üzletágak összesen” sorokban a veszteségesemények számát és a bruttó veszteségértéket megadott küszöbértékek (10 000, 20 000, 100 000 és 1 000 000) szerint rendezett tartományokba sorolva kell megadni. A küszöbértékek EUR-ban vannak megadva, és céljuk a megadott veszteségértékek intézmények közötti összehasonlíthatóságának biztosítása. Az említett küszöbértékek ezért nem szükségképpen felelnek meg a veszteségadatok belső gyűjtésekor használt, a tábla más szakaszában megadott alsó küszöbértékeknek.</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858686"/>
      <w:r>
        <w:rPr>
          <w:rFonts w:ascii="Times New Roman" w:hAnsi="Times New Roman"/>
          <w:sz w:val="24"/>
          <w:u w:val="none"/>
        </w:rPr>
        <w:t>4.2.2.2.</w:t>
      </w:r>
      <w:r w:rsidRPr="0055388B">
        <w:rPr>
          <w:u w:val="none"/>
        </w:rPr>
        <w:tab/>
      </w:r>
      <w:r>
        <w:rPr>
          <w:rFonts w:ascii="Times New Roman" w:hAnsi="Times New Roman"/>
          <w:sz w:val="24"/>
        </w:rPr>
        <w:t>A tábla egyes részeire vonatkozó útmutató</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Oszlop</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ESEMÉNYTÍPUSOK</w:t>
            </w:r>
          </w:p>
          <w:p w:rsidR="00FD54FC" w:rsidRPr="00661595" w:rsidRDefault="00FD54FC" w:rsidP="00FD54FC">
            <w:pPr>
              <w:rPr>
                <w:rFonts w:ascii="Times New Roman" w:hAnsi="Times New Roman"/>
                <w:sz w:val="24"/>
              </w:rPr>
            </w:pPr>
            <w:r>
              <w:rPr>
                <w:rFonts w:ascii="Times New Roman" w:hAnsi="Times New Roman"/>
                <w:sz w:val="24"/>
              </w:rPr>
              <w:t xml:space="preserve">Az intézmények a veszteségeket a 0010–0070. oszlopban a CRR 324. cikkében említett veszteségesemény-típusoknak megfelelően tüntetik fel. </w:t>
            </w:r>
          </w:p>
          <w:p w:rsidR="00FD54FC" w:rsidRPr="00661595" w:rsidRDefault="00FD54FC" w:rsidP="00871877">
            <w:pPr>
              <w:rPr>
                <w:rFonts w:ascii="Times New Roman" w:hAnsi="Times New Roman"/>
                <w:bCs/>
                <w:sz w:val="24"/>
              </w:rPr>
            </w:pPr>
            <w:r>
              <w:rPr>
                <w:rFonts w:ascii="Times New Roman" w:hAnsi="Times New Roman"/>
                <w:bCs/>
                <w:sz w:val="24"/>
              </w:rPr>
              <w:t>A szavatolótőke-követelményt az alapmutató módszere szerint számító intézmények a felsorolt veszteségesemény-típusokba nem sorolható veszteségeket csak a 080-as oszlopban adhatják meg.</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VESZTESÉGESEMÉNY-TÍPUSOK ÖSSZESEN</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A 0080-as oszlopban az egyes üzletágakra vonatkozóan az intézmények a veszteségesemények száma (új veszteségesemények) sor összesenjét, a bruttó veszteségérték (új veszteségesemények) sor összesenjét, a veszteségkorrekcióval érintett veszteségesemények száma sor összesenjét, a korábbi adatszolgáltatási időszakokhoz kapcsolódó veszteségkorrekciók sor összesenjét, a legnagyobb egyedi veszteséget, az öt legnagyobb veszteség összegét, valamint a teljes közvetlen megtérült veszteség sor összesenjét és a biztosításból és más kockázatátruházási mechanizmusokból származó teljes megtérülés sor összesenjét jelentik.</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Amennyiben az intézmény minden veszteség esetében azonosított veszteségesemény-típust, a 080-as oszlopban a 0010–0070. oszlopban megadott eseményszámok, teljes bruttó veszteségértékek, teljes megtérült veszteségek és korábbi adatszolgáltatási időszakokhoz kapcsolódó veszteségkorrekciók egyszerű összegét tüntetik fel.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Amennyiben az intézmény minden veszteség esetében azonosított veszteségesemény-típust, a 0080. oszlopban feltüntetendő legnagyobb egyedi veszteség a 0010–0070. oszlopokban feltüntetett legnagyobb egyedi veszteségek közül a legnagyobb.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Az öt legnagyobb veszteség összegénél a 0080-as oszlopban az egy üzletágon belüli öt legnagyobb veszteség összegét kell megadni.</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TÁJÉKOZTATÓ ADAT: AZ ADATGYŰJTÉS SORÁN ALKALMAZOTT KÜSZÖBÉRTÉK</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 0090-es és 0100-as oszlopban az intézmények azokat az alsó küszöbértékeket tüntetik fel, amelyeket a CRR 322. cikke (3) bekezdése c) pontjának utolsó mondata alapján a veszteségadatok belső gyűjtésekor alkalmaznak.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Ha az intézmény az egyes üzletágakon belül csak egy küszöbértéket alkalmaz, akkor csak a 0090-es oszlopot kell kitölteni.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lastRenderedPageBreak/>
              <w:t>Ha az intézmény azonos üzletágon belül több különböző küszöbértéket alkalmaz, akkor a legmagasabb alkalmazott küszöbértéket is meg kell adni (0100-as oszlop).</w:t>
            </w:r>
          </w:p>
        </w:tc>
      </w:tr>
    </w:tbl>
    <w:p w:rsidR="00FD54FC" w:rsidRPr="00110B3D"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Sorok</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ÜZLETÁGAK: VÁLLALATI PÉNZÜGYEK, KERESKEDÉS ÉS ÉRTÉKESÍTÉS, LAKOSSÁGI KÖZVETÍTŐI TEVÉKENYSÉG, KERESKEDELMI BANKI TEVÉKENYSÉG, LAKOSSÁGI BANKI TEVÉKENYSÉG, FIZETÉSI ÉS ELSZÁMOLÁSI SZOLGÁLTATÁSOK, ÜGYNÖKI SZOLGÁLTATÁSOK, VAGYONKEZELÉS, TÁRSASÁGI SZINTŰ TÉTELEK</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A CRR 317. cikkének (4) bekezdésének 2. táblázatában említett üzletágakra, ideértve a 322. cikk (3) bekezdésének b) pontjában említett „társasági szintű tételek” üzletágat, valamint az egyes veszteségesemény-típusokra vonatkozóan az intézmény a belső küszöbértékeknek megfelelően a következő információkat tünteti fel: a események száma (új veszteségesemények), a bruttó veszteségérték (új veszteségesemények), a veszteségkorrekcióval érintett veszteségesemények száma, a korábbi adatszolgáltatási időszakokhoz kapcsolódó veszteségkorrekciók, a legnagyobb egyedi veszteség, az öt legnagyobb veszteség összege, teljes közvetlen megtérült veszteség és a biztosításból és más kockázatátruházási mechanizmusokból származó teljes megtérülés).</w:t>
            </w:r>
          </w:p>
          <w:p w:rsidR="00FD54FC" w:rsidRPr="00661595" w:rsidRDefault="00FD54FC" w:rsidP="00FD54FC">
            <w:pPr>
              <w:rPr>
                <w:rFonts w:ascii="Times New Roman" w:hAnsi="Times New Roman"/>
                <w:sz w:val="24"/>
              </w:rPr>
            </w:pPr>
            <w:r>
              <w:rPr>
                <w:rFonts w:ascii="Times New Roman" w:hAnsi="Times New Roman"/>
                <w:sz w:val="24"/>
              </w:rPr>
              <w:t>Az olyan veszteséget okozó eseménynél, amely több üzletágat érint, a bruttó veszteségértéket fel kell osztani az összes érintett üzletág között.</w:t>
            </w:r>
          </w:p>
          <w:p w:rsidR="00FD54FC" w:rsidRPr="00661595" w:rsidRDefault="00FD54FC" w:rsidP="00FD54FC">
            <w:pPr>
              <w:rPr>
                <w:rFonts w:ascii="Times New Roman" w:hAnsi="Times New Roman"/>
                <w:bCs/>
                <w:sz w:val="24"/>
              </w:rPr>
            </w:pPr>
            <w:r>
              <w:rPr>
                <w:rFonts w:ascii="Times New Roman" w:hAnsi="Times New Roman"/>
                <w:sz w:val="24"/>
              </w:rPr>
              <w:t>A szavatolótőke-követelményt az alapmutató módszere szerint számító intézmények az üzletághoz nem sorolt veszteségeket csak a 0910-0980-as oszlopban vehetik figyelembe.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Veszteségesemények száma (új veszteségesemények)</w:t>
            </w:r>
          </w:p>
          <w:p w:rsidR="00FD54FC" w:rsidRPr="00661595" w:rsidRDefault="00FD54FC" w:rsidP="00FD54FC">
            <w:pPr>
              <w:rPr>
                <w:rFonts w:ascii="Times New Roman" w:hAnsi="Times New Roman"/>
                <w:sz w:val="24"/>
              </w:rPr>
            </w:pPr>
            <w:r>
              <w:rPr>
                <w:rFonts w:ascii="Times New Roman" w:hAnsi="Times New Roman"/>
                <w:sz w:val="24"/>
              </w:rPr>
              <w:t>A „veszteségesemények száma” azon veszteségesemények száma, amelyek vonatkozásában az aktuális adatszolgáltatási vonatkozási időszakban bruttó veszteség elszámolására került sor.</w:t>
            </w:r>
          </w:p>
          <w:p w:rsidR="00FD54FC" w:rsidRPr="00661595" w:rsidRDefault="00FD54FC" w:rsidP="00FD54FC">
            <w:pPr>
              <w:rPr>
                <w:rFonts w:ascii="Times New Roman" w:hAnsi="Times New Roman"/>
                <w:sz w:val="24"/>
              </w:rPr>
            </w:pPr>
            <w:r>
              <w:rPr>
                <w:rFonts w:ascii="Times New Roman" w:hAnsi="Times New Roman"/>
                <w:sz w:val="24"/>
              </w:rPr>
              <w:t>Az itt megadott veszteségesemények „új események”, azaz olyan működési kockázati események, amelyeket</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először az adatszolgáltatási vonatkozási időszakban számoltak el, vagy</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először egy korábbi adatszolgáltatási vonatkozási időszakban számoltak el, amikor a veszteségeseményről korábbi felügyeleti jelentésben nem számolt be az intézmény, például azért, mert az eseményt csak a jelenlegi adatszolgáltatási vonatkozási időszakban minősítették működési kockázati eseménynek, vagy mert az adott veszteségeseménynek betudható kumulált veszteség (az eredeti veszteség +/– a korábbi adatszolgáltatási vonatkozási időszakokban eszközölt veszteségkorrekciók eredője) csak az aktuális adatszolgáltatási vonatkozási időszakban haladta meg a belső adatgyűjtési küszöbértéket.</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Az „új veszteségesemények” nem tartalmazzák az először egy korábbi adatszolgáltatási vonatkozási időszakban elszámolt azon veszteségeseményeket, amelyekről korábbi felügyeleti jelentésekben már jelentett az intézmény.</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veszteségérték (új veszteségesemények)</w:t>
            </w:r>
          </w:p>
          <w:p w:rsidR="00FD54FC" w:rsidRPr="00661595" w:rsidRDefault="00FD54FC" w:rsidP="00FD54FC">
            <w:pPr>
              <w:rPr>
                <w:rFonts w:ascii="Times New Roman" w:hAnsi="Times New Roman"/>
                <w:sz w:val="24"/>
              </w:rPr>
            </w:pPr>
            <w:r>
              <w:rPr>
                <w:rFonts w:ascii="Times New Roman" w:hAnsi="Times New Roman"/>
                <w:sz w:val="24"/>
              </w:rPr>
              <w:t>A bruttó veszteségérték a működési kockázati veszteségeseményekkel összefüggő bruttó veszteség értéke (pl. közvetlen díjfizetések, céltartalékok, elszámolások). Az egy adott veszteségeseményhez kapcsolódó minden, az adatszolgáltatási vonatkozási időszakban elszámolt veszteséget össze kell adni, és ez képezi az adott adatszolgáltatási vonatkozási időszakban az adott veszteségeseményhez tartozó bruttó veszteséget.</w:t>
            </w:r>
          </w:p>
          <w:p w:rsidR="00FD54FC" w:rsidRPr="00661595" w:rsidRDefault="00FD54FC" w:rsidP="00FD54FC">
            <w:pPr>
              <w:rPr>
                <w:rFonts w:ascii="Times New Roman" w:hAnsi="Times New Roman"/>
                <w:sz w:val="24"/>
              </w:rPr>
            </w:pPr>
            <w:r>
              <w:rPr>
                <w:rFonts w:ascii="Times New Roman" w:hAnsi="Times New Roman"/>
                <w:sz w:val="24"/>
              </w:rPr>
              <w:t>A feltüntetett bruttó veszteségérték az e táblázat fenti sorában meghatározott „új veszteségeseményekre” vonatkozik. Az először egy korábbi adatszolgáltatási vonatkozási időszakban elszámolt azon veszteségesemények esetében, amelyekről korábbi felügyeleti jelentésekben még nem jelentett az intézmény, az adatszolgáltatási vonatkozási időpontban bruttó veszteségként az adatszolgáltatási vonatkozási időpontig felhalmozott teljes veszteségértéket kell feltüntetni (azaz az eredeti veszteséget +/– a korábbi adatszolgáltatási vonatkozási időszakokban eszközölt veszteségkorrekciók eredőjét).</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A jelentett értékben nem vehető figyelembe a már megtérült veszteség.</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Veszteségkorrekcióval érintett veszteségesemények száma</w:t>
            </w:r>
          </w:p>
          <w:p w:rsidR="00FD54FC" w:rsidRPr="00661595" w:rsidRDefault="00FD54FC" w:rsidP="00FD54FC">
            <w:pPr>
              <w:rPr>
                <w:rFonts w:ascii="Times New Roman" w:hAnsi="Times New Roman"/>
                <w:sz w:val="24"/>
              </w:rPr>
            </w:pPr>
            <w:r>
              <w:rPr>
                <w:rFonts w:ascii="Times New Roman" w:hAnsi="Times New Roman"/>
                <w:sz w:val="24"/>
              </w:rPr>
              <w:t xml:space="preserve">A veszteségkorrekcióval érintett veszteségesemények száma az először egy korábbi adatszolgáltatási vonatkozási időszakban elszámolt és korábbi jelentésekben már jelentett azon működési kockázati események száma, amelyek tekintetében az aktuális adatszolgáltatási vonatkozási időszakban veszteségkorrekciót eszközöltek. </w:t>
            </w:r>
          </w:p>
          <w:p w:rsidR="00FD54FC" w:rsidRPr="00661595" w:rsidRDefault="001F6487" w:rsidP="005F1EB8">
            <w:pPr>
              <w:rPr>
                <w:b/>
                <w:sz w:val="24"/>
              </w:rPr>
            </w:pPr>
            <w:r>
              <w:rPr>
                <w:rFonts w:ascii="Times New Roman" w:hAnsi="Times New Roman"/>
                <w:sz w:val="24"/>
              </w:rPr>
              <w:t>Amennyiben az adatszolgáltatási vonatkozási időszakban egy veszteségeseményre vonatkozóan több veszteségkorrekció történt, ezek összegét egy korrekciónak kell tekinteni az időszakban.</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Korábbi adatszolgáltatási időszakokhoz kapcsolódó veszteségkorrekciók</w:t>
            </w:r>
          </w:p>
          <w:p w:rsidR="00FD54FC" w:rsidRPr="00661595" w:rsidRDefault="00FD54FC" w:rsidP="00FD54FC">
            <w:pPr>
              <w:rPr>
                <w:rFonts w:ascii="Times New Roman" w:hAnsi="Times New Roman"/>
                <w:sz w:val="24"/>
              </w:rPr>
            </w:pPr>
            <w:r>
              <w:rPr>
                <w:rFonts w:ascii="Times New Roman" w:hAnsi="Times New Roman"/>
                <w:sz w:val="24"/>
              </w:rPr>
              <w:t>A korábbi adatszolgáltatási vonatkozási időszakokhoz kapcsolódó veszteségkorrekciókat a következő (pozitív vagy negatív) elemek összegeként kell kiszámolni: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azon működési kockázati események aktuális adatszolgáltatási vonatkozási időszakban végrehajtott pozitív veszteségkorrekcióival (pl. céltartalék-emelés, kapcsolódó veszteségesemények, kiegészítő elszámolások) összefüggő bruttó veszteség, amelyeket korábbi adatszolgáltatási vonatkozási időszakban számolt el és jelentett először az intézmény;</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azon működési kockázati veszteségesemények aktuális adatszolgáltatási vonatkozási időszakban végrehajtott negatív veszteségkorrekcióival (pl. céltartalék-csökkentés) összefüggő bruttó veszteség, amelyeket korábbi adatszolgáltatási vonatkozási időszakban számolt el és jelentett először az intézmény. </w:t>
            </w:r>
          </w:p>
          <w:p w:rsidR="00FD54FC" w:rsidRPr="00661595" w:rsidRDefault="001F6487" w:rsidP="00FD54FC">
            <w:pPr>
              <w:rPr>
                <w:rFonts w:ascii="Times New Roman" w:hAnsi="Times New Roman"/>
                <w:sz w:val="24"/>
              </w:rPr>
            </w:pPr>
            <w:r>
              <w:rPr>
                <w:rFonts w:ascii="Times New Roman" w:hAnsi="Times New Roman"/>
                <w:sz w:val="24"/>
              </w:rPr>
              <w:t>Amennyiben az adatszolgáltatási vonatkozási időszakban egy veszteségeseményre vonatkozóan több veszteségkorrekció történt, ezek értékét összegezni kell, figyelembe véve a korrekció előjelét (pozitív vagy negatív). Az adott veszteségesemény és adatszolgáltatási vonatkozási időszak tekintetében ez az összeg tekintendő a veszteségkorrekciónak.</w:t>
            </w:r>
          </w:p>
          <w:p w:rsidR="00FD54FC" w:rsidRPr="00661595" w:rsidRDefault="001F6487" w:rsidP="00FD54FC">
            <w:pPr>
              <w:rPr>
                <w:rFonts w:ascii="Times New Roman" w:hAnsi="Times New Roman"/>
                <w:sz w:val="24"/>
              </w:rPr>
            </w:pPr>
            <w:r>
              <w:rPr>
                <w:rFonts w:ascii="Times New Roman" w:hAnsi="Times New Roman"/>
                <w:sz w:val="24"/>
              </w:rPr>
              <w:lastRenderedPageBreak/>
              <w:t>Amennyiben negatív veszteségkorrekció miatt a veszteségeseménynek tulajdonítható kiigazított veszteségérték az intézmény belső adatgyűjtési küszöbértéke alá csökken, az intézménynek nem magát a negatív veszteségkorrekciót kell jelentenie, hanem negatív előjellel a veszteségeseményhez kapcsolódó, az esemény legutóbbi decemberi referencia-időponttal történő jelentéséig felhalmozott teljes veszteségértéket (az eredeti veszteség +/– a korábbi adatszolgáltatási vonatkozási időszakokban eszközölt veszteségkorrekciók eredője).</w:t>
            </w:r>
          </w:p>
          <w:p w:rsidR="00FD54FC" w:rsidRPr="00661595" w:rsidRDefault="00FD54FC" w:rsidP="00EB62C2">
            <w:pPr>
              <w:rPr>
                <w:b/>
                <w:sz w:val="24"/>
              </w:rPr>
            </w:pPr>
            <w:r>
              <w:rPr>
                <w:rFonts w:ascii="Times New Roman" w:hAnsi="Times New Roman"/>
                <w:sz w:val="24"/>
              </w:rPr>
              <w:t>A jelentett értékben nem vehető figyelembe a már megtérült veszteség.</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Legnagyobb egyedi veszteség</w:t>
            </w:r>
          </w:p>
          <w:p w:rsidR="00FD54FC" w:rsidRPr="00661595" w:rsidRDefault="00FD54FC" w:rsidP="00FD54FC">
            <w:pPr>
              <w:rPr>
                <w:rFonts w:ascii="Times New Roman" w:hAnsi="Times New Roman"/>
                <w:sz w:val="24"/>
              </w:rPr>
            </w:pPr>
            <w:r>
              <w:rPr>
                <w:rFonts w:ascii="Times New Roman" w:hAnsi="Times New Roman"/>
                <w:sz w:val="24"/>
              </w:rPr>
              <w:t>A legnagyobb egyedi veszteség</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az adatszolgáltatási vonatkozási időszakban először jelentett valamely veszteségeseményhez kapcsolódó legnagyobb bruttó veszteségérték; és</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egy korábbi adatszolgáltatási vonatkozási időszakban először jelentett valamely veszteségeseményhez kapcsolódó (a fenti 040, 0140, …, 0840 sorokban említett) legnagyobb pozitív veszteségkorrekció.</w:t>
            </w:r>
          </w:p>
          <w:p w:rsidR="00FD54FC" w:rsidRPr="00661595" w:rsidRDefault="00FD54FC" w:rsidP="00F52FC6">
            <w:pPr>
              <w:rPr>
                <w:sz w:val="24"/>
              </w:rPr>
            </w:pPr>
            <w:r>
              <w:rPr>
                <w:rFonts w:ascii="Times New Roman" w:hAnsi="Times New Roman"/>
                <w:sz w:val="24"/>
              </w:rPr>
              <w:t>A jelentett értékben nem vehető figyelembe a már megtérült veszteség.</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Az öt legnagyobb veszteség összege</w:t>
            </w:r>
          </w:p>
          <w:p w:rsidR="00FD54FC" w:rsidRPr="00661595" w:rsidRDefault="00FD54FC" w:rsidP="00FD54FC">
            <w:pPr>
              <w:rPr>
                <w:rFonts w:ascii="Times New Roman" w:hAnsi="Times New Roman"/>
                <w:sz w:val="24"/>
              </w:rPr>
            </w:pPr>
            <w:r>
              <w:rPr>
                <w:rFonts w:ascii="Times New Roman" w:hAnsi="Times New Roman"/>
                <w:sz w:val="24"/>
              </w:rPr>
              <w:t>Az öt legnagyobb veszteség összege az alábbiak közüli öt legmagasabb érték összege: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az adatszolgáltatási vonatkozási időszakban első alkalommal bejelentett veszteségeseményekhez kapcsolódó legnagyobb bruttó veszteségértékek; valamint</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egy korábbi adatszolgáltatási vonatkozási időszakban először jelentett veszteségeseményekhez kapcsolódó (a fenti 040, 140, …, 840 sorokban meghatározott) pozitív veszteségkorrekciók. Az öt legmagasabb összeg között csak maga a veszteségkorrekció összege vehető számításba, nem pedig az adott eseményhez kapcsolódó, a korrekció előtti vagy utáni teljes veszteségérték.</w:t>
            </w:r>
          </w:p>
          <w:p w:rsidR="00FD54FC" w:rsidRPr="00661595" w:rsidRDefault="00FD54FC" w:rsidP="00F52FC6">
            <w:pPr>
              <w:rPr>
                <w:sz w:val="24"/>
              </w:rPr>
            </w:pPr>
            <w:r>
              <w:rPr>
                <w:rFonts w:ascii="Times New Roman" w:hAnsi="Times New Roman"/>
                <w:sz w:val="24"/>
              </w:rPr>
              <w:t>A jelentett értékben nem vehető figyelembe a már megtérült veszteség.</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Teljes közvetlen megtérült veszteség</w:t>
            </w:r>
          </w:p>
          <w:p w:rsidR="00FD54FC" w:rsidRPr="00661595" w:rsidRDefault="00FD54FC" w:rsidP="00FD54FC">
            <w:pPr>
              <w:rPr>
                <w:rFonts w:ascii="Times New Roman" w:hAnsi="Times New Roman"/>
                <w:sz w:val="24"/>
              </w:rPr>
            </w:pPr>
            <w:r>
              <w:rPr>
                <w:rFonts w:ascii="Times New Roman" w:hAnsi="Times New Roman"/>
                <w:sz w:val="24"/>
              </w:rPr>
              <w:t xml:space="preserve">A közvetlen megtérült veszteség valamennyi megtérült veszteség a CRR 323. cikkének hatálya alá tartozó, az e tábla alábbi sorában jelentett megtérülések kivételével. </w:t>
            </w:r>
          </w:p>
          <w:p w:rsidR="00FD54FC" w:rsidRPr="00661595" w:rsidRDefault="00FD54FC" w:rsidP="00FD54FC">
            <w:pPr>
              <w:rPr>
                <w:b/>
                <w:sz w:val="24"/>
              </w:rPr>
            </w:pPr>
            <w:r>
              <w:rPr>
                <w:rFonts w:ascii="Times New Roman" w:hAnsi="Times New Roman"/>
                <w:sz w:val="24"/>
              </w:rPr>
              <w:t>A teljes közvetlen megtérült veszteség az aktuális vagy a korábbi adatszolgáltatási vonatkozási időszakban először elszámolt működési kockázati eseményekkel összefüggő, az aktuális adatszolgáltatási időszakban elszámolt közvetlen megtérült veszteségek és ezek korrekcióinak összege.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xml:space="preserve">, 0380, 0480, </w:t>
            </w:r>
            <w:r>
              <w:rPr>
                <w:rFonts w:ascii="Times New Roman" w:hAnsi="Times New Roman"/>
                <w:bCs/>
                <w:sz w:val="24"/>
              </w:rPr>
              <w:lastRenderedPageBreak/>
              <w:t>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Biztosításból és más kockázatátruházási mechanizmusokból származó teljes megtérülés</w:t>
            </w:r>
          </w:p>
          <w:p w:rsidR="00FD54FC" w:rsidRPr="00661595" w:rsidRDefault="00FD54FC" w:rsidP="00FD54FC">
            <w:pPr>
              <w:rPr>
                <w:rFonts w:ascii="Times New Roman" w:hAnsi="Times New Roman"/>
                <w:sz w:val="24"/>
              </w:rPr>
            </w:pPr>
            <w:r>
              <w:rPr>
                <w:rFonts w:ascii="Times New Roman" w:hAnsi="Times New Roman"/>
                <w:sz w:val="24"/>
              </w:rPr>
              <w:t xml:space="preserve">A CRR 323. cikkének hatálya alá tartozó megtérülések tartoznak ide. </w:t>
            </w:r>
          </w:p>
          <w:p w:rsidR="00FD54FC" w:rsidRPr="00661595" w:rsidRDefault="00FD54FC" w:rsidP="00070AF9">
            <w:pPr>
              <w:rPr>
                <w:sz w:val="24"/>
              </w:rPr>
            </w:pPr>
            <w:r>
              <w:rPr>
                <w:rFonts w:ascii="Times New Roman" w:hAnsi="Times New Roman"/>
                <w:sz w:val="24"/>
              </w:rPr>
              <w:t xml:space="preserve">A biztosításból és más kockázatátruházási mechanizmusokból származó teljes megtérülés az aktuális vagy a korábbi adatszolgáltatási vonatkozási időszakban </w:t>
            </w:r>
            <w:r>
              <w:rPr>
                <w:rFonts w:ascii="Times New Roman" w:hAnsi="Times New Roman"/>
                <w:sz w:val="24"/>
              </w:rPr>
              <w:lastRenderedPageBreak/>
              <w:t>először elszámolt működési kockázati veszteségeseményekkel összefüggő, az aktuális adatszolgáltatási időszakban elszámolt, biztosításból és más kockázatátruházási mechanizmusokból származó megtérülések és ezek korrekcióinak összege.</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lastRenderedPageBreak/>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ÜZLETÁGAK ÖSSZESEN</w:t>
            </w:r>
          </w:p>
          <w:p w:rsidR="00FD54FC" w:rsidRPr="00661595" w:rsidRDefault="00FD54FC" w:rsidP="00F114E6">
            <w:pPr>
              <w:rPr>
                <w:rFonts w:ascii="Times New Roman" w:hAnsi="Times New Roman"/>
                <w:sz w:val="24"/>
              </w:rPr>
            </w:pPr>
            <w:r>
              <w:rPr>
                <w:rFonts w:ascii="Times New Roman" w:hAnsi="Times New Roman"/>
                <w:sz w:val="24"/>
              </w:rPr>
              <w:t>Az üzletágak összesen sorokon az összesítő információkat kell feltüntetni az egyes veszteségesemény-típusok (0010–0080. oszlop) szerint.</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Veszteségesemények száma</w:t>
            </w:r>
          </w:p>
          <w:p w:rsidR="00FD54FC" w:rsidRPr="00661595" w:rsidRDefault="00FD54FC" w:rsidP="00FD54FC">
            <w:pPr>
              <w:rPr>
                <w:rFonts w:ascii="Times New Roman" w:hAnsi="Times New Roman"/>
                <w:sz w:val="24"/>
              </w:rPr>
            </w:pPr>
            <w:r>
              <w:rPr>
                <w:rFonts w:ascii="Times New Roman" w:hAnsi="Times New Roman"/>
                <w:sz w:val="24"/>
              </w:rPr>
              <w:t>A 0910-es sorban kell feltüntetni a belső küszöbértéket meghaladó veszteségesemények számát veszteségesemény-típusonként az összes üzletágra összesítve. Lehetséges, hogy ez az érték alacsonyabb az üzletáganként összesített veszteségesemény-számnál, mivel a többszörös hatású (több üzletágat érintő) veszteségesemények egy eseménynek minősülnek. Az érték ennél magasabb is lehet, ha a szavatolótőke-követelményt az alapmutató módszere szerint számító intézmény nem tudja minden esetben azonosítani a veszteség által érintett üzletágat.</w:t>
            </w:r>
          </w:p>
          <w:p w:rsidR="00FD54FC" w:rsidRPr="00661595" w:rsidRDefault="00FD54FC" w:rsidP="00FD54FC">
            <w:pPr>
              <w:rPr>
                <w:rFonts w:ascii="Times New Roman" w:hAnsi="Times New Roman"/>
                <w:sz w:val="24"/>
              </w:rPr>
            </w:pPr>
            <w:r>
              <w:rPr>
                <w:rFonts w:ascii="Times New Roman" w:hAnsi="Times New Roman"/>
                <w:sz w:val="24"/>
              </w:rPr>
              <w:t>A 0911–0914. sorban azon veszteségesemények száma jelentendő, amelyek bruttó veszteségértéke a tábla vonatkozó sorában megadott tartományba esik.</w:t>
            </w:r>
          </w:p>
          <w:p w:rsidR="00FD54FC" w:rsidRPr="00661595" w:rsidRDefault="00FD54FC" w:rsidP="00FD54FC">
            <w:pPr>
              <w:rPr>
                <w:rFonts w:ascii="Times New Roman" w:hAnsi="Times New Roman"/>
                <w:sz w:val="24"/>
              </w:rPr>
            </w:pPr>
            <w:r>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illetve hogy minden veszteség esetében azonosította a veszteségesemény-típust, a 0080-as oszlopra a következők vonatkoznak, értelemszerűen:</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A 0910–0914. sorokban jelentett teljes veszteségesemény-szám megegyezik a megfelelő sorban szereplő veszteségesemény-számok vízszintes összegével, mivel ezen adatok között a több üzletágat érintő veszteségeseményeket már egy veszteségeseményként számították be.</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A 0910-es sor 0080-as oszlopban feltüntetett adata nem feltétlenül egyezik meg a 0080-as oszlopban szereplő veszteségesemény-számok függőleges összegével, mivel egy veszteségesemény egyszerre több üzletágat is érinthet.</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veszteségérték (új veszteségesemények)</w:t>
            </w:r>
          </w:p>
          <w:p w:rsidR="00FD54FC" w:rsidRPr="00661595" w:rsidRDefault="00FD54FC" w:rsidP="00FD54FC">
            <w:pPr>
              <w:rPr>
                <w:rFonts w:ascii="Times New Roman" w:hAnsi="Times New Roman"/>
                <w:sz w:val="24"/>
              </w:rPr>
            </w:pPr>
            <w:r>
              <w:rPr>
                <w:rFonts w:ascii="Times New Roman" w:hAnsi="Times New Roman"/>
                <w:sz w:val="24"/>
              </w:rPr>
              <w:t xml:space="preserve">Feltéve, hogy az intézmény valamennyi veszteségét hozzárendelte a CRR 317. cikke (4) bekezdésében szereplő 2. táblázatban felsorolt üzletágak valamelyikéhez vagy a CRR 322. cikke (3) bekezdésének b) pontjában említett „társasági szintű tételek” üzletághoz, a 0920-as sorban jelentett bruttó veszteségérték (új veszteségesemények) az új veszteségesemények egyes üzletágak szerinti bruttó veszteségértékeinek összege.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A 0921–0924. sorban azon veszteségesemények bruttó veszteségértéke jelentendő, amelyek bruttó veszteségértéke a vonatkozó sorban megadott tartományba esik.</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lastRenderedPageBreak/>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Veszteségkorrekcióval érintett veszteségesemények száma</w:t>
            </w:r>
          </w:p>
          <w:p w:rsidR="00FD54FC" w:rsidRPr="00661595" w:rsidRDefault="00FD54FC" w:rsidP="00FD54FC">
            <w:pPr>
              <w:rPr>
                <w:rFonts w:ascii="Times New Roman" w:hAnsi="Times New Roman"/>
                <w:sz w:val="24"/>
              </w:rPr>
            </w:pPr>
            <w:r>
              <w:rPr>
                <w:rFonts w:ascii="Times New Roman" w:hAnsi="Times New Roman"/>
                <w:sz w:val="24"/>
              </w:rPr>
              <w:t>A 0930-as sorban a 0030, 0130, …, 0830-as sorokban megadott, veszteségkorrekcióval érintett veszteségesemények teljes száma jelentendő. Lehetséges, hogy ez az érték alacsonyabb a veszteségkorrekcióval érintett, üzletáganként összesített veszteségesemény-számnál, mivel a többszörös hatású (több üzletágat érintő) veszteségesemények egy eseménynek minősülnek. Az érték ennél magasabb is lehet, ha a szavatolótőke-követelményt az alapmutató módszere szerint számító intézmény nem tudja minden esetben azonosítani a veszteség által érintett üzletágat.</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A veszteségkorrekcióval érintett veszteségesemények számát le kell bontani az adatszolgáltatási vonatkozási időszakban pozitív veszteségkorrekcióval érintett veszteségesemények száma és az adatszolgáltatási időszakban negatív veszteségkorrekcióval érintett események száma szerint (mindkettőt pozitív előjellel kell feltüntetni).</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Korábbi adatszolgáltatási időszakokhoz kapcsolódó veszteségkorrekciók</w:t>
            </w:r>
          </w:p>
          <w:p w:rsidR="00FD54FC" w:rsidRPr="00661595" w:rsidRDefault="00FD54FC" w:rsidP="00FD54FC">
            <w:pPr>
              <w:rPr>
                <w:rFonts w:ascii="Times New Roman" w:hAnsi="Times New Roman"/>
                <w:sz w:val="24"/>
              </w:rPr>
            </w:pPr>
            <w:r>
              <w:rPr>
                <w:rFonts w:ascii="Times New Roman" w:hAnsi="Times New Roman"/>
                <w:sz w:val="24"/>
              </w:rPr>
              <w:t>A 0940-es sorban az üzletáganként a 0040, 0140, …, 0840-es sorokban megadott, korábbi adatszolgáltatási időszakokhoz kapcsolódó veszteségkorrekciók teljes összege jelentendő. Feltéve, hogy az intézmény valamennyi veszteségét hozzárendelte a CRR 317. cikke (4) bekezdésében szereplő 2. táblázatban felsorolt üzletágak valamelyikéhez vagy a CRR 322. cikke (3) bekezdésének b) pontjában említett „társasági szintű tételek” üzletághoz, a 0940-es sorban jelentett összeg a korábbi adatszolgáltatási időszakokhoz kapcsolódó veszteségkorrekciók egyes üzletágak szerinti értékeinek összege.</w:t>
            </w:r>
          </w:p>
          <w:p w:rsidR="00FD54FC" w:rsidRPr="00661595" w:rsidRDefault="00FD54FC" w:rsidP="00EB6FC2">
            <w:pPr>
              <w:rPr>
                <w:rFonts w:ascii="Times New Roman" w:hAnsi="Times New Roman"/>
                <w:sz w:val="24"/>
              </w:rPr>
            </w:pPr>
            <w:r>
              <w:rPr>
                <w:rFonts w:ascii="Times New Roman" w:hAnsi="Times New Roman"/>
                <w:sz w:val="24"/>
              </w:rPr>
              <w:t>A veszteségkorrekciók összegét le kell bontani az adatszolgáltatási vonatkozási időszakban pozitív veszteségkorrekcióval érintett eseményekhez kapcsolódó összeg (0945-ös sor, pozitív előjellel) és az adatszolgáltatási időszakban negatív veszteségkorrekcióval érintett veszteségeseményekhez kapcsolódó összeg szerint (0946-os sor, negatív előjellel). Amennyiben negatív veszteségkorrekció miatt a veszteségeseménynek tulajdonítható kiigazított veszteségérték az intézmény belső adatgyűjtési küszöbértéke alá csökken, az intézménynek nem magát a negatív veszteségkorrekciót kell jelentenie, hanem a 0946-os sorban negatív előjellel az eseményhez kapcsolódó, az esemény legutóbbi decemberi referencia-időponttal történő jelentéséig felhalmozott teljes veszteségértéket (az eredeti veszteség +/– a korábbi adatszolgáltatási vonatkozási időszakokban eszközölt veszteségkorrekciók eredője).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Legnagyobb egyedi veszteség</w:t>
            </w:r>
          </w:p>
          <w:p w:rsidR="00FD54FC" w:rsidRPr="00661595" w:rsidRDefault="00FD54FC" w:rsidP="00FD54FC">
            <w:pPr>
              <w:rPr>
                <w:rFonts w:ascii="Times New Roman" w:hAnsi="Times New Roman"/>
                <w:sz w:val="24"/>
              </w:rPr>
            </w:pPr>
            <w:r>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a legnagyobb egyedi veszteség a belső küszöbértéket meghaladó legnagyobb veszteség az egyes veszteségesemény-típusokon belül, minden üzletágra vonatkozóan. Abban az esetben, ha egy veszteségesemény több üzletágat is érint, ez az adat magasabb lehet, mint az egyes üzletágaknál rögzített legmagasabb egyedi veszteség értéke.</w:t>
            </w:r>
          </w:p>
          <w:p w:rsidR="00FD54FC" w:rsidRPr="00661595" w:rsidRDefault="00FD54FC" w:rsidP="00FD54FC">
            <w:pPr>
              <w:rPr>
                <w:rFonts w:ascii="Times New Roman" w:hAnsi="Times New Roman"/>
                <w:sz w:val="24"/>
              </w:rPr>
            </w:pPr>
            <w:r>
              <w:rPr>
                <w:rFonts w:ascii="Times New Roman" w:hAnsi="Times New Roman"/>
                <w:sz w:val="24"/>
              </w:rPr>
              <w:lastRenderedPageBreak/>
              <w:t>Feltéve, hogy az intézmény valamennyi veszteségét hozzárendelte a CRR 317. cikke (4) bekezdésében szereplő 2. táblázatban felsorolt üzletágak valamelyikéhez vagy a CRR 322. cikke (3) bekezdésének b) pontjában említett „társasági szintű tételek” üzletághoz, illetve hogy minden veszteség esetében azonosította a veszteségesemény-típust, a 0080-as oszlopra a következők vonatkoznak:</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Az itt jelentett legnagyobb egyedi veszteség az e sor 0010–0070-es oszlopában jelentett értékek közül a legnagyobb.</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Amennyiben vannak olyan veszteségesemények, amelyek több üzletágra is hatnak, a {r0950, c0080} cellában jelentett összeg magasabb lehet, mint a 0080-as oszlop más soraiban jelentett üzletágankénti legnagyobb egyedi veszteség.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Az öt legnagyobb veszteség összege</w:t>
            </w:r>
          </w:p>
          <w:p w:rsidR="00FD54FC" w:rsidRPr="00661595" w:rsidRDefault="00FD54FC" w:rsidP="00FD54FC">
            <w:pPr>
              <w:rPr>
                <w:rFonts w:ascii="Times New Roman" w:hAnsi="Times New Roman"/>
                <w:sz w:val="24"/>
              </w:rPr>
            </w:pPr>
            <w:r>
              <w:rPr>
                <w:rFonts w:ascii="Times New Roman" w:hAnsi="Times New Roman"/>
                <w:sz w:val="24"/>
              </w:rPr>
              <w:t xml:space="preserve">Az egyes üzletágakon belüli öt legnagyobb bruttó veszteség összegét kell megadni az egyes veszteségesemény-típusokra és minden üzletágra vonatkozóan. Lehetséges, hogy ez az összeg magasabb, mint az egyes üzletágaknál rögzített öt legnagyobb egyedi veszteség összege. Az összeget a veszteségek számától függetlenül meg kell adni.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illetve hogy minden veszteség esetében azonosította a veszteségesemény-típust, a 0080-as oszlopra vonatkozóan az öt legnagyobb veszteség összege a teljes mátrixban szereplő öt legnagyobb veszteség összege, ami azt jelenti, hogy ez nem szükségképpen egyenlő sem a 0960-as »Az öt legnagyobb veszteség összege« sor maximális értékével, sem a 0080-as oszlopban feltüntetett »öt legnagyobb veszteségösszegek« maximális értékével.</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Teljes közvetlen megtérült veszteség</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a teljes közvetlen megtérült veszteség az üzletáganként megadott teljes közvetlen megtérült veszteségek összege.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Biztosításból és más kockázatátruházási mechanizmusokból származó teljes megtérülés</w:t>
            </w:r>
          </w:p>
          <w:p w:rsidR="00FD54FC" w:rsidRPr="00661595" w:rsidRDefault="00FD54FC" w:rsidP="00133396">
            <w:pPr>
              <w:rPr>
                <w:rFonts w:ascii="Times New Roman" w:hAnsi="Times New Roman"/>
                <w:b/>
                <w:bCs/>
                <w:sz w:val="24"/>
                <w:u w:val="single"/>
              </w:rPr>
            </w:pPr>
            <w:r>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a biztosításból és más kockázatátruházási mechanizmusokból származó teljes megtérülés az üzletáganként megadott biztosításból és más kockázat-átruházási mechanizmusokból származó teljes megtérült veszteségek összege.</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858687"/>
      <w:r>
        <w:rPr>
          <w:rFonts w:ascii="Times New Roman" w:hAnsi="Times New Roman"/>
          <w:sz w:val="24"/>
          <w:u w:val="none"/>
        </w:rPr>
        <w:lastRenderedPageBreak/>
        <w:t>4.2.3.</w:t>
      </w:r>
      <w:r w:rsidRPr="0055388B">
        <w:rPr>
          <w:u w:val="none"/>
        </w:rPr>
        <w:tab/>
      </w:r>
      <w:r>
        <w:rPr>
          <w:rFonts w:ascii="Times New Roman" w:hAnsi="Times New Roman"/>
          <w:sz w:val="24"/>
        </w:rPr>
        <w:t>C 17.02: Működési kockázat: Az utolsó évi nagy veszteségeseményekre vonatkozó részletes információk (OPR DETAILS 2)</w:t>
      </w:r>
      <w:bookmarkEnd w:id="586"/>
      <w:bookmarkEnd w:id="58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858688"/>
      <w:r>
        <w:rPr>
          <w:rFonts w:ascii="Times New Roman" w:hAnsi="Times New Roman"/>
          <w:sz w:val="24"/>
          <w:u w:val="none"/>
        </w:rPr>
        <w:t>4.2.3.1.</w:t>
      </w:r>
      <w:r w:rsidRPr="0055388B">
        <w:rPr>
          <w:u w:val="none"/>
        </w:rPr>
        <w:tab/>
      </w:r>
      <w:r>
        <w:rPr>
          <w:rFonts w:ascii="Times New Roman" w:hAnsi="Times New Roman"/>
          <w:sz w:val="24"/>
        </w:rPr>
        <w:t>Általános megjegyzések</w:t>
      </w:r>
      <w:bookmarkEnd w:id="588"/>
      <w:bookmarkEnd w:id="589"/>
    </w:p>
    <w:p w:rsidR="00FD54FC" w:rsidRPr="00661595" w:rsidRDefault="0055388B" w:rsidP="00487A02">
      <w:pPr>
        <w:pStyle w:val="InstructionsText2"/>
        <w:numPr>
          <w:ilvl w:val="0"/>
          <w:numId w:val="0"/>
        </w:numPr>
        <w:ind w:left="1353" w:hanging="360"/>
      </w:pPr>
      <w:fldSimple w:instr=" seq paragraphs ">
        <w:r w:rsidR="00D11E4C">
          <w:rPr>
            <w:noProof/>
          </w:rPr>
          <w:t>155</w:t>
        </w:r>
      </w:fldSimple>
      <w:r w:rsidR="00D11E4C">
        <w:t>. A C 17.02 táblában egyedi veszteségeseményekre vonatkozó információkat kell közölni (soronként egy veszteségesemény).</w:t>
      </w:r>
    </w:p>
    <w:p w:rsidR="00FD54FC" w:rsidRPr="00661595" w:rsidRDefault="0055388B" w:rsidP="00487A02">
      <w:pPr>
        <w:pStyle w:val="InstructionsText2"/>
        <w:numPr>
          <w:ilvl w:val="0"/>
          <w:numId w:val="0"/>
        </w:numPr>
        <w:ind w:left="1353" w:hanging="360"/>
      </w:pPr>
      <w:fldSimple w:instr=" seq paragraphs ">
        <w:r w:rsidR="00D11E4C">
          <w:rPr>
            <w:noProof/>
          </w:rPr>
          <w:t>156</w:t>
        </w:r>
      </w:fldSimple>
      <w:r w:rsidR="00D11E4C">
        <w:t>.</w:t>
      </w:r>
      <w:r w:rsidR="00D11E4C">
        <w:tab/>
        <w:t xml:space="preserve"> Az ebben a táblában megadott információk „új veszteségeseményekre”, azaz olyan működési kockázati eseményekre vonatkoznak, amelyeket</w:t>
      </w:r>
    </w:p>
    <w:p w:rsidR="00FD54FC" w:rsidRPr="00661595" w:rsidRDefault="00125707" w:rsidP="00487A02">
      <w:pPr>
        <w:pStyle w:val="InstructionsText2"/>
        <w:numPr>
          <w:ilvl w:val="0"/>
          <w:numId w:val="0"/>
        </w:numPr>
        <w:ind w:left="1353" w:hanging="360"/>
      </w:pPr>
      <w:r>
        <w:t>a)</w:t>
      </w:r>
      <w:r>
        <w:tab/>
        <w:t>először az adatszolgáltatási vonatkozási időszakban számoltak el, vagy</w:t>
      </w:r>
    </w:p>
    <w:p w:rsidR="00FD54FC" w:rsidRPr="00661595" w:rsidRDefault="00125707" w:rsidP="00487A02">
      <w:pPr>
        <w:pStyle w:val="InstructionsText2"/>
        <w:numPr>
          <w:ilvl w:val="0"/>
          <w:numId w:val="0"/>
        </w:numPr>
        <w:ind w:left="1353" w:hanging="360"/>
      </w:pPr>
      <w:r>
        <w:t>b)</w:t>
      </w:r>
      <w:r>
        <w:tab/>
        <w:t>először egy korábbi adatszolgáltatási vonatkozási időszakban számoltak el, amikor a veszteségeseményről korábbi felügyeleti jelentésben nem számolt be az intézmény, például azért, mert a veszteségeseményt csak a jelenlegi adatszolgáltatási vonatkozási időszakban minősítették működési kockázati eseménynek, vagy mert az adott eseménynek betudható kumulált veszteség (az eredeti veszteség +/– a korábbi adatszolgáltatási vonatkozási időszakokban eszközölt veszteségkorrekciók eredője) csak az aktuális adatszolgáltatási vonatkozási időszakban haladta meg a belső adatgyűjtési küszöbértéket.</w:t>
      </w:r>
    </w:p>
    <w:p w:rsidR="00F41508" w:rsidRPr="00661595" w:rsidRDefault="0055388B" w:rsidP="00487A02">
      <w:pPr>
        <w:pStyle w:val="InstructionsText2"/>
        <w:numPr>
          <w:ilvl w:val="0"/>
          <w:numId w:val="0"/>
        </w:numPr>
        <w:ind w:left="1353" w:hanging="360"/>
      </w:pPr>
      <w:fldSimple w:instr=" seq paragraphs ">
        <w:r w:rsidR="00D11E4C">
          <w:rPr>
            <w:noProof/>
          </w:rPr>
          <w:t>157</w:t>
        </w:r>
      </w:fldSimple>
      <w:r w:rsidR="00D11E4C">
        <w:t>. Csak a legalább 100 000 EUR bruttó veszteségértéket magukban foglaló veszteségeseményeket kell itt jelenteni.</w:t>
      </w:r>
    </w:p>
    <w:p w:rsidR="00FD54FC" w:rsidRPr="00661595" w:rsidRDefault="00FD54FC" w:rsidP="00487A02">
      <w:pPr>
        <w:pStyle w:val="InstructionsText2"/>
        <w:numPr>
          <w:ilvl w:val="0"/>
          <w:numId w:val="0"/>
        </w:numPr>
        <w:ind w:left="1353" w:hanging="360"/>
      </w:pPr>
      <w:r>
        <w:t>E küszöbértéktől függően:</w:t>
      </w:r>
    </w:p>
    <w:p w:rsidR="00FD54FC" w:rsidRPr="00661595" w:rsidRDefault="00125707" w:rsidP="00487A02">
      <w:pPr>
        <w:pStyle w:val="InstructionsText2"/>
        <w:numPr>
          <w:ilvl w:val="0"/>
          <w:numId w:val="0"/>
        </w:numPr>
        <w:ind w:left="1353" w:hanging="360"/>
      </w:pPr>
      <w:r>
        <w:t>a)</w:t>
      </w:r>
      <w:r>
        <w:tab/>
        <w:t>A táblában fel kell tüntetni minden egyes eseménytípus legnagyobb veszteségeseményét, amennyiben az intézmény a veszteséget eseménytípushoz rendelte, valamint</w:t>
      </w:r>
    </w:p>
    <w:p w:rsidR="00FD54FC" w:rsidRPr="00661595" w:rsidRDefault="00125707" w:rsidP="00487A02">
      <w:pPr>
        <w:pStyle w:val="InstructionsText2"/>
        <w:numPr>
          <w:ilvl w:val="0"/>
          <w:numId w:val="0"/>
        </w:numPr>
        <w:ind w:left="1353" w:hanging="360"/>
      </w:pPr>
      <w:r>
        <w:t>b)</w:t>
      </w:r>
      <w:r>
        <w:tab/>
        <w:t>a fennmaradó veszteségesemények közül a tíz legnagyobb bruttó veszteséget okozó veszteségeseményt, függetlenül attól, hogy ezeket az intézmény eseménytípushoz rendelte-e vagy sem.</w:t>
      </w:r>
    </w:p>
    <w:p w:rsidR="00FD54FC" w:rsidRPr="00661595" w:rsidRDefault="00125707" w:rsidP="00487A02">
      <w:pPr>
        <w:pStyle w:val="InstructionsText2"/>
        <w:numPr>
          <w:ilvl w:val="0"/>
          <w:numId w:val="0"/>
        </w:numPr>
        <w:ind w:left="1353" w:hanging="360"/>
      </w:pPr>
      <w:r>
        <w:t>c)</w:t>
      </w:r>
      <w:r>
        <w:tab/>
        <w:t>A veszteségeseményeket a hozzájuk rendelt bruttó veszteség szerinti sorrendben kell feltüntetni.</w:t>
      </w:r>
    </w:p>
    <w:p w:rsidR="00FD54FC" w:rsidRPr="00661595" w:rsidRDefault="00125707" w:rsidP="00487A02">
      <w:pPr>
        <w:pStyle w:val="InstructionsText2"/>
        <w:numPr>
          <w:ilvl w:val="0"/>
          <w:numId w:val="0"/>
        </w:numPr>
        <w:ind w:left="1353" w:hanging="360"/>
      </w:pPr>
      <w:r>
        <w:t>d)</w:t>
      </w:r>
      <w:r>
        <w:tab/>
        <w:t>Egy veszteségesemény csak egyszer vehető figyelembe.</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858689"/>
      <w:r>
        <w:rPr>
          <w:rFonts w:ascii="Times New Roman" w:hAnsi="Times New Roman"/>
          <w:sz w:val="24"/>
          <w:u w:val="none"/>
        </w:rPr>
        <w:t>4.2.3.2.</w:t>
      </w:r>
      <w:r w:rsidRPr="0055388B">
        <w:rPr>
          <w:u w:val="none"/>
        </w:rPr>
        <w:tab/>
      </w:r>
      <w:r>
        <w:rPr>
          <w:rFonts w:ascii="Times New Roman" w:hAnsi="Times New Roman"/>
          <w:sz w:val="24"/>
        </w:rPr>
        <w:t>A tábla egyes részeire vonatkozó útmutató</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Oszlop</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Eseményazonosító</w:t>
            </w:r>
          </w:p>
          <w:p w:rsidR="00FD54FC" w:rsidRPr="00661595" w:rsidRDefault="00FD54FC" w:rsidP="00FD54FC">
            <w:pPr>
              <w:rPr>
                <w:rFonts w:ascii="Times New Roman" w:hAnsi="Times New Roman"/>
                <w:sz w:val="24"/>
              </w:rPr>
            </w:pPr>
            <w:r>
              <w:rPr>
                <w:rFonts w:ascii="Times New Roman" w:hAnsi="Times New Roman"/>
                <w:sz w:val="24"/>
              </w:rPr>
              <w:t xml:space="preserve">Az eseményazonosító egy sorazonosító, amely a tábla minden sorát egyedileg azonosítja. </w:t>
            </w:r>
          </w:p>
          <w:p w:rsidR="00FD54FC" w:rsidRPr="00661595" w:rsidRDefault="00FD54FC" w:rsidP="00FD54FC">
            <w:pPr>
              <w:rPr>
                <w:rFonts w:ascii="Times New Roman" w:hAnsi="Times New Roman"/>
                <w:sz w:val="24"/>
              </w:rPr>
            </w:pPr>
            <w:r>
              <w:rPr>
                <w:rFonts w:ascii="Times New Roman" w:hAnsi="Times New Roman"/>
                <w:sz w:val="24"/>
              </w:rPr>
              <w:t>Amennyiben létezik belső azonosító, az intézmények ezt adják meg. Másként a természetes számok sorrendjét kell követni (1, 2, 3 stb.).</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Elszámolás napja</w:t>
            </w:r>
          </w:p>
          <w:p w:rsidR="00FD54FC" w:rsidRPr="00661595" w:rsidRDefault="00FD54FC" w:rsidP="00C7103D">
            <w:pPr>
              <w:rPr>
                <w:rFonts w:ascii="Times New Roman" w:hAnsi="Times New Roman"/>
                <w:sz w:val="24"/>
              </w:rPr>
            </w:pPr>
            <w:r>
              <w:rPr>
                <w:rFonts w:ascii="Times New Roman" w:hAnsi="Times New Roman"/>
                <w:sz w:val="24"/>
              </w:rPr>
              <w:t xml:space="preserve">Az elszámolás napja az a nap, amikor a veszteség vagy tartalék/céltartalék először került megjelenítésre az eredménykimutatásban a működési kockázati veszteséggel szemben.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Esemény napja</w:t>
            </w:r>
          </w:p>
          <w:p w:rsidR="00FD54FC" w:rsidRPr="00661595" w:rsidRDefault="00FD54FC" w:rsidP="00871877">
            <w:pPr>
              <w:rPr>
                <w:rFonts w:ascii="Times New Roman" w:hAnsi="Times New Roman"/>
                <w:sz w:val="24"/>
              </w:rPr>
            </w:pPr>
            <w:r>
              <w:rPr>
                <w:rFonts w:ascii="Times New Roman" w:hAnsi="Times New Roman"/>
                <w:sz w:val="24"/>
              </w:rPr>
              <w:t>Az esemény napja az a nap, amikor a működési kockázati veszteségesemény bekövetkezett vagy kezdetét vette.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Felismerés napja</w:t>
            </w:r>
          </w:p>
          <w:p w:rsidR="00FD54FC" w:rsidRPr="00661595" w:rsidRDefault="00FD54FC" w:rsidP="00FD54FC">
            <w:pPr>
              <w:rPr>
                <w:rFonts w:ascii="Times New Roman" w:hAnsi="Times New Roman"/>
                <w:sz w:val="24"/>
              </w:rPr>
            </w:pPr>
            <w:r>
              <w:rPr>
                <w:rFonts w:ascii="Times New Roman" w:hAnsi="Times New Roman"/>
                <w:sz w:val="24"/>
              </w:rPr>
              <w:t>A felismerés napja az a nap, amikor a működési kockázati veszteségesemény az intézmény tudomására jutott.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Veszteségesemény-típus</w:t>
            </w:r>
          </w:p>
          <w:p w:rsidR="00FD54FC" w:rsidRPr="00661595" w:rsidRDefault="00F41508" w:rsidP="00EB6FC2">
            <w:pPr>
              <w:rPr>
                <w:rFonts w:ascii="Times New Roman" w:hAnsi="Times New Roman"/>
                <w:sz w:val="24"/>
              </w:rPr>
            </w:pPr>
            <w:r>
              <w:rPr>
                <w:rFonts w:ascii="Times New Roman" w:hAnsi="Times New Roman"/>
                <w:sz w:val="24"/>
              </w:rPr>
              <w:t>A CRR 324. cikkében említett veszteségesemény-típusok.</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w:t>
            </w:r>
          </w:p>
          <w:p w:rsidR="00FD54FC" w:rsidRPr="00661595" w:rsidRDefault="00FD54FC" w:rsidP="0023276A">
            <w:pPr>
              <w:rPr>
                <w:rFonts w:ascii="Times New Roman" w:hAnsi="Times New Roman"/>
                <w:sz w:val="24"/>
              </w:rPr>
            </w:pPr>
            <w:r>
              <w:rPr>
                <w:rFonts w:ascii="Times New Roman" w:hAnsi="Times New Roman"/>
                <w:sz w:val="24"/>
              </w:rPr>
              <w:t>A 17.01 tábla 0020, 0120 stb. sorában megadott, a veszteségeseményhez kapcsolódó bruttó veszteség.</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 a közvetlen megtérülések levonásával</w:t>
            </w:r>
          </w:p>
          <w:p w:rsidR="00FD54FC" w:rsidRPr="00661595" w:rsidRDefault="00FD54FC" w:rsidP="0023276A">
            <w:pPr>
              <w:rPr>
                <w:rFonts w:ascii="Times New Roman" w:hAnsi="Times New Roman"/>
                <w:sz w:val="24"/>
              </w:rPr>
            </w:pPr>
            <w:r>
              <w:rPr>
                <w:rFonts w:ascii="Times New Roman" w:hAnsi="Times New Roman"/>
                <w:sz w:val="24"/>
              </w:rPr>
              <w:t>A 17.01 tábla 0020, 0120 stb. sorában megadott, a veszteségeseményhez kapcsolódó bruttó veszteség az adott veszteségeseményhez kapcsolódó közvetlen megtérülések levonásával.</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 üzletáganként</w:t>
            </w:r>
          </w:p>
          <w:p w:rsidR="00FD54FC" w:rsidRPr="00661595" w:rsidRDefault="00FD54FC" w:rsidP="00AB6610">
            <w:pPr>
              <w:rPr>
                <w:rFonts w:ascii="Times New Roman" w:hAnsi="Times New Roman"/>
                <w:sz w:val="24"/>
              </w:rPr>
            </w:pPr>
            <w:r>
              <w:rPr>
                <w:rFonts w:ascii="Times New Roman" w:hAnsi="Times New Roman"/>
                <w:sz w:val="24"/>
              </w:rPr>
              <w:t>A 0060-as oszlopban feltüntetett bruttó veszteséget a CRR 317. cikke (4) bekezdésének 2. táblázatában és 322. cikke (3) bekezdésének b) pontjában említett megfelelő üzletágba kell sorolni.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Jogalany neve</w:t>
            </w:r>
          </w:p>
          <w:p w:rsidR="00FD54FC" w:rsidRPr="00661595" w:rsidRDefault="00FD54FC" w:rsidP="00FD54FC">
            <w:pPr>
              <w:rPr>
                <w:rFonts w:ascii="Times New Roman" w:hAnsi="Times New Roman"/>
                <w:sz w:val="24"/>
              </w:rPr>
            </w:pPr>
            <w:r>
              <w:rPr>
                <w:rFonts w:ascii="Times New Roman" w:hAnsi="Times New Roman"/>
                <w:sz w:val="24"/>
              </w:rPr>
              <w:t>Annak a jogalanynak a C 06.02 tábla 0010-es oszlopában jelentett neve, amelynél a veszteség – vagy ha több jogalany is érintett volt, a veszteség legnagyobb része – felmerült.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Kód</w:t>
            </w:r>
          </w:p>
          <w:p w:rsidR="000D0A23" w:rsidRPr="00661595" w:rsidRDefault="009B627A" w:rsidP="009B627A">
            <w:pPr>
              <w:rPr>
                <w:rFonts w:ascii="Times New Roman" w:hAnsi="Times New Roman"/>
                <w:sz w:val="24"/>
              </w:rPr>
            </w:pPr>
            <w:r>
              <w:rPr>
                <w:rFonts w:ascii="Times New Roman" w:hAnsi="Times New Roman"/>
                <w:sz w:val="24"/>
              </w:rPr>
              <w:t>Annak a jogalanynak a C 06.02 tábla 0021-ös oszlopában jelentett jogalany-azonosítója (LEI), amelynél a veszteség – vagy ha több jogalany is érintett volt, a veszteség legnagyobb része – felmerült.</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A KÓD TÍPUSA</w:t>
            </w:r>
          </w:p>
          <w:p w:rsidR="000D0A23" w:rsidRPr="00661595" w:rsidRDefault="000D0A23" w:rsidP="009B627A">
            <w:pPr>
              <w:rPr>
                <w:rStyle w:val="InstructionsTabelleberschrift"/>
                <w:rFonts w:ascii="Times New Roman" w:hAnsi="Times New Roman"/>
                <w:sz w:val="24"/>
              </w:rPr>
            </w:pPr>
            <w:r>
              <w:rPr>
                <w:rStyle w:val="InstructionsTabelleText"/>
                <w:rFonts w:ascii="Times New Roman" w:hAnsi="Times New Roman"/>
                <w:sz w:val="24"/>
              </w:rPr>
              <w:t>Az intézményeknek a 0180. oszlopban feltüntetett kódtípust „LEI-kód”-ként kell megadniuk.</w:t>
            </w:r>
            <w:r>
              <w:rPr>
                <w:rStyle w:val="FormatvorlageInstructionsTabelleText"/>
                <w:rFonts w:ascii="Times New Roman" w:hAnsi="Times New Roman"/>
                <w:sz w:val="24"/>
              </w:rPr>
              <w:t xml:space="preserve"> A kód típusát mindig jelenteni kell.</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Üzleti egység</w:t>
            </w:r>
          </w:p>
          <w:p w:rsidR="00FD54FC" w:rsidRPr="00661595" w:rsidRDefault="00FD54FC" w:rsidP="00FD54FC">
            <w:pPr>
              <w:rPr>
                <w:rFonts w:ascii="Times New Roman" w:hAnsi="Times New Roman"/>
                <w:sz w:val="24"/>
              </w:rPr>
            </w:pPr>
            <w:r>
              <w:rPr>
                <w:rFonts w:ascii="Times New Roman" w:hAnsi="Times New Roman"/>
                <w:sz w:val="24"/>
              </w:rPr>
              <w:lastRenderedPageBreak/>
              <w:t>Az intézmény azon üzleti egysége vagy vállalati divíziója, amelynél a veszteség – vagy ha több egység vagy divízió is érintett volt, a veszteség legnagyobb része – felmerült.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Leírás</w:t>
            </w:r>
          </w:p>
          <w:p w:rsidR="00FD54FC" w:rsidRPr="00661595" w:rsidRDefault="00FD54FC" w:rsidP="00FD239F">
            <w:pPr>
              <w:rPr>
                <w:rFonts w:ascii="Times New Roman" w:hAnsi="Times New Roman"/>
                <w:sz w:val="24"/>
              </w:rPr>
            </w:pPr>
            <w:r>
              <w:rPr>
                <w:rFonts w:ascii="Times New Roman" w:hAnsi="Times New Roman"/>
                <w:sz w:val="24"/>
              </w:rPr>
              <w:t>A veszteségesemény szöveges ismertetése, szükség esetén általános vagy anonimizált módon, amelynek ki kell terjednie legalább magára az eseményre és – amennyiben ismertek – a veszteségesemény okaira vonatkozó információkra.</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858690"/>
      <w:r>
        <w:rPr>
          <w:rFonts w:ascii="Times New Roman" w:hAnsi="Times New Roman"/>
          <w:sz w:val="24"/>
          <w:u w:val="none"/>
        </w:rPr>
        <w:lastRenderedPageBreak/>
        <w:t>5.</w:t>
      </w:r>
      <w:r w:rsidRPr="0055388B">
        <w:rPr>
          <w:u w:val="none"/>
        </w:rPr>
        <w:tab/>
      </w:r>
      <w:r>
        <w:rPr>
          <w:rFonts w:ascii="Times New Roman" w:hAnsi="Times New Roman"/>
          <w:sz w:val="24"/>
        </w:rPr>
        <w:t>Piaci kockázati táblacsoport</w:t>
      </w:r>
      <w:bookmarkEnd w:id="592"/>
      <w:bookmarkEnd w:id="593"/>
      <w:bookmarkEnd w:id="594"/>
      <w:bookmarkEnd w:id="595"/>
      <w:bookmarkEnd w:id="596"/>
      <w:bookmarkEnd w:id="597"/>
      <w:bookmarkEnd w:id="598"/>
    </w:p>
    <w:bookmarkStart w:id="599"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Az itt megadott útmutató a devizaárfolyam-kockázathoz (MKR SA FX), árukockázathoz (MKR SA COM), kamatlábkockázathoz (MKR SA TDI, MKR SA SEC, MKR SA CTP) és részvénypiaci kockázathoz (MKR SA EQU) kapcsolódó szavatolótőke-követelmény sztenderd módszer szerinti kiszámításáról történő adatszolgáltatáshoz használt táblákra terjed ki. Ebben a részben útmutató található továbbá a szavatolótőke-követelmény belső modelleken alapuló módszer szerinti kiszámításáról történő adatszolgáltatáshoz használt táblára vonatkozóan (MKR IM) is. </w:t>
      </w:r>
    </w:p>
    <w:p w:rsidR="000B0B09" w:rsidRPr="00661595" w:rsidRDefault="0055388B" w:rsidP="00487A02">
      <w:pPr>
        <w:pStyle w:val="InstructionsText2"/>
        <w:numPr>
          <w:ilvl w:val="0"/>
          <w:numId w:val="0"/>
        </w:numPr>
        <w:ind w:left="1353" w:hanging="360"/>
      </w:pPr>
      <w:fldSimple w:instr=" seq paragraphs ">
        <w:r w:rsidR="00D11E4C">
          <w:rPr>
            <w:noProof/>
          </w:rPr>
          <w:t>159</w:t>
        </w:r>
      </w:fldSimple>
      <w:r w:rsidR="00D11E4C">
        <w:t>.</w:t>
      </w:r>
      <w:r w:rsidR="00D11E4C">
        <w:tab/>
        <w:t xml:space="preserve"> A forgalmazott, hitelviszonyt megtestesítő értékpapírok vagy tulajdoni részesedést megtestesítő instrumentumok, illetve ezek származtatott eszközének pozíciókockázatát tőkeszükségletük kiszámítása céljából két összetevőre kell bontani. Az első elem az egyedi kockázati összetevő – azaz az adott eszköz árváltozásának kockázata, ami a kibocsátójával, illetve, származtatott eszköz esetében, az alapul szolgáló eszköz kibocsátójával kapcsolatos tényezőkből adódik. A második elem az általános kockázatot foglalja magában: az eszköz árváltozásának azt a kockázatát, amely forgalmazott, hitelviszonyt megtestesítő értékpapírok vagy azok származtatott eszköze esetében a kamatszintek változásából, tőkeinstrumentum vagy annak származtatott eszköze esetében az egyes értékpapírok sajátos tulajdonságaival kapcsolatban nem lévő, általános részvénypiaci mozgásokból adódik. </w:t>
      </w:r>
      <w:bookmarkEnd w:id="599"/>
      <w:r w:rsidR="00D11E4C">
        <w:t xml:space="preserve">Az egyes instrumentumok és nettósítási eljárások általános kezelését a CRR 326–333. cikke ismerteti.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858691"/>
      <w:r>
        <w:rPr>
          <w:rFonts w:ascii="Times New Roman" w:hAnsi="Times New Roman"/>
          <w:sz w:val="24"/>
          <w:u w:val="none"/>
        </w:rPr>
        <w:t>5.1.</w:t>
      </w:r>
      <w:r w:rsidRPr="0055388B">
        <w:rPr>
          <w:u w:val="none"/>
        </w:rPr>
        <w:tab/>
      </w:r>
      <w:r>
        <w:rPr>
          <w:rFonts w:ascii="Times New Roman" w:hAnsi="Times New Roman"/>
          <w:sz w:val="24"/>
        </w:rPr>
        <w:t xml:space="preserve">C 18.00 – Piaci kockázat: </w:t>
      </w:r>
      <w:bookmarkStart w:id="607" w:name="_Toc239157393"/>
      <w:r>
        <w:rPr>
          <w:rFonts w:ascii="Times New Roman" w:hAnsi="Times New Roman"/>
          <w:sz w:val="24"/>
        </w:rPr>
        <w:t>A forgalmazott, hitelviszonyt megtestesítő értékpapírok pozíciókockázatának sztenderd módszere</w:t>
      </w:r>
      <w:bookmarkEnd w:id="600"/>
      <w:bookmarkEnd w:id="601"/>
      <w:bookmarkEnd w:id="602"/>
      <w:bookmarkEnd w:id="603"/>
      <w:bookmarkEnd w:id="604"/>
      <w:bookmarkEnd w:id="607"/>
      <w:r>
        <w:rPr>
          <w:rFonts w:ascii="Times New Roman" w:hAnsi="Times New Roman"/>
          <w:sz w:val="24"/>
        </w:rPr>
        <w:t xml:space="preserve"> (MKR SA TDI)</w:t>
      </w:r>
      <w:bookmarkEnd w:id="605"/>
      <w:bookmarkEnd w:id="606"/>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858692"/>
      <w:r>
        <w:rPr>
          <w:rFonts w:ascii="Times New Roman" w:hAnsi="Times New Roman"/>
          <w:sz w:val="24"/>
          <w:u w:val="none"/>
        </w:rPr>
        <w:t>5.1.1.</w:t>
      </w:r>
      <w:r w:rsidRPr="0055388B">
        <w:rPr>
          <w:u w:val="none"/>
        </w:rPr>
        <w:tab/>
      </w:r>
      <w:r>
        <w:rPr>
          <w:rFonts w:ascii="Times New Roman" w:hAnsi="Times New Roman"/>
          <w:sz w:val="24"/>
        </w:rPr>
        <w:t>Általános megjegyzések</w:t>
      </w:r>
      <w:bookmarkEnd w:id="608"/>
      <w:bookmarkEnd w:id="609"/>
      <w:bookmarkEnd w:id="610"/>
      <w:bookmarkEnd w:id="611"/>
      <w:bookmarkEnd w:id="612"/>
      <w:bookmarkEnd w:id="613"/>
      <w:bookmarkEnd w:id="614"/>
    </w:p>
    <w:p w:rsidR="000B0B09" w:rsidRPr="00661595" w:rsidRDefault="0055388B" w:rsidP="00487A02">
      <w:pPr>
        <w:pStyle w:val="InstructionsText2"/>
        <w:numPr>
          <w:ilvl w:val="0"/>
          <w:numId w:val="0"/>
        </w:numPr>
        <w:ind w:left="1353" w:hanging="360"/>
      </w:pPr>
      <w:fldSimple w:instr=" seq paragraphs ">
        <w:r w:rsidR="00D11E4C">
          <w:rPr>
            <w:noProof/>
          </w:rPr>
          <w:t>160</w:t>
        </w:r>
      </w:fldSimple>
      <w:r w:rsidR="00D11E4C">
        <w:t>.</w:t>
      </w:r>
      <w:r w:rsidR="00D11E4C">
        <w:tab/>
        <w:t xml:space="preserve"> Ez a tábla a forgalmazott, hitelviszonyt megtestesítő értékpapírok sztenderd módszer szerinti pozíciókockázatát érintő pozíciókat és az azokhoz kapcsolódó szavatolótőke-követelményt rögzíti (a CRR 325. cikke (2) bekezdésének a) pontja). A különböző kockázatok és a CRR alapján alkalmazható módszerek az egyes sorokban vehetők figyelembe. Az MKR SA SEC és MKR SA CTP táblán szereplő kitettségekkel összefüggő egyedi kockázatok kizárólag az MKR SA TDI Total táblán tüntethetők fel. Az említett táblákon feltüntetett szavatolótőke-követelményt át kell vinni a {0325;0060} (értékpapírosítások), illetve {0330;0060} (CTP) cellába.</w:t>
      </w:r>
    </w:p>
    <w:p w:rsidR="000B0B09" w:rsidRPr="00661595" w:rsidRDefault="0055388B" w:rsidP="00487A02">
      <w:pPr>
        <w:pStyle w:val="InstructionsText2"/>
        <w:numPr>
          <w:ilvl w:val="0"/>
          <w:numId w:val="0"/>
        </w:numPr>
        <w:ind w:left="1353" w:hanging="360"/>
      </w:pPr>
      <w:fldSimple w:instr=" seq paragraphs ">
        <w:r w:rsidR="00D11E4C">
          <w:rPr>
            <w:noProof/>
          </w:rPr>
          <w:t>161</w:t>
        </w:r>
      </w:fldSimple>
      <w:r w:rsidR="00D11E4C">
        <w:t>.</w:t>
      </w:r>
      <w:r w:rsidR="00D11E4C">
        <w:tab/>
        <w:t xml:space="preserve"> A táblát külön ki kell tölteni összesítve, valamint az alábbi előre meghatározott felsorolásban szereplő pénznemekre vonatkozóan: </w:t>
      </w:r>
      <w:bookmarkStart w:id="615" w:name="OLE_LINK1"/>
      <w:r w:rsidR="00D11E4C">
        <w:t>EUR, ALL, BGN, CZK, DKK, EGP, GBP, HRK, HUF, ISK, JPY, MKD, NOK, PLN, RON, RUB, RSD, SEK, CHF, TRY, UAH, USD</w:t>
      </w:r>
      <w:bookmarkEnd w:id="615"/>
      <w:r w:rsidR="00D11E4C">
        <w:t xml:space="preserve">, továbbá egy táblát minden egyéb pénznemre összevontan.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858693"/>
      <w:r>
        <w:rPr>
          <w:rFonts w:ascii="Times New Roman" w:hAnsi="Times New Roman"/>
          <w:sz w:val="24"/>
          <w:u w:val="none"/>
        </w:rPr>
        <w:t>5.1.2.</w:t>
      </w:r>
      <w:r w:rsidRPr="0055388B">
        <w:rPr>
          <w:u w:val="none"/>
        </w:rPr>
        <w:tab/>
      </w:r>
      <w:r>
        <w:rPr>
          <w:rFonts w:ascii="Times New Roman" w:hAnsi="Times New Roman"/>
          <w:sz w:val="24"/>
        </w:rPr>
        <w:t>A tábla egyes részeire vonatkozó útmutató</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ÖSSZES POZÍCIÓ (HOSSZÚ ÉS RÖVID)</w:t>
            </w:r>
          </w:p>
          <w:p w:rsidR="000B0B09" w:rsidRPr="00661595" w:rsidRDefault="000B0B09" w:rsidP="00BD2FE7">
            <w:pPr>
              <w:rPr>
                <w:rFonts w:ascii="Times New Roman" w:hAnsi="Times New Roman"/>
                <w:sz w:val="24"/>
              </w:rPr>
            </w:pPr>
            <w:r>
              <w:rPr>
                <w:rFonts w:ascii="Times New Roman" w:hAnsi="Times New Roman"/>
                <w:sz w:val="24"/>
              </w:rPr>
              <w:t>A CRR 102. cikke, valamint 105. cikkének (1) bekezdése. Bruttó, instrumentumonként nem nettósított pozíciók azon jegyzési pozíciók levonásával, amelyeket harmadik fél az intézménytől lejegyzett, vagy amelyekre jegyzési garanciát vállal a CRR 345. cikke (1) bekezdése, első albekezdése második mondatának megfelelően. A hosszú és rövid pozícióknak az említett bruttó pozíciókra is alkalmazandó megkülönböztetésével kapcsolatban lásd a CRR 328. cikkének (2) bekezdését.</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NETTÓ POZÍCIÓK (HOSSZÚ ÉS RÖVID)</w:t>
            </w:r>
          </w:p>
          <w:p w:rsidR="000B0B09" w:rsidRPr="00661595" w:rsidRDefault="000B0B09" w:rsidP="005B04C9">
            <w:pPr>
              <w:rPr>
                <w:rFonts w:ascii="Times New Roman" w:hAnsi="Times New Roman"/>
                <w:sz w:val="24"/>
              </w:rPr>
            </w:pPr>
            <w:r>
              <w:rPr>
                <w:rFonts w:ascii="Times New Roman" w:hAnsi="Times New Roman"/>
                <w:sz w:val="24"/>
              </w:rPr>
              <w:t>A CRR 327–329., valamint 334. cikke A hosszú és rövid pozíciók megkülönböztetésével kapcsolatban lásd a CRR 328. cikkének (2) bekezdését.</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TŐKEKÖVETELMÉNNYEL ÉRINTETT POZÍCIÓK</w:t>
            </w:r>
          </w:p>
          <w:p w:rsidR="000B0B09" w:rsidRPr="00661595" w:rsidRDefault="000B0B09" w:rsidP="005B04C9">
            <w:pPr>
              <w:rPr>
                <w:rFonts w:ascii="Times New Roman" w:hAnsi="Times New Roman"/>
                <w:b/>
                <w:bCs/>
                <w:sz w:val="24"/>
                <w:u w:val="single"/>
              </w:rPr>
            </w:pPr>
            <w:r>
              <w:rPr>
                <w:rFonts w:ascii="Times New Roman" w:hAnsi="Times New Roman"/>
                <w:sz w:val="24"/>
              </w:rPr>
              <w:t>Azok a nettó pozíciók, amelyekre a CRR harmadik része IV. címének 2. fejezetében foglalt különböző módszerek szerint tőkekövetelmény vonatkozik.</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SZAVATOLÓTŐKE-KÖVETELMÉNY</w:t>
            </w:r>
          </w:p>
          <w:p w:rsidR="000B0B09" w:rsidRPr="00661595" w:rsidRDefault="000B0B09" w:rsidP="005B04C9">
            <w:pPr>
              <w:rPr>
                <w:rFonts w:ascii="Times New Roman" w:hAnsi="Times New Roman"/>
                <w:b/>
                <w:bCs/>
                <w:sz w:val="24"/>
                <w:u w:val="single"/>
              </w:rPr>
            </w:pPr>
            <w:r>
              <w:rPr>
                <w:rFonts w:ascii="Times New Roman" w:hAnsi="Times New Roman"/>
                <w:sz w:val="24"/>
              </w:rPr>
              <w:t>A CRR harmadik része IV. címének 2. fejezete szerinti releváns pozíciók tőkekövetelménye.</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TELJES KOCKÁZATI KITETTSÉGÉRTÉK</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A CRR 92. cikke (4) bekezdésének b) pontja A szavatolótőke-követelmény 12,5-del való szorzásának az eredménye.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KERESKEDÉSI KÖNYVBEN NYILVÁNTARTOTT, FORGALMAZOTT, HITELVISZONYT MEGTESTESÍTŐ ÉRTÉKPAPÍROK</w:t>
            </w:r>
          </w:p>
          <w:p w:rsidR="000B0B09" w:rsidRPr="00661595" w:rsidRDefault="000B0B09" w:rsidP="00BD2FE7">
            <w:pPr>
              <w:rPr>
                <w:rFonts w:ascii="Times New Roman" w:hAnsi="Times New Roman"/>
                <w:sz w:val="24"/>
              </w:rPr>
            </w:pPr>
            <w:r>
              <w:rPr>
                <w:rFonts w:ascii="Times New Roman" w:hAnsi="Times New Roman"/>
                <w:sz w:val="24"/>
              </w:rPr>
              <w:t>A forgalmazott, hitelviszonyt megtestesítő értékpapírokban meglévő, kereskedési könyvben nyilvántartott pozíciókat és az azoknak megfelelő, a CRR 92. cikke (3) bekezdése b) pontjának i. alpontja, valamint a CRR harmadik része IV. címének 2. fejezete szerinti pozíciókockázathoz kapcsolódó szavatolótőke-követelményt a kockázati kategóriától, a lejárattól és az alkalmazott módszertől függően kell feltüntetni.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ÁLTALÁNOS KOCKÁZAT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Származtatott ügyletek</w:t>
            </w:r>
          </w:p>
          <w:p w:rsidR="000B0B09" w:rsidRPr="00661595" w:rsidRDefault="000B0B09" w:rsidP="00BD2FE7">
            <w:pPr>
              <w:rPr>
                <w:rFonts w:ascii="Times New Roman" w:hAnsi="Times New Roman"/>
                <w:b/>
                <w:bCs/>
                <w:sz w:val="24"/>
                <w:u w:val="single"/>
              </w:rPr>
            </w:pPr>
            <w:r>
              <w:rPr>
                <w:rFonts w:ascii="Times New Roman" w:hAnsi="Times New Roman"/>
                <w:sz w:val="24"/>
              </w:rPr>
              <w:t>A kereskedési könyvi pozíciók kamatlábkockázatának számítása során figyelembe vett származtatott ügyletek, a CRR 328–331. cikkének figyelembevételével, ha e cikkek alkalmazhatók.</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Egyéb eszközök és kötelezettségek</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A kereskedési könyvi pozíciók kamatlábkockázatának számítása során figyelembe vett származtatott ügyleteken kívüli instrumentumok.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LEJÁRATON ALAPULÓ MÓDSZER</w:t>
            </w:r>
          </w:p>
          <w:p w:rsidR="000B0B09" w:rsidRPr="00661595" w:rsidRDefault="000B0B09" w:rsidP="00BD2FE7">
            <w:pPr>
              <w:rPr>
                <w:rFonts w:ascii="Times New Roman" w:hAnsi="Times New Roman"/>
                <w:b/>
                <w:bCs/>
                <w:sz w:val="24"/>
                <w:u w:val="single"/>
              </w:rPr>
            </w:pPr>
            <w:r>
              <w:rPr>
                <w:rFonts w:ascii="Times New Roman" w:hAnsi="Times New Roman"/>
                <w:sz w:val="24"/>
              </w:rPr>
              <w:lastRenderedPageBreak/>
              <w:t>A forgalmazott, hitelviszonyt megtestesítő értékpapírokban meglévő pozíciók, amelyek a CRR 339. cikkének (1)–(8) bekezdésében említett, lejáraton alapuló módszer, valamint az annak megfelelő, a CRR 339. cikkének (9) bekezdése szerint kiszámított szavatolótőke-követelmények alkalmazási körébe tartoznak. A pozíciót az 1., 2. és 3. zónákra, ezeket pedig az instrumentumok lejárata szerint kell felosztani.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ÁLTALÁNOS KOCKÁZAT ÁTLAGOS HÁTRALÉVŐ FUTAMIDŐN ALAPULÓ MÓDSZER</w:t>
            </w:r>
          </w:p>
          <w:p w:rsidR="000B0B09" w:rsidRPr="00661595" w:rsidRDefault="000B0B09" w:rsidP="0002267E">
            <w:pPr>
              <w:rPr>
                <w:rFonts w:ascii="Times New Roman" w:hAnsi="Times New Roman"/>
                <w:b/>
                <w:bCs/>
                <w:sz w:val="24"/>
                <w:u w:val="single"/>
              </w:rPr>
            </w:pPr>
            <w:r>
              <w:rPr>
                <w:rFonts w:ascii="Times New Roman" w:hAnsi="Times New Roman"/>
                <w:sz w:val="24"/>
              </w:rPr>
              <w:t>A forgalmazott, hitelviszonyt megtestesítő értékpapírokban meglévő pozíciók, amelyek a CRR 340. cikkének (1)–(6) bekezdésében említett, hátralévő futamidőn alapuló módszer, valamint az annak megfelelő, a CRR 340. cikkének (7) bekezdése szerint kiszámított szavatolótőke-követelmények alkalmazási körébe tartoznak. A pozíciót az 1., 2. és 3. zónákra kell felosztani.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EGYEDI KOCKÁZAT</w:t>
            </w:r>
          </w:p>
          <w:p w:rsidR="000B0B09" w:rsidRPr="00661595" w:rsidRDefault="000B0B09" w:rsidP="00BD2FE7">
            <w:pPr>
              <w:rPr>
                <w:rFonts w:ascii="Times New Roman" w:hAnsi="Times New Roman"/>
                <w:sz w:val="24"/>
              </w:rPr>
            </w:pPr>
            <w:r>
              <w:rPr>
                <w:rFonts w:ascii="Times New Roman" w:hAnsi="Times New Roman"/>
                <w:sz w:val="24"/>
              </w:rPr>
              <w:t xml:space="preserve">A 0251-es, 0325-ös és 0330-as sorban megadott értékek összege. </w:t>
            </w:r>
          </w:p>
          <w:p w:rsidR="000B0B09" w:rsidRPr="00661595" w:rsidRDefault="000B0B09" w:rsidP="00BD2FE7">
            <w:pPr>
              <w:rPr>
                <w:rFonts w:ascii="Times New Roman" w:hAnsi="Times New Roman"/>
                <w:b/>
                <w:bCs/>
                <w:sz w:val="24"/>
                <w:u w:val="single"/>
              </w:rPr>
            </w:pPr>
            <w:r>
              <w:rPr>
                <w:rFonts w:ascii="Times New Roman" w:hAnsi="Times New Roman"/>
                <w:sz w:val="24"/>
              </w:rPr>
              <w:t>A forgalmazott, hitelviszonyt megtestesítő értékpapírokban meglévő pozíciók, amelyek az egyedi kockázathoz kapcsolódó tőkekövetelmény hatálya alá tartoznak, valamint a rájuk vonatkozó tőkekövetelmények a CRR 92. cikke (3) bekezdésének b) pontja, 335. cikke, 336. cikkének (1)–(3) bekezdése, valamint 337. és 338. cikke szerint. Figyelembe kell venni továbbá a CRR 327. cikke (1) bekezdésének utolsó mondatát.</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 nem értékpapírosítási pozíciót jelentő, hitelviszonyt megtestesítő értékpapírok szavatolótőke-követelménye</w:t>
            </w:r>
          </w:p>
          <w:p w:rsidR="000B0B09" w:rsidRPr="00661595" w:rsidRDefault="000B0B09" w:rsidP="007B2F85">
            <w:pPr>
              <w:rPr>
                <w:rFonts w:ascii="Times New Roman" w:hAnsi="Times New Roman"/>
                <w:sz w:val="24"/>
              </w:rPr>
            </w:pPr>
            <w:r>
              <w:rPr>
                <w:rFonts w:ascii="Times New Roman" w:hAnsi="Times New Roman"/>
                <w:sz w:val="24"/>
              </w:rPr>
              <w:t>A 260–321. sorokban megadott értékek összege.</w:t>
            </w:r>
          </w:p>
          <w:p w:rsidR="000B0B09" w:rsidRPr="00661595" w:rsidRDefault="000B0B09" w:rsidP="00BD2FE7">
            <w:pPr>
              <w:rPr>
                <w:rFonts w:ascii="Times New Roman" w:hAnsi="Times New Roman"/>
                <w:sz w:val="24"/>
              </w:rPr>
            </w:pPr>
            <w:r>
              <w:rPr>
                <w:rFonts w:ascii="Times New Roman" w:hAnsi="Times New Roman"/>
                <w:sz w:val="24"/>
              </w:rPr>
              <w:t xml:space="preserve">A külső minősítéssel nem rendelkező, n-edik nemteljesítéskor lehívható hitelderivatívák szavatolótőke-követelményét az alaptermék-kibocsátók kockázati súlyainak összeadásával kell kiszámítani (a CRR 332. cikke (1) bekezdése e) pontja és a CRR 332. cikke (1) bekezdésének második albekezdése – az alapul szolgáló eszközök vizsgálata). A külső minősítéssel rendelkező, n-edik nemteljesítéskor lehívható hitelderivatívákat (a CRR 332. cikke (1) bekezdésének harmadik albekezdése) külön kell feltüntetni a 321. sorban. </w:t>
            </w:r>
          </w:p>
          <w:p w:rsidR="000B0B09" w:rsidRPr="00661595" w:rsidRDefault="000B0B09" w:rsidP="00BD2FE7">
            <w:pPr>
              <w:rPr>
                <w:rFonts w:ascii="Times New Roman" w:hAnsi="Times New Roman"/>
                <w:sz w:val="24"/>
              </w:rPr>
            </w:pPr>
            <w:r>
              <w:rPr>
                <w:rFonts w:ascii="Times New Roman" w:hAnsi="Times New Roman"/>
                <w:sz w:val="24"/>
              </w:rPr>
              <w:t>A CRR 336. cikkének (3) bekezdése szerinti pozíciókkal kapcsolatos adatszolgáltatás: A CRR 129. cikkének (3) bekezdése szerint speciálisan kezelendők azok a kötvények, amelyek a banki könyvben 10 %-ot elérő kockázati súlyt képviselnek (fedezett kötvények). Az egyedi szavatolótőke-követelmény a CRR 336. cikke 1. táblázatának második kategóriájában említett százalékos arány fele. Ezeket a pozíciókat a végső lejáratig hátralévő idő alapján kell a 0280–0300. sorokban feltüntetni.</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Ha a kamatláb-pozíciók általános kockázatát hitelderivatíva fedezi, akkor a CRR 346. és 347. cikkét kell alkalmazni.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Az értékpapírosított eszközök szavatolótőke-követelménye</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Az MKR SA SEC tábla 0601-es oszlopában feltüntetett teljes szavatolótőke-követelmény. Az említett teljes szavatolótőke-követelményt csak az MKR SA TDI „Összesen” sorában kell megadni.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 korrelációkereskedési portfólió szavatolótőke-követelménye</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Az MKR SA CTP tábla 0450-es oszlopában feltüntetett teljes szavatolótőke-követelmény. Az említett teljes szavatolótőke-követelmény csak az MKR SA TDI összesítésében adható meg.</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OPCIÓKRA VONATKOZÓ TOVÁBBI KÖVETELMÉNYEK (NEM DELTA KOCKÁZATOK) </w:t>
            </w:r>
          </w:p>
          <w:p w:rsidR="000B0B09" w:rsidRPr="00661595" w:rsidRDefault="000B0B09" w:rsidP="00BD2FE7">
            <w:pPr>
              <w:rPr>
                <w:rFonts w:ascii="Times New Roman" w:hAnsi="Times New Roman"/>
                <w:sz w:val="24"/>
              </w:rPr>
            </w:pPr>
            <w:r>
              <w:rPr>
                <w:rFonts w:ascii="Times New Roman" w:hAnsi="Times New Roman"/>
                <w:sz w:val="24"/>
              </w:rPr>
              <w:t>A CRR 329. cikkének (3) bekezdése</w:t>
            </w:r>
          </w:p>
          <w:p w:rsidR="000B0B09" w:rsidRPr="00661595" w:rsidRDefault="000B0B09" w:rsidP="0002267E">
            <w:pPr>
              <w:rPr>
                <w:rFonts w:ascii="Times New Roman" w:hAnsi="Times New Roman"/>
                <w:bCs/>
                <w:sz w:val="24"/>
              </w:rPr>
            </w:pPr>
            <w:r>
              <w:rPr>
                <w:rFonts w:ascii="Times New Roman" w:hAnsi="Times New Roman"/>
                <w:sz w:val="24"/>
              </w:rPr>
              <w:t>A nem delta kockázatokkal kapcsolatos, opciókra vonatkozó további követelményeket a kiszámításukhoz használt módszer szerinti bontásban kell feltüntetni.</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858694"/>
      <w:r>
        <w:rPr>
          <w:rFonts w:ascii="Times New Roman" w:hAnsi="Times New Roman"/>
          <w:sz w:val="24"/>
          <w:u w:val="none"/>
        </w:rPr>
        <w:t>5.2.</w:t>
      </w:r>
      <w:r w:rsidRPr="00060762">
        <w:rPr>
          <w:u w:val="none"/>
        </w:rPr>
        <w:tab/>
      </w:r>
      <w:r>
        <w:rPr>
          <w:rFonts w:ascii="Times New Roman" w:hAnsi="Times New Roman"/>
          <w:sz w:val="24"/>
        </w:rPr>
        <w:t>C 19.00 – PIACI KOCKÁZAT: AZ ÉRTÉKPAPÍROSÍTÁSOK EGYEDI KOCKÁZATÁNAK SZTENDERD MÓDSZERE (MKR SA SEC)</w:t>
      </w:r>
      <w:bookmarkEnd w:id="623"/>
      <w:bookmarkEnd w:id="624"/>
      <w:bookmarkEnd w:id="625"/>
      <w:bookmarkEnd w:id="626"/>
      <w:bookmarkEnd w:id="627"/>
      <w:bookmarkEnd w:id="628"/>
      <w:bookmarkEnd w:id="62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858695"/>
      <w:r>
        <w:rPr>
          <w:rFonts w:ascii="Times New Roman" w:hAnsi="Times New Roman"/>
          <w:sz w:val="24"/>
          <w:u w:val="none"/>
        </w:rPr>
        <w:t>5.2.1.</w:t>
      </w:r>
      <w:r w:rsidRPr="00060762">
        <w:rPr>
          <w:u w:val="none"/>
        </w:rPr>
        <w:tab/>
      </w:r>
      <w:r>
        <w:rPr>
          <w:rFonts w:ascii="Times New Roman" w:hAnsi="Times New Roman"/>
          <w:sz w:val="24"/>
        </w:rPr>
        <w:t>Általános megjegyzések</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Ezen a táblán a sztenderd módszer alkalmazási körébe tartozó pozíciókról (összes/nettó, hosszú/rövid), valamint az ezekhez kapcsolódóan a kereskedési könyvben nyilvántartott (a korrelációkereskedési portfólióban figyelembe nem vehető) értékpapírosítások és újra-értékpapírosítások pozíciókockázatán belüli egyedi kockázatra vonatkozó szavatolótőke-követelményről kell adatot szolgáltatni. </w:t>
      </w:r>
    </w:p>
    <w:p w:rsidR="00FC6275" w:rsidRPr="00661595" w:rsidRDefault="0055388B" w:rsidP="00487A02">
      <w:pPr>
        <w:pStyle w:val="InstructionsText2"/>
        <w:numPr>
          <w:ilvl w:val="0"/>
          <w:numId w:val="0"/>
        </w:numPr>
        <w:ind w:left="1353" w:hanging="360"/>
      </w:pPr>
      <w:fldSimple w:instr=" seq paragraphs ">
        <w:r w:rsidR="00D11E4C">
          <w:rPr>
            <w:noProof/>
          </w:rPr>
          <w:t>163</w:t>
        </w:r>
      </w:fldSimple>
      <w:r w:rsidR="00D11E4C">
        <w:t>.</w:t>
      </w:r>
      <w:r w:rsidR="00D11E4C">
        <w:tab/>
        <w:t xml:space="preserve"> Az MKR SA SEC tábla kizárólag a CRR 335. cikke, valamint azzal összefüggésben a CRR 337. cikke szerinti értékpapírosítási pozíciók egyedi kockázatához kapcsolódó szavatolótőke-követelményt adja meg. Ha a kereskedési könyvben nyilvántartott értékpapírosítási pozíciókat hitelderivatívákkal fedezik, akkor a CRR 346. és 347. cikkét kell alkalmazni. Valamennyi kereskedési könyvi pozícióról egy táblán kell adatot szolgáltatni attól függetlenül, hogy az intézmény melyik módszert alkalmazza a CRR harmadik része II. címének 5. fejezete szerinti egyes pozíciók kockázati súlyának meghatározásakor. Az e pozíciók általános kockázatához kapcsolódó szavatolótőke-követelményre vonatkozó adatszolgáltatás az MKR SA TDI vagy az MKR IM táblán történik.</w:t>
      </w:r>
    </w:p>
    <w:p w:rsidR="00FC6275" w:rsidRPr="00661595" w:rsidRDefault="0055388B" w:rsidP="00487A02">
      <w:pPr>
        <w:pStyle w:val="InstructionsText2"/>
        <w:numPr>
          <w:ilvl w:val="0"/>
          <w:numId w:val="0"/>
        </w:numPr>
        <w:ind w:left="1353" w:hanging="360"/>
      </w:pPr>
      <w:fldSimple w:instr=" seq paragraphs ">
        <w:r w:rsidR="00D11E4C">
          <w:rPr>
            <w:noProof/>
          </w:rPr>
          <w:t>164</w:t>
        </w:r>
      </w:fldSimple>
      <w:r w:rsidR="00D11E4C">
        <w:t>. Az 1 250 %-os kockázati súlyú pozíciók az elsődleges alapvető tőkéből (CET1) is levonhatók (lásd a CRR 244. cikke (1) bekezdésének b) pontját, 245. cikke (1) bekezdésének b) pontját és 253. cikkét). Ebben az esetben a pozícióról a CA1 tábla 0460-as sorában kell adatot szolgáltatni.</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58858696"/>
      <w:r>
        <w:rPr>
          <w:rFonts w:ascii="Times New Roman" w:hAnsi="Times New Roman"/>
          <w:sz w:val="24"/>
          <w:u w:val="none"/>
        </w:rPr>
        <w:t>5.2.2.</w:t>
      </w:r>
      <w:r w:rsidRPr="00060762">
        <w:rPr>
          <w:u w:val="none"/>
        </w:rPr>
        <w:tab/>
      </w:r>
      <w:r>
        <w:rPr>
          <w:rFonts w:ascii="Times New Roman" w:hAnsi="Times New Roman"/>
          <w:sz w:val="24"/>
        </w:rPr>
        <w:t>A tábla egyes részeire vonatkozó útmutató</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ÖSSZES POZÍCIÓ (HOSSZÚ ÉS RÖVID)</w:t>
            </w:r>
          </w:p>
          <w:p w:rsidR="00C55547" w:rsidRPr="00661595" w:rsidRDefault="00C55547" w:rsidP="003073B2">
            <w:pPr>
              <w:rPr>
                <w:rFonts w:ascii="Times New Roman" w:hAnsi="Times New Roman"/>
                <w:sz w:val="24"/>
              </w:rPr>
            </w:pPr>
            <w:r>
              <w:rPr>
                <w:rFonts w:ascii="Times New Roman" w:hAnsi="Times New Roman"/>
                <w:sz w:val="24"/>
              </w:rPr>
              <w:lastRenderedPageBreak/>
              <w:t xml:space="preserve">A CRR </w:t>
            </w:r>
            <w:r>
              <w:rPr>
                <w:rStyle w:val="InstructionsTabelleText"/>
                <w:rFonts w:ascii="Times New Roman" w:hAnsi="Times New Roman"/>
                <w:sz w:val="24"/>
              </w:rPr>
              <w:t xml:space="preserve">102. cikke, valamint 105. cikkének (1) bekezdése a CRR 337. cikkével összefüggésben (értékpapírosítási pozíciók). A hosszú és rövid pozícióknak az említett bruttó pozíciókra is alkalmazandó megkülönböztetésével kapcsolatban lásd a CRR 328. cikkének (2) bekezdését.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SZAVATOLÓTŐKÉBŐL LEVONT</w:t>
            </w:r>
            <w:r>
              <w:rPr>
                <w:rFonts w:ascii="Times New Roman" w:hAnsi="Times New Roman"/>
                <w:sz w:val="24"/>
              </w:rPr>
              <w:t xml:space="preserve"> </w:t>
            </w:r>
            <w:r>
              <w:rPr>
                <w:rFonts w:ascii="Times New Roman" w:hAnsi="Times New Roman"/>
                <w:b/>
                <w:bCs/>
                <w:sz w:val="24"/>
                <w:u w:val="single"/>
              </w:rPr>
              <w:t>POZÍCIÓK (HOSSZÚ ÉS RÖVID)</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A CRR 244. cikke (1) bekezdésének b) pontja, 245. cikke (1) bekezdésének b) pontja, valamint 253. cikke</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NETTÓ POZÍCIÓK</w:t>
            </w:r>
            <w:r>
              <w:rPr>
                <w:rFonts w:ascii="Times New Roman" w:hAnsi="Times New Roman"/>
                <w:b/>
                <w:bCs/>
                <w:sz w:val="24"/>
                <w:u w:val="single"/>
              </w:rPr>
              <w:t xml:space="preserve"> (HOSSZÚ ÉS RÖVID)</w:t>
            </w:r>
          </w:p>
          <w:p w:rsidR="00C55547" w:rsidRPr="00661595" w:rsidRDefault="00C55547" w:rsidP="003073B2">
            <w:pPr>
              <w:rPr>
                <w:rStyle w:val="InstructionsTabelleText"/>
                <w:rFonts w:ascii="Times New Roman" w:hAnsi="Times New Roman"/>
                <w:sz w:val="24"/>
              </w:rPr>
            </w:pPr>
            <w:r>
              <w:rPr>
                <w:rFonts w:ascii="Times New Roman" w:hAnsi="Times New Roman"/>
                <w:sz w:val="24"/>
              </w:rPr>
              <w:t>A CRR 3</w:t>
            </w:r>
            <w:r>
              <w:rPr>
                <w:rStyle w:val="InstructionsTabelleText"/>
                <w:rFonts w:ascii="Times New Roman" w:hAnsi="Times New Roman"/>
                <w:sz w:val="24"/>
              </w:rPr>
              <w:t>27., 328., 329. és 334. cikke. A hosszú és rövid pozíciók megkülönböztetésével kapcsolatban lásd a CRR 328. cikkének (2) bekezdését.</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 NETTÓ POZÍCIÓK KOCKÁZATI SÚLY SZERINTI BONTÁSA</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 CRR 259–262. cikke, 263. cikkének 1. és 2. táblázata, 264. cikkének 3. és 4. táblázata, valamint 266. cikke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A hosszú és rövid pozíciókat külön kell csoportosítani.</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 NETTÓ POZÍCIÓK MÓDSZEREK SZERINTI BONTÁSA</w:t>
            </w:r>
          </w:p>
          <w:p w:rsidR="00C55547" w:rsidRPr="00661595" w:rsidRDefault="00C55547" w:rsidP="003073B2">
            <w:pPr>
              <w:rPr>
                <w:rFonts w:ascii="Times New Roman" w:hAnsi="Times New Roman"/>
                <w:b/>
                <w:bCs/>
                <w:sz w:val="24"/>
                <w:u w:val="single"/>
              </w:rPr>
            </w:pPr>
            <w:r>
              <w:rPr>
                <w:rFonts w:ascii="Times New Roman" w:hAnsi="Times New Roman"/>
                <w:sz w:val="24"/>
              </w:rPr>
              <w:t xml:space="preserve">A </w:t>
            </w:r>
            <w:r>
              <w:rPr>
                <w:rStyle w:val="InstructionsTabelleText"/>
                <w:rFonts w:ascii="Times New Roman" w:hAnsi="Times New Roman"/>
                <w:sz w:val="24"/>
              </w:rPr>
              <w:t>CRR 254</w:t>
            </w:r>
            <w:r>
              <w:rPr>
                <w:rFonts w:ascii="Times New Roman" w:hAnsi="Times New Roman"/>
                <w:sz w:val="24"/>
              </w:rPr>
              <w:t>. cikke</w:t>
            </w:r>
            <w:r>
              <w:rPr>
                <w:rStyle w:val="InstructionsTabelleText"/>
                <w:rFonts w:ascii="Times New Roman" w:hAnsi="Times New Roman"/>
                <w:sz w:val="24"/>
              </w:rPr>
              <w:t xml:space="preserve">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 CRR 259. és 260. cikke</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 CRR 261. és 262. cikke</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 CRR 263. és 264. cikke</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BELSŐ ÉRTÉKELÉSI MÓDSZER</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A CRR 254. és 265. cikke, valamint 266. cikkének (5) bekezdése.</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EGYÉB (KOCKÁZATI SÚLY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 CRR 254. cikkének (7) bekezdése</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AZ (EU) 2017/2402 RENDELET 2. FEJEZETÉNEK MEGSÉRTÉSE MIATTI ÁLTALÁNOS HATÁS (KORREKCIÓ)</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 CRR 270 a. cikke</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FELSŐ KORLÁT FIGYELEMBEVÉTELE ELŐTT </w:t>
            </w:r>
          </w:p>
          <w:p w:rsidR="00C55547" w:rsidRPr="00661595" w:rsidRDefault="00C55547" w:rsidP="003073B2">
            <w:pPr>
              <w:rPr>
                <w:rFonts w:ascii="Times New Roman" w:hAnsi="Times New Roman"/>
                <w:bCs/>
                <w:sz w:val="24"/>
              </w:rPr>
            </w:pPr>
            <w:r>
              <w:rPr>
                <w:rFonts w:ascii="Times New Roman" w:hAnsi="Times New Roman"/>
                <w:bCs/>
                <w:sz w:val="24"/>
              </w:rPr>
              <w:t>A CRR 337. cikke, figyelmen kívül hagyva a CRR 335. cikkében biztosított jogosultságot, amely alapján egy intézmény a nemteljesítési kockázathoz kapcsolódó veszteség lehetséges maximális összegében korlátozhatja a súly és a nettó pozíció szorzatát.</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FELSŐ KORLÁT FIGYELEMBEVÉTELE UTÁN /TELJES SZAVATOLÓTŐKE-KÖVETELMÉNY </w:t>
            </w:r>
          </w:p>
          <w:p w:rsidR="00C55547" w:rsidRPr="00661595" w:rsidRDefault="00C55547" w:rsidP="003073B2">
            <w:pPr>
              <w:rPr>
                <w:rFonts w:ascii="Times New Roman" w:hAnsi="Times New Roman"/>
                <w:bCs/>
                <w:sz w:val="24"/>
              </w:rPr>
            </w:pPr>
            <w:r>
              <w:rPr>
                <w:rFonts w:ascii="Times New Roman" w:hAnsi="Times New Roman"/>
                <w:sz w:val="24"/>
              </w:rPr>
              <w:lastRenderedPageBreak/>
              <w:t xml:space="preserve">A </w:t>
            </w:r>
            <w:r>
              <w:rPr>
                <w:rFonts w:ascii="Times New Roman" w:hAnsi="Times New Roman"/>
                <w:bCs/>
                <w:sz w:val="24"/>
              </w:rPr>
              <w:t>CRR 337. cikke, figyelembe</w:t>
            </w:r>
            <w:r>
              <w:rPr>
                <w:rFonts w:ascii="Times New Roman" w:hAnsi="Times New Roman"/>
                <w:sz w:val="24"/>
              </w:rPr>
              <w:t xml:space="preserve"> </w:t>
            </w:r>
            <w:r>
              <w:rPr>
                <w:rStyle w:val="InstructionsTabelleText"/>
                <w:rFonts w:ascii="Times New Roman" w:hAnsi="Times New Roman"/>
                <w:sz w:val="24"/>
              </w:rPr>
              <w:t>véve</w:t>
            </w:r>
            <w:r>
              <w:rPr>
                <w:rFonts w:ascii="Times New Roman" w:hAnsi="Times New Roman"/>
                <w:sz w:val="24"/>
              </w:rPr>
              <w:t xml:space="preserve"> </w:t>
            </w:r>
            <w:r>
              <w:rPr>
                <w:rFonts w:ascii="Times New Roman" w:hAnsi="Times New Roman"/>
                <w:bCs/>
                <w:sz w:val="24"/>
              </w:rPr>
              <w:t>a CRR 335. cikkében biztosított jogosultságot.</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Sor</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TELJES KITETTSÉG</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A kereskedési könyvben nyilvántartott, fennálló értékpapírosítások és újra-értékpapírosítások összértéke az értékpapírosítást kezdeményező vagy befektető vagy szponzor szerepét betöltő intézmény adatszolgáltatása szerint.</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és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ÉRTÉKPAPÍROSÍTÁSI POZÍCIÓK</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 CRR 4. cikke (1) bekezdésének 62. pontja.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és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ÚJRA-ÉRTÉKPAPÍROSÍTÁSI POZÍCIÓK</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 CRR 4. cikke (1) bekezdésének 64. pontja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és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EBBŐL: DIFFERENCIÁLT TŐKEKÖVETELMÉNY-MEGÁLLAPÍTÁSRA JOGOSULT</w:t>
            </w:r>
          </w:p>
          <w:p w:rsidR="00C55547" w:rsidRPr="00661595" w:rsidRDefault="00C55547">
            <w:pPr>
              <w:rPr>
                <w:rStyle w:val="InstructionsTabelleberschrift"/>
                <w:rFonts w:ascii="Times New Roman" w:hAnsi="Times New Roman"/>
                <w:sz w:val="24"/>
              </w:rPr>
            </w:pPr>
            <w:r>
              <w:rPr>
                <w:rFonts w:ascii="Times New Roman" w:hAnsi="Times New Roman"/>
                <w:bCs/>
                <w:sz w:val="24"/>
              </w:rPr>
              <w:t>Azon értékpapírosítási pozíciók teljes összege, amelyek megfelelnek a CRR 243. vagy 270. cikkében foglalt kritériumoknak, és ezért differenciált tőkekövetelmény-megállapításra jogosultak.</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A CRR 4. cikke (1) bekezdésének 13. pontja.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BEFEKTETŐ</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Olyan hitelintézet, amely értékpapírosítási pozícióval rendelkezik egy olyan értékpapírosítási ügyletben, amelyben sem az értékpapírosítást kezdeményező, sem a szponzor, sem az eredeti hitelező szerepét nem tölti be.</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SZPONZOR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 CRR 4. cikke (1) bekezdésének 14. pontja.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Annak a szponzornak, aki saját eszközt is értékpapírosít, a saját értékpapírosított eszközökkel kapcsolatos információkat az értékpapírosítást kezdeményezőre vonatkozó sorokban kell megadnia.</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858697"/>
      <w:r>
        <w:rPr>
          <w:rFonts w:ascii="Times New Roman" w:hAnsi="Times New Roman"/>
          <w:sz w:val="24"/>
          <w:u w:val="none"/>
        </w:rPr>
        <w:lastRenderedPageBreak/>
        <w:t>5.3.</w:t>
      </w:r>
      <w:r w:rsidRPr="00060762">
        <w:rPr>
          <w:u w:val="none"/>
        </w:rPr>
        <w:tab/>
      </w:r>
      <w:r>
        <w:rPr>
          <w:rFonts w:ascii="Times New Roman" w:hAnsi="Times New Roman"/>
          <w:sz w:val="24"/>
        </w:rPr>
        <w:t xml:space="preserve">C 20.00 – PIACI KOCKÁZAT: </w:t>
      </w:r>
      <w:bookmarkStart w:id="650" w:name="_Toc294172373"/>
      <w:r>
        <w:rPr>
          <w:rFonts w:ascii="Times New Roman" w:hAnsi="Times New Roman"/>
          <w:sz w:val="24"/>
        </w:rPr>
        <w:t>A KORRELÁCIÓKERESKEDÉSI PORTFÓLIÓBA SOROLT POZÍCIÓK EGYEDI KOCKÁZATÁNAK SZTENDERD MÓDSZERE (MKR SA CTP</w:t>
      </w:r>
      <w:bookmarkEnd w:id="644"/>
      <w:bookmarkEnd w:id="645"/>
      <w:bookmarkEnd w:id="646"/>
      <w:bookmarkEnd w:id="650"/>
      <w:r>
        <w:rPr>
          <w:rFonts w:ascii="Times New Roman" w:hAnsi="Times New Roman"/>
          <w:sz w:val="24"/>
        </w:rPr>
        <w:t>)</w:t>
      </w:r>
      <w:bookmarkEnd w:id="647"/>
      <w:bookmarkEnd w:id="648"/>
      <w:bookmarkEnd w:id="6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858698"/>
      <w:r>
        <w:rPr>
          <w:rFonts w:ascii="Times New Roman" w:hAnsi="Times New Roman"/>
          <w:sz w:val="24"/>
          <w:u w:val="none"/>
        </w:rPr>
        <w:t>5.3.1.</w:t>
      </w:r>
      <w:r w:rsidRPr="00060762">
        <w:rPr>
          <w:u w:val="none"/>
        </w:rPr>
        <w:tab/>
      </w:r>
      <w:r>
        <w:rPr>
          <w:rFonts w:ascii="Times New Roman" w:hAnsi="Times New Roman"/>
          <w:sz w:val="24"/>
        </w:rPr>
        <w:t>Általános megjegyzések</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Ezen a táblán a sztenderd módszer alkalmazási körébe tartozó korrelációkereskedési portfólióban (CTP) levő pozíciókról (értékpapírosításokról, n-edik nemteljesítéskor lehívható hitelderivatívákról és a CRR 338. cikkének (3) bekezdése alapján besorolt egyéb CTP-pozíciókról), valamint az ezekhez kapcsolódó szavatolótőke-követelményről kell adatot szolgáltatni.</w:t>
      </w:r>
    </w:p>
    <w:p w:rsidR="00C55547" w:rsidRPr="00661595" w:rsidRDefault="0055388B" w:rsidP="00487A02">
      <w:pPr>
        <w:pStyle w:val="InstructionsText2"/>
        <w:numPr>
          <w:ilvl w:val="0"/>
          <w:numId w:val="0"/>
        </w:numPr>
        <w:ind w:left="1353" w:hanging="360"/>
      </w:pPr>
      <w:fldSimple w:instr=" seq paragraphs ">
        <w:r w:rsidR="00D11E4C">
          <w:rPr>
            <w:noProof/>
          </w:rPr>
          <w:t>166</w:t>
        </w:r>
      </w:fldSimple>
      <w:r w:rsidR="00D11E4C">
        <w:t>.</w:t>
      </w:r>
      <w:r w:rsidR="00D11E4C">
        <w:tab/>
        <w:t xml:space="preserve"> Az MKR SA CTP tábla kizárólag a CRR 335. cikke, valamint azzal összefüggésben a CRR 338. cikkének (2) és (3) bekezdése szerint a CTP-be sorolt pozíciók egyedi kockázatához kapcsolódó szavatolótőke-követelményt mutatja be. Ha a kereskedési könyvben nyilvántartott CTP-pozíciókat hitelderivatívákkal fedezik, akkor a CRR 346. és 347. cikkét kell alkalmazni. Valamennyi kereskedési könyvi CTP-pozícióról egy táblán kell adatot szolgáltatni attól függetlenül, hogy az intézmény melyik módszert alkalmazza a CRR harmadik része II. címének 5. fejezete szerinti egyes pozíciók kockázati súlyának meghatározásakor. Az e pozíciók általános kockázatához kapcsolódó szavatolótőke-követelményre vonatkozó adatszolgáltatás az MKR SA TDI vagy az MKR IM táblán történik.</w:t>
      </w:r>
    </w:p>
    <w:p w:rsidR="00C55547" w:rsidRPr="00661595" w:rsidRDefault="0055388B" w:rsidP="00487A02">
      <w:pPr>
        <w:pStyle w:val="InstructionsText2"/>
        <w:numPr>
          <w:ilvl w:val="0"/>
          <w:numId w:val="0"/>
        </w:numPr>
        <w:ind w:left="1353" w:hanging="360"/>
      </w:pPr>
      <w:fldSimple w:instr=" seq paragraphs ">
        <w:r w:rsidR="00D11E4C">
          <w:rPr>
            <w:noProof/>
          </w:rPr>
          <w:t>167</w:t>
        </w:r>
      </w:fldSimple>
      <w:r w:rsidR="00D11E4C">
        <w:t>.</w:t>
      </w:r>
      <w:r w:rsidR="00D11E4C">
        <w:tab/>
        <w:t xml:space="preserve"> A tábla elkülöníti az értékpapírosítási pozíciókat, az n-edik nemteljesítéskor lehívható hitelderivatívákat, valamint az egyéb CTP-pozíciókat. Az értékpapírosítási pozíciókat minden esetben a 0030-as, 0060-as vagy 0090-es sorban kell feltüntetni az intézmény által az értékpapírosításban betöltött szereptől függően. Az n-edik nemteljesítéskor lehívható hitelderivatívákat minden esetben a 0110-es sorban kell feltüntetni. Az „egyéb CTP-pozíciók” nem értékpapírosítási pozíciók és nem az n-edik nemteljesítéskor lehívható hitelderivatívák (lásd a CRR 338. cikkének (3) bekezdését), de a fedezési szándék miatt egyértelműen kapcsolódnak e két pozíció egyikéhez. </w:t>
      </w:r>
    </w:p>
    <w:p w:rsidR="00C55547" w:rsidRPr="00661595" w:rsidRDefault="0055388B" w:rsidP="00487A02">
      <w:pPr>
        <w:pStyle w:val="InstructionsText2"/>
        <w:numPr>
          <w:ilvl w:val="0"/>
          <w:numId w:val="0"/>
        </w:numPr>
        <w:ind w:left="1353" w:hanging="360"/>
      </w:pPr>
      <w:fldSimple w:instr=" seq paragraphs ">
        <w:r w:rsidR="00D11E4C">
          <w:rPr>
            <w:noProof/>
          </w:rPr>
          <w:t>168</w:t>
        </w:r>
      </w:fldSimple>
      <w:r w:rsidR="00D11E4C">
        <w:t>.</w:t>
      </w:r>
      <w:r w:rsidR="00D11E4C">
        <w:tab/>
        <w:t xml:space="preserve"> Az 1 250 %-os kockázati súlyú pozíciók az elsődleges alapvető tőkéből (CET1) is levonhatók (lásd a CRR 244. cikke (1) bekezdésének b) pontját, 245. cikke (1) bekezdésének b) pontját és 253. cikkét). Ebben az esetben a pozícióról a CA1 tábla 0460-as sorában kell adatot szolgáltatni.</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58858699"/>
      <w:r>
        <w:rPr>
          <w:rFonts w:ascii="Times New Roman" w:hAnsi="Times New Roman"/>
          <w:sz w:val="24"/>
          <w:u w:val="none"/>
        </w:rPr>
        <w:t>5.3.2.</w:t>
      </w:r>
      <w:r w:rsidRPr="00060762">
        <w:rPr>
          <w:u w:val="none"/>
        </w:rPr>
        <w:tab/>
      </w:r>
      <w:r>
        <w:rPr>
          <w:rFonts w:ascii="Times New Roman" w:hAnsi="Times New Roman"/>
          <w:sz w:val="24"/>
        </w:rPr>
        <w:t>A tábla egyes részeire vonatkozó útmutató</w:t>
      </w:r>
      <w:bookmarkEnd w:id="658"/>
      <w:bookmarkEnd w:id="659"/>
      <w:bookmarkEnd w:id="660"/>
      <w:bookmarkEnd w:id="661"/>
      <w:bookmarkEnd w:id="662"/>
      <w:bookmarkEnd w:id="663"/>
      <w:bookmarkEnd w:id="664"/>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ÖSSZES POZÍCIÓ (HOSSZÚ ÉS RÖVID)</w:t>
            </w:r>
          </w:p>
          <w:p w:rsidR="005C14B0" w:rsidRPr="00661595" w:rsidRDefault="00C55547" w:rsidP="00E10B85">
            <w:pPr>
              <w:rPr>
                <w:rFonts w:ascii="Times New Roman" w:hAnsi="Times New Roman"/>
                <w:sz w:val="24"/>
              </w:rPr>
            </w:pPr>
            <w:r>
              <w:rPr>
                <w:rFonts w:ascii="Times New Roman" w:hAnsi="Times New Roman"/>
                <w:sz w:val="24"/>
              </w:rPr>
              <w:t>A CRR 102. cikke, valamint 105. cikkének (1) bekezdése a CRR 338. cikke (2) és (3) bekezdésével összefüggésben (a korrelációkereskedési portfólióba sorolt pozíciókkal)</w:t>
            </w:r>
          </w:p>
          <w:p w:rsidR="00C55547" w:rsidRPr="00661595" w:rsidRDefault="00C55547" w:rsidP="0002267E">
            <w:pPr>
              <w:rPr>
                <w:rFonts w:ascii="Times New Roman" w:hAnsi="Times New Roman"/>
                <w:sz w:val="24"/>
              </w:rPr>
            </w:pPr>
            <w:r>
              <w:rPr>
                <w:rFonts w:ascii="Times New Roman" w:hAnsi="Times New Roman"/>
                <w:sz w:val="24"/>
              </w:rPr>
              <w:t>A hosszú és rövid pozícióknak az említett bruttó pozíciókra is alkalmazandó megkülönböztetésével kapcsolatban lásd a CRR 328. cikkének (2) bekezdését.</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SZAVATOLÓTŐKÉBŐL LEVONT POZÍCIÓK (HOSSZÚ ÉS RÖVID)</w:t>
            </w:r>
          </w:p>
          <w:p w:rsidR="00C55547" w:rsidRPr="00661595" w:rsidRDefault="00C55547" w:rsidP="00E64BFE">
            <w:pPr>
              <w:rPr>
                <w:rFonts w:ascii="Times New Roman" w:hAnsi="Times New Roman"/>
                <w:sz w:val="24"/>
              </w:rPr>
            </w:pPr>
            <w:r>
              <w:rPr>
                <w:rFonts w:ascii="Times New Roman" w:hAnsi="Times New Roman"/>
                <w:sz w:val="24"/>
              </w:rPr>
              <w:t xml:space="preserve">A CRR 253. cikke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NETTÓ POZÍCIÓK (HOSSZÚ ÉS RÖVID)</w:t>
            </w:r>
          </w:p>
          <w:p w:rsidR="005C14B0" w:rsidRPr="00661595" w:rsidRDefault="00C55547" w:rsidP="00E10B85">
            <w:pPr>
              <w:rPr>
                <w:rFonts w:ascii="Times New Roman" w:hAnsi="Times New Roman"/>
                <w:sz w:val="24"/>
              </w:rPr>
            </w:pPr>
            <w:r>
              <w:rPr>
                <w:rFonts w:ascii="Times New Roman" w:hAnsi="Times New Roman"/>
                <w:sz w:val="24"/>
              </w:rPr>
              <w:t xml:space="preserve">A CRR 327., 328., 329. és 334. cikke </w:t>
            </w:r>
          </w:p>
          <w:p w:rsidR="00C55547" w:rsidRPr="00661595" w:rsidRDefault="00C55547" w:rsidP="00E64BFE">
            <w:pPr>
              <w:rPr>
                <w:rFonts w:ascii="Times New Roman" w:hAnsi="Times New Roman"/>
                <w:sz w:val="24"/>
              </w:rPr>
            </w:pPr>
            <w:r>
              <w:rPr>
                <w:rFonts w:ascii="Times New Roman" w:hAnsi="Times New Roman"/>
                <w:sz w:val="24"/>
              </w:rPr>
              <w:t>A hosszú és rövid pozíciók megkülönböztetésével kapcsolatban lásd a CRR 328. cikkének (2) bekezdését.</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 NETTÓ POZÍCIÓK KOCKÁZATI SÚLY SZERINTI BONTÁSA</w:t>
            </w:r>
          </w:p>
          <w:p w:rsidR="00C55547" w:rsidRPr="00661595" w:rsidRDefault="00133396" w:rsidP="00E64BFE">
            <w:pPr>
              <w:rPr>
                <w:rFonts w:ascii="Times New Roman" w:hAnsi="Times New Roman"/>
                <w:sz w:val="24"/>
              </w:rPr>
            </w:pPr>
            <w:r>
              <w:rPr>
                <w:rStyle w:val="InstructionsTabelleText"/>
                <w:rFonts w:ascii="Times New Roman" w:hAnsi="Times New Roman"/>
                <w:sz w:val="24"/>
              </w:rPr>
              <w:t>A CRR 259–262. cikke, 263. cikkének 1. és 2. táblázata, 264. cikkének 3. és 4. táblázata, valamint 266. cikke</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 NETTÓ POZÍCIÓK MÓDSZEREK SZERINTI BONTÁSA</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 CRR 254. cikke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 CRR 259. és 260. cikke</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 CRR 261. és 262. cikke</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 CRR 263. és 264. cikke</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BELSŐ ÉRTÉKELÉSI MÓDSZER</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 CRR 254. és 265. cikke, valamint 266. cikkének (5) bekezdése.</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EGYÉB (KOCKÁZATI SÚLY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 CRR 254. cikkének (7) bekezdése</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FELSŐ KORLÁT FIGYELEMBEVÉTELE ELŐTT – SÚLYOZOTT NETTÓ HOSSZÚ ÉS RÖVID POZÍCIÓK</w:t>
            </w:r>
          </w:p>
          <w:p w:rsidR="00C55547" w:rsidRPr="00661595" w:rsidRDefault="00C55547" w:rsidP="00E64BFE">
            <w:pPr>
              <w:rPr>
                <w:rFonts w:ascii="Times New Roman" w:hAnsi="Times New Roman"/>
                <w:sz w:val="24"/>
              </w:rPr>
            </w:pPr>
            <w:r>
              <w:rPr>
                <w:rFonts w:ascii="Times New Roman" w:hAnsi="Times New Roman"/>
                <w:sz w:val="24"/>
              </w:rPr>
              <w:t>A CRR 338. cikke, a CRR 335. cikkében biztosított jogosultság figyelmen kívül hagyásával</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FELSŐ KORLÁT FIGYELEMBEVÉTELE UTÁN – SÚLYOZOTT NETTÓ HOSSZÚ ÉS RÖVID POZÍCIÓK</w:t>
            </w:r>
          </w:p>
          <w:p w:rsidR="00C55547" w:rsidRPr="00661595" w:rsidRDefault="00C55547">
            <w:pPr>
              <w:rPr>
                <w:rFonts w:ascii="Times New Roman" w:hAnsi="Times New Roman"/>
                <w:sz w:val="24"/>
              </w:rPr>
            </w:pPr>
            <w:r>
              <w:rPr>
                <w:rFonts w:ascii="Times New Roman" w:hAnsi="Times New Roman"/>
                <w:sz w:val="24"/>
              </w:rPr>
              <w:t xml:space="preserve">A CRR 338. cikke, a CRR 335. cikkében biztosított jogosultság figyelembevételével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TELJES SZAVATOLÓTŐKE-KÖVETELMÉNY</w:t>
            </w:r>
          </w:p>
          <w:p w:rsidR="00C55547" w:rsidRPr="00661595" w:rsidRDefault="00C55547" w:rsidP="00E10B85">
            <w:pPr>
              <w:rPr>
                <w:rFonts w:ascii="Times New Roman" w:hAnsi="Times New Roman"/>
                <w:sz w:val="24"/>
              </w:rPr>
            </w:pPr>
            <w:r>
              <w:rPr>
                <w:rFonts w:ascii="Times New Roman" w:hAnsi="Times New Roman"/>
                <w:sz w:val="24"/>
              </w:rPr>
              <w:t>A szavatolótőke-követelmény az i. kizárólag a nettó hosszú pozíciók egyedi kockázatához kapcsolódó szavatolótőke-követelmény (0430. oszlop), valamint ii. kizárólag a nettó rövid pozíciók egyedi kockázatához kapcsolódó szavatolótőke-követelmény (0440. oszlop) közül a nagyobb érték.</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Sorok</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TELJES KITETTSÉG</w:t>
            </w:r>
          </w:p>
          <w:p w:rsidR="00C55547" w:rsidRPr="00661595" w:rsidRDefault="00C55547" w:rsidP="00E10B85">
            <w:pPr>
              <w:rPr>
                <w:rFonts w:ascii="Times New Roman" w:hAnsi="Times New Roman"/>
                <w:sz w:val="24"/>
              </w:rPr>
            </w:pPr>
            <w:r>
              <w:rPr>
                <w:rFonts w:ascii="Times New Roman" w:hAnsi="Times New Roman"/>
                <w:sz w:val="24"/>
              </w:rPr>
              <w:t>A korrelációkereskedési portfólióban nyilvántartott, fennálló pozíciók összértéke az értékpapírosítást kezdeményező, befektető vagy szponzor szerepét betöltő intézmény adatszolgáltatása szerint.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rsidR="00C55547" w:rsidRPr="00661595" w:rsidRDefault="00E64BFE" w:rsidP="00E64BFE">
            <w:pPr>
              <w:rPr>
                <w:rFonts w:ascii="Times New Roman" w:hAnsi="Times New Roman"/>
                <w:sz w:val="24"/>
              </w:rPr>
            </w:pPr>
            <w:r>
              <w:rPr>
                <w:rFonts w:ascii="Times New Roman" w:hAnsi="Times New Roman"/>
                <w:sz w:val="24"/>
              </w:rPr>
              <w:t xml:space="preserve">A CRR 4. cikke (1) bekezdésének 13. pontja.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BEFEKTETŐ</w:t>
            </w:r>
          </w:p>
          <w:p w:rsidR="00C55547" w:rsidRPr="00661595" w:rsidRDefault="00C55547">
            <w:pPr>
              <w:rPr>
                <w:rFonts w:ascii="Times New Roman" w:hAnsi="Times New Roman"/>
                <w:sz w:val="24"/>
              </w:rPr>
            </w:pPr>
            <w:r>
              <w:rPr>
                <w:rFonts w:ascii="Times New Roman" w:hAnsi="Times New Roman"/>
                <w:sz w:val="24"/>
              </w:rPr>
              <w:t>Olyan hitelintézet, amely értékpapírosítási pozícióval rendelkezik egy olyan értékpapírosítási ügyletben, amelyben sem az értékpapírosítást kezdeményező, sem a szponzor, sem az eredeti hitelező szerepét nem tölti be.</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SZPONZOR</w:t>
            </w:r>
          </w:p>
          <w:p w:rsidR="005C14B0" w:rsidRPr="00661595" w:rsidRDefault="00E64BFE" w:rsidP="001E0C80">
            <w:pPr>
              <w:rPr>
                <w:rFonts w:ascii="Times New Roman" w:hAnsi="Times New Roman"/>
                <w:sz w:val="24"/>
              </w:rPr>
            </w:pPr>
            <w:r>
              <w:rPr>
                <w:rFonts w:ascii="Times New Roman" w:hAnsi="Times New Roman"/>
                <w:sz w:val="24"/>
              </w:rPr>
              <w:t xml:space="preserve">A CRR 4. cikke (1) bekezdésének 14. pontja </w:t>
            </w:r>
          </w:p>
          <w:p w:rsidR="00C55547" w:rsidRPr="00661595" w:rsidRDefault="005F3BBE" w:rsidP="005F3BBE">
            <w:pPr>
              <w:rPr>
                <w:rFonts w:ascii="Times New Roman" w:hAnsi="Times New Roman"/>
                <w:sz w:val="24"/>
              </w:rPr>
            </w:pPr>
            <w:r>
              <w:rPr>
                <w:rFonts w:ascii="Times New Roman" w:hAnsi="Times New Roman"/>
                <w:sz w:val="24"/>
              </w:rPr>
              <w:t>Annak a szponzornak, aki saját eszközt is értékpapírosít, a saját értékpapírosított eszközökkel kapcsolatos információkat az értékpapírosítást kezdeményezőre vonatkozó sorokban kell megadnia.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és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ÉRTÉKPAPÍROSÍTÁSI POZÍCIÓK</w:t>
            </w:r>
          </w:p>
          <w:p w:rsidR="00C55547" w:rsidRPr="00661595" w:rsidRDefault="00C55547" w:rsidP="00E10B85">
            <w:pPr>
              <w:rPr>
                <w:rFonts w:ascii="Times New Roman" w:hAnsi="Times New Roman"/>
                <w:sz w:val="24"/>
              </w:rPr>
            </w:pPr>
            <w:r>
              <w:rPr>
                <w:rFonts w:ascii="Times New Roman" w:hAnsi="Times New Roman"/>
                <w:sz w:val="24"/>
              </w:rPr>
              <w:t>A korrelációkereskedési portfólió értékpapírosításokat, n-edik nemteljesítéskor lehívható hitelderivatívákat, valamint esetlegesen a CRR 338. cikkének (2) és (3) bekezdésében előírt kritériumokat teljesítő egyéb fedezeti pozíciókat foglal magában.</w:t>
            </w:r>
          </w:p>
          <w:p w:rsidR="00C55547" w:rsidRPr="00661595" w:rsidRDefault="00C55547" w:rsidP="00E10B85">
            <w:pPr>
              <w:rPr>
                <w:rFonts w:ascii="Times New Roman" w:hAnsi="Times New Roman"/>
                <w:sz w:val="24"/>
              </w:rPr>
            </w:pPr>
            <w:r>
              <w:rPr>
                <w:rFonts w:ascii="Times New Roman" w:hAnsi="Times New Roman"/>
                <w:sz w:val="24"/>
              </w:rPr>
              <w:t>Az értékpapírosítási kitettségek arányos részesedést biztosító származtatott ügyleteit, valamint a CTP-pozíciókat fedező pozíciókat az „Egyéb CTP-pozíciók” sorban kell feltüntetni.</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N-EDIK NEMTELJESÍTÉSKOR LEHÍVHATÓ HITELDERIVATÍVÁK</w:t>
            </w:r>
          </w:p>
          <w:p w:rsidR="00C55547" w:rsidRPr="00661595" w:rsidRDefault="00C55547" w:rsidP="00E10B85">
            <w:pPr>
              <w:rPr>
                <w:rFonts w:ascii="Times New Roman" w:hAnsi="Times New Roman"/>
                <w:sz w:val="24"/>
              </w:rPr>
            </w:pPr>
            <w:r>
              <w:rPr>
                <w:rFonts w:ascii="Times New Roman" w:hAnsi="Times New Roman"/>
                <w:sz w:val="24"/>
              </w:rPr>
              <w:t>Itt az n-edik nemteljesítéskor lehívható hitelderivatívákat, valamint az azokat a CRR 347. cikke szerint fedező n-edik nemteljesítéskor lehívható hitelderivatívákat kell megadni.</w:t>
            </w:r>
          </w:p>
          <w:p w:rsidR="00C55547" w:rsidRPr="00661595" w:rsidRDefault="00C55547" w:rsidP="00E10B85">
            <w:pPr>
              <w:rPr>
                <w:rFonts w:ascii="Times New Roman" w:hAnsi="Times New Roman"/>
                <w:sz w:val="24"/>
              </w:rPr>
            </w:pPr>
            <w:r>
              <w:rPr>
                <w:rFonts w:ascii="Times New Roman" w:hAnsi="Times New Roman"/>
                <w:sz w:val="24"/>
              </w:rPr>
              <w:t>Az értékpapírosítást kezdeményező, a befektető és szponzor pozíciói az n-edik nemteljesítéskor lehívható hitelderivatívákkal nem egyeztethetők össze. Emiatt az értékpapírosítási pozícióknál alkalmazott megbontás az n-edik nemteljesítéskor lehívható hitelderivatívák esetében nem alkalmazható.</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és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EGYÉB CTP-POZÍCIÓK</w:t>
            </w:r>
          </w:p>
          <w:p w:rsidR="00C55547" w:rsidRPr="00661595" w:rsidRDefault="00C55547" w:rsidP="00E10B85">
            <w:pPr>
              <w:rPr>
                <w:rFonts w:ascii="Times New Roman" w:hAnsi="Times New Roman"/>
                <w:sz w:val="24"/>
              </w:rPr>
            </w:pPr>
            <w:r>
              <w:rPr>
                <w:rFonts w:ascii="Times New Roman" w:hAnsi="Times New Roman"/>
                <w:sz w:val="24"/>
              </w:rPr>
              <w:t xml:space="preserve">Az alábbi pozíciók tartoznak ide: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az értékpapírosítási kitettségek arányos részesedést biztosító származtatott ügyletei, valamint a CTP-pozíciókat fedező pozíciók;</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lastRenderedPageBreak/>
              <w:t></w:t>
            </w:r>
            <w:r>
              <w:tab/>
            </w:r>
            <w:r>
              <w:rPr>
                <w:rFonts w:ascii="Times New Roman" w:hAnsi="Times New Roman"/>
                <w:sz w:val="24"/>
              </w:rPr>
              <w:t>a CRR 346. cikke szerint hitelderivatívákkal fedezett CTP-pozíciók;</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 CRR 338. cikkének (3) bekezdése szerinti egyéb pozíciók.</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858700"/>
      <w:r>
        <w:rPr>
          <w:rFonts w:ascii="Times New Roman" w:hAnsi="Times New Roman"/>
          <w:sz w:val="24"/>
          <w:u w:val="none"/>
        </w:rPr>
        <w:t>5.4.</w:t>
      </w:r>
      <w:r w:rsidRPr="00060762">
        <w:rPr>
          <w:u w:val="none"/>
        </w:rPr>
        <w:tab/>
      </w:r>
      <w:r>
        <w:rPr>
          <w:rFonts w:ascii="Times New Roman" w:hAnsi="Times New Roman"/>
          <w:sz w:val="24"/>
        </w:rPr>
        <w:t xml:space="preserve">C 21.00 – Piaci kockázat: </w:t>
      </w:r>
      <w:bookmarkStart w:id="671" w:name="_Toc262566429"/>
      <w:r>
        <w:rPr>
          <w:rFonts w:ascii="Times New Roman" w:hAnsi="Times New Roman"/>
          <w:sz w:val="24"/>
        </w:rPr>
        <w:t>A részények pozíciókockázatának sztenderd módszere</w:t>
      </w:r>
      <w:bookmarkEnd w:id="665"/>
      <w:bookmarkEnd w:id="666"/>
      <w:bookmarkEnd w:id="667"/>
      <w:bookmarkEnd w:id="668"/>
      <w:bookmarkEnd w:id="671"/>
      <w:r>
        <w:rPr>
          <w:rFonts w:ascii="Times New Roman" w:hAnsi="Times New Roman"/>
          <w:sz w:val="24"/>
        </w:rPr>
        <w:t xml:space="preserve"> (MKR SA EQU)</w:t>
      </w:r>
      <w:bookmarkEnd w:id="669"/>
      <w:bookmarkEnd w:id="67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858701"/>
      <w:r>
        <w:rPr>
          <w:rFonts w:ascii="Times New Roman" w:hAnsi="Times New Roman"/>
          <w:sz w:val="24"/>
          <w:u w:val="none"/>
        </w:rPr>
        <w:t>5.4.1.</w:t>
      </w:r>
      <w:r w:rsidRPr="00060762">
        <w:rPr>
          <w:u w:val="none"/>
        </w:rPr>
        <w:tab/>
      </w:r>
      <w:r>
        <w:rPr>
          <w:rFonts w:ascii="Times New Roman" w:hAnsi="Times New Roman"/>
          <w:sz w:val="24"/>
        </w:rPr>
        <w:t>Általános megjegyzések</w:t>
      </w:r>
      <w:bookmarkEnd w:id="672"/>
      <w:bookmarkEnd w:id="673"/>
      <w:bookmarkEnd w:id="674"/>
      <w:bookmarkEnd w:id="675"/>
      <w:bookmarkEnd w:id="676"/>
      <w:bookmarkEnd w:id="677"/>
      <w:bookmarkEnd w:id="678"/>
    </w:p>
    <w:p w:rsidR="000B0B09" w:rsidRPr="00661595" w:rsidRDefault="0055388B" w:rsidP="00487A02">
      <w:pPr>
        <w:pStyle w:val="InstructionsText2"/>
        <w:numPr>
          <w:ilvl w:val="0"/>
          <w:numId w:val="0"/>
        </w:numPr>
        <w:ind w:left="1353" w:hanging="360"/>
      </w:pPr>
      <w:fldSimple w:instr=" seq paragraphs ">
        <w:r w:rsidR="00D11E4C">
          <w:rPr>
            <w:noProof/>
          </w:rPr>
          <w:t>169</w:t>
        </w:r>
      </w:fldSimple>
      <w:r w:rsidR="00D11E4C">
        <w:t>.</w:t>
      </w:r>
      <w:r w:rsidR="00D11E4C">
        <w:tab/>
        <w:t xml:space="preserve"> Ezen a táblán a sztenderd módszer alkalmazási körébe tartozó pozíciókról, valamint az ezekhez kapcsolódóan a kereskedési könyvben nyilvántartott részvények pozíciókockázatára vonatkozó szavatolótőke-követelményről kell adatot szolgáltatni.</w:t>
      </w:r>
    </w:p>
    <w:p w:rsidR="00B828CC" w:rsidRPr="00661595" w:rsidRDefault="0055388B" w:rsidP="00487A02">
      <w:pPr>
        <w:pStyle w:val="InstructionsText2"/>
        <w:numPr>
          <w:ilvl w:val="0"/>
          <w:numId w:val="0"/>
        </w:numPr>
        <w:ind w:left="1353" w:hanging="360"/>
      </w:pPr>
      <w:fldSimple w:instr=" seq paragraphs ">
        <w:r w:rsidR="00D11E4C">
          <w:rPr>
            <w:noProof/>
          </w:rPr>
          <w:t>170</w:t>
        </w:r>
      </w:fldSimple>
      <w:r w:rsidR="00D11E4C">
        <w:t>.</w:t>
      </w:r>
      <w:r w:rsidR="00D11E4C">
        <w:tab/>
        <w:t xml:space="preserve"> A táblát külön ki kell tölteni összesítve, valamint az alábbi előre meghatározott felsorolásban szereplő piacokra vonatkozóan: Albánia, Bulgária, Csehország, Dánia, Egyesült Államok, Egyesült Királyság, Egyiptom, Horvátország, Izland, Japán, Lengyelország, Liechtenstein, Macedónia, Magyarország, Norvégia, Oroszország, Románia, Svájc, Svédország, Szerbia, Törökország, Ukrajna, az euróövezet továbbá egy táblát az összes többi piacra összesítve. Ezen adatszolgáltatási kötelezettség alkalmazásában piac alatt országot kell érteni (kivéve az euróövezethez tartozó országokat, lásd az 525/2014/EU felhatalmazáson alapuló bizottsági rendeletet</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858702"/>
      <w:r>
        <w:rPr>
          <w:rFonts w:ascii="Times New Roman" w:hAnsi="Times New Roman"/>
          <w:sz w:val="24"/>
          <w:u w:val="none"/>
        </w:rPr>
        <w:t>5.4.2.</w:t>
      </w:r>
      <w:r w:rsidRPr="00060762">
        <w:rPr>
          <w:u w:val="none"/>
        </w:rPr>
        <w:tab/>
      </w:r>
      <w:r>
        <w:rPr>
          <w:rFonts w:ascii="Times New Roman" w:hAnsi="Times New Roman"/>
          <w:sz w:val="24"/>
        </w:rPr>
        <w:t>A tábla egyes részeire vonatkozó útmutató</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ÖSSZES POZÍCIÓ (HOSSZÚ ÉS RÖVID)</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 CRR 102. cikke, valamint 105. cikkének (1) bekezdése.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Bruttó, instrumentumonként nem nettósított pozíciók azon jegyzési pozíciók levonásával, amelyeket harmadik fél az intézménytől lejegyzett, vagy amelyekre jegyzési garanciát vállalt a CRR 345. cikke (1) bekezdése első albekezdésének második mondatában említettek szerint.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NETTÓ POZÍCIÓK (HOSSZÚ ÉS RÖVID)</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A CRR 327., 329., 332., 341. és 345. cikke.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TŐKEKÖVETELMÉNNYEL ÉRINTETT POZÍCIÓK</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Azok a nettó pozíciók, amelyekre a CRR harmadik része IV. címének 2. fejezetében foglalt különböző módszerek szerint tőkekövetelmény vonatkozik. A tőkekövetelményt az egyes nemzeti piacokra külön kell kiszámítani. A CRR 344. cikke (4) bekezdésének második mondatában említett tőzsdei határidős részvényindex-ügyletekben levő pozíciókat nem kell feltüntetni ebben az oszlopban.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SZAVATOLÓTŐKE-KÖVETELMÉNY</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A CRR harmadik része IV. címe 2. fejezete szerint megállapított, bármely releváns pozícióra vonatkozó szavatolótőke-követelmény</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TELJES KOCKÁZATI KITETTSÉGÉRTÉK</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 CRR 92. cikke (4) bekezdésének b) pontja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A szavatolótőke-követelmény 12,5-del való szorzásának az eredménye.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KERESKEDÉSI KÖNYVBEN NYILVÁNTARTOTT RÉSZVÉNYEK</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A CRR 92. cikke (3) bekezdése b) pontjának i. alpontjában, valamint a CRR harmadik része IV. címe 2. fejezete 3. szakaszában említett pozíciókockázathoz kapcsolódó szavatolótőke-követelmény.</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ÁLTALÁNOS KOCKÁZAT</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Az általános kockázattal érintett részvényekben lévő pozíciók (a CRR 343. cikke), valamint az azoknak megfelelő, a CRR harmadik része IV. címe 2. fejezetének 3. szakasza szerinti szavatolótőke-követelmény.</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Mindkét felosztás (0021/0022 sorok és 0030/0040 sorok) valamennyi olyan pozícióhoz kapcsolódik, amelyet általános kockázat érint.</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 0021-es és 0022-es sorban az információkat eszközönkénti bontásban kell megadni.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A szavatolótőke-követelmény számításakor kizárólag a 0030-as és 0040-es sorban csoportosított adatok vehetők figyelembe.</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Származtatott ügyletek</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A kereskedési könyvi pozíciók részvénypiaci kockázatának számítása során figyelembe vett származtatott ügyletek, a 329. cikk és a 332. cikk figyelembevételével, ha e cikkek alkalmazhatók.</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Egyéb eszközök és kötelezettségek</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A kereskedési könyvi pozíciók részvénypiaci kockázatának számítása során figyelembe vett származtatott ügyleteken kívüli instrumentumok.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Tőzsdei forgalomban szereplő, megfelelően diverzifikált, egyedi módszer alkalmazási körébe tartozó határidős részvényindex-ügyletek</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Tőzsdei forgalomban szereplő, megfelelően diverzifikált, egyedi módszer alkalmazási körébe tartozó határidős részvényindex-ügyletek a 945/2014/EU bizottsági végrehajtási rendelet szerint</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Ezeknél a pozícióknál csak általános kockázat áll fenn, így azok az 0050-es sorban nem tüntethetők fel.</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 tőzsdei forgalomban szereplő, megfelelően diverzifikált határidős részvényindex-ügyleteken kívüli részvények</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Az egyedi kockázattal érintett részvényekben lévő egyéb pozíciók, valamint az azoknak megfelelő szavatolótőke-követelmények a CRR 343. cikkének megfelelően, ideértve a CRR 344. cikke (3) bekezdésének megfelelően kezelt tőzsdei határidős részvényindex-ügyletekben lévő pozíciókat.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EGYEDI KOCKÁZAT</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Az egyedi kockázattal érintett részvényekben lévő pozíciók, valamint az azoknak megfelelő szavatolótőke-követelmények a CRR 342. cikkének megfelelően, kivéve a CRR 344. cikke (4) bekezdése második mondatának megfelelően kezelt tőzsdei határidős részvényindex-ügyletekben lévő pozíciókat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A CRR 329. cikkének (2) és (3) bekezdése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követelményeket a számítási módszerben kell feltüntetni.</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858703"/>
      <w:r>
        <w:rPr>
          <w:rFonts w:ascii="Times New Roman" w:hAnsi="Times New Roman"/>
          <w:sz w:val="24"/>
          <w:u w:val="none"/>
        </w:rPr>
        <w:t>5.5.</w:t>
      </w:r>
      <w:r w:rsidRPr="00060762">
        <w:rPr>
          <w:u w:val="none"/>
        </w:rPr>
        <w:tab/>
      </w:r>
      <w:r>
        <w:rPr>
          <w:rFonts w:ascii="Times New Roman" w:hAnsi="Times New Roman"/>
          <w:sz w:val="24"/>
        </w:rPr>
        <w:t xml:space="preserve">C 22.00 – Piaci kockázat: </w:t>
      </w:r>
      <w:bookmarkStart w:id="692" w:name="_Toc262566432"/>
      <w:r>
        <w:rPr>
          <w:rFonts w:ascii="Times New Roman" w:hAnsi="Times New Roman"/>
          <w:sz w:val="24"/>
        </w:rPr>
        <w:t xml:space="preserve">a devizaárfolyam-kockázat sztenderd módszerei </w:t>
      </w:r>
      <w:bookmarkEnd w:id="686"/>
      <w:bookmarkEnd w:id="687"/>
      <w:bookmarkEnd w:id="688"/>
      <w:bookmarkEnd w:id="689"/>
      <w:bookmarkEnd w:id="692"/>
      <w:r>
        <w:rPr>
          <w:rFonts w:ascii="Times New Roman" w:hAnsi="Times New Roman"/>
          <w:sz w:val="24"/>
        </w:rPr>
        <w:t xml:space="preserve"> (MKR SA FX)</w:t>
      </w:r>
      <w:bookmarkEnd w:id="690"/>
      <w:bookmarkEnd w:id="69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858704"/>
      <w:r>
        <w:rPr>
          <w:rFonts w:ascii="Times New Roman" w:hAnsi="Times New Roman"/>
          <w:sz w:val="24"/>
          <w:u w:val="none"/>
        </w:rPr>
        <w:t>5.5.1.</w:t>
      </w:r>
      <w:r w:rsidRPr="00060762">
        <w:rPr>
          <w:u w:val="none"/>
        </w:rPr>
        <w:tab/>
      </w:r>
      <w:r>
        <w:rPr>
          <w:rFonts w:ascii="Times New Roman" w:hAnsi="Times New Roman"/>
          <w:sz w:val="24"/>
        </w:rPr>
        <w:t>Általános megjegyzések</w:t>
      </w:r>
      <w:bookmarkEnd w:id="693"/>
      <w:bookmarkEnd w:id="694"/>
      <w:bookmarkEnd w:id="695"/>
      <w:bookmarkEnd w:id="696"/>
      <w:bookmarkEnd w:id="697"/>
      <w:bookmarkEnd w:id="698"/>
      <w:bookmarkEnd w:id="699"/>
    </w:p>
    <w:p w:rsidR="00F71DF2" w:rsidRPr="00661595" w:rsidRDefault="0055388B" w:rsidP="00487A02">
      <w:pPr>
        <w:pStyle w:val="InstructionsText2"/>
        <w:numPr>
          <w:ilvl w:val="0"/>
          <w:numId w:val="0"/>
        </w:numPr>
        <w:ind w:left="1353" w:hanging="360"/>
      </w:pPr>
      <w:fldSimple w:instr=" seq paragraphs ">
        <w:r w:rsidR="00D11E4C">
          <w:rPr>
            <w:noProof/>
          </w:rPr>
          <w:t>171</w:t>
        </w:r>
      </w:fldSimple>
      <w:r w:rsidR="00D11E4C">
        <w:t>. Ezen a táblán az egyes devizákban lévő pozíciókról (ideértve a beszámoló pénznemét is), valamint ezekhez kapcsolódóan a devizaárfolyam-kockázatra vonatkozó, sztenderd módszer szerinti szavatolótőke-követelményről kell az intézményeknek adatot szolgáltatniuk. A pozíciót az egyes pénznemekre (ideértve az EUR-t is), aranyra, valamint a kollektív befektetési formákra is ki kell számítani.</w:t>
      </w:r>
    </w:p>
    <w:p w:rsidR="000B0B09" w:rsidRPr="00661595" w:rsidRDefault="0055388B" w:rsidP="00487A02">
      <w:pPr>
        <w:pStyle w:val="InstructionsText2"/>
        <w:numPr>
          <w:ilvl w:val="0"/>
          <w:numId w:val="0"/>
        </w:numPr>
        <w:ind w:left="1353" w:hanging="360"/>
      </w:pPr>
      <w:fldSimple w:instr=" seq paragraphs ">
        <w:r w:rsidR="00D11E4C">
          <w:rPr>
            <w:noProof/>
          </w:rPr>
          <w:t>172</w:t>
        </w:r>
      </w:fldSimple>
      <w:r w:rsidR="00D11E4C">
        <w:t>.</w:t>
      </w:r>
      <w:r w:rsidR="00D11E4C">
        <w:tab/>
        <w:t xml:space="preserve"> A tábla 0100–0480. sorában akkor is adatot kell szolgáltatni, ha az intézmény nem köteles szavatolótőke-követelményt számolni a devizaárfolyam-kockázatra a CRR 351. cikke szerint. E tájékoztató adatok körében a beszámoló pénznemében lévő összes pozíciót is jelenteni kell, függetlenül attól, hogy ezeket figyelembe veszik-e a CRR 354. cikkének alkalmazásában. A tábla tájékoztató adatainak 0130–0480-as sorát külön-külön ki kell tölteni az Unió tagállamaiban használt valamennyi pénznemre, a következő GBP, USD, CHF, JPY, RUB, TRY, AUD, CAD, RSD, ALL, UAH, MKD, EGP, ARS, BRL, MXN, HKD, ICK, TWD, NZD, NOK, SGD, KRW, CNY, valamint minden egyéb pénznemre.</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858705"/>
      <w:r>
        <w:rPr>
          <w:rFonts w:ascii="Times New Roman" w:hAnsi="Times New Roman"/>
          <w:sz w:val="24"/>
          <w:u w:val="none"/>
        </w:rPr>
        <w:t>5.5.2.</w:t>
      </w:r>
      <w:r w:rsidRPr="00060762">
        <w:rPr>
          <w:u w:val="none"/>
        </w:rPr>
        <w:tab/>
      </w:r>
      <w:r>
        <w:rPr>
          <w:rFonts w:ascii="Times New Roman" w:hAnsi="Times New Roman"/>
          <w:sz w:val="24"/>
        </w:rPr>
        <w:t>A tábla egyes részeire vonatkozó útmutató</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ÖSSZES POZÍCIÓ (HOSSZÚ ÉS RÖVID)</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Az eszközökből, a jövőben befolyó összegekből és a CRR 352. cikkének (1) bekezdésében említett egyéb tételekből eredő bruttó pozíciók.</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lastRenderedPageBreak/>
              <w:t>A CRR 352. cikkének (2) bekezdése alapján és az illetékes hatóságok engedélyének függvényében nem tüntetendők fel azok a pozíciók, amelyeket az intézmény kifejezetten azért vállal, hogy ezzel a devizaárfolyamnak a CRR 92. cikkének (1) bekezdése szerinti tőkemegfelelési mutatókra gyakorolt negatív hatását fedezze, és az olyan tételekhez kapcsolódó pozíciók sem, amelyeket a szavatolótőke-számítás során már levontak.</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NETTÓ POZÍCIÓK (HOSSZÚ ÉS RÖVID)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A CRR 352. cikkének (3) bekezdése, 352. cikke (4) bekezdésének első két mondata, valamint 353. cikke</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nettó pozíciókat pénznemenként kell kiszámítani a CRR 352. cikkének (1) bekezdése szerint. Következésképpen a hosszú és a rövid pozíciókat egyszerre lehet jelenteni.</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TŐKEKÖVETELMÉNNYEL ÉRINTETT POZÍCIÓK</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352. cikke (4) bekezdésének harmadik mondata, valamint 353. és 354. cikke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TŐKEKÖVETELMÉNNYEL ÉRINTETT POZÍCIÓK (HOSSZÚ ÉS RÖVID)</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Az egyes pénznemekben lévő nettó hosszú és rövid pozíciókat a rövid pozíciók összegének a hosszú pozíciók összegéből való kivonásával kell kiszámítani.</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Egy pénznemben meglévő nettó hosszú pozíció az adott pénznemben végrehajtott műveletekhez tartozó nettó hosszú pozíciók összeadásával számítható ki.</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Egy pénznemben meglévő nettó rövid pozíció az adott pénznemben végrehajtott műveletekhez tartozó nettó rövid pozíciók összeadásával számítható ki.</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A beszámoló pénznemén kívüli pénznemben lévő kiegyenlítetlen pozíciókat az egyéb pénznemben lévő, tőkekövetelménnyel érintett pozíciókhoz (030-as sor) kell adni a 060-as vagy 070-es oszlopban attól függően, hogy a pozíciók rövidek vagy hosszúak.</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TŐKEKÖVETELMÉNNYEL ÉRINTETT POZÍCIÓK (KIEGYENLÍTETT)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Egymással nagymértékben korreláló pénznemekben lévő kiegyenlített pozíciók.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SZAVATOLÓTŐKE-KÖVETELMÉNY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harmadik része IV. címének 3. fejezete szerint releváns pozíciók tőkekövetelménye.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TELJES KOCKÁZATI KITETTSÉGÉRTÉK</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 CRR 92. cikke (4) bekezdésének b) pontja</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 szavatolótőke-követelmény 12,5-del való szorzásának az eredménye.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POZÍCIÓK ÖSSZESEN</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 nem a beszámoló pénznemében meglévő összes pozíció és a beszámoló pénznemében lévő azon pozíciók, amelyeket figyelembe vesznek a CRR 354. cikke alkalmazásában, valamint az ezekhez kapcsolódó, a devizaárfolyam-kockázatra vonatkozó szavatolótőke-követelmény a CRR 92. cikke (3) bekezdése c) pontjának i. alpontjában említettek szerint, figyelembe véve a CRR 352. cikkének (2) és (4) bekezdését (a beszámoló pénznemére történő átváltás tekintetében).</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EGYMÁSSAL NAGYMÉRTÉKBEN KORRELÁLÓ PÉNZNEMEK</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354. cikkében említett, egymással nagymértékben korreláló pénznemekben lévő pozíciók, valamint az ezekhez kapcsolódó szavatolótőke-követelmény.</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Egymással nagymértékben korreláló pénznemek: Ebből: a beszámoló pénzneme</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 beszámoló pénznemében lévő pozíciók, amelyeket figyelembe vesznek a szavatolótőke-követelmény CRR 354. cikke szerinti kiszámítása során.</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MINDEN EGYÉB PÉNZNEM (a kollektív befektetési formákat külön pénznemként kezelve)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351. cikkében, valamint 352. cikkének (2) és (4) bekezdésében említett általános eljárás alkalmazási körébe tartozó pénznemekben lévő pozíciók, valamint az ezekhez kapcsolódó szavatolótőke-követelmény.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A CRR 353. cikke szerint külön pénznemként kezelt kollektív befektetési formákkal kapcsolatos adatszolgáltatás:</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A külön pénznemként kezelt kollektív befektetési formák tőkekövetelménye kétféle módszerrel számítható ki:</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a módosított aranymódszerrel, ha a KBF-ek befektetésének az iránya nem ismert (az ilyen KBF-eket az intézmény teljes nettó devizapozíciójához kell hozzáadni);</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ha a KBF-ek befektetésének az iránya ismert, akkor a KBF-eket a teljes nyitott devizapozícióhoz kell hozzáadni (hosszú vagy rövid, az egyes KBF-ek irányától függően).</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Az érintett KBF-ekről a tőkekövetelmény számításának megfelelően kell adatot szolgáltatni.</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ARANY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351. cikkében, valamint 352. cikkének (2) és (4) bekezdésében említett általános eljárás alkalmazási körébe tartozó pénznemekben lévő pozíciók, valamint az ezekhez kapcsolódó szavatolótőke-követelmény.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A CRR 352. cikkének (5) és (6) bekezdése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nem delta kockázatokkal kapcsolatos, opciókra vonatkozó további követelményeket a kiszámításukhoz használt módszer szerinti bontásban kell feltüntetni.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 beszámoló pénznemével együtt számított összes pozíció kitettségtípus szerinti bontása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összes pozíciót származtatott ügyletek, egyéb eszközök és kötelezettségek, valamint mérlegen kívüli tételek szerint kell felosztani.</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Mérlegen kívüli tételnek és származtatott ügyletnek nem minősülő egyéb eszközök és kötelezettségek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0110-es vagy 0120-as sorban nem szerepeltetett pozíciókat itt kell megadni.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Mérlegen kívüli tételek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352. cikkének hatályába tartozó tételek, tekintet nélkül a denomináció pénznemére, amely tételek a CRR I. mellékletében szerepelnek az értékpapír-finanszírozási ügyletként vagy hosszú teljesítési idejű ügyletként beszámított, vagy eltérő termékkategóriák közötti nettósításról szóló szerződéses megállapodásból eredő tételek kivételével.</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Származtatott ügyletek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352. cikkének megfelelően értékelt pozíciók.</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TÁJÉKOZTATÓ ADATOK: DEVIZAPOZÍCIÓK</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A tábla tájékoztató adatait külön-külön meg kell adni az Unió tagállamaiban használt valamennyi pénznemre, a következő pénznemekre: GBP, USD, CHF, JPY, RUB, TRY, AUD, CAD, RSD, ALL, UAH, MKD, EGP, ARS, BRL, MXN, HKD, ICK, TWD, NZD, NOK, SGD, KRW, CNY, valamint összevontan minden egyéb pénznemre.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858706"/>
      <w:r>
        <w:rPr>
          <w:rFonts w:ascii="Times New Roman" w:hAnsi="Times New Roman"/>
          <w:sz w:val="24"/>
          <w:u w:val="none"/>
        </w:rPr>
        <w:t>5.6.</w:t>
      </w:r>
      <w:r w:rsidRPr="00060762">
        <w:rPr>
          <w:u w:val="none"/>
        </w:rPr>
        <w:tab/>
      </w:r>
      <w:r>
        <w:rPr>
          <w:rFonts w:ascii="Times New Roman" w:hAnsi="Times New Roman"/>
          <w:sz w:val="24"/>
        </w:rPr>
        <w:t xml:space="preserve">C 23.00 – Piaci kockázat: </w:t>
      </w:r>
      <w:bookmarkStart w:id="713" w:name="_Toc262566435"/>
      <w:r>
        <w:rPr>
          <w:rFonts w:ascii="Times New Roman" w:hAnsi="Times New Roman"/>
          <w:sz w:val="24"/>
        </w:rPr>
        <w:t xml:space="preserve">az árupozíciók sztenderd módszerei </w:t>
      </w:r>
      <w:bookmarkEnd w:id="707"/>
      <w:bookmarkEnd w:id="708"/>
      <w:bookmarkEnd w:id="709"/>
      <w:bookmarkEnd w:id="710"/>
      <w:bookmarkEnd w:id="713"/>
      <w:r>
        <w:rPr>
          <w:rFonts w:ascii="Times New Roman" w:hAnsi="Times New Roman"/>
          <w:sz w:val="24"/>
        </w:rPr>
        <w:t xml:space="preserve"> (MKR SA COM)</w:t>
      </w:r>
      <w:bookmarkEnd w:id="711"/>
      <w:bookmarkEnd w:id="71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858707"/>
      <w:r>
        <w:rPr>
          <w:rFonts w:ascii="Times New Roman" w:hAnsi="Times New Roman"/>
          <w:sz w:val="24"/>
          <w:u w:val="none"/>
        </w:rPr>
        <w:t>5.6.1.</w:t>
      </w:r>
      <w:r w:rsidRPr="00060762">
        <w:rPr>
          <w:u w:val="none"/>
        </w:rPr>
        <w:tab/>
      </w:r>
      <w:r>
        <w:rPr>
          <w:rFonts w:ascii="Times New Roman" w:hAnsi="Times New Roman"/>
          <w:sz w:val="24"/>
        </w:rPr>
        <w:t>Általános megjegyzések</w:t>
      </w:r>
      <w:bookmarkEnd w:id="714"/>
      <w:bookmarkEnd w:id="715"/>
      <w:bookmarkEnd w:id="716"/>
      <w:bookmarkEnd w:id="717"/>
      <w:bookmarkEnd w:id="718"/>
      <w:bookmarkEnd w:id="719"/>
      <w:bookmarkEnd w:id="720"/>
    </w:p>
    <w:p w:rsidR="000B0B09" w:rsidRPr="00661595" w:rsidRDefault="0055388B" w:rsidP="00487A02">
      <w:pPr>
        <w:pStyle w:val="InstructionsText2"/>
        <w:numPr>
          <w:ilvl w:val="0"/>
          <w:numId w:val="0"/>
        </w:numPr>
        <w:ind w:left="1353" w:hanging="360"/>
      </w:pPr>
      <w:fldSimple w:instr=" seq paragraphs ">
        <w:r w:rsidR="00D11E4C">
          <w:rPr>
            <w:noProof/>
          </w:rPr>
          <w:t>173</w:t>
        </w:r>
      </w:fldSimple>
      <w:r w:rsidR="00D11E4C">
        <w:t>.</w:t>
      </w:r>
      <w:r w:rsidR="00D11E4C">
        <w:tab/>
        <w:t xml:space="preserve"> Ezen a táblán a sztenderd módszer alkalmazási körébe tartozó árupozíciókról, valamint a rájuk vonatkozó szavatolótőke-követelményről kell adatot szolgáltatni.</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858708"/>
      <w:r>
        <w:rPr>
          <w:rFonts w:ascii="Times New Roman" w:hAnsi="Times New Roman"/>
          <w:sz w:val="24"/>
          <w:u w:val="none"/>
        </w:rPr>
        <w:lastRenderedPageBreak/>
        <w:t>5.6.2.</w:t>
      </w:r>
      <w:r w:rsidRPr="00060762">
        <w:rPr>
          <w:u w:val="none"/>
        </w:rPr>
        <w:tab/>
      </w:r>
      <w:r>
        <w:rPr>
          <w:rFonts w:ascii="Times New Roman" w:hAnsi="Times New Roman"/>
          <w:sz w:val="24"/>
        </w:rPr>
        <w:t>A tábla egyes részeire vonatkozó útmutató</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ÖSSZES POZÍCIÓ (HOSSZÚ ÉS RÖVID)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357. cikkének (4) bekezdése szerint azonos áruban lévő pozícióknak minősülő bruttó hosszú/rövid pozíciók (lásd még a CRR 359. cikkének (1) bekezdését).</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NETTÓ POZÍCIÓK (HOSSZÚ ÉS RÖVID)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A CRR 357. cikkének (3) bekezdésében található meghatározás szerint.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TŐKEKÖVETELMÉNNYEL ÉRINTETT POZÍCIÓK</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Azok a nettó pozíciók, amelyekre a CRR harmadik része IV. címének 4. fejezetében foglalt különböző módszerek szerint tőkekövetelmény vonatkozik.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SZAVATOLÓTŐKE-KÖVETELMÉNY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A CRR harmadik része IV. címének 4. fejezete szerint számított szavatolótőke-követelmény bármely releváns pozícióra vonatkozóan</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TELJES KOCKÁZATI KITETTSÉGÉRTÉK</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 CRR 92. cikke (4) bekezdésének b) pontja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A szavatolótőke-követelmény 12,5-del való szorzásának az eredménye.</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ÁRUPOZÍCIÓK ÖSSZESEN</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Árupozíciók és a rájuk vonatkozó piaci kockázat szavatolótőke-követelménye a CRR 92. cikke (3) bekezdése c) pontjának iii. alpontja, valamint a CRR harmadik része IV. címének 4. fejezete szerint.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POZÍCIÓK ÁRUKATEGÓRIA SZERINT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Adatszolgáltatás céljából az árukat a CRR 361. cikkében található 2. táblázatban említett négy árucsoportba kell sorolni.</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FUTAMIDŐTÁBLÁS MÓDSZER</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CRR 359. cikkében említett futamidőtáblás módszer alkalmazási körébe tartozó árupozíciók.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KITERJESZTETT LEJÁRATI TÁBLÁS MÓDSZER</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 CRR 361. cikkében említett kiterjesztett lejárati táblás módszer alkalmazási körébe tartozó árupozíciók.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EGYSZERŰSÍTETT MÓDSZER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360. cikkében említett egyszerűsített módszer alkalmazási körébe tartozó árupozíciók.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A CRR 358. cikkének (4) bekezdése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követelményeket a számítási módszerben kell feltüntetni.</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858709"/>
      <w:r>
        <w:rPr>
          <w:rFonts w:ascii="Times New Roman" w:hAnsi="Times New Roman"/>
          <w:sz w:val="24"/>
          <w:u w:val="none"/>
        </w:rPr>
        <w:t>5.7.</w:t>
      </w:r>
      <w:r w:rsidRPr="00060762">
        <w:rPr>
          <w:u w:val="none"/>
        </w:rPr>
        <w:tab/>
      </w:r>
      <w:bookmarkStart w:id="734" w:name="_Toc262566438"/>
      <w:r>
        <w:rPr>
          <w:rFonts w:ascii="Times New Roman" w:hAnsi="Times New Roman"/>
          <w:sz w:val="24"/>
        </w:rPr>
        <w:t>C 24.00 – Piaci kockázat: belső modellek</w:t>
      </w:r>
      <w:bookmarkEnd w:id="728"/>
      <w:bookmarkEnd w:id="729"/>
      <w:bookmarkEnd w:id="730"/>
      <w:bookmarkEnd w:id="731"/>
      <w:bookmarkEnd w:id="734"/>
      <w:r>
        <w:rPr>
          <w:rFonts w:ascii="Times New Roman" w:hAnsi="Times New Roman"/>
          <w:sz w:val="24"/>
        </w:rPr>
        <w:t xml:space="preserve"> (MKR IM)</w:t>
      </w:r>
      <w:bookmarkEnd w:id="732"/>
      <w:bookmarkEnd w:id="73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858710"/>
      <w:r>
        <w:rPr>
          <w:rFonts w:ascii="Times New Roman" w:hAnsi="Times New Roman"/>
          <w:sz w:val="24"/>
          <w:u w:val="none"/>
        </w:rPr>
        <w:t>5.7.1.</w:t>
      </w:r>
      <w:r w:rsidRPr="00060762">
        <w:rPr>
          <w:u w:val="none"/>
        </w:rPr>
        <w:tab/>
      </w:r>
      <w:r>
        <w:rPr>
          <w:rFonts w:ascii="Times New Roman" w:hAnsi="Times New Roman"/>
          <w:sz w:val="24"/>
        </w:rPr>
        <w:t>Általános megjegyzések</w:t>
      </w:r>
      <w:bookmarkEnd w:id="735"/>
      <w:bookmarkEnd w:id="736"/>
      <w:bookmarkEnd w:id="737"/>
      <w:bookmarkEnd w:id="738"/>
      <w:bookmarkEnd w:id="739"/>
      <w:bookmarkEnd w:id="740"/>
      <w:bookmarkEnd w:id="741"/>
    </w:p>
    <w:p w:rsidR="000B0B09" w:rsidRPr="00661595" w:rsidRDefault="0055388B" w:rsidP="00487A02">
      <w:pPr>
        <w:pStyle w:val="InstructionsText2"/>
        <w:numPr>
          <w:ilvl w:val="0"/>
          <w:numId w:val="0"/>
        </w:numPr>
        <w:ind w:left="1353" w:hanging="360"/>
      </w:pPr>
      <w:fldSimple w:instr=" seq paragraphs ">
        <w:r w:rsidR="00D11E4C">
          <w:rPr>
            <w:noProof/>
          </w:rPr>
          <w:t>174</w:t>
        </w:r>
      </w:fldSimple>
      <w:r w:rsidR="00D11E4C">
        <w:t>.</w:t>
      </w:r>
      <w:r w:rsidR="00D11E4C">
        <w:tab/>
        <w:t xml:space="preserve"> Ez a tábla a kockáztatott érték (VaR) és a stresszhelyzeti kockáztatott érték (sVaR) adatait mutatja be különböző (adósságinstrumentumokkal, részvényekkel, külföldi pénznemekkel vagy áruval kapcsolatos) piaci kockázatok szerinti bontásban, továbbá a szavatolótőke-követelmény számítása szempontjából lényeges egyéb információkat.</w:t>
      </w:r>
    </w:p>
    <w:p w:rsidR="000B0B09" w:rsidRPr="00661595" w:rsidRDefault="0055388B" w:rsidP="00487A02">
      <w:pPr>
        <w:pStyle w:val="InstructionsText2"/>
        <w:numPr>
          <w:ilvl w:val="0"/>
          <w:numId w:val="0"/>
        </w:numPr>
        <w:ind w:left="1353" w:hanging="360"/>
      </w:pPr>
      <w:fldSimple w:instr=" seq paragraphs ">
        <w:r w:rsidR="00D11E4C">
          <w:rPr>
            <w:noProof/>
          </w:rPr>
          <w:t>175</w:t>
        </w:r>
      </w:fldSimple>
      <w:r w:rsidR="00D11E4C">
        <w:t>.</w:t>
      </w:r>
      <w:r w:rsidR="00D11E4C">
        <w:tab/>
        <w:t xml:space="preserve"> Általában az intézményi modell felépítésétől függ, hogy az általános és egyedi kockázatra vonatkozó adatokat elkülönítve vagy csak összesítve lehet-e meghatározni és feltüntetni. Ugyanez vonatkozik a VaR/Stress-VaR értékek kockázati kategóriák (kamatlábkockázat, részvénypiaci kockázat, árukockázat, valamint devizaárfolyam-kockázat) szerinti bontására is. Az intézmény eltekinthet a fenti bontásban történő adatszolgáltatástól, ha bizonyítani tudja, hogy az indokolatlan terhet jelentene számára.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858711"/>
      <w:r>
        <w:rPr>
          <w:rFonts w:ascii="Times New Roman" w:hAnsi="Times New Roman"/>
          <w:sz w:val="24"/>
          <w:u w:val="none"/>
        </w:rPr>
        <w:t>5.7.2.</w:t>
      </w:r>
      <w:r w:rsidRPr="00060762">
        <w:rPr>
          <w:u w:val="none"/>
        </w:rPr>
        <w:tab/>
      </w:r>
      <w:r>
        <w:rPr>
          <w:rFonts w:ascii="Times New Roman" w:hAnsi="Times New Roman"/>
          <w:sz w:val="24"/>
        </w:rPr>
        <w:t>A tábla egyes részeire vonatkozó útmutató</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Oszlop</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Kockáztatott érték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Egy adott valószínűséggel, meghatározott időtávon bekövetkező árváltozásból származó veszteség maximális lehetséges mértéke.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Szorzó (mc) x Előző 60 munkanap átalagos kockáztatott értéke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 CRR 364. cikke (1) bekezdése a) pontjának ii. alpontja, valamint 365. cikkének (1) bekezdése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Előző napi kockáztatott érték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 CRR 364. cikke (1) bekezdése a) pontjának i. alpontja, valamint 365. cikkének (1) bekezdése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Stresszhelyzeti kockáztatott érték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Egy adott valószínűséggel, meghatározott időtávon bekövetkező árváltozásból származó veszteség maximális lehetséges mértéke, amelynek kiszámításához a bemeneti adatokat az intézmény portfóliója szempontjából lényeges, számottevő pénzügyi stresszhelyzetet jelentő, folyamatos 12 hónapos időszak történeti adatai alapján kell kalibrálni.</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Szorzó (ms) x Előző 60 munkanap átlaga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 CRR 364. cikke (1) bekezdése b) pontjának ii. alpontja, valamint 365. cikkének (1) bekezdése</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Legfrissebb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364. cikke (1) bekezdése b) pontjának i. alpontja, valamint 365. cikkének (1) bekezdése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 JÁRULÉKOS NEMTELJESÍTÉSI ÉS ÁTMINŐSÍTÉSI KOCKÁZATRA VONATKOZÓ TŐKEKÖVETELMÉNY</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A járulékos nemteljesítési és átminősítési kockázatra vonatkozó tőkekövetelmény a nemteljesítési és átminősítési kockázatokkal összefüggésben bekövetkező árváltozásból származó veszteség maximális lehetséges mértéke, amelynek kiszámítása a CRR harmadik része IV. címe 5. fejezetének 4. szakaszával összefüggésben a CRR 364. cikke (2) bekezdésének b) pontja alapján történik.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12 hetes átlagos mérőszám</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A CRR 364. cikke (2) bekezdése b) pontjának ii. alpontja, a CRR harmadik része IV. címe 5. fejezetének 4. szakaszával összefüggésben</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Legfrissebb mérőszám</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 CRR 364. cikke (2) bekezdése b) pontjának i. alpontja, a CRR harmadik része IV. címe 5. fejezetének 4. szakaszával összefüggésben.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TELJES ÁRKOCKÁZATI TŐKEKÖVETELMÉNY A CTP-RE VONATKOZÓAN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ALSÓ KORLÁT</w:t>
            </w:r>
          </w:p>
          <w:p w:rsidR="000B0B09" w:rsidRPr="00661595" w:rsidRDefault="00705025" w:rsidP="000B0B09">
            <w:pPr>
              <w:rPr>
                <w:rFonts w:ascii="Times New Roman" w:hAnsi="Times New Roman"/>
                <w:sz w:val="24"/>
              </w:rPr>
            </w:pPr>
            <w:r>
              <w:rPr>
                <w:rFonts w:ascii="Times New Roman" w:hAnsi="Times New Roman"/>
                <w:sz w:val="24"/>
              </w:rPr>
              <w:t>A CRR 364. cikke (3) bekezdésének c) pontja</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azon tőkekövetelmény 8 %-a, amely a CRR 338. cikkének (1) bekezdése szerint került volna kiszámításra a teljes árkockázati tőkekövetelménnyel érintett valamennyi pozíció tekintetében.</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12 HETES ÁTLAGOS MÉRŐSZÁM ÉS LEGFRISSEBB MÉRŐSZÁM</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lastRenderedPageBreak/>
              <w:t>A CRR 364. cikke (3) bekezdésének b) pontja</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LEGFRISSEBB MÉRŐSZÁM</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A CRR 364. cikke (3) bekezdésének a) pontja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SZAVATOLÓTŐKE-KÖVETELMÉNY</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A CRR 364. cikkében említett </w:t>
            </w:r>
            <w:r>
              <w:rPr>
                <w:rFonts w:ascii="Times New Roman" w:hAnsi="Times New Roman"/>
                <w:bCs/>
                <w:sz w:val="24"/>
              </w:rPr>
              <w:t>szavatolótőke-követelmények</w:t>
            </w:r>
            <w:r>
              <w:rPr>
                <w:rFonts w:ascii="Times New Roman" w:hAnsi="Times New Roman"/>
                <w:sz w:val="24"/>
              </w:rPr>
              <w:t xml:space="preserve"> az összes kockázati tényezőre vonatkozóan, adott esetben figyelembe véve a korrelációs hatásokat, valamint a járulékos nemteljesítési és átminősítési kockázatot és a CTP-ben árazott valamennyi kockázatot, figyelmen kívül hagyva azonban a CRR 364. cikkének (2) bekezdése szerinti, az értékpapírosításhoz és az n-edik nemteljesítéskor lehívható hitelderivatívákhoz kapcsolódó tőkekövetelményt.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TELJES KOCKÁZATI KITETTSÉGÉRTÉK</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92. cikke (4) bekezdésének b) pontja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szavatolótőke-követelmény 12,5-del való szorzásának az eredménye.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Túllépések száma az előző 250 munkanap során</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A CRR 366. cikkében említettek szerint</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Azon túllépések számát kell feltüntetni, amelyek alapján a kiegészítő tétel meghatározásra kerül. Amennyiben az intézmények a CRR 500c. cikke szerint kizárhatnak bizonyos túllépéseket a kiegészítő tételek számításából, az ebben az oszlopban feltüntetett túllépések száma nem tartalmazhatja e kizárt túllépéseket.</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VaR szorzó (mc) és SVaR szorzó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A CRR 366. cikkében említettek szerint</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A szavatolótőke-követelmények kiszámításához ténylegesen alkalmazandó szorzókat kell megadni, adott esetben a CRR 500c. cikkének alkalmazása után.</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 CTP-TŐKEKÖVETELMÉNY FELTÉTELEZETT ALSÓ KORLÁTJA – SÚLYOZOTT NETTÓ HOSSZÚ/RÖVID POZÍCIÓK A FELSŐ KORLÁT FIGYELEMBEVÉTELÉVEL</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A feltüntetett és a teljes árkockázati tőkekövetelményre vonatkozó, a CRR 364. cikke (3) bekezdésének c) pontja szerinti alsó határ kiszámításához felhasznált összeg figyelembe veszi a CRR 335. cikkében biztosított jogosultságot, amely előírja, hogy egy intézmény a nemteljesítési kockázathoz kapcsolódó veszteség lehetséges maximális összegében korlátozhatja a súly és a nettó pozíció szorzatát.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POZÍCIÓK ÖSSZESEN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lastRenderedPageBreak/>
              <w:t>A CRR 363. cikkének (1) bekezdésében említett pozíció-, devizaárfolyam- és árukockázatnak az a része, amely a CRR 367. cikkének (2) bekezdésében meghatározott kockázati tényezőkhöz kapcsolódik.</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A 0030–0060. oszlop VaR és Stress-VaR értékeit illetően az összesítő sorban szereplő adatok nem egyeznek meg a vonatkozó kockázati elemek szerint lebontott VaR és Stress-VaR értékekkel.</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FORGALMAZOTT, HITELVISZONYT MEGTESTESÍTŐ ÉRTÉKPAPÍROK</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A CRR 363. cikkének (1) bekezdésében említett pozíciókockázatnak az a része, amely a CRR 367. cikke (2) bekezdésének a) pontjában meghatározott kamatláb-kockázati tényezőkhöz kapcsolódik.</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ÁLTALÁNOS KOCKÁZAT</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A CRR 362. cikkében említett általános kockázati elem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EGYEDI KOCKÁZAT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A CRR 362. cikkében említett egyedi kockázati elem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RÉSZVÉNYEK</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CRR 363. cikkének (1) bekezdésében említett pozíciókockázatnak az a része, amely a CRR 367. cikke (2) bekezdésének c) pontjában meghatározott részvénypiaci kockázati tényezőkhöz kapcsolódik.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RÉSZVÉNYEK – ÁLTALÁNOS KOCKÁZAT</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A CRR 362. cikkében említett általános kockázati elem</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RÉSZVÉNYEK – EGYEDI KOCKÁZAT</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A CRR 362. cikkében említett egyedi kockázati elem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DEVIZAÁRFOLYAM-KOCKÁZAT</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A CRR 363. cikkének (1) bekezdése, valamint 367. cikke (2) bekezdésének b) pontja</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ÁRUKOCKÁZAT</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 CRR 363. cikkének (1) bekezdése és 367. cikke (2) bekezdésének d) pontja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ÁLTALÁNOS KOCKÁZAT ÖSSZESEN</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A forgalmazott, hitelviszonyt megtestesítő értékpapírok, részvények, külföldi pénznemek és áruk általános piaci mozgásaiból eredő piaci kockázat. Az összes kockázati tényező általános kockázatára vonatkozó VaR érték (az esetleges korrelációs hatások figyelembevételével).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EGYEDI KOCKÁZAT ÖSSZESEN</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lastRenderedPageBreak/>
              <w:t>A forgalmazott, hitelviszonyt megtestesítő értékpapírok és részvények egyedi kockázati eleme. A kereskedési könyvben nyilvántartott, forgalmazott, hitelviszonyt megtestesítő értékpapírok és részvények egyedi kockázatára vonatkozó VaR érték (az esetleges korrelációs hatások figyelembevételével).</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858712"/>
      <w:r>
        <w:rPr>
          <w:rFonts w:ascii="Times New Roman" w:hAnsi="Times New Roman"/>
          <w:sz w:val="24"/>
          <w:u w:val="none"/>
        </w:rPr>
        <w:t>5.8.</w:t>
      </w:r>
      <w:r w:rsidRPr="00060762">
        <w:rPr>
          <w:u w:val="none"/>
        </w:rPr>
        <w:tab/>
      </w:r>
      <w:bookmarkStart w:id="751" w:name="_Toc360188413"/>
      <w:r>
        <w:rPr>
          <w:rFonts w:ascii="Times New Roman" w:hAnsi="Times New Roman"/>
          <w:sz w:val="24"/>
        </w:rPr>
        <w:t>C 25.00 – HITELÉRTÉKELÉSI KORREKCIÓK KOCKÁZATA</w:t>
      </w:r>
      <w:bookmarkEnd w:id="751"/>
      <w:r>
        <w:rPr>
          <w:rFonts w:ascii="Times New Roman" w:hAnsi="Times New Roman"/>
          <w:sz w:val="24"/>
        </w:rPr>
        <w:t xml:space="preserve"> (CVA)</w:t>
      </w:r>
      <w:bookmarkEnd w:id="749"/>
      <w:bookmarkEnd w:id="75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58858713"/>
      <w:bookmarkStart w:id="755" w:name="_Toc310008820"/>
      <w:r>
        <w:rPr>
          <w:rFonts w:ascii="Times New Roman" w:hAnsi="Times New Roman"/>
          <w:sz w:val="24"/>
          <w:u w:val="none"/>
        </w:rPr>
        <w:t>5.8.1.</w:t>
      </w:r>
      <w:r w:rsidRPr="00060762">
        <w:rPr>
          <w:u w:val="none"/>
        </w:rPr>
        <w:tab/>
      </w:r>
      <w:r>
        <w:rPr>
          <w:rFonts w:ascii="Times New Roman" w:hAnsi="Times New Roman"/>
          <w:sz w:val="24"/>
        </w:rPr>
        <w:t>A tábla egyes részeire vonatkozó útmutató</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Oszlop</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Kitettségérték </w:t>
            </w:r>
          </w:p>
          <w:p w:rsidR="000B0B09" w:rsidRPr="00661595" w:rsidRDefault="000B0B09" w:rsidP="000B0B09">
            <w:pPr>
              <w:rPr>
                <w:rFonts w:ascii="Times New Roman" w:hAnsi="Times New Roman"/>
                <w:sz w:val="24"/>
              </w:rPr>
            </w:pPr>
            <w:r>
              <w:rPr>
                <w:rFonts w:ascii="Times New Roman" w:hAnsi="Times New Roman"/>
                <w:sz w:val="24"/>
              </w:rPr>
              <w:t>A CRR 271. cikke, összefüggésben 382. cikkével</w:t>
            </w:r>
          </w:p>
          <w:p w:rsidR="000B0B09" w:rsidRPr="00661595" w:rsidRDefault="000B0B09" w:rsidP="000B0B09">
            <w:pPr>
              <w:rPr>
                <w:rFonts w:ascii="Times New Roman" w:hAnsi="Times New Roman"/>
                <w:sz w:val="24"/>
              </w:rPr>
            </w:pPr>
            <w:r>
              <w:rPr>
                <w:rFonts w:ascii="Times New Roman" w:hAnsi="Times New Roman"/>
                <w:sz w:val="24"/>
              </w:rPr>
              <w:t>A CVA-tőkekövetelménnyel érintett összes ügyletből eredő teljes nemteljesítéskori kitettség (EAD).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Ebből: tőzsdén kívüli származtatott ügyletek </w:t>
            </w:r>
          </w:p>
          <w:p w:rsidR="000B0B09" w:rsidRPr="00661595" w:rsidRDefault="000B0B09" w:rsidP="000B0B09">
            <w:pPr>
              <w:rPr>
                <w:rFonts w:ascii="Times New Roman" w:hAnsi="Times New Roman"/>
                <w:sz w:val="24"/>
              </w:rPr>
            </w:pPr>
            <w:r>
              <w:rPr>
                <w:rFonts w:ascii="Times New Roman" w:hAnsi="Times New Roman"/>
                <w:sz w:val="24"/>
              </w:rPr>
              <w:t>A CRR 271. cikke, összefüggésben 382. cikkének (1) bekezdésével.</w:t>
            </w:r>
          </w:p>
          <w:p w:rsidR="000B0B09" w:rsidRPr="00661595" w:rsidRDefault="000B0B09" w:rsidP="000B0B09">
            <w:pPr>
              <w:rPr>
                <w:rFonts w:ascii="Times New Roman" w:hAnsi="Times New Roman"/>
                <w:sz w:val="24"/>
              </w:rPr>
            </w:pPr>
            <w:r>
              <w:rPr>
                <w:rFonts w:ascii="Times New Roman" w:hAnsi="Times New Roman"/>
                <w:sz w:val="24"/>
              </w:rPr>
              <w:t>A teljes partnerkockázati kitettségnek az a része, amely kizárólag tőzsdén kívüli származtatott ügyletből ered. Az információt nem kötelező megadniuk azoknak a belső modell módszerét alkalmazó intézményeknek, amelyek azonos nettósítási halmazban tőzsdén kívüli származtatott ügylettel és értékpapír-finanszírozási ügylettel is rendelkeznek.</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Ebből: értékpapír-finanszírozási ügylet </w:t>
            </w:r>
          </w:p>
          <w:p w:rsidR="000B0B09" w:rsidRPr="00661595" w:rsidRDefault="000B0B09" w:rsidP="000B0B09">
            <w:pPr>
              <w:rPr>
                <w:rFonts w:ascii="Times New Roman" w:hAnsi="Times New Roman"/>
                <w:sz w:val="24"/>
              </w:rPr>
            </w:pPr>
            <w:r>
              <w:rPr>
                <w:rFonts w:ascii="Times New Roman" w:hAnsi="Times New Roman"/>
                <w:sz w:val="24"/>
              </w:rPr>
              <w:t>A CRR 271. cikke, összefüggésben 382. cikkének (2) bekezdésével.</w:t>
            </w:r>
          </w:p>
          <w:p w:rsidR="000B0B09" w:rsidRPr="00661595" w:rsidRDefault="000B0B09">
            <w:pPr>
              <w:rPr>
                <w:rFonts w:ascii="Times New Roman" w:hAnsi="Times New Roman"/>
                <w:sz w:val="24"/>
              </w:rPr>
            </w:pPr>
            <w:r>
              <w:rPr>
                <w:rFonts w:ascii="Times New Roman" w:hAnsi="Times New Roman"/>
                <w:sz w:val="24"/>
              </w:rPr>
              <w:t>A teljes partnerkockázati kitettségnek az a része, amely kizárólag származtatott értékpapír-finanszírozási ügyletből ered. Az információt nem kötelező megadniuk azoknak a belső modell módszerét alkalmazó intézményeknek, amelyek azonos nettósítási halmazban tőzsdén kívüli származtatott ügylettel és értékpapír-finanszírozási ügylettel is rendelkeznek.</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SZORZÓ (mc) x ELŐZŐ 60 MUNKANAP ÁTALAGA (VaRavg)</w:t>
            </w:r>
          </w:p>
          <w:p w:rsidR="004F6B6B" w:rsidRPr="00661595" w:rsidRDefault="000B0B09">
            <w:pPr>
              <w:rPr>
                <w:rFonts w:ascii="Times New Roman" w:hAnsi="Times New Roman"/>
                <w:sz w:val="24"/>
              </w:rPr>
            </w:pPr>
            <w:r>
              <w:rPr>
                <w:rFonts w:ascii="Times New Roman" w:hAnsi="Times New Roman"/>
                <w:sz w:val="24"/>
              </w:rPr>
              <w:t xml:space="preserve">A CRR 383. cikke, összefüggésben 363. cikke (1) bekezdésének d) pontjával. </w:t>
            </w:r>
          </w:p>
          <w:p w:rsidR="000B0B09" w:rsidRPr="00661595" w:rsidRDefault="000B0B09">
            <w:pPr>
              <w:rPr>
                <w:rFonts w:ascii="Times New Roman" w:hAnsi="Times New Roman"/>
                <w:sz w:val="24"/>
              </w:rPr>
            </w:pPr>
            <w:r>
              <w:rPr>
                <w:rFonts w:ascii="Times New Roman" w:hAnsi="Times New Roman"/>
                <w:sz w:val="24"/>
              </w:rPr>
              <w:t xml:space="preserve">A VaR kiszámítása a piaci kockázatra vonatkozó belső modell alapján.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ELŐZŐ NAPI (VARt-1)</w:t>
            </w:r>
          </w:p>
          <w:p w:rsidR="000B0B09" w:rsidRPr="00661595" w:rsidRDefault="000B0B09" w:rsidP="002300C6">
            <w:pPr>
              <w:rPr>
                <w:rFonts w:ascii="Times New Roman" w:hAnsi="Times New Roman"/>
                <w:sz w:val="24"/>
              </w:rPr>
            </w:pPr>
            <w:r>
              <w:rPr>
                <w:rFonts w:ascii="Times New Roman" w:hAnsi="Times New Roman"/>
                <w:sz w:val="24"/>
              </w:rPr>
              <w:t>Lásd a 0040-es oszlopra vonatkozó útmutatást.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SZORZÓ (ms) X ELŐZŐ 60 MUNKANAP ÁTLAGA (SVaRavg)</w:t>
            </w:r>
          </w:p>
          <w:p w:rsidR="000B0B09" w:rsidRPr="00661595" w:rsidRDefault="000B0B09" w:rsidP="002300C6">
            <w:pPr>
              <w:rPr>
                <w:rFonts w:ascii="Times New Roman" w:hAnsi="Times New Roman"/>
                <w:sz w:val="24"/>
              </w:rPr>
            </w:pPr>
            <w:r>
              <w:rPr>
                <w:rFonts w:ascii="Times New Roman" w:hAnsi="Times New Roman"/>
                <w:sz w:val="24"/>
              </w:rPr>
              <w:t>Lásd a 0040-es oszlopra vonatkozó útmutatást.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LEGFRISSEBB (SVaRt–1)</w:t>
            </w:r>
          </w:p>
          <w:p w:rsidR="000B0B09" w:rsidRPr="00661595" w:rsidRDefault="000B0B09" w:rsidP="002300C6">
            <w:pPr>
              <w:rPr>
                <w:rFonts w:ascii="Times New Roman" w:hAnsi="Times New Roman"/>
                <w:b/>
                <w:sz w:val="24"/>
                <w:u w:val="single"/>
              </w:rPr>
            </w:pPr>
            <w:r>
              <w:rPr>
                <w:rFonts w:ascii="Times New Roman" w:hAnsi="Times New Roman"/>
                <w:sz w:val="24"/>
              </w:rPr>
              <w:lastRenderedPageBreak/>
              <w:t>Lásd a 0040-es oszlopra vonatkozó útmutatót.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SZAVATOLÓTŐKE-KÖVETELMÉNY</w:t>
            </w:r>
          </w:p>
          <w:p w:rsidR="004F6B6B" w:rsidRPr="00661595" w:rsidRDefault="001E0C80">
            <w:pPr>
              <w:rPr>
                <w:rFonts w:ascii="Times New Roman" w:hAnsi="Times New Roman"/>
                <w:sz w:val="24"/>
              </w:rPr>
            </w:pPr>
            <w:r>
              <w:rPr>
                <w:rFonts w:ascii="Times New Roman" w:hAnsi="Times New Roman"/>
                <w:sz w:val="24"/>
              </w:rPr>
              <w:t xml:space="preserve">A CRR 92. cikke (3) bekezdésének d) pontja. </w:t>
            </w:r>
          </w:p>
          <w:p w:rsidR="000B0B09" w:rsidRPr="00661595" w:rsidRDefault="000B0B09">
            <w:pPr>
              <w:rPr>
                <w:rFonts w:ascii="Times New Roman" w:hAnsi="Times New Roman"/>
                <w:sz w:val="24"/>
              </w:rPr>
            </w:pPr>
            <w:r>
              <w:rPr>
                <w:rFonts w:ascii="Times New Roman" w:hAnsi="Times New Roman"/>
                <w:sz w:val="24"/>
              </w:rPr>
              <w:t>A CVA-kockázathoz kapcsolódó szavatolótőke-követelmény kiszámítása a választott modell alapján.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TELJES KOCKÁZATI KITETTSÉGÉRTÉK</w:t>
            </w:r>
          </w:p>
          <w:p w:rsidR="004F6B6B" w:rsidRPr="00661595" w:rsidRDefault="001E0C80">
            <w:pPr>
              <w:rPr>
                <w:rFonts w:ascii="Times New Roman" w:hAnsi="Times New Roman"/>
                <w:sz w:val="24"/>
              </w:rPr>
            </w:pPr>
            <w:r>
              <w:rPr>
                <w:rFonts w:ascii="Times New Roman" w:hAnsi="Times New Roman"/>
                <w:sz w:val="24"/>
              </w:rPr>
              <w:t>A CRR 92. cikke (4) bekezdésének b) pontja</w:t>
            </w:r>
          </w:p>
          <w:p w:rsidR="000B0B09" w:rsidRPr="00661595" w:rsidRDefault="000B0B09" w:rsidP="00787733">
            <w:pPr>
              <w:rPr>
                <w:rFonts w:ascii="Times New Roman" w:hAnsi="Times New Roman"/>
                <w:sz w:val="24"/>
              </w:rPr>
            </w:pPr>
            <w:r>
              <w:rPr>
                <w:rFonts w:ascii="Times New Roman" w:hAnsi="Times New Roman"/>
                <w:sz w:val="24"/>
              </w:rPr>
              <w:t>A szavatolótőke-követelmény 12,5-del szorozva.</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Tájékoztató adatok</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Partnerek száma</w:t>
            </w:r>
          </w:p>
          <w:p w:rsidR="000B0B09" w:rsidRPr="00661595" w:rsidRDefault="000B0B09" w:rsidP="000B0B09">
            <w:pPr>
              <w:rPr>
                <w:rFonts w:ascii="Times New Roman" w:hAnsi="Times New Roman"/>
                <w:sz w:val="24"/>
              </w:rPr>
            </w:pPr>
            <w:r>
              <w:rPr>
                <w:rFonts w:ascii="Times New Roman" w:hAnsi="Times New Roman"/>
                <w:sz w:val="24"/>
              </w:rPr>
              <w:t>A CRR 382. cikke</w:t>
            </w:r>
          </w:p>
          <w:p w:rsidR="000B0B09" w:rsidRPr="00661595" w:rsidRDefault="000B0B09" w:rsidP="000B0B09">
            <w:pPr>
              <w:rPr>
                <w:rFonts w:ascii="Times New Roman" w:hAnsi="Times New Roman"/>
                <w:sz w:val="24"/>
              </w:rPr>
            </w:pPr>
            <w:r>
              <w:rPr>
                <w:rFonts w:ascii="Times New Roman" w:hAnsi="Times New Roman"/>
                <w:sz w:val="24"/>
              </w:rPr>
              <w:t>A CVA-kockázathoz kapcsolódó szavatolótőke kiszámításánál figyelembe vett partnerek száma.</w:t>
            </w:r>
          </w:p>
          <w:p w:rsidR="000B0B09" w:rsidRPr="00661595" w:rsidRDefault="000B0B09" w:rsidP="0016282F">
            <w:pPr>
              <w:rPr>
                <w:rFonts w:ascii="Times New Roman" w:hAnsi="Times New Roman"/>
                <w:sz w:val="24"/>
              </w:rPr>
            </w:pPr>
            <w:r>
              <w:rPr>
                <w:rFonts w:ascii="Times New Roman" w:hAnsi="Times New Roman"/>
                <w:sz w:val="24"/>
              </w:rPr>
              <w:t xml:space="preserve">A partnerek a kötelezettek részhalmazát képezik. Kizárólag származtatott ügyletek vagy értékpapír-finanszírozási ügyletek esetében léteznek, ahol a másik szerződő felet jelentik.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Ebből: közelítő érték alapján meghatározott hitelkockázati felár</w:t>
            </w:r>
          </w:p>
          <w:p w:rsidR="000B0B09" w:rsidRPr="00661595" w:rsidRDefault="005C14B0">
            <w:pPr>
              <w:rPr>
                <w:rFonts w:ascii="Times New Roman" w:hAnsi="Times New Roman"/>
                <w:b/>
                <w:sz w:val="24"/>
                <w:u w:val="single"/>
              </w:rPr>
            </w:pPr>
            <w:r>
              <w:rPr>
                <w:rFonts w:ascii="Times New Roman" w:hAnsi="Times New Roman"/>
                <w:sz w:val="24"/>
              </w:rPr>
              <w:t>Az olyan partnerek száma, amelyeknél a hitelkockázati felárat a közvetlenül észlelt piaci adatok helyett közelítő érték alapján határozták meg.</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VISELT CVA-KOCKÁZAT</w:t>
            </w:r>
          </w:p>
          <w:p w:rsidR="000B0B09" w:rsidRPr="00661595" w:rsidRDefault="000B0B09" w:rsidP="000B0B09">
            <w:pPr>
              <w:rPr>
                <w:rFonts w:ascii="Times New Roman" w:hAnsi="Times New Roman"/>
                <w:sz w:val="24"/>
              </w:rPr>
            </w:pPr>
            <w:r>
              <w:rPr>
                <w:rFonts w:ascii="Times New Roman" w:hAnsi="Times New Roman"/>
                <w:sz w:val="24"/>
              </w:rPr>
              <w:t>A származtatott ügyletekben részes partnerek romló hitelképességére képzett számviteli céltartalék.</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EGY ALAPTERMÉKES CDS</w:t>
            </w:r>
          </w:p>
          <w:p w:rsidR="000B0B09" w:rsidRPr="00661595" w:rsidRDefault="00D21B29" w:rsidP="000B0B09">
            <w:pPr>
              <w:rPr>
                <w:rFonts w:ascii="Times New Roman" w:hAnsi="Times New Roman"/>
                <w:sz w:val="24"/>
              </w:rPr>
            </w:pPr>
            <w:r>
              <w:rPr>
                <w:rFonts w:ascii="Times New Roman" w:hAnsi="Times New Roman"/>
                <w:sz w:val="24"/>
              </w:rPr>
              <w:t xml:space="preserve">A CRR 386. cikke (1) bekezdésének a) pontja </w:t>
            </w:r>
          </w:p>
          <w:p w:rsidR="000B0B09" w:rsidRPr="00661595" w:rsidRDefault="000B0B09" w:rsidP="000B0B09">
            <w:pPr>
              <w:rPr>
                <w:rFonts w:ascii="Times New Roman" w:hAnsi="Times New Roman"/>
                <w:sz w:val="24"/>
              </w:rPr>
            </w:pPr>
            <w:r>
              <w:rPr>
                <w:rFonts w:ascii="Times New Roman" w:hAnsi="Times New Roman"/>
                <w:sz w:val="24"/>
              </w:rPr>
              <w:t>A CVA-kockázatot fedező egy alaptermékes hitel-nemteljesítési csereügylet teljes névleges összege.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INDEX CDS</w:t>
            </w:r>
          </w:p>
          <w:p w:rsidR="000B0B09" w:rsidRPr="00661595" w:rsidRDefault="00D21B29" w:rsidP="000B0B09">
            <w:pPr>
              <w:rPr>
                <w:rFonts w:ascii="Times New Roman" w:hAnsi="Times New Roman"/>
                <w:sz w:val="24"/>
              </w:rPr>
            </w:pPr>
            <w:r>
              <w:rPr>
                <w:rFonts w:ascii="Times New Roman" w:hAnsi="Times New Roman"/>
                <w:sz w:val="24"/>
              </w:rPr>
              <w:t>A CRR 386. cikke (1) bekezdésének b) pontja</w:t>
            </w:r>
          </w:p>
          <w:p w:rsidR="000B0B09" w:rsidRPr="00661595" w:rsidRDefault="000B0B09" w:rsidP="000B0B09">
            <w:pPr>
              <w:rPr>
                <w:rFonts w:ascii="Times New Roman" w:hAnsi="Times New Roman"/>
                <w:b/>
                <w:sz w:val="24"/>
                <w:u w:val="single"/>
              </w:rPr>
            </w:pPr>
            <w:r>
              <w:rPr>
                <w:rFonts w:ascii="Times New Roman" w:hAnsi="Times New Roman"/>
                <w:sz w:val="24"/>
              </w:rPr>
              <w:t>A CVA-kockázatot fedező index CDS teljes névleges összege.</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Sor</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CVA-kockázat összesen</w:t>
            </w:r>
          </w:p>
          <w:p w:rsidR="000B0B09" w:rsidRPr="00661595" w:rsidRDefault="000B0B09" w:rsidP="002300C6">
            <w:pPr>
              <w:rPr>
                <w:rFonts w:ascii="Times New Roman" w:hAnsi="Times New Roman"/>
                <w:bCs/>
                <w:sz w:val="24"/>
              </w:rPr>
            </w:pPr>
            <w:r>
              <w:rPr>
                <w:rFonts w:ascii="Times New Roman" w:hAnsi="Times New Roman"/>
                <w:bCs/>
                <w:sz w:val="24"/>
              </w:rPr>
              <w:t>A 0020-0040. sorok összege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Fejlett módszer szerint</w:t>
            </w:r>
          </w:p>
          <w:p w:rsidR="000B0B09" w:rsidRPr="00661595" w:rsidRDefault="000B0B09" w:rsidP="000B0B09">
            <w:pPr>
              <w:rPr>
                <w:rFonts w:ascii="Times New Roman" w:hAnsi="Times New Roman"/>
                <w:bCs/>
                <w:sz w:val="24"/>
              </w:rPr>
            </w:pPr>
            <w:r>
              <w:rPr>
                <w:rFonts w:ascii="Times New Roman" w:hAnsi="Times New Roman"/>
                <w:bCs/>
                <w:sz w:val="24"/>
              </w:rPr>
              <w:t>Fejlett CVA-kockázati módszer a CRR 383. cikkének előírásai</w:t>
            </w:r>
            <w:r>
              <w:rPr>
                <w:rFonts w:ascii="Times New Roman" w:hAnsi="Times New Roman"/>
                <w:sz w:val="24"/>
              </w:rPr>
              <w:t xml:space="preserve"> szerint.</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Sztenderd módszer szerint</w:t>
            </w:r>
          </w:p>
          <w:p w:rsidR="000B0B09" w:rsidRPr="00661595" w:rsidRDefault="000B0B09" w:rsidP="000B0B09">
            <w:pPr>
              <w:rPr>
                <w:rFonts w:ascii="Times New Roman" w:hAnsi="Times New Roman"/>
                <w:bCs/>
                <w:sz w:val="24"/>
              </w:rPr>
            </w:pPr>
            <w:r>
              <w:rPr>
                <w:rFonts w:ascii="Times New Roman" w:hAnsi="Times New Roman"/>
                <w:bCs/>
                <w:sz w:val="24"/>
              </w:rPr>
              <w:t>Sztenderd CVA-kockázati módszer a CRR 384. cikkének előírásai</w:t>
            </w:r>
            <w:r>
              <w:rPr>
                <w:rFonts w:ascii="Times New Roman" w:hAnsi="Times New Roman"/>
                <w:sz w:val="24"/>
              </w:rPr>
              <w:t xml:space="preserve"> szerint.</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Eredeti kitettség szerinti módszer (OEM) alapján</w:t>
            </w:r>
          </w:p>
          <w:p w:rsidR="000B0B09" w:rsidRPr="00661595" w:rsidRDefault="000B0B09" w:rsidP="00E871FE">
            <w:pPr>
              <w:rPr>
                <w:rFonts w:ascii="Times New Roman" w:hAnsi="Times New Roman"/>
                <w:bCs/>
                <w:sz w:val="24"/>
              </w:rPr>
            </w:pPr>
            <w:r>
              <w:rPr>
                <w:rFonts w:ascii="Times New Roman" w:hAnsi="Times New Roman"/>
                <w:bCs/>
                <w:sz w:val="24"/>
              </w:rPr>
              <w:t>A CRR 385. cikkének alkalmazási körébe tartozó</w:t>
            </w:r>
            <w:r>
              <w:rPr>
                <w:rFonts w:ascii="Times New Roman" w:hAnsi="Times New Roman"/>
                <w:sz w:val="24"/>
              </w:rPr>
              <w:t xml:space="preserve"> összegek.</w:t>
            </w:r>
          </w:p>
        </w:tc>
      </w:tr>
      <w:bookmarkEnd w:id="755"/>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6" w:name="_Toc58858714"/>
      <w:r>
        <w:rPr>
          <w:rFonts w:ascii="Times New Roman" w:hAnsi="Times New Roman"/>
          <w:sz w:val="24"/>
          <w:u w:val="none"/>
        </w:rPr>
        <w:t>6</w:t>
      </w:r>
      <w:r w:rsidRPr="00060762">
        <w:rPr>
          <w:rFonts w:ascii="Times New Roman" w:hAnsi="Times New Roman"/>
          <w:sz w:val="24"/>
          <w:u w:val="none"/>
        </w:rPr>
        <w:t>.</w:t>
      </w:r>
      <w:r w:rsidRPr="00060762">
        <w:rPr>
          <w:u w:val="none"/>
        </w:rPr>
        <w:tab/>
      </w:r>
      <w:r>
        <w:rPr>
          <w:rFonts w:ascii="Times New Roman" w:hAnsi="Times New Roman"/>
          <w:sz w:val="24"/>
        </w:rPr>
        <w:t>Prudens értékelés (PruVal)</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858715"/>
      <w:r>
        <w:rPr>
          <w:rFonts w:ascii="Times New Roman" w:hAnsi="Times New Roman"/>
          <w:sz w:val="24"/>
          <w:u w:val="none"/>
        </w:rPr>
        <w:t>6.1.</w:t>
      </w:r>
      <w:r w:rsidRPr="00060762">
        <w:rPr>
          <w:u w:val="none"/>
        </w:rPr>
        <w:tab/>
      </w:r>
      <w:r>
        <w:rPr>
          <w:rFonts w:ascii="Times New Roman" w:hAnsi="Times New Roman"/>
          <w:sz w:val="24"/>
        </w:rPr>
        <w:t>C 32.01 – Prudens értékelés: Valós értéken értékelt eszközök és kötelezettségek (PruVal 1)</w:t>
      </w:r>
      <w:bookmarkEnd w:id="757"/>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858716"/>
      <w:r>
        <w:rPr>
          <w:rFonts w:ascii="Times New Roman" w:hAnsi="Times New Roman"/>
          <w:sz w:val="24"/>
          <w:u w:val="none"/>
        </w:rPr>
        <w:t>6.1.1.</w:t>
      </w:r>
      <w:r w:rsidRPr="00060762">
        <w:rPr>
          <w:u w:val="none"/>
        </w:rPr>
        <w:tab/>
      </w:r>
      <w:r>
        <w:rPr>
          <w:rFonts w:ascii="Times New Roman" w:hAnsi="Times New Roman"/>
          <w:sz w:val="24"/>
        </w:rPr>
        <w:t>Általános megjegyzések</w:t>
      </w:r>
      <w:bookmarkEnd w:id="758"/>
      <w:r>
        <w:rPr>
          <w:rFonts w:ascii="Times New Roman" w:hAnsi="Times New Roman"/>
          <w:sz w:val="24"/>
          <w:u w:val="none"/>
        </w:rPr>
        <w:t xml:space="preserve"> </w:t>
      </w:r>
    </w:p>
    <w:p w:rsidR="00B828CC" w:rsidRPr="00661595" w:rsidRDefault="0055388B" w:rsidP="00487A02">
      <w:pPr>
        <w:pStyle w:val="InstructionsText2"/>
        <w:numPr>
          <w:ilvl w:val="0"/>
          <w:numId w:val="0"/>
        </w:numPr>
        <w:ind w:left="1353" w:hanging="360"/>
      </w:pPr>
      <w:fldSimple w:instr=" seq paragraphs ">
        <w:r w:rsidR="00D11E4C">
          <w:rPr>
            <w:noProof/>
          </w:rPr>
          <w:t>176</w:t>
        </w:r>
      </w:fldSimple>
      <w:r w:rsidR="00D11E4C">
        <w:t>. Ezt a táblát minden intézménynek ki kell töltenie függetlenül attól, hogy a kiegészítő értékelési korrekciók (AVA) meghatározásához az egyszerűsített módszert alkalmazza-e. Ebben a táblában a valós értéken értékelt eszközök és kötelezettségek abszolút értékét kell feltüntetni annak meghatározásához, hogy teljesülnek-e az (EU) 2016/101 felhatalmazáson alapuló bizottsági rendelet</w:t>
      </w:r>
      <w:r w:rsidR="00D11E4C">
        <w:rPr>
          <w:rStyle w:val="FootnoteReference"/>
        </w:rPr>
        <w:footnoteReference w:id="15"/>
      </w:r>
      <w:r w:rsidR="00D11E4C">
        <w:t xml:space="preserve"> 4. cikkében meghatározott azon feltételek, amelyek alapján a kiegészítő értékelési korrekciók meghatározásához az egyszerűsített módszer alkalmazható.</w:t>
      </w:r>
    </w:p>
    <w:p w:rsidR="00995A7F" w:rsidRPr="00661595" w:rsidRDefault="0055388B" w:rsidP="00487A02">
      <w:pPr>
        <w:pStyle w:val="InstructionsText2"/>
        <w:numPr>
          <w:ilvl w:val="0"/>
          <w:numId w:val="0"/>
        </w:numPr>
        <w:ind w:left="1353" w:hanging="360"/>
      </w:pPr>
      <w:fldSimple w:instr=" seq paragraphs ">
        <w:r w:rsidR="00D11E4C">
          <w:rPr>
            <w:noProof/>
          </w:rPr>
          <w:t>177</w:t>
        </w:r>
      </w:fldSimple>
      <w:r w:rsidR="00D11E4C">
        <w:t>. Az egyszerűsített módszert alkalmazó intézmények tekintetében ebben a táblában a CRR 34. és 105. cikke szerint a szavatolótőkéből levonandó kiegészítő értékelési korrekciók teljes összegét kell megadni, az (EU) 2016/101 felhatalmazáson alapuló rendelet 5. cikkében meghatározottak szerint, és az adatot a C 01.00 tábla 0290. sorában fel kell tüntetni.</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858717"/>
      <w:r>
        <w:rPr>
          <w:rFonts w:ascii="Times New Roman" w:hAnsi="Times New Roman"/>
          <w:sz w:val="24"/>
          <w:u w:val="none"/>
        </w:rPr>
        <w:t>6.1.2.</w:t>
      </w:r>
      <w:r w:rsidRPr="00060762">
        <w:rPr>
          <w:u w:val="none"/>
        </w:rPr>
        <w:tab/>
      </w:r>
      <w:r>
        <w:rPr>
          <w:rFonts w:ascii="Times New Roman" w:hAnsi="Times New Roman"/>
          <w:sz w:val="24"/>
        </w:rPr>
        <w:t>A tábla egyes részeire vonatkozó útmutató</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Oszlop</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VALÓS ÉRTÉKEN ÉRTÉKELT ESZKÖZÖK ÉS KÖTELEZETTSÉGEK</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 valós értéken értékelt eszközök és kötelezettségek abszolút értéke, ahogy az az intézmény alkalmazandó számviteli keret szerint elkészített pénzügyi kimutatásában szerepel, az (EU) 2016/101 felhatalmazáson alapuló rendelet 4. cikkének (1) bekezdésében említettek szerint, az (EU) 2016/101 felhatalmazáson alapuló rendelet 4. cikkének (2) bekezdése szerinti kizárások végrehajtása előtt.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EBBŐL: kereskedési könyv</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lastRenderedPageBreak/>
              <w:t xml:space="preserve">A valós értéken értékelt eszközök és kötelezettségek 010. oszlopban feltüntetett abszolút értéke, a kereskedési könyvben lévő pozícióknak megfelelően.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 CET1 TŐKÉRE GYAKOROLT RÉSZLEGES HATÁS MIATT KIZÁRT, VALÓS ÉRTÉKEN ÉRTÉKELT ESZKÖZÖK ÉS KÖTELEZETTSÉGEK</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Az (EU) 2016/101 felhatalmazáson alapuló rendelet 4. cikkének (2) bekezdése szerint kizárt valós értéken értékelt eszközök és kötelezettségek abszolút értéke.</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Pontosan megegyező</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Az (EU) 2016/101 felhatalmazáson alapuló rendelet 4. cikkének (2) bekezdése szerint kizárt, pontosan megegyező, valós értéken értékelt kiegyenlítő eszközök és kötelezettségek.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Fedezeti elszámolások</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Az alkalmazandó számviteli keret szerint fedezeti elszámolás alá tartozó pozíciók esetében az (EU) 2016/101 felhatalmazáson alapuló rendelet 4. cikke (2) bekezdésének megfelelően a CET1 tőkét befolyásoló értékváltozás hatásának mértékéig kizárt, valós értéken értékelt eszközök és kötelezettségek abszolút értéke.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PRUDENCIÁLIS szűrők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Az (EU) 2016/101 felhatalmazáson alapuló rendelet 4. cikke (2) bekezdésének megfelelően a CRR 467. és 468. cikkében említett prudenciális szűrők átmeneti alkalmazása miatt kizárt, valós értéken értékelt eszközök és kötelezettségek abszolút értéke.</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Egyéb</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4. cikke (2) bekezdésének megfelelően a számviteli értéküknek a CET1 tőkét csak részben befolyásoló kiigazítása miatt kizárt egyéb pozíciók.</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Ezt a sort azokban a ritka esetekben kell csak kitölteni, amikor az (EU) 2016/101 felhatalmazáson alapuló rendelet 4. cikke (2) bekezdésének megfelelően kizárt elemek nem rendelhetők hozzá a tábla 0030., 0040. vagy 0050. oszlopához.</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Az „Egyéb” tételre vonatkozó megjegyzések</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Meg kell adni a 0060. oszlopban feltüntetett pozíciók kizárásának fő okait.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 4. CIKK (1) BEKEZDÉSE SZERINTI KÜSZÖBÉRTÉKBE BELETARTOZÓ VALÓS ÉRTÉKEN ÉRTÉKELT ESZKÖZÖK ÉS KÖTELEZETTSÉGEK</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Az (EU) 2016/101 felhatalmazáson alapuló rendelet 4. cikke (1) bekezdésének megfelelően a küszöbérték számításába ténylegesen bevont valós értéken értékelt eszközök és kötelezettségek abszolút értéke.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EBBŐL: kereskedési könyv</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lastRenderedPageBreak/>
              <w:t>A valós értéken értékelt eszközök és kötelezettségek 0080. oszlopban feltüntetett abszolút értéke, a kereskedési könyvben lévő pozícióknak megfelelően.</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Sor</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E kategóriák definícióinak illeszkedniük kell az 1.1. és 1.2. FINREP tábla megfelelő sorainak definícióihoz.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VALÓS ÉRTÉKEN ÉRTÉKELT ESZKÖZÖK ÉS KÖTELEZETTSÉGEK ÖSSZESEN</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A 0020–0210. sorban feltüntetett valós értéken értékelt eszközök és kötelezettségek teljes összege.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VALÓS ÉRTÉKEN ÉRTÉKELT ESZKÖZÖK ÖSSZESEN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A 0030–0140. sorban feltüntetett valós értéken értékelt eszközök teljes összege.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A 0030–0130. sorok releváns mezőit az e végrehajtási rendelet III. és IV. mellékletének FINREP F 01.01. táblájával összhangban kell kitölteni, az intézmény alkalmazandó standardjai függvényében:</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rPr>
              <w:t>az 1606/2002/EK európai parlamenti és tanácsi rendelet alkalmazásában az Unió által jóváhagyott IFRS („EU IFRS”)</w:t>
            </w:r>
            <w:r>
              <w:rPr>
                <w:rStyle w:val="FootnoteReference"/>
                <w:rFonts w:ascii="Times New Roman" w:hAnsi="Times New Roman"/>
                <w:sz w:val="20"/>
                <w:szCs w:val="20"/>
                <w:vertAlign w:val="superscript"/>
              </w:rPr>
              <w:footnoteReference w:id="16"/>
            </w:r>
            <w:r>
              <w:rPr>
                <w:rFonts w:ascii="Times New Roman" w:hAnsi="Times New Roman"/>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az EU IFRS standardokkal kompatibilis nemzeti számviteli standardok („IFRS-kompatibilis nemzeti GAAP”); vagy</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a BAD irányelven alapuló nemzeti GAAP (FINREP „BAD alapján kidolgozott nemzeti GAAP”).</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KERESKEDÉSI CÉLLAL TARTOTT PÉNZÜGYI ESZKÖZÖK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A. függelék.</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01.01. táblája 0050.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KERESKEDÉSI CÉLÚ PÉNZÜGYI ESZKÖZÖK</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 BAD 32. és 33. cikke; E</w:t>
            </w:r>
            <w:r>
              <w:rPr>
                <w:rFonts w:ascii="Times New Roman" w:hAnsi="Times New Roman"/>
                <w:bCs/>
                <w:sz w:val="24"/>
              </w:rPr>
              <w:t xml:space="preserve"> végrehajtási rendelet V. mellékletének 1.17. része</w:t>
            </w:r>
            <w:r>
              <w:rPr>
                <w:rFonts w:ascii="Times New Roman" w:hAnsi="Times New Roman"/>
                <w:sz w:val="24"/>
              </w:rPr>
              <w:t xml:space="preserve">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Az ebben a sorban feltüntetett információ az eszközök valós értékének felel meg, amelyet az e végrehajtási rendelet III. és IV. melléklete F 01.01. táblája 0091. sorában feltüntetett érték tartalmaz.</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KÖTELEZŐEN AZ EREDMÉNNYEL SZEMBEN VALÓS ÉRTÉKEN ÉRTÉKELT, NEM KERESKEDÉSI CÉLÚ PÉNZÜGYI ESZKÖZÖK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IFRS 7 8. bekezdésének a) ii. pontja; IFRS 9 4.1.4. bekezdése.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01.01. táblája 0096.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AZ EREDMÉNNYEL SZEMBEN VALÓS ÉRTÉKEN ÉRTÉKELTNEK MEGJELÖLT PÉNZÜGYI ESZKÖZÖK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 8. bekezdésének a) i. pontja; IFRS 9 4.1.5. bekezdése; az AD 8. cikke (1) bekezdésének a) pontja, valamint 8. cikkének (6) bekezdése</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01.01. táblája 0100.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AZ EGYÉB ÁTFOGÓ JÖVEDELEMMEL SZEMBEN VALÓS ÉRTÉKEN ÉRTÉKELT PÉNZÜGYI ESZKÖZÖK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 8. bekezdésének h) pontja; IFRS 9 4.1.2A. bekezdése.</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01.01. táblája 0141.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EREDMÉNNYEL SZEMBEN VALÓS ÉRTÉKEN ÉRTÉKELT, NEM KERESKEDÉSI CÉLÚ, NEM SZÁRMAZTATOTT PÉNZÜGYI ESZKÖZÖK</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A BAD 36. cikkének (2) bekezdése. Az ebben a sorban feltüntetett információ megfelel az e végrehajtási rendelet III. és IV. melléklete F 01.01. táblája 0171.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 SAJÁT TŐKÉVEL SZEMBEN VALÓS ÉRTÉKEN ÉRTÉKELT, NEM KERESKEDÉSI CÉLÚ, NEM SZÁRMAZTATOTT PÉNZÜGYI ESZKÖZÖK</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Az AD 8. cikke (1) bekezdésének a) pontja és 8. cikkének (8) bekezdése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01.01. táblája 0175.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EGYÉB NEM KERESKEDÉSI CÉLÚ, NEM SZÁRMAZTATOTT PÉNZÜGYI ESZKÖZÖK</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 BAD 37. cikke; Az AD 12. cikkének (7) bekezdése; </w:t>
            </w:r>
            <w:r>
              <w:rPr>
                <w:rFonts w:ascii="Times New Roman" w:hAnsi="Times New Roman"/>
                <w:bCs/>
                <w:sz w:val="24"/>
              </w:rPr>
              <w:t>E végrehajtási rendelet V. mellékletének 1.20. része</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Az ebben a sorban feltüntetett információ az eszközök valós értékének felel meg, amelyet az e végrehajtási rendelet III. és IV. melléklete F 01.01. táblája 0234. sorában feltüntetett érték tartalmaz.</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SZÁRMAZTATOTT ÜGYLETEK – FEDEZETI ELSZÁMOLÁSOK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 6.2.1. bekezdése; </w:t>
            </w:r>
            <w:r>
              <w:rPr>
                <w:rFonts w:ascii="Times New Roman" w:hAnsi="Times New Roman"/>
                <w:bCs/>
                <w:sz w:val="24"/>
              </w:rPr>
              <w:t>E végrehajtási rendelet V. mellékletének 1.22. része</w:t>
            </w:r>
            <w:r>
              <w:rPr>
                <w:rFonts w:ascii="Times New Roman" w:hAnsi="Times New Roman"/>
                <w:sz w:val="24"/>
              </w:rPr>
              <w:t>; az AD 8. cikke (1) bekezdésének a) pontja, valamint 8. cikkének (6) és (8) bekezdése; IAS 39 9. bekezdése</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lastRenderedPageBreak/>
              <w:t>Az ebben a sorban feltüntetett információ megfelel az e végrehajtási rendelet III. és IV. melléklete F 01.01. táblája 0240. sorának.</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KAMATLÁBKOCKÁZATRA VONATKOZÓ PORTFÓLIÓFEDEZETI ÜGYLET SORÁN FEDEZETT TÉTELEK VALÓS ÉRTÉKÉNEK VÁLTOZÁSA</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IAS 39 89A. bekezdésének a) pontja; IFRS 9 6.5.8. bekezdése; Az AD 8. cikkének (5) és (6) bekezdése. Az ebben a sorban feltüntetett információ megfelel az e végrehajtási rendelet III. és IV. melléklete F 01.01. táblája 0250.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LEÁNYVÁLLALATOKBAN, KÖZÖS VÁLLALKOZÁSOKBAN ÉS TÁRSULT VÁLLALKOZÁSOKBAN LÉVŐ BEFEKTETÉSEK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IAS 1 54. bekezdésének e) pontja; </w:t>
            </w:r>
            <w:r>
              <w:rPr>
                <w:rFonts w:ascii="Times New Roman" w:hAnsi="Times New Roman"/>
                <w:bCs/>
                <w:sz w:val="24"/>
              </w:rPr>
              <w:t>E végrehajtási rendelet V. mellékletének 1.21. és 2.4. része</w:t>
            </w:r>
            <w:r>
              <w:rPr>
                <w:rFonts w:ascii="Times New Roman" w:hAnsi="Times New Roman"/>
                <w:sz w:val="24"/>
              </w:rPr>
              <w:t>; a BAD 4. cikkének 7. és 8. pontja; az AD 2. cikkének (2) bekezdése</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01.01. táblája 0260.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VALÓS ÉRTÉKEN ÉRTÉKELT, KERESKEDÉSI CÉLÚ ESZKÖZÖKRE VONATKOZÓ HAIRCUTOK</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E végrehajtási rendelet V. mellékletének 1.29. része</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01.01. táblája 0375.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VALÓS ÉRTÉKEN ÉRTÉKELT KÖTELEZETTSÉGEK ÖSSZESEN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A 0160–0210. sorban feltüntetett valós értéken értékelt kötelezettségek teljes összege.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A 0150–0190. sorok releváns mezőit az e végrehajtási rendelet III. és IV. mellékletének FINREP F 01.02. táblájával összhangban kell kitölteni, az intézmény alkalmazandó standardjai függvényében: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az 1606/2002/EK rendelet alkalmazásában az Unió által jóváhagyott IFRS („EU 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az EU IFRS standardokkal kompatibilis nemzeti számviteli standardok („IFRS-kompatibilis nemzeti GAAP”)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vagy a BAD irányelven alapuló nemzeti GAAP (FINREP „BAD alapján kidolgozott nemzeti GAAP”).</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KERESKEDÉSI CÉLLAL TARTOTT PÉNZÜGYI ESZKÖZÖK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 8. bekezdésének e) ii. pontja; IFRS 9 BA.6 bekezdése.</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01.02. táblája 0010.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KERESKEDÉSI CÉLÚ PÉNZÜGYI KÖTELEZETTSÉGEK</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lastRenderedPageBreak/>
              <w:t>Az AD 8. cikke (1) bekezdésének a) pontja, valamint 8. cikkének (3) és (6) bekezdése</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01.02. táblája 0061.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AZ EREDMÉNNYEL SZEMBEN VALÓS ÉRTÉKEN ÉRTÉKELTNEK MEGJELÖLT PÉNZÜGYI KÖTELEZETTSÉGEK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 8. bekezdésének e) i. pontja IFRS 9 4.2.2. bekezdése;</w:t>
            </w:r>
            <w:r>
              <w:rPr>
                <w:sz w:val="24"/>
              </w:rPr>
              <w:t xml:space="preserve"> </w:t>
            </w:r>
            <w:r>
              <w:rPr>
                <w:rFonts w:ascii="Times New Roman" w:hAnsi="Times New Roman"/>
                <w:sz w:val="24"/>
              </w:rPr>
              <w:t xml:space="preserve">Az AD 8. cikke (1) bekezdésének a) pontja, valamint 8. cikkének (6) bekezdése; IAS 39 9. bekezdése.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01.02. táblája 0070.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SZÁRMAZTATOTT ÜGYLETEK – FEDEZETI ELSZÁMOLÁSOK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 6.2.1. bekezdése; </w:t>
            </w:r>
            <w:r>
              <w:rPr>
                <w:rFonts w:ascii="Times New Roman" w:hAnsi="Times New Roman"/>
                <w:bCs/>
                <w:sz w:val="24"/>
              </w:rPr>
              <w:t>E végrehajtási rendelet V. mellékletének 1.26. része</w:t>
            </w:r>
            <w:r>
              <w:rPr>
                <w:rFonts w:ascii="Times New Roman" w:hAnsi="Times New Roman"/>
                <w:sz w:val="24"/>
              </w:rPr>
              <w:t>; az AD 8. cikke (1) bekezdésének a) pontja, 8. cikkének (6) bekezdése, valamint 8. cikke (8) bekezdésének a) pontja;</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Az ebben a sorban feltüntetett információ megfelel az e végrehajtási rendelet III. és IV. melléklete F 01.02. táblája 0150.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KAMATLÁBKOCKÁZATRA VONATKOZÓ PORTFÓLIÓFEDEZETI ÜGYLET SORÁN FEDEZETT TÉTELEK VALÓS ÉRTÉKÉNEK VÁLTOZÁSA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39 89A. bekezdésének b) pontja, IFRS 9 6.5.8. bekezdése; Az AD 8. cikkének (5) és (6) bekezdése; E végrehajtási rendelet V. mellékletének 2.8. része</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01.02. táblája 0160. sorának.</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VALÓS ÉRTÉKEN ÉRTÉKELT, KERESKEDÉSI CÉLÚ KÖTELEZETTSÉGEKRE VONATKOZÓ HAIRCUTOK</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E végrehajtási rendelet V. mellékletének 1.29. része</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Az ebben a sorban feltüntetett információ megfelel az e végrehajtási rendelet III. és IV. melléklete F 01.02. táblája 0295. sorának.</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858718"/>
      <w:r>
        <w:rPr>
          <w:rFonts w:ascii="Times New Roman" w:hAnsi="Times New Roman"/>
          <w:sz w:val="24"/>
          <w:u w:val="none"/>
        </w:rPr>
        <w:t>6.2.</w:t>
      </w:r>
      <w:r w:rsidRPr="00060762">
        <w:rPr>
          <w:u w:val="none"/>
        </w:rPr>
        <w:tab/>
      </w:r>
      <w:r>
        <w:rPr>
          <w:rFonts w:ascii="Times New Roman" w:hAnsi="Times New Roman"/>
          <w:sz w:val="24"/>
        </w:rPr>
        <w:t>C 32.02 – Prudens értékelés: Alapvető módszer (PruVal 2)</w:t>
      </w:r>
      <w:bookmarkEnd w:id="760"/>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858719"/>
      <w:r>
        <w:rPr>
          <w:rFonts w:ascii="Times New Roman" w:hAnsi="Times New Roman"/>
          <w:sz w:val="24"/>
          <w:u w:val="none"/>
        </w:rPr>
        <w:t>6.2.1.</w:t>
      </w:r>
      <w:r w:rsidRPr="00060762">
        <w:rPr>
          <w:u w:val="none"/>
        </w:rPr>
        <w:tab/>
      </w:r>
      <w:r>
        <w:rPr>
          <w:rFonts w:ascii="Times New Roman" w:hAnsi="Times New Roman"/>
          <w:sz w:val="24"/>
        </w:rPr>
        <w:t>Általános megjegyzések</w:t>
      </w:r>
      <w:bookmarkEnd w:id="761"/>
      <w:r>
        <w:rPr>
          <w:rFonts w:ascii="Times New Roman" w:hAnsi="Times New Roman"/>
          <w:sz w:val="24"/>
          <w:u w:val="none"/>
        </w:rPr>
        <w:t xml:space="preserve"> </w:t>
      </w:r>
    </w:p>
    <w:p w:rsidR="00B93FA1" w:rsidRPr="00661595" w:rsidRDefault="0055388B" w:rsidP="00487A02">
      <w:pPr>
        <w:pStyle w:val="InstructionsText2"/>
        <w:numPr>
          <w:ilvl w:val="0"/>
          <w:numId w:val="0"/>
        </w:numPr>
        <w:ind w:left="1353" w:hanging="360"/>
      </w:pPr>
      <w:fldSimple w:instr=" seq paragraphs ">
        <w:r w:rsidR="00D11E4C">
          <w:rPr>
            <w:noProof/>
          </w:rPr>
          <w:t>178</w:t>
        </w:r>
      </w:fldSimple>
      <w:r w:rsidR="00D11E4C">
        <w:t>. E tábla célja a CRR 34. és 105. cikke szerint a szavatolótőkéből levonandó kiegészítő értékelési korrekciók teljes összegének összetételére vonatkozó információt nyújtani, a kiegészítő értékelési korrekciók meghatározását indokolttá tevő pozíciók számviteli értékelésére vonatkozó releváns információk mellett.</w:t>
      </w:r>
    </w:p>
    <w:p w:rsidR="00B93FA1" w:rsidRPr="00661595" w:rsidRDefault="0055388B" w:rsidP="00487A02">
      <w:pPr>
        <w:pStyle w:val="InstructionsText2"/>
        <w:numPr>
          <w:ilvl w:val="0"/>
          <w:numId w:val="0"/>
        </w:numPr>
        <w:ind w:left="1353" w:hanging="360"/>
      </w:pPr>
      <w:fldSimple w:instr=" seq paragraphs ">
        <w:r w:rsidR="00D11E4C">
          <w:rPr>
            <w:noProof/>
          </w:rPr>
          <w:t>179</w:t>
        </w:r>
      </w:fldSimple>
      <w:r w:rsidR="00D11E4C">
        <w:t xml:space="preserve">. Ezt a táblát minden olyan intézménynek ki kell töltenie, amely: </w:t>
      </w:r>
    </w:p>
    <w:p w:rsidR="00B93FA1" w:rsidRPr="00661595" w:rsidRDefault="00B93FA1" w:rsidP="00487A02">
      <w:pPr>
        <w:pStyle w:val="InstructionsText2"/>
        <w:numPr>
          <w:ilvl w:val="0"/>
          <w:numId w:val="0"/>
        </w:numPr>
        <w:ind w:left="1353" w:hanging="360"/>
      </w:pPr>
      <w:r>
        <w:lastRenderedPageBreak/>
        <w:t>a) az alapvető módszert köteles használni az (EU) 2016/101 felhatalmazáson alapuló rendelet 4. cikkének (1) bekezdésében említett értékhatár akár egyedi, akár konszolidált alapon történő meghaladása miatt, az említett rendelet 4. cikkének (3) bekezdésében meghatározottak szerint, vagy</w:t>
      </w:r>
    </w:p>
    <w:p w:rsidR="00B93FA1" w:rsidRPr="00661595" w:rsidRDefault="00973707" w:rsidP="00487A02">
      <w:pPr>
        <w:pStyle w:val="InstructionsText2"/>
        <w:numPr>
          <w:ilvl w:val="0"/>
          <w:numId w:val="0"/>
        </w:numPr>
        <w:ind w:left="1353" w:hanging="360"/>
      </w:pPr>
      <w:r>
        <w:t xml:space="preserve">b) annak ellenére, hogy nem haladja meg az értékhatárt, az alapvető módszer alkalmazása mellett döntött. </w:t>
      </w:r>
    </w:p>
    <w:p w:rsidR="00973707" w:rsidRPr="00661595" w:rsidRDefault="0055388B" w:rsidP="00487A02">
      <w:pPr>
        <w:pStyle w:val="InstructionsText2"/>
        <w:numPr>
          <w:ilvl w:val="0"/>
          <w:numId w:val="0"/>
        </w:numPr>
        <w:ind w:left="1353" w:hanging="360"/>
      </w:pPr>
      <w:fldSimple w:instr=" seq paragraphs ">
        <w:r w:rsidR="00D11E4C">
          <w:rPr>
            <w:noProof/>
          </w:rPr>
          <w:t>180</w:t>
        </w:r>
      </w:fldSimple>
      <w:r w:rsidR="00D11E4C">
        <w:t>. E tábla alkalmazásában a „felső bizonytalansági érték” a következő: Az (EU) 2016/101 felhatalmazáson alapuló rendelet 8. cikke (2) bekezdésének meghatározása alapján a kiegészítő értékelési korrekciók kiszámítása a valós érték és egy olyan 90 %-os konfidenciaszinten meghatározott prudens érték különbözeteként történik, miszerint az intézmények a valószerű értékek névleges tartományán belül az adott ponton vagy annál jobban tudnak kilépni a kitettségből. A felső érték vagy „felső bizonytalansági érték” a valószerű értékek eloszlásában az ellentétes pont, amelynél az intézményeknek csak 10 %-os a konfidenciaszintjük azt illetően, hogy az adott ponton vagy annál jobban tudnak kilépni a pozícióból. A felső bizonytalansági érték kiszámításának és aggregálásának alapja ugyanaz, mint a kiegészítő értékelési korrekció teljes összegéé, de a kiegészítő értékelési korrekció teljes összegének meghatározásakor használt 90 %-ot fel kell váltani egy 10 %-os bizonyossági szinttel.</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858720"/>
      <w:r>
        <w:rPr>
          <w:rFonts w:ascii="Times New Roman" w:hAnsi="Times New Roman"/>
          <w:sz w:val="24"/>
          <w:u w:val="none"/>
        </w:rPr>
        <w:t>6.2.2.</w:t>
      </w:r>
      <w:r w:rsidRPr="00913E69">
        <w:rPr>
          <w:u w:val="none"/>
        </w:rPr>
        <w:tab/>
      </w:r>
      <w:r>
        <w:rPr>
          <w:rFonts w:ascii="Times New Roman" w:hAnsi="Times New Roman"/>
          <w:sz w:val="24"/>
          <w:u w:val="none"/>
        </w:rPr>
        <w:t>A tábla egyes részeire vonatkozó útmutató</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Oszlop</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KATEGÓRIASZINTŰ KIEGÉSZÍTŐ ÉRTÉKELÉSI KORREKCIÓ</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9–11. cikkében, illetve 14–17. cikkében leírtak szerint kell kiszámítani a piaci ár bizonytalanságával, a pozíciózárási költségekkel, a modellkockázattal, a koncentrált pozíciókkal, a jövőbeli adminisztratív költségekkel, a lejárat előtti visszaváltással és a működési kockázattal kapcsolatos kategóriaszintű kiegészítő értékelési korrekciókat.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 piaci ár bizonytalansága, a pozíciózárási költségek és a modellkockázat kategóriák esetében, amelyekre az (EU) 2016/101 felhatalmazáson alapuló rendelet 9. cikkének (6) bekezdésében, 10. cikkének (7) bekezdésében illetve 11. cikkének (7) bekezdésében meghatározottak szerint diverzifikációs előny vonatkozik, a kategóriaszintű kiegészítő értékelési korrekciókat eltérő rendelkezés hiányában úgy kell feltüntetni, mint az egyedi kiegészítő értékelési korrekciók egyszerű összege a diverzifikációs előny előtt [mivel az (EU) 2016/101 felhatalmazáson alapuló rendelet mellékletében szereplő 1. módszer vagy a 2. módszer használatával számított diverzifikációs nyereséget a tábla 1.1.2., 1.1.2.1. és 1.1.2.2. tételében kell feltüntetni].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A piaci ár bizonytalansága, a pozíciózárási költségek és a modellkockázat kategóriák esetében az (EU) 2016/101 felhatalmazáson alapuló rendelet 9. cikke (5) bekezdésének b) pontjában, 10. cikke (6) bekezdésének b) pontjában és 11. cikkének (4) bekezdésében említettek szerint a szakértői módszerrel kiszámított összegeket elkülönítve, a 0020., 0040. és 0060. oszlopban kell feltüntetni.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PIACI ÁR BIZONYTALANSÁGA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A CRR 105. cikkének (10) bekezdése.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9. cikkének megfelelően számított, a piaci ár bizonytalanságához kapcsolódó kiegészítő értékelési korrekciók.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SZAKÉRTŐI MÓDSZERREL SZÁMÍTVA</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9. cikke (5) bekezdése b) pontjának megfelelően számított, a piaci ár bizonytalanságához kapcsolódó kiegészítő értékelési korrekciók.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POZÍCIÓZÁRÁSI KÖLTSÉGEK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 CRR 105. cikkének (10) bekezdése.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Az (EU) 2016/101 felhatalmazáson alapuló rendelet 10. cikkének megfelelően számított, a pozíciózárási költségekhez kapcsolódó kiegészítő értékelési korrekciók.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SZAKÉRTŐI MÓDSZERREL SZÁMÍTVA</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10. cikke (6) bekezdése b) pontjának megfelelően számított, a pozíciózárási költségekhez kapcsolódó kiegészítő értékelési korrekciók.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MODELLKOCKÁZAT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Az (EU) 2016/101 felhatalmazáson alapuló rendelet 11. cikkének megfelelően számított, a modellkockázathoz kapcsolódó kiegészítő értékelési korrekciók.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SZAKÉRTŐI MÓDSZERREL SZÁMÍTVA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11. cikkének (4) bekezdése szerint számított, a modellkockázathoz kapcsolódó kiegészítő értékelési korrekciók.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CRR 105. cikkének (11) bekezdése</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14. cikkének megfelelően számított, a koncentrált pozíciókhoz kapcsolódó kiegészítő értékelési korrekciók.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JÖVŐBELI ADMINISZTRATÍV KÖLTSÉGEK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15. cikkének megfelelően számított, a jövőbeli adminisztratív költségekhez kapcsolódó kiegészítő értékelési korrekciók.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LEJÁRAT ELŐTTI VISSZAVÁLTÁS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Az (EU) 2016/101 felhatalmazáson alapuló rendelet 16. cikkének megfelelően számított, a lejárat előtti visszaváltáshoz kapcsolódó kiegészítő értékelési korrekciók.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MŰKÖDÉSI KOCKÁZAT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Az (EU) 2016/101 felhatalmazáson alapuló rendelet 17. cikkének megfelelően számított, működési kockázathoz kapcsolódó kiegészítő értékelési korrekciók.</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KIEGÉSZÍTŐ ÉRTÉKELÉSI KORREKCIÓ ÖSSZESEN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0010. sor: a CRR 34. és 105. cikke szerint a szavatolótőkéből levonandó kiegészítő értékelési korrekciók teljes összege, amelyet megfelelően a C 01.00 tábla 0290. sorában kell feltüntetni. A kiegészítő értékelési korrekciók teljes összege a 0030. és a 0180. sor összege.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0020. sor: A 0010. sorban feltüntetett kiegészítő értékelési korrekciók teljes összegének a kereskedési könyvi pozíciókból eredő része (abszolút érték).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0030–0160. sor: A 0010., 0030., 0050. és a 0070–0100. sor összege.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0180–0210. sor: A tartalékmódszer (fall-back-approach) szerinti portfóliókból eredő kiegészítő értékelési korrekciók teljes összege.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FELSŐ BIZONYTALANSÁGI ÉRTÉK</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Az (EU) 2016/101 felhatalmazáson alapuló rendelet </w:t>
            </w:r>
            <w:r>
              <w:rPr>
                <w:rStyle w:val="InstructionsTabelleberschrift"/>
                <w:rFonts w:ascii="Times New Roman" w:hAnsi="Times New Roman"/>
                <w:b w:val="0"/>
                <w:sz w:val="24"/>
                <w:u w:val="none"/>
              </w:rPr>
              <w:t>8. cikkének (2) bekezdése</w:t>
            </w:r>
            <w:r>
              <w:rPr>
                <w:rFonts w:ascii="Times New Roman" w:hAnsi="Times New Roman"/>
                <w:sz w:val="24"/>
              </w:rPr>
              <w: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felső bizonytalansági érték kiszámításának és aggregálásának alapja ugyanaz, mint a kiegészítő értékelési korrekció 0110. oszlopban számított teljes összegéé, de a kiegészítő értékelési korrekció teljes összegének meghatározásakor használt 90 %-ot fel kell váltani egy 10 %-os bizonyossági szinttel.</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 ÉS KÖTELEZETTSÉGEK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 valós értéken értékelt eszközöknek és kötelezettségeknek a kiegészítő értékelési korrekciók 0010–0130. és 0180. sorban feltüntetett értékeinek megfelelő abszolút értéke. Néhány sor, különösen a 0090–0130. sor esetében előfordulhat, hogy ezeket az összegeket szakértői megítélés alapján közelíteni vagy allokálni kell.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0010. sor: Az (EU) 2016/101 felhatalmazáson alapuló rendelet 4. cikkének (1) bekezdése szerinti küszöbérték-számításba bevont valós értéken értékelt eszközök és kötelezettségek teljes abszolút értéke. 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 és 0080. sorban.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A 0010. sor a 0030. és a 0180. sor összege.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0020. sor: A 0010. sorban feltüntetett valós értéken értékelt eszközök és kötelezettségek teljes abszolút értékének a kereskedési könyvi pozíciókból eredő része (abszolút érték).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0030. sor: Az (EU) 2016/101 felhatalmazáson alapuló rendelet 9–17. cikkében említett portfólióknak megfelelő, valós értéken értékelt eszközök és kötelezettségek abszolút értéke. 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 és 0080. sorban. A 0030. sor a 0090–0130. sor összege.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0050. sor: Nem realizált hitelkockázati felárral kapcsolatos kiegészítő értékelési korrekció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0060. sor: Befektetési és finanszírozási költségekkel kapcsolatos kiegészítő értékelési korrekció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0070. sor: Az (EU) 2016/101 felhatalmazáson alapuló rendelet 9. cikkének (2) bekezdésében említett nulla kiegészítő értékelési korrekcióval rendelkezőnek értékelt értékelési kitettségnek megfelelő, valós értéken értékelt eszközök és kötelezettségek abszolút értéke.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0080. sor: Az (EU) 2016/101 felhatalmazáson alapuló rendelet 10. cikkének (2) és (3) bekezdésében említett nulla kiegészítő értékelési korrekcióval rendelkezőnek értékelt értékelési kitettségnek megfelelő, valós értéken értékelt eszközök és kötelezettségek abszolút értéke.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0090–0130. sor: Az alábbiakban meghatározottak szerint (lásd a kapcsolódó sorokhoz tartozó útmutatót) allokált valós értéken értékelt eszközök és kötelezettségek abszolút értéke a következő kockázati kategóriáknak megfelelően: kamatláb, devizaárfolyam, hitel, részvény, áru. 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 és 0080. sorban.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0180. sor: A tartalékmódszer (fall-back approach) szerinti portfólióknak megfelelő valós értéken értékelt eszközök és kötelezettségek abszolút értéke.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b w:val="0"/>
                <w:sz w:val="24"/>
                <w:u w:val="none"/>
              </w:rPr>
              <w:t>A 0130–0140. oszlopra vonatkozó fenti útmutatóban kifejtettek szerint a különböző soroknak megfelelő valós értéken értékelt eszközök</w:t>
            </w:r>
            <w:r>
              <w:rPr>
                <w:rFonts w:ascii="Times New Roman" w:hAnsi="Times New Roman"/>
                <w:sz w:val="24"/>
              </w:rPr>
              <w:t xml:space="preserve"> abszolút értéke.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KÖTELEZETTSÉGEK</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 0130–0140. oszlopra vonatkozó fenti útmutatóban kifejtettek szerint a különböző soroknak megfelelő valós értéken értékelt kötelezettségek</w:t>
            </w:r>
            <w:r>
              <w:rPr>
                <w:rFonts w:ascii="Times New Roman" w:hAnsi="Times New Roman"/>
                <w:sz w:val="24"/>
              </w:rPr>
              <w:t xml:space="preserve"> abszolút értéke.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 BEVÉTEL</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0130–0140. oszlopra vonatkozó fenti útmutatóban kifejtettek szerint a különböző soroknak megfelelő valós értéken értékelt eszközökhöz és kötelezettségekhez</w:t>
            </w:r>
            <w:r>
              <w:rPr>
                <w:rStyle w:val="InstructionsTabelleberschrift"/>
                <w:rFonts w:ascii="Times New Roman" w:hAnsi="Times New Roman"/>
                <w:b w:val="0"/>
                <w:sz w:val="24"/>
                <w:u w:val="none"/>
              </w:rPr>
              <w:t xml:space="preserve"> rendelt, az utolsó adatszolgáltatási időpont óta keletkezett, aktuális negyedévi bevételek (QTD bevétel), adott esetben szakértői megítélés alapján allokálva vagy közelítve.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KÜLÖNBÖZET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CRR 105. cikke (8) bekezdésének megfelelően végrehajtott független árfelülvizsgálat keretében az adatszolgáltatási időponthoz legközelebb eső hónap végén kiszámított ki nem igazított különbözetek („IPV különbözet”) összes pozíciójának és kockázati tényezőjének összege, a releváns pozícióra vagy kockázati tényezőre vonatkozóan elérhető legjobb független adatok figyelembevételével.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ki nem igazított különbözetek a kereskedési rendszerek által generált értékelések és a havi IPV folyamat során értékelt értékelések közötti ki nem igazított különbözeteket jelentik.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VALÓSÉRTÉK-KORREKCIÓK</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számviteli valós értékében potenciálisan alkalmazott, néha „tartalékok”-ként hivatkozott korrekciók, amelyekre a könyv szerinti értékek generálásához használt értékelési modellen kívül kerül sor (kivéve az első napi nyereség és veszteség elhalasztását), és amely korrekciókról megállapítható, hogy ugyanarra az értékelési bizonytalansági forrásra vonatkozik, mint a releváns kiegészítő értékelési korrekció. Tükrözhetik az értékelési technikán belül figyelembe nem vett, kockázati prémium vagy kilépési költség formájában lévő kockázati tényezőket, és megfelelnek a valós érték definíciójának. Mindazonáltal a piaci szereplőknek az árképzéskor figyelembe kell venniük ezeket a korrekciókat. (IFRS 13 9. bekezdése és IFRS 13 88. bekezdése)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PIACI ÁR BIZONYTALANSÁGA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 valós értékében abból a célból alkalmazott korrekció, hogy tükrözze egyenértékű eszközök, vagy – az értékelési modellhez való piaciparaméter-input tekintetében –az input kalibrálásához felhasznált eszközök megfigyelt ártartományának meglétéből eredő kockázati prémiumot, és amely korrekcióról így megállapítható, hogy ugyanarra az értékelési bizonytalansági forrásra vonatkozik, mint a piaci ár bizonytalanságával kapcsolatos kiegészítő értékelési korrekció.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POZÍCIÓZÁRÁSI KÖLTSÉGEK</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Az intézmény valós értékében azon tény figyelembevétele érdekében alkalmazott korrekció, hogy a pozíciószintű értékelések nem tükrözik a pozícióra vagy portfólióra vonatkozó kilépési árat, különösen, ha az ilyen értékeléseket piaci középárfolyamra kalibrálják, és amely korrekcióról így megállapítható, hogy ugyanarra az értékelési bizonytalansági forrásra vonatkozik,</w:t>
            </w:r>
            <w:r>
              <w:rPr>
                <w:rFonts w:ascii="Times New Roman" w:hAnsi="Times New Roman"/>
                <w:sz w:val="24"/>
              </w:rPr>
              <w:t xml:space="preserve"> mint a pozíciózárási költségekkel kapcsolatos kiegészítő értékelési korrekció</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MODELLKOCKÁZAT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abból a célból alkalmazott korrekció, hogy tükrözzön olyan piaci vagy terméktényezőket, amelyeket a napi pozícióértékek és -kockázatok kiszámításához használt modell (értékelési modell) nem vesz figyelembe, vagy hogy megfelelő szintű óvatosságot tükrözzön, tekintettel különböző alternatív érvényes modellek és modellkalibrációk meglétéből eredő bizonytalanságra, és amely korrekcióról így megállapítható, hogy ugyanarra az értékelési bizonytalansági forrásra vonatkozik,</w:t>
            </w:r>
            <w:r>
              <w:rPr>
                <w:rFonts w:ascii="Times New Roman" w:hAnsi="Times New Roman"/>
                <w:sz w:val="24"/>
              </w:rPr>
              <w:t xml:space="preserve"> mint a modellkockázattal kapcsolatos kiegészítő értékelési korrekció</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tény tükrözése céljából alkalmazott korrekció, hogy az intézménynél lévő aggregált pozíció nagyobb, mint a normál kereskedett volumen, vagy nagyobb azon pozícióméreteknél, amelyeken az értékelési modell által használt árak vagy inputok kalibrálásához használt megfigyelhető árjegyzések vagy ügyletek alapulnak, és amely korrekcióról így megállapítható, hogy ugyanarra az értékelési bizonytalansági forrásra vonatkozik,</w:t>
            </w:r>
            <w:r>
              <w:rPr>
                <w:rFonts w:ascii="Times New Roman" w:hAnsi="Times New Roman"/>
                <w:sz w:val="24"/>
              </w:rPr>
              <w:t xml:space="preserve"> mint a koncentrált pozíciókkal kapcsolatos kiegészítő értékelési korrekció</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NEM REALIZÁLT HITELKOCKÁZATI FELÁR</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Az intézmény valós értékében a származtatott pozíciók partner általi nemteljesítéséből fakadó várható veszteségek fedezése céljából alkalmazott korrekció (azaz teljes hitelértékelési korrekció (CVA) intézményi szinten).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BEFEKTETÉSI ÉS FINANSZÍROZÁSI KÖLTSÉGEK</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 kompenzálás érdekében alkalmazott korrekció, amennyiben az értékelési modellek nem tükrözik teljes mértékben a finanszírozási költséget, amelyet a piaci szereplők egy pozíció vagy portfólió kilépési árában figyelembe vennének (azaz a finanszírozási értékelési korrekció intézményi szinten, ha az intézmény ilyen, vagy esetleg egyenértékű korrekciót számít).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JÖVŐBELI ADMINISZTRATÍV KÖLTSÉGEK</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adminisztratív költségek tükrözése céljából alkalmazott korrekció, amelyek a portfólió vagy pozíció kapcsán felmerülnek, de amelyeket nem vesz figyelembe az értékelési modell vagy a modell inputjainak kalibrálásához használt árak, és amely korrekcióról így megállapítható, hogy ugyanarra az értékelési bizonytalansági forrásra vonatkozik, mint a jövőbeli adminisztratív költségekkel kapcsolatos kiegészítő értékelési korrekció.</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LEJÁRAT ELŐTTI VISSZAVÁLTÁS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 valós értékében azon szerződéses vagy nem szerződéses lejárat előtti visszaváltásra vonatkozó várakozások tükrözése érdekben alkalmazott korrekció, amelyeket nem vesz figyelembe az értékelési modell, és amely korrekcióról így megállapítható, hogy ugyanarra az értékelési bizonytalansági forrásra vonatkozik, mint a lejárat előtti visszaváltással kapcsolatos kiegészítő értékelési korrekció.</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MŰKÖDÉSI KOCKÁZAT</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Az intézmény valós értékében azon kockázati prémium tükrözése érdekében alkalmazott korrekció, amelyet a piaci szereplők felszámítanának a portfólióban lévő szerződések fedezéséből, adminisztrációjából és elszámolásából eredő működési kockázatok kompenzációja céljából, és amely korrekcióról így megállapítható, hogy ugyanarra az értékelési bizonytalansági forrásra vonatkozik, mint a működési kockázattal kapcsolatos kiegészítő értékelési korrekció.</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 NAPI EREDMÉNY</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esetek tükrözése céljából alkalmazott korrekciók, amelyekben az értékelési modell plusz a pozícióra vagy portfólióra alkalmazandó összes többi releváns valósérték-korrekció nem vette figyelembe az első napi megjelenítéskor fizetett vagy kapott árat, azaz az első napi nyereségek és veszteségek elhalasztását (IFRS 9 B5.1.2A. bekezdés).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MAGYARÁZAT</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Az (EU) 2016/101 felhatalmazáson alapuló rendelet 7. cikke (2) bekezdésének b) pontja szerint kezelt pozíciók leírása, és annak magyarázata, hogy miért nem volt lehetséges a rendelet 9–17. cikkének az alkalmazása.</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Sor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ALAPVETŐ MÓDSZER ÖSSZESEN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7. cikkének (2) bekezdése.</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 0010–0110. oszlopban említett kiegészítő értékelési korrekciók minden egyes releváns kategóriájára vonatkozóan az (EU) 2016/101 felhatalmazáson alapuló rendelet 3. fejezetében meghatározott alapvető módszer szerint kiszámított kiegészítő értékelési korrekciók teljes összege az említett rendelet 4. cikkének (1) bekezdése szerinti értékhatár-számításba bevont valós értéken értékelt eszközökre és kötelezettségekre vonatkozóan. Ez magában foglalja az (EU) 2016/101 felhatalmazáson alapuló rendelet 9. cikkének (6) bekezdésével, 10. cikkének (7) bekezdésével és 11. cikkének (7) bekezdésével összhangban a 0140. sorban feltüntetett diverzifikációs nyereséget.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KERESKEDÉSI KÖNYV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7. cikkének (2) bekezdése.</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lastRenderedPageBreak/>
              <w:t>A 0010–0110. oszlopban említett kiegészítő értékelési korrekciók minden egyes releváns kategóriájára vonatkozóan a 0010. sorban feltüntetett kiegészítő értékelési korrekciók teljes összegének a kereskedési könyvi pozíciókból eredő része (abszolút érték).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AZ (EU) 2016/101 FELHATALMAZÁSON ALAPULÓ BIZOTTSÁGI RENDELET 9–17. CIKKE SZERINTI PORTFÓLIÓK – KATEGÓRIASZINTŰ ÖSSZESÍTÉS DIVERZIFIKÁCIÓ UTÁN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7. cikke (2) bekezdésének a) pontja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 0010–0110. oszlopban említett kiegészítő értékelési korrekciók minden egyes releváns kategóriájára vonatkozóan az (EU) 2016/101 felhatalmazáson alapuló rendelet 9–17. cikke szerint számított kiegészítő értékelési korrekciók teljes összege az említett rendelet 4. cikkének (1) bekezdése szerinti értékhatár-számításba bevont valós értéken értékelt eszközökre és kötelezettségekre vonatkozóan, kivéve az (EU) 2016/101 felhatalmazáson alapuló rendelet 7. cikke (2) bekezdésének b) pontjában leírt kezelés alá tartozó valós értéken értékelt eszközöket és kötelezettségeket.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Ez magában foglalja az (EU) 2016/101 felhatalmazáson alapuló rendelet 12. és 13. cikke szerint számított, a 0050. és 0060. sorban feltüntetett kiegészítő értékelési korrekciókat, amelyeket az említett rendelet 12. cikkének (2) bekezdésében és 13. cikkének (2) bekezdésében meghatározottak szerint tartalmaznak a piaci ár bizonytalanságával kapcsolatos, a pozíciózárási költségekkel kapcsolatos, és a modellkockázattal kapcsolatos kiegészítő értékelési korrekciók.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Ez magában foglalja az (EU) 2016/101 felhatalmazáson alapuló rendelet 9. cikkének (6) bekezdésével, 10. cikkének (7) bekezdésével és 11. cikkének (7) bekezdésével összhangban a 0140. sorban feltüntetett diverzifikációs nyereséget.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A 0030. sornak a 0040. és 0140. sor különbözetének kell lennie.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KATEGÓRIASZINTŰ ÖSSZESÍTÉS DIVERZIFIKÁCIÓ ELŐTT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 0090–0130. sor esetében az intézményeknek az (EU) 2016/101 felhatalmazáson alapuló rendelet 4. cikkének (1) bekezdése szerinti értékhatár-számításba bevont (kereskedési könyvi és nem kereskedési könyvi) valós értéken értékelt eszközeiket és kötelezettségeiket a következő kockázati kategóriákhoz kell allokálniuk: kamatláb, devizaárfolyam, hitel, részvény, áru.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Az intézmények e célból belső kockázatkezelési struktúrájukra támaszkodnak, és a szakértői megítélés alapján kidolgozott hozzárendelést követve üzletágaikat vagy kereskedési egységeiket a legmegfelelőbb kockázati kategóriához rendelik. Az allokált üzletágaknak vagy kereskedési egységeknek megfelelő kiegészítő értékelési korrekciókat, valósérték-korrekciókat és egyéb előírt információkat ugyanazon releváns kockázati kategóriába kell allokálni, hogy a sorok szintjén minden egyes kockázati kategória esetében biztosított legyen mind a prudenciális célból, mind a számviteli célból végrehajtott korrekciók következetes áttekintése, valamint az érintett pozíciók nagyságának megjelölése (a valós értéken értékelt eszközök és kötelezettségek szempontjából). Amennyiben a kiegészítő értékelési </w:t>
            </w:r>
            <w:r>
              <w:rPr>
                <w:rFonts w:ascii="Times New Roman" w:hAnsi="Times New Roman"/>
                <w:sz w:val="24"/>
              </w:rPr>
              <w:lastRenderedPageBreak/>
              <w:t xml:space="preserve">korrekciókat vagy egyéb korrekciókat eltérő aggregálási szinte számítják, mindenekelőtt a vállalkozás szintjén, az intézményeknek ki kell dolgozniuk egy allokációs módszert a kiegészítő értékelési korrekcióknak a releváns pozícióhalmazokhoz való rendeléséhez. Az allokációs módszernek azt kell eredményeznie, hogy a 0040. sor a 0050–0130. sorok összege legyen a 0010–0100. oszlop esetében.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Az alkalmazott módszertől függetlenül a feltüntetett információknak a lehető legnagyobb mértékben következetesnek kell lenniük a sorok szintjén, mivel a megadott információk ezen a szinten kerülnek összehasonlításra (kiegészítő értékelési korrekciók összegei, felső bizonytalansági érték, valósérték-összegek és potenciális valósérték-korrekciók).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0090–0130. sor szerinti bontás nem foglalja magában az (EU) 2016/101 felhatalmazáson alapuló rendelet 12. és 13. cikke alapján számított, a 0050. és 0060. sorban feltüntetett kiegészítő értékelési korrekciókat, amelyeket az említett rendelet 12. cikkének (2) bekezdésében és 13. cikkének (2) bekezdésében meghatározottak szerint tartalmaznak a piaci ár bizonytalanságával kapcsolatos, a pozíciózárási költségekkel kapcsolatos, és a modellkockázattal kapcsolatos kiegészítő értékelési korrekciók.</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 diverzifikációs nyereségek az (EU) 2016/101 felhatalmazáson alapuló rendelet 9. cikkének (6) bekezdésével, 10. cikkének (7) bekezdésével és 11. cikkének (7) bekezdésével összhangban a 0140. sorban vannak feltüntetve, ezért nem szerepelnek a 0040–0130. sorban.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EBBŐL: NEM REALIZÁLT HITELKOCKÁZATI FELÁR KIEGÉSZÍTŐ ÉRTÉKELÉSI KORREKCIÓJA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CRR 105. cikkének (10) bekezdése, az (EU) 2016/101 felhatalmazáson alapuló rendelet 12. cikke.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 nem realizált hitelkockázati felárra vonatkozóan kiszámított kiegészítő értékelési korrekció teljes összege, és az (EU) 2016/101 felhatalmazáson alapuló rendelet 12. cikk szerinti allokációja a piaci ár bizonytalanságával, a pozíciózárási költségekkel és a modellkockázattal kapcsolatos kiegészítő értékelési korrekciók között.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0110. oszlop: A kiegészítő értékelési korrekciók teljes összege csak tájékoztatásul szerepel, mivel a piaci ár bizonytalanságával, a pozíciózárási költségekkel és a modellkockázattal kapcsolatos kiegészítő értékelési korrekciók közötti allokációjának eredményeképp – a diverzifikációs nyereségek figyelembevétele után – a vonatkozó kategóriaszintű kiegészítő értékelési korrekciók alá kerül.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0130. és 0140. oszlop: Nem realizált hitelkockázati felárral kapcsolatos kiegészítő értékelési korrekciók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BEFEKTETÉSI ÉS FINANSZÍROZÁSI KÖLTSÉGEK KIEGÉSZÍTŐ ÉRTÉKELÉSI KORREKCIÓJA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lastRenderedPageBreak/>
              <w:t>A CRR 105. cikkének (10) bekezdése, az (EU) 2016/101 felhatalmazáson alapuló rendelet 17. cikke.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 befektetési és finanszírozási költségekre vonatkozóan kiszámított kiegészítő értékelési korrekció teljes összege, és az (EU) 2016/101 felhatalmazáson alapuló rendelet 13. cikk szerinti allokációja a piaci ár bizonytalanságával, a pozíciózárási költségekkel és a modellkockázattal kapcsolatos kiegészítő értékelési korrekciók között.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0110. oszlop: A kiegészítő értékelési korrekciók teljes összege csak tájékoztatásul szerepel, mivel a piaci ár bizonytalanságával, a pozíciózárási költségekkel és a modellkockázattal kapcsolatos kiegészítő értékelési korrekciók közötti allokációjának eredményeképp – a diverzifikációs nyereségek figyelembevétele után – a vonatkozó kategóriaszintű kiegészítő értékelési korrekciók alá kerül.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0130. és 0140. oszlop: Befektetési és finanszírozási költségekkel kapcsolatos kiegészítő értékelési korrekció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w:t>
            </w:r>
            <w:r>
              <w:rPr>
                <w:rFonts w:ascii="Times New Roman" w:hAnsi="Times New Roman"/>
                <w:b/>
                <w:caps/>
                <w:sz w:val="24"/>
              </w:rPr>
              <w:t>AZ (EU) 2016/101 felhatalmazáson alapuló rendelet</w:t>
            </w:r>
            <w:r>
              <w:rPr>
                <w:rFonts w:ascii="Times New Roman" w:hAnsi="Times New Roman"/>
                <w:b/>
                <w:sz w:val="24"/>
                <w:u w:val="single"/>
              </w:rPr>
              <w:t xml:space="preserve"> 9. CIKKÉNEK (2) BEKEZDÉSE SZERINT NULLA ÉRTÉKKEL ÉRTÉKELT KIEGÉSZÍTŐ ÉRTÉKELÉSI KORREKCIÓ</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Az (EU) 2016/101 felhatalmazáson alapuló rendelet 9. cikkének (2) bekezdése szerint nulla kiegészítő értékelési korrekcióval rendelkezőnek értékelt értékelési kitettségnek megfelelő, valós értéken értékelt eszközök és kötelezettségek abszolút értéke.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EBBŐL: </w:t>
            </w:r>
            <w:r>
              <w:rPr>
                <w:rFonts w:ascii="Times New Roman" w:hAnsi="Times New Roman"/>
                <w:b/>
                <w:caps/>
                <w:sz w:val="24"/>
              </w:rPr>
              <w:t>AZ (EU) 2016/101 felhatalmazáson alapuló rendelet</w:t>
            </w:r>
            <w:r>
              <w:rPr>
                <w:rFonts w:ascii="Times New Roman" w:hAnsi="Times New Roman"/>
                <w:b/>
                <w:sz w:val="24"/>
                <w:u w:val="single"/>
              </w:rPr>
              <w:t>10. CIKKÉNEK (2) ÉS (3) BEKEZDÉSE SZERINT NULLA ÉRTÉKKEL ÉRTÉKELT KIEGÉSZÍTŐ ÉRTÉKELÉSI KORREKCIÓ</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10. cikkének (2) bekezdése vagy 10. cikkének (3) bekezdése szerint nulla kiegészítő értékelési korrekcióval rendelkezőnek értékelt értékelési kitettségnek megfelelő, valós értéken értékelt eszközök és kötelezettségek abszolút értéke.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KAMATOK</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DEVIZA</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HITEL</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RÉSZVÉNYEK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ÁRUK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Diverzifikációs előnyök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 diverzifikációs nyereség teljes összege. A 0150. és 0160. sor összege.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Az 1. módszerrel számított diverzifikációs előny</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9. cikkének (6) bekezdésével, 10. cikkének (7) bekezdésével és 11. cikkének (6) bekezdésével összhangban a kiegészítő értékelési korrekciók 1. módszer szerint összesített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A 2. módszerrel számított diverzifikációs előny</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9. cikkének (6) bekezdésével, 10. cikkének (7) bekezdésével és 11. cikkének (6) bekezdésével összhangban a kiegészítő értékelési korrekciók 2. módszer szerint összesített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Tájékoztató adat: Diverzifikáció előtti kiegészítő értékelési korrekciók, amelyek 90 %-ot meghaladó mértékben csökkennek a 2. módszer szerinti diverzifikációval</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A 2. módszer terminológiájában a FV – PV összege minden értékelési kitettség esetében, amelyeknél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A tartalékmódszer (fall-back approach) szerinti portfóliók</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Az (EU) 2016/101 felhatalmazáson alapuló rendelet 7. cikke (2) bekezdésének b) pontja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Az (EU) 2016/101 felhatalmazáson alapuló rendelet 7. cikke (2) bekezdésének b) pontja szerinti tartalékmódszer alá tartozó portfóliók esetében a teljes kiegészítő értékelési korrekciót a 0190., 0200. és a 0210. sor összegeként kell kiszámítani.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 vonatkozó mérleg- és egyéb háttérinformációkat a 0130–0260. oszlopban kell megadni. A pozíciók leírását és annak magyarázatát, hogy miért nem volt lehetséges az (EU) 2016/101 felhatalmazáson alapuló rendelet 9–17. cikkének alkalmazása, a 0270. oszlopban kell megadni.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Tartalékmódszer (fall-back approach); a nem realizált nyereség 100 %-a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7. cikke (2) bekezdése b) pontjának i. alpontja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Tartalékmódszer (fall-back approach); a névleges érték 10 %-a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7. cikke (2) bekezdése b) pontjának ii. alpontja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Tartalékmódszer (fall-back approach); a kezdeti érték 25 %-a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Az (EU) 2016/101 felhatalmazáson alapuló rendelet 7. cikke (2) bekezdése b) pontjának iii. alpontja</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3" w:name="_Toc58858721"/>
      <w:r>
        <w:rPr>
          <w:rFonts w:ascii="Times New Roman" w:hAnsi="Times New Roman"/>
          <w:sz w:val="24"/>
          <w:u w:val="none"/>
        </w:rPr>
        <w:t xml:space="preserve">6.3. </w:t>
      </w:r>
      <w:r>
        <w:rPr>
          <w:rFonts w:ascii="Times New Roman" w:hAnsi="Times New Roman"/>
          <w:sz w:val="24"/>
        </w:rPr>
        <w:t>C 32.03 – Prudens értékelés: Modellkockázat kiegészítő értékelési korrekciója (PruVal 3)</w:t>
      </w:r>
      <w:bookmarkEnd w:id="763"/>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858722"/>
      <w:r>
        <w:rPr>
          <w:rFonts w:ascii="Times New Roman" w:hAnsi="Times New Roman"/>
          <w:sz w:val="24"/>
          <w:u w:val="none"/>
        </w:rPr>
        <w:t>6.3.1.</w:t>
      </w:r>
      <w:r w:rsidRPr="00913E69">
        <w:rPr>
          <w:u w:val="none"/>
        </w:rPr>
        <w:tab/>
      </w:r>
      <w:r>
        <w:rPr>
          <w:rFonts w:ascii="Times New Roman" w:hAnsi="Times New Roman"/>
          <w:sz w:val="24"/>
        </w:rPr>
        <w:t>Általános megjegyzések</w:t>
      </w:r>
      <w:bookmarkEnd w:id="764"/>
      <w:r>
        <w:rPr>
          <w:rFonts w:ascii="Times New Roman" w:hAnsi="Times New Roman"/>
          <w:sz w:val="24"/>
          <w:u w:val="none"/>
        </w:rPr>
        <w:t xml:space="preserve"> </w:t>
      </w:r>
    </w:p>
    <w:p w:rsidR="00AF3D7A" w:rsidRPr="00661595" w:rsidRDefault="0055388B" w:rsidP="00487A02">
      <w:pPr>
        <w:pStyle w:val="InstructionsText2"/>
        <w:numPr>
          <w:ilvl w:val="0"/>
          <w:numId w:val="0"/>
        </w:numPr>
        <w:ind w:left="1353" w:hanging="360"/>
      </w:pPr>
      <w:fldSimple w:instr=" seq paragraphs ">
        <w:r w:rsidR="00D11E4C">
          <w:rPr>
            <w:noProof/>
          </w:rPr>
          <w:t>181</w:t>
        </w:r>
      </w:fldSimple>
      <w:r w:rsidR="00D11E4C">
        <w:t>. Ezt a táblát kizárólag olyan intézményeknek kell kitölteniük, amelyek saját szintjükön meghaladják az (EU) 2016/101 felhatalmazáson alapuló rendelet 4. cikkének (1) bekezdésében említett értékhatárt. A valamely, az értékhatárt konszolidált szinten meghaladó csoport részét képező intézményeknek csak akkor kell kitölteniük ezt a táblát, ha a saját szintjükön is meghaladják az értékhatárt.</w:t>
      </w:r>
    </w:p>
    <w:p w:rsidR="00AF3D7A" w:rsidRPr="00661595" w:rsidRDefault="0055388B" w:rsidP="00487A02">
      <w:pPr>
        <w:pStyle w:val="InstructionsText2"/>
        <w:numPr>
          <w:ilvl w:val="0"/>
          <w:numId w:val="0"/>
        </w:numPr>
        <w:ind w:left="1353" w:hanging="360"/>
      </w:pPr>
      <w:fldSimple w:instr=" seq paragraphs ">
        <w:r w:rsidR="00D11E4C">
          <w:rPr>
            <w:noProof/>
          </w:rPr>
          <w:t>182</w:t>
        </w:r>
      </w:fldSimple>
      <w:r w:rsidR="00D11E4C">
        <w:t>. Ebben a táblában az (EU) 2016/101 felhatalmazáson alapuló rendelet 11. cikkével összhangban kiszámított teljes kategóriaszintű, modellkockázattal kapcsolatos kiegészítő értékelési korrekcióhoz hozzájáruló, a kiegészítő értékelési korrekció összegét tekintve első 20 egyedi, modellkockázattal kapcsolatos kiegészítő értékelési korrekció részleteit kell feltüntetni. Ez az információ megfelel a C 32.02. tábla 0050. oszlopában megadott információknak.</w:t>
      </w:r>
    </w:p>
    <w:p w:rsidR="00AF3D7A" w:rsidRPr="00661595" w:rsidRDefault="0055388B" w:rsidP="00487A02">
      <w:pPr>
        <w:pStyle w:val="InstructionsText2"/>
        <w:numPr>
          <w:ilvl w:val="0"/>
          <w:numId w:val="0"/>
        </w:numPr>
        <w:ind w:left="1353" w:hanging="360"/>
      </w:pPr>
      <w:fldSimple w:instr=" seq paragraphs ">
        <w:r w:rsidR="00D11E4C">
          <w:rPr>
            <w:noProof/>
          </w:rPr>
          <w:t>183</w:t>
        </w:r>
      </w:fldSimple>
      <w:r w:rsidR="00D11E4C">
        <w:t xml:space="preserve">. Az első 20 egyedi, modellkockázattal kapcsolatos kiegészítő értékelési korrekciót és a kapcsolódó termékinformációkat csökkenő sorrendben, a legnagyobb egyedi, modellkockázattal kapcsolatos kiegészítő értékelési korrekcióval kezdve kell feltüntetni. </w:t>
      </w:r>
    </w:p>
    <w:p w:rsidR="00AF3D7A" w:rsidRPr="00661595" w:rsidRDefault="0055388B" w:rsidP="00487A02">
      <w:pPr>
        <w:pStyle w:val="InstructionsText2"/>
        <w:numPr>
          <w:ilvl w:val="0"/>
          <w:numId w:val="0"/>
        </w:numPr>
        <w:ind w:left="1353" w:hanging="360"/>
      </w:pPr>
      <w:fldSimple w:instr=" seq paragraphs ">
        <w:r w:rsidR="00D11E4C">
          <w:rPr>
            <w:noProof/>
          </w:rPr>
          <w:t>184</w:t>
        </w:r>
      </w:fldSimple>
      <w:r w:rsidR="00D11E4C">
        <w:t xml:space="preserve">. Az ezen legnagyobb egyedi, modellkockázattal kapcsolatos kiegészítő értékelési korrekcióknak megfelelő termékeket az (EU) 2016/101 felhatalmazáson alapuló rendelet 19. cikke (3) bekezdésének a) pontjában előírt termékleltár használatával kell feltüntetni. </w:t>
      </w:r>
    </w:p>
    <w:p w:rsidR="00AF3D7A" w:rsidRPr="00661595" w:rsidRDefault="0055388B" w:rsidP="00487A02">
      <w:pPr>
        <w:pStyle w:val="InstructionsText2"/>
        <w:numPr>
          <w:ilvl w:val="0"/>
          <w:numId w:val="0"/>
        </w:numPr>
        <w:ind w:left="1353" w:hanging="360"/>
      </w:pPr>
      <w:fldSimple w:instr=" seq paragraphs ">
        <w:r w:rsidR="00D11E4C">
          <w:rPr>
            <w:noProof/>
          </w:rPr>
          <w:t>185</w:t>
        </w:r>
      </w:fldSimple>
      <w:r w:rsidR="00D11E4C">
        <w:t>. Amennyiben a termékek az értékelési modell és a modellkockázattal kapcsolatos kiegészítő értékelési korrekció tekintetében kellően homogének, össze kell vonni és egyetlen soron kell bemutatni őket, hogy az intézmény teljes kategóriaszintű, modellkockázattal kapcsolatos kiegészítő értékelési korrekciójára vonatkozóan maximalizálni lehessen e tábla lefedettségét.</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5" w:name="_Toc58858723"/>
      <w:r>
        <w:rPr>
          <w:rFonts w:ascii="Times New Roman" w:hAnsi="Times New Roman"/>
          <w:sz w:val="24"/>
          <w:u w:val="none"/>
        </w:rPr>
        <w:t>6.3.2.</w:t>
      </w:r>
      <w:r w:rsidRPr="00913E69">
        <w:rPr>
          <w:u w:val="none"/>
        </w:rPr>
        <w:tab/>
      </w:r>
      <w:r>
        <w:rPr>
          <w:rFonts w:ascii="Times New Roman" w:hAnsi="Times New Roman"/>
          <w:sz w:val="24"/>
        </w:rPr>
        <w:t>A tábla egyes részeire vonatkozó útmutató</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Oszlop</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BESOROLÁS</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A besorolás egy sorazonosító, amely a tábla minden sorát egyedileg azonosítja. Sorrendje: 1, 2, 3 stb., ahol az 1-et a legnagyobb egyedi modellkockázattal kapcsolatos kiegészítő értékelési korrekcióhoz kell rendelni, a 2-t a második legnagyobbhoz, és így tovább.</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A modell belső neve (alfanumerikus), amelyet az intézmény a modell azonosítására használ.</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KOCKÁZATI KATEGÓRIA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A modellkockázattal kapcsolatos értékelési korrekcióhoz vezető terméket vagy termékcsoportot leginkább jellemző kockázati kategória (kamat, devizaárfolyam, hitel, részvény, áru).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Az intézményeknek a következő kódokat kell feltüntetniük: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kamat</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devizaárfolyam</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hitel</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részvény</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áru</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TERMÉK</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A modell használatával értékelt termék vagy termékcsoport belső neve (alfanumerikus), az (EU) 2016/101 felhatalmazáson alapuló rendelet 19. cikke (3) bekezdésének a) pontjában előírt termékleltárral összhangban.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MEGFIGYELHETŐSÉG</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A termékkel vagy termékcsoporttal kapcsolatos olyan ármegfigyelések száma az elmúlt tizenkét hónapban, amelyek teljesítik a következő kritériumok valamelyikét:</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Az ármegfigyelés olyan ár, amelyen az intézmény ügyletet hajtott végre</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Harmadik felek közötti tényleges ügylet ellenőrizhető ára</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Az ár kötelező érvényű jegyzésből származik.</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Az intézményeknek a következő értékek egyikét kell feltüntetniük: „nincs”,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MODELLKOCKÁZAT KIEGÉSZÍTŐ ÉRTÉKELÉSI KORREKCIÓJA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Az (EU) 2016/101 felhatalmazáson alapuló rendelet </w:t>
            </w:r>
            <w:r>
              <w:rPr>
                <w:rStyle w:val="InstructionsTabelleberschrift"/>
                <w:rFonts w:ascii="Times New Roman" w:hAnsi="Times New Roman"/>
                <w:b w:val="0"/>
                <w:sz w:val="24"/>
                <w:u w:val="none"/>
              </w:rPr>
              <w:t>11. cikkének (1) bekezdése</w:t>
            </w:r>
            <w:r>
              <w:rPr>
                <w:rFonts w:ascii="Times New Roman" w:hAnsi="Times New Roman"/>
                <w:sz w:val="24"/>
              </w:rPr>
              <w: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Egyedi modellkockázattal kapcsolatos kiegészítő értékelési korrekció a diverzifikációs nyereség előtt, de adott esetben a portfóliónettósítás után.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SZAKÉRTŐI MÓDSZER HASZNÁLATÁVAL</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Az (EU) 2016/101 felhatalmazáson alapuló rendelet 11. cikkének (4) bekezdésében említett szakértői módszer szerint kiszámított, a 0050. oszlopban szereplő összegek.</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EBBŐL: A 2. MÓDSZER HASZNÁLATÁVAL ÖSSZESÍTVE</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Az (EU) 2016/101 felhatalmazáson alapuló rendelet mellékletében található 2. módszer szerint összesített, a 0050. oszlopban szereplő összegek. Ezek az összegek a melléklet terminológiájában az FV – PV-nek felelnek meg.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 2. MÓDSZER SZERINT SZÁMÍTOTT ÖSSZESÍTETT KIEGÉSZÍTŐ ÉRTÉKELÉSI KORREKCIÓ</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(EU) 2016/101 felhatalmazáson alapuló rendelet mellékletében található 2. módszer használatával összesített egyedi,</w:t>
            </w:r>
            <w:r>
              <w:rPr>
                <w:rFonts w:ascii="Times New Roman" w:hAnsi="Times New Roman"/>
                <w:sz w:val="24"/>
              </w:rPr>
              <w:t xml:space="preserve"> modellkockázattal kapcsolatos </w:t>
            </w:r>
            <w:r>
              <w:rPr>
                <w:rStyle w:val="InstructionsTabelleberschrift"/>
                <w:rFonts w:ascii="Times New Roman" w:hAnsi="Times New Roman"/>
                <w:b w:val="0"/>
                <w:sz w:val="24"/>
                <w:u w:val="none"/>
              </w:rPr>
              <w:t>kiegészítő értékelési korrekcióknak az említett rendelet 11. cikkének (7) bekezdése szerint számított</w:t>
            </w:r>
            <w:r>
              <w:rPr>
                <w:rFonts w:ascii="Times New Roman" w:hAnsi="Times New Roman"/>
                <w:sz w:val="24"/>
              </w:rPr>
              <w:t>, modellkockázattal kapcsolatos, teljes kategóriaszintű kiegészítő értékelési korrekcióhoz való hozzájárulása</w:t>
            </w:r>
            <w:r>
              <w:rPr>
                <w:rStyle w:val="InstructionsTabelleberschrift"/>
                <w:rFonts w:ascii="Times New Roman" w:hAnsi="Times New Roman"/>
                <w:b w:val="0"/>
                <w:sz w:val="24"/>
                <w:u w:val="none"/>
              </w:rPr>
              <w:t xml:space="preserve">. </w:t>
            </w:r>
            <w:r>
              <w:rPr>
                <w:rFonts w:ascii="Times New Roman" w:hAnsi="Times New Roman"/>
                <w:sz w:val="24"/>
              </w:rPr>
              <w:t>Ezek az összegek a melléklet terminológiájában az APVA-nak felelnek meg.</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 ÉS KÖTELEZETTSÉGEK</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 0010. oszlopban feltüntetett modell használatával értékelt valós értéken értékelt eszközök és kötelezettségek abszolút értéke, ahogy az az alkalmazandó számviteli keret szerint elkészített pénzügyi kimutatásban szerepel.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ESZKÖZÖK</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 0010. oszlopban feltüntetett modell használatával értékelt, valós értéken értékelt eszközök abszolút értéke, ahogy az az alkalmazandó számviteli keret szerint elkészített pénzügyi kimutatásban szerepel</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 ÉRTÉKEN ÉRTÉKELT KÖTELEZETTSÉGEK</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 0010. oszlopban feltüntetett modell használatával értékelt, valós értéken értékelt kötelezettségek abszolút értéke, ahogy az az alkalmazandó számviteli keret szerint elkészített pénzügyi kimutatásban szerepel.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KÜLÖNBÖZET (OUTPUT-TESZTELÉS)</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CRR 105. cikke (8) bekezdésének megfelelően végrehajtott független árfelülvizsgálat keretében az adatszolgáltatási időponthoz legközelebb eső hónap végén kiszámított ki nem igazított különbözetek („IPV különbözet”) összege, a kapcsolódó termékre vagy termékcsoportra vonatkozóan elérhető legjobb független adatok figyelembevételével.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 nem igazított különbözetek a kereskedési rendszerek által generált értékelések és a havi IPV folyamat során értékelt értékelések közötti ki nem igazított különbözeteket jelentik.</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Nem vonhatók be az IPV különbözet számításába a releváns hónap végi dátumra vonatkozóan az intézmény könyveiben és nyilvántartásaiban szereplő kiigazított különbözetek.</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Csak azokat az eredményeket kell feltüntetni, amelyeket olyan eszközök árainak használatával kalibráltak, amelyeket ugyanazon termékhez rendelnének (output tesztelés). Nem szabad feltüntetni az olyan piaci adatok inputjából származó input tesztelési eredményeket, amelyeket különböző termékekből kalibrált szintek alapján tesztelnek.</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 FEDEZET (OUTPUT-TESZTELÉS)</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modellkockázattal kapcsolatos kiegészítő értékelési korrekcióval súlyozott, a modellhez rendelt pozíciók százalékos aránya, amelyet a 0110. oszlopban megadott IPV output tesztelési eredmények fedeznek.</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VALÓSÉRTÉK-KORREKCIÓK</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 32.02. tábla 0190. és 0240. oszlopában említett valósérték-korrekciók, amelyeket a 0010. oszlopban megadott</w:t>
            </w:r>
            <w:r>
              <w:rPr>
                <w:rFonts w:ascii="Times New Roman" w:hAnsi="Times New Roman"/>
                <w:sz w:val="24"/>
              </w:rPr>
              <w:t xml:space="preserve"> modellhez rendelt pozíciókra alkalmaznak</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1. NAPI EREDMÉNY</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 C 32.02. tábla 0260. oszlopában meghatározott korrekciók, amelyeket a 0010. oszlopban megadott modellhez</w:t>
            </w:r>
            <w:r>
              <w:rPr>
                <w:rFonts w:ascii="Times New Roman" w:hAnsi="Times New Roman"/>
                <w:sz w:val="24"/>
              </w:rPr>
              <w:t xml:space="preserve"> rendelt pozíciókra alkalmaznak</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6" w:name="_Toc58858724"/>
      <w:r>
        <w:rPr>
          <w:rFonts w:ascii="Times New Roman" w:hAnsi="Times New Roman"/>
          <w:sz w:val="24"/>
          <w:u w:val="none"/>
        </w:rPr>
        <w:t xml:space="preserve">6.4 </w:t>
      </w:r>
      <w:r>
        <w:rPr>
          <w:rFonts w:ascii="Times New Roman" w:hAnsi="Times New Roman"/>
          <w:sz w:val="24"/>
        </w:rPr>
        <w:t>C 32.04 – Prudens értékelés: koncentrált pozíciók kiegészítő értékelési korrekciója (PruVal 4)</w:t>
      </w:r>
      <w:bookmarkEnd w:id="766"/>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858725"/>
      <w:r>
        <w:rPr>
          <w:rFonts w:ascii="Times New Roman" w:hAnsi="Times New Roman"/>
          <w:sz w:val="24"/>
          <w:u w:val="none"/>
        </w:rPr>
        <w:t>6.4.1.</w:t>
      </w:r>
      <w:r w:rsidRPr="00913E69">
        <w:rPr>
          <w:u w:val="none"/>
        </w:rPr>
        <w:tab/>
      </w:r>
      <w:r>
        <w:rPr>
          <w:rFonts w:ascii="Times New Roman" w:hAnsi="Times New Roman"/>
          <w:sz w:val="24"/>
        </w:rPr>
        <w:t>Általános megjegyzések</w:t>
      </w:r>
      <w:bookmarkEnd w:id="767"/>
      <w:r>
        <w:rPr>
          <w:rFonts w:ascii="Times New Roman" w:hAnsi="Times New Roman"/>
          <w:sz w:val="24"/>
          <w:u w:val="none"/>
        </w:rPr>
        <w:t xml:space="preserve"> </w:t>
      </w:r>
    </w:p>
    <w:p w:rsidR="00113E45" w:rsidRPr="00661595" w:rsidRDefault="0055388B" w:rsidP="00487A02">
      <w:pPr>
        <w:pStyle w:val="InstructionsText2"/>
        <w:numPr>
          <w:ilvl w:val="0"/>
          <w:numId w:val="0"/>
        </w:numPr>
        <w:ind w:left="1353" w:hanging="360"/>
      </w:pPr>
      <w:fldSimple w:instr=" seq paragraphs ">
        <w:r w:rsidR="00D11E4C">
          <w:rPr>
            <w:noProof/>
          </w:rPr>
          <w:t>186</w:t>
        </w:r>
      </w:fldSimple>
      <w:r w:rsidR="00D11E4C">
        <w:t>. Ezt a táblát kizárólag olyan intézményeknek kell kitölteniük, amelyek meghaladják az (EU) 2016/101 felhatalmazáson alapuló rendelet 4. cikkének (1) bekezdésében említett értékhatárt. A valamely, az értékhatárt konszolidált szinten meghaladó csoport részét képező intézményeknek csak akkor kell kitölteniük ezt a táblát, ha a saját szintjükön is meghaladják az értékhatárt.</w:t>
      </w:r>
    </w:p>
    <w:p w:rsidR="00113E45" w:rsidRPr="00661595" w:rsidRDefault="0055388B" w:rsidP="00487A02">
      <w:pPr>
        <w:pStyle w:val="InstructionsText2"/>
        <w:numPr>
          <w:ilvl w:val="0"/>
          <w:numId w:val="0"/>
        </w:numPr>
        <w:ind w:left="1353" w:hanging="360"/>
      </w:pPr>
      <w:fldSimple w:instr=" seq paragraphs ">
        <w:r w:rsidR="00D11E4C">
          <w:rPr>
            <w:noProof/>
          </w:rPr>
          <w:t>187</w:t>
        </w:r>
      </w:fldSimple>
      <w:r w:rsidR="00D11E4C">
        <w:t xml:space="preserve">. Ebben a táblában az (EU) 2016/101 felhatalmazáson alapuló rendelet 14. cikkével összhangban kiszámított teljes kategóriaszintű, koncentrált pozíciókkal kapcsolatos kiegészítő értékelési korrekcióhoz hozzájáruló, a kiegészítő értékelési korrekció összegét tekintve első 20 egyedi, koncentrált pozíciókkal kapcsolatos kiegészítő értékelési korrekció részleteit kell feltüntetni. Ez az információ megfelel a C 32.02. tábla 0070. oszlopában megadott információknak. </w:t>
      </w:r>
    </w:p>
    <w:p w:rsidR="00113E45" w:rsidRPr="00661595" w:rsidRDefault="0055388B" w:rsidP="00487A02">
      <w:pPr>
        <w:pStyle w:val="InstructionsText2"/>
        <w:numPr>
          <w:ilvl w:val="0"/>
          <w:numId w:val="0"/>
        </w:numPr>
        <w:ind w:left="1353" w:hanging="360"/>
      </w:pPr>
      <w:fldSimple w:instr=" seq paragraphs ">
        <w:r w:rsidR="00D11E4C">
          <w:rPr>
            <w:noProof/>
          </w:rPr>
          <w:t>188</w:t>
        </w:r>
      </w:fldSimple>
      <w:r w:rsidR="00D11E4C">
        <w:t>. Az első 20 egyedi, koncentrált pozíciókkal kapcsolatos kiegészítő értékelési korrekciót és a kapcsolódó termékinformációkat csökkenő sorrendben, a legnagyobb egyedi, koncentrált pozíciókkal kapcsolatos kiegészítő értékelési korrekcióval kezdve kell feltüntetni.</w:t>
      </w:r>
    </w:p>
    <w:p w:rsidR="00113E45" w:rsidRPr="00661595" w:rsidRDefault="0055388B" w:rsidP="00487A02">
      <w:pPr>
        <w:pStyle w:val="InstructionsText2"/>
        <w:numPr>
          <w:ilvl w:val="0"/>
          <w:numId w:val="0"/>
        </w:numPr>
        <w:ind w:left="1353" w:hanging="360"/>
      </w:pPr>
      <w:fldSimple w:instr=" seq paragraphs ">
        <w:r w:rsidR="00D11E4C">
          <w:rPr>
            <w:noProof/>
          </w:rPr>
          <w:t>189</w:t>
        </w:r>
      </w:fldSimple>
      <w:r w:rsidR="00D11E4C">
        <w:t xml:space="preserve">. Az ezen legnagyobb egyedi, koncentrált pozíciókkal kapcsolatos kiegészítő értékelési korrekcióknak megfelelő termékeket az (EU) 2016/101 felhatalmazáson </w:t>
      </w:r>
      <w:r w:rsidR="00D11E4C">
        <w:lastRenderedPageBreak/>
        <w:t>alapuló rendelet 19. cikke (3) bekezdésének a) pontjában előírt termékleltár használatával kell feltüntetni.</w:t>
      </w:r>
    </w:p>
    <w:p w:rsidR="00113E45" w:rsidRPr="00661595" w:rsidRDefault="0055388B" w:rsidP="00487A02">
      <w:pPr>
        <w:pStyle w:val="InstructionsText2"/>
        <w:numPr>
          <w:ilvl w:val="0"/>
          <w:numId w:val="0"/>
        </w:numPr>
        <w:ind w:left="1353" w:hanging="360"/>
      </w:pPr>
      <w:fldSimple w:instr=" seq paragraphs ">
        <w:r w:rsidR="00D11E4C">
          <w:rPr>
            <w:noProof/>
          </w:rPr>
          <w:t>190</w:t>
        </w:r>
      </w:fldSimple>
      <w:r w:rsidR="00D11E4C">
        <w:t>. A kiegészítő értékelési korrekciók kiszámítási módszere szempontjából homogén pozíciókat lehetőség szerint összesíteni kell, e tábla lefedettségének maximalizálása céljából.</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858726"/>
      <w:r>
        <w:rPr>
          <w:rFonts w:ascii="Times New Roman" w:hAnsi="Times New Roman"/>
          <w:sz w:val="24"/>
          <w:u w:val="none"/>
        </w:rPr>
        <w:t>6.4.2.</w:t>
      </w:r>
      <w:r w:rsidRPr="00913E69">
        <w:rPr>
          <w:u w:val="none"/>
        </w:rPr>
        <w:tab/>
      </w:r>
      <w:r>
        <w:rPr>
          <w:rFonts w:ascii="Times New Roman" w:hAnsi="Times New Roman"/>
          <w:sz w:val="24"/>
        </w:rPr>
        <w:t>A tábla egyes részeire vonatkozó útmutató</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Oszlop</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BESOROLÁS</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A besorolás egy sorazonosító, amely a tábla minden sorát egyedileg azonosítja. Sorrendje: 1, 2, 3 stb., ahol az 1-et a legnagyobb egyedi koncentrált pozíciókkal kapcsolatos kiegészítő értékelési korrekcióhoz kell rendelni, a 2-t a második legnagyobbhoz, és így tovább.</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KOCKÁZATI KATEGÓRIA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A pozíciót leginkább jellemző kockázati kategória (kamat, devizaárfolyam, hitel, részvény, áru).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Az intézményeknek a következő kódokat kell feltüntetniük: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kamat</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devizaárfolyam</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hitel</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részvény</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áru</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TERMÉK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A termék vagy termékcsoport belső neve, az (EU) 2016/101 felhatalmazáson alapuló rendelet 19. cikke (3) bekezdésének a) pontjában előírt termékleltárral összhangban.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MÖGÖTTES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A mögöttes eszköz vagy eszközök belső neve származtatott ügyletek esetében, vagy az instrumentumok neve nem származtatott ügyletek esetében.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KONCENTRÁLT POZÍCIÓK MÉRETE</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Az (EU) 2016/101 felhatalmazáson alapuló rendelet 14. cikke (1) bekezdésének a) pontja szerint meghatározott egyedi koncentrált értékelési pozíció mérete, a 0050. oszlopban leírt egységben kifejezve.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MÉRTÉKEGYSÉG</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 xml:space="preserve">A 0040. oszlopban említett koncentrált pozícióméret kiszámítása céljából a koncentrált értékelési pozíció meghatározása részeként belsőleg használt mértékegység.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Kötvényekben vagy részvényekben lévő pozíciók esetében a belső</w:t>
            </w:r>
            <w:r>
              <w:rPr>
                <w:rFonts w:ascii="Times New Roman" w:hAnsi="Times New Roman"/>
                <w:sz w:val="24"/>
              </w:rPr>
              <w:t xml:space="preserve"> kockázatkezeléshez használt mértékegységet kell megadni, </w:t>
            </w:r>
            <w:r>
              <w:rPr>
                <w:rStyle w:val="InstructionsTabelleberschrift"/>
                <w:rFonts w:ascii="Times New Roman" w:hAnsi="Times New Roman"/>
                <w:b w:val="0"/>
                <w:bCs w:val="0"/>
                <w:sz w:val="24"/>
                <w:u w:val="none"/>
              </w:rPr>
              <w:t xml:space="preserve">például „kötvények száma”, részvények száma” vagy „piaci érték”.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Származtatott ügyletekben lévő pozíciók esetében a belső kockázatkezeléshez használt mértékegységet kell megadni, például „PV01; EUR/1 bázispontos párhuzamos hozamgörbe eltolódás”.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PIACI ÉRTÉK</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pozíció piaci értéke.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PRUDENS KILÉPÉSI IDŐSZAK</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(EU) 2016/101 felhatalmazáson alapuló rendelet 14. cikke (1) bekezdésének b) pontja szerint</w:t>
            </w:r>
            <w:r>
              <w:rPr>
                <w:rFonts w:ascii="Times New Roman" w:hAnsi="Times New Roman"/>
                <w:sz w:val="24"/>
              </w:rPr>
              <w:t xml:space="preserve"> becsült napok számában megadott prudens kilépési időszak</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 KIEGÉSZÍTŐ ÉRTÉKELÉSI KORREKCIÓJA</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érintett egyedi koncentrált értékelési pozíciókra vonatkozóan az (EU) 2016/101 felhatalmazáson alapuló rendelet</w:t>
            </w:r>
            <w:r>
              <w:rPr>
                <w:rFonts w:ascii="Times New Roman" w:hAnsi="Times New Roman"/>
                <w:sz w:val="24"/>
              </w:rPr>
              <w:t xml:space="preserve"> 14. cikkének (1) bekezdésével összhangban kiszámított koncentrált pozíciókkal </w:t>
            </w:r>
            <w:r>
              <w:rPr>
                <w:rStyle w:val="InstructionsTabelleberschrift"/>
                <w:rFonts w:ascii="Times New Roman" w:hAnsi="Times New Roman"/>
                <w:b w:val="0"/>
                <w:sz w:val="24"/>
                <w:u w:val="none"/>
              </w:rPr>
              <w:t>kapcsolatos kiegészítő értékelési korrekció.</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KONCENTRÁLT POZÍCIÓK VALÓSÉRTÉK-KORREKCIÓJA</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tény tükrözése céljából alkalmazott valósérték-korrekciók összege, hogy az intézménynél lévő aggregált pozíció nagyobb, mint a normál kereskedett volumen, vagy nagyobb a pozícióméreteknél, és amelyeken az értékelési modell által használt árak vagy inputok kalibrálásához alkalmazott árjegyzések vagy ügyletek alapulnak.</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feltüntetett összegnek meg kell egyeznie az érintett egyedi koncentrált értékelési pozícióra alkalmazott összeggel.</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 KÜLÖNBÖZET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CRR 105. cikke (8) bekezdésének megfelelően végrehajtott független árfelülvizsgálat keretében az adatszolgáltatási időponthoz legközelebb eső hónap végén kiszámított ki nem igazított különbözetek („IPV különbözet”) összege, az érintett egyedi koncentrált értékelési pozícióra vonatkozóan elérhető legjobb független adatok figyelembevételével.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 nem igazított különbözetek a kereskedési rendszerek által generált értékelések és a havi IPV folyamat során értékelt értékelések közötti ki nem igazított különbözeteket jelentik.</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Nem vonhatók be az IPV különbözet számításába a releváns hónap végi dátumra vonatkozóan az intézmény könyveiben és nyilvántartásaiban szereplő kiigazított különbözetek.</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858727"/>
      <w:r>
        <w:rPr>
          <w:rFonts w:ascii="Times New Roman" w:hAnsi="Times New Roman"/>
          <w:sz w:val="24"/>
          <w:u w:val="none"/>
        </w:rPr>
        <w:t>7.</w:t>
      </w:r>
      <w:r w:rsidRPr="00913E69">
        <w:rPr>
          <w:u w:val="none"/>
        </w:rPr>
        <w:tab/>
      </w:r>
      <w:r>
        <w:rPr>
          <w:rFonts w:ascii="Times New Roman" w:hAnsi="Times New Roman"/>
          <w:sz w:val="24"/>
        </w:rPr>
        <w:t>C 33.00 – Államháztartásokkal szembeni kitettségek (GOV)</w:t>
      </w:r>
      <w:bookmarkEnd w:id="769"/>
      <w:bookmarkEnd w:id="770"/>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858728"/>
      <w:r>
        <w:rPr>
          <w:rFonts w:ascii="Times New Roman" w:hAnsi="Times New Roman"/>
          <w:sz w:val="24"/>
          <w:u w:val="none"/>
        </w:rPr>
        <w:t>7.1.</w:t>
      </w:r>
      <w:r w:rsidRPr="00913E69">
        <w:rPr>
          <w:u w:val="none"/>
        </w:rPr>
        <w:tab/>
      </w:r>
      <w:r>
        <w:rPr>
          <w:rFonts w:ascii="Times New Roman" w:hAnsi="Times New Roman"/>
          <w:sz w:val="24"/>
        </w:rPr>
        <w:t>Általános megjegyzések</w:t>
      </w:r>
      <w:bookmarkEnd w:id="771"/>
      <w:bookmarkEnd w:id="772"/>
      <w:bookmarkEnd w:id="773"/>
      <w:r>
        <w:rPr>
          <w:rFonts w:ascii="Times New Roman" w:hAnsi="Times New Roman"/>
          <w:sz w:val="24"/>
        </w:rPr>
        <w:t xml:space="preserve"> </w:t>
      </w:r>
    </w:p>
    <w:p w:rsidR="00FD54FC" w:rsidRPr="00661595" w:rsidRDefault="0055388B" w:rsidP="00487A02">
      <w:pPr>
        <w:pStyle w:val="InstructionsText2"/>
        <w:numPr>
          <w:ilvl w:val="0"/>
          <w:numId w:val="0"/>
        </w:numPr>
        <w:ind w:left="1353" w:hanging="360"/>
      </w:pPr>
      <w:fldSimple w:instr=" seq paragraphs ">
        <w:r w:rsidR="00D11E4C">
          <w:rPr>
            <w:noProof/>
          </w:rPr>
          <w:t>191</w:t>
        </w:r>
      </w:fldSimple>
      <w:r w:rsidR="00D11E4C">
        <w:t>.</w:t>
      </w:r>
      <w:r w:rsidR="00D11E4C">
        <w:tab/>
        <w:t xml:space="preserve"> A C 33.00 táblában az e végrehajtási rendelet V. mellékletének 42. b) pontjában említett „államháztartásokkal” szembeni kitettségeket kell jelenteni.</w:t>
      </w:r>
    </w:p>
    <w:p w:rsidR="00FD54FC" w:rsidRPr="00661595" w:rsidRDefault="0055388B" w:rsidP="00487A02">
      <w:pPr>
        <w:pStyle w:val="InstructionsText2"/>
        <w:numPr>
          <w:ilvl w:val="0"/>
          <w:numId w:val="0"/>
        </w:numPr>
        <w:ind w:left="1353" w:hanging="360"/>
      </w:pPr>
      <w:fldSimple w:instr=" seq paragraphs ">
        <w:r w:rsidR="00D11E4C">
          <w:rPr>
            <w:noProof/>
          </w:rPr>
          <w:t>192</w:t>
        </w:r>
      </w:fldSimple>
      <w:r w:rsidR="00D11E4C">
        <w:t>.</w:t>
      </w:r>
      <w:r w:rsidR="00D11E4C">
        <w:tab/>
        <w:t xml:space="preserve"> Amennyiben az „államháztartásokkal” szembeni kitettségekre a CRR harmadik része II. címének megfelelően szavatolótőke-követelmények vonatkoznak, az államháztartásokkal szembeni kitettségek különböző kitettségi osztályokba tartoznak a CRR 112. cikkének és 147. cikkének megfelelően, a C 07.00, C 08.01 és a C 08.02 táblához tartozó kitöltési útmutatóban meghatározottak szerint. </w:t>
      </w:r>
    </w:p>
    <w:p w:rsidR="00FD54FC" w:rsidRPr="00661595" w:rsidRDefault="0055388B" w:rsidP="00487A02">
      <w:pPr>
        <w:pStyle w:val="InstructionsText2"/>
        <w:numPr>
          <w:ilvl w:val="0"/>
          <w:numId w:val="0"/>
        </w:numPr>
        <w:ind w:left="1353" w:hanging="360"/>
      </w:pPr>
      <w:fldSimple w:instr=" seq paragraphs ">
        <w:r w:rsidR="00D11E4C">
          <w:rPr>
            <w:noProof/>
          </w:rPr>
          <w:t>193</w:t>
        </w:r>
      </w:fldSimple>
      <w:r w:rsidR="00D11E4C">
        <w:t>.</w:t>
      </w:r>
      <w:r w:rsidR="00D11E4C">
        <w:tab/>
        <w:t xml:space="preserve"> A CRR szerinti tőkekövetelmények kiszámításához használt kitettségi osztályok „államháztartások” ügyfélszektorhoz való hozzárendelésekor az e végrehajtási rendelet V. mellékletének 3. részében található 2. táblázatot („Sztenderd módszer”) és a 3. táblázatot („Belső minősítésen alapuló módszer”) kell figyelembe venni. </w:t>
      </w:r>
    </w:p>
    <w:p w:rsidR="00FD54FC" w:rsidRPr="00661595" w:rsidRDefault="0055388B" w:rsidP="00487A02">
      <w:pPr>
        <w:pStyle w:val="InstructionsText2"/>
        <w:numPr>
          <w:ilvl w:val="0"/>
          <w:numId w:val="0"/>
        </w:numPr>
        <w:ind w:left="1353" w:hanging="360"/>
      </w:pPr>
      <w:fldSimple w:instr=" seq paragraphs ">
        <w:r w:rsidR="00D11E4C">
          <w:rPr>
            <w:noProof/>
          </w:rPr>
          <w:t>194</w:t>
        </w:r>
      </w:fldSimple>
      <w:r w:rsidR="00D11E4C">
        <w:t xml:space="preserve">. Az adatokat a teljes aggregált kitettségre (azaz valamennyi olyan ország „összesen” adatára, ahol a banknak kormányzatokkal szembeni kitettsége van) és a partner székhelye szerint országonként kell jelenteni, a közvetlen hitelfelvevővel szembeni kitettségek alapján. </w:t>
      </w:r>
    </w:p>
    <w:p w:rsidR="00FD54FC" w:rsidRPr="00661595" w:rsidRDefault="0055388B" w:rsidP="00487A02">
      <w:pPr>
        <w:pStyle w:val="InstructionsText2"/>
        <w:numPr>
          <w:ilvl w:val="0"/>
          <w:numId w:val="0"/>
        </w:numPr>
        <w:ind w:left="1353" w:hanging="360"/>
      </w:pPr>
      <w:fldSimple w:instr=" seq paragraphs ">
        <w:r w:rsidR="00D11E4C">
          <w:rPr>
            <w:noProof/>
          </w:rPr>
          <w:t>195</w:t>
        </w:r>
      </w:fldSimple>
      <w:r w:rsidR="00D11E4C">
        <w:t>.</w:t>
      </w:r>
      <w:r w:rsidR="00D11E4C">
        <w:tab/>
        <w:t xml:space="preserve"> A kitettségek kitettségi osztályokba vagy joghatóságokba sorolása során nem kell figyelembe venni sem a hitelkockázat-mérséklési módszereket, sem különösen a helyettesítési hatásokat. Ugyanakkor az egyes kitettségi osztályokba és joghatóságokba sorolt kitettségértékek és kockázattal súlyozott kitettségértékek kiszámítása során figyelembe kell venni a hitelkockázat-mérséklési módszerek előfordulását és a helyettesítési hatásokat. </w:t>
      </w:r>
    </w:p>
    <w:p w:rsidR="00FD54FC" w:rsidRPr="00661595" w:rsidRDefault="0055388B" w:rsidP="00487A02">
      <w:pPr>
        <w:pStyle w:val="InstructionsText2"/>
        <w:numPr>
          <w:ilvl w:val="0"/>
          <w:numId w:val="0"/>
        </w:numPr>
        <w:ind w:left="1353" w:hanging="360"/>
      </w:pPr>
      <w:fldSimple w:instr=" seq paragraphs ">
        <w:r w:rsidR="00D11E4C">
          <w:rPr>
            <w:noProof/>
          </w:rPr>
          <w:t>196</w:t>
        </w:r>
      </w:fldSimple>
      <w:r w:rsidR="00D11E4C">
        <w:t>.</w:t>
      </w:r>
      <w:r w:rsidR="00D11E4C">
        <w:tab/>
        <w:t xml:space="preserve"> Az államháztartásokkal szembeni kitettségekre vonatkozó információkat a közvetlen partner székhelye szerinti minden olyan joghatóság esetében, amely nem az adatszolgáltató intézmény belföldi joghatósága, csak az e végrehajtási rendelet 6. cikke 3) pontjának alpontjában meghatározott küszöbértékek meghaladása esetén kell jelenteni.</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858729"/>
      <w:r>
        <w:rPr>
          <w:rFonts w:ascii="Times New Roman" w:hAnsi="Times New Roman"/>
          <w:sz w:val="24"/>
          <w:u w:val="none"/>
        </w:rPr>
        <w:t>7.2.</w:t>
      </w:r>
      <w:r w:rsidRPr="00913E69">
        <w:rPr>
          <w:u w:val="none"/>
        </w:rPr>
        <w:tab/>
      </w:r>
      <w:bookmarkStart w:id="776" w:name="_Toc367202009"/>
      <w:r>
        <w:rPr>
          <w:rFonts w:ascii="Times New Roman" w:hAnsi="Times New Roman"/>
          <w:sz w:val="24"/>
        </w:rPr>
        <w:t>Az államháztartásokkal szembeni kitettségek tábla alkalmazási köre</w:t>
      </w:r>
      <w:bookmarkEnd w:id="774"/>
      <w:bookmarkEnd w:id="775"/>
      <w:bookmarkEnd w:id="776"/>
    </w:p>
    <w:p w:rsidR="00FD54FC" w:rsidRPr="00661595" w:rsidRDefault="0055388B" w:rsidP="00487A02">
      <w:pPr>
        <w:pStyle w:val="InstructionsText2"/>
        <w:numPr>
          <w:ilvl w:val="0"/>
          <w:numId w:val="0"/>
        </w:numPr>
        <w:ind w:left="1353" w:hanging="360"/>
      </w:pPr>
      <w:fldSimple w:instr=" seq paragraphs ">
        <w:r w:rsidR="00D11E4C">
          <w:rPr>
            <w:noProof/>
          </w:rPr>
          <w:t>197</w:t>
        </w:r>
      </w:fldSimple>
      <w:r w:rsidR="00D11E4C">
        <w:t>.</w:t>
      </w:r>
      <w:r w:rsidR="00D11E4C">
        <w:tab/>
        <w:t xml:space="preserve"> A GOV táblában egyaránt fel kell tüntetni a banki és a kereskedési könyvben szereplő, államháztartásokkal szembeni mérlegen belüli, mérlegen kívüli és származtatott közvetlen kitettségeket. Tájékoztató adatként jelenteni kell továbbá az államháztartásokkal szembeni kitettségekre eladott hitelderivatívák formáját öltő közvetett kitettségeket.</w:t>
      </w:r>
    </w:p>
    <w:p w:rsidR="00FD54FC" w:rsidRPr="00661595" w:rsidRDefault="0055388B" w:rsidP="00487A02">
      <w:pPr>
        <w:pStyle w:val="InstructionsText2"/>
        <w:numPr>
          <w:ilvl w:val="0"/>
          <w:numId w:val="0"/>
        </w:numPr>
        <w:ind w:left="1353" w:hanging="360"/>
      </w:pPr>
      <w:fldSimple w:instr=" seq paragraphs ">
        <w:r w:rsidR="00D11E4C">
          <w:rPr>
            <w:noProof/>
          </w:rPr>
          <w:t>198</w:t>
        </w:r>
      </w:fldSimple>
      <w:r w:rsidR="00D11E4C">
        <w:t>.</w:t>
      </w:r>
      <w:r w:rsidR="00D11E4C">
        <w:tab/>
        <w:t xml:space="preserve"> Valamely kitettség akkor tekintendő közvetlen kitettségnek, ha a közvetlen partner az „államháztartások” fogalommeghatározása alá tartozik, az e végrehajtási rendelet V. melléklete 42. bekezdésének b) pontjában említettek szerint. </w:t>
      </w:r>
    </w:p>
    <w:p w:rsidR="00FD54FC" w:rsidRPr="00661595" w:rsidRDefault="0055388B" w:rsidP="00487A02">
      <w:pPr>
        <w:pStyle w:val="InstructionsText2"/>
        <w:numPr>
          <w:ilvl w:val="0"/>
          <w:numId w:val="0"/>
        </w:numPr>
        <w:ind w:left="1353" w:hanging="360"/>
      </w:pPr>
      <w:fldSimple w:instr=" seq paragraphs ">
        <w:r w:rsidR="00D11E4C">
          <w:rPr>
            <w:noProof/>
          </w:rPr>
          <w:t>199</w:t>
        </w:r>
      </w:fldSimple>
      <w:r w:rsidR="00D11E4C">
        <w:t>.</w:t>
      </w:r>
      <w:r w:rsidR="00D11E4C">
        <w:tab/>
        <w:t xml:space="preserve"> A tábla két részre oszlik. Az első részben a kitettségeket kockázat, szabályozási módszerek és kitettségi osztály szerinti bontásban kell bemutatni; a második részben a kitettségeket hátralévő futamidő szerinti bontásban kell feltüntetni.</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858730"/>
      <w:r>
        <w:rPr>
          <w:rFonts w:ascii="Times New Roman" w:hAnsi="Times New Roman"/>
          <w:sz w:val="24"/>
          <w:u w:val="none"/>
        </w:rPr>
        <w:t>7.3.</w:t>
      </w:r>
      <w:r w:rsidRPr="008D60DC">
        <w:rPr>
          <w:u w:val="none"/>
        </w:rPr>
        <w:tab/>
      </w:r>
      <w:r>
        <w:rPr>
          <w:rFonts w:ascii="Times New Roman" w:hAnsi="Times New Roman"/>
          <w:sz w:val="24"/>
        </w:rPr>
        <w:t>A tábla egyes részeire vonatkozó útmutató</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Oszlop</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Útmutató</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KÖZVETLEN KITETTSÉGEK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MÉRLEGEN BELÜLI KITETTSÉGEK</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Nem származtatott pénzügyi eszközök bruttó könyv szerinti értéke összesen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Az államháztartásokkal szembeni kitettségnek minősülő nem származtatott pénzügyi eszközök az e végrehajtási rendelet V. melléklete 1. részének 34. pontja szerint meghatározott bruttó könyv szerinti értékének aggregált értéke valamennyi IFRS szerinti és a BAD-on alapuló nemzeti GAAP szerinti, az e végrehajtási rendelet V. melléklete 1. részének 15–22. pontjában meghatározott, a 0030–0120-as oszlopban felsorolt számviteli portfólió esetében.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prudens értékelési korrekciók nem csökkenthetik a valós értéken értékelt kereskedési és nem kereskedési célú kitettségek bruttó könyv szerinti értékét.</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Nem származtatott pénzügyi eszközök könyv szerinti értéke összesen (a rövid pozíciók levonásával)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államháztartásokkal szembeni kitettségnek minősülő nem származtatott pénzügyi eszközök az e végrehajtási rendelet V. melléklete 1. részének 27. pontjában említett könyv szerinti értékének a rövid pozíciók nélküli aggregált értéke valamennyi IFRS szerinti és a BAD alapján kidolgozott nemzeti GAAP szerinti, az e végrehajtási rendelet V. melléklete 1. részének 15–22. pontjában meghatározott, a 0030–0120-as oszlopban felsorolt számviteli portfólió esetében.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Amennyiben az intézmény ugyanazon hátralévő futamidőre és ugyanazon közvetlen partner vonatkozásában, ugyanazon pénznemben denominált rövid pozícióval rendelkezik, a rövid pozíció könyv szerinti értékét és a közvetlen pozíció könyv szerinti értékét nettósítani kell. Amennyiben az így kapott érték negatív, a nettó értéket nullának kell tekinteni. Amennyiben egy intézmény olyan rövid pozícióval rendelkezik, amelynek nincs egyező közvetlen pozíciója, ezen oszlop alkalmazásában a rövid pozíció összegét nullának kell tekinteni.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Nem származtatott pénzügyi eszközök számviteli portfóliók szerint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Az államháztartásokkal szembeni kitettségnek minősülő nem származtatott pénzügyi eszközök az e táblázat fenti sorában meghatározott könyv szerinti értékének aggregált </w:t>
            </w:r>
            <w:r>
              <w:rPr>
                <w:rFonts w:ascii="Times New Roman" w:hAnsi="Times New Roman"/>
                <w:bCs/>
                <w:sz w:val="24"/>
              </w:rPr>
              <w:lastRenderedPageBreak/>
              <w:t>értéke az alkalmazandó számviteli szabályozásnak megfelelő számviteli portfóliók szerint lebontva..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Kereskedési céllal tartott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IFRS 7 8. bekezdésének a) ii. pontja; IFRS 9 A. függelék</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Kereskedési célú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A BAD 32. és 33. cikke; E végrehajtási rendelet V. melléklete 1. részének 16. pontja; Az AD 8. cikke (1) bekezdésének a) pontja</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Csak az általánosan elfogadott nemzeti számviteli elvek (GAAP) hatálya alá tartozó intézmények által jelentendő.</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Kötelezően az eredménnyel szemben valós értéken értékelt, nem kereskedési célú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 8. bekezdésének a) ii. pontja; IFRS 9 4.1.4. bekezdése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Az eredménnyel szemben valós értéken értékeltnek megjelölt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 8. bekezdésének a) i. pontja; IFRS 9 4.1.5. bekezdése és az AD 8. cikke (1) bekezdésének a) pontja, valamint 8. cikkének (6) bekezdése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Eredménnyel szemben valós értéken értékelt, nem kereskedési célú, nem származtatott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 BAD 36. cikkének (2) bekezdése; az AD 8. cikke (1) bekezdésének a) pontja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Csak az általánosan elfogadott nemzeti számviteli elvek (GAAP) hatálya alá tartozó intézmények által jelentendő.</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Az egyéb átfogó jövedelemmel szemben valós értéken értékelt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 8. bekezdésének d) pontja; IFRS 9 4.1.2A. bekezdése</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 saját tőkével szemben valós értéken értékelt, nem kereskedési célú, nem származtatott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az AD 8. cikke (1) bekezdésének a) pontja, valamint 8. cikkének (8) bekezdése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Csak az általánosan elfogadott nemzeti számviteli elvek (GAAP) hatálya alá tartozó intézmények által jelentendő.</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Amortizált bekerülési értéken értékelt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IFRS 7 8. bekezdésének f) pontja; IFRS 9 4.1.2. bekezdése; E végrehajtási rendelet V. melléklete 1. részének 15. pontja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Bekerülésiérték-módszerrel értékelt nem kereskedési célú, nem származtatott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 BAD 35. cikke; Az AD 6. cikke (1) bekezdésének i) pontja, valamint 8. cikkének (2) bekezdése; E végrehajtási rendelet V. melléklete 1. részének 16. pontja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Csak az általánosan elfogadott nemzeti számviteli elvek (GAAP) hatálya alá tartozó intézmények által jelentendő.</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Egyéb nem kereskedési célú, nem származtatott pénzügyi eszközök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A BAD 37. cikke; Az AD 12. cikkének (7) bekezdése; E végrehajtási rendelet V. melléklete 1. részének 16. pontja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Csak az általánosan elfogadott nemzeti számviteli elvek (GAAP) hatálya alá tartozó intézmények által jelentendő.</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Rövid pozíciók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IFRS 9 BA.7 bekezdése b) pontjában meghatározott azon rövid pozíciók könyv szerinti értéke, ahol a közvetlen partner államháztartás az e melléklet 155–160. pontjában meghatározottaknak megfelelően.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Rövid pozíció akkor keletkezik, ha az intézmény fordított visszavásárlási hitelek keretében szerzett vagy értékpapírkölcsön-ügylet keretében kölcsönvett értékpapírokat ad el.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könyv szerinti érték a rövid pozíció valós értéke.</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A rövid pozíciókat a 0170–0230-as sorban felsorolt hátralévő futamidő szerinti, valamint közvetlen partner szerinti bontásban kell jelenteni.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Az ebben az oszlopban feltüntetett rövid pozíciók a 0020. oszlopban feltüntetett nettó pozíció megállapításához nettósíthatók az azonos hátralevő futamidővel és közvetlen partnerrel rendelkező, ugyanabban a pénznemben denominált, a 0030-0120. oszlopban feltüntetett pozíciókkal.</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Ebből: kereskedési céllal tartott vagy kereskedési célú pénzügyi eszközként besorolt, fordított visszavásárlási hitelekből származó rövid pozíciók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IFRS 9 BA.7 bekezdése b) pontjában meghatározott azon kereskedési céllal tartott vagy kereskedési célú pénzügyi eszközök számviteli portfóliójába (0030-as és 0040-es oszlop) besorolt rövid pozíciók könyv szerinti értéke, amelyek visszavásárlási hitelek keretében szerzett értékpapírok intézmény általi eladásával keletkeztek, ahol az említett értékpapírok esetében a közvetlen partner államháztartás.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Az értékpapírkölcsön-ügylet keretében kölcsönvett értékpapírok eladásával keletkező rövid pozíciók nem szerepelhetnek ebben az oszlopban.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Halmozott értékvesztés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A 0080–0120-as oszlopban jelentett nem származtatott pénzügyi eszközökkel kapcsolatos összes halmozott értékvesztés (e végrehajtási rendelet V. melléklete 2. részének 70. és 71. pontja).</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Halmozott értékvesztés – ebből: egyéb átfogó jövedelemmel szemben valós értéken értékelt pénzügyi eszközökből vagy saját tőkével szemben valós értéken értékelt, nem kereskedési célú, nem származtatott pénzügyi eszközökből</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 0080–0090-es oszlopban jelentett nem származtatott pénzügyi eszközökkel kapcsolatos összes halmozott értékvesztés.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 hitelkockázat változásából származó negatív valósérték-változás halmozott összege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Az 0050–0090-es oszlopban jelentett pozíciókhoz kapcsolódó, hitelkockázat-változásból származó negatív valósérték-változás halmozott összege (e végrehajtási rendelet V. melléklete 2. részének 69. pontja).</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 hitelkockázat változásából származó negatív valósérték-változás halmozott összege – ebből: kötelezően az eredménnyel szemben valós értéken értékelt, nem kereskedési célú pénzügyi eszközökből, az eredménnyel szemben valós értéken értékeltnek megjelölt pénzügyi eszközökből vagy eredménnyel szemben valós értéken értékelt nem kereskedési célú pénzügyi eszközökből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0050–0070-es oszlopban jelentett pozíciókhoz kapcsolódó, hitelkockázat-változásból származó negatív valósérték-változás halmozott összege.</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 hitelkockázat változásából származó negatív valósérték-változás halmozott összege – ebből: egyéb átfogó jövedelemmel szemben valós értéken értékelt pénzügyi eszközökből vagy saját tőkével szemben valós értéken értékelt, nem kereskedési célú, nem származtatott pénzügyi eszközökből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0080–0090-es oszlopban jelentett pozíciókhoz kapcsolódó, hitelkockázat-változásból származó negatív valósérték-változás halmozott összege.</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SZÁRMAZTATOTT ÜGYLETEK</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közvetlen származtatott pozíciókat a 0200–0230-as oszlopban kell jelenteni.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Azon származtatott ügyletekkel kapcsolatban, amelyekre partnerkockázati és piaci kockázati tőkekövetelmény egyaránt vonatkozik, lásd a sorokra vonatkozó útmutatót.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Származtatott ügyletek pozitív valós értékkel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Államháztartással mint partnerrel szembeni, az adatszolgáltatás időpontjában az intézmény számára pozitív valós értékkel rendelkező származtatott eszközök, függetlenül attól, hogy azokat minősített fedezeti kapcsolatban használják, vagy a kereskedési céllal tartott vagy kereskedési célú eszközök portfóliójába sorolják az IFRS, illetve a BAD alapján kidolgozott nemzeti GAAP szerint.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A gazdasági fedezeti ügyletekhez használt származtatott eszközöket akkor kell itt jelenteni, ha azokat a kereskedési célú vagy a kereskedési céllal tartott eszközök számviteli portfóliójába sorolták (az e végrehajtási rendelet V. melléklete 2. részének 120., 124., 125., valamint 137–140. pontja).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Származtatott ügyletek pozitív valós értékkel: Könyv szerinti érték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 pénzügyi eszközként elszámolt származtatott ügyletek könyv szerinti értéke az adatszolgáltatási vonatkozási időpontban.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 BAD alapján kidolgozott nemzeti GAAP szerinti elszámolás esetén az ezekben az oszlopokban jelentendő származtatott ügyletek közé a bekerülési értéken vagy a bekerülési vagy piaci ár közül az alacsonyabb értéken értékelt, a kereskedési portfólióba tartozó vagy a fedezeti instrumentumként megjelölt származtatott eszközöket kell sorolni.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Származtatott ügyletek pozitív valós értékkel: Névleges összeg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IFRS szerinti és a BAD alapján kidolgozott nemzeti GAAP szerinti elszámolás esetén a megkötött, de az adatszolgáltatási vonatkozási időpontban még nem elszámolt azon származtatott ügyletek e végrehajtási rendelet V. melléklete 2. részének 133–135. pontja szerinti névleges összege, amelyek esetében a partner az e melléklet 155–160. pontjában meghatározott államháztartás, amennyiben a származtatott ügylet valós értéke az adatszolgáltatási vonatkozási időpontban az intézmény számára pozitív.</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Származtatott ügyletek negatív valós értékkel</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Államháztartással mint partnerrel szembeni, az adatszolgáltatási vonatkozási időpontban az intézmény számára negatív valós értékkel rendelkező származtatott eszközök, függetlenül attól, hogy azokat minősített fedezeti kapcsolatban használják, vagy a kereskedési céllal tartott vagy kereskedési célú eszközök portfóliójába sorolják az IFRS szerint, illetve a BAD alapján kidolgozott nemzeti GAAP szerint.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gazdasági fedezeti ügyletekhez használt származtatott eszközöket akkor kell itt jelenteni, ha azokat a kereskedési célú vagy a kereskedési céllal tartott eszközök számviteli portfóliójába sorolták (az e végrehajtási rendelet V. melléklete 2. részének 120., 124., 125. és 137–140. pontja).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Származtatott ügyletek negatív valós értékkel: Könyv szerinti érték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 pénzügyi kötelezettségként elszámolt származtatott ügyletek könyv szerinti értéke az adatszolgáltatási vonatkozási időpontban.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 BAD alapján kidolgozott nemzeti GAAP szerinti elszámolás esetén az ezekben az oszlopokban jelentendő származtatott ügyletek közé a bekerülési értéken vagy a bekerülési vagy piaci ár közül az alacsonyabb értéken értékelt, a kereskedési portfólióba tartozó vagy a fedezeti instrumentumként megjelölt származtatott eszközöket kell sorolni.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Származtatott ügyletek negatív valós értékkel: Névleges összeg</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Az IFRS szerinti és a BAD alapján kidolgozott nemzeti GAAP szerinti elszámolás esetén a megkötött, de a vonatkozási időpontban még nem elszámolt azon származtatott ügyletek e végrehajtási rendelet V. melléklete 2. részének 133–135. pontja szerinti névleges összege, amelyek esetében a partner az e melléklet 155–160. pontja szerinti államháztartás, amennyiben a származtatott ügylet valós értéke a vonatkozási időpontban z intézmény számára negatív.</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MÉRLEGEN KÍVÜLI KITETTSÉGEK</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Névérték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Amennyiben a mérlegen kívüli tétel esetében a közvetlen partner az e melléklet 155–160. pontja szerinti államháztartás, az IFRS szerint és a BAD alapján kidolgozott nemzeti GAAP szerint nem származtatott ügyletnek minősülő elkötelezettségek és pénzügyi garanciák névleges összege (e végrehajtási rendelet V. melléklete 2. részének 102–119. pontja).</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E végrehajtási rendelet V. melléklete 2. részének 43–44. pontja értelmében az államháztartás közvetlen partner: a) adott pénzügyi garancia vonatkozásában akkor, ha a garantált hitelviszonyt megtestesítő instrumentum közvetlen partnere; és b) adott hitelnyújtási elkötelezettségek és az egyéb adott elkötelezettségek vonatkozásában akkor, ha az a fél, amelynek a hitelkockázatát az adatszolgáltató intézmény viseli.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Céltartalékok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 BAD 4. cikkének 6.c) pontja és a 4. cikk szerinti „Mérlegen kívüli tételek”, 27. cikkének (11) bekezdése, 28. cikkének (8) bekezdése és 33. cikke; IFRS 9 4.2.1. bekezdése c) ii. pontja, d) ii. pontja, 5.5.20. bekezdése; IAS 37, IFRS 4, e végrehajtási rendelet V. melléklete 2. részének 11. pontja.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értékelés módjától függetlenül valamennyi mérlegen kívüli kitettségre képzett céltartalék, kivéve az IFRS 9 szerint az eredménnyel szemben valós értéken értékelt kitettségekre képzett céltartalékokat.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IFRS szerinti elszámolás esetén az adott hitelnyújtási elkötelezettségekre elszámolt értékvesztést a 150-es oszlopban kell jelenteni, ha az intézmény nem képes külön azonosítani a hitelviszonyt megtestesítő instrumentum lehívott és le nem hívott összegéhez kapcsolódó várható hitelezési veszteséget. Amennyiben az adott pénzügyi eszközre vonatkozó várható együttes hitelezési veszteség meghaladja az eszköz hitelkomponensének bruttó könyv szerinti értékét, a várható hitelezési veszteség fennmaradó egyenlegét a 0250-es oszlopban kell jelenteni céltartalékként.</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 hitelkockázat változásából származó negatív valósérték-változás halmozott összege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IFRS 9 szerint az eredménnyel szemben valós értéken értékelt mérlegen kívüli tételek esetében a hitelkockázat változásából származó negatív valósérték-változás halmozott összege (e végrehajtási rendelet V. melléklete 2. részének 110. pontja).</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lastRenderedPageBreak/>
              <w:t>0270-0280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Tájékoztató adat: államháztartásokkal szembeni kitettségekre értékesített hitelderivatívák</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Itt azokat a pénzügyi garanciák fogalmába (V. melléklet 2. részének 58. pontja) nem sorolható hitelderivatívákat kell jelenteni, amelyeket az intézmény nem államháztartási partnerekkel kötött, és amelyek referenciakitettsége államháztartás.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Ezeket az oszlopokat nem kell jelenteni kockázat, szabályozási módszer és kitettségi osztály szerinti bontásban (0020–0160).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Származtatott ügyletek pozitív valós értékkel – könyv szerinti érték</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államháztartásokkal szembeni kitettségekre értékesített, az adatszolgáltatási vonatkozási időpontban az intézmény számára pozitív valós értékkel rendelkező hitelderivatívák összesített könyv szerinti értéke prudens értékelési korrekciók nélkül.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IFRS szerint elszámolt származtatott ügyletek esetében az ezen oszlopban jelentendő érték a pénzügyi eszközök közé sorolt derivatívák könyv szerinti értéke az adatszolgáltatás időpontjában.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BAD alapján kidolgozott nemzeti GAAP szerint elszámolt származtatott ügyletek esetében az ezen oszlopban jelentendő érték a pozitív valós értékkel rendelkező derivatívák valós értéke az adatszolgáltatási vonatkozási időpontban, az elszámolás módjától függetlenül.</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Származtatott ügyletek negatív valós értékkel – könyv szerinti érték</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államháztartásokkal szembeni kitettségekre értékesített, az adatszolgáltatási vonatkozási időpontban az intézmény számára negatív valós értékkel rendelkező hitelderivatívák összesített könyv szerinti értéke prudens értékelési korrekciók nélkül.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Az IFRS szerint elszámolt származtatott ügyletek esetében az ezen oszlopban jelentendő érték a pénzügyi kötelezettségek közé sorolt derivatívák könyv szerinti értéke az adatszolgáltatás időpontjában.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A BAD alapján kidolgozott nemzeti GAAP szerint elszámolt származtatott ügyletek esetében az ezen oszlopban jelentendő érték a negatív valós értékkel rendelkező derivatívák valós értéke az adatszolgáltatási vonatkozási időpontban, az elszámolás módjától függetlenül.</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Kitettségérték</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hitelkockázati módszerek alapján értékelt kitettségek kitettségértéke.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sztenderd módszer szerint értékelt kitettségek esetében: Lásd a CRR 111. cikkét. A belső minősítésen alapuló módszer szerint értékelt kitettségek esetében: lásd a CRR 166. cikkét és 230. cikke (1) bekezdésének második mondatát.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Azon származtatott ügyletekkel kapcsolatban, amelyekre partnerkockázati és piaci kockázati tőkekövetelmény egyaránt vonatkozik, lásd a sorokra vonatkozó útmutatót.</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A 0270. és 0280. oszlopban feltüntetett kitettségeket ezen oszlop alkalmazásában nem kell figyelembe venni, mivel az ebben az oszlopban szereplő érték kizárólag a közvetlen kitettségeken alapul.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Kockázattal súlyozott kitettségérték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 hitelkockázati módszerek alapján értékelt kitettségek kockázattal súlyozott kitettségértéke.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sztenderd módszer szerint értékelt kitettségek esetében: lásd a CRR 113. cikkének (1)–(5) bekezdését. A belső minősítésen alapuló módszer szerint értékelt kitettségek esetében: lásd a CRR 153. cikkének (1) és (3) bekezdését.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CRR 271. cikkének hatálya alá tartozó azon közvetlen kitettségek adatszolgáltatásával kapcsolatban, amelyekre partnerkockázati és piaci kockázati szavatolótőke-követelmény egyaránt vonatkozik, lásd a sorokra vonatkozó útmutatót.</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A 0270. és 0280. oszlopban feltüntetett kitettségeket ezen oszlop alkalmazásában nem kell figyelembe venni, mivel az ebben az oszlopban szereplő érték kizárólag a közvetlen kitettségeken alapul.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Sorok</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Útmutató</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KITETTSÉGEK SZABÁLYOZÁSI MÓDSZER SZERINTI BONTÁSA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Teljes kitettség</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e melléklet 155–160. pontjában meghatározott államháztartásokkal szembeni összes kitettség.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Kitettségek a hitelkockázati módszerek alapján</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Az államháztartásokkal szembeni</w:t>
            </w:r>
            <w:r>
              <w:rPr>
                <w:rFonts w:ascii="Times New Roman" w:hAnsi="Times New Roman"/>
                <w:sz w:val="24"/>
              </w:rPr>
              <w:t xml:space="preserve">, a CRR </w:t>
            </w:r>
            <w:r>
              <w:rPr>
                <w:rFonts w:ascii="Times New Roman" w:hAnsi="Times New Roman"/>
                <w:bCs/>
                <w:sz w:val="24"/>
              </w:rPr>
              <w:t xml:space="preserve">harmadik részének II. címe szerint kockázattal súlyozott összes kitettség. A hitelkockázati módszerek alapján értékelt kitettségek közé tartoznak a partnerkockázati tőkekövetelmények hatálya alá tartozó kereskedési könyvi és nem kereskedési könyvi kitettségek.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A CRR 271. cikkének hatálya alá tartozó azon közvetlen kitettségeket, amelyekre partnerkockázati és piaci kockázati szavatolótőke-követelmény egyaránt vonatkozik, a hitelkockázati sorokban (0020–0155) és a piaci kockázati sorban (0160) egyaránt meg kell adni: a partnerkockázatból származó kitettségértéket a hitelkockázati sorokban, míg a piaci kockázatból származó kitettségértéket a piaci kockázati sorban kell jelenteni.</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Sztenderd módszer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CRR harmadik része II. címének 2. fejezete szerint kockázattal súlyozott államháztartási kitettségek, ideértve azokat a nem kereskedési könyvi kitettségeket is, amelyek említett fejezet szerinti kockázati súlyozása a partnerkockázattal is számol.</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Központi kormányzatok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 központi kormányzati alrendszereivel szembeni kitettségek. Ezeket a kitettségeket a C 07.00 tábla útmutatójának értelmében a CRR 112. és 114. cikkének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Regionális kormányzatok vagy helyi hatóságok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 regionális kormányzati vagy helyi hatósági alrendszereivel szembeni kitettségek. Ezeket a kitettségeket a C 07.00 tábla útmutatójának értelmében a CRR 112. és 115. cikkének megfelelően a „regionális kormányzatok vagy helyi hatóságok”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Közszektorbeli intézmények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 közszektorbeli intézményi alrendszerével szembeni kitettségek. Ezeket a kitettségeket a C 07.00 tábla útmutatójának értelmében a CRR 112. és 116. cikkének megfelelően a „közszektorbeli intézmények”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Nemzetközi szervezetek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Az államháztartásokhoz sorolt nemzetközi szervezetekkel szembeni kitettségek. Ezeket a kitettségeket a C 07.00 tábla útmutatójának értelmében a CRR 112. és 118. cikkének megfelelően a „nemzetközi szervezetek” kitettségi osztályokba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Egyéb államháztartási kitettségek a sztenderd módszer szerint</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A fenti 0040–0070 sorban szereplőktől eltérő államháztartási kitettségek, amelyeket a CRR 112. cikkével összhangban a szavatolótőke-követelmény kiszámítása céljából az SA kitettségi osztályokba kell sorolni.</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IRB módszer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CRR harmadik része II. címének 3. fejezete szerint kockázattal súlyozott államháztartási kitettségek, ideértve azokat a nem kereskedési könyvi kitettségeket is, amelyek említett fejezet szerinti kockázati súlyozása a partnerkockázattal is számol.</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Központi kormányzatok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 központi kormányzati alrendszereivel szembeni azon kitettségek, amelyeket a C 08.01 és C 08.02 tábla útmutatójának értelmében a CRR 147. cikke (3) bekezdése a) pontjának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Regionális kormányzatok vagy helyi hatóságok [Központi kormányzatok és központi bankok]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 regionális kormányzati vagy helyi hatósági alrendszereivel szembeni azon kitettségek, amelyeket a C 08.01 és C 08.02 tábla útmutatójának értelmében a CRR 147. cikke (3) bekezdése a) pontjának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Regionális kormányzatok vagy helyi hatóságok [Intézmények]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 regionális kormányzati vagy helyi hatósági alrendszereivel szembeni azon kitettségek, amelyeket a C 08.01 és C 08.02 tábla útmutatójának értelmében a CRR 147. cikke (4) bekezdése a) pontjának megfelelően az „intézmények”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Közszektorbeli intézmények [Központi kormányzatok és központi bankok]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 a CRR 4. cikkének (8) bekezdése szerinti közszektorbeli intézmények alrendszerével szembeni azon kitettségek, amelyeket a C 08.01 és C 08.02 tábla útmutatójának értelmében a CRR 147. cikke (3) bekezdése a) pontjának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Közszektorbeli intézmények [Intézmények]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 a CRR 4. cikkének (8) bekezdése szerinti közszektorbeli intézmények alrendszerével szembeni azon kitettségek, amelyeket a C 08.01 és C 08.02 tábla útmutatójának értelmében a CRR 147. cikke (4) bekezdése b) pontjának megfelelően az „intézmények”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lastRenderedPageBreak/>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Nemzetközi szervezetek [Központi kormányzatok és központi bankok]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államháztartásokhoz sorolt nemzetközi szervezetekkel szembeni azon kitettségek, amelyeket a C 08.01 és C 08.02 tábla útmutatójának értelmében a CRR 147. cikke (3) bekezdése c) pontjának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Egyéb államháztartási kitettségek az IRB módszer szerint</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A fenti 0090–0140 sorban szereplőktől eltérő államháztartási kitettségek, amelyeket a CRR 147. cikkével összhangban a szavatolótőke-követelmény kiszámítása céljából az IRB kitettségi osztályokba kell sorolni.</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Kitettségek a piaci kockázati módszer alapján</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Ez a sor azokat a pozíciókat tartalmazza, amelyekre a CRR harmadik része IV. címében meghatározott alábbi szavatolótőke-követelmények egyikét számítják ki:</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pozíciókockázathoz kapcsolódó szavatolótőke-követelmény a CRR 326. cikke szerint;</w:t>
            </w:r>
          </w:p>
          <w:p w:rsidR="00FD54FC" w:rsidRPr="00661595" w:rsidRDefault="00AB5C94" w:rsidP="000911FE">
            <w:pPr>
              <w:pStyle w:val="ListParagraph"/>
              <w:numPr>
                <w:ilvl w:val="0"/>
                <w:numId w:val="31"/>
              </w:numPr>
            </w:pPr>
            <w:r>
              <w:rPr>
                <w:rFonts w:ascii="Times New Roman" w:hAnsi="Times New Roman"/>
                <w:bCs/>
                <w:sz w:val="24"/>
              </w:rPr>
              <w:t xml:space="preserve">egyedi vagy általános kockázathoz kapcsolódó szavatolótőke-követelmény a CRR harmadik része IV. címének 5. fejezete szerint.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CRR 271. cikkének hatálya alá tartozó azon közvetlen kitettségeket, amelyekre partnerkockázati és piaci kockázati szavatolótőke-követelmény egyaránt vonatkozik, a hitelkockázati sorokban (0020–0155) és a piaci kockázati sorban (0160) egyaránt meg kell adni: a partnerkockázatból származó kitettségértéket a hitelkockázati sorokban, míg a piaci kockázatból származó kitettségértéket a piaci kockázati sorban kell jelenteni.</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KITETTSÉGEK HÁTRALÉVŐ FUTAMIDŐ SZERINTI BONTÁSA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 hátralévő futamidő az összes pozíció esetében a szerződéses lejárati nap és az adatszolgáltatási vonatkozási időpont közötti napok száma.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Az államháztartásokkal szembeni kitettségeket hátralévő futamidő szerinti bontásban a következő szegmensekbe kell sorolni: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[0 – 3 HÓNAP [</w:t>
            </w:r>
            <w:r>
              <w:rPr>
                <w:rFonts w:ascii="Times New Roman" w:hAnsi="Times New Roman"/>
                <w:bCs/>
                <w:sz w:val="24"/>
              </w:rPr>
              <w:t xml:space="preserve"> : 90 napnál kevesebb;</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 HÓNAP – 1 ÉV [</w:t>
            </w:r>
            <w:r>
              <w:rPr>
                <w:rFonts w:ascii="Times New Roman" w:hAnsi="Times New Roman"/>
                <w:bCs/>
                <w:sz w:val="24"/>
              </w:rPr>
              <w:t xml:space="preserve"> : 90 nap vagy több, de 365 napnál kevesebb;</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 ÉV – 2 ÉV [</w:t>
            </w:r>
            <w:r>
              <w:rPr>
                <w:rFonts w:ascii="Times New Roman" w:hAnsi="Times New Roman"/>
                <w:bCs/>
                <w:sz w:val="24"/>
              </w:rPr>
              <w:t xml:space="preserve"> : 365 nap vagy több, de 730 napnál kevesebb;</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[ 2 ÉV – 3 ÉV [</w:t>
            </w:r>
            <w:r>
              <w:rPr>
                <w:rFonts w:ascii="Times New Roman" w:hAnsi="Times New Roman"/>
                <w:bCs/>
                <w:sz w:val="24"/>
              </w:rPr>
              <w:t xml:space="preserve"> : 730 nap vagy több, de 1 095 napnál kevesebb;</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 ÉV – 5 ÉV [</w:t>
            </w:r>
            <w:r>
              <w:rPr>
                <w:rFonts w:ascii="Times New Roman" w:hAnsi="Times New Roman"/>
                <w:bCs/>
                <w:sz w:val="24"/>
              </w:rPr>
              <w:t xml:space="preserve"> : 1 095 nap vagy több, de 1 825 napnál kevesebb;</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[ 5 ÉV – 10 ÉV [</w:t>
            </w:r>
            <w:r>
              <w:rPr>
                <w:rFonts w:ascii="Times New Roman" w:hAnsi="Times New Roman"/>
                <w:bCs/>
                <w:sz w:val="24"/>
              </w:rPr>
              <w:t xml:space="preserve"> : 1 825 nap vagy több, de 3 650 napnál kevesebb;</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[10 ÉV – hosszabb</w:t>
            </w:r>
            <w:r>
              <w:rPr>
                <w:rFonts w:ascii="Times New Roman" w:hAnsi="Times New Roman"/>
                <w:bCs/>
                <w:sz w:val="24"/>
              </w:rPr>
              <w:t xml:space="preserve"> : 3 650 nap vagy több.</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lastRenderedPageBreak/>
              <w:t>Amennyiben a szerződés szerinti lejárati időpont korábbi, mint az adatszolgáltatási vonatkozási időpont (azaz az adatszolgáltatási vonatkozási időpont és a lejárati időpont közötti különbség negatív érték), a kitettséget a [0–3 HÓNAP] kategóriába kell sorolni.</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A hátralévő futamidővel nem rendelkező kitettségeket a felmondási idejük vagy a lejáratra vonatkozó egyéb szerződéses utalások alapján kell hozzárendelni a hátralévő futamidő szerinti kategóriához.  Ha nincs előre meghatározott felmondási idő vagy a lejáratra vonatkozó egyéb szerződéses utalás, a kitettségeket a [10 ÉV – hosszabb] csoportba kell sorolni.</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8858731"/>
      <w:bookmarkStart w:id="781" w:name="_Toc522019774"/>
      <w:r>
        <w:rPr>
          <w:rFonts w:ascii="Times New Roman" w:hAnsi="Times New Roman"/>
          <w:sz w:val="24"/>
          <w:u w:val="none"/>
        </w:rPr>
        <w:t>8.</w:t>
      </w:r>
      <w:r w:rsidRPr="008D60DC">
        <w:rPr>
          <w:u w:val="none"/>
        </w:rPr>
        <w:tab/>
      </w:r>
      <w:r>
        <w:rPr>
          <w:rFonts w:ascii="Times New Roman" w:hAnsi="Times New Roman"/>
          <w:sz w:val="24"/>
          <w:u w:val="none"/>
        </w:rPr>
        <w:t>Nemteljesítő kitettségek veszteségfedezete (NPE LC)</w:t>
      </w:r>
      <w:bookmarkEnd w:id="779"/>
      <w:bookmarkEnd w:id="780"/>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858732"/>
      <w:r>
        <w:rPr>
          <w:rFonts w:ascii="Times New Roman" w:hAnsi="Times New Roman"/>
          <w:sz w:val="24"/>
          <w:u w:val="none"/>
        </w:rPr>
        <w:t>8.1.</w:t>
      </w:r>
      <w:r w:rsidRPr="008D60DC">
        <w:rPr>
          <w:u w:val="none"/>
        </w:rPr>
        <w:tab/>
      </w:r>
      <w:r>
        <w:rPr>
          <w:rFonts w:ascii="Times New Roman" w:hAnsi="Times New Roman"/>
          <w:sz w:val="24"/>
          <w:u w:val="none"/>
        </w:rPr>
        <w:t>Általános megjegyzések</w:t>
      </w:r>
      <w:bookmarkEnd w:id="782"/>
      <w:bookmarkEnd w:id="783"/>
      <w:r>
        <w:rPr>
          <w:rFonts w:ascii="Times New Roman" w:hAnsi="Times New Roman"/>
          <w:sz w:val="24"/>
          <w:u w:val="none"/>
        </w:rPr>
        <w:t xml:space="preserve"> </w:t>
      </w:r>
    </w:p>
    <w:p w:rsidR="00DD00B4" w:rsidRPr="00751FBE" w:rsidRDefault="0055388B" w:rsidP="00487A02">
      <w:pPr>
        <w:pStyle w:val="InstructionsText2"/>
        <w:numPr>
          <w:ilvl w:val="0"/>
          <w:numId w:val="0"/>
        </w:numPr>
        <w:ind w:left="1353" w:hanging="360"/>
        <w:rPr>
          <w:noProof/>
        </w:rPr>
      </w:pPr>
      <w:fldSimple w:instr=" seq paragraphs ">
        <w:r w:rsidR="00840A22">
          <w:t>200</w:t>
        </w:r>
      </w:fldSimple>
      <w:r w:rsidR="00840A22">
        <w:t>. A nemteljesítő kitettségek veszteségfedezeti táblái a nemteljesítő kitettségekre vonatkozó, a CRR 47a., 47b. és 47c. cikkében meghatározott minimális veszteségfedezeti követelmény kiszámítása céljából információkat tartalmaznak a nemteljesítő kitettségekről.</w:t>
      </w:r>
    </w:p>
    <w:p w:rsidR="00DD00B4" w:rsidRPr="00751FBE" w:rsidRDefault="0055388B" w:rsidP="00487A02">
      <w:pPr>
        <w:pStyle w:val="InstructionsText2"/>
        <w:numPr>
          <w:ilvl w:val="0"/>
          <w:numId w:val="0"/>
        </w:numPr>
        <w:ind w:left="1353" w:hanging="360"/>
      </w:pPr>
      <w:fldSimple w:instr=" seq paragraphs ">
        <w:r w:rsidR="00D11E4C">
          <w:t>201</w:t>
        </w:r>
      </w:fldSimple>
      <w:r w:rsidR="00D11E4C">
        <w:t>. A táblacsoport három táblából áll:</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A nemteljesítő kitettségekhez kapcsolódó levonások kiszámítása (C 35.01): ez egy áttekintő tábla, amely feltünteti az elégtelen fedezet alkalmazandó összegét, amelyet a nemteljesítő kitettségekre vonatkozó teljes fedezeti minimumkövetelmény és a céltartalékok, valamint a már elvégzett kiigazítások vagy levonások összegének különbségeként kell kiszámítani. A tábla tartalmazza mindazokat a nemteljesítő kitettségeket, amelyek átstrukturálására nem került sor, mind pedig a nemteljesítő átstrukturált kitettségeket.</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A nemteljesítő kitettségekre vonatkozó fedezeti minimumkövetelmények és kitettségértékek, kivéve a CRR 47c. cikke (6) bekezdésének hatálya alá tartozó átstrukturált kitettségeket (C 35.02): a tábla a CRR 47c. cikke (6) bekezdésének hatálya alá tartozó nemteljesítő átstrukturált kitettségeknek nem minősülő nemteljesítő kitettségekre vonatkozó teljes fedezeti minimumkövetelmény számítására szolgál, feltüntetve az e számítás céljából a kitettségértékekre alkalmazandó szorzókat, figyelembe véve, hogy a kitettség fedezett vagy fedezetlen-e, valamint azt az időtartamot, ami a kitettség nemteljesítővé történő besorolása óta eltelt.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CRR 47c. cikke (6) bekezdésének hatálya alá tartozó átstrukturált nemteljesítő kitettségekre vonatkozó fedezeti minimumkövetelmények és kitettségértékek (C 35.03): a tábla a CRR 47c. cikke (6) bekezdésének hatálya alá tartozó nemteljesítő átstrukturált kitettségekre vonatkozó teljes fedezeti minimumkövetelmények számítására szolgál, feltüntetve az e számítás céljából a kitettségértékekre alkalmazandó szorzókat, és figyelembe véve, hogy a kitettség fedezett vagy fedezetlen-e, valamint azt az időtartamot, ami a kitettség nemteljesítővé történő besorolása óta eltelt.  </w:t>
      </w:r>
    </w:p>
    <w:p w:rsidR="00DD00B4" w:rsidRPr="00771068" w:rsidRDefault="0055388B" w:rsidP="00487A02">
      <w:pPr>
        <w:pStyle w:val="InstructionsText2"/>
        <w:numPr>
          <w:ilvl w:val="0"/>
          <w:numId w:val="0"/>
        </w:numPr>
        <w:ind w:left="1353" w:hanging="360"/>
      </w:pPr>
      <w:fldSimple w:instr=" seq paragraphs ">
        <w:r w:rsidR="00D11E4C">
          <w:t>202</w:t>
        </w:r>
      </w:fldSimple>
      <w:r w:rsidR="00D11E4C">
        <w:t xml:space="preserve">.  A nemteljesítő kitettségekre vonatkozó veszteségfedezeti minimumkövetelmény a következő kitettségekre vonatkozik: i. a 2019. április 26-án vagy azt követően keletkeztetett, nemteljesítővé vált kitettségek és ii. a 2019. április 26. előtt </w:t>
      </w:r>
      <w:r w:rsidR="00D11E4C">
        <w:lastRenderedPageBreak/>
        <w:t>keletkeztetett, nemteljesítővé vált kitettségek, amennyiben azokat az említett időpontot követően oly módon módosítják, hogy az növeli az intézmény kötelezettel szembeni kitettségét (a CRR 469a. cikke).</w:t>
      </w:r>
    </w:p>
    <w:p w:rsidR="00DD00B4" w:rsidRPr="00751FBE" w:rsidRDefault="0055388B" w:rsidP="00487A02">
      <w:pPr>
        <w:pStyle w:val="InstructionsText2"/>
        <w:numPr>
          <w:ilvl w:val="0"/>
          <w:numId w:val="0"/>
        </w:numPr>
        <w:ind w:left="1353" w:hanging="360"/>
      </w:pPr>
      <w:fldSimple w:instr=" seq paragraphs ">
        <w:r w:rsidR="00D11E4C">
          <w:t>203</w:t>
        </w:r>
      </w:fldSimple>
      <w:r w:rsidR="00D11E4C">
        <w:t>. Az intézményeknek a nemteljesítő kitettségekhez kapcsolódó levonásokat, beleértve a minimális fedezeti követelményeket, valamint a céltartalékok,  a kiigazítások vagy levonások összegét, a CRR 47c. cikke (1) bekezdésének a) és b) pontja szerint kell kiszámítaniuk az egyedi kitettségek szintjén („tranzakciós alapon”), nem pedig az adós vagy a portfólió szintjén.</w:t>
      </w:r>
    </w:p>
    <w:p w:rsidR="00DD00B4" w:rsidRPr="00751FBE" w:rsidRDefault="0055388B" w:rsidP="00487A02">
      <w:pPr>
        <w:pStyle w:val="InstructionsText2"/>
        <w:numPr>
          <w:ilvl w:val="0"/>
          <w:numId w:val="0"/>
        </w:numPr>
        <w:ind w:left="1353" w:hanging="360"/>
      </w:pPr>
      <w:fldSimple w:instr=" seq paragraphs ">
        <w:r w:rsidR="00D11E4C">
          <w:t>204</w:t>
        </w:r>
      </w:fldSimple>
      <w:r w:rsidR="00D11E4C">
        <w:t>. A nemteljesítő kitettségekhez kapcsolódó levonások kiszámítása céljából az intézményeknek a CRR 47c. cikkének (1) bekezdésével összhangban különbséget kell tenniük a nemteljesítő kitettségek fedezetlen és fedezett része között. E célból az intézményeknek külön kell feltüntetniük a kitettségértékeket és a fedezeti minimumkövetelményeket a nemteljesítő kitettségek fedezetlen és fedezett részére vonatkozóan.</w:t>
      </w:r>
    </w:p>
    <w:p w:rsidR="00DD00B4" w:rsidRPr="00751FBE" w:rsidRDefault="0055388B" w:rsidP="00487A02">
      <w:pPr>
        <w:pStyle w:val="InstructionsText2"/>
        <w:numPr>
          <w:ilvl w:val="0"/>
          <w:numId w:val="0"/>
        </w:numPr>
        <w:ind w:left="1353" w:hanging="360"/>
      </w:pPr>
      <w:fldSimple w:instr=" seq paragraphs ">
        <w:r w:rsidR="00D11E4C">
          <w:t>205</w:t>
        </w:r>
      </w:fldSimple>
      <w:r w:rsidR="00D11E4C">
        <w:t xml:space="preserve">. A releváns alkalmazandó szorzók hozzárendelése és a fedezeti minimumkövetelmények kiszámítása céljából az intézményeknek a nemteljesítő kitettségek fedezett részét a hitelkockázati fedezet típusától függően a CRR 47c. cikkének (3) bekezdésével összhangban a következőképpen kell besorolniuk: i. „ingatlannal fedezett vagy a 201. cikkben említett elismert fedezetnyújtó által garantált lakáshitel”, ii. „egyéb előre rendelkezésre bocsátott vagy előre nem rendelkezésre bocsátott hitelkockázati fedezettel fedezett” vagy iii. „hivatalos exporthitel-ügynökség által garantált vagy biztosított”. Ha a nemteljesítő kitettséget egynél több típusú hitelkockázati fedezet fedezi, kitettségértékét a hitelkockázati fedezet minősége szerint kell felosztani, a legjobb minőségűtől kezdve.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858733"/>
      <w:r>
        <w:rPr>
          <w:rFonts w:ascii="Times New Roman" w:hAnsi="Times New Roman"/>
          <w:sz w:val="24"/>
          <w:u w:val="none"/>
        </w:rPr>
        <w:t xml:space="preserve">8.2. C 35.01 – </w:t>
      </w:r>
      <w:bookmarkEnd w:id="781"/>
      <w:r>
        <w:rPr>
          <w:rFonts w:ascii="Times New Roman" w:hAnsi="Times New Roman"/>
          <w:sz w:val="24"/>
          <w:u w:val="none"/>
        </w:rPr>
        <w:t>C 35.01– A NEMTELJESÍTŐ KITETTSÉGEKHEZ KAPCSOLÓDÓ LEVONÁSOK KISZÁMÍTÁSA (NPE LC1)</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858734"/>
      <w:r>
        <w:rPr>
          <w:rFonts w:ascii="Times New Roman" w:hAnsi="Times New Roman"/>
          <w:sz w:val="24"/>
        </w:rPr>
        <w:t>A tábla egyes részeire vonatkozó útmutató</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Oszlop</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Útmutató</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 kitettségek nemteljesítőként történő besorolása óta eltelt idő</w:t>
            </w:r>
          </w:p>
          <w:p w:rsidR="00DD00B4" w:rsidRPr="00661595" w:rsidRDefault="00DD00B4" w:rsidP="00DD00B4">
            <w:pPr>
              <w:rPr>
                <w:rFonts w:ascii="Times New Roman" w:hAnsi="Times New Roman"/>
                <w:sz w:val="24"/>
              </w:rPr>
            </w:pPr>
            <w:r>
              <w:rPr>
                <w:rFonts w:ascii="Times New Roman" w:hAnsi="Times New Roman"/>
                <w:sz w:val="24"/>
              </w:rPr>
              <w:t xml:space="preserve">A „kitettségek nemteljesítőként történő besorolása óta eltelt idő” a kitettség nemteljesítőként való besorolása és a vonatkozási időpont között eltelt időt jelenti években kifejezve. Vásárolt nemteljesítő kitettségek esetében az években kifejezett időtartam attól az időponttól kezdődik, amikor a kitettségeket eredetileg nemteljesítőként sorolták be, nem pedig a vásárlás időpontjától. </w:t>
            </w:r>
          </w:p>
          <w:p w:rsidR="00DD00B4" w:rsidRPr="00661595" w:rsidRDefault="00DD00B4" w:rsidP="00DD00B4">
            <w:pPr>
              <w:rPr>
                <w:rFonts w:ascii="Times New Roman" w:hAnsi="Times New Roman"/>
                <w:sz w:val="24"/>
              </w:rPr>
            </w:pPr>
            <w:r>
              <w:rPr>
                <w:rFonts w:ascii="Times New Roman" w:hAnsi="Times New Roman"/>
                <w:sz w:val="24"/>
              </w:rPr>
              <w:t>Az intézményeknek adatot kell szolgáltatniuk azokról a kitettségekről, amelyek esetében a vonatkozási időpont a kitettségek nemteljesítőként való besorolása óta eltelt évek számát jelző, megfelelő időintervallumba esik, eltekintve az átstrukturálási intézkedések alkalmazásától.</w:t>
            </w:r>
          </w:p>
          <w:p w:rsidR="00DD00B4" w:rsidRPr="00661595" w:rsidRDefault="00DD00B4" w:rsidP="00DD00B4">
            <w:pPr>
              <w:rPr>
                <w:rFonts w:ascii="Times New Roman" w:hAnsi="Times New Roman"/>
                <w:sz w:val="24"/>
              </w:rPr>
            </w:pPr>
            <w:r>
              <w:rPr>
                <w:rFonts w:ascii="Times New Roman" w:hAnsi="Times New Roman"/>
                <w:sz w:val="24"/>
              </w:rPr>
              <w:t xml:space="preserve">A „&gt; X év és ≤ Y év” időintervallumok tekintetében az intézményeknek azokról a kitettségekről kell adatot szolgáltatniuk, amelyek esetében a vonatkozási időpont a kitettségek </w:t>
            </w:r>
            <w:r>
              <w:rPr>
                <w:rFonts w:ascii="Times New Roman" w:hAnsi="Times New Roman"/>
                <w:sz w:val="24"/>
              </w:rPr>
              <w:lastRenderedPageBreak/>
              <w:t>nemteljesítőként való besorolását követő Y-adik év első és utolsó napja közötti időszakba esik.</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Összesen</w:t>
            </w:r>
          </w:p>
          <w:p w:rsidR="00DD00B4" w:rsidRPr="00661595" w:rsidRDefault="00DD00B4" w:rsidP="00DD00B4">
            <w:pPr>
              <w:rPr>
                <w:rFonts w:ascii="Times New Roman" w:hAnsi="Times New Roman"/>
                <w:sz w:val="24"/>
              </w:rPr>
            </w:pPr>
            <w:r>
              <w:rPr>
                <w:rFonts w:ascii="Times New Roman" w:hAnsi="Times New Roman"/>
                <w:sz w:val="24"/>
              </w:rPr>
              <w:t>Az intézményeknek a 0010. és 0100. közötti oszlopok összegét kell megadniuk.</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Sorok</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Útmutató</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Az elégtelen fedezet alkalmazandó összege</w:t>
            </w:r>
          </w:p>
          <w:p w:rsidR="00DD00B4" w:rsidRPr="00661595" w:rsidRDefault="002327CE" w:rsidP="00DD00B4">
            <w:pPr>
              <w:rPr>
                <w:rFonts w:ascii="Times New Roman" w:hAnsi="Times New Roman"/>
                <w:sz w:val="24"/>
              </w:rPr>
            </w:pPr>
            <w:r>
              <w:rPr>
                <w:rFonts w:ascii="Times New Roman" w:hAnsi="Times New Roman"/>
                <w:sz w:val="24"/>
              </w:rPr>
              <w:t>A CRR 47c. cikkének (1) bekezdése</w:t>
            </w:r>
          </w:p>
          <w:p w:rsidR="00DD00B4" w:rsidRPr="00661595" w:rsidRDefault="00DD00B4" w:rsidP="00DD00B4">
            <w:pPr>
              <w:rPr>
                <w:rFonts w:ascii="Times New Roman" w:hAnsi="Times New Roman"/>
                <w:sz w:val="24"/>
              </w:rPr>
            </w:pPr>
            <w:r>
              <w:rPr>
                <w:rFonts w:ascii="Times New Roman" w:hAnsi="Times New Roman"/>
                <w:sz w:val="24"/>
              </w:rPr>
              <w:t>Az elégtelen fedezet alkalmazandó összegének kiszámításához az intézményeknek a nemteljesítő kitettségekre vonatkozó teljes fedezeti minimumkövetelményből (0020. sor) le kell vonniuk a céltartalékok, kiigazítások vagy levonások (felső korlátos) összegét (0080. sor).</w:t>
            </w:r>
          </w:p>
          <w:p w:rsidR="00DD00B4" w:rsidRPr="00661595" w:rsidRDefault="00DD00B4" w:rsidP="00DD00B4">
            <w:pPr>
              <w:rPr>
                <w:rFonts w:ascii="Times New Roman" w:hAnsi="Times New Roman"/>
                <w:sz w:val="24"/>
              </w:rPr>
            </w:pPr>
            <w:r>
              <w:rPr>
                <w:rFonts w:ascii="Times New Roman" w:hAnsi="Times New Roman"/>
                <w:sz w:val="24"/>
              </w:rPr>
              <w:t>Az elégtelen fedezet alkalmazandó összege (azaz a nemteljesítő kitettségekre vonatkozó teljes fedezeti minimumkövetelmény hiányzó része) nem lehet kisebb nullánál.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Teljes fedezeti minimumkövetelmény</w:t>
            </w:r>
          </w:p>
          <w:p w:rsidR="00DD00B4" w:rsidRPr="00661595" w:rsidRDefault="00DD00B4" w:rsidP="00DD00B4">
            <w:pPr>
              <w:rPr>
                <w:rFonts w:ascii="Times New Roman" w:hAnsi="Times New Roman"/>
                <w:sz w:val="24"/>
              </w:rPr>
            </w:pPr>
            <w:r>
              <w:rPr>
                <w:rFonts w:ascii="Times New Roman" w:hAnsi="Times New Roman"/>
                <w:sz w:val="24"/>
              </w:rPr>
              <w:t>A CRR 47c. cikke (1) bekezdésének a) pontja</w:t>
            </w:r>
          </w:p>
          <w:p w:rsidR="00DD00B4" w:rsidRPr="00661595" w:rsidRDefault="00DD00B4" w:rsidP="00DD00B4">
            <w:pPr>
              <w:rPr>
                <w:rFonts w:ascii="Times New Roman" w:hAnsi="Times New Roman"/>
                <w:sz w:val="24"/>
              </w:rPr>
            </w:pPr>
            <w:r>
              <w:rPr>
                <w:rFonts w:ascii="Times New Roman" w:hAnsi="Times New Roman"/>
                <w:sz w:val="24"/>
              </w:rPr>
              <w:t xml:space="preserve">A nemteljesítő kitettségekre vonatkozó teljes fedezeti minimumkövetelmény kiszámításához az intézményeknek össze kell adniuk a nemteljesítő kitettségek fedezetlen részére (0030. sor) és a nemteljesítő kitettségek fedezett részére (0040. sor) vonatkozó fedezeti minimumkövetelményt.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Nemteljesítő kitettségek fedezetlen része</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A CRR 47c. cikke (1) bekezdése a) pontjának i. alpontja, 47c. cikkének (2) és (6) bekezdése</w:t>
            </w:r>
          </w:p>
          <w:p w:rsidR="00DD00B4" w:rsidRPr="00661595" w:rsidRDefault="00A532F5" w:rsidP="00DD00B4">
            <w:pPr>
              <w:rPr>
                <w:rFonts w:ascii="Times New Roman" w:hAnsi="Times New Roman"/>
                <w:sz w:val="24"/>
              </w:rPr>
            </w:pPr>
            <w:r>
              <w:rPr>
                <w:rFonts w:ascii="Times New Roman" w:hAnsi="Times New Roman"/>
                <w:sz w:val="24"/>
              </w:rPr>
              <w:t xml:space="preserve">Az intézményeknek a nemteljesítő kitettségek fedezetlen részére vonatkozó teljes fedezeti minimumkövetelményt, azaz a kitettségek szintjén végzett számítások összesítését kell megadniuk. </w:t>
            </w:r>
          </w:p>
          <w:p w:rsidR="00DD00B4" w:rsidRPr="00661595" w:rsidRDefault="00DD00B4" w:rsidP="00DD00B4">
            <w:pPr>
              <w:rPr>
                <w:rFonts w:ascii="Times New Roman" w:hAnsi="Times New Roman"/>
                <w:sz w:val="24"/>
              </w:rPr>
            </w:pPr>
            <w:r>
              <w:rPr>
                <w:rFonts w:ascii="Times New Roman" w:hAnsi="Times New Roman"/>
                <w:sz w:val="24"/>
              </w:rPr>
              <w:t xml:space="preserve">Az egyes oszlopokban feltüntetett összeg megegyezik a C 35.02 tábla 0020. sorában és (adott esetben) a C 35.03 tábla 0020. sorában a megfelelő oszlopokban megadott értékek összegével.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Nemteljesítő kitettségek fedezett része</w:t>
            </w:r>
          </w:p>
          <w:p w:rsidR="00DD00B4" w:rsidRPr="00661595" w:rsidRDefault="00DD00B4" w:rsidP="00DD00B4">
            <w:pPr>
              <w:rPr>
                <w:rFonts w:ascii="Times New Roman" w:hAnsi="Times New Roman"/>
                <w:sz w:val="24"/>
              </w:rPr>
            </w:pPr>
            <w:r>
              <w:rPr>
                <w:rFonts w:ascii="Times New Roman" w:hAnsi="Times New Roman"/>
                <w:sz w:val="24"/>
              </w:rPr>
              <w:t>A CRR 47c. cikke (1) bekezdése a) pontjának ii. alpontja, 47c. cikkének (3), (4) és (6) bekezdése.</w:t>
            </w:r>
          </w:p>
          <w:p w:rsidR="00DD00B4" w:rsidRPr="00661595" w:rsidRDefault="00A532F5" w:rsidP="00DD00B4">
            <w:pPr>
              <w:rPr>
                <w:rFonts w:ascii="Times New Roman" w:hAnsi="Times New Roman"/>
                <w:sz w:val="24"/>
              </w:rPr>
            </w:pPr>
            <w:r>
              <w:rPr>
                <w:rFonts w:ascii="Times New Roman" w:hAnsi="Times New Roman"/>
                <w:sz w:val="24"/>
              </w:rPr>
              <w:t>Az intézményeknek a nemteljesítő kitettségek fedezett részére vonatkozó teljes fedezeti minimumkövetelményt, azaz a kitettségek szintjén végzett számítások összesítését kell megadniuk.</w:t>
            </w:r>
          </w:p>
          <w:p w:rsidR="00DD00B4" w:rsidRPr="00661595" w:rsidRDefault="00DD00B4" w:rsidP="00DD00B4">
            <w:pPr>
              <w:rPr>
                <w:rFonts w:ascii="Times New Roman" w:hAnsi="Times New Roman"/>
                <w:b/>
                <w:sz w:val="24"/>
                <w:u w:val="single"/>
              </w:rPr>
            </w:pPr>
            <w:r>
              <w:rPr>
                <w:rFonts w:ascii="Times New Roman" w:hAnsi="Times New Roman"/>
                <w:sz w:val="24"/>
              </w:rPr>
              <w:t>Az egyes oszlopokban feltüntetett összeg megegyezik a C 35.02 tábla 0030–0050. sorában és (adott esetben) a C 35.03 tábla 0030–0040. sorában a megfelelő oszlopokban megadott értékek összegével.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Kitettségérték</w:t>
            </w:r>
          </w:p>
          <w:p w:rsidR="00DD00B4" w:rsidRPr="00661595" w:rsidRDefault="00DD00B4" w:rsidP="00DD00B4">
            <w:pPr>
              <w:rPr>
                <w:rFonts w:ascii="Times New Roman" w:hAnsi="Times New Roman"/>
                <w:sz w:val="24"/>
              </w:rPr>
            </w:pPr>
            <w:r>
              <w:rPr>
                <w:rFonts w:ascii="Times New Roman" w:hAnsi="Times New Roman"/>
                <w:sz w:val="24"/>
              </w:rPr>
              <w:t>A CRR 47a. cikkének (2) bekezdése</w:t>
            </w:r>
          </w:p>
          <w:p w:rsidR="00DD00B4" w:rsidRPr="00661595" w:rsidRDefault="00DD00B4" w:rsidP="00DD00B4">
            <w:pPr>
              <w:rPr>
                <w:rFonts w:ascii="Times New Roman" w:hAnsi="Times New Roman"/>
                <w:sz w:val="24"/>
              </w:rPr>
            </w:pPr>
            <w:r>
              <w:rPr>
                <w:rFonts w:ascii="Times New Roman" w:hAnsi="Times New Roman"/>
                <w:sz w:val="24"/>
              </w:rPr>
              <w:t xml:space="preserve">Az intézményeknek a nemteljesítő kitettségek teljes kitettségértékét kell megadniuk, beleértve a fedezetlen és a fedezett kitettségeket is. Ez a 0060. és a 0070. sor összege.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Nemteljesítő kitettségek fedezetlen része</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A CRR 47a. cikkének (2) bekezdése és 47c. cikkének (1) bekezdése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Nemteljesítő kitettségek fedezett része</w:t>
            </w:r>
          </w:p>
          <w:p w:rsidR="00DD00B4" w:rsidRPr="00661595" w:rsidRDefault="00623EAD" w:rsidP="00DD00B4">
            <w:pPr>
              <w:rPr>
                <w:rFonts w:ascii="Times New Roman" w:hAnsi="Times New Roman"/>
                <w:b/>
                <w:sz w:val="24"/>
                <w:u w:val="single"/>
              </w:rPr>
            </w:pPr>
            <w:r>
              <w:rPr>
                <w:rFonts w:ascii="Times New Roman" w:hAnsi="Times New Roman"/>
                <w:sz w:val="24"/>
              </w:rPr>
              <w:t>A CRR 47a. cikkének (2) bekezdése és 47c. cikkének (1) bekezdése</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Céltartalékok és kiigazítások vagy levonások összesen (felső korláttal)</w:t>
            </w:r>
          </w:p>
          <w:p w:rsidR="00DD00B4" w:rsidRPr="00661595" w:rsidRDefault="00DD00B4" w:rsidP="00DD00B4">
            <w:pPr>
              <w:rPr>
                <w:rFonts w:ascii="Times New Roman" w:hAnsi="Times New Roman"/>
                <w:sz w:val="24"/>
              </w:rPr>
            </w:pPr>
            <w:r>
              <w:rPr>
                <w:rFonts w:ascii="Times New Roman" w:hAnsi="Times New Roman"/>
                <w:sz w:val="24"/>
              </w:rPr>
              <w:t>A CRR 47c. cikke (1) bekezdése b) pontjának megfelelően az intézményeknek a 0100–0150. sorban felsorolt tételek felső korlátos összegét kell megadniuk. A céltartalékok és kiigazítások vagy levonások felső korlátja a kitettségi szinten számított fedezeti minimumkövetelmény.</w:t>
            </w:r>
          </w:p>
          <w:p w:rsidR="00DD00B4" w:rsidRPr="00661595" w:rsidRDefault="00DD00B4" w:rsidP="00DD00B4">
            <w:pPr>
              <w:rPr>
                <w:rFonts w:ascii="Times New Roman" w:hAnsi="Times New Roman"/>
                <w:sz w:val="24"/>
              </w:rPr>
            </w:pPr>
            <w:r>
              <w:rPr>
                <w:rFonts w:ascii="Times New Roman" w:hAnsi="Times New Roman"/>
                <w:sz w:val="24"/>
              </w:rPr>
              <w:t>A felső korlátos összeget az egyes kitettségekre külön-külön kell kiszámítani, és az az adott kitettségre vonatkozó fedezeti minimumkövetelmény, illetve az ugyanazon kitettségre képzett céltartalékok, kiigazítások vagy levonások összege közül az alacsonyabb összeg.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Céltartalékok és kiigazítások vagy levonások összesen (felső korlát nélkül)</w:t>
            </w:r>
          </w:p>
          <w:p w:rsidR="00DD00B4" w:rsidRPr="00C4623C" w:rsidRDefault="00DD00B4" w:rsidP="00DD00B4">
            <w:pPr>
              <w:jc w:val="left"/>
              <w:rPr>
                <w:rFonts w:ascii="Times New Roman" w:hAnsi="Times New Roman"/>
                <w:sz w:val="24"/>
              </w:rPr>
            </w:pPr>
            <w:r>
              <w:rPr>
                <w:rFonts w:ascii="Times New Roman" w:hAnsi="Times New Roman"/>
                <w:sz w:val="24"/>
              </w:rPr>
              <w:t xml:space="preserve">A CRR 47c. cikke (1) bekezdése b) pontjának megfelelően az intézményeknek a 0100–0150. sorban felsorolt tételek felső korlát nélküli összegét kell megadniuk. A felső korlát nélküli céltartalékok és kiigazítások vagy levonások nem korlátozódnak a kitettségi szinten számított fedezeti minimumkövetelmény összegére.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Egyedi hitelkockázati kiigazítások</w:t>
            </w:r>
          </w:p>
          <w:p w:rsidR="00DD00B4" w:rsidRPr="00661595" w:rsidRDefault="00DD00B4" w:rsidP="00DD00B4">
            <w:pPr>
              <w:jc w:val="left"/>
              <w:rPr>
                <w:rFonts w:ascii="Times New Roman" w:hAnsi="Times New Roman"/>
                <w:sz w:val="24"/>
              </w:rPr>
            </w:pPr>
            <w:r>
              <w:rPr>
                <w:rFonts w:ascii="Times New Roman" w:hAnsi="Times New Roman"/>
                <w:sz w:val="24"/>
              </w:rPr>
              <w:t>A CRR 47c. cikke (1) bekezdése b) pontjának i. alpontja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További értékelési korrekciók</w:t>
            </w:r>
          </w:p>
          <w:p w:rsidR="00DD00B4" w:rsidRPr="00661595" w:rsidRDefault="00DD00B4" w:rsidP="00DD00B4">
            <w:pPr>
              <w:jc w:val="left"/>
              <w:rPr>
                <w:rFonts w:ascii="Times New Roman" w:hAnsi="Times New Roman"/>
                <w:b/>
                <w:sz w:val="24"/>
                <w:u w:val="single"/>
              </w:rPr>
            </w:pPr>
            <w:r>
              <w:rPr>
                <w:rFonts w:ascii="Times New Roman" w:hAnsi="Times New Roman"/>
                <w:sz w:val="24"/>
              </w:rPr>
              <w:t>A CRR 47c. cikke (1) bekezdése b) pontjának ii. alpontja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Egyéb szavatolótőke-csökkentések</w:t>
            </w:r>
          </w:p>
          <w:p w:rsidR="00DD00B4" w:rsidRPr="00661595" w:rsidRDefault="00DD00B4" w:rsidP="00DD00B4">
            <w:pPr>
              <w:jc w:val="left"/>
              <w:rPr>
                <w:rFonts w:ascii="Times New Roman" w:hAnsi="Times New Roman"/>
                <w:b/>
                <w:sz w:val="24"/>
                <w:u w:val="single"/>
              </w:rPr>
            </w:pPr>
            <w:r>
              <w:rPr>
                <w:rFonts w:ascii="Times New Roman" w:hAnsi="Times New Roman"/>
                <w:sz w:val="24"/>
              </w:rPr>
              <w:t>A CRR 47c. cikke (1) bekezdése b) pontjának iii. alpontja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IRB szerinti hiány</w:t>
            </w:r>
          </w:p>
          <w:p w:rsidR="00DD00B4" w:rsidRPr="00661595" w:rsidRDefault="00DD00B4" w:rsidP="00DD00B4">
            <w:pPr>
              <w:jc w:val="left"/>
              <w:rPr>
                <w:rFonts w:ascii="Times New Roman" w:hAnsi="Times New Roman"/>
                <w:b/>
                <w:sz w:val="24"/>
                <w:u w:val="single"/>
              </w:rPr>
            </w:pPr>
            <w:r>
              <w:rPr>
                <w:rFonts w:ascii="Times New Roman" w:hAnsi="Times New Roman"/>
                <w:sz w:val="24"/>
              </w:rPr>
              <w:t>A CRR 47c. cikke (1) bekezdése b) pontjának iv. alpontja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 vételár és az adós tartozásának összege közötti különbség</w:t>
            </w:r>
          </w:p>
          <w:p w:rsidR="00DD00B4" w:rsidRPr="00661595" w:rsidRDefault="00DD00B4" w:rsidP="00DD00B4">
            <w:pPr>
              <w:jc w:val="left"/>
              <w:rPr>
                <w:rFonts w:ascii="Times New Roman" w:hAnsi="Times New Roman"/>
                <w:b/>
                <w:sz w:val="24"/>
                <w:u w:val="single"/>
              </w:rPr>
            </w:pPr>
            <w:r>
              <w:rPr>
                <w:rFonts w:ascii="Times New Roman" w:hAnsi="Times New Roman"/>
                <w:sz w:val="24"/>
              </w:rPr>
              <w:t>A CRR 47c. cikke (1) bekezdése b) pontjának v. alpontja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Az intézmény által a kitettség nemteljesítőként való besorolása óta leírt összegek</w:t>
            </w:r>
          </w:p>
          <w:p w:rsidR="00DD00B4" w:rsidRPr="00661595" w:rsidRDefault="00DD00B4" w:rsidP="00DD00B4">
            <w:pPr>
              <w:jc w:val="left"/>
              <w:rPr>
                <w:rFonts w:ascii="Times New Roman" w:hAnsi="Times New Roman"/>
                <w:b/>
                <w:sz w:val="24"/>
                <w:u w:val="single"/>
              </w:rPr>
            </w:pPr>
            <w:r>
              <w:rPr>
                <w:rFonts w:ascii="Times New Roman" w:hAnsi="Times New Roman"/>
                <w:sz w:val="24"/>
              </w:rPr>
              <w:t>A CRR 47c. cikke (1) bekezdése b) pontjának vi. alpontja</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858735"/>
      <w:r>
        <w:rPr>
          <w:rFonts w:ascii="Times New Roman" w:hAnsi="Times New Roman"/>
          <w:sz w:val="24"/>
        </w:rPr>
        <w:lastRenderedPageBreak/>
        <w:t>C 35.02 – A NEMTELJESÍTŐ KITETTSÉGEKRE VONATKOZÓ FEDEZETI MINIMUMKÖVETELMÉNYEK ÉS KITETTSÉGÉRTÉKEK, KIVÉVE A CRR 47c. CIKKE (6) BEKEZDÉSÉNEK HATÁLYA ALÁ TARTOZÓ ÁTSTRUKTURÁLT KITETTSÉGEKET (NPE LC2)</w:t>
      </w:r>
      <w:bookmarkStart w:id="790" w:name="_Toc19715891"/>
      <w:bookmarkEnd w:id="788"/>
      <w:bookmarkEnd w:id="789"/>
      <w:bookmarkEnd w:id="790"/>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858736"/>
      <w:r>
        <w:rPr>
          <w:rFonts w:ascii="Times New Roman" w:hAnsi="Times New Roman"/>
          <w:sz w:val="24"/>
        </w:rPr>
        <w:t>A tábla egyes részeire vonatkozó útmutató</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Oszlop</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Útmutató</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 kitettségek nemteljesítőként történő besorolása óta eltelt idő</w:t>
            </w:r>
          </w:p>
          <w:p w:rsidR="00DD00B4" w:rsidRPr="00661595" w:rsidRDefault="00DD00B4" w:rsidP="00DD00B4">
            <w:pPr>
              <w:rPr>
                <w:rFonts w:ascii="Times New Roman" w:hAnsi="Times New Roman"/>
                <w:sz w:val="24"/>
              </w:rPr>
            </w:pPr>
            <w:r>
              <w:rPr>
                <w:rFonts w:ascii="Times New Roman" w:hAnsi="Times New Roman"/>
                <w:sz w:val="24"/>
              </w:rPr>
              <w:t>A „kitettségek nemteljesítőként történő besorolása óta eltelt idő” a kitettség nemteljesítőként való besorolása óta eltelt időt jelenti években kifejezve. Az intézményeknek adatot kell szolgáltatniuk azokról a kitettségekről, amelyek esetében a vonatkozási időpont a kitettségek nemteljesítőként való besorolása óta eltelt évek számát jelző, megfelelő időintervallumba esik, eltekintve az átstrukturálási intézkedések alkalmazásától.</w:t>
            </w:r>
          </w:p>
          <w:p w:rsidR="00DD00B4" w:rsidRPr="00661595" w:rsidRDefault="00DD00B4" w:rsidP="00DD00B4">
            <w:pPr>
              <w:rPr>
                <w:rFonts w:ascii="Times New Roman" w:hAnsi="Times New Roman"/>
                <w:sz w:val="24"/>
              </w:rPr>
            </w:pPr>
            <w:r>
              <w:rPr>
                <w:rFonts w:ascii="Times New Roman" w:hAnsi="Times New Roman"/>
                <w:sz w:val="24"/>
              </w:rPr>
              <w:t>A „&gt; X év és ≤ Y év” időintervallumok tekintetében az intézményeknek azokról a kitettségekről kell adatot szolgáltatniuk, amelyek esetében a vonatkozási időpont a kitettségek nemteljesítőként való besorolását követő Y-adik év első és utolsó napja közötti időszakba esik.</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Összesen</w:t>
            </w:r>
          </w:p>
          <w:p w:rsidR="00DD00B4" w:rsidRPr="00661595" w:rsidRDefault="00DD00B4" w:rsidP="00DD00B4">
            <w:pPr>
              <w:rPr>
                <w:rFonts w:ascii="Times New Roman" w:hAnsi="Times New Roman"/>
                <w:sz w:val="24"/>
                <w:u w:val="single"/>
              </w:rPr>
            </w:pPr>
            <w:r>
              <w:rPr>
                <w:rFonts w:ascii="Times New Roman" w:hAnsi="Times New Roman"/>
                <w:sz w:val="24"/>
              </w:rPr>
              <w:t>Az intézményeknek a 0010. és 0100. közötti oszlopok összegét kell megadniuk.</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Sorok</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Útmutató</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Teljes fedezeti minimumkövetelmény</w:t>
            </w:r>
          </w:p>
          <w:p w:rsidR="00DD00B4" w:rsidRPr="00661595" w:rsidRDefault="00DD00B4" w:rsidP="00DD00B4">
            <w:pPr>
              <w:rPr>
                <w:rFonts w:ascii="Times New Roman" w:hAnsi="Times New Roman"/>
                <w:sz w:val="24"/>
              </w:rPr>
            </w:pPr>
            <w:r>
              <w:rPr>
                <w:rFonts w:ascii="Times New Roman" w:hAnsi="Times New Roman"/>
                <w:sz w:val="24"/>
              </w:rPr>
              <w:t>A CRR 47c. cikke (1) bekezdésének a) pontja</w:t>
            </w:r>
          </w:p>
          <w:p w:rsidR="00DD00B4" w:rsidRPr="00661595" w:rsidRDefault="00DD00B4" w:rsidP="00DD00B4">
            <w:pPr>
              <w:rPr>
                <w:rFonts w:ascii="Times New Roman" w:hAnsi="Times New Roman"/>
                <w:sz w:val="24"/>
              </w:rPr>
            </w:pPr>
            <w:r>
              <w:rPr>
                <w:rFonts w:ascii="Times New Roman" w:hAnsi="Times New Roman"/>
                <w:sz w:val="24"/>
              </w:rPr>
              <w:t>A CRR 47c. cikke (6) bekezdésének hatálya alá tartozó átstrukturált kitettségeket nem tartalmazó nemteljesítő kitettségekre vonatkozó teljes fedezeti minimumkövetelmény kiszámításához az intézményeknek össze kell adniuk a nemteljesítő kitettségek fedezetlen részére (0020. sor) és a nemteljesítő kitettségek fedezett részére (0030–0050. sor) vonatkozó fedezeti minimumkövetelményt.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Nemteljesítő kitettségek fedezetlen része</w:t>
            </w:r>
          </w:p>
          <w:p w:rsidR="00DD00B4" w:rsidRPr="00661595" w:rsidRDefault="00DD00B4" w:rsidP="00DD00B4">
            <w:pPr>
              <w:rPr>
                <w:rFonts w:ascii="Times New Roman" w:hAnsi="Times New Roman"/>
                <w:sz w:val="24"/>
              </w:rPr>
            </w:pPr>
            <w:r>
              <w:rPr>
                <w:rFonts w:ascii="Times New Roman" w:hAnsi="Times New Roman"/>
                <w:sz w:val="24"/>
              </w:rPr>
              <w:t>A CRR 47c. cikke (1) bekezdése a) pontjának i. alpontja és 47c. cikkének (2) bekezdése</w:t>
            </w:r>
          </w:p>
          <w:p w:rsidR="00DD00B4" w:rsidRPr="00661595" w:rsidRDefault="00DD00B4" w:rsidP="00EA2AFF">
            <w:pPr>
              <w:rPr>
                <w:rFonts w:ascii="Times New Roman" w:hAnsi="Times New Roman"/>
                <w:sz w:val="24"/>
              </w:rPr>
            </w:pPr>
            <w:r>
              <w:rPr>
                <w:rFonts w:ascii="Times New Roman" w:hAnsi="Times New Roman"/>
                <w:sz w:val="24"/>
              </w:rPr>
              <w:t>A fedezeti minimumkövetelményt úgy kell kiszámítani, hogy a 0070. sorban feltüntetett összesített kitettségértékeket meg kell szorozni az adott oszlophoz tartozó szorzóval.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A nemteljesítő kitettségek ingatlannal fedezett része vagy elismert fedezetnyújtó által garantált lakáshitel  </w:t>
            </w:r>
          </w:p>
          <w:p w:rsidR="00DD00B4" w:rsidRPr="00661595" w:rsidRDefault="00DD00B4" w:rsidP="00DD00B4">
            <w:pPr>
              <w:rPr>
                <w:rFonts w:ascii="Times New Roman" w:hAnsi="Times New Roman"/>
                <w:sz w:val="24"/>
              </w:rPr>
            </w:pPr>
            <w:r>
              <w:rPr>
                <w:rFonts w:ascii="Times New Roman" w:hAnsi="Times New Roman"/>
                <w:sz w:val="24"/>
              </w:rPr>
              <w:t>A CRR 47c. cikke (1) bekezdése a) pontjának ii. alpontja, valamint 47c. cikke (3) bekezdésének a), b), c), d), f), h) és i) pontja</w:t>
            </w:r>
          </w:p>
          <w:p w:rsidR="00DD00B4" w:rsidRPr="00661595" w:rsidRDefault="00DD00B4" w:rsidP="00EA2AFF">
            <w:pPr>
              <w:rPr>
                <w:rFonts w:ascii="Times New Roman" w:hAnsi="Times New Roman"/>
                <w:b/>
                <w:sz w:val="24"/>
                <w:u w:val="single"/>
              </w:rPr>
            </w:pPr>
            <w:r>
              <w:rPr>
                <w:rFonts w:ascii="Times New Roman" w:hAnsi="Times New Roman"/>
                <w:sz w:val="24"/>
              </w:rPr>
              <w:t>A fedezeti minimumkövetelményt úgy kell kiszámítani, hogy a 0080. sorban feltüntetett összesített kitettségértékeket meg kell szorozni az adott oszlophoz tartozó szorzóval.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 nemteljesítő kitettségek egyéb előre rendelkezésre bocsátott vagy előre nem rendelkezésre bocsátott hitelkockázati fedezettel fedezett része</w:t>
            </w:r>
          </w:p>
          <w:p w:rsidR="00DD00B4" w:rsidRPr="00661595" w:rsidRDefault="00DD00B4" w:rsidP="00DD00B4">
            <w:pPr>
              <w:rPr>
                <w:rFonts w:ascii="Times New Roman" w:hAnsi="Times New Roman"/>
                <w:sz w:val="24"/>
              </w:rPr>
            </w:pPr>
            <w:r>
              <w:rPr>
                <w:rFonts w:ascii="Times New Roman" w:hAnsi="Times New Roman"/>
                <w:sz w:val="24"/>
              </w:rPr>
              <w:t>A CRR 47c. cikke (1) bekezdése a) pontjának ii. alpontja, valamint 47c. cikke (3) bekezdésének a), b), c), e) és g) pontja</w:t>
            </w:r>
          </w:p>
          <w:p w:rsidR="00DD00B4" w:rsidRPr="00661595" w:rsidRDefault="00DD00B4" w:rsidP="00EA2AFF">
            <w:pPr>
              <w:rPr>
                <w:rFonts w:ascii="Times New Roman" w:hAnsi="Times New Roman"/>
                <w:b/>
                <w:sz w:val="24"/>
                <w:u w:val="single"/>
              </w:rPr>
            </w:pPr>
            <w:r>
              <w:rPr>
                <w:rFonts w:ascii="Times New Roman" w:hAnsi="Times New Roman"/>
                <w:sz w:val="24"/>
              </w:rPr>
              <w:t>A fedezeti minimumkövetelményt úgy kell kiszámítani, hogy a 0090. sorban feltüntetett összesített kitettségértékeket meg kell szorozni az adott oszlophoz tartozó szorzóval.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 nemteljesítő kitettségek hivatalos exporthitel-ügynökség által garantált vagy biztosított része</w:t>
            </w:r>
          </w:p>
          <w:p w:rsidR="00DD00B4" w:rsidRPr="00661595" w:rsidRDefault="00A14679" w:rsidP="00DD00B4">
            <w:pPr>
              <w:jc w:val="left"/>
              <w:rPr>
                <w:rFonts w:ascii="Times New Roman" w:hAnsi="Times New Roman"/>
                <w:sz w:val="24"/>
              </w:rPr>
            </w:pPr>
            <w:r>
              <w:rPr>
                <w:rFonts w:ascii="Times New Roman" w:hAnsi="Times New Roman"/>
                <w:sz w:val="24"/>
              </w:rPr>
              <w:t>A CRR 47c. cikkének (4) bekezdése.</w:t>
            </w:r>
          </w:p>
          <w:p w:rsidR="00DD00B4" w:rsidRPr="00661595" w:rsidRDefault="00DD00B4" w:rsidP="00EA2AFF">
            <w:pPr>
              <w:jc w:val="left"/>
              <w:rPr>
                <w:rFonts w:ascii="Times New Roman" w:hAnsi="Times New Roman"/>
                <w:b/>
                <w:sz w:val="24"/>
                <w:u w:val="single"/>
              </w:rPr>
            </w:pPr>
            <w:r>
              <w:rPr>
                <w:rFonts w:ascii="Times New Roman" w:hAnsi="Times New Roman"/>
                <w:sz w:val="24"/>
              </w:rPr>
              <w:t>A fedezeti minimumkövetelményt úgy kell kiszámítani, hogy a 0100. sorban feltüntetett összesített kitettségértékeket meg kell szorozni az adott oszlophoz tartozó szorzóval.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Kitettségérték</w:t>
            </w:r>
          </w:p>
          <w:p w:rsidR="00DD00B4" w:rsidRPr="00661595" w:rsidRDefault="00A14679" w:rsidP="00DD00B4">
            <w:pPr>
              <w:jc w:val="left"/>
              <w:rPr>
                <w:rFonts w:ascii="Times New Roman" w:hAnsi="Times New Roman"/>
                <w:sz w:val="24"/>
              </w:rPr>
            </w:pPr>
            <w:r>
              <w:rPr>
                <w:rFonts w:ascii="Times New Roman" w:hAnsi="Times New Roman"/>
                <w:sz w:val="24"/>
              </w:rPr>
              <w:t>A CRR 47a. cikkének (2) bekezdése</w:t>
            </w:r>
          </w:p>
          <w:p w:rsidR="00DD00B4" w:rsidRPr="00661595" w:rsidRDefault="00DD00B4" w:rsidP="00DD00B4">
            <w:pPr>
              <w:jc w:val="left"/>
              <w:rPr>
                <w:rFonts w:ascii="Times New Roman" w:hAnsi="Times New Roman"/>
                <w:b/>
                <w:sz w:val="24"/>
                <w:u w:val="single"/>
              </w:rPr>
            </w:pPr>
            <w:r>
              <w:rPr>
                <w:rFonts w:ascii="Times New Roman" w:hAnsi="Times New Roman"/>
                <w:sz w:val="24"/>
              </w:rPr>
              <w:t>A 0060. sor kiszámításához az intézményeknek össze kell adniuk a nemteljesítő kitettségek fedezetlen részére (0070. sor), a nemteljesítő kitettségek ingatlannal fedezett részére vagy elismert fedezetnyújtó által garantált lakáshitelre (0080. sor), a nemteljesítő kitettségek egyéb előre rendelkezésre bocsátott vagy előre nem rendelkezésre bocsátott hitelkockázati fedezettel fedezett részére (0090. sor) és a hivatalos exporthitel-ügynökség által garantált vagy biztosított nemteljesítő kitettségekre (0100. sor) vonatkozóan megadott kitettségértékeket.</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Nemteljesítő kitettségek fedezetlen része</w:t>
            </w:r>
          </w:p>
          <w:p w:rsidR="00DD00B4" w:rsidRPr="00661595" w:rsidRDefault="009D30AF" w:rsidP="00DD00B4">
            <w:pPr>
              <w:jc w:val="left"/>
              <w:rPr>
                <w:rFonts w:ascii="Times New Roman" w:hAnsi="Times New Roman"/>
                <w:sz w:val="24"/>
              </w:rPr>
            </w:pPr>
            <w:r>
              <w:rPr>
                <w:rFonts w:ascii="Times New Roman" w:hAnsi="Times New Roman"/>
                <w:sz w:val="24"/>
              </w:rPr>
              <w:t>A CRR 47a. cikkének (2) bekezdése és 47c. cikkének (1) és (2) bekezdése</w:t>
            </w:r>
          </w:p>
          <w:p w:rsidR="00DD00B4" w:rsidRPr="00661595" w:rsidRDefault="00EA2AFF" w:rsidP="00EA2AFF">
            <w:pPr>
              <w:jc w:val="left"/>
              <w:rPr>
                <w:rFonts w:ascii="Times New Roman" w:hAnsi="Times New Roman"/>
                <w:sz w:val="24"/>
              </w:rPr>
            </w:pPr>
            <w:r>
              <w:rPr>
                <w:rFonts w:ascii="Times New Roman" w:hAnsi="Times New Roman"/>
                <w:sz w:val="24"/>
              </w:rPr>
              <w:t>Az intézmények a nemteljesítő kitettségek fedezetlen részének teljes kitettségértékét kötelesek megadni a kitettségek nemteljesítőként való besorolása óta eltelt idő szerinti bontásban.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 nemteljesítő kitettségek ingatlannal fedezett része vagy elismert fedezetnyújtó által garantált lakáshitel</w:t>
            </w:r>
          </w:p>
          <w:p w:rsidR="00DD00B4" w:rsidRPr="00661595" w:rsidRDefault="00DD00B4" w:rsidP="00DD00B4">
            <w:pPr>
              <w:rPr>
                <w:rFonts w:ascii="Times New Roman" w:hAnsi="Times New Roman"/>
                <w:sz w:val="24"/>
              </w:rPr>
            </w:pPr>
            <w:r>
              <w:rPr>
                <w:rFonts w:ascii="Times New Roman" w:hAnsi="Times New Roman"/>
                <w:sz w:val="24"/>
              </w:rPr>
              <w:t>A CRR 47a. cikkének (2) bekezdése, 47c. cikke (1) bekezdésének a), b), c), d), f), h) és i) pontja, valamint 47c. cikkének (3) bekezdése</w:t>
            </w:r>
          </w:p>
          <w:p w:rsidR="00DD00B4" w:rsidRPr="00661595" w:rsidRDefault="00441F78" w:rsidP="00441F78">
            <w:pPr>
              <w:rPr>
                <w:rFonts w:ascii="Times New Roman" w:hAnsi="Times New Roman"/>
                <w:b/>
                <w:sz w:val="24"/>
                <w:u w:val="single"/>
              </w:rPr>
            </w:pPr>
            <w:r>
              <w:rPr>
                <w:rFonts w:ascii="Times New Roman" w:hAnsi="Times New Roman"/>
                <w:sz w:val="24"/>
              </w:rPr>
              <w:t>Az intézményeknek a nemteljesítő kitettségek azon részeinek teljes kitettségértékét kell megadniuk, amelyek a CRR harmadik része II. címének megfelelően ingatlannal fedezettek, vagy amelyek a CRR 201. cikkében említett elismert fedezetnyújtó által garantált lakáshitelek.</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 nemteljesítő kitettségek egyéb előre rendelkezésre bocsátott vagy előre nem rendelkezésre bocsátott hitelkockázati fedezettel fedezett része</w:t>
            </w:r>
          </w:p>
          <w:p w:rsidR="00DD00B4" w:rsidRPr="00661595" w:rsidRDefault="00C259E2" w:rsidP="00DD00B4">
            <w:pPr>
              <w:jc w:val="left"/>
              <w:rPr>
                <w:rFonts w:ascii="Times New Roman" w:hAnsi="Times New Roman"/>
                <w:sz w:val="24"/>
              </w:rPr>
            </w:pPr>
            <w:r>
              <w:rPr>
                <w:rFonts w:ascii="Times New Roman" w:hAnsi="Times New Roman"/>
                <w:sz w:val="24"/>
              </w:rPr>
              <w:t xml:space="preserve">A CRR 47a. cikkének (2) bekezdése, 47c. cikke (1) bekezdésének a), b), c), e) és g) pontja, valamint 47c. cikkének (3) bekezdése </w:t>
            </w:r>
          </w:p>
          <w:p w:rsidR="00DD00B4" w:rsidRPr="00661595" w:rsidRDefault="00441F78" w:rsidP="00441F78">
            <w:pPr>
              <w:jc w:val="left"/>
              <w:rPr>
                <w:rFonts w:ascii="Times New Roman" w:hAnsi="Times New Roman"/>
                <w:sz w:val="24"/>
              </w:rPr>
            </w:pPr>
            <w:r>
              <w:rPr>
                <w:rFonts w:ascii="Times New Roman" w:hAnsi="Times New Roman"/>
                <w:sz w:val="24"/>
              </w:rPr>
              <w:lastRenderedPageBreak/>
              <w:t>Az intézményeknek a nemteljesítő kitettségek azon részeinek teljes kitettségértékét kell megadniuk, amelyeket a CRR harmadik része II. címének megfelelően egyéb előre rendelkezésre bocsátott vagy előre nem rendelkezésre bocsátott hitelkockázati fedezettel fedeznek.</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 nemteljesítő kitettségek hivatalos exporthitel-ügynökség által garantált vagy biztosított része</w:t>
            </w:r>
          </w:p>
          <w:p w:rsidR="00DD00B4" w:rsidRPr="00661595" w:rsidRDefault="00BD5F43" w:rsidP="00DD00B4">
            <w:pPr>
              <w:jc w:val="left"/>
              <w:rPr>
                <w:rFonts w:ascii="Times New Roman" w:hAnsi="Times New Roman"/>
                <w:sz w:val="24"/>
              </w:rPr>
            </w:pPr>
            <w:r>
              <w:rPr>
                <w:rFonts w:ascii="Times New Roman" w:hAnsi="Times New Roman"/>
                <w:sz w:val="24"/>
              </w:rPr>
              <w:t>A CRR 47a. cikkének (2) bekezdése és 47c. cikkének (4) bekezdése</w:t>
            </w:r>
          </w:p>
          <w:p w:rsidR="00DD00B4" w:rsidRPr="00661595" w:rsidRDefault="00441F78" w:rsidP="00441F78">
            <w:pPr>
              <w:jc w:val="left"/>
              <w:rPr>
                <w:rFonts w:ascii="Times New Roman" w:hAnsi="Times New Roman"/>
                <w:b/>
                <w:sz w:val="24"/>
                <w:u w:val="single"/>
              </w:rPr>
            </w:pPr>
            <w:r>
              <w:rPr>
                <w:rFonts w:ascii="Times New Roman" w:hAnsi="Times New Roman"/>
                <w:sz w:val="24"/>
              </w:rPr>
              <w:t>Az intézményeknek a nemteljesítő kitettségek hivatalos exporthitel-ügynökség által garantált vagy biztosított, vagy egy, a CRR 47c. cikkének (4) bekezdésében említett elismert fedezetnyújtó által garantált vagy viszontgarantált részeinek teljes kitettségértékét kell megadniuk.</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858737"/>
      <w:r>
        <w:rPr>
          <w:rFonts w:ascii="Times New Roman" w:hAnsi="Times New Roman"/>
          <w:sz w:val="24"/>
        </w:rPr>
        <w:t>C 35.03 – A CRR 47c. CIKKE (6) BEKEZDÉSÉNEK HATÁLYA ALÁ TARTOZÓ ÁTSTRUKTURÁLT NEMTELJESÍTŐ KITETTSÉGEKRE VONATKOZÓ FEDEZETI MINIMUMKÖVETELMÉNYEK ÉS KITETTSÉGÉRTÉKEK (NPE LC3)</w:t>
      </w:r>
      <w:bookmarkStart w:id="795" w:name="_Toc19715894"/>
      <w:bookmarkEnd w:id="793"/>
      <w:bookmarkEnd w:id="794"/>
      <w:bookmarkEnd w:id="795"/>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858738"/>
      <w:r>
        <w:rPr>
          <w:rFonts w:ascii="Times New Roman" w:hAnsi="Times New Roman"/>
          <w:sz w:val="24"/>
        </w:rPr>
        <w:t>A tábla egyes részeire vonatkozó útmutató</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Oszlop</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Útmutató</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 kitettségek nemteljesítőként történő besorolása óta eltelt idő</w:t>
            </w:r>
          </w:p>
          <w:p w:rsidR="00DD00B4" w:rsidRPr="00661595" w:rsidRDefault="00DD00B4" w:rsidP="00DD00B4">
            <w:pPr>
              <w:rPr>
                <w:rFonts w:ascii="Times New Roman" w:hAnsi="Times New Roman"/>
                <w:sz w:val="24"/>
              </w:rPr>
            </w:pPr>
            <w:r>
              <w:rPr>
                <w:rFonts w:ascii="Times New Roman" w:hAnsi="Times New Roman"/>
                <w:sz w:val="24"/>
              </w:rPr>
              <w:t>A „kitettségek nemteljesítőként történő besorolása óta eltelt idő” a kitettség nemteljesítőként való besorolása óta eltelt időt jelenti években kifejezve. Az intézményeknek adatot kell szolgáltatniuk azokról a kitettségekről, amelyek esetében a vonatkozási időpont a kitettségek nemteljesítőként való besorolása óta eltelt évek számát jelző, megfelelő időintervallumba esik, eltekintve az átstrukturálási intézkedések alkalmazásától.</w:t>
            </w:r>
          </w:p>
          <w:p w:rsidR="00DD00B4" w:rsidRPr="00661595" w:rsidRDefault="00DD00B4" w:rsidP="00DD00B4">
            <w:pPr>
              <w:rPr>
                <w:rFonts w:ascii="Times New Roman" w:hAnsi="Times New Roman"/>
                <w:sz w:val="24"/>
              </w:rPr>
            </w:pPr>
            <w:r>
              <w:rPr>
                <w:rFonts w:ascii="Times New Roman" w:hAnsi="Times New Roman"/>
                <w:sz w:val="24"/>
              </w:rPr>
              <w:t>A „&gt; X év és ≤ Y év” időintervallumok tekintetében az intézményeknek azokról a kitettségekről kell adatot szolgáltatniuk, amelyek esetében a vonatkozási időpont a kitettségek nemteljesítőként való besorolását követő Y-adik év első és utolsó napja közötti időszakba esik.</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Összesen</w:t>
            </w:r>
          </w:p>
          <w:p w:rsidR="00DD00B4" w:rsidRPr="00661595" w:rsidRDefault="00DD00B4" w:rsidP="00DD00B4">
            <w:pPr>
              <w:rPr>
                <w:rFonts w:ascii="Times New Roman" w:hAnsi="Times New Roman"/>
                <w:b/>
                <w:sz w:val="24"/>
                <w:u w:val="single"/>
              </w:rPr>
            </w:pPr>
            <w:r>
              <w:rPr>
                <w:rFonts w:ascii="Times New Roman" w:hAnsi="Times New Roman"/>
                <w:sz w:val="24"/>
              </w:rPr>
              <w:t>Az intézményeknek a 0010. és 0100. közötti oszlopok összegét kell megadniuk.</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Sorok</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Útmutató</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Teljes fedezeti minimumkövetelmény</w:t>
            </w:r>
          </w:p>
          <w:p w:rsidR="00DD00B4" w:rsidRPr="00661595" w:rsidRDefault="00DD00B4" w:rsidP="00DD00B4">
            <w:pPr>
              <w:rPr>
                <w:rFonts w:ascii="Times New Roman" w:hAnsi="Times New Roman"/>
                <w:sz w:val="24"/>
              </w:rPr>
            </w:pPr>
            <w:r>
              <w:rPr>
                <w:rFonts w:ascii="Times New Roman" w:hAnsi="Times New Roman"/>
                <w:sz w:val="24"/>
              </w:rPr>
              <w:t>A CRR 47c. cikke (1) bekezdésének a) pontja és 47c. cikkének (6) bekezdése</w:t>
            </w:r>
          </w:p>
          <w:p w:rsidR="00DD00B4" w:rsidRPr="00661595" w:rsidRDefault="00DD00B4" w:rsidP="00A648C2">
            <w:pPr>
              <w:rPr>
                <w:rFonts w:ascii="Times New Roman" w:hAnsi="Times New Roman"/>
                <w:sz w:val="24"/>
              </w:rPr>
            </w:pPr>
            <w:r>
              <w:rPr>
                <w:rFonts w:ascii="Times New Roman" w:hAnsi="Times New Roman"/>
                <w:sz w:val="24"/>
              </w:rPr>
              <w:t xml:space="preserve">A CRR 47c. cikke (6) bekezdésének hatálya alá tartozó átstrukturált nemteljesítő kitettségekre vonatkozó teljes fedezeti minimumkövetelmény kiszámításához az intézményeknek össze kell adniuk az átstrukturált nemteljesítő kitettségek fedezetlen részére (0020. sor), az átstrukturált nemteljesítő kitettségek ingatlannal fedezett részére vagy elismert fedezetnyújtó által garantált lakáshitelre (0030. sor) és az átstrukturált nemteljesítő kitettségek </w:t>
            </w:r>
            <w:r>
              <w:rPr>
                <w:rFonts w:ascii="Times New Roman" w:hAnsi="Times New Roman"/>
                <w:sz w:val="24"/>
              </w:rPr>
              <w:lastRenderedPageBreak/>
              <w:t>egyéb előre rendelkezésre bocsátott vagy előre nem rendelkezésre bocsátott hitelkockázati fedezettel fedezett részére (0040. sor) vonatkozóan megadott kitettségértékeket.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Nemteljesítő kitettségek fedezetlen része</w:t>
            </w:r>
          </w:p>
          <w:p w:rsidR="00DD00B4" w:rsidRPr="00661595" w:rsidRDefault="00DD00B4" w:rsidP="00DD00B4">
            <w:pPr>
              <w:rPr>
                <w:rFonts w:ascii="Times New Roman" w:hAnsi="Times New Roman"/>
                <w:sz w:val="24"/>
              </w:rPr>
            </w:pPr>
            <w:r>
              <w:rPr>
                <w:rFonts w:ascii="Times New Roman" w:hAnsi="Times New Roman"/>
                <w:sz w:val="24"/>
              </w:rPr>
              <w:t>A CRR 47c. cikke (1) bekezdése a) pontjának i. alpontja, 47c. cikkének (2) és (6) bekezdése</w:t>
            </w:r>
          </w:p>
          <w:p w:rsidR="00DD00B4" w:rsidRPr="00661595" w:rsidRDefault="00303974" w:rsidP="00303974">
            <w:pPr>
              <w:rPr>
                <w:rFonts w:ascii="Times New Roman" w:hAnsi="Times New Roman"/>
                <w:sz w:val="24"/>
              </w:rPr>
            </w:pPr>
            <w:r>
              <w:rPr>
                <w:rFonts w:ascii="Times New Roman" w:hAnsi="Times New Roman"/>
                <w:sz w:val="24"/>
              </w:rPr>
              <w:t>Az intézmények a CRR 47c. cikke (6) bekezdésének hatálya alá tartozó átstrukturált nemteljesítő kitettségek fedezetlen részére vonatkozó teljes fedezeti minimumkövetelményt, azaz a kitettségek szintjén végzett számítások összesítését kötelesek megadni.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 nemteljesítő kitettségek ingatlannal fedezett része vagy elismert fedezetnyújtó által garantált lakáshitel</w:t>
            </w:r>
          </w:p>
          <w:p w:rsidR="00DD00B4" w:rsidRPr="00661595" w:rsidRDefault="00DD00B4" w:rsidP="00DD00B4">
            <w:pPr>
              <w:rPr>
                <w:rFonts w:ascii="Times New Roman" w:hAnsi="Times New Roman"/>
                <w:sz w:val="24"/>
              </w:rPr>
            </w:pPr>
            <w:r>
              <w:rPr>
                <w:rFonts w:ascii="Times New Roman" w:hAnsi="Times New Roman"/>
                <w:sz w:val="24"/>
              </w:rPr>
              <w:t>A CRR 47c. cikke (1) bekezdése a) pontjának ii. alpontja, 47c. cikke (3) bekezdésének a), b), c), d), f), h) és i) pontja, valamint 47c. cikkének (6) bekezdése</w:t>
            </w:r>
          </w:p>
          <w:p w:rsidR="00DD00B4" w:rsidRPr="00661595" w:rsidRDefault="00303974" w:rsidP="00303974">
            <w:pPr>
              <w:rPr>
                <w:rFonts w:ascii="Times New Roman" w:hAnsi="Times New Roman"/>
                <w:b/>
                <w:sz w:val="24"/>
                <w:u w:val="single"/>
              </w:rPr>
            </w:pPr>
            <w:r>
              <w:rPr>
                <w:rFonts w:ascii="Times New Roman" w:hAnsi="Times New Roman"/>
                <w:sz w:val="24"/>
              </w:rPr>
              <w:t xml:space="preserve">Az intézmények a CRR 47c. cikke (6) bekezdésének hatálya alá tartozó átstrukturált  nemteljesítő kitettségek azon részeire vonatkozó teljes fedezeti minimumkövetelményt – azaz a kitettségek szintjén végzett számítások összesítését – kötelesek megadni, amelyek a CRR harmadik része II. címének megfelelően ingatlannal fedezettek, vagy amelyek a CRR 201. cikkében említett elismert fedezetnyújtó által garantált lakáshitelek.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 nemteljesítő kitettségek egyéb előre rendelkezésre bocsátott vagy előre nem rendelkezésre bocsátott hitelkockázati fedezettel fedezett része</w:t>
            </w:r>
          </w:p>
          <w:p w:rsidR="00DD00B4" w:rsidRPr="00661595" w:rsidRDefault="00DD00B4" w:rsidP="00DD00B4">
            <w:pPr>
              <w:rPr>
                <w:rFonts w:ascii="Times New Roman" w:hAnsi="Times New Roman"/>
                <w:sz w:val="24"/>
              </w:rPr>
            </w:pPr>
            <w:r>
              <w:rPr>
                <w:rFonts w:ascii="Times New Roman" w:hAnsi="Times New Roman"/>
                <w:sz w:val="24"/>
              </w:rPr>
              <w:t>A CRR 47c. cikke (1) bekezdése a) pontjának ii. alpontja, 47c. cikke (3) bekezdésének a), b), c), e) és g) pontja, valamint 47c. cikkének (6) bekezdése</w:t>
            </w:r>
          </w:p>
          <w:p w:rsidR="00DD00B4" w:rsidRPr="00661595" w:rsidRDefault="00303974" w:rsidP="00303974">
            <w:pPr>
              <w:rPr>
                <w:rFonts w:ascii="Times New Roman" w:hAnsi="Times New Roman"/>
                <w:sz w:val="24"/>
              </w:rPr>
            </w:pPr>
            <w:r>
              <w:rPr>
                <w:rFonts w:ascii="Times New Roman" w:hAnsi="Times New Roman"/>
                <w:sz w:val="24"/>
              </w:rPr>
              <w:t>Az intézmények a CRR 47c. cikke (6) bekezdésének hatálya alá tartozó átstrukturált nemteljesítő kitettségek egyéb előre rendelkezésre bocsátott vagy előre nem rendelkezésre bocsátott hitelkockázati fedezettel fedezett részére vonatkozó teljes fedezeti minimumkövetelményt, azaz a kitettségek szintjén végzett számítások összesítését kötelesek megadni.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Kitettségérték</w:t>
            </w:r>
          </w:p>
          <w:p w:rsidR="00DD00B4" w:rsidRPr="00661595" w:rsidRDefault="00233577" w:rsidP="00DD00B4">
            <w:pPr>
              <w:rPr>
                <w:rFonts w:ascii="Times New Roman" w:hAnsi="Times New Roman"/>
                <w:sz w:val="24"/>
              </w:rPr>
            </w:pPr>
            <w:r>
              <w:rPr>
                <w:rFonts w:ascii="Times New Roman" w:hAnsi="Times New Roman"/>
                <w:sz w:val="24"/>
              </w:rPr>
              <w:t>A CRR 47a. cikkének (2) bekezdése és 47c. cikkének (6) bekezdése</w:t>
            </w:r>
          </w:p>
          <w:p w:rsidR="00DD00B4" w:rsidRPr="00661595" w:rsidRDefault="00DD00B4" w:rsidP="00DD00B4">
            <w:pPr>
              <w:rPr>
                <w:rFonts w:ascii="Times New Roman" w:hAnsi="Times New Roman"/>
                <w:b/>
                <w:sz w:val="24"/>
                <w:u w:val="single"/>
              </w:rPr>
            </w:pPr>
            <w:r>
              <w:rPr>
                <w:rFonts w:ascii="Times New Roman" w:hAnsi="Times New Roman"/>
                <w:sz w:val="24"/>
              </w:rPr>
              <w:t xml:space="preserve">A kitettségérték kiszámításához az intézményeknek össze kell adniuk a nemteljesítő kitettségek fedezetlen részére (0060. sor), a nemteljesítő kitettségek ingatlannal fedezett részére vagy elismert fedezetnyújtó által garantált lakáshitelre (0070. sor) és adott esetben a nemteljesítő kitettségek egyéb előre rendelkezésre bocsátott vagy előre nem rendelkezésre bocsátott hitelkockázati fedezettel fedezett részére (0120. sor) vonatkozóan megadott kitettségértékeket.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Nemteljesítő kitettségek fedezetlen része</w:t>
            </w:r>
          </w:p>
          <w:p w:rsidR="00DD00B4" w:rsidRPr="00661595" w:rsidRDefault="00233577" w:rsidP="00DD00B4">
            <w:pPr>
              <w:jc w:val="left"/>
              <w:rPr>
                <w:rFonts w:ascii="Times New Roman" w:hAnsi="Times New Roman"/>
                <w:sz w:val="24"/>
              </w:rPr>
            </w:pPr>
            <w:r>
              <w:rPr>
                <w:rFonts w:ascii="Times New Roman" w:hAnsi="Times New Roman"/>
                <w:sz w:val="24"/>
              </w:rPr>
              <w:t>A CRR 47a. cikkének (2) bekezdése, 47c. cikkének (1), (2) és (6) bekezdése</w:t>
            </w:r>
          </w:p>
          <w:p w:rsidR="00DD00B4" w:rsidRPr="00661595" w:rsidRDefault="00303974" w:rsidP="00303974">
            <w:pPr>
              <w:rPr>
                <w:rFonts w:ascii="Times New Roman" w:hAnsi="Times New Roman"/>
                <w:b/>
                <w:sz w:val="24"/>
                <w:u w:val="single"/>
              </w:rPr>
            </w:pPr>
            <w:r>
              <w:rPr>
                <w:rFonts w:ascii="Times New Roman" w:hAnsi="Times New Roman"/>
                <w:sz w:val="24"/>
              </w:rPr>
              <w:t>Az intézmények a CRR 47c. cikke (6) bekezdésének hatálya alá tartozó átstrukturált nemteljesítő kitettségek fedezetlen részének teljes kitettségértékét kötelesek megadni, ha az első átstrukturálásra a kitettség nemteljesítőként való besorolását követő második év első és utolsó napja között került sor (&gt;1 év és ≤ 2 év).</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 nemteljesítő kitettségek ingatlannal fedezett része vagy elismert fedezetnyújtó által garantált lakáshitel</w:t>
            </w:r>
          </w:p>
          <w:p w:rsidR="00DD00B4" w:rsidRPr="00661595" w:rsidRDefault="006C0EF3" w:rsidP="00DD00B4">
            <w:pPr>
              <w:rPr>
                <w:rFonts w:ascii="Times New Roman" w:hAnsi="Times New Roman"/>
                <w:sz w:val="24"/>
              </w:rPr>
            </w:pPr>
            <w:r>
              <w:rPr>
                <w:rFonts w:ascii="Times New Roman" w:hAnsi="Times New Roman"/>
                <w:sz w:val="24"/>
              </w:rPr>
              <w:t>A CRR 47a. cikkének (2) bekezdése, 47c. cikkének (1) bekezdése és (3) bekezdésének a), b), c), d), f), h) és i) pontja, valamint 47c. cikkének (6) bekezdése</w:t>
            </w:r>
          </w:p>
          <w:p w:rsidR="00DD00B4" w:rsidRPr="00661595" w:rsidRDefault="00303974" w:rsidP="00303974">
            <w:pPr>
              <w:rPr>
                <w:rFonts w:ascii="Times New Roman" w:hAnsi="Times New Roman"/>
                <w:b/>
                <w:sz w:val="24"/>
                <w:u w:val="single"/>
              </w:rPr>
            </w:pPr>
            <w:r>
              <w:rPr>
                <w:rFonts w:ascii="Times New Roman" w:hAnsi="Times New Roman"/>
                <w:sz w:val="24"/>
              </w:rPr>
              <w:t>Az intézmények a CRR 47c. cikkének (6) bekezdésének hatálya alá tartozó átstrukturált nemteljesítő kitettségek azon részeinek teljes kitettségértékét kötelesek megadni, amelyek a CRR harmadik része II. címének megfelelően ingatlannal fedezettek, vagy amelyek a CRR 201. cikkében említett elismert fedezetnyújtó által garantált lakáshitelek.</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évvel és ≤ 3 évvel a nemteljesítő kitettségként való besorolás után</w:t>
            </w:r>
          </w:p>
          <w:p w:rsidR="00DD00B4" w:rsidRPr="00661595" w:rsidRDefault="00DD00B4" w:rsidP="00DD00B4">
            <w:pPr>
              <w:rPr>
                <w:rFonts w:ascii="Times New Roman" w:hAnsi="Times New Roman"/>
                <w:b/>
                <w:sz w:val="24"/>
                <w:u w:val="single"/>
              </w:rPr>
            </w:pPr>
            <w:r>
              <w:rPr>
                <w:rFonts w:ascii="Times New Roman" w:hAnsi="Times New Roman"/>
                <w:sz w:val="24"/>
              </w:rPr>
              <w:t>Az intézmények a CRR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harmadik év első és utolsó napja között került sor.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évvel és ≤ 4 évvel a nemteljesítő kitettségként való besorolás után</w:t>
            </w:r>
          </w:p>
          <w:p w:rsidR="00DD00B4" w:rsidRPr="00661595" w:rsidRDefault="00DD00B4" w:rsidP="00DD00B4">
            <w:pPr>
              <w:rPr>
                <w:rFonts w:ascii="Times New Roman" w:hAnsi="Times New Roman"/>
                <w:b/>
                <w:sz w:val="24"/>
                <w:u w:val="single"/>
              </w:rPr>
            </w:pPr>
            <w:r>
              <w:rPr>
                <w:rFonts w:ascii="Times New Roman" w:hAnsi="Times New Roman"/>
                <w:sz w:val="24"/>
              </w:rPr>
              <w:t>Az intézmények a CRR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negyedik év első és utolsó napja között került sor.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évvel és ≤ 5 évvel a nemteljesítő kitettségként való besorolás után</w:t>
            </w:r>
          </w:p>
          <w:p w:rsidR="00DD00B4" w:rsidRPr="00661595" w:rsidRDefault="00DD00B4" w:rsidP="008D0D6A">
            <w:pPr>
              <w:rPr>
                <w:rFonts w:ascii="Times New Roman" w:hAnsi="Times New Roman"/>
                <w:b/>
                <w:sz w:val="24"/>
                <w:u w:val="single"/>
              </w:rPr>
            </w:pPr>
            <w:r>
              <w:rPr>
                <w:rFonts w:ascii="Times New Roman" w:hAnsi="Times New Roman"/>
                <w:sz w:val="24"/>
              </w:rPr>
              <w:t>Az intézmények a CRR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ötödik év első és utolsó napja között került sor.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évvel és ≤ 6 évvel a nemteljesítő kitettségként való besorolás után</w:t>
            </w:r>
          </w:p>
          <w:p w:rsidR="00DD00B4" w:rsidRPr="00661595" w:rsidRDefault="00DD00B4" w:rsidP="008D0D6A">
            <w:pPr>
              <w:rPr>
                <w:rFonts w:ascii="Times New Roman" w:hAnsi="Times New Roman"/>
                <w:b/>
                <w:sz w:val="24"/>
                <w:u w:val="single"/>
              </w:rPr>
            </w:pPr>
            <w:r>
              <w:rPr>
                <w:rFonts w:ascii="Times New Roman" w:hAnsi="Times New Roman"/>
                <w:sz w:val="24"/>
              </w:rPr>
              <w:t>Az intézmények a CRR 47c. cikke (6) bekezdésének hatálya alá tartozó azon átstrukturált nemteljesítő kitettségek kitettségértékét kötelesek megadni, amelyek ingatlannal fedezettek vagy elismert fedezetnyújtó által garantált lakáshitelek, és amelyek esetében az első átstrukturálásra a kitettség nemteljesítőként való besorolását követő hatodik év első és utolsó napja között került sor.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A nemteljesítő kitettségek egyéb előre rendelkezésre bocsátott vagy előre nem rendelkezésre bocsátott hitelkockázati fedezettel fedezett része</w:t>
            </w:r>
          </w:p>
          <w:p w:rsidR="00DD00B4" w:rsidRPr="00661595" w:rsidRDefault="00DD00B4" w:rsidP="00DD00B4">
            <w:pPr>
              <w:jc w:val="left"/>
              <w:rPr>
                <w:rFonts w:ascii="Times New Roman" w:hAnsi="Times New Roman"/>
                <w:sz w:val="24"/>
              </w:rPr>
            </w:pPr>
            <w:r>
              <w:rPr>
                <w:rFonts w:ascii="Times New Roman" w:hAnsi="Times New Roman"/>
                <w:sz w:val="24"/>
              </w:rPr>
              <w:t>A CRR 47c. cikkének (1) bekezdése, 47c. cikke (3) bekezdésének a), b), c), e) és g) pontja, valamint 47c. cikkének (6) bekezdése</w:t>
            </w:r>
          </w:p>
          <w:p w:rsidR="00DD00B4" w:rsidRPr="00661595" w:rsidRDefault="00303974" w:rsidP="00303974">
            <w:pPr>
              <w:rPr>
                <w:rFonts w:ascii="Times New Roman" w:hAnsi="Times New Roman"/>
                <w:b/>
                <w:sz w:val="24"/>
                <w:u w:val="single"/>
              </w:rPr>
            </w:pPr>
            <w:r>
              <w:rPr>
                <w:rFonts w:ascii="Times New Roman" w:hAnsi="Times New Roman"/>
                <w:sz w:val="24"/>
              </w:rPr>
              <w:t>Az intézmények a CRR 47c. cikke (6) bekezdésének hatálya alá tartozó átstrukturált nemteljesítő kitettségek azon részeinek teljes kitettségértékét kötelesek megadni, amelyeket a CRR harmadik része II. címének megfelelően egyéb előre rendelkezésre bocsátott vagy előre nem rendelkezésre bocsátott hitelkockázati fedezettel fedeznek.</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évvel és ≤ 3 évvel a nemteljesítő kitettségként való besorolás után</w:t>
            </w:r>
          </w:p>
          <w:p w:rsidR="00DD00B4" w:rsidRPr="00661595" w:rsidRDefault="00DD00B4" w:rsidP="008D0D6A">
            <w:pPr>
              <w:rPr>
                <w:rFonts w:ascii="Times New Roman" w:hAnsi="Times New Roman"/>
                <w:b/>
                <w:sz w:val="24"/>
              </w:rPr>
            </w:pPr>
            <w:r>
              <w:rPr>
                <w:rFonts w:ascii="Times New Roman" w:hAnsi="Times New Roman"/>
                <w:sz w:val="24"/>
              </w:rPr>
              <w:t>Az intézmények a CRR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harmadik év első és utolsó napja között került sor.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évvel és ≤ 4 évvel a nemteljesítő kitettségként való besorolás után</w:t>
            </w:r>
          </w:p>
          <w:p w:rsidR="00DD00B4" w:rsidRPr="00661595" w:rsidRDefault="00DD00B4" w:rsidP="008D0D6A">
            <w:pPr>
              <w:rPr>
                <w:rFonts w:ascii="Times New Roman" w:hAnsi="Times New Roman"/>
                <w:b/>
                <w:sz w:val="24"/>
                <w:u w:val="single"/>
              </w:rPr>
            </w:pPr>
            <w:r>
              <w:rPr>
                <w:rFonts w:ascii="Times New Roman" w:hAnsi="Times New Roman"/>
                <w:sz w:val="24"/>
              </w:rPr>
              <w:t>Az intézmények a CRR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negyedik év első és utolsó napja között került sor.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évvel és ≤ 5 évvel a nemteljesítő kitettségként való besorolás után</w:t>
            </w:r>
          </w:p>
          <w:p w:rsidR="00DD00B4" w:rsidRPr="00661595" w:rsidRDefault="00DD00B4" w:rsidP="008D0D6A">
            <w:pPr>
              <w:rPr>
                <w:rFonts w:ascii="Times New Roman" w:hAnsi="Times New Roman"/>
                <w:b/>
                <w:sz w:val="24"/>
                <w:u w:val="single"/>
              </w:rPr>
            </w:pPr>
            <w:r>
              <w:rPr>
                <w:rFonts w:ascii="Times New Roman" w:hAnsi="Times New Roman"/>
                <w:sz w:val="24"/>
              </w:rPr>
              <w:t>Az intézmények a CRR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ötödik év első és utolsó napja között került sor.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évvel és ≤ 6 évvel a nemteljesítő kitettségként való besorolás után</w:t>
            </w:r>
          </w:p>
          <w:p w:rsidR="00DD00B4" w:rsidRPr="00661595" w:rsidRDefault="00DD00B4" w:rsidP="00DD00B4">
            <w:pPr>
              <w:rPr>
                <w:rFonts w:ascii="Times New Roman" w:hAnsi="Times New Roman"/>
                <w:b/>
                <w:sz w:val="24"/>
                <w:u w:val="single"/>
              </w:rPr>
            </w:pPr>
            <w:r>
              <w:rPr>
                <w:rFonts w:ascii="Times New Roman" w:hAnsi="Times New Roman"/>
                <w:sz w:val="24"/>
              </w:rPr>
              <w:t>Az intézmények a CRR 47c. cikke (6) bekezdésének hatálya alá tartozó azon átstrukturált nemteljesítő kitettségek kitettségértékét kötelesek megadni, amelyek egyéb előre rendelkezésre bocsátott vagy előre nem rendelkezésre bocsátott hitelkockázati fedezettel fedezettek, és amelyek esetében az első átstrukturálásra a kitettség nemteljesítőként való besorolását követő hatodik év első és utolsó napja között került sor.</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E69" w:rsidRDefault="00913E69" w:rsidP="00D946DB">
      <w:pPr>
        <w:spacing w:before="0" w:after="0"/>
      </w:pPr>
      <w:r>
        <w:separator/>
      </w:r>
    </w:p>
  </w:endnote>
  <w:endnote w:type="continuationSeparator" w:id="0">
    <w:p w:rsidR="00913E69" w:rsidRDefault="00913E69" w:rsidP="00D946DB">
      <w:pPr>
        <w:spacing w:before="0" w:after="0"/>
      </w:pPr>
      <w:r>
        <w:continuationSeparator/>
      </w:r>
    </w:p>
  </w:endnote>
  <w:endnote w:type="continuationNotice" w:id="1">
    <w:p w:rsidR="00913E69" w:rsidRDefault="00913E6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E69" w:rsidRDefault="00913E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E69" w:rsidRPr="00ED1956" w:rsidRDefault="00913E69">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644CB1">
      <w:rPr>
        <w:rFonts w:ascii="Times New Roman" w:hAnsi="Times New Roman"/>
        <w:noProof/>
        <w:sz w:val="22"/>
        <w:szCs w:val="22"/>
      </w:rPr>
      <w:t>8</w:t>
    </w:r>
    <w:r>
      <w:rPr>
        <w:rFonts w:ascii="Times New Roman" w:hAnsi="Times New Roman"/>
        <w:sz w:val="22"/>
        <w:szCs w:val="22"/>
      </w:rPr>
      <w:fldChar w:fldCharType="end"/>
    </w:r>
  </w:p>
  <w:p w:rsidR="00913E69" w:rsidRDefault="00913E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E69" w:rsidRPr="00E85358" w:rsidRDefault="00913E69">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644CB1">
      <w:rPr>
        <w:noProof/>
        <w:sz w:val="22"/>
        <w:szCs w:val="22"/>
      </w:rPr>
      <w:t>1</w:t>
    </w:r>
    <w:r>
      <w:rPr>
        <w:sz w:val="22"/>
        <w:szCs w:val="22"/>
      </w:rPr>
      <w:fldChar w:fldCharType="end"/>
    </w:r>
  </w:p>
  <w:p w:rsidR="00913E69" w:rsidRDefault="00913E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E69" w:rsidRDefault="00913E69">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913E69" w:rsidRDefault="00913E69">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E69" w:rsidRPr="00ED1956" w:rsidRDefault="00913E69">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44CB1">
      <w:rPr>
        <w:rFonts w:ascii="Times New Roman" w:hAnsi="Times New Roman"/>
        <w:noProof/>
        <w:sz w:val="20"/>
        <w:szCs w:val="20"/>
      </w:rPr>
      <w:t>21</w:t>
    </w:r>
    <w:r>
      <w:rPr>
        <w:rFonts w:ascii="Times New Roman" w:hAnsi="Times New Roman"/>
        <w:sz w:val="20"/>
        <w:szCs w:val="20"/>
      </w:rPr>
      <w:fldChar w:fldCharType="end"/>
    </w:r>
  </w:p>
  <w:p w:rsidR="00913E69" w:rsidRPr="00A772B4" w:rsidRDefault="00913E69"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E69" w:rsidRDefault="00913E69" w:rsidP="00D946DB">
      <w:pPr>
        <w:spacing w:before="0" w:after="0"/>
      </w:pPr>
      <w:r>
        <w:separator/>
      </w:r>
    </w:p>
  </w:footnote>
  <w:footnote w:type="continuationSeparator" w:id="0">
    <w:p w:rsidR="00913E69" w:rsidRDefault="00913E69" w:rsidP="00D946DB">
      <w:pPr>
        <w:spacing w:before="0" w:after="0"/>
      </w:pPr>
      <w:r>
        <w:continuationSeparator/>
      </w:r>
    </w:p>
  </w:footnote>
  <w:footnote w:type="continuationNotice" w:id="1">
    <w:p w:rsidR="00913E69" w:rsidRDefault="00913E69">
      <w:pPr>
        <w:spacing w:before="0" w:after="0"/>
      </w:pPr>
    </w:p>
  </w:footnote>
  <w:footnote w:id="2">
    <w:p w:rsidR="00913E69" w:rsidRPr="00535792" w:rsidRDefault="00913E69"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Az Európai Parlament és a Tanács 575/2013/EU rendelete (2013. június 26.) a hitelintézetekre és befektetési vállalkozásokra vonatkozó prudenciális követelményekről és a 648/2012/EU rendelet módosításáról (HL L 176., 2013.6.27., 1. o.).</w:t>
      </w:r>
    </w:p>
  </w:footnote>
  <w:footnote w:id="3">
    <w:p w:rsidR="00913E69" w:rsidRPr="00535792" w:rsidRDefault="00913E69"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Az Európai Parlament és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 w:id="4">
    <w:p w:rsidR="00913E69" w:rsidRPr="00535792" w:rsidRDefault="00913E69"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Az Európai Parlament és a Tanács 2013. június 26-i 2013/34/EU irányelve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 w:id="5">
    <w:p w:rsidR="00913E69" w:rsidRPr="00535792" w:rsidRDefault="00913E69"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A Tanács 86/635/EGK irányelve (1986. december 8.) a bankok és más pénzügyi intézmények éves beszámolójáról és konszolidált éves beszámolójáról (HL L 372., 1986.12.31., 1. o.).</w:t>
      </w:r>
    </w:p>
  </w:footnote>
  <w:footnote w:id="6">
    <w:p w:rsidR="00913E69" w:rsidRPr="00535792" w:rsidRDefault="00913E69"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Az Európai Parlament és a Tanács 2014/59/EU irányelve (2014. május 15.) a hitelintézetek és befektetési vállalkozások helyreállítását és szanálását célzó keretrendszer létrehozásáról és a 82/891/EGK tanácsi irányelv, a 2001/24/EK, 2002/47/EK, 2004/25/EK, 2005/56/EK, 2007/36/EK, 2011/35/EU, 2012/30/EU és 2013/36/EU irányelv, valamint az 1093/2010/EU és a 648/2012/EU európai parlamenti és tanácsi rendelet módosításáról (HL L 173., 2014.6.12., 190. o.).</w:t>
      </w:r>
    </w:p>
  </w:footnote>
  <w:footnote w:id="7">
    <w:p w:rsidR="00913E69" w:rsidRPr="005B592F" w:rsidRDefault="00913E69"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color w:val="444444"/>
          <w:sz w:val="20"/>
          <w:szCs w:val="20"/>
        </w:rPr>
        <w:t>A Bizottság 241/2014/EU felhatalmazáson alapuló rendelete (2014. január 7.) az 575/2013/EU európai parlamenti és tanácsi rendeletnek az intézményekre vonatkozó tőkekövetelményekre alkalmazandó szabályozástechnikai standardok tekintetében való kiegészítéséről (</w:t>
      </w:r>
      <w:r>
        <w:rPr>
          <w:iCs/>
          <w:color w:val="444444"/>
          <w:sz w:val="20"/>
          <w:szCs w:val="20"/>
        </w:rPr>
        <w:t>HL L 74., 2014.3.14., 8. o.)</w:t>
      </w:r>
      <w:r>
        <w:rPr>
          <w:rStyle w:val="Emphasis"/>
          <w:color w:val="444444"/>
          <w:sz w:val="20"/>
          <w:szCs w:val="20"/>
        </w:rPr>
        <w:t>.</w:t>
      </w:r>
    </w:p>
  </w:footnote>
  <w:footnote w:id="8">
    <w:p w:rsidR="00913E69" w:rsidRPr="005B592F" w:rsidRDefault="00913E69"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A Tanács 83/349/EGK hetedik irányelve (1983. június 13.) a Szerződés 54. cikke (3) bekezdésének g) pontja alapján az összevont (konszolidált) éves beszámolóról (HL L 193., 1983.7.18., 1. o.).</w:t>
      </w:r>
    </w:p>
  </w:footnote>
  <w:footnote w:id="9">
    <w:p w:rsidR="00913E69" w:rsidRPr="005B592F" w:rsidRDefault="00913E69"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Az Európai Parlament és a Tanács 2009/65/EK irányelve (2009. július 13.) az átruházható értékpapírokkal foglalkozó kollektív befektetési vállalkozásokra (ÁÉKBV) vonatkozó törvényi, rendeleti és közigazgatási rendelkezések összehangolásáról (HL L 302., 2009.11.17., 32. o.).</w:t>
      </w:r>
    </w:p>
  </w:footnote>
  <w:footnote w:id="10">
    <w:p w:rsidR="00913E69" w:rsidRPr="0002267E" w:rsidRDefault="00913E69"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A Bizottság 1152/2014/EU felhatalmazáson alapuló rendelete (2014. június 4.) a 2013/36/EU európai parlamenti és tanácsi irányelvnek az intézményspecifikus anticiklikus tőkepufferráta kiszámítása céljából a lényeges hitelkockázati kitettségek földrajzi helyének azonosítására irányuló szabályozástechnikai standardok tekintetében történő kiegészítéséről (</w:t>
      </w:r>
      <w:r>
        <w:rPr>
          <w:rFonts w:ascii="Times New Roman" w:hAnsi="Times New Roman"/>
          <w:iCs/>
          <w:color w:val="444444"/>
          <w:sz w:val="20"/>
          <w:szCs w:val="20"/>
        </w:rPr>
        <w:t>HL L 309., 2014.10.30., 5. o.).</w:t>
      </w:r>
    </w:p>
  </w:footnote>
  <w:footnote w:id="11">
    <w:p w:rsidR="00913E69" w:rsidRPr="0002267E" w:rsidRDefault="00913E69"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Az Európai Parlament és a Tanács (EU) 2017/2402 rendelete (2017. december 12.) 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w:t>
      </w:r>
      <w:r>
        <w:rPr>
          <w:rFonts w:ascii="Times New Roman" w:hAnsi="Times New Roman"/>
          <w:iCs/>
          <w:color w:val="444444"/>
          <w:sz w:val="20"/>
          <w:szCs w:val="20"/>
        </w:rPr>
        <w:t>HL L 347., 2017.12.28., 35. o.).</w:t>
      </w:r>
    </w:p>
  </w:footnote>
  <w:footnote w:id="12">
    <w:p w:rsidR="00913E69" w:rsidRPr="002409C1" w:rsidRDefault="00913E69"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Az önálló intézmények nem tartoznak csoporthoz, és nem tartoznak konszolidációs körbe abban az országban, ahol szavatolótőke-követelmény hatálya alá esnek.</w:t>
      </w:r>
    </w:p>
  </w:footnote>
  <w:footnote w:id="13">
    <w:p w:rsidR="00913E69" w:rsidRPr="00B828CC" w:rsidRDefault="00913E69">
      <w:pPr>
        <w:pStyle w:val="FootnoteText"/>
      </w:pPr>
      <w:r>
        <w:rPr>
          <w:rStyle w:val="FootnoteReference"/>
        </w:rPr>
        <w:footnoteRef/>
      </w:r>
      <w:r>
        <w:tab/>
      </w:r>
      <w:r>
        <w:rPr>
          <w:rFonts w:ascii="Times New Roman" w:hAnsi="Times New Roman"/>
          <w:sz w:val="20"/>
          <w:szCs w:val="20"/>
        </w:rPr>
        <w:t>A Bizottság 525/2014/EU felhatalmazáson alapuló rendelete (2014. március 12.) az 575/2013/EU európai parlamenti és tanácsi rendeletnek a piac fogalmát meghatározó szabályozástechnikai standardok tekintetében való kiegészítéséről (</w:t>
      </w:r>
      <w:r>
        <w:rPr>
          <w:rFonts w:ascii="Times New Roman" w:hAnsi="Times New Roman"/>
          <w:iCs/>
          <w:sz w:val="20"/>
          <w:szCs w:val="20"/>
        </w:rPr>
        <w:t>HL L 148., 2014.5.20., 15. o.)</w:t>
      </w:r>
      <w:r>
        <w:rPr>
          <w:rFonts w:ascii="Times New Roman" w:hAnsi="Times New Roman"/>
          <w:i/>
          <w:iCs/>
          <w:sz w:val="20"/>
          <w:szCs w:val="20"/>
        </w:rPr>
        <w:t>.</w:t>
      </w:r>
    </w:p>
  </w:footnote>
  <w:footnote w:id="14">
    <w:p w:rsidR="00913E69" w:rsidRPr="00A11C6E" w:rsidRDefault="00913E69">
      <w:pPr>
        <w:pStyle w:val="FootnoteText"/>
      </w:pPr>
      <w:r>
        <w:rPr>
          <w:rStyle w:val="FootnoteReference"/>
        </w:rPr>
        <w:footnoteRef/>
      </w:r>
      <w:r>
        <w:t xml:space="preserve"> A Bizottság 945/2014/EU végrehajtási rendelete (2014. szeptember 4.) az 575/2013/EU európai parlamenti és tanácsi rendelet szerinti releváns, megfelelően diverzifikált indexek tekintetében végrehajtás-technikai standardok megállapításáról</w:t>
      </w:r>
    </w:p>
  </w:footnote>
  <w:footnote w:id="15">
    <w:p w:rsidR="00913E69" w:rsidRPr="00B828CC" w:rsidRDefault="00913E69">
      <w:pPr>
        <w:pStyle w:val="FootnoteText"/>
      </w:pPr>
      <w:r>
        <w:rPr>
          <w:rStyle w:val="FootnoteReference"/>
        </w:rPr>
        <w:footnoteRef/>
      </w:r>
      <w:r>
        <w:t xml:space="preserve"> A Bizottság (EU) 2016/101 felhatalmazáson alapuló rendelete (2015. október 26.) az 575/2013/EU európai parlamenti és tanácsi rendeletnek a prudens értékelésre alkalmazandó szabályozástechnikai standardok tekintetében a 105. cikk (14) bekezdése szerint történő kiegészítéséről (HL L 21., 2016.1.28., 54. o.)</w:t>
      </w:r>
    </w:p>
  </w:footnote>
  <w:footnote w:id="16">
    <w:p w:rsidR="00913E69" w:rsidRPr="009B688D" w:rsidRDefault="00913E69" w:rsidP="0016282F">
      <w:pPr>
        <w:pStyle w:val="NormalWeb"/>
        <w:spacing w:before="0" w:beforeAutospacing="0" w:after="75" w:afterAutospacing="0"/>
        <w:ind w:left="567" w:hanging="567"/>
        <w:rPr>
          <w:sz w:val="20"/>
          <w:szCs w:val="20"/>
        </w:rPr>
      </w:pPr>
      <w:r w:rsidRPr="00060762">
        <w:rPr>
          <w:rStyle w:val="FootnoteReference"/>
          <w:rFonts w:ascii="Times New Roman" w:hAnsi="Times New Roman"/>
          <w:sz w:val="18"/>
          <w:szCs w:val="20"/>
        </w:rPr>
        <w:footnoteRef/>
      </w:r>
      <w:r>
        <w:rPr>
          <w:sz w:val="20"/>
          <w:szCs w:val="20"/>
        </w:rPr>
        <w:t xml:space="preserve"> </w:t>
      </w:r>
      <w:r>
        <w:tab/>
      </w:r>
      <w:r>
        <w:rPr>
          <w:sz w:val="20"/>
          <w:szCs w:val="20"/>
        </w:rPr>
        <w:t xml:space="preserve">Az Európai Parlament és a Tanács 1606/2002/EK rendelete (2002. július 19.) a nemzetközi számviteli standardok alkalmazásáról </w:t>
      </w:r>
      <w:r>
        <w:rPr>
          <w:rStyle w:val="Emphasis"/>
          <w:i w:val="0"/>
          <w:sz w:val="20"/>
          <w:szCs w:val="20"/>
        </w:rPr>
        <w:t>(HL L 243., 2002.9.11., 1. o.)</w:t>
      </w:r>
      <w:r>
        <w:rPr>
          <w:sz w:val="20"/>
          <w:szCs w:val="20"/>
        </w:rPr>
        <w:t>.</w:t>
      </w:r>
    </w:p>
    <w:p w:rsidR="00913E69" w:rsidRPr="0016282F" w:rsidRDefault="00913E69"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E69" w:rsidRDefault="00913E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E69" w:rsidRDefault="00913E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E69" w:rsidRPr="00631405" w:rsidRDefault="00913E69"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E69" w:rsidRDefault="00913E69">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6B88C8E2"/>
    <w:lvl w:ilvl="0" w:tplc="236EA62C">
      <w:start w:val="1"/>
      <w:numFmt w:val="decimal"/>
      <w:pStyle w:val="InstructionsText2"/>
      <w:lvlText w:val="%1."/>
      <w:lvlJc w:val="left"/>
      <w:pPr>
        <w:ind w:left="1353" w:hanging="360"/>
      </w:pPr>
      <w:rPr>
        <w:rFonts w:cs="Times New Roman"/>
      </w:rPr>
    </w:lvl>
    <w:lvl w:ilvl="1" w:tplc="04090017">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0762"/>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B3D"/>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388B"/>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4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4CB1"/>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4DB7"/>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0DC"/>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3E69"/>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E4F"/>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2205"/>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A7F92"/>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36CA"/>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aliases w:val="Title 2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u-HU"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34AD2-76CA-40AE-AB93-1D6F6B46E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280</Pages>
  <Words>100317</Words>
  <Characters>532687</Characters>
  <Application>Microsoft Office Word</Application>
  <DocSecurity>0</DocSecurity>
  <Lines>14018</Lines>
  <Paragraphs>8554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624450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V NAGY Ildiko (DGT)</cp:lastModifiedBy>
  <cp:revision>22</cp:revision>
  <dcterms:created xsi:type="dcterms:W3CDTF">2020-12-02T17:37:00Z</dcterms:created>
  <dcterms:modified xsi:type="dcterms:W3CDTF">2020-12-15T08:10:00Z</dcterms:modified>
</cp:coreProperties>
</file>